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BE5234" w:rsidRDefault="000A7622" w:rsidP="000A7622">
      <w:pPr>
        <w:pStyle w:val="Default"/>
        <w:rPr>
          <w:rFonts w:asciiTheme="minorHAnsi" w:hAnsiTheme="minorHAnsi" w:cstheme="minorHAnsi"/>
          <w:sz w:val="22"/>
          <w:szCs w:val="22"/>
        </w:rPr>
      </w:pPr>
    </w:p>
    <w:p w14:paraId="2538F7F5" w14:textId="77777777" w:rsidR="000A7622" w:rsidRPr="00BE5234"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BE5234">
        <w:rPr>
          <w:rFonts w:cstheme="minorHAnsi"/>
          <w:b/>
          <w:bCs/>
          <w:color w:val="316192"/>
          <w:sz w:val="28"/>
          <w:szCs w:val="26"/>
        </w:rPr>
        <w:t>Marquette University</w:t>
      </w:r>
    </w:p>
    <w:p w14:paraId="158D4B9F" w14:textId="77777777" w:rsidR="000A7622" w:rsidRPr="00BE5234" w:rsidRDefault="000A7622" w:rsidP="00D14423">
      <w:pPr>
        <w:autoSpaceDE w:val="0"/>
        <w:autoSpaceDN w:val="0"/>
        <w:adjustRightInd w:val="0"/>
        <w:rPr>
          <w:rFonts w:cstheme="minorHAnsi"/>
          <w:b/>
          <w:bCs/>
          <w:color w:val="316192"/>
          <w:sz w:val="40"/>
          <w:szCs w:val="36"/>
        </w:rPr>
      </w:pPr>
      <w:r w:rsidRPr="00BE5234">
        <w:rPr>
          <w:rFonts w:cstheme="minorHAnsi"/>
          <w:b/>
          <w:bCs/>
          <w:color w:val="316192"/>
          <w:sz w:val="40"/>
          <w:szCs w:val="36"/>
        </w:rPr>
        <w:t>e-Publications@Mar</w:t>
      </w:r>
      <w:bookmarkStart w:id="2" w:name="_GoBack"/>
      <w:bookmarkEnd w:id="2"/>
      <w:r w:rsidRPr="00BE5234">
        <w:rPr>
          <w:rFonts w:cstheme="minorHAnsi"/>
          <w:b/>
          <w:bCs/>
          <w:color w:val="316192"/>
          <w:sz w:val="40"/>
          <w:szCs w:val="36"/>
        </w:rPr>
        <w:t>quette</w:t>
      </w:r>
    </w:p>
    <w:p w14:paraId="689ACF87" w14:textId="77777777" w:rsidR="000A7622" w:rsidRPr="00BE5234" w:rsidRDefault="000A7622" w:rsidP="00D14423">
      <w:pPr>
        <w:autoSpaceDE w:val="0"/>
        <w:autoSpaceDN w:val="0"/>
        <w:adjustRightInd w:val="0"/>
        <w:rPr>
          <w:rFonts w:cstheme="minorHAnsi"/>
          <w:b/>
          <w:bCs/>
          <w:i/>
          <w:iCs/>
        </w:rPr>
      </w:pPr>
    </w:p>
    <w:p w14:paraId="161853CC" w14:textId="105C0FF8" w:rsidR="000A7622" w:rsidRPr="00BE5234" w:rsidRDefault="006624FF" w:rsidP="00D14423">
      <w:pPr>
        <w:autoSpaceDE w:val="0"/>
        <w:autoSpaceDN w:val="0"/>
        <w:adjustRightInd w:val="0"/>
        <w:rPr>
          <w:rFonts w:cstheme="minorHAnsi"/>
          <w:b/>
          <w:bCs/>
          <w:i/>
          <w:iCs/>
          <w:sz w:val="32"/>
          <w:szCs w:val="32"/>
        </w:rPr>
      </w:pPr>
      <w:r w:rsidRPr="00BE5234">
        <w:rPr>
          <w:rFonts w:cstheme="minorHAnsi"/>
          <w:b/>
          <w:bCs/>
          <w:i/>
          <w:iCs/>
          <w:sz w:val="32"/>
          <w:szCs w:val="32"/>
        </w:rPr>
        <w:t xml:space="preserve">Biomedical Sciences </w:t>
      </w:r>
      <w:r w:rsidR="000A7622" w:rsidRPr="00BE5234">
        <w:rPr>
          <w:rFonts w:cstheme="minorHAnsi"/>
          <w:b/>
          <w:bCs/>
          <w:i/>
          <w:iCs/>
          <w:sz w:val="32"/>
          <w:szCs w:val="32"/>
        </w:rPr>
        <w:t>Faculty Research and Publications/</w:t>
      </w:r>
      <w:r w:rsidR="009732A9" w:rsidRPr="00BE5234">
        <w:rPr>
          <w:rFonts w:cstheme="minorHAnsi"/>
          <w:b/>
          <w:bCs/>
          <w:i/>
          <w:iCs/>
          <w:sz w:val="32"/>
          <w:szCs w:val="32"/>
        </w:rPr>
        <w:t xml:space="preserve">College of </w:t>
      </w:r>
      <w:r w:rsidRPr="00BE5234">
        <w:rPr>
          <w:rFonts w:cstheme="minorHAnsi"/>
          <w:b/>
          <w:bCs/>
          <w:i/>
          <w:iCs/>
          <w:sz w:val="32"/>
          <w:szCs w:val="32"/>
        </w:rPr>
        <w:t>Arts and Sciences</w:t>
      </w:r>
    </w:p>
    <w:bookmarkEnd w:id="0"/>
    <w:p w14:paraId="3E538636" w14:textId="77777777" w:rsidR="000A7622" w:rsidRPr="00BE5234" w:rsidRDefault="000A7622" w:rsidP="00D14423">
      <w:pPr>
        <w:jc w:val="center"/>
        <w:rPr>
          <w:rFonts w:cstheme="minorHAnsi"/>
          <w:b/>
          <w:bCs/>
          <w:i/>
          <w:iCs/>
        </w:rPr>
      </w:pPr>
    </w:p>
    <w:p w14:paraId="25509BF0" w14:textId="36DD4F4C" w:rsidR="000A7622" w:rsidRPr="00BE5234" w:rsidRDefault="000A7622" w:rsidP="00D14423">
      <w:pPr>
        <w:jc w:val="center"/>
        <w:rPr>
          <w:rFonts w:cstheme="minorHAnsi"/>
          <w:sz w:val="24"/>
          <w:szCs w:val="24"/>
        </w:rPr>
      </w:pPr>
      <w:r w:rsidRPr="00BE5234">
        <w:rPr>
          <w:rFonts w:cstheme="minorHAnsi"/>
          <w:b/>
          <w:bCs/>
          <w:i/>
          <w:iCs/>
          <w:sz w:val="24"/>
          <w:szCs w:val="24"/>
        </w:rPr>
        <w:t xml:space="preserve">This paper is NOT THE PUBLISHED VERSION; </w:t>
      </w:r>
      <w:r w:rsidRPr="00BE5234">
        <w:rPr>
          <w:rFonts w:cstheme="minorHAnsi"/>
          <w:b/>
          <w:bCs/>
          <w:sz w:val="24"/>
          <w:szCs w:val="24"/>
        </w:rPr>
        <w:t xml:space="preserve">but the author’s final, peer-reviewed manuscript. </w:t>
      </w:r>
      <w:r w:rsidRPr="00BE5234">
        <w:rPr>
          <w:rFonts w:cstheme="minorHAnsi"/>
          <w:sz w:val="24"/>
          <w:szCs w:val="24"/>
        </w:rPr>
        <w:t>The published version may be accessed by following the link in th</w:t>
      </w:r>
      <w:r w:rsidR="006624FF" w:rsidRPr="00BE5234">
        <w:rPr>
          <w:rFonts w:cstheme="minorHAnsi"/>
          <w:sz w:val="24"/>
          <w:szCs w:val="24"/>
        </w:rPr>
        <w:t>e</w:t>
      </w:r>
      <w:r w:rsidRPr="00BE5234">
        <w:rPr>
          <w:rFonts w:cstheme="minorHAnsi"/>
          <w:sz w:val="24"/>
          <w:szCs w:val="24"/>
        </w:rPr>
        <w:t xml:space="preserve"> citation below.</w:t>
      </w:r>
    </w:p>
    <w:p w14:paraId="207B0342" w14:textId="77777777" w:rsidR="000A7622" w:rsidRPr="00BE5234" w:rsidRDefault="000A7622" w:rsidP="00D14423">
      <w:pPr>
        <w:jc w:val="center"/>
        <w:rPr>
          <w:rFonts w:cstheme="minorHAnsi"/>
          <w:sz w:val="24"/>
          <w:szCs w:val="24"/>
        </w:rPr>
      </w:pPr>
    </w:p>
    <w:p w14:paraId="2A38AFE1" w14:textId="60D47140" w:rsidR="000A7622" w:rsidRPr="00BE5234" w:rsidRDefault="002179E3" w:rsidP="00D14423">
      <w:pPr>
        <w:rPr>
          <w:rFonts w:cstheme="minorHAnsi"/>
          <w:sz w:val="24"/>
          <w:szCs w:val="24"/>
        </w:rPr>
      </w:pPr>
      <w:r w:rsidRPr="00BE5234">
        <w:rPr>
          <w:rFonts w:cstheme="minorHAnsi"/>
          <w:i/>
          <w:sz w:val="24"/>
          <w:szCs w:val="24"/>
          <w:lang w:val="fr-FR"/>
        </w:rPr>
        <w:t>Al</w:t>
      </w:r>
      <w:r w:rsidR="009C2121" w:rsidRPr="00BE5234">
        <w:rPr>
          <w:rFonts w:cstheme="minorHAnsi"/>
          <w:i/>
          <w:sz w:val="24"/>
          <w:szCs w:val="24"/>
          <w:lang w:val="fr-FR"/>
        </w:rPr>
        <w:t xml:space="preserve">coholism, Clinical </w:t>
      </w:r>
      <w:r w:rsidR="003C4E44" w:rsidRPr="00BE5234">
        <w:rPr>
          <w:rFonts w:cstheme="minorHAnsi"/>
          <w:i/>
          <w:sz w:val="24"/>
          <w:szCs w:val="24"/>
          <w:lang w:val="fr-FR"/>
        </w:rPr>
        <w:t>&amp; Experimental Research</w:t>
      </w:r>
      <w:r w:rsidR="000A7622" w:rsidRPr="00BE5234">
        <w:rPr>
          <w:rFonts w:cstheme="minorHAnsi"/>
          <w:sz w:val="24"/>
          <w:szCs w:val="24"/>
          <w:lang w:val="fr-FR"/>
        </w:rPr>
        <w:t xml:space="preserve">, Vol. </w:t>
      </w:r>
      <w:r w:rsidR="005B06BE" w:rsidRPr="00BE5234">
        <w:rPr>
          <w:rFonts w:cstheme="minorHAnsi"/>
          <w:sz w:val="24"/>
          <w:szCs w:val="24"/>
          <w:lang w:val="fr-FR"/>
        </w:rPr>
        <w:t>43</w:t>
      </w:r>
      <w:r w:rsidR="000A7622" w:rsidRPr="00BE5234">
        <w:rPr>
          <w:rFonts w:cstheme="minorHAnsi"/>
          <w:sz w:val="24"/>
          <w:szCs w:val="24"/>
          <w:lang w:val="fr-FR"/>
        </w:rPr>
        <w:t xml:space="preserve">, No. </w:t>
      </w:r>
      <w:r w:rsidR="00A46655" w:rsidRPr="00BE5234">
        <w:rPr>
          <w:rFonts w:cstheme="minorHAnsi"/>
          <w:sz w:val="24"/>
          <w:szCs w:val="24"/>
          <w:lang w:val="fr-FR"/>
        </w:rPr>
        <w:t>6</w:t>
      </w:r>
      <w:r w:rsidR="000A7622" w:rsidRPr="00BE5234">
        <w:rPr>
          <w:rFonts w:cstheme="minorHAnsi"/>
          <w:sz w:val="24"/>
          <w:szCs w:val="24"/>
          <w:lang w:val="fr-FR"/>
        </w:rPr>
        <w:t xml:space="preserve"> (</w:t>
      </w:r>
      <w:r w:rsidR="00A46655" w:rsidRPr="00BE5234">
        <w:rPr>
          <w:rFonts w:cstheme="minorHAnsi"/>
          <w:sz w:val="24"/>
          <w:szCs w:val="24"/>
          <w:lang w:val="fr-FR"/>
        </w:rPr>
        <w:t>June 2019</w:t>
      </w:r>
      <w:r w:rsidR="000A7622" w:rsidRPr="00BE5234">
        <w:rPr>
          <w:rFonts w:cstheme="minorHAnsi"/>
          <w:sz w:val="24"/>
          <w:szCs w:val="24"/>
          <w:lang w:val="fr-FR"/>
        </w:rPr>
        <w:t>)</w:t>
      </w:r>
      <w:r w:rsidR="002D2DA5" w:rsidRPr="00BE5234">
        <w:rPr>
          <w:rFonts w:cstheme="minorHAnsi"/>
          <w:sz w:val="24"/>
          <w:szCs w:val="24"/>
          <w:lang w:val="fr-FR"/>
        </w:rPr>
        <w:t xml:space="preserve"> </w:t>
      </w:r>
      <w:r w:rsidR="000A7622" w:rsidRPr="00BE5234">
        <w:rPr>
          <w:rFonts w:cstheme="minorHAnsi"/>
          <w:sz w:val="24"/>
          <w:szCs w:val="24"/>
          <w:lang w:val="fr-FR"/>
        </w:rPr>
        <w:t xml:space="preserve">: </w:t>
      </w:r>
      <w:r w:rsidR="008E0B55" w:rsidRPr="00BE5234">
        <w:rPr>
          <w:rFonts w:cstheme="minorHAnsi"/>
          <w:sz w:val="24"/>
          <w:szCs w:val="24"/>
          <w:lang w:val="fr-FR"/>
        </w:rPr>
        <w:t>1180</w:t>
      </w:r>
      <w:r w:rsidR="000A7622" w:rsidRPr="00BE5234">
        <w:rPr>
          <w:rFonts w:cstheme="minorHAnsi"/>
          <w:sz w:val="24"/>
          <w:szCs w:val="24"/>
          <w:lang w:val="fr-FR"/>
        </w:rPr>
        <w:t>-</w:t>
      </w:r>
      <w:r w:rsidR="008E0B55" w:rsidRPr="00BE5234">
        <w:rPr>
          <w:rFonts w:cstheme="minorHAnsi"/>
          <w:sz w:val="24"/>
          <w:szCs w:val="24"/>
          <w:lang w:val="fr-FR"/>
        </w:rPr>
        <w:t>1190</w:t>
      </w:r>
      <w:r w:rsidR="000A7622" w:rsidRPr="00BE5234">
        <w:rPr>
          <w:rFonts w:cstheme="minorHAnsi"/>
          <w:sz w:val="24"/>
          <w:szCs w:val="24"/>
          <w:lang w:val="fr-FR"/>
        </w:rPr>
        <w:t xml:space="preserve">. </w:t>
      </w:r>
      <w:hyperlink r:id="rId8" w:history="1">
        <w:r w:rsidR="000A7622" w:rsidRPr="00BE5234">
          <w:rPr>
            <w:rFonts w:cstheme="minorHAnsi"/>
            <w:color w:val="0563C1" w:themeColor="hyperlink"/>
            <w:sz w:val="24"/>
            <w:szCs w:val="24"/>
            <w:u w:val="single"/>
            <w:lang w:val="fr-FR"/>
          </w:rPr>
          <w:t>DOI</w:t>
        </w:r>
      </w:hyperlink>
      <w:r w:rsidR="000A7622" w:rsidRPr="00BE5234">
        <w:rPr>
          <w:rFonts w:cstheme="minorHAnsi"/>
          <w:sz w:val="24"/>
          <w:szCs w:val="24"/>
          <w:lang w:val="fr-FR"/>
        </w:rPr>
        <w:t xml:space="preserve">. </w:t>
      </w:r>
      <w:r w:rsidR="000A7622" w:rsidRPr="00BE5234">
        <w:rPr>
          <w:rFonts w:cstheme="minorHAnsi"/>
          <w:sz w:val="24"/>
          <w:szCs w:val="24"/>
        </w:rPr>
        <w:t xml:space="preserve">This article is © </w:t>
      </w:r>
      <w:r w:rsidR="0091649F" w:rsidRPr="00BE5234">
        <w:rPr>
          <w:rFonts w:cstheme="minorHAnsi"/>
          <w:sz w:val="24"/>
          <w:szCs w:val="24"/>
        </w:rPr>
        <w:t>Wiley</w:t>
      </w:r>
      <w:r w:rsidR="000A7622" w:rsidRPr="00BE5234">
        <w:rPr>
          <w:rFonts w:cstheme="minorHAnsi"/>
          <w:sz w:val="24"/>
          <w:szCs w:val="24"/>
        </w:rPr>
        <w:t xml:space="preserve"> and permission has been granted for this version to appear in </w:t>
      </w:r>
      <w:hyperlink r:id="rId9" w:history="1">
        <w:r w:rsidR="000A7622" w:rsidRPr="00BE5234">
          <w:rPr>
            <w:rFonts w:cstheme="minorHAnsi"/>
            <w:color w:val="0563C1" w:themeColor="hyperlink"/>
            <w:sz w:val="24"/>
            <w:szCs w:val="24"/>
            <w:u w:val="single"/>
          </w:rPr>
          <w:t>e-Publications@Marquette</w:t>
        </w:r>
      </w:hyperlink>
      <w:r w:rsidR="000A7622" w:rsidRPr="00BE5234">
        <w:rPr>
          <w:rFonts w:cstheme="minorHAnsi"/>
          <w:sz w:val="24"/>
          <w:szCs w:val="24"/>
        </w:rPr>
        <w:t xml:space="preserve">. </w:t>
      </w:r>
      <w:r w:rsidR="0091649F" w:rsidRPr="00BE5234">
        <w:rPr>
          <w:rFonts w:cstheme="minorHAnsi"/>
          <w:sz w:val="24"/>
          <w:szCs w:val="24"/>
        </w:rPr>
        <w:t>Wiley</w:t>
      </w:r>
      <w:r w:rsidR="000A7622" w:rsidRPr="00BE5234">
        <w:rPr>
          <w:rFonts w:cstheme="minorHAnsi"/>
          <w:sz w:val="24"/>
          <w:szCs w:val="24"/>
        </w:rPr>
        <w:t xml:space="preserve"> does not grant permission for this article to be further copied/distributed or hosted elsewhere without the express permission from </w:t>
      </w:r>
      <w:r w:rsidR="0091649F" w:rsidRPr="00BE5234">
        <w:rPr>
          <w:rFonts w:cstheme="minorHAnsi"/>
          <w:sz w:val="24"/>
          <w:szCs w:val="24"/>
        </w:rPr>
        <w:t>Wiley</w:t>
      </w:r>
      <w:r w:rsidR="000A7622" w:rsidRPr="00BE5234">
        <w:rPr>
          <w:rFonts w:cstheme="minorHAnsi"/>
          <w:sz w:val="24"/>
          <w:szCs w:val="24"/>
        </w:rPr>
        <w:t xml:space="preserve">. </w:t>
      </w:r>
    </w:p>
    <w:bookmarkEnd w:id="1"/>
    <w:p w14:paraId="5BC0075B" w14:textId="4639FF4C" w:rsidR="000A7622" w:rsidRPr="00BE5234" w:rsidRDefault="00B510FF" w:rsidP="00B510FF">
      <w:pPr>
        <w:pStyle w:val="Title"/>
        <w:rPr>
          <w:rFonts w:asciiTheme="minorHAnsi" w:hAnsiTheme="minorHAnsi" w:cstheme="minorHAnsi"/>
        </w:rPr>
      </w:pPr>
      <w:r w:rsidRPr="00BE5234">
        <w:rPr>
          <w:rFonts w:asciiTheme="minorHAnsi" w:hAnsiTheme="minorHAnsi" w:cstheme="minorHAnsi"/>
        </w:rPr>
        <w:t>Positions in the N‐methyl‐D‐aspartate Receptor GluN2C Subunit M3 and M4 Domains Regulate Alcohol Sensitivity and Receptor Kinetics</w:t>
      </w:r>
    </w:p>
    <w:p w14:paraId="3BEC2256" w14:textId="77777777" w:rsidR="00C66A6D" w:rsidRPr="00BE5234" w:rsidRDefault="00C66A6D" w:rsidP="00724C20">
      <w:pPr>
        <w:rPr>
          <w:rFonts w:cstheme="minorHAnsi"/>
          <w:sz w:val="28"/>
          <w:szCs w:val="28"/>
        </w:rPr>
      </w:pPr>
    </w:p>
    <w:p w14:paraId="27BDE70A" w14:textId="77777777" w:rsidR="00470298" w:rsidRPr="00BE5234" w:rsidRDefault="00724C20" w:rsidP="00470298">
      <w:pPr>
        <w:spacing w:after="0"/>
        <w:rPr>
          <w:rFonts w:cstheme="minorHAnsi"/>
          <w:sz w:val="28"/>
          <w:szCs w:val="28"/>
        </w:rPr>
      </w:pPr>
      <w:r w:rsidRPr="00BE5234">
        <w:rPr>
          <w:rFonts w:cstheme="minorHAnsi"/>
          <w:sz w:val="28"/>
          <w:szCs w:val="28"/>
        </w:rPr>
        <w:t>Man Wu</w:t>
      </w:r>
    </w:p>
    <w:p w14:paraId="514919A2" w14:textId="62A67AB2" w:rsidR="00724C20" w:rsidRPr="00BE5234" w:rsidRDefault="000F4D9E" w:rsidP="00470298">
      <w:pPr>
        <w:spacing w:after="0"/>
        <w:rPr>
          <w:rFonts w:cstheme="minorHAnsi"/>
        </w:rPr>
      </w:pPr>
      <w:r w:rsidRPr="00BE5234">
        <w:rPr>
          <w:rFonts w:cstheme="minorHAnsi"/>
        </w:rPr>
        <w:t>Department of Biomedical Sciences, Marquette University, Milwaukee, Wisconsin</w:t>
      </w:r>
    </w:p>
    <w:p w14:paraId="62F12C99" w14:textId="77777777" w:rsidR="00470298" w:rsidRPr="00BE5234" w:rsidRDefault="00724C20" w:rsidP="00470298">
      <w:pPr>
        <w:spacing w:after="0"/>
        <w:rPr>
          <w:rFonts w:cstheme="minorHAnsi"/>
          <w:sz w:val="28"/>
          <w:szCs w:val="28"/>
        </w:rPr>
      </w:pPr>
      <w:r w:rsidRPr="00BE5234">
        <w:rPr>
          <w:rFonts w:cstheme="minorHAnsi"/>
          <w:sz w:val="28"/>
          <w:szCs w:val="28"/>
        </w:rPr>
        <w:t xml:space="preserve">Priya </w:t>
      </w:r>
      <w:proofErr w:type="spellStart"/>
      <w:r w:rsidRPr="00BE5234">
        <w:rPr>
          <w:rFonts w:cstheme="minorHAnsi"/>
          <w:sz w:val="28"/>
          <w:szCs w:val="28"/>
        </w:rPr>
        <w:t>Katti</w:t>
      </w:r>
      <w:proofErr w:type="spellEnd"/>
    </w:p>
    <w:p w14:paraId="69A56B56" w14:textId="6C2F0574" w:rsidR="00724C20" w:rsidRPr="00BE5234" w:rsidRDefault="00094D1B" w:rsidP="00470298">
      <w:pPr>
        <w:spacing w:after="0"/>
        <w:rPr>
          <w:rFonts w:cstheme="minorHAnsi"/>
        </w:rPr>
      </w:pPr>
      <w:r w:rsidRPr="00BE5234">
        <w:rPr>
          <w:rFonts w:cstheme="minorHAnsi"/>
        </w:rPr>
        <w:t>Department of Biomedical Sciences, Marquette University, Milwaukee, Wisconsin</w:t>
      </w:r>
    </w:p>
    <w:p w14:paraId="78A83A88" w14:textId="77777777" w:rsidR="00470298" w:rsidRPr="00BE5234" w:rsidRDefault="00724C20" w:rsidP="00470298">
      <w:pPr>
        <w:spacing w:after="0"/>
        <w:rPr>
          <w:rFonts w:cstheme="minorHAnsi"/>
          <w:sz w:val="28"/>
          <w:szCs w:val="28"/>
        </w:rPr>
      </w:pPr>
      <w:proofErr w:type="spellStart"/>
      <w:r w:rsidRPr="00BE5234">
        <w:rPr>
          <w:rFonts w:cstheme="minorHAnsi"/>
          <w:sz w:val="28"/>
          <w:szCs w:val="28"/>
        </w:rPr>
        <w:t>Yulin</w:t>
      </w:r>
      <w:proofErr w:type="spellEnd"/>
      <w:r w:rsidRPr="00BE5234">
        <w:rPr>
          <w:rFonts w:cstheme="minorHAnsi"/>
          <w:sz w:val="28"/>
          <w:szCs w:val="28"/>
        </w:rPr>
        <w:t xml:space="preserve"> Zhao</w:t>
      </w:r>
    </w:p>
    <w:p w14:paraId="2EBC1344" w14:textId="6BFA33F5" w:rsidR="00724C20" w:rsidRPr="00BE5234" w:rsidRDefault="004F38B2" w:rsidP="00470298">
      <w:pPr>
        <w:spacing w:after="0"/>
        <w:rPr>
          <w:rFonts w:cstheme="minorHAnsi"/>
        </w:rPr>
      </w:pPr>
      <w:r w:rsidRPr="00BE5234">
        <w:rPr>
          <w:rFonts w:cstheme="minorHAnsi"/>
        </w:rPr>
        <w:t>Department of Biomedical Sciences, Marquette University, Milwaukee, Wisconsin</w:t>
      </w:r>
    </w:p>
    <w:p w14:paraId="5BEC3C2E" w14:textId="77777777" w:rsidR="00470298" w:rsidRPr="00BE5234" w:rsidRDefault="00724C20" w:rsidP="00470298">
      <w:pPr>
        <w:spacing w:after="0"/>
        <w:rPr>
          <w:rFonts w:cstheme="minorHAnsi"/>
          <w:sz w:val="28"/>
          <w:szCs w:val="28"/>
        </w:rPr>
      </w:pPr>
      <w:r w:rsidRPr="00BE5234">
        <w:rPr>
          <w:rFonts w:cstheme="minorHAnsi"/>
          <w:sz w:val="28"/>
          <w:szCs w:val="28"/>
        </w:rPr>
        <w:t>Robert W. Peoples</w:t>
      </w:r>
    </w:p>
    <w:p w14:paraId="6B4663EE" w14:textId="1EB3345B" w:rsidR="00C66A6D" w:rsidRPr="00BE5234" w:rsidRDefault="00C66A6D" w:rsidP="00470298">
      <w:pPr>
        <w:spacing w:after="0"/>
        <w:rPr>
          <w:rFonts w:cstheme="minorHAnsi"/>
        </w:rPr>
      </w:pPr>
      <w:r w:rsidRPr="00BE5234">
        <w:rPr>
          <w:rFonts w:cstheme="minorHAnsi"/>
        </w:rPr>
        <w:t>Department of Biomedical Sciences, Marquette University, Milwaukee, Wisconsin</w:t>
      </w:r>
    </w:p>
    <w:p w14:paraId="42E020C7" w14:textId="0674821F" w:rsidR="00B510FF" w:rsidRPr="00BE5234" w:rsidRDefault="00B510FF" w:rsidP="00724C20">
      <w:pPr>
        <w:rPr>
          <w:rFonts w:cstheme="minorHAnsi"/>
        </w:rPr>
      </w:pPr>
    </w:p>
    <w:p w14:paraId="0B46F6B8" w14:textId="3A03E7CB" w:rsidR="00DC2506" w:rsidRPr="00BE5234" w:rsidRDefault="00DC2506" w:rsidP="00C66A6D">
      <w:pPr>
        <w:pStyle w:val="Heading1"/>
        <w:rPr>
          <w:rFonts w:asciiTheme="minorHAnsi" w:hAnsiTheme="minorHAnsi" w:cstheme="minorHAnsi"/>
        </w:rPr>
      </w:pPr>
      <w:r w:rsidRPr="00BE5234">
        <w:rPr>
          <w:rFonts w:asciiTheme="minorHAnsi" w:hAnsiTheme="minorHAnsi" w:cstheme="minorHAnsi"/>
        </w:rPr>
        <w:lastRenderedPageBreak/>
        <w:t>Abstract</w:t>
      </w:r>
    </w:p>
    <w:p w14:paraId="3C73B002" w14:textId="77777777" w:rsidR="00DC2506" w:rsidRPr="00BE5234" w:rsidRDefault="00DC2506" w:rsidP="00C66A6D">
      <w:pPr>
        <w:pStyle w:val="Heading2"/>
        <w:rPr>
          <w:rFonts w:asciiTheme="minorHAnsi" w:hAnsiTheme="minorHAnsi" w:cstheme="minorHAnsi"/>
        </w:rPr>
      </w:pPr>
      <w:r w:rsidRPr="00BE5234">
        <w:rPr>
          <w:rFonts w:asciiTheme="minorHAnsi" w:hAnsiTheme="minorHAnsi" w:cstheme="minorHAnsi"/>
        </w:rPr>
        <w:t>Background</w:t>
      </w:r>
    </w:p>
    <w:p w14:paraId="3D341B49" w14:textId="77777777" w:rsidR="00DC2506" w:rsidRPr="00BE5234" w:rsidRDefault="00DC2506" w:rsidP="00C66A6D">
      <w:pPr>
        <w:rPr>
          <w:rFonts w:cstheme="minorHAnsi"/>
        </w:rPr>
      </w:pPr>
      <w:r w:rsidRPr="00BE5234">
        <w:rPr>
          <w:rFonts w:cstheme="minorHAnsi"/>
        </w:rPr>
        <w:t>Alcohol alters synaptic transmission in the brain. The </w:t>
      </w:r>
      <w:r w:rsidRPr="00BE5234">
        <w:rPr>
          <w:rFonts w:cstheme="minorHAnsi"/>
          <w:i/>
          <w:iCs/>
        </w:rPr>
        <w:t>N</w:t>
      </w:r>
      <w:r w:rsidRPr="00BE5234">
        <w:rPr>
          <w:rFonts w:cstheme="minorHAnsi"/>
        </w:rPr>
        <w:t>‐methyl‐D‐aspartate (NMDA) receptor (NMDAR), a subtype of glutamate‐gated ion channel, is an important synaptic target of alcohol in the brain. We and others have previously identified 4 alcohol‐sensitive positions in the third and fourth membrane‐associated (M) domains, designated M3</w:t>
      </w:r>
      <w:r w:rsidRPr="00BE5234">
        <w:rPr>
          <w:rFonts w:cstheme="minorHAnsi"/>
          <w:vertAlign w:val="subscript"/>
        </w:rPr>
        <w:t>1‐2</w:t>
      </w:r>
      <w:r w:rsidRPr="00BE5234">
        <w:rPr>
          <w:rFonts w:cstheme="minorHAnsi"/>
        </w:rPr>
        <w:t>and M4</w:t>
      </w:r>
      <w:r w:rsidRPr="00BE5234">
        <w:rPr>
          <w:rFonts w:cstheme="minorHAnsi"/>
          <w:vertAlign w:val="subscript"/>
        </w:rPr>
        <w:t>1‐2</w:t>
      </w:r>
      <w:r w:rsidRPr="00BE5234">
        <w:rPr>
          <w:rFonts w:cstheme="minorHAnsi"/>
        </w:rPr>
        <w:t>, of the GluN1, GluN2A, and GluN2B NMDAR subunits. In the present study, we tested whether the corresponding positions in the GluN2C subunit also regulate alcohol sensitivity and ion channel gating.</w:t>
      </w:r>
    </w:p>
    <w:p w14:paraId="1307A234" w14:textId="77777777" w:rsidR="00DC2506" w:rsidRPr="00BE5234" w:rsidRDefault="00DC2506" w:rsidP="00C66A6D">
      <w:pPr>
        <w:pStyle w:val="Heading2"/>
        <w:rPr>
          <w:rFonts w:asciiTheme="minorHAnsi" w:hAnsiTheme="minorHAnsi" w:cstheme="minorHAnsi"/>
        </w:rPr>
      </w:pPr>
      <w:r w:rsidRPr="00BE5234">
        <w:rPr>
          <w:rFonts w:asciiTheme="minorHAnsi" w:hAnsiTheme="minorHAnsi" w:cstheme="minorHAnsi"/>
        </w:rPr>
        <w:t>Methods</w:t>
      </w:r>
    </w:p>
    <w:p w14:paraId="26E660D6" w14:textId="77777777" w:rsidR="00DC2506" w:rsidRPr="00BE5234" w:rsidRDefault="00DC2506" w:rsidP="00C66A6D">
      <w:pPr>
        <w:rPr>
          <w:rFonts w:cstheme="minorHAnsi"/>
        </w:rPr>
      </w:pPr>
      <w:r w:rsidRPr="00BE5234">
        <w:rPr>
          <w:rFonts w:cstheme="minorHAnsi"/>
        </w:rPr>
        <w:t>We performed alanine‐ and tryptophan‐scanning mutagenesis in the GluN2C subunit followed by expression in HEK 293 cells and electrophysiological patch‐clamp recording.</w:t>
      </w:r>
    </w:p>
    <w:p w14:paraId="6F1DB134" w14:textId="77777777" w:rsidR="00DC2506" w:rsidRPr="00BE5234" w:rsidRDefault="00DC2506" w:rsidP="00C66A6D">
      <w:pPr>
        <w:pStyle w:val="Heading2"/>
        <w:rPr>
          <w:rFonts w:asciiTheme="minorHAnsi" w:hAnsiTheme="minorHAnsi" w:cstheme="minorHAnsi"/>
        </w:rPr>
      </w:pPr>
      <w:r w:rsidRPr="00BE5234">
        <w:rPr>
          <w:rFonts w:asciiTheme="minorHAnsi" w:hAnsiTheme="minorHAnsi" w:cstheme="minorHAnsi"/>
        </w:rPr>
        <w:t>Results</w:t>
      </w:r>
    </w:p>
    <w:p w14:paraId="61241252" w14:textId="77777777" w:rsidR="00DC2506" w:rsidRPr="00BE5234" w:rsidRDefault="00DC2506" w:rsidP="00C66A6D">
      <w:pPr>
        <w:rPr>
          <w:rFonts w:cstheme="minorHAnsi"/>
        </w:rPr>
      </w:pPr>
      <w:r w:rsidRPr="00BE5234">
        <w:rPr>
          <w:rFonts w:cstheme="minorHAnsi"/>
        </w:rPr>
        <w:t>Alanine substitution at the M3</w:t>
      </w:r>
      <w:r w:rsidRPr="00BE5234">
        <w:rPr>
          <w:rFonts w:cstheme="minorHAnsi"/>
          <w:vertAlign w:val="subscript"/>
        </w:rPr>
        <w:t>1</w:t>
      </w:r>
      <w:r w:rsidRPr="00BE5234">
        <w:rPr>
          <w:rFonts w:cstheme="minorHAnsi"/>
        </w:rPr>
        <w:t> (F634) and M4</w:t>
      </w:r>
      <w:r w:rsidRPr="00BE5234">
        <w:rPr>
          <w:rFonts w:cstheme="minorHAnsi"/>
          <w:vertAlign w:val="subscript"/>
        </w:rPr>
        <w:t>1‐2</w:t>
      </w:r>
      <w:r w:rsidRPr="00BE5234">
        <w:rPr>
          <w:rFonts w:cstheme="minorHAnsi"/>
        </w:rPr>
        <w:t> (M821 and M823) positions did not alter ethanol (EtOH) sensitivity, whereas substitution of alanine at the M3</w:t>
      </w:r>
      <w:r w:rsidRPr="00BE5234">
        <w:rPr>
          <w:rFonts w:cstheme="minorHAnsi"/>
          <w:vertAlign w:val="subscript"/>
        </w:rPr>
        <w:t>2</w:t>
      </w:r>
      <w:r w:rsidRPr="00BE5234">
        <w:rPr>
          <w:rFonts w:cstheme="minorHAnsi"/>
        </w:rPr>
        <w:t> position (F635) yielded nonfunctional receptors. Tryptophan substitution at the M3</w:t>
      </w:r>
      <w:r w:rsidRPr="00BE5234">
        <w:rPr>
          <w:rFonts w:cstheme="minorHAnsi"/>
          <w:vertAlign w:val="subscript"/>
        </w:rPr>
        <w:t>1‐2</w:t>
      </w:r>
      <w:r w:rsidRPr="00BE5234">
        <w:rPr>
          <w:rFonts w:cstheme="minorHAnsi"/>
        </w:rPr>
        <w:t> positions did not change EtOH sensitivity, whereas tryptophan substitution at the M4</w:t>
      </w:r>
      <w:r w:rsidRPr="00BE5234">
        <w:rPr>
          <w:rFonts w:cstheme="minorHAnsi"/>
          <w:vertAlign w:val="subscript"/>
        </w:rPr>
        <w:t>1</w:t>
      </w:r>
      <w:r w:rsidRPr="00BE5234">
        <w:rPr>
          <w:rFonts w:cstheme="minorHAnsi"/>
        </w:rPr>
        <w:t> position increased, and at the M4</w:t>
      </w:r>
      <w:r w:rsidRPr="00BE5234">
        <w:rPr>
          <w:rFonts w:cstheme="minorHAnsi"/>
          <w:vertAlign w:val="subscript"/>
        </w:rPr>
        <w:t>2</w:t>
      </w:r>
      <w:r w:rsidRPr="00BE5234">
        <w:rPr>
          <w:rFonts w:cstheme="minorHAnsi"/>
        </w:rPr>
        <w:t> position decreased, EtOH sensitivity. The increased EtOH sensitivity of the tryptophan mutant at M4</w:t>
      </w:r>
      <w:r w:rsidRPr="00BE5234">
        <w:rPr>
          <w:rFonts w:cstheme="minorHAnsi"/>
          <w:vertAlign w:val="subscript"/>
        </w:rPr>
        <w:t>1</w:t>
      </w:r>
      <w:r w:rsidRPr="00BE5234">
        <w:rPr>
          <w:rFonts w:cstheme="minorHAnsi"/>
        </w:rPr>
        <w:t> is in marked contrast to previous results observed in the GluN2A and GluN2B subunits. In addition, this mutant exhibited increased desensitization, but to a much lesser extent compared to the corresponding mutations in GluN2A and GluN2B. A series of mutations at M4</w:t>
      </w:r>
      <w:r w:rsidRPr="00BE5234">
        <w:rPr>
          <w:rFonts w:cstheme="minorHAnsi"/>
          <w:vertAlign w:val="subscript"/>
        </w:rPr>
        <w:t>1</w:t>
      </w:r>
      <w:r w:rsidRPr="00BE5234">
        <w:rPr>
          <w:rFonts w:cstheme="minorHAnsi"/>
        </w:rPr>
        <w:t> altered EtOH sensitivity, glutamate potency, and desensitization. Seven amino acid substitutions (of 15 tested) at this position yielded nonfunctional receptors. Among the remaining mutants at M4</w:t>
      </w:r>
      <w:r w:rsidRPr="00BE5234">
        <w:rPr>
          <w:rFonts w:cstheme="minorHAnsi"/>
          <w:vertAlign w:val="subscript"/>
        </w:rPr>
        <w:t>1</w:t>
      </w:r>
      <w:r w:rsidRPr="00BE5234">
        <w:rPr>
          <w:rFonts w:cstheme="minorHAnsi"/>
        </w:rPr>
        <w:t>, EtOH sensitivity was not significantly correlated with hydrophobicity, molecular volume, or polarity of the substituent, or with glutamate EC</w:t>
      </w:r>
      <w:r w:rsidRPr="00BE5234">
        <w:rPr>
          <w:rFonts w:cstheme="minorHAnsi"/>
          <w:vertAlign w:val="subscript"/>
        </w:rPr>
        <w:t>50</w:t>
      </w:r>
      <w:r w:rsidRPr="00BE5234">
        <w:rPr>
          <w:rFonts w:cstheme="minorHAnsi"/>
        </w:rPr>
        <w:t> values, but was correlated with maximal steady‐state‐to‐peak current ratio, a measure of desensitization.</w:t>
      </w:r>
    </w:p>
    <w:p w14:paraId="3FDFCC80" w14:textId="77777777" w:rsidR="00DC2506" w:rsidRPr="00BE5234" w:rsidRDefault="00DC2506" w:rsidP="00C66A6D">
      <w:pPr>
        <w:pStyle w:val="Heading2"/>
        <w:rPr>
          <w:rFonts w:asciiTheme="minorHAnsi" w:hAnsiTheme="minorHAnsi" w:cstheme="minorHAnsi"/>
        </w:rPr>
      </w:pPr>
      <w:r w:rsidRPr="00BE5234">
        <w:rPr>
          <w:rFonts w:asciiTheme="minorHAnsi" w:hAnsiTheme="minorHAnsi" w:cstheme="minorHAnsi"/>
        </w:rPr>
        <w:t>Conclusions</w:t>
      </w:r>
    </w:p>
    <w:p w14:paraId="07B515E2" w14:textId="77777777" w:rsidR="00DC2506" w:rsidRPr="00BE5234" w:rsidRDefault="00DC2506" w:rsidP="00C66A6D">
      <w:pPr>
        <w:rPr>
          <w:rFonts w:cstheme="minorHAnsi"/>
        </w:rPr>
      </w:pPr>
      <w:r w:rsidRPr="00BE5234">
        <w:rPr>
          <w:rFonts w:cstheme="minorHAnsi"/>
        </w:rPr>
        <w:t>The identity and characteristics of alcohol‐sensitive positions in the GluN2C subunit differ from those previously reported for GluN2A and GluN2B subunits, despite the high homology among these subunits.</w:t>
      </w:r>
    </w:p>
    <w:p w14:paraId="4915283D" w14:textId="77777777" w:rsidR="00DC2506" w:rsidRPr="00BE5234" w:rsidRDefault="00DC2506" w:rsidP="00C66A6D">
      <w:pPr>
        <w:rPr>
          <w:rFonts w:cstheme="minorHAnsi"/>
        </w:rPr>
      </w:pPr>
      <w:r w:rsidRPr="00BE5234">
        <w:rPr>
          <w:rFonts w:cstheme="minorHAnsi"/>
        </w:rPr>
        <w:t>Ethanol (EtOH) is a widely abused drug that acts on multiple pre‐ and postsynaptic targets in the brain to alter synaptic transmission (Abrahao et al., </w:t>
      </w:r>
      <w:hyperlink r:id="rId10" w:anchor="acer14042-bib-0001" w:history="1">
        <w:r w:rsidRPr="00BE5234">
          <w:rPr>
            <w:rStyle w:val="Hyperlink"/>
            <w:rFonts w:eastAsiaTheme="majorEastAsia" w:cstheme="minorHAnsi"/>
            <w:b/>
            <w:bCs/>
            <w:color w:val="000000"/>
          </w:rPr>
          <w:t>2017</w:t>
        </w:r>
      </w:hyperlink>
      <w:r w:rsidRPr="00BE5234">
        <w:rPr>
          <w:rFonts w:cstheme="minorHAnsi"/>
        </w:rPr>
        <w:t>; Harrison et al., </w:t>
      </w:r>
      <w:hyperlink r:id="rId11" w:anchor="acer14042-bib-0008" w:history="1">
        <w:r w:rsidRPr="00BE5234">
          <w:rPr>
            <w:rStyle w:val="Hyperlink"/>
            <w:rFonts w:eastAsiaTheme="majorEastAsia" w:cstheme="minorHAnsi"/>
            <w:b/>
            <w:bCs/>
            <w:color w:val="000000"/>
          </w:rPr>
          <w:t>2017</w:t>
        </w:r>
      </w:hyperlink>
      <w:r w:rsidRPr="00BE5234">
        <w:rPr>
          <w:rFonts w:cstheme="minorHAnsi"/>
        </w:rPr>
        <w:t>; McCool, </w:t>
      </w:r>
      <w:hyperlink r:id="rId12" w:anchor="acer14042-bib-0020" w:history="1">
        <w:r w:rsidRPr="00BE5234">
          <w:rPr>
            <w:rStyle w:val="Hyperlink"/>
            <w:rFonts w:eastAsiaTheme="majorEastAsia" w:cstheme="minorHAnsi"/>
            <w:b/>
            <w:bCs/>
            <w:color w:val="000000"/>
          </w:rPr>
          <w:t>2011</w:t>
        </w:r>
      </w:hyperlink>
      <w:r w:rsidRPr="00BE5234">
        <w:rPr>
          <w:rFonts w:cstheme="minorHAnsi"/>
        </w:rPr>
        <w:t>). Among the most important targets of EtOH are </w:t>
      </w:r>
      <w:r w:rsidRPr="00BE5234">
        <w:rPr>
          <w:rFonts w:cstheme="minorHAnsi"/>
          <w:i/>
          <w:iCs/>
        </w:rPr>
        <w:t>N</w:t>
      </w:r>
      <w:r w:rsidRPr="00BE5234">
        <w:rPr>
          <w:rFonts w:cstheme="minorHAnsi"/>
        </w:rPr>
        <w:t>‐methyl‐D‐aspartate receptors (NMDAR), glutamate‐gated ion channels that are essential for multiple aspects of brain function, including forms of synaptic plasticity underlying learning and memory, motor function, cognition, attention, and reward (Bliss and Collingridge, </w:t>
      </w:r>
      <w:hyperlink r:id="rId13" w:anchor="acer14042-bib-0003" w:history="1">
        <w:r w:rsidRPr="00BE5234">
          <w:rPr>
            <w:rStyle w:val="Hyperlink"/>
            <w:rFonts w:eastAsiaTheme="majorEastAsia" w:cstheme="minorHAnsi"/>
            <w:b/>
            <w:bCs/>
            <w:color w:val="000000"/>
          </w:rPr>
          <w:t>1993</w:t>
        </w:r>
      </w:hyperlink>
      <w:r w:rsidRPr="00BE5234">
        <w:rPr>
          <w:rFonts w:cstheme="minorHAnsi"/>
        </w:rPr>
        <w:t>; Dingledine et al., </w:t>
      </w:r>
      <w:hyperlink r:id="rId14" w:anchor="acer14042-bib-0005" w:history="1">
        <w:r w:rsidRPr="00BE5234">
          <w:rPr>
            <w:rStyle w:val="Hyperlink"/>
            <w:rFonts w:eastAsiaTheme="majorEastAsia" w:cstheme="minorHAnsi"/>
            <w:b/>
            <w:bCs/>
            <w:color w:val="000000"/>
          </w:rPr>
          <w:t>1999</w:t>
        </w:r>
      </w:hyperlink>
      <w:r w:rsidRPr="00BE5234">
        <w:rPr>
          <w:rFonts w:cstheme="minorHAnsi"/>
        </w:rPr>
        <w:t>; Paoletti and Neyton, </w:t>
      </w:r>
      <w:hyperlink r:id="rId15" w:anchor="acer14042-bib-0025" w:history="1">
        <w:r w:rsidRPr="00BE5234">
          <w:rPr>
            <w:rStyle w:val="Hyperlink"/>
            <w:rFonts w:eastAsiaTheme="majorEastAsia" w:cstheme="minorHAnsi"/>
            <w:b/>
            <w:bCs/>
            <w:color w:val="000000"/>
          </w:rPr>
          <w:t>2007</w:t>
        </w:r>
      </w:hyperlink>
      <w:r w:rsidRPr="00BE5234">
        <w:rPr>
          <w:rFonts w:cstheme="minorHAnsi"/>
        </w:rPr>
        <w:t>; Traynelis et al., </w:t>
      </w:r>
      <w:hyperlink r:id="rId16" w:anchor="acer14042-bib-0039" w:history="1">
        <w:r w:rsidRPr="00BE5234">
          <w:rPr>
            <w:rStyle w:val="Hyperlink"/>
            <w:rFonts w:eastAsiaTheme="majorEastAsia" w:cstheme="minorHAnsi"/>
            <w:b/>
            <w:bCs/>
            <w:color w:val="000000"/>
          </w:rPr>
          <w:t>2010</w:t>
        </w:r>
      </w:hyperlink>
      <w:r w:rsidRPr="00BE5234">
        <w:rPr>
          <w:rFonts w:cstheme="minorHAnsi"/>
        </w:rPr>
        <w:t>). The major type of NMDAR in the adult central nervous system is a heterotetramer containing 2 GluN1 subunits and 2 GluN2 subunits, of which there are 4 types, GluN2A‐D (Honer et al., </w:t>
      </w:r>
      <w:hyperlink r:id="rId17" w:anchor="acer14042-bib-0009" w:history="1">
        <w:r w:rsidRPr="00BE5234">
          <w:rPr>
            <w:rStyle w:val="Hyperlink"/>
            <w:rFonts w:eastAsiaTheme="majorEastAsia" w:cstheme="minorHAnsi"/>
            <w:b/>
            <w:bCs/>
            <w:color w:val="000000"/>
          </w:rPr>
          <w:t>1998</w:t>
        </w:r>
      </w:hyperlink>
      <w:r w:rsidRPr="00BE5234">
        <w:rPr>
          <w:rFonts w:cstheme="minorHAnsi"/>
        </w:rPr>
        <w:t>; Kutsuwada et al., </w:t>
      </w:r>
      <w:hyperlink r:id="rId18" w:anchor="acer14042-bib-0017" w:history="1">
        <w:r w:rsidRPr="00BE5234">
          <w:rPr>
            <w:rStyle w:val="Hyperlink"/>
            <w:rFonts w:eastAsiaTheme="majorEastAsia" w:cstheme="minorHAnsi"/>
            <w:b/>
            <w:bCs/>
            <w:color w:val="000000"/>
          </w:rPr>
          <w:t>1992</w:t>
        </w:r>
      </w:hyperlink>
      <w:r w:rsidRPr="00BE5234">
        <w:rPr>
          <w:rFonts w:cstheme="minorHAnsi"/>
        </w:rPr>
        <w:t>; Laube et al., </w:t>
      </w:r>
      <w:hyperlink r:id="rId19" w:anchor="acer14042-bib-0018" w:history="1">
        <w:r w:rsidRPr="00BE5234">
          <w:rPr>
            <w:rStyle w:val="Hyperlink"/>
            <w:rFonts w:eastAsiaTheme="majorEastAsia" w:cstheme="minorHAnsi"/>
            <w:b/>
            <w:bCs/>
            <w:color w:val="000000"/>
          </w:rPr>
          <w:t>1998</w:t>
        </w:r>
      </w:hyperlink>
      <w:r w:rsidRPr="00BE5234">
        <w:rPr>
          <w:rFonts w:cstheme="minorHAnsi"/>
        </w:rPr>
        <w:t>). NMDARs are inhibited by EtOH at relevant concentrations and play a crucial role in the effects of EtOH in the brain (Krystal et al., </w:t>
      </w:r>
      <w:hyperlink r:id="rId20" w:anchor="acer14042-bib-0016" w:history="1">
        <w:r w:rsidRPr="00BE5234">
          <w:rPr>
            <w:rStyle w:val="Hyperlink"/>
            <w:rFonts w:eastAsiaTheme="majorEastAsia" w:cstheme="minorHAnsi"/>
            <w:b/>
            <w:bCs/>
            <w:color w:val="000000"/>
          </w:rPr>
          <w:t>2003</w:t>
        </w:r>
      </w:hyperlink>
      <w:r w:rsidRPr="00BE5234">
        <w:rPr>
          <w:rFonts w:cstheme="minorHAnsi"/>
        </w:rPr>
        <w:t>; Vengeliene et al., </w:t>
      </w:r>
      <w:hyperlink r:id="rId21" w:anchor="acer14042-bib-0040" w:history="1">
        <w:r w:rsidRPr="00BE5234">
          <w:rPr>
            <w:rStyle w:val="Hyperlink"/>
            <w:rFonts w:eastAsiaTheme="majorEastAsia" w:cstheme="minorHAnsi"/>
            <w:b/>
            <w:bCs/>
            <w:color w:val="000000"/>
          </w:rPr>
          <w:t>2008</w:t>
        </w:r>
      </w:hyperlink>
      <w:r w:rsidRPr="00BE5234">
        <w:rPr>
          <w:rFonts w:cstheme="minorHAnsi"/>
        </w:rPr>
        <w:t>; Woodward, </w:t>
      </w:r>
      <w:hyperlink r:id="rId22" w:anchor="acer14042-bib-0045" w:history="1">
        <w:r w:rsidRPr="00BE5234">
          <w:rPr>
            <w:rStyle w:val="Hyperlink"/>
            <w:rFonts w:eastAsiaTheme="majorEastAsia" w:cstheme="minorHAnsi"/>
            <w:b/>
            <w:bCs/>
            <w:color w:val="000000"/>
          </w:rPr>
          <w:t>2000</w:t>
        </w:r>
      </w:hyperlink>
      <w:r w:rsidRPr="00BE5234">
        <w:rPr>
          <w:rFonts w:cstheme="minorHAnsi"/>
        </w:rPr>
        <w:t>). Although multiple molecular mechanisms can modulate NMDAR EtOH sensitivity (Ron, </w:t>
      </w:r>
      <w:hyperlink r:id="rId23" w:anchor="acer14042-bib-0033" w:history="1">
        <w:r w:rsidRPr="00BE5234">
          <w:rPr>
            <w:rStyle w:val="Hyperlink"/>
            <w:rFonts w:eastAsiaTheme="majorEastAsia" w:cstheme="minorHAnsi"/>
            <w:b/>
            <w:bCs/>
            <w:color w:val="000000"/>
          </w:rPr>
          <w:t>2004</w:t>
        </w:r>
      </w:hyperlink>
      <w:r w:rsidRPr="00BE5234">
        <w:rPr>
          <w:rFonts w:cstheme="minorHAnsi"/>
        </w:rPr>
        <w:t>), the molecular mechanism by which EtOH directly acts on NMDAR appears to involve regulation of ion channel gating (Wright et al., </w:t>
      </w:r>
      <w:hyperlink r:id="rId24" w:anchor="acer14042-bib-0046" w:history="1">
        <w:r w:rsidRPr="00BE5234">
          <w:rPr>
            <w:rStyle w:val="Hyperlink"/>
            <w:rFonts w:eastAsiaTheme="majorEastAsia" w:cstheme="minorHAnsi"/>
            <w:b/>
            <w:bCs/>
            <w:color w:val="000000"/>
          </w:rPr>
          <w:t>1996</w:t>
        </w:r>
      </w:hyperlink>
      <w:r w:rsidRPr="00BE5234">
        <w:rPr>
          <w:rFonts w:cstheme="minorHAnsi"/>
        </w:rPr>
        <w:t>) via interactions with specific amino acids in the membrane‐associated (M) domains (Honse et al., </w:t>
      </w:r>
      <w:hyperlink r:id="rId25" w:anchor="acer14042-bib-0010" w:history="1">
        <w:r w:rsidRPr="00BE5234">
          <w:rPr>
            <w:rStyle w:val="Hyperlink"/>
            <w:rFonts w:eastAsiaTheme="majorEastAsia" w:cstheme="minorHAnsi"/>
            <w:b/>
            <w:bCs/>
            <w:color w:val="000000"/>
          </w:rPr>
          <w:t>2004</w:t>
        </w:r>
      </w:hyperlink>
      <w:r w:rsidRPr="00BE5234">
        <w:rPr>
          <w:rFonts w:cstheme="minorHAnsi"/>
        </w:rPr>
        <w:t>; Ren et al., </w:t>
      </w:r>
      <w:hyperlink r:id="rId26" w:anchor="acer14042-bib-0028" w:history="1">
        <w:r w:rsidRPr="00BE5234">
          <w:rPr>
            <w:rStyle w:val="Hyperlink"/>
            <w:rFonts w:eastAsiaTheme="majorEastAsia" w:cstheme="minorHAnsi"/>
            <w:b/>
            <w:bCs/>
            <w:color w:val="000000"/>
          </w:rPr>
          <w:t>2003b</w:t>
        </w:r>
      </w:hyperlink>
      <w:r w:rsidRPr="00BE5234">
        <w:rPr>
          <w:rFonts w:cstheme="minorHAnsi"/>
        </w:rPr>
        <w:t>, </w:t>
      </w:r>
      <w:hyperlink r:id="rId27" w:anchor="acer14042-bib-0030" w:history="1">
        <w:r w:rsidRPr="00BE5234">
          <w:rPr>
            <w:rStyle w:val="Hyperlink"/>
            <w:rFonts w:eastAsiaTheme="majorEastAsia" w:cstheme="minorHAnsi"/>
            <w:b/>
            <w:bCs/>
            <w:color w:val="000000"/>
          </w:rPr>
          <w:t>2007</w:t>
        </w:r>
      </w:hyperlink>
      <w:r w:rsidRPr="00BE5234">
        <w:rPr>
          <w:rFonts w:cstheme="minorHAnsi"/>
        </w:rPr>
        <w:t>; Ronald et al., </w:t>
      </w:r>
      <w:hyperlink r:id="rId28" w:anchor="acer14042-bib-0034" w:history="1">
        <w:r w:rsidRPr="00BE5234">
          <w:rPr>
            <w:rStyle w:val="Hyperlink"/>
            <w:rFonts w:eastAsiaTheme="majorEastAsia" w:cstheme="minorHAnsi"/>
            <w:b/>
            <w:bCs/>
            <w:color w:val="000000"/>
          </w:rPr>
          <w:t>2001</w:t>
        </w:r>
      </w:hyperlink>
      <w:r w:rsidRPr="00BE5234">
        <w:rPr>
          <w:rFonts w:cstheme="minorHAnsi"/>
        </w:rPr>
        <w:t>; Smothers and Woodward, </w:t>
      </w:r>
      <w:hyperlink r:id="rId29" w:anchor="acer14042-bib-0036" w:history="1">
        <w:r w:rsidRPr="00BE5234">
          <w:rPr>
            <w:rStyle w:val="Hyperlink"/>
            <w:rFonts w:eastAsiaTheme="majorEastAsia" w:cstheme="minorHAnsi"/>
            <w:b/>
            <w:bCs/>
            <w:color w:val="000000"/>
          </w:rPr>
          <w:t>2006</w:t>
        </w:r>
      </w:hyperlink>
      <w:r w:rsidRPr="00BE5234">
        <w:rPr>
          <w:rFonts w:cstheme="minorHAnsi"/>
        </w:rPr>
        <w:t>). In the GluN1/GluN2A and GluN1/GluN2B NMDAR, these putative sites of EtOH action consist of small clusters of residues at the intersubunit interfaces of the M3 and M4 domains (Ren et al., </w:t>
      </w:r>
      <w:hyperlink r:id="rId30" w:anchor="acer14042-bib-0031" w:history="1">
        <w:r w:rsidRPr="00BE5234">
          <w:rPr>
            <w:rStyle w:val="Hyperlink"/>
            <w:rFonts w:eastAsiaTheme="majorEastAsia" w:cstheme="minorHAnsi"/>
            <w:b/>
            <w:bCs/>
            <w:color w:val="000000"/>
          </w:rPr>
          <w:t>2012</w:t>
        </w:r>
      </w:hyperlink>
      <w:r w:rsidRPr="00BE5234">
        <w:rPr>
          <w:rFonts w:cstheme="minorHAnsi"/>
        </w:rPr>
        <w:t>; Zhao et al., </w:t>
      </w:r>
      <w:hyperlink r:id="rId31" w:anchor="acer14042-bib-0049" w:history="1">
        <w:r w:rsidRPr="00BE5234">
          <w:rPr>
            <w:rStyle w:val="Hyperlink"/>
            <w:rFonts w:eastAsiaTheme="majorEastAsia" w:cstheme="minorHAnsi"/>
            <w:b/>
            <w:bCs/>
            <w:color w:val="000000"/>
          </w:rPr>
          <w:t>2015</w:t>
        </w:r>
      </w:hyperlink>
      <w:r w:rsidRPr="00BE5234">
        <w:rPr>
          <w:rFonts w:cstheme="minorHAnsi"/>
        </w:rPr>
        <w:t>, </w:t>
      </w:r>
      <w:hyperlink r:id="rId32" w:anchor="acer14042-bib-0050" w:history="1">
        <w:r w:rsidRPr="00BE5234">
          <w:rPr>
            <w:rStyle w:val="Hyperlink"/>
            <w:rFonts w:eastAsiaTheme="majorEastAsia" w:cstheme="minorHAnsi"/>
            <w:b/>
            <w:bCs/>
            <w:color w:val="000000"/>
          </w:rPr>
          <w:t>2016</w:t>
        </w:r>
      </w:hyperlink>
      <w:r w:rsidRPr="00BE5234">
        <w:rPr>
          <w:rFonts w:cstheme="minorHAnsi"/>
        </w:rPr>
        <w:t>); some of these positions also interact with side chains in other M domains (Xu et al., </w:t>
      </w:r>
      <w:hyperlink r:id="rId33" w:anchor="acer14042-bib-0047" w:history="1">
        <w:r w:rsidRPr="00BE5234">
          <w:rPr>
            <w:rStyle w:val="Hyperlink"/>
            <w:rFonts w:eastAsiaTheme="majorEastAsia" w:cstheme="minorHAnsi"/>
            <w:b/>
            <w:bCs/>
            <w:color w:val="000000"/>
          </w:rPr>
          <w:t>2015</w:t>
        </w:r>
      </w:hyperlink>
      <w:r w:rsidRPr="00BE5234">
        <w:rPr>
          <w:rFonts w:cstheme="minorHAnsi"/>
        </w:rPr>
        <w:t>). Mutations at key positions in these clusters in both the GluN1 and GluN2 subunits can strongly regulate ion channel gating (Ren et al., </w:t>
      </w:r>
      <w:hyperlink r:id="rId34" w:anchor="acer14042-bib-0027" w:history="1">
        <w:r w:rsidRPr="00BE5234">
          <w:rPr>
            <w:rStyle w:val="Hyperlink"/>
            <w:rFonts w:eastAsiaTheme="majorEastAsia" w:cstheme="minorHAnsi"/>
            <w:b/>
            <w:bCs/>
            <w:color w:val="000000"/>
          </w:rPr>
          <w:t>2003a</w:t>
        </w:r>
      </w:hyperlink>
      <w:r w:rsidRPr="00BE5234">
        <w:rPr>
          <w:rFonts w:cstheme="minorHAnsi"/>
        </w:rPr>
        <w:t>, </w:t>
      </w:r>
      <w:hyperlink r:id="rId35" w:anchor="acer14042-bib-0030" w:history="1">
        <w:r w:rsidRPr="00BE5234">
          <w:rPr>
            <w:rStyle w:val="Hyperlink"/>
            <w:rFonts w:eastAsiaTheme="majorEastAsia" w:cstheme="minorHAnsi"/>
            <w:b/>
            <w:bCs/>
            <w:color w:val="000000"/>
          </w:rPr>
          <w:t>2007</w:t>
        </w:r>
      </w:hyperlink>
      <w:r w:rsidRPr="00BE5234">
        <w:rPr>
          <w:rFonts w:cstheme="minorHAnsi"/>
        </w:rPr>
        <w:t>, </w:t>
      </w:r>
      <w:hyperlink r:id="rId36" w:anchor="acer14042-bib-0029" w:history="1">
        <w:r w:rsidRPr="00BE5234">
          <w:rPr>
            <w:rStyle w:val="Hyperlink"/>
            <w:rFonts w:eastAsiaTheme="majorEastAsia" w:cstheme="minorHAnsi"/>
            <w:b/>
            <w:bCs/>
            <w:color w:val="000000"/>
          </w:rPr>
          <w:t>2008</w:t>
        </w:r>
      </w:hyperlink>
      <w:r w:rsidRPr="00BE5234">
        <w:rPr>
          <w:rFonts w:cstheme="minorHAnsi"/>
        </w:rPr>
        <w:t>, </w:t>
      </w:r>
      <w:hyperlink r:id="rId37" w:anchor="acer14042-bib-0031" w:history="1">
        <w:r w:rsidRPr="00BE5234">
          <w:rPr>
            <w:rStyle w:val="Hyperlink"/>
            <w:rFonts w:eastAsiaTheme="majorEastAsia" w:cstheme="minorHAnsi"/>
            <w:b/>
            <w:bCs/>
            <w:color w:val="000000"/>
          </w:rPr>
          <w:t>2012</w:t>
        </w:r>
      </w:hyperlink>
      <w:r w:rsidRPr="00BE5234">
        <w:rPr>
          <w:rFonts w:cstheme="minorHAnsi"/>
        </w:rPr>
        <w:t>, </w:t>
      </w:r>
      <w:hyperlink r:id="rId38" w:anchor="acer14042-bib-0032" w:history="1">
        <w:r w:rsidRPr="00BE5234">
          <w:rPr>
            <w:rStyle w:val="Hyperlink"/>
            <w:rFonts w:eastAsiaTheme="majorEastAsia" w:cstheme="minorHAnsi"/>
            <w:b/>
            <w:bCs/>
            <w:color w:val="000000"/>
          </w:rPr>
          <w:t>2013</w:t>
        </w:r>
      </w:hyperlink>
      <w:r w:rsidRPr="00BE5234">
        <w:rPr>
          <w:rFonts w:cstheme="minorHAnsi"/>
        </w:rPr>
        <w:t>; Smothers and Woodward, </w:t>
      </w:r>
      <w:hyperlink r:id="rId39" w:anchor="acer14042-bib-0037" w:history="1">
        <w:r w:rsidRPr="00BE5234">
          <w:rPr>
            <w:rStyle w:val="Hyperlink"/>
            <w:rFonts w:eastAsiaTheme="majorEastAsia" w:cstheme="minorHAnsi"/>
            <w:b/>
            <w:bCs/>
            <w:color w:val="000000"/>
          </w:rPr>
          <w:t>2016</w:t>
        </w:r>
      </w:hyperlink>
      <w:r w:rsidRPr="00BE5234">
        <w:rPr>
          <w:rFonts w:cstheme="minorHAnsi"/>
        </w:rPr>
        <w:t>; Zhao et al., </w:t>
      </w:r>
      <w:hyperlink r:id="rId40" w:anchor="acer14042-bib-0050" w:history="1">
        <w:r w:rsidRPr="00BE5234">
          <w:rPr>
            <w:rStyle w:val="Hyperlink"/>
            <w:rFonts w:eastAsiaTheme="majorEastAsia" w:cstheme="minorHAnsi"/>
            <w:b/>
            <w:bCs/>
            <w:color w:val="000000"/>
          </w:rPr>
          <w:t>2016</w:t>
        </w:r>
      </w:hyperlink>
      <w:r w:rsidRPr="00BE5234">
        <w:rPr>
          <w:rFonts w:cstheme="minorHAnsi"/>
        </w:rPr>
        <w:t>), although the changes in gating differ considerably among positions and do not appear to underlie the changes in EtOH sensitivity. For example, in the GluN2A subunit M3 domain, although substitution of tryptophan at either of the positions significantly decreases EtOH sensitivity, tryptophan substitution at F636 decreases desensitization and increases mean open time (Ren et al., </w:t>
      </w:r>
      <w:hyperlink r:id="rId41" w:anchor="acer14042-bib-0032" w:history="1">
        <w:r w:rsidRPr="00BE5234">
          <w:rPr>
            <w:rStyle w:val="Hyperlink"/>
            <w:rFonts w:eastAsiaTheme="majorEastAsia" w:cstheme="minorHAnsi"/>
            <w:b/>
            <w:bCs/>
            <w:color w:val="000000"/>
          </w:rPr>
          <w:t>2013</w:t>
        </w:r>
      </w:hyperlink>
      <w:r w:rsidRPr="00BE5234">
        <w:rPr>
          <w:rFonts w:cstheme="minorHAnsi"/>
        </w:rPr>
        <w:t>), whereas tryptophan substitution at F637 does not alter desensitization but decreases mean open time (Ren et al., </w:t>
      </w:r>
      <w:hyperlink r:id="rId42" w:anchor="acer14042-bib-0030" w:history="1">
        <w:r w:rsidRPr="00BE5234">
          <w:rPr>
            <w:rStyle w:val="Hyperlink"/>
            <w:rFonts w:eastAsiaTheme="majorEastAsia" w:cstheme="minorHAnsi"/>
            <w:b/>
            <w:bCs/>
            <w:color w:val="000000"/>
          </w:rPr>
          <w:t>2007</w:t>
        </w:r>
      </w:hyperlink>
      <w:r w:rsidRPr="00BE5234">
        <w:rPr>
          <w:rFonts w:cstheme="minorHAnsi"/>
        </w:rPr>
        <w:t>).</w:t>
      </w:r>
    </w:p>
    <w:p w14:paraId="4BB57B49" w14:textId="77777777" w:rsidR="00DC2506" w:rsidRPr="00BE5234" w:rsidRDefault="00DC2506" w:rsidP="00C66A6D">
      <w:pPr>
        <w:rPr>
          <w:rFonts w:cstheme="minorHAnsi"/>
        </w:rPr>
      </w:pPr>
      <w:r w:rsidRPr="00BE5234">
        <w:rPr>
          <w:rFonts w:cstheme="minorHAnsi"/>
        </w:rPr>
        <w:t>GluN2C subunits differ from GluN2A and GluN2B subunits in multiple respects. Unlike the GluN2A and GluN2B subunits, the GluN2C subunit has a limited distribution, with the greatest abundance in the cerebellum (Farrant et al., </w:t>
      </w:r>
      <w:hyperlink r:id="rId43" w:anchor="acer14042-bib-0007" w:history="1">
        <w:r w:rsidRPr="00BE5234">
          <w:rPr>
            <w:rStyle w:val="Hyperlink"/>
            <w:rFonts w:eastAsiaTheme="majorEastAsia" w:cstheme="minorHAnsi"/>
            <w:b/>
            <w:bCs/>
            <w:color w:val="000000"/>
          </w:rPr>
          <w:t>1994</w:t>
        </w:r>
      </w:hyperlink>
      <w:r w:rsidRPr="00BE5234">
        <w:rPr>
          <w:rFonts w:cstheme="minorHAnsi"/>
        </w:rPr>
        <w:t>; Karavanova et al., </w:t>
      </w:r>
      <w:hyperlink r:id="rId44" w:anchor="acer14042-bib-0013" w:history="1">
        <w:r w:rsidRPr="00BE5234">
          <w:rPr>
            <w:rStyle w:val="Hyperlink"/>
            <w:rFonts w:eastAsiaTheme="majorEastAsia" w:cstheme="minorHAnsi"/>
            <w:b/>
            <w:bCs/>
            <w:color w:val="000000"/>
          </w:rPr>
          <w:t>2007</w:t>
        </w:r>
      </w:hyperlink>
      <w:r w:rsidRPr="00BE5234">
        <w:rPr>
          <w:rFonts w:cstheme="minorHAnsi"/>
        </w:rPr>
        <w:t>; Monyer et al., </w:t>
      </w:r>
      <w:hyperlink r:id="rId45" w:anchor="acer14042-bib-0023" w:history="1">
        <w:r w:rsidRPr="00BE5234">
          <w:rPr>
            <w:rStyle w:val="Hyperlink"/>
            <w:rFonts w:eastAsiaTheme="majorEastAsia" w:cstheme="minorHAnsi"/>
            <w:b/>
            <w:bCs/>
            <w:color w:val="000000"/>
          </w:rPr>
          <w:t>1994</w:t>
        </w:r>
      </w:hyperlink>
      <w:r w:rsidRPr="00BE5234">
        <w:rPr>
          <w:rFonts w:cstheme="minorHAnsi"/>
        </w:rPr>
        <w:t>; Wenzel et al., </w:t>
      </w:r>
      <w:hyperlink r:id="rId46" w:anchor="acer14042-bib-0043" w:history="1">
        <w:r w:rsidRPr="00BE5234">
          <w:rPr>
            <w:rStyle w:val="Hyperlink"/>
            <w:rFonts w:eastAsiaTheme="majorEastAsia" w:cstheme="minorHAnsi"/>
            <w:b/>
            <w:bCs/>
            <w:color w:val="000000"/>
          </w:rPr>
          <w:t>1997</w:t>
        </w:r>
      </w:hyperlink>
      <w:r w:rsidRPr="00BE5234">
        <w:rPr>
          <w:rFonts w:cstheme="minorHAnsi"/>
        </w:rPr>
        <w:t>), and lesser amounts in the thalamus, olfactory bulb, globus pallidus, and hippocampus (Monyer et al., </w:t>
      </w:r>
      <w:hyperlink r:id="rId47" w:anchor="acer14042-bib-0023" w:history="1">
        <w:r w:rsidRPr="00BE5234">
          <w:rPr>
            <w:rStyle w:val="Hyperlink"/>
            <w:rFonts w:eastAsiaTheme="majorEastAsia" w:cstheme="minorHAnsi"/>
            <w:b/>
            <w:bCs/>
            <w:color w:val="000000"/>
          </w:rPr>
          <w:t>1994</w:t>
        </w:r>
      </w:hyperlink>
      <w:r w:rsidRPr="00BE5234">
        <w:rPr>
          <w:rFonts w:cstheme="minorHAnsi"/>
        </w:rPr>
        <w:t>; Ravikrishnan et al., </w:t>
      </w:r>
      <w:hyperlink r:id="rId48" w:anchor="acer14042-bib-0026" w:history="1">
        <w:r w:rsidRPr="00BE5234">
          <w:rPr>
            <w:rStyle w:val="Hyperlink"/>
            <w:rFonts w:eastAsiaTheme="majorEastAsia" w:cstheme="minorHAnsi"/>
            <w:b/>
            <w:bCs/>
            <w:color w:val="000000"/>
          </w:rPr>
          <w:t>2018</w:t>
        </w:r>
      </w:hyperlink>
      <w:r w:rsidRPr="00BE5234">
        <w:rPr>
          <w:rFonts w:cstheme="minorHAnsi"/>
        </w:rPr>
        <w:t>; Wenzel et al., </w:t>
      </w:r>
      <w:hyperlink r:id="rId49" w:anchor="acer14042-bib-0043" w:history="1">
        <w:r w:rsidRPr="00BE5234">
          <w:rPr>
            <w:rStyle w:val="Hyperlink"/>
            <w:rFonts w:eastAsiaTheme="majorEastAsia" w:cstheme="minorHAnsi"/>
            <w:b/>
            <w:bCs/>
            <w:color w:val="000000"/>
          </w:rPr>
          <w:t>1997</w:t>
        </w:r>
      </w:hyperlink>
      <w:r w:rsidRPr="00BE5234">
        <w:rPr>
          <w:rFonts w:cstheme="minorHAnsi"/>
        </w:rPr>
        <w:t>). In thalamus, globus pallidus, and substantia nigra, GluN2C subunits appear to be expressed primarily in interneurons, whereas in cortex, hippocampus, and amygdala, they are expressed primarily in glial cells (Alsaad et al., </w:t>
      </w:r>
      <w:hyperlink r:id="rId50" w:anchor="acer14042-bib-0002" w:history="1">
        <w:r w:rsidRPr="00BE5234">
          <w:rPr>
            <w:rStyle w:val="Hyperlink"/>
            <w:rFonts w:eastAsiaTheme="majorEastAsia" w:cstheme="minorHAnsi"/>
            <w:b/>
            <w:bCs/>
            <w:color w:val="000000"/>
          </w:rPr>
          <w:t>2019</w:t>
        </w:r>
      </w:hyperlink>
      <w:r w:rsidRPr="00BE5234">
        <w:rPr>
          <w:rFonts w:cstheme="minorHAnsi"/>
        </w:rPr>
        <w:t>; Ravikrishnan et al., </w:t>
      </w:r>
      <w:hyperlink r:id="rId51" w:anchor="acer14042-bib-0026" w:history="1">
        <w:r w:rsidRPr="00BE5234">
          <w:rPr>
            <w:rStyle w:val="Hyperlink"/>
            <w:rFonts w:eastAsiaTheme="majorEastAsia" w:cstheme="minorHAnsi"/>
            <w:b/>
            <w:bCs/>
            <w:color w:val="000000"/>
          </w:rPr>
          <w:t>2018</w:t>
        </w:r>
      </w:hyperlink>
      <w:r w:rsidRPr="00BE5234">
        <w:rPr>
          <w:rFonts w:cstheme="minorHAnsi"/>
        </w:rPr>
        <w:t>; Verkhratsky and Chvátal, </w:t>
      </w:r>
      <w:hyperlink r:id="rId52" w:anchor="acer14042-bib-0041" w:history="1">
        <w:r w:rsidRPr="00BE5234">
          <w:rPr>
            <w:rStyle w:val="Hyperlink"/>
            <w:rFonts w:eastAsiaTheme="majorEastAsia" w:cstheme="minorHAnsi"/>
            <w:b/>
            <w:bCs/>
            <w:color w:val="000000"/>
          </w:rPr>
          <w:t>2019</w:t>
        </w:r>
      </w:hyperlink>
      <w:r w:rsidRPr="00BE5234">
        <w:rPr>
          <w:rFonts w:cstheme="minorHAnsi"/>
        </w:rPr>
        <w:t>). Compared to NMDARs containing GluN2A and GluN2B subunits, GluN2C‐containing NMDARs have a shorter mean open time and much lower open probability (Dravid et al., </w:t>
      </w:r>
      <w:hyperlink r:id="rId53" w:anchor="acer14042-bib-0006" w:history="1">
        <w:r w:rsidRPr="00BE5234">
          <w:rPr>
            <w:rStyle w:val="Hyperlink"/>
            <w:rFonts w:eastAsiaTheme="majorEastAsia" w:cstheme="minorHAnsi"/>
            <w:b/>
            <w:bCs/>
            <w:color w:val="000000"/>
          </w:rPr>
          <w:t>2008</w:t>
        </w:r>
      </w:hyperlink>
      <w:r w:rsidRPr="00BE5234">
        <w:rPr>
          <w:rFonts w:cstheme="minorHAnsi"/>
        </w:rPr>
        <w:t>), lower single‐channel conductance (Dravid et al., </w:t>
      </w:r>
      <w:hyperlink r:id="rId54" w:anchor="acer14042-bib-0006" w:history="1">
        <w:r w:rsidRPr="00BE5234">
          <w:rPr>
            <w:rStyle w:val="Hyperlink"/>
            <w:rFonts w:eastAsiaTheme="majorEastAsia" w:cstheme="minorHAnsi"/>
            <w:b/>
            <w:bCs/>
            <w:color w:val="000000"/>
          </w:rPr>
          <w:t>2008</w:t>
        </w:r>
      </w:hyperlink>
      <w:r w:rsidRPr="00BE5234">
        <w:rPr>
          <w:rFonts w:cstheme="minorHAnsi"/>
        </w:rPr>
        <w:t>; Stern et al., </w:t>
      </w:r>
      <w:hyperlink r:id="rId55" w:anchor="acer14042-bib-0038" w:history="1">
        <w:r w:rsidRPr="00BE5234">
          <w:rPr>
            <w:rStyle w:val="Hyperlink"/>
            <w:rFonts w:eastAsiaTheme="majorEastAsia" w:cstheme="minorHAnsi"/>
            <w:b/>
            <w:bCs/>
            <w:color w:val="000000"/>
          </w:rPr>
          <w:t>1992</w:t>
        </w:r>
      </w:hyperlink>
      <w:r w:rsidRPr="00BE5234">
        <w:rPr>
          <w:rFonts w:cstheme="minorHAnsi"/>
        </w:rPr>
        <w:t>), and lower sensitivity to Mg</w:t>
      </w:r>
      <w:r w:rsidRPr="00BE5234">
        <w:rPr>
          <w:rFonts w:cstheme="minorHAnsi"/>
          <w:vertAlign w:val="superscript"/>
        </w:rPr>
        <w:t>2+</w:t>
      </w:r>
      <w:r w:rsidRPr="00BE5234">
        <w:rPr>
          <w:rFonts w:cstheme="minorHAnsi"/>
        </w:rPr>
        <w:t> block (Monyer et al., </w:t>
      </w:r>
      <w:hyperlink r:id="rId56" w:anchor="acer14042-bib-0024" w:history="1">
        <w:r w:rsidRPr="00BE5234">
          <w:rPr>
            <w:rStyle w:val="Hyperlink"/>
            <w:rFonts w:eastAsiaTheme="majorEastAsia" w:cstheme="minorHAnsi"/>
            <w:b/>
            <w:bCs/>
            <w:color w:val="000000"/>
          </w:rPr>
          <w:t>1992</w:t>
        </w:r>
      </w:hyperlink>
      <w:r w:rsidRPr="00BE5234">
        <w:rPr>
          <w:rFonts w:cstheme="minorHAnsi"/>
        </w:rPr>
        <w:t>), with little to no desensitization and glutamate deactivation similar to that of GluN2B (Krupp et al., </w:t>
      </w:r>
      <w:hyperlink r:id="rId57" w:anchor="acer14042-bib-0015" w:history="1">
        <w:r w:rsidRPr="00BE5234">
          <w:rPr>
            <w:rStyle w:val="Hyperlink"/>
            <w:rFonts w:eastAsiaTheme="majorEastAsia" w:cstheme="minorHAnsi"/>
            <w:b/>
            <w:bCs/>
            <w:color w:val="000000"/>
          </w:rPr>
          <w:t>1996</w:t>
        </w:r>
      </w:hyperlink>
      <w:r w:rsidRPr="00BE5234">
        <w:rPr>
          <w:rFonts w:cstheme="minorHAnsi"/>
        </w:rPr>
        <w:t>; Monyer et al., </w:t>
      </w:r>
      <w:hyperlink r:id="rId58" w:anchor="acer14042-bib-0024" w:history="1">
        <w:r w:rsidRPr="00BE5234">
          <w:rPr>
            <w:rStyle w:val="Hyperlink"/>
            <w:rFonts w:eastAsiaTheme="majorEastAsia" w:cstheme="minorHAnsi"/>
            <w:b/>
            <w:bCs/>
            <w:color w:val="000000"/>
          </w:rPr>
          <w:t>1992</w:t>
        </w:r>
      </w:hyperlink>
      <w:r w:rsidRPr="00BE5234">
        <w:rPr>
          <w:rFonts w:cstheme="minorHAnsi"/>
        </w:rPr>
        <w:t>; Vicini et al., </w:t>
      </w:r>
      <w:hyperlink r:id="rId59" w:anchor="acer14042-bib-0042" w:history="1">
        <w:r w:rsidRPr="00BE5234">
          <w:rPr>
            <w:rStyle w:val="Hyperlink"/>
            <w:rFonts w:eastAsiaTheme="majorEastAsia" w:cstheme="minorHAnsi"/>
            <w:b/>
            <w:bCs/>
            <w:color w:val="000000"/>
          </w:rPr>
          <w:t>1998</w:t>
        </w:r>
      </w:hyperlink>
      <w:r w:rsidRPr="00BE5234">
        <w:rPr>
          <w:rFonts w:cstheme="minorHAnsi"/>
        </w:rPr>
        <w:t>). The GluN2C‐containing NMDAR also shows differences in alcohol sensitivity. GluN2C‐containing NMDARs are less sensitive to EtOH compared to GluN2A‐ and GluN2B‐containing NMDARs (Chu et al., </w:t>
      </w:r>
      <w:hyperlink r:id="rId60" w:anchor="acer14042-bib-0004" w:history="1">
        <w:r w:rsidRPr="00BE5234">
          <w:rPr>
            <w:rStyle w:val="Hyperlink"/>
            <w:rFonts w:eastAsiaTheme="majorEastAsia" w:cstheme="minorHAnsi"/>
            <w:b/>
            <w:bCs/>
            <w:color w:val="000000"/>
          </w:rPr>
          <w:t>1995</w:t>
        </w:r>
      </w:hyperlink>
      <w:r w:rsidRPr="00BE5234">
        <w:rPr>
          <w:rFonts w:cstheme="minorHAnsi"/>
        </w:rPr>
        <w:t>; Masood et al., </w:t>
      </w:r>
      <w:hyperlink r:id="rId61" w:anchor="acer14042-bib-0019" w:history="1">
        <w:r w:rsidRPr="00BE5234">
          <w:rPr>
            <w:rStyle w:val="Hyperlink"/>
            <w:rFonts w:eastAsiaTheme="majorEastAsia" w:cstheme="minorHAnsi"/>
            <w:b/>
            <w:bCs/>
            <w:color w:val="000000"/>
          </w:rPr>
          <w:t>1994</w:t>
        </w:r>
      </w:hyperlink>
      <w:r w:rsidRPr="00BE5234">
        <w:rPr>
          <w:rFonts w:cstheme="minorHAnsi"/>
        </w:rPr>
        <w:t>; Mirshahi and Woodward, </w:t>
      </w:r>
      <w:hyperlink r:id="rId62" w:anchor="acer14042-bib-0022" w:history="1">
        <w:r w:rsidRPr="00BE5234">
          <w:rPr>
            <w:rStyle w:val="Hyperlink"/>
            <w:rFonts w:eastAsiaTheme="majorEastAsia" w:cstheme="minorHAnsi"/>
            <w:b/>
            <w:bCs/>
            <w:color w:val="000000"/>
          </w:rPr>
          <w:t>1995</w:t>
        </w:r>
      </w:hyperlink>
      <w:r w:rsidRPr="00BE5234">
        <w:rPr>
          <w:rFonts w:cstheme="minorHAnsi"/>
        </w:rPr>
        <w:t>), but the basis for the lower EtOH sensitivity of GluN2C subunits is not known. Smothers and Woodward (</w:t>
      </w:r>
      <w:hyperlink r:id="rId63" w:anchor="acer14042-bib-0037" w:history="1">
        <w:r w:rsidRPr="00BE5234">
          <w:rPr>
            <w:rStyle w:val="Hyperlink"/>
            <w:rFonts w:eastAsiaTheme="majorEastAsia" w:cstheme="minorHAnsi"/>
            <w:b/>
            <w:bCs/>
            <w:color w:val="000000"/>
          </w:rPr>
          <w:t>2016</w:t>
        </w:r>
      </w:hyperlink>
      <w:r w:rsidRPr="00BE5234">
        <w:rPr>
          <w:rFonts w:cstheme="minorHAnsi"/>
        </w:rPr>
        <w:t>) have recently shown that substitution of tryptophan in the fourth membrane‐associated domain of the GluN2C subunit at a position corresponding to one previously shown to decrease alcohol inhibition in the GluN2A subunit (Honse et al., </w:t>
      </w:r>
      <w:hyperlink r:id="rId64" w:anchor="acer14042-bib-0010" w:history="1">
        <w:r w:rsidRPr="00BE5234">
          <w:rPr>
            <w:rStyle w:val="Hyperlink"/>
            <w:rFonts w:eastAsiaTheme="majorEastAsia" w:cstheme="minorHAnsi"/>
            <w:b/>
            <w:bCs/>
            <w:color w:val="000000"/>
          </w:rPr>
          <w:t>2004</w:t>
        </w:r>
      </w:hyperlink>
      <w:r w:rsidRPr="00BE5234">
        <w:rPr>
          <w:rFonts w:cstheme="minorHAnsi"/>
        </w:rPr>
        <w:t>; Salous et al., </w:t>
      </w:r>
      <w:hyperlink r:id="rId65" w:anchor="acer14042-bib-0035" w:history="1">
        <w:r w:rsidRPr="00BE5234">
          <w:rPr>
            <w:rStyle w:val="Hyperlink"/>
            <w:rFonts w:eastAsiaTheme="majorEastAsia" w:cstheme="minorHAnsi"/>
            <w:b/>
            <w:bCs/>
            <w:color w:val="000000"/>
          </w:rPr>
          <w:t>2009</w:t>
        </w:r>
      </w:hyperlink>
      <w:r w:rsidRPr="00BE5234">
        <w:rPr>
          <w:rFonts w:cstheme="minorHAnsi"/>
        </w:rPr>
        <w:t>) greatly decreases alcohol inhibition, but apart from this observation little is known about the action of alcohol in the M domains of the GluN2C subunit. In the present study, we studied the molecular determinants of alcohol inhibition of GluN2C‐containing NMDAR by introducing mutations in the GluN2C subunit at positions corresponding to those shown to modulate alcohol action in the GluN2A and GluN2B subunits. Despite high homology in the M domains among the GluN2 subunits, we report that mutations at these positions in the GluN2C subunit differentially modulate alcohol action compared to the GluN2A and GluN2B subunits.</w:t>
      </w:r>
    </w:p>
    <w:p w14:paraId="0C47722B" w14:textId="77777777" w:rsidR="00DC2506" w:rsidRPr="00BE5234" w:rsidRDefault="00DC2506" w:rsidP="00C66A6D">
      <w:pPr>
        <w:pStyle w:val="Heading1"/>
        <w:rPr>
          <w:rFonts w:asciiTheme="minorHAnsi" w:hAnsiTheme="minorHAnsi" w:cstheme="minorHAnsi"/>
        </w:rPr>
      </w:pPr>
      <w:r w:rsidRPr="00BE5234">
        <w:rPr>
          <w:rFonts w:asciiTheme="minorHAnsi" w:hAnsiTheme="minorHAnsi" w:cstheme="minorHAnsi"/>
        </w:rPr>
        <w:t>Materials and Methods</w:t>
      </w:r>
    </w:p>
    <w:p w14:paraId="2BF39C83" w14:textId="77777777" w:rsidR="00DC2506" w:rsidRPr="00BE5234" w:rsidRDefault="00DC2506" w:rsidP="00C66A6D">
      <w:pPr>
        <w:pStyle w:val="Heading2"/>
        <w:rPr>
          <w:rFonts w:asciiTheme="minorHAnsi" w:hAnsiTheme="minorHAnsi" w:cstheme="minorHAnsi"/>
        </w:rPr>
      </w:pPr>
      <w:r w:rsidRPr="00BE5234">
        <w:rPr>
          <w:rFonts w:asciiTheme="minorHAnsi" w:hAnsiTheme="minorHAnsi" w:cstheme="minorHAnsi"/>
        </w:rPr>
        <w:t>Materials</w:t>
      </w:r>
    </w:p>
    <w:p w14:paraId="3BC80C9B" w14:textId="77777777" w:rsidR="00DC2506" w:rsidRPr="00BE5234" w:rsidRDefault="00DC2506" w:rsidP="00C66A6D">
      <w:pPr>
        <w:rPr>
          <w:rFonts w:cstheme="minorHAnsi"/>
        </w:rPr>
      </w:pPr>
      <w:r w:rsidRPr="00BE5234">
        <w:rPr>
          <w:rFonts w:cstheme="minorHAnsi"/>
        </w:rPr>
        <w:t>EtOH (95%, prepared from grain) was obtained from Aaper Alcohol &amp; Chemical Co. (Shelbyville, KY), and all other drugs were obtained from Sigma‐Aldrich (St. Louis, MO). Chemicals used to make recording solutions were the highest purity available.</w:t>
      </w:r>
    </w:p>
    <w:p w14:paraId="049866EF" w14:textId="77777777" w:rsidR="00DC2506" w:rsidRPr="00BE5234" w:rsidRDefault="00DC2506" w:rsidP="00C66A6D">
      <w:pPr>
        <w:pStyle w:val="Heading2"/>
        <w:rPr>
          <w:rFonts w:asciiTheme="minorHAnsi" w:hAnsiTheme="minorHAnsi" w:cstheme="minorHAnsi"/>
        </w:rPr>
      </w:pPr>
      <w:r w:rsidRPr="00BE5234">
        <w:rPr>
          <w:rFonts w:asciiTheme="minorHAnsi" w:hAnsiTheme="minorHAnsi" w:cstheme="minorHAnsi"/>
        </w:rPr>
        <w:t>Molecular Biology, Cell Culture, and Transfection</w:t>
      </w:r>
    </w:p>
    <w:p w14:paraId="65B1A362" w14:textId="77777777" w:rsidR="00DC2506" w:rsidRPr="00BE5234" w:rsidRDefault="00DC2506" w:rsidP="00C66A6D">
      <w:pPr>
        <w:rPr>
          <w:rFonts w:cstheme="minorHAnsi"/>
        </w:rPr>
      </w:pPr>
      <w:r w:rsidRPr="00BE5234">
        <w:rPr>
          <w:rFonts w:cstheme="minorHAnsi"/>
        </w:rPr>
        <w:t>Site‐directed mutagenesis in plasmids containing rat GluN1 or GluN2C subunit cDNA was performed using the QuikChange II kit (Agilent Technologies, Santa Clara, CA), and all mutations were verified by double‐strand DNA sequencing. TSA201 cells, a transformed human kidney 293 cell line, were maintained in flasks containing serum‐supplemented Dulbecco's minimum Eagle's medium in a humidified 5% CO</w:t>
      </w:r>
      <w:r w:rsidRPr="00BE5234">
        <w:rPr>
          <w:rFonts w:cstheme="minorHAnsi"/>
          <w:vertAlign w:val="subscript"/>
        </w:rPr>
        <w:t>2</w:t>
      </w:r>
      <w:r w:rsidRPr="00BE5234">
        <w:rPr>
          <w:rFonts w:cstheme="minorHAnsi"/>
        </w:rPr>
        <w:t> incubator. For recordings, cells were plated onto fibronectin‐coated 35‐mm dishes at high density (approximately 5 × 10</w:t>
      </w:r>
      <w:r w:rsidRPr="00BE5234">
        <w:rPr>
          <w:rFonts w:cstheme="minorHAnsi"/>
          <w:vertAlign w:val="superscript"/>
        </w:rPr>
        <w:t>5</w:t>
      </w:r>
      <w:r w:rsidRPr="00BE5234">
        <w:rPr>
          <w:rFonts w:cstheme="minorHAnsi"/>
        </w:rPr>
        <w:t> cells per dish) and transfected with plasmids containing cDNA for GluN1, GluN2C, and green fluorescent protein using the calcium phosphate transfection kit (Invitrogen, Waltham, MA). Magnesium chloride, 10 mM, was added to the culture medium to prevent excitotoxic cell death. Magnesium chloride was removed before use in experiments by extensive washing. Cells were used in experiments 24 to 48 hours after transfection.</w:t>
      </w:r>
    </w:p>
    <w:p w14:paraId="6AD5C828" w14:textId="77777777" w:rsidR="00DC2506" w:rsidRPr="00BE5234" w:rsidRDefault="00DC2506" w:rsidP="00C66A6D">
      <w:pPr>
        <w:pStyle w:val="Heading2"/>
        <w:rPr>
          <w:rFonts w:asciiTheme="minorHAnsi" w:hAnsiTheme="minorHAnsi" w:cstheme="minorHAnsi"/>
        </w:rPr>
      </w:pPr>
      <w:r w:rsidRPr="00BE5234">
        <w:rPr>
          <w:rFonts w:asciiTheme="minorHAnsi" w:hAnsiTheme="minorHAnsi" w:cstheme="minorHAnsi"/>
        </w:rPr>
        <w:t>Electrophysiological Recording</w:t>
      </w:r>
    </w:p>
    <w:p w14:paraId="266C9367" w14:textId="77777777" w:rsidR="00DC2506" w:rsidRPr="00BE5234" w:rsidRDefault="00DC2506" w:rsidP="00C66A6D">
      <w:pPr>
        <w:rPr>
          <w:rFonts w:cstheme="minorHAnsi"/>
        </w:rPr>
      </w:pPr>
      <w:r w:rsidRPr="00BE5234">
        <w:rPr>
          <w:rFonts w:cstheme="minorHAnsi"/>
        </w:rPr>
        <w:t>Whole‐cell patch‐clamp recording was performed at room temperature using an Axon 200B amplifier (Molecular Devices, Sunnyvale, CA). Patch pipettes (1 to 3 MΩ) were pulled from thin‐wall borosilicate glass and filled with internal solution containing 140 mM CsCl, 2 mM Mg</w:t>
      </w:r>
      <w:r w:rsidRPr="00BE5234">
        <w:rPr>
          <w:rFonts w:cstheme="minorHAnsi"/>
          <w:sz w:val="18"/>
          <w:szCs w:val="18"/>
          <w:vertAlign w:val="subscript"/>
        </w:rPr>
        <w:t>4</w:t>
      </w:r>
      <w:r w:rsidRPr="00BE5234">
        <w:rPr>
          <w:rFonts w:cstheme="minorHAnsi"/>
        </w:rPr>
        <w:t>ATP, 10 mM BAPTA, and 10 mM HEPES (pH 7.2). The recording solution contained 150 mM NaCl, 5 mM KCl, 0.2 mM CaCl</w:t>
      </w:r>
      <w:r w:rsidRPr="00BE5234">
        <w:rPr>
          <w:rFonts w:cstheme="minorHAnsi"/>
          <w:sz w:val="18"/>
          <w:szCs w:val="18"/>
          <w:vertAlign w:val="subscript"/>
        </w:rPr>
        <w:t>2</w:t>
      </w:r>
      <w:r w:rsidRPr="00BE5234">
        <w:rPr>
          <w:rFonts w:cstheme="minorHAnsi"/>
        </w:rPr>
        <w:t>, 10 mM HEPES, 10 mM glucose, and 10 mM sucrose. The ratio of added HEPES‐free acid and sodium salt was calculated to result in a solution pH of 7.4 (Buffer Calculator, R. Beynon, University of Liverpool); pH was adjusted as necessary using HCl or NaOH. Solutions of agonists and EtOH were prepared fresh daily and applied to cells using a stepper motor‐driven rapid solution exchange apparatus (Warner Instruments, Inc., Hamden, CT) and 600‐</w:t>
      </w:r>
      <w:r w:rsidRPr="00BE5234">
        <w:rPr>
          <w:rFonts w:cstheme="minorHAnsi"/>
          <w:i/>
          <w:iCs/>
        </w:rPr>
        <w:t>μ</w:t>
      </w:r>
      <w:r w:rsidRPr="00BE5234">
        <w:rPr>
          <w:rFonts w:cstheme="minorHAnsi"/>
        </w:rPr>
        <w:t>m‐inner diameter square glass tubing. In concentration–response experiments, the order of application of the various concentrations of EtOH was randomized for each cell to eliminate time‐dependent effects. Data were filtered at 2 kHz (8‐pole Bessel) and acquired at 5 kHz on a computer using a DigiData interface and pClamp software (Molecular Devices, San Jose, CA).</w:t>
      </w:r>
    </w:p>
    <w:p w14:paraId="2E5FAD69" w14:textId="77777777" w:rsidR="00DC2506" w:rsidRPr="00BE5234" w:rsidRDefault="00DC2506" w:rsidP="00C66A6D">
      <w:pPr>
        <w:pStyle w:val="Heading2"/>
        <w:rPr>
          <w:rFonts w:asciiTheme="minorHAnsi" w:hAnsiTheme="minorHAnsi" w:cstheme="minorHAnsi"/>
        </w:rPr>
      </w:pPr>
      <w:r w:rsidRPr="00BE5234">
        <w:rPr>
          <w:rFonts w:asciiTheme="minorHAnsi" w:hAnsiTheme="minorHAnsi" w:cstheme="minorHAnsi"/>
        </w:rPr>
        <w:t>Calculation of Physicochemical Properties of Amino Acids</w:t>
      </w:r>
    </w:p>
    <w:p w14:paraId="278C6A91" w14:textId="77777777" w:rsidR="00DC2506" w:rsidRPr="00BE5234" w:rsidRDefault="00DC2506" w:rsidP="00C66A6D">
      <w:pPr>
        <w:rPr>
          <w:rFonts w:cstheme="minorHAnsi"/>
        </w:rPr>
      </w:pPr>
      <w:r w:rsidRPr="00BE5234">
        <w:rPr>
          <w:rFonts w:cstheme="minorHAnsi"/>
        </w:rPr>
        <w:t>Molecular (van der Waals) volumes and log octanol: water partition coefficients (LogP) of amino acids were calculated using Spartan ′16 software (Wavefunction, Inc., Irvine, CA) following structural optimization using the AM1 semi‐empirical parameters. Values used for amino acid hydrophilicity and polarity were reported previously (Hopp and Woods, </w:t>
      </w:r>
      <w:hyperlink r:id="rId66" w:anchor="acer14042-bib-0011" w:history="1">
        <w:r w:rsidRPr="00BE5234">
          <w:rPr>
            <w:rStyle w:val="Hyperlink"/>
            <w:rFonts w:eastAsiaTheme="majorEastAsia" w:cstheme="minorHAnsi"/>
            <w:b/>
            <w:bCs/>
            <w:color w:val="000000"/>
          </w:rPr>
          <w:t>1981</w:t>
        </w:r>
      </w:hyperlink>
      <w:r w:rsidRPr="00BE5234">
        <w:rPr>
          <w:rFonts w:cstheme="minorHAnsi"/>
        </w:rPr>
        <w:t>; Zimmerman et al., </w:t>
      </w:r>
      <w:hyperlink r:id="rId67" w:anchor="acer14042-bib-0051" w:history="1">
        <w:r w:rsidRPr="00BE5234">
          <w:rPr>
            <w:rStyle w:val="Hyperlink"/>
            <w:rFonts w:eastAsiaTheme="majorEastAsia" w:cstheme="minorHAnsi"/>
            <w:b/>
            <w:bCs/>
            <w:color w:val="000000"/>
          </w:rPr>
          <w:t>1968</w:t>
        </w:r>
      </w:hyperlink>
      <w:r w:rsidRPr="00BE5234">
        <w:rPr>
          <w:rFonts w:cstheme="minorHAnsi"/>
        </w:rPr>
        <w:t>).</w:t>
      </w:r>
    </w:p>
    <w:p w14:paraId="50E0F2D9" w14:textId="77777777" w:rsidR="00DC2506" w:rsidRPr="00BE5234" w:rsidRDefault="00DC2506" w:rsidP="00C66A6D">
      <w:pPr>
        <w:pStyle w:val="Heading2"/>
        <w:rPr>
          <w:rFonts w:asciiTheme="minorHAnsi" w:hAnsiTheme="minorHAnsi" w:cstheme="minorHAnsi"/>
        </w:rPr>
      </w:pPr>
      <w:r w:rsidRPr="00BE5234">
        <w:rPr>
          <w:rFonts w:asciiTheme="minorHAnsi" w:hAnsiTheme="minorHAnsi" w:cstheme="minorHAnsi"/>
        </w:rPr>
        <w:t>Data Analysis</w:t>
      </w:r>
    </w:p>
    <w:p w14:paraId="60D1552F" w14:textId="77777777" w:rsidR="00DC2506" w:rsidRPr="00BE5234" w:rsidRDefault="00DC2506" w:rsidP="00C66A6D">
      <w:pPr>
        <w:rPr>
          <w:rFonts w:cstheme="minorHAnsi"/>
        </w:rPr>
      </w:pPr>
      <w:r w:rsidRPr="00BE5234">
        <w:rPr>
          <w:rFonts w:cstheme="minorHAnsi"/>
        </w:rPr>
        <w:t>In concentration–response experiments, IC</w:t>
      </w:r>
      <w:r w:rsidRPr="00BE5234">
        <w:rPr>
          <w:rFonts w:cstheme="minorHAnsi"/>
          <w:sz w:val="18"/>
          <w:szCs w:val="18"/>
          <w:vertAlign w:val="subscript"/>
        </w:rPr>
        <w:t>50</w:t>
      </w:r>
      <w:r w:rsidRPr="00BE5234">
        <w:rPr>
          <w:rFonts w:cstheme="minorHAnsi"/>
        </w:rPr>
        <w:t> or EC</w:t>
      </w:r>
      <w:r w:rsidRPr="00BE5234">
        <w:rPr>
          <w:rFonts w:cstheme="minorHAnsi"/>
          <w:sz w:val="18"/>
          <w:szCs w:val="18"/>
          <w:vertAlign w:val="subscript"/>
        </w:rPr>
        <w:t>50</w:t>
      </w:r>
      <w:r w:rsidRPr="00BE5234">
        <w:rPr>
          <w:rFonts w:cstheme="minorHAnsi"/>
        </w:rPr>
        <w:t> and </w:t>
      </w:r>
      <w:r w:rsidRPr="00BE5234">
        <w:rPr>
          <w:rFonts w:cstheme="minorHAnsi"/>
          <w:i/>
          <w:iCs/>
        </w:rPr>
        <w:t>n</w:t>
      </w:r>
      <w:r w:rsidRPr="00BE5234">
        <w:rPr>
          <w:rFonts w:cstheme="minorHAnsi"/>
        </w:rPr>
        <w:t> (slope factor) were calculated using the equation </w:t>
      </w:r>
      <w:r w:rsidRPr="00BE5234">
        <w:rPr>
          <w:rFonts w:cstheme="minorHAnsi"/>
          <w:i/>
          <w:iCs/>
        </w:rPr>
        <w:t>y</w:t>
      </w:r>
      <w:r w:rsidRPr="00BE5234">
        <w:rPr>
          <w:rFonts w:cstheme="minorHAnsi"/>
        </w:rPr>
        <w:t> = </w:t>
      </w:r>
      <w:r w:rsidRPr="00BE5234">
        <w:rPr>
          <w:rFonts w:cstheme="minorHAnsi"/>
          <w:i/>
          <w:iCs/>
        </w:rPr>
        <w:t>E</w:t>
      </w:r>
      <w:r w:rsidRPr="00BE5234">
        <w:rPr>
          <w:rFonts w:cstheme="minorHAnsi"/>
          <w:sz w:val="18"/>
          <w:szCs w:val="18"/>
          <w:vertAlign w:val="subscript"/>
        </w:rPr>
        <w:t>max</w:t>
      </w:r>
      <w:r w:rsidRPr="00BE5234">
        <w:rPr>
          <w:rFonts w:cstheme="minorHAnsi"/>
        </w:rPr>
        <w:t>/1 + (IC</w:t>
      </w:r>
      <w:r w:rsidRPr="00BE5234">
        <w:rPr>
          <w:rFonts w:cstheme="minorHAnsi"/>
          <w:sz w:val="18"/>
          <w:szCs w:val="18"/>
          <w:vertAlign w:val="subscript"/>
        </w:rPr>
        <w:t>50</w:t>
      </w:r>
      <w:r w:rsidRPr="00BE5234">
        <w:rPr>
          <w:rFonts w:cstheme="minorHAnsi"/>
        </w:rPr>
        <w:t> or EC</w:t>
      </w:r>
      <w:r w:rsidRPr="00BE5234">
        <w:rPr>
          <w:rFonts w:cstheme="minorHAnsi"/>
          <w:sz w:val="18"/>
          <w:szCs w:val="18"/>
          <w:vertAlign w:val="subscript"/>
        </w:rPr>
        <w:t>50</w:t>
      </w:r>
      <w:r w:rsidRPr="00BE5234">
        <w:rPr>
          <w:rFonts w:cstheme="minorHAnsi"/>
        </w:rPr>
        <w:t>/</w:t>
      </w:r>
      <w:r w:rsidRPr="00BE5234">
        <w:rPr>
          <w:rFonts w:cstheme="minorHAnsi"/>
          <w:i/>
          <w:iCs/>
        </w:rPr>
        <w:t>x</w:t>
      </w:r>
      <w:r w:rsidRPr="00BE5234">
        <w:rPr>
          <w:rFonts w:cstheme="minorHAnsi"/>
        </w:rPr>
        <w:t>)</w:t>
      </w:r>
      <w:r w:rsidRPr="00BE5234">
        <w:rPr>
          <w:rFonts w:cstheme="minorHAnsi"/>
          <w:i/>
          <w:iCs/>
          <w:sz w:val="18"/>
          <w:szCs w:val="18"/>
          <w:vertAlign w:val="superscript"/>
        </w:rPr>
        <w:t>n</w:t>
      </w:r>
      <w:r w:rsidRPr="00BE5234">
        <w:rPr>
          <w:rFonts w:cstheme="minorHAnsi"/>
        </w:rPr>
        <w:t>, where </w:t>
      </w:r>
      <w:r w:rsidRPr="00BE5234">
        <w:rPr>
          <w:rFonts w:cstheme="minorHAnsi"/>
          <w:i/>
          <w:iCs/>
        </w:rPr>
        <w:t>y</w:t>
      </w:r>
      <w:r w:rsidRPr="00BE5234">
        <w:rPr>
          <w:rFonts w:cstheme="minorHAnsi"/>
        </w:rPr>
        <w:t> is the measured current amplitude, </w:t>
      </w:r>
      <w:r w:rsidRPr="00BE5234">
        <w:rPr>
          <w:rFonts w:cstheme="minorHAnsi"/>
          <w:i/>
          <w:iCs/>
        </w:rPr>
        <w:t>x</w:t>
      </w:r>
      <w:r w:rsidRPr="00BE5234">
        <w:rPr>
          <w:rFonts w:cstheme="minorHAnsi"/>
        </w:rPr>
        <w:t> is concentration, </w:t>
      </w:r>
      <w:r w:rsidRPr="00BE5234">
        <w:rPr>
          <w:rFonts w:cstheme="minorHAnsi"/>
          <w:i/>
          <w:iCs/>
        </w:rPr>
        <w:t>n</w:t>
      </w:r>
      <w:r w:rsidRPr="00BE5234">
        <w:rPr>
          <w:rFonts w:cstheme="minorHAnsi"/>
        </w:rPr>
        <w:t> is the slope factor, and </w:t>
      </w:r>
      <w:r w:rsidRPr="00BE5234">
        <w:rPr>
          <w:rFonts w:cstheme="minorHAnsi"/>
          <w:i/>
          <w:iCs/>
        </w:rPr>
        <w:t>E</w:t>
      </w:r>
      <w:r w:rsidRPr="00BE5234">
        <w:rPr>
          <w:rFonts w:cstheme="minorHAnsi"/>
          <w:sz w:val="18"/>
          <w:szCs w:val="18"/>
          <w:vertAlign w:val="subscript"/>
        </w:rPr>
        <w:t>max</w:t>
      </w:r>
      <w:r w:rsidRPr="00BE5234">
        <w:rPr>
          <w:rFonts w:cstheme="minorHAnsi"/>
        </w:rPr>
        <w:t> is the maximal current amplitude. Statistical differences among concentration–response curves were determined by comparing log‐transformed IC</w:t>
      </w:r>
      <w:r w:rsidRPr="00BE5234">
        <w:rPr>
          <w:rFonts w:cstheme="minorHAnsi"/>
          <w:sz w:val="18"/>
          <w:szCs w:val="18"/>
          <w:vertAlign w:val="subscript"/>
        </w:rPr>
        <w:t>50</w:t>
      </w:r>
      <w:r w:rsidRPr="00BE5234">
        <w:rPr>
          <w:rFonts w:cstheme="minorHAnsi"/>
        </w:rPr>
        <w:t> or EC</w:t>
      </w:r>
      <w:r w:rsidRPr="00BE5234">
        <w:rPr>
          <w:rFonts w:cstheme="minorHAnsi"/>
          <w:sz w:val="18"/>
          <w:szCs w:val="18"/>
          <w:vertAlign w:val="subscript"/>
        </w:rPr>
        <w:t>50</w:t>
      </w:r>
      <w:r w:rsidRPr="00BE5234">
        <w:rPr>
          <w:rFonts w:cstheme="minorHAnsi"/>
        </w:rPr>
        <w:t> values from fits to data obtained from individual cells using 1‐way analysis of variance (ANOVA) followed by the Dunnett's test.</w:t>
      </w:r>
    </w:p>
    <w:p w14:paraId="59BDCA8F" w14:textId="77777777" w:rsidR="00DC2506" w:rsidRPr="00BE5234" w:rsidRDefault="00DC2506" w:rsidP="00C66A6D">
      <w:pPr>
        <w:pStyle w:val="Heading1"/>
        <w:rPr>
          <w:rFonts w:asciiTheme="minorHAnsi" w:hAnsiTheme="minorHAnsi" w:cstheme="minorHAnsi"/>
        </w:rPr>
      </w:pPr>
      <w:r w:rsidRPr="00BE5234">
        <w:rPr>
          <w:rFonts w:asciiTheme="minorHAnsi" w:hAnsiTheme="minorHAnsi" w:cstheme="minorHAnsi"/>
        </w:rPr>
        <w:t>Results</w:t>
      </w:r>
    </w:p>
    <w:p w14:paraId="6110ABA9" w14:textId="77777777" w:rsidR="00DC2506" w:rsidRPr="00BE5234" w:rsidRDefault="00DC2506" w:rsidP="00C66A6D">
      <w:pPr>
        <w:pStyle w:val="Heading2"/>
        <w:rPr>
          <w:rFonts w:asciiTheme="minorHAnsi" w:hAnsiTheme="minorHAnsi" w:cstheme="minorHAnsi"/>
        </w:rPr>
      </w:pPr>
      <w:r w:rsidRPr="00BE5234">
        <w:rPr>
          <w:rFonts w:asciiTheme="minorHAnsi" w:hAnsiTheme="minorHAnsi" w:cstheme="minorHAnsi"/>
        </w:rPr>
        <w:t>Alcohol‐Sensitive Positions in the GluN2C M3 and M4 Domains</w:t>
      </w:r>
    </w:p>
    <w:p w14:paraId="579658D2" w14:textId="77777777" w:rsidR="00DC2506" w:rsidRPr="00BE5234" w:rsidRDefault="00DC2506" w:rsidP="00C66A6D">
      <w:pPr>
        <w:rPr>
          <w:rFonts w:cstheme="minorHAnsi"/>
        </w:rPr>
      </w:pPr>
      <w:r w:rsidRPr="00BE5234">
        <w:rPr>
          <w:rFonts w:cstheme="minorHAnsi"/>
        </w:rPr>
        <w:t>In previous studies, we and others have identified clusters of alcohol‐sensitive positions in the M3 and M4 domains of the GluN1, GluN2A, and GluN2B NMDAR subunits (Fig. </w:t>
      </w:r>
      <w:hyperlink r:id="rId68" w:anchor="acer14042-fig-0001" w:history="1">
        <w:r w:rsidRPr="00BE5234">
          <w:rPr>
            <w:rStyle w:val="Hyperlink"/>
            <w:rFonts w:eastAsiaTheme="majorEastAsia" w:cstheme="minorHAnsi"/>
            <w:b/>
            <w:bCs/>
            <w:color w:val="005274"/>
          </w:rPr>
          <w:t>1</w:t>
        </w:r>
      </w:hyperlink>
      <w:r w:rsidRPr="00BE5234">
        <w:rPr>
          <w:rFonts w:cstheme="minorHAnsi"/>
        </w:rPr>
        <w:t>; Ren et al., </w:t>
      </w:r>
      <w:hyperlink r:id="rId69" w:anchor="acer14042-bib-0031" w:history="1">
        <w:r w:rsidRPr="00BE5234">
          <w:rPr>
            <w:rStyle w:val="Hyperlink"/>
            <w:rFonts w:eastAsiaTheme="majorEastAsia" w:cstheme="minorHAnsi"/>
            <w:b/>
            <w:bCs/>
            <w:color w:val="000000"/>
          </w:rPr>
          <w:t>2012</w:t>
        </w:r>
      </w:hyperlink>
      <w:r w:rsidRPr="00BE5234">
        <w:rPr>
          <w:rFonts w:cstheme="minorHAnsi"/>
        </w:rPr>
        <w:t>; Xu et al., </w:t>
      </w:r>
      <w:hyperlink r:id="rId70" w:anchor="acer14042-bib-0047" w:history="1">
        <w:r w:rsidRPr="00BE5234">
          <w:rPr>
            <w:rStyle w:val="Hyperlink"/>
            <w:rFonts w:eastAsiaTheme="majorEastAsia" w:cstheme="minorHAnsi"/>
            <w:b/>
            <w:bCs/>
            <w:color w:val="000000"/>
          </w:rPr>
          <w:t>2015</w:t>
        </w:r>
      </w:hyperlink>
      <w:r w:rsidRPr="00BE5234">
        <w:rPr>
          <w:rFonts w:cstheme="minorHAnsi"/>
        </w:rPr>
        <w:t>; Zhao et al., </w:t>
      </w:r>
      <w:hyperlink r:id="rId71" w:anchor="acer14042-bib-0049" w:history="1">
        <w:r w:rsidRPr="00BE5234">
          <w:rPr>
            <w:rStyle w:val="Hyperlink"/>
            <w:rFonts w:eastAsiaTheme="majorEastAsia" w:cstheme="minorHAnsi"/>
            <w:b/>
            <w:bCs/>
            <w:color w:val="000000"/>
          </w:rPr>
          <w:t>2015</w:t>
        </w:r>
      </w:hyperlink>
      <w:r w:rsidRPr="00BE5234">
        <w:rPr>
          <w:rFonts w:cstheme="minorHAnsi"/>
        </w:rPr>
        <w:t>, </w:t>
      </w:r>
      <w:hyperlink r:id="rId72" w:anchor="acer14042-bib-0050" w:history="1">
        <w:r w:rsidRPr="00BE5234">
          <w:rPr>
            <w:rStyle w:val="Hyperlink"/>
            <w:rFonts w:eastAsiaTheme="majorEastAsia" w:cstheme="minorHAnsi"/>
            <w:b/>
            <w:bCs/>
            <w:color w:val="000000"/>
          </w:rPr>
          <w:t>2016</w:t>
        </w:r>
      </w:hyperlink>
      <w:r w:rsidRPr="00BE5234">
        <w:rPr>
          <w:rFonts w:cstheme="minorHAnsi"/>
        </w:rPr>
        <w:t>). To facilitate comparisons among the subunit types, we designate the 2 positions in the M3 domain corresponding to F636 and F637 in the GluN2A subunit as M3</w:t>
      </w:r>
      <w:r w:rsidRPr="00BE5234">
        <w:rPr>
          <w:rFonts w:cstheme="minorHAnsi"/>
          <w:sz w:val="18"/>
          <w:szCs w:val="18"/>
          <w:vertAlign w:val="subscript"/>
        </w:rPr>
        <w:t>1</w:t>
      </w:r>
      <w:r w:rsidRPr="00BE5234">
        <w:rPr>
          <w:rFonts w:cstheme="minorHAnsi"/>
        </w:rPr>
        <w:t> and M3</w:t>
      </w:r>
      <w:r w:rsidRPr="00BE5234">
        <w:rPr>
          <w:rFonts w:cstheme="minorHAnsi"/>
          <w:sz w:val="18"/>
          <w:szCs w:val="18"/>
          <w:vertAlign w:val="subscript"/>
        </w:rPr>
        <w:t>2</w:t>
      </w:r>
      <w:r w:rsidRPr="00BE5234">
        <w:rPr>
          <w:rFonts w:cstheme="minorHAnsi"/>
        </w:rPr>
        <w:t>, respectively, and the 2 positions in the M4 domain corresponding to M823 and A825 in the GluN2A subunit as M4</w:t>
      </w:r>
      <w:r w:rsidRPr="00BE5234">
        <w:rPr>
          <w:rFonts w:cstheme="minorHAnsi"/>
          <w:sz w:val="18"/>
          <w:szCs w:val="18"/>
          <w:vertAlign w:val="subscript"/>
        </w:rPr>
        <w:t>1</w:t>
      </w:r>
      <w:r w:rsidRPr="00BE5234">
        <w:rPr>
          <w:rFonts w:cstheme="minorHAnsi"/>
        </w:rPr>
        <w:t> and M4</w:t>
      </w:r>
      <w:r w:rsidRPr="00BE5234">
        <w:rPr>
          <w:rFonts w:cstheme="minorHAnsi"/>
          <w:sz w:val="18"/>
          <w:szCs w:val="18"/>
          <w:vertAlign w:val="subscript"/>
        </w:rPr>
        <w:t>2</w:t>
      </w:r>
      <w:r w:rsidRPr="00BE5234">
        <w:rPr>
          <w:rFonts w:cstheme="minorHAnsi"/>
        </w:rPr>
        <w:t>, respectively. To test whether the corresponding positions in the GluN2C subunit similarly regulate alcohol sensitivity, we constructed alanine and tryptophan substitution mutants at the M3</w:t>
      </w:r>
      <w:r w:rsidRPr="00BE5234">
        <w:rPr>
          <w:rFonts w:cstheme="minorHAnsi"/>
          <w:sz w:val="18"/>
          <w:szCs w:val="18"/>
          <w:vertAlign w:val="subscript"/>
        </w:rPr>
        <w:t>1‐2</w:t>
      </w:r>
      <w:r w:rsidRPr="00BE5234">
        <w:rPr>
          <w:rFonts w:cstheme="minorHAnsi"/>
        </w:rPr>
        <w:t> residues, F634 and F635, and the M4</w:t>
      </w:r>
      <w:r w:rsidRPr="00BE5234">
        <w:rPr>
          <w:rFonts w:cstheme="minorHAnsi"/>
          <w:sz w:val="18"/>
          <w:szCs w:val="18"/>
          <w:vertAlign w:val="subscript"/>
        </w:rPr>
        <w:t>1‐2</w:t>
      </w:r>
      <w:r w:rsidRPr="00BE5234">
        <w:rPr>
          <w:rFonts w:cstheme="minorHAnsi"/>
        </w:rPr>
        <w:t> residues, M821 and L823, of the GluN2C subunit. Glutamate‐activated currents in alanine substitution mutants at 3 of the 4 positions did not exhibit any grossly apparent changes in characteristics such as desensitization (Fig. </w:t>
      </w:r>
      <w:hyperlink r:id="rId73" w:anchor="acer14042-fig-0002" w:history="1">
        <w:r w:rsidRPr="00BE5234">
          <w:rPr>
            <w:rStyle w:val="Hyperlink"/>
            <w:rFonts w:eastAsiaTheme="majorEastAsia" w:cstheme="minorHAnsi"/>
            <w:b/>
            <w:bCs/>
            <w:color w:val="005274"/>
          </w:rPr>
          <w:t>2</w:t>
        </w:r>
      </w:hyperlink>
      <w:r w:rsidRPr="00BE5234">
        <w:rPr>
          <w:rFonts w:cstheme="minorHAnsi"/>
          <w:i/>
          <w:iCs/>
        </w:rPr>
        <w:t>A</w:t>
      </w:r>
      <w:r w:rsidRPr="00BE5234">
        <w:rPr>
          <w:rFonts w:cstheme="minorHAnsi"/>
        </w:rPr>
        <w:t>), but no current could be detected in response to maximal concentrations of glutamate in the GluN2C(F635A) mutant. Consequently, EtOH inhibition could not be determined in GluN2C(F635A) mutant subunits, but EtOH IC</w:t>
      </w:r>
      <w:r w:rsidRPr="00BE5234">
        <w:rPr>
          <w:rFonts w:cstheme="minorHAnsi"/>
          <w:sz w:val="18"/>
          <w:szCs w:val="18"/>
          <w:vertAlign w:val="subscript"/>
        </w:rPr>
        <w:t>50</w:t>
      </w:r>
      <w:r w:rsidRPr="00BE5234">
        <w:rPr>
          <w:rFonts w:cstheme="minorHAnsi"/>
        </w:rPr>
        <w:t> values were unchanged in the remaining alanine mutants relative to the wild‐type (WT) subunit (Fig. </w:t>
      </w:r>
      <w:hyperlink r:id="rId74" w:anchor="acer14042-fig-0002" w:history="1">
        <w:r w:rsidRPr="00BE5234">
          <w:rPr>
            <w:rStyle w:val="Hyperlink"/>
            <w:rFonts w:eastAsiaTheme="majorEastAsia" w:cstheme="minorHAnsi"/>
            <w:b/>
            <w:bCs/>
            <w:color w:val="005274"/>
          </w:rPr>
          <w:t>2</w:t>
        </w:r>
      </w:hyperlink>
      <w:r w:rsidRPr="00BE5234">
        <w:rPr>
          <w:rFonts w:cstheme="minorHAnsi"/>
          <w:i/>
          <w:iCs/>
        </w:rPr>
        <w:t>B,C</w:t>
      </w:r>
      <w:r w:rsidRPr="00BE5234">
        <w:rPr>
          <w:rFonts w:cstheme="minorHAnsi"/>
        </w:rPr>
        <w:t>). In contrast, tryptophan mutation at F635, as at each of the remaining positions, yielded functional receptors (Fig. </w:t>
      </w:r>
      <w:hyperlink r:id="rId75" w:anchor="acer14042-fig-0002" w:history="1">
        <w:r w:rsidRPr="00BE5234">
          <w:rPr>
            <w:rStyle w:val="Hyperlink"/>
            <w:rFonts w:eastAsiaTheme="majorEastAsia" w:cstheme="minorHAnsi"/>
            <w:b/>
            <w:bCs/>
            <w:color w:val="005274"/>
          </w:rPr>
          <w:t>2</w:t>
        </w:r>
      </w:hyperlink>
      <w:r w:rsidRPr="00BE5234">
        <w:rPr>
          <w:rFonts w:cstheme="minorHAnsi"/>
          <w:i/>
          <w:iCs/>
        </w:rPr>
        <w:t>A</w:t>
      </w:r>
      <w:r w:rsidRPr="00BE5234">
        <w:rPr>
          <w:rFonts w:cstheme="minorHAnsi"/>
        </w:rPr>
        <w:t>). Desensitization of glutamate‐activated current appeared to be increased in the GluN2C(M821W) mutant relative to the WT subunit. EtOH sensitivity was significantly increased in the GluN2C(F635W) and GluN2C(M821W) subunits (IC</w:t>
      </w:r>
      <w:r w:rsidRPr="00BE5234">
        <w:rPr>
          <w:rFonts w:cstheme="minorHAnsi"/>
          <w:sz w:val="18"/>
          <w:szCs w:val="18"/>
          <w:vertAlign w:val="subscript"/>
        </w:rPr>
        <w:t>50</w:t>
      </w:r>
      <w:r w:rsidRPr="00BE5234">
        <w:rPr>
          <w:rFonts w:cstheme="minorHAnsi"/>
        </w:rPr>
        <w:t> values of 98.0 ± 24.9 and 138 ± 5.46 mM, respectively, vs. 207 ± 7.27 mM in the native subunit; </w:t>
      </w:r>
      <w:r w:rsidRPr="00BE5234">
        <w:rPr>
          <w:rFonts w:cstheme="minorHAnsi"/>
          <w:i/>
          <w:iCs/>
        </w:rPr>
        <w:t>p</w:t>
      </w:r>
      <w:r w:rsidRPr="00BE5234">
        <w:rPr>
          <w:rFonts w:cstheme="minorHAnsi"/>
        </w:rPr>
        <w:t> &lt; 0.0001 and 0.05), but was markedly decreased in the GluN2C(L823W) subunit (IC</w:t>
      </w:r>
      <w:r w:rsidRPr="00BE5234">
        <w:rPr>
          <w:rFonts w:cstheme="minorHAnsi"/>
          <w:sz w:val="18"/>
          <w:szCs w:val="18"/>
          <w:vertAlign w:val="subscript"/>
        </w:rPr>
        <w:t>50</w:t>
      </w:r>
      <w:r w:rsidRPr="00BE5234">
        <w:rPr>
          <w:rFonts w:cstheme="minorHAnsi"/>
        </w:rPr>
        <w:t> value: 1,450 ± 128 mM; </w:t>
      </w:r>
      <w:r w:rsidRPr="00BE5234">
        <w:rPr>
          <w:rFonts w:cstheme="minorHAnsi"/>
          <w:i/>
          <w:iCs/>
        </w:rPr>
        <w:t>p</w:t>
      </w:r>
      <w:r w:rsidRPr="00BE5234">
        <w:rPr>
          <w:rFonts w:cstheme="minorHAnsi"/>
        </w:rPr>
        <w:t> &lt; 0.0001; Fig. </w:t>
      </w:r>
      <w:hyperlink r:id="rId76" w:anchor="acer14042-fig-0002" w:history="1">
        <w:r w:rsidRPr="00BE5234">
          <w:rPr>
            <w:rStyle w:val="Hyperlink"/>
            <w:rFonts w:eastAsiaTheme="majorEastAsia" w:cstheme="minorHAnsi"/>
            <w:b/>
            <w:bCs/>
            <w:color w:val="005274"/>
          </w:rPr>
          <w:t>2</w:t>
        </w:r>
      </w:hyperlink>
      <w:r w:rsidRPr="00BE5234">
        <w:rPr>
          <w:rFonts w:cstheme="minorHAnsi"/>
          <w:i/>
          <w:iCs/>
        </w:rPr>
        <w:t>B,C</w:t>
      </w:r>
      <w:r w:rsidRPr="00BE5234">
        <w:rPr>
          <w:rFonts w:cstheme="minorHAnsi"/>
        </w:rPr>
        <w:t>).</w:t>
      </w:r>
    </w:p>
    <w:p w14:paraId="3DDA55BE" w14:textId="5338C451" w:rsidR="00DC2506" w:rsidRPr="00BE5234" w:rsidRDefault="00DC2506" w:rsidP="00725ED0">
      <w:pPr>
        <w:pStyle w:val="NoSpacing"/>
        <w:rPr>
          <w:rFonts w:cstheme="minorHAnsi"/>
        </w:rPr>
      </w:pPr>
      <w:r w:rsidRPr="00BE5234">
        <w:rPr>
          <w:rFonts w:cstheme="minorHAnsi"/>
          <w:noProof/>
        </w:rPr>
        <w:drawing>
          <wp:inline distT="0" distB="0" distL="0" distR="0" wp14:anchorId="2023D6E3" wp14:editId="1ADCC0C0">
            <wp:extent cx="2743200" cy="2432304"/>
            <wp:effectExtent l="0" t="0" r="0" b="6350"/>
            <wp:docPr id="8" name="Picture 8" descr="Figure 1 Topology of the GluN2C subunit showing the side chains corresponding to alcohol‐sensitive positions in the GluN2A subunit. The diagram shows the extracellular N‐terminal (blue) and ligand‐binding (orange) domains, membrane‐associated domains M1‐M4 (dark blue), and the intracellular C‐terminal domain (gray). Side chains corresponding to the 4 alcohol‐sensitive positions, M31,2 and M41,2, in the GluN2A M3 and M4 domains are shown. Dimensions and orientation of the M domains and side chains are from Karakas and Furukawa (2014) for the GluN2B subunit. Inset, residues at the alcohol‐sensitive positions are highly conserved among the GluN2A‐C subuni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Figure 1"/>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2743200" cy="2432304"/>
                    </a:xfrm>
                    <a:prstGeom prst="rect">
                      <a:avLst/>
                    </a:prstGeom>
                    <a:noFill/>
                    <a:ln>
                      <a:noFill/>
                    </a:ln>
                  </pic:spPr>
                </pic:pic>
              </a:graphicData>
            </a:graphic>
          </wp:inline>
        </w:drawing>
      </w:r>
    </w:p>
    <w:p w14:paraId="39C205AD" w14:textId="2C5E3ADA" w:rsidR="00DC2506" w:rsidRPr="00BE5234" w:rsidRDefault="00DC2506" w:rsidP="00DC2506">
      <w:pPr>
        <w:rPr>
          <w:rFonts w:cstheme="minorHAnsi"/>
        </w:rPr>
      </w:pPr>
      <w:r w:rsidRPr="00BE5234">
        <w:rPr>
          <w:rStyle w:val="Strong"/>
          <w:rFonts w:cstheme="minorHAnsi"/>
          <w:color w:val="212121"/>
        </w:rPr>
        <w:t>Figure 1</w:t>
      </w:r>
      <w:r w:rsidR="00725ED0" w:rsidRPr="00BE5234">
        <w:rPr>
          <w:rStyle w:val="Strong"/>
          <w:rFonts w:cstheme="minorHAnsi"/>
          <w:color w:val="212121"/>
        </w:rPr>
        <w:t xml:space="preserve"> </w:t>
      </w:r>
      <w:r w:rsidRPr="00BE5234">
        <w:rPr>
          <w:rFonts w:cstheme="minorHAnsi"/>
        </w:rPr>
        <w:t>Topology of the GluN2C subunit showing the side chains corresponding to alcohol‐sensitive positions in the GluN2A subunit. The diagram shows the extracellular N‐terminal (</w:t>
      </w:r>
      <w:r w:rsidRPr="00BE5234">
        <w:rPr>
          <w:rFonts w:cstheme="minorHAnsi"/>
          <w:b/>
          <w:bCs/>
        </w:rPr>
        <w:t>blue</w:t>
      </w:r>
      <w:r w:rsidRPr="00BE5234">
        <w:rPr>
          <w:rFonts w:cstheme="minorHAnsi"/>
        </w:rPr>
        <w:t>) and ligand‐binding (</w:t>
      </w:r>
      <w:r w:rsidRPr="00BE5234">
        <w:rPr>
          <w:rFonts w:cstheme="minorHAnsi"/>
          <w:b/>
          <w:bCs/>
        </w:rPr>
        <w:t>orange</w:t>
      </w:r>
      <w:r w:rsidRPr="00BE5234">
        <w:rPr>
          <w:rFonts w:cstheme="minorHAnsi"/>
        </w:rPr>
        <w:t>) domains, membrane‐associated domains M1‐M4 (</w:t>
      </w:r>
      <w:r w:rsidRPr="00BE5234">
        <w:rPr>
          <w:rFonts w:cstheme="minorHAnsi"/>
          <w:b/>
          <w:bCs/>
        </w:rPr>
        <w:t>dark blue</w:t>
      </w:r>
      <w:r w:rsidRPr="00BE5234">
        <w:rPr>
          <w:rFonts w:cstheme="minorHAnsi"/>
        </w:rPr>
        <w:t>), and the intracellular C‐terminal domain (</w:t>
      </w:r>
      <w:r w:rsidRPr="00BE5234">
        <w:rPr>
          <w:rFonts w:cstheme="minorHAnsi"/>
          <w:b/>
          <w:bCs/>
        </w:rPr>
        <w:t>gray</w:t>
      </w:r>
      <w:r w:rsidRPr="00BE5234">
        <w:rPr>
          <w:rFonts w:cstheme="minorHAnsi"/>
        </w:rPr>
        <w:t>). Side chains corresponding to the 4 alcohol‐sensitive positions, M3</w:t>
      </w:r>
      <w:r w:rsidRPr="00BE5234">
        <w:rPr>
          <w:rFonts w:cstheme="minorHAnsi"/>
          <w:sz w:val="16"/>
          <w:szCs w:val="16"/>
          <w:vertAlign w:val="subscript"/>
        </w:rPr>
        <w:t>1,2</w:t>
      </w:r>
      <w:r w:rsidRPr="00BE5234">
        <w:rPr>
          <w:rFonts w:cstheme="minorHAnsi"/>
        </w:rPr>
        <w:t> and M4</w:t>
      </w:r>
      <w:r w:rsidRPr="00BE5234">
        <w:rPr>
          <w:rFonts w:cstheme="minorHAnsi"/>
          <w:sz w:val="16"/>
          <w:szCs w:val="16"/>
          <w:vertAlign w:val="subscript"/>
        </w:rPr>
        <w:t>1,2</w:t>
      </w:r>
      <w:r w:rsidRPr="00BE5234">
        <w:rPr>
          <w:rFonts w:cstheme="minorHAnsi"/>
        </w:rPr>
        <w:t>, in the GluN2A M3 and M4 domains are shown. Dimensions and orientation of the M domains and side chains are from Karakas and Furukawa (</w:t>
      </w:r>
      <w:hyperlink r:id="rId78" w:anchor="acer14042-bib-0012" w:history="1">
        <w:r w:rsidRPr="00BE5234">
          <w:rPr>
            <w:rStyle w:val="Hyperlink"/>
            <w:rFonts w:cstheme="minorHAnsi"/>
            <w:color w:val="000000"/>
          </w:rPr>
          <w:t>2014</w:t>
        </w:r>
      </w:hyperlink>
      <w:r w:rsidRPr="00BE5234">
        <w:rPr>
          <w:rFonts w:cstheme="minorHAnsi"/>
        </w:rPr>
        <w:t>) for the GluN2B subunit. </w:t>
      </w:r>
      <w:r w:rsidRPr="00BE5234">
        <w:rPr>
          <w:rFonts w:cstheme="minorHAnsi"/>
          <w:i/>
          <w:iCs/>
        </w:rPr>
        <w:t>Inset</w:t>
      </w:r>
      <w:r w:rsidRPr="00BE5234">
        <w:rPr>
          <w:rFonts w:cstheme="minorHAnsi"/>
        </w:rPr>
        <w:t>, residues at the alcohol‐sensitive positions are highly conserved among the GluN2A‐C subunits.</w:t>
      </w:r>
    </w:p>
    <w:p w14:paraId="636080D5" w14:textId="77788DB9" w:rsidR="00DC2506" w:rsidRPr="00BE5234" w:rsidRDefault="00DC2506" w:rsidP="00725ED0">
      <w:pPr>
        <w:pStyle w:val="NoSpacing"/>
        <w:rPr>
          <w:rFonts w:cstheme="minorHAnsi"/>
        </w:rPr>
      </w:pPr>
      <w:r w:rsidRPr="00BE5234">
        <w:rPr>
          <w:rFonts w:cstheme="minorHAnsi"/>
          <w:noProof/>
        </w:rPr>
        <w:drawing>
          <wp:inline distT="0" distB="0" distL="0" distR="0" wp14:anchorId="19F77C3D" wp14:editId="3111D541">
            <wp:extent cx="2743200" cy="2121408"/>
            <wp:effectExtent l="0" t="0" r="0" b="0"/>
            <wp:docPr id="7" name="Picture 7" descr="Figure 2 Alanine and tryptophan substitution mutations at the M31‐2 and M41‐2 positions in the GluN2C subunit can alter ethanol (EtOH) sensitivity. (A) Traces are currents activated by glutamate (Glu), 10 μM, in the presence of glycine, 50 μM, and their inhibition by EtOH, 100 mM, in cells expressing the wild‐type (WT) or mutant subunits as indicated. (B) Concentration–response curves for EtOH inhibition of currents evoked by Glu, 10 μM, in the presence of glycine, 50 μM, in cells expressing the WT and mutant subunits as indicated. Curves shown are the best fits to the equation given in the Materials and Methods. Data points are means of 6 to 17 cells; error bars indicate SE values. (C) Bar graphs show average IC50 values for EtOH inhibition of Glu‐activated current in the presence of 50 μM glycine in cells expressing WT or mutant GluN2C subunits. EtOH inhibition of the GluN2C(F635A) mutant subunit could not be determined (ND) because there was no detectable glutamate‐activated current in cells expressing this subunit. IC50 values that are significantly different from the value for the WT receptor are indicated by asterisks (*p &lt; 0.05, ***p &lt; 0.001; ANOVA and Dunnett's test). Results are means ± SE of 6 to 17 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Figure 2"/>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2743200" cy="2121408"/>
                    </a:xfrm>
                    <a:prstGeom prst="rect">
                      <a:avLst/>
                    </a:prstGeom>
                    <a:noFill/>
                    <a:ln>
                      <a:noFill/>
                    </a:ln>
                  </pic:spPr>
                </pic:pic>
              </a:graphicData>
            </a:graphic>
          </wp:inline>
        </w:drawing>
      </w:r>
    </w:p>
    <w:p w14:paraId="15B62432" w14:textId="67A4FB29" w:rsidR="00DC2506" w:rsidRPr="00BE5234" w:rsidRDefault="00DC2506" w:rsidP="00DC2506">
      <w:pPr>
        <w:rPr>
          <w:rFonts w:cstheme="minorHAnsi"/>
        </w:rPr>
      </w:pPr>
      <w:r w:rsidRPr="00BE5234">
        <w:rPr>
          <w:rStyle w:val="Strong"/>
          <w:rFonts w:cstheme="minorHAnsi"/>
          <w:color w:val="212121"/>
        </w:rPr>
        <w:t>Figure 2</w:t>
      </w:r>
      <w:r w:rsidR="00725ED0" w:rsidRPr="00BE5234">
        <w:rPr>
          <w:rStyle w:val="Strong"/>
          <w:rFonts w:cstheme="minorHAnsi"/>
          <w:color w:val="212121"/>
        </w:rPr>
        <w:t xml:space="preserve"> </w:t>
      </w:r>
      <w:r w:rsidRPr="00BE5234">
        <w:rPr>
          <w:rFonts w:cstheme="minorHAnsi"/>
        </w:rPr>
        <w:t>Alanine and tryptophan substitution mutations at the M3</w:t>
      </w:r>
      <w:r w:rsidRPr="00BE5234">
        <w:rPr>
          <w:rFonts w:cstheme="minorHAnsi"/>
          <w:sz w:val="16"/>
          <w:szCs w:val="16"/>
          <w:vertAlign w:val="subscript"/>
        </w:rPr>
        <w:t>1‐2</w:t>
      </w:r>
      <w:r w:rsidRPr="00BE5234">
        <w:rPr>
          <w:rFonts w:cstheme="minorHAnsi"/>
        </w:rPr>
        <w:t> and M4</w:t>
      </w:r>
      <w:r w:rsidRPr="00BE5234">
        <w:rPr>
          <w:rFonts w:cstheme="minorHAnsi"/>
          <w:sz w:val="16"/>
          <w:szCs w:val="16"/>
          <w:vertAlign w:val="subscript"/>
        </w:rPr>
        <w:t>1‐2</w:t>
      </w:r>
      <w:r w:rsidRPr="00BE5234">
        <w:rPr>
          <w:rFonts w:cstheme="minorHAnsi"/>
        </w:rPr>
        <w:t> positions in the GluN2C subunit can alter ethanol (EtOH) sensitivity. (</w:t>
      </w:r>
      <w:r w:rsidRPr="00BE5234">
        <w:rPr>
          <w:rFonts w:cstheme="minorHAnsi"/>
          <w:b/>
          <w:bCs/>
        </w:rPr>
        <w:t>A</w:t>
      </w:r>
      <w:r w:rsidRPr="00BE5234">
        <w:rPr>
          <w:rFonts w:cstheme="minorHAnsi"/>
        </w:rPr>
        <w:t>) Traces are currents activated by glutamate (Glu), 10 </w:t>
      </w:r>
      <w:r w:rsidRPr="00BE5234">
        <w:rPr>
          <w:rFonts w:cstheme="minorHAnsi"/>
          <w:i/>
          <w:iCs/>
        </w:rPr>
        <w:t>μ</w:t>
      </w:r>
      <w:r w:rsidRPr="00BE5234">
        <w:rPr>
          <w:rFonts w:cstheme="minorHAnsi"/>
        </w:rPr>
        <w:t>M, in the presence of glycine, 50 </w:t>
      </w:r>
      <w:r w:rsidRPr="00BE5234">
        <w:rPr>
          <w:rFonts w:cstheme="minorHAnsi"/>
          <w:i/>
          <w:iCs/>
        </w:rPr>
        <w:t>μ</w:t>
      </w:r>
      <w:r w:rsidRPr="00BE5234">
        <w:rPr>
          <w:rFonts w:cstheme="minorHAnsi"/>
        </w:rPr>
        <w:t>M, and their inhibition by EtOH, 100 mM, in cells expressing the wild‐type (WT) or mutant subunits as indicated. (</w:t>
      </w:r>
      <w:r w:rsidRPr="00BE5234">
        <w:rPr>
          <w:rFonts w:cstheme="minorHAnsi"/>
          <w:b/>
          <w:bCs/>
        </w:rPr>
        <w:t>B</w:t>
      </w:r>
      <w:r w:rsidRPr="00BE5234">
        <w:rPr>
          <w:rFonts w:cstheme="minorHAnsi"/>
        </w:rPr>
        <w:t>) Concentration–response curves for EtOH inhibition of currents evoked by Glu, 10 </w:t>
      </w:r>
      <w:r w:rsidRPr="00BE5234">
        <w:rPr>
          <w:rFonts w:cstheme="minorHAnsi"/>
          <w:i/>
          <w:iCs/>
        </w:rPr>
        <w:t>μ</w:t>
      </w:r>
      <w:r w:rsidRPr="00BE5234">
        <w:rPr>
          <w:rFonts w:cstheme="minorHAnsi"/>
        </w:rPr>
        <w:t>M, in the presence of glycine, 50 </w:t>
      </w:r>
      <w:r w:rsidRPr="00BE5234">
        <w:rPr>
          <w:rFonts w:cstheme="minorHAnsi"/>
          <w:i/>
          <w:iCs/>
        </w:rPr>
        <w:t>μ</w:t>
      </w:r>
      <w:r w:rsidRPr="00BE5234">
        <w:rPr>
          <w:rFonts w:cstheme="minorHAnsi"/>
        </w:rPr>
        <w:t>M, in cells expressing the WT and mutant subunits as indicated. Curves shown are the best fits to the equation given in the </w:t>
      </w:r>
      <w:hyperlink r:id="rId80" w:anchor="acer14042-sec-0006-title" w:history="1">
        <w:r w:rsidRPr="00BE5234">
          <w:rPr>
            <w:rStyle w:val="Hyperlink"/>
            <w:rFonts w:cstheme="minorHAnsi"/>
            <w:color w:val="005274"/>
          </w:rPr>
          <w:t>Materials and Methods</w:t>
        </w:r>
      </w:hyperlink>
      <w:r w:rsidRPr="00BE5234">
        <w:rPr>
          <w:rFonts w:cstheme="minorHAnsi"/>
        </w:rPr>
        <w:t>. Data points are means of 6 to 17 cells; error bars indicate SE values. (</w:t>
      </w:r>
      <w:r w:rsidRPr="00BE5234">
        <w:rPr>
          <w:rFonts w:cstheme="minorHAnsi"/>
          <w:b/>
          <w:bCs/>
        </w:rPr>
        <w:t>C</w:t>
      </w:r>
      <w:r w:rsidRPr="00BE5234">
        <w:rPr>
          <w:rFonts w:cstheme="minorHAnsi"/>
        </w:rPr>
        <w:t>) Bar graphs show average IC</w:t>
      </w:r>
      <w:r w:rsidRPr="00BE5234">
        <w:rPr>
          <w:rFonts w:cstheme="minorHAnsi"/>
          <w:sz w:val="16"/>
          <w:szCs w:val="16"/>
          <w:vertAlign w:val="subscript"/>
        </w:rPr>
        <w:t>50</w:t>
      </w:r>
      <w:r w:rsidRPr="00BE5234">
        <w:rPr>
          <w:rFonts w:cstheme="minorHAnsi"/>
        </w:rPr>
        <w:t> values for EtOH inhibition of Glu‐activated current in the presence of 50 </w:t>
      </w:r>
      <w:r w:rsidRPr="00BE5234">
        <w:rPr>
          <w:rFonts w:cstheme="minorHAnsi"/>
          <w:i/>
          <w:iCs/>
        </w:rPr>
        <w:t>μ</w:t>
      </w:r>
      <w:r w:rsidRPr="00BE5234">
        <w:rPr>
          <w:rFonts w:cstheme="minorHAnsi"/>
        </w:rPr>
        <w:t>M glycine in cells expressing WT or mutant GluN2C subunits. EtOH inhibition of the GluN2C(F635A) mutant subunit could not be determined (ND) because there was no detectable glutamate‐activated current in cells expressing this subunit. IC</w:t>
      </w:r>
      <w:r w:rsidRPr="00BE5234">
        <w:rPr>
          <w:rFonts w:cstheme="minorHAnsi"/>
          <w:sz w:val="16"/>
          <w:szCs w:val="16"/>
          <w:vertAlign w:val="subscript"/>
        </w:rPr>
        <w:t>50</w:t>
      </w:r>
      <w:r w:rsidRPr="00BE5234">
        <w:rPr>
          <w:rFonts w:cstheme="minorHAnsi"/>
        </w:rPr>
        <w:t> values that are significantly different from the value for the WT receptor are indicated by asterisks (*</w:t>
      </w:r>
      <w:r w:rsidRPr="00BE5234">
        <w:rPr>
          <w:rFonts w:cstheme="minorHAnsi"/>
          <w:i/>
          <w:iCs/>
        </w:rPr>
        <w:t>p</w:t>
      </w:r>
      <w:r w:rsidRPr="00BE5234">
        <w:rPr>
          <w:rFonts w:cstheme="minorHAnsi"/>
        </w:rPr>
        <w:t> &lt; 0.05, ***</w:t>
      </w:r>
      <w:r w:rsidRPr="00BE5234">
        <w:rPr>
          <w:rFonts w:cstheme="minorHAnsi"/>
          <w:i/>
          <w:iCs/>
        </w:rPr>
        <w:t>p</w:t>
      </w:r>
      <w:r w:rsidRPr="00BE5234">
        <w:rPr>
          <w:rFonts w:cstheme="minorHAnsi"/>
        </w:rPr>
        <w:t> &lt; 0.001; ANOVA and Dunnett's test). Results are means ± SE of 6 to 17 cells.</w:t>
      </w:r>
    </w:p>
    <w:p w14:paraId="07975DD8" w14:textId="77777777" w:rsidR="00DC2506" w:rsidRPr="00BE5234" w:rsidRDefault="00DC2506" w:rsidP="00C53E8A">
      <w:pPr>
        <w:pStyle w:val="Heading2"/>
        <w:rPr>
          <w:rFonts w:asciiTheme="minorHAnsi" w:hAnsiTheme="minorHAnsi" w:cstheme="minorHAnsi"/>
        </w:rPr>
      </w:pPr>
      <w:r w:rsidRPr="00BE5234">
        <w:rPr>
          <w:rFonts w:asciiTheme="minorHAnsi" w:hAnsiTheme="minorHAnsi" w:cstheme="minorHAnsi"/>
        </w:rPr>
        <w:t>Effects of Mutations at GluN2C(M821) on Alcohol Sensitivity</w:t>
      </w:r>
    </w:p>
    <w:p w14:paraId="54F7EC7A" w14:textId="77777777" w:rsidR="00DC2506" w:rsidRPr="00BE5234" w:rsidRDefault="00DC2506" w:rsidP="00C53E8A">
      <w:pPr>
        <w:rPr>
          <w:rFonts w:cstheme="minorHAnsi"/>
        </w:rPr>
      </w:pPr>
      <w:r w:rsidRPr="00BE5234">
        <w:rPr>
          <w:rFonts w:cstheme="minorHAnsi"/>
        </w:rPr>
        <w:t>Previous results from this laboratory have shown that tryptophan substitution at the position cognate to GluN2C(M821) in the GluN2A and GluN2B subunits increases desensitization in both subunits and decreases EtOH sensitivity in GluN2A (Honse et al., </w:t>
      </w:r>
      <w:hyperlink r:id="rId81" w:anchor="acer14042-bib-0010" w:history="1">
        <w:r w:rsidRPr="00BE5234">
          <w:rPr>
            <w:rStyle w:val="Hyperlink"/>
            <w:rFonts w:eastAsiaTheme="majorEastAsia" w:cstheme="minorHAnsi"/>
            <w:b/>
            <w:bCs/>
            <w:color w:val="000000"/>
          </w:rPr>
          <w:t>2004</w:t>
        </w:r>
      </w:hyperlink>
      <w:r w:rsidRPr="00BE5234">
        <w:rPr>
          <w:rFonts w:cstheme="minorHAnsi"/>
        </w:rPr>
        <w:t>; Ren et al., </w:t>
      </w:r>
      <w:hyperlink r:id="rId82" w:anchor="acer14042-bib-0027" w:history="1">
        <w:r w:rsidRPr="00BE5234">
          <w:rPr>
            <w:rStyle w:val="Hyperlink"/>
            <w:rFonts w:eastAsiaTheme="majorEastAsia" w:cstheme="minorHAnsi"/>
            <w:b/>
            <w:bCs/>
            <w:color w:val="000000"/>
          </w:rPr>
          <w:t>2003a</w:t>
        </w:r>
      </w:hyperlink>
      <w:r w:rsidRPr="00BE5234">
        <w:rPr>
          <w:rFonts w:cstheme="minorHAnsi"/>
        </w:rPr>
        <w:t>,</w:t>
      </w:r>
      <w:hyperlink r:id="rId83" w:anchor="acer14042-bib-0028" w:history="1">
        <w:r w:rsidRPr="00BE5234">
          <w:rPr>
            <w:rStyle w:val="Hyperlink"/>
            <w:rFonts w:eastAsiaTheme="majorEastAsia" w:cstheme="minorHAnsi"/>
            <w:b/>
            <w:bCs/>
            <w:color w:val="000000"/>
          </w:rPr>
          <w:t>b</w:t>
        </w:r>
      </w:hyperlink>
      <w:r w:rsidRPr="00BE5234">
        <w:rPr>
          <w:rFonts w:cstheme="minorHAnsi"/>
        </w:rPr>
        <w:t>) but has no effect on EtOH sensitivity in GluN2B (Zhao et al., </w:t>
      </w:r>
      <w:hyperlink r:id="rId84" w:anchor="acer14042-bib-0049" w:history="1">
        <w:r w:rsidRPr="00BE5234">
          <w:rPr>
            <w:rStyle w:val="Hyperlink"/>
            <w:rFonts w:eastAsiaTheme="majorEastAsia" w:cstheme="minorHAnsi"/>
            <w:b/>
            <w:bCs/>
            <w:color w:val="000000"/>
          </w:rPr>
          <w:t>2015</w:t>
        </w:r>
      </w:hyperlink>
      <w:r w:rsidRPr="00BE5234">
        <w:rPr>
          <w:rFonts w:cstheme="minorHAnsi"/>
        </w:rPr>
        <w:t>). To determine the role of the characteristics of the substituent at this position on EtOH sensitivity in the GluN2C subunit, we made additional substitutions at this position. Substitution at Met821 with alanine, cysteine, isoleucine, leucine, serine, threonine, or tryptophan yielded functional mutants (Fig. </w:t>
      </w:r>
      <w:hyperlink r:id="rId85" w:anchor="acer14042-fig-0003" w:history="1">
        <w:r w:rsidRPr="00BE5234">
          <w:rPr>
            <w:rStyle w:val="Hyperlink"/>
            <w:rFonts w:eastAsiaTheme="majorEastAsia" w:cstheme="minorHAnsi"/>
            <w:b/>
            <w:bCs/>
            <w:color w:val="005274"/>
          </w:rPr>
          <w:t>3</w:t>
        </w:r>
      </w:hyperlink>
      <w:r w:rsidRPr="00BE5234">
        <w:rPr>
          <w:rFonts w:cstheme="minorHAnsi"/>
        </w:rPr>
        <w:t>), while substitution with asparagine, aspartate, arginine, glycine, phenylalanine, tyrosine, or valine produced mutants that did not exhibit glutamate‐activated currents (results not shown). All of the functional mutants tested were inhibited by EtOH in a concentration‐dependent manner. EtOH IC</w:t>
      </w:r>
      <w:r w:rsidRPr="00BE5234">
        <w:rPr>
          <w:rFonts w:cstheme="minorHAnsi"/>
          <w:vertAlign w:val="subscript"/>
        </w:rPr>
        <w:t>50</w:t>
      </w:r>
      <w:r w:rsidRPr="00BE5234">
        <w:rPr>
          <w:rFonts w:cstheme="minorHAnsi"/>
        </w:rPr>
        <w:t> values varied significantly among the mutants, ranging from 140 to 250 mM (ANOVA, </w:t>
      </w:r>
      <w:r w:rsidRPr="00BE5234">
        <w:rPr>
          <w:rFonts w:cstheme="minorHAnsi"/>
          <w:i/>
          <w:iCs/>
        </w:rPr>
        <w:t>p</w:t>
      </w:r>
      <w:r w:rsidRPr="00BE5234">
        <w:rPr>
          <w:rFonts w:cstheme="minorHAnsi"/>
        </w:rPr>
        <w:t> &lt; 0.0001; Fig. </w:t>
      </w:r>
      <w:hyperlink r:id="rId86" w:anchor="acer14042-fig-0003" w:history="1">
        <w:r w:rsidRPr="00BE5234">
          <w:rPr>
            <w:rStyle w:val="Hyperlink"/>
            <w:rFonts w:eastAsiaTheme="majorEastAsia" w:cstheme="minorHAnsi"/>
            <w:b/>
            <w:bCs/>
            <w:color w:val="005274"/>
          </w:rPr>
          <w:t>3</w:t>
        </w:r>
      </w:hyperlink>
      <w:r w:rsidRPr="00BE5234">
        <w:rPr>
          <w:rFonts w:cstheme="minorHAnsi"/>
        </w:rPr>
        <w:t>). Among the mutants at position 821, EtOH sensitivity was increased by substitution of leucine, serine, or tryptophan, and decreased by substitution of cysteine.</w:t>
      </w:r>
    </w:p>
    <w:p w14:paraId="4637E953" w14:textId="3EEB3F2D" w:rsidR="00DC2506" w:rsidRPr="00BE5234" w:rsidRDefault="00DC2506" w:rsidP="00215592">
      <w:pPr>
        <w:pStyle w:val="NoSpacing"/>
        <w:rPr>
          <w:rFonts w:cstheme="minorHAnsi"/>
        </w:rPr>
      </w:pPr>
      <w:r w:rsidRPr="00BE5234">
        <w:rPr>
          <w:rFonts w:cstheme="minorHAnsi"/>
          <w:noProof/>
        </w:rPr>
        <w:drawing>
          <wp:inline distT="0" distB="0" distL="0" distR="0" wp14:anchorId="4665E55C" wp14:editId="5C7C2EA3">
            <wp:extent cx="2743200" cy="1847088"/>
            <wp:effectExtent l="0" t="0" r="0" b="1270"/>
            <wp:docPr id="6" name="Picture 6" descr="Figure 3 Substitution mutations at the M41 position (M821) in the GluN2C subunit can alter ethanol (EtOH) sensitivity. (A) Traces are currents activated by glutamate (Glu), 10 μM, in the presence of glycine, 50 μM, and their inhibition by EtOH, 100 mM, in cells expressing the wild‐type (WT) or mutant subunits as indicated. (B) Concentration–response curves for EtOH inhibition of currents evoked by glutamate, 10 μM, in the presence of glycine, 50 μM, in cells expressing the WT and mutant subunits as indicated. Curves shown are the best fits to the equation given in the Materials and Methods. Data points are means of 6 to 10 cells; error bars are omitted to improve clarity. (C) Bar graphs show average IC50 values for EtOH inhibition of glutamate‐activated current in the presence of 50 μM glycine in cells expressing WT or mutant GluN2C subunits. IC50 values that are significantly different from the value for the WT receptor are indicated by asterisks (*p &lt; 0.05, **p &lt; 0.01; ANOVA and Dunnett's test). Results are means ± SE of 6 to 10 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Figure 3"/>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2743200" cy="1847088"/>
                    </a:xfrm>
                    <a:prstGeom prst="rect">
                      <a:avLst/>
                    </a:prstGeom>
                    <a:noFill/>
                    <a:ln>
                      <a:noFill/>
                    </a:ln>
                  </pic:spPr>
                </pic:pic>
              </a:graphicData>
            </a:graphic>
          </wp:inline>
        </w:drawing>
      </w:r>
    </w:p>
    <w:p w14:paraId="4E0A489D" w14:textId="535FED86" w:rsidR="00DC2506" w:rsidRPr="00BE5234" w:rsidRDefault="00DC2506" w:rsidP="00DC2506">
      <w:pPr>
        <w:rPr>
          <w:rFonts w:cstheme="minorHAnsi"/>
        </w:rPr>
      </w:pPr>
      <w:r w:rsidRPr="00BE5234">
        <w:rPr>
          <w:rStyle w:val="Strong"/>
          <w:rFonts w:cstheme="minorHAnsi"/>
          <w:color w:val="212121"/>
        </w:rPr>
        <w:t>Figure 3</w:t>
      </w:r>
      <w:r w:rsidR="00215592" w:rsidRPr="00BE5234">
        <w:rPr>
          <w:rStyle w:val="Strong"/>
          <w:rFonts w:cstheme="minorHAnsi"/>
          <w:color w:val="212121"/>
        </w:rPr>
        <w:t xml:space="preserve"> </w:t>
      </w:r>
      <w:r w:rsidRPr="00BE5234">
        <w:rPr>
          <w:rFonts w:cstheme="minorHAnsi"/>
        </w:rPr>
        <w:t>Substitution mutations at the M4</w:t>
      </w:r>
      <w:r w:rsidRPr="00BE5234">
        <w:rPr>
          <w:rFonts w:cstheme="minorHAnsi"/>
          <w:sz w:val="16"/>
          <w:szCs w:val="16"/>
          <w:vertAlign w:val="subscript"/>
        </w:rPr>
        <w:t>1</w:t>
      </w:r>
      <w:r w:rsidRPr="00BE5234">
        <w:rPr>
          <w:rFonts w:cstheme="minorHAnsi"/>
        </w:rPr>
        <w:t> position (M821) in the GluN2C subunit can alter ethanol (EtOH) sensitivity. (</w:t>
      </w:r>
      <w:r w:rsidRPr="00BE5234">
        <w:rPr>
          <w:rFonts w:cstheme="minorHAnsi"/>
          <w:b/>
          <w:bCs/>
        </w:rPr>
        <w:t>A</w:t>
      </w:r>
      <w:r w:rsidRPr="00BE5234">
        <w:rPr>
          <w:rFonts w:cstheme="minorHAnsi"/>
        </w:rPr>
        <w:t>) Traces are currents activated by glutamate (Glu), 10 </w:t>
      </w:r>
      <w:r w:rsidRPr="00BE5234">
        <w:rPr>
          <w:rFonts w:cstheme="minorHAnsi"/>
          <w:i/>
          <w:iCs/>
        </w:rPr>
        <w:t>μ</w:t>
      </w:r>
      <w:r w:rsidRPr="00BE5234">
        <w:rPr>
          <w:rFonts w:cstheme="minorHAnsi"/>
        </w:rPr>
        <w:t>M, in the presence of glycine, 50 </w:t>
      </w:r>
      <w:r w:rsidRPr="00BE5234">
        <w:rPr>
          <w:rFonts w:cstheme="minorHAnsi"/>
          <w:i/>
          <w:iCs/>
        </w:rPr>
        <w:t>μ</w:t>
      </w:r>
      <w:r w:rsidRPr="00BE5234">
        <w:rPr>
          <w:rFonts w:cstheme="minorHAnsi"/>
        </w:rPr>
        <w:t>M, and their inhibition by EtOH, 100 mM, in cells expressing the wild‐type (WT) or mutant subunits as indicated. (</w:t>
      </w:r>
      <w:r w:rsidRPr="00BE5234">
        <w:rPr>
          <w:rFonts w:cstheme="minorHAnsi"/>
          <w:b/>
          <w:bCs/>
        </w:rPr>
        <w:t>B</w:t>
      </w:r>
      <w:r w:rsidRPr="00BE5234">
        <w:rPr>
          <w:rFonts w:cstheme="minorHAnsi"/>
        </w:rPr>
        <w:t>) Concentration–response curves for EtOH inhibition of currents evoked by glutamate, 10 </w:t>
      </w:r>
      <w:r w:rsidRPr="00BE5234">
        <w:rPr>
          <w:rFonts w:cstheme="minorHAnsi"/>
          <w:i/>
          <w:iCs/>
        </w:rPr>
        <w:t>μ</w:t>
      </w:r>
      <w:r w:rsidRPr="00BE5234">
        <w:rPr>
          <w:rFonts w:cstheme="minorHAnsi"/>
        </w:rPr>
        <w:t>M, in the presence of glycine, 50 </w:t>
      </w:r>
      <w:r w:rsidRPr="00BE5234">
        <w:rPr>
          <w:rFonts w:cstheme="minorHAnsi"/>
          <w:i/>
          <w:iCs/>
        </w:rPr>
        <w:t>μ</w:t>
      </w:r>
      <w:r w:rsidRPr="00BE5234">
        <w:rPr>
          <w:rFonts w:cstheme="minorHAnsi"/>
        </w:rPr>
        <w:t>M, in cells expressing the WT and mutant subunits as indicated. Curves shown are the best fits to the equation given in the </w:t>
      </w:r>
      <w:hyperlink r:id="rId88" w:anchor="acer14042-sec-0006-title" w:history="1">
        <w:r w:rsidRPr="00BE5234">
          <w:rPr>
            <w:rStyle w:val="Hyperlink"/>
            <w:rFonts w:cstheme="minorHAnsi"/>
            <w:color w:val="005274"/>
          </w:rPr>
          <w:t>Materials and Methods</w:t>
        </w:r>
      </w:hyperlink>
      <w:r w:rsidRPr="00BE5234">
        <w:rPr>
          <w:rFonts w:cstheme="minorHAnsi"/>
        </w:rPr>
        <w:t>. Data points are means of 6 to 10 cells; error bars are omitted to improve clarity. (</w:t>
      </w:r>
      <w:r w:rsidRPr="00BE5234">
        <w:rPr>
          <w:rFonts w:cstheme="minorHAnsi"/>
          <w:b/>
          <w:bCs/>
        </w:rPr>
        <w:t>C</w:t>
      </w:r>
      <w:r w:rsidRPr="00BE5234">
        <w:rPr>
          <w:rFonts w:cstheme="minorHAnsi"/>
        </w:rPr>
        <w:t>) Bar graphs show average IC</w:t>
      </w:r>
      <w:r w:rsidRPr="00BE5234">
        <w:rPr>
          <w:rFonts w:cstheme="minorHAnsi"/>
          <w:sz w:val="16"/>
          <w:szCs w:val="16"/>
          <w:vertAlign w:val="subscript"/>
        </w:rPr>
        <w:t>50</w:t>
      </w:r>
      <w:r w:rsidRPr="00BE5234">
        <w:rPr>
          <w:rFonts w:cstheme="minorHAnsi"/>
        </w:rPr>
        <w:t> values for EtOH inhibition of glutamate‐activated current in the presence of 50 </w:t>
      </w:r>
      <w:r w:rsidRPr="00BE5234">
        <w:rPr>
          <w:rFonts w:cstheme="minorHAnsi"/>
          <w:i/>
          <w:iCs/>
        </w:rPr>
        <w:t>μ</w:t>
      </w:r>
      <w:r w:rsidRPr="00BE5234">
        <w:rPr>
          <w:rFonts w:cstheme="minorHAnsi"/>
        </w:rPr>
        <w:t>M glycine in cells expressing WT or mutant GluN2C subunits. IC</w:t>
      </w:r>
      <w:r w:rsidRPr="00BE5234">
        <w:rPr>
          <w:rFonts w:cstheme="minorHAnsi"/>
          <w:sz w:val="16"/>
          <w:szCs w:val="16"/>
          <w:vertAlign w:val="subscript"/>
        </w:rPr>
        <w:t>50</w:t>
      </w:r>
      <w:r w:rsidRPr="00BE5234">
        <w:rPr>
          <w:rFonts w:cstheme="minorHAnsi"/>
        </w:rPr>
        <w:t> values that are significantly different from the value for the WT receptor are indicated by asterisks (*</w:t>
      </w:r>
      <w:r w:rsidRPr="00BE5234">
        <w:rPr>
          <w:rFonts w:cstheme="minorHAnsi"/>
          <w:i/>
          <w:iCs/>
        </w:rPr>
        <w:t>p</w:t>
      </w:r>
      <w:r w:rsidRPr="00BE5234">
        <w:rPr>
          <w:rFonts w:cstheme="minorHAnsi"/>
        </w:rPr>
        <w:t> &lt; 0.05, **</w:t>
      </w:r>
      <w:r w:rsidRPr="00BE5234">
        <w:rPr>
          <w:rFonts w:cstheme="minorHAnsi"/>
          <w:i/>
          <w:iCs/>
        </w:rPr>
        <w:t>p</w:t>
      </w:r>
      <w:r w:rsidRPr="00BE5234">
        <w:rPr>
          <w:rFonts w:cstheme="minorHAnsi"/>
        </w:rPr>
        <w:t> &lt; 0.01; ANOVA and Dunnett's test). Results are means ± SE of 6 to 10 cells.</w:t>
      </w:r>
    </w:p>
    <w:p w14:paraId="7B908739" w14:textId="77777777" w:rsidR="00DC2506" w:rsidRPr="00BE5234" w:rsidRDefault="00DC2506" w:rsidP="00C53E8A">
      <w:pPr>
        <w:pStyle w:val="Heading2"/>
        <w:rPr>
          <w:rFonts w:asciiTheme="minorHAnsi" w:hAnsiTheme="minorHAnsi" w:cstheme="minorHAnsi"/>
        </w:rPr>
      </w:pPr>
      <w:r w:rsidRPr="00BE5234">
        <w:rPr>
          <w:rFonts w:asciiTheme="minorHAnsi" w:hAnsiTheme="minorHAnsi" w:cstheme="minorHAnsi"/>
        </w:rPr>
        <w:t>Effects of Mutations at GluN2C(M821) on Glutamate Potency and Desensitization</w:t>
      </w:r>
    </w:p>
    <w:p w14:paraId="72A08DE4" w14:textId="77777777" w:rsidR="00DC2506" w:rsidRPr="00BE5234" w:rsidRDefault="00DC2506" w:rsidP="00C53E8A">
      <w:pPr>
        <w:rPr>
          <w:rFonts w:cstheme="minorHAnsi"/>
        </w:rPr>
      </w:pPr>
      <w:r w:rsidRPr="00BE5234">
        <w:rPr>
          <w:rFonts w:cstheme="minorHAnsi"/>
        </w:rPr>
        <w:t>At GluN2A(M823), the cognate site of GluN2C(M821), mutations not only affected alcohol sensitivity of the receptors, but also altered measures of receptor gating, such as glutamate potency and desensitization. To test whether mutations at GluN2C(M821) had similar effects on glutamate potency and desensitization, we performed concentration–response experiments for glutamate in the functional mutants using a rapid solution exchange apparatus in lifted cells (Fig. </w:t>
      </w:r>
      <w:hyperlink r:id="rId89" w:anchor="acer14042-fig-0004" w:history="1">
        <w:r w:rsidRPr="00BE5234">
          <w:rPr>
            <w:rStyle w:val="Hyperlink"/>
            <w:rFonts w:eastAsiaTheme="majorEastAsia" w:cstheme="minorHAnsi"/>
            <w:b/>
            <w:bCs/>
            <w:color w:val="005274"/>
          </w:rPr>
          <w:t>4</w:t>
        </w:r>
      </w:hyperlink>
      <w:r w:rsidRPr="00BE5234">
        <w:rPr>
          <w:rFonts w:cstheme="minorHAnsi"/>
        </w:rPr>
        <w:t>). Of the 7 functional mutations at M821, EC</w:t>
      </w:r>
      <w:r w:rsidRPr="00BE5234">
        <w:rPr>
          <w:rFonts w:cstheme="minorHAnsi"/>
          <w:sz w:val="18"/>
          <w:szCs w:val="18"/>
          <w:vertAlign w:val="subscript"/>
        </w:rPr>
        <w:t>50</w:t>
      </w:r>
      <w:r w:rsidRPr="00BE5234">
        <w:rPr>
          <w:rFonts w:cstheme="minorHAnsi"/>
        </w:rPr>
        <w:t> values for glutamate‐activated peak current were altered in 5 (</w:t>
      </w:r>
      <w:r w:rsidRPr="00BE5234">
        <w:rPr>
          <w:rFonts w:cstheme="minorHAnsi"/>
          <w:i/>
          <w:iCs/>
        </w:rPr>
        <w:t>p </w:t>
      </w:r>
      <w:r w:rsidRPr="00BE5234">
        <w:rPr>
          <w:rFonts w:cstheme="minorHAnsi"/>
        </w:rPr>
        <w:t>&lt; 0.001; ANOVA), EC</w:t>
      </w:r>
      <w:r w:rsidRPr="00BE5234">
        <w:rPr>
          <w:rFonts w:cstheme="minorHAnsi"/>
          <w:sz w:val="18"/>
          <w:szCs w:val="18"/>
          <w:vertAlign w:val="subscript"/>
        </w:rPr>
        <w:t>50</w:t>
      </w:r>
      <w:r w:rsidRPr="00BE5234">
        <w:rPr>
          <w:rFonts w:cstheme="minorHAnsi"/>
        </w:rPr>
        <w:t> values for glutamate‐activated steady‐state current were altered in 2 (</w:t>
      </w:r>
      <w:r w:rsidRPr="00BE5234">
        <w:rPr>
          <w:rFonts w:cstheme="minorHAnsi"/>
          <w:i/>
          <w:iCs/>
        </w:rPr>
        <w:t>p </w:t>
      </w:r>
      <w:r w:rsidRPr="00BE5234">
        <w:rPr>
          <w:rFonts w:cstheme="minorHAnsi"/>
        </w:rPr>
        <w:t>&lt; 0.001; ANOVA), and the steady‐state‐to‐peak current ratio (</w:t>
      </w:r>
      <w:r w:rsidRPr="00BE5234">
        <w:rPr>
          <w:rFonts w:cstheme="minorHAnsi"/>
          <w:i/>
          <w:iCs/>
        </w:rPr>
        <w:t>I</w:t>
      </w:r>
      <w:r w:rsidRPr="00BE5234">
        <w:rPr>
          <w:rFonts w:cstheme="minorHAnsi"/>
          <w:sz w:val="18"/>
          <w:szCs w:val="18"/>
          <w:vertAlign w:val="subscript"/>
        </w:rPr>
        <w:t>ss</w:t>
      </w:r>
      <w:r w:rsidRPr="00BE5234">
        <w:rPr>
          <w:rFonts w:cstheme="minorHAnsi"/>
        </w:rPr>
        <w:t>:</w:t>
      </w:r>
      <w:r w:rsidRPr="00BE5234">
        <w:rPr>
          <w:rFonts w:cstheme="minorHAnsi"/>
          <w:i/>
          <w:iCs/>
        </w:rPr>
        <w:t>I</w:t>
      </w:r>
      <w:r w:rsidRPr="00BE5234">
        <w:rPr>
          <w:rFonts w:cstheme="minorHAnsi"/>
          <w:sz w:val="18"/>
          <w:szCs w:val="18"/>
          <w:vertAlign w:val="subscript"/>
        </w:rPr>
        <w:t>p</w:t>
      </w:r>
      <w:r w:rsidRPr="00BE5234">
        <w:rPr>
          <w:rFonts w:cstheme="minorHAnsi"/>
        </w:rPr>
        <w:t>) was altered in 5 (</w:t>
      </w:r>
      <w:r w:rsidRPr="00BE5234">
        <w:rPr>
          <w:rFonts w:cstheme="minorHAnsi"/>
          <w:i/>
          <w:iCs/>
        </w:rPr>
        <w:t>p </w:t>
      </w:r>
      <w:r w:rsidRPr="00BE5234">
        <w:rPr>
          <w:rFonts w:cstheme="minorHAnsi"/>
        </w:rPr>
        <w:t>&lt; 0.0001; ANOVA; Fig. </w:t>
      </w:r>
      <w:hyperlink r:id="rId90" w:anchor="acer14042-fig-0005" w:history="1">
        <w:r w:rsidRPr="00BE5234">
          <w:rPr>
            <w:rStyle w:val="Hyperlink"/>
            <w:rFonts w:eastAsiaTheme="majorEastAsia" w:cstheme="minorHAnsi"/>
            <w:b/>
            <w:bCs/>
            <w:color w:val="005274"/>
          </w:rPr>
          <w:t>5</w:t>
        </w:r>
      </w:hyperlink>
      <w:r w:rsidRPr="00BE5234">
        <w:rPr>
          <w:rFonts w:cstheme="minorHAnsi"/>
          <w:i/>
          <w:iCs/>
        </w:rPr>
        <w:t>A</w:t>
      </w:r>
      <w:r w:rsidRPr="00BE5234">
        <w:rPr>
          <w:rFonts w:cstheme="minorHAnsi"/>
        </w:rPr>
        <w:t>). As is evident from the discrepancy between the numbers of mutants in which steady‐state current EC</w:t>
      </w:r>
      <w:r w:rsidRPr="00BE5234">
        <w:rPr>
          <w:rFonts w:cstheme="minorHAnsi"/>
          <w:sz w:val="18"/>
          <w:szCs w:val="18"/>
          <w:vertAlign w:val="subscript"/>
        </w:rPr>
        <w:t>50</w:t>
      </w:r>
      <w:r w:rsidRPr="00BE5234">
        <w:rPr>
          <w:rFonts w:cstheme="minorHAnsi"/>
        </w:rPr>
        <w:t> and </w:t>
      </w:r>
      <w:r w:rsidRPr="00BE5234">
        <w:rPr>
          <w:rFonts w:cstheme="minorHAnsi"/>
          <w:i/>
          <w:iCs/>
        </w:rPr>
        <w:t>I</w:t>
      </w:r>
      <w:r w:rsidRPr="00BE5234">
        <w:rPr>
          <w:rFonts w:cstheme="minorHAnsi"/>
          <w:sz w:val="18"/>
          <w:szCs w:val="18"/>
          <w:vertAlign w:val="subscript"/>
        </w:rPr>
        <w:t>ss</w:t>
      </w:r>
      <w:r w:rsidRPr="00BE5234">
        <w:rPr>
          <w:rFonts w:cstheme="minorHAnsi"/>
        </w:rPr>
        <w:t>:</w:t>
      </w:r>
      <w:r w:rsidRPr="00BE5234">
        <w:rPr>
          <w:rFonts w:cstheme="minorHAnsi"/>
          <w:i/>
          <w:iCs/>
        </w:rPr>
        <w:t>I</w:t>
      </w:r>
      <w:r w:rsidRPr="00BE5234">
        <w:rPr>
          <w:rFonts w:cstheme="minorHAnsi"/>
          <w:sz w:val="18"/>
          <w:szCs w:val="18"/>
          <w:vertAlign w:val="subscript"/>
        </w:rPr>
        <w:t>p</w:t>
      </w:r>
      <w:r w:rsidRPr="00BE5234">
        <w:rPr>
          <w:rFonts w:cstheme="minorHAnsi"/>
        </w:rPr>
        <w:t> values were altered, apparent desensitization was affected even when steady‐state EC</w:t>
      </w:r>
      <w:r w:rsidRPr="00BE5234">
        <w:rPr>
          <w:rFonts w:cstheme="minorHAnsi"/>
          <w:sz w:val="18"/>
          <w:szCs w:val="18"/>
          <w:vertAlign w:val="subscript"/>
        </w:rPr>
        <w:t>50</w:t>
      </w:r>
      <w:r w:rsidRPr="00BE5234">
        <w:rPr>
          <w:rFonts w:cstheme="minorHAnsi"/>
        </w:rPr>
        <w:t> values were unchanged, and correlation analysis revealed that these measures were not significantly correlated (</w:t>
      </w:r>
      <w:r w:rsidRPr="00BE5234">
        <w:rPr>
          <w:rFonts w:cstheme="minorHAnsi"/>
          <w:i/>
          <w:iCs/>
        </w:rPr>
        <w:t>R</w:t>
      </w:r>
      <w:r w:rsidRPr="00BE5234">
        <w:rPr>
          <w:rFonts w:cstheme="minorHAnsi"/>
          <w:sz w:val="18"/>
          <w:szCs w:val="18"/>
          <w:vertAlign w:val="superscript"/>
        </w:rPr>
        <w:t>2</w:t>
      </w:r>
      <w:r w:rsidRPr="00BE5234">
        <w:rPr>
          <w:rFonts w:cstheme="minorHAnsi"/>
        </w:rPr>
        <w:t> = 0.0918, </w:t>
      </w:r>
      <w:r w:rsidRPr="00BE5234">
        <w:rPr>
          <w:rFonts w:cstheme="minorHAnsi"/>
          <w:i/>
          <w:iCs/>
        </w:rPr>
        <w:t>p</w:t>
      </w:r>
      <w:r w:rsidRPr="00BE5234">
        <w:rPr>
          <w:rFonts w:cstheme="minorHAnsi"/>
        </w:rPr>
        <w:t> &gt; 0.05; Fig. </w:t>
      </w:r>
      <w:hyperlink r:id="rId91" w:anchor="acer14042-fig-0005" w:history="1">
        <w:r w:rsidRPr="00BE5234">
          <w:rPr>
            <w:rStyle w:val="Hyperlink"/>
            <w:rFonts w:eastAsiaTheme="majorEastAsia" w:cstheme="minorHAnsi"/>
            <w:b/>
            <w:bCs/>
            <w:color w:val="005274"/>
          </w:rPr>
          <w:t>5</w:t>
        </w:r>
      </w:hyperlink>
      <w:r w:rsidRPr="00BE5234">
        <w:rPr>
          <w:rFonts w:cstheme="minorHAnsi"/>
          <w:i/>
          <w:iCs/>
        </w:rPr>
        <w:t>B</w:t>
      </w:r>
      <w:r w:rsidRPr="00BE5234">
        <w:rPr>
          <w:rFonts w:cstheme="minorHAnsi"/>
        </w:rPr>
        <w:t>).</w:t>
      </w:r>
    </w:p>
    <w:p w14:paraId="14704B28" w14:textId="6C024FC8" w:rsidR="00DC2506" w:rsidRPr="00BE5234" w:rsidRDefault="00DC2506" w:rsidP="00215592">
      <w:pPr>
        <w:pStyle w:val="NoSpacing"/>
        <w:rPr>
          <w:rFonts w:cstheme="minorHAnsi"/>
        </w:rPr>
      </w:pPr>
      <w:r w:rsidRPr="00BE5234">
        <w:rPr>
          <w:rFonts w:cstheme="minorHAnsi"/>
          <w:noProof/>
        </w:rPr>
        <w:drawing>
          <wp:inline distT="0" distB="0" distL="0" distR="0" wp14:anchorId="4E1CD2E9" wp14:editId="769A1DA9">
            <wp:extent cx="2743200" cy="2194560"/>
            <wp:effectExtent l="0" t="0" r="0" b="0"/>
            <wp:docPr id="5" name="Picture 5" descr="Figure 4 Substitution mutations at the M41 position (M821) in the GluN2C subunit can alter glutamate potency. (A, C) Concentration–response curves for activation of peak (A) and steady‐state (C) currents evoked by various concentrations of glutamate in the presence of glycine, 50 μM, in cells expressing the wild‐type (WT) and mutant subunits as indicated. Curves shown are the best fits to the equation given in the Materials and Methods. Data points are means of 6 to 7 cells; error bars are omitted to improve clarity. (B, D) Bar graphs show average EC50 values for glutamate activation of peak (B) and steady‐state (D) current in the presence of 50 μM glycine in cells expressing WT or mutant GluN2C subunits. EC50 values that are significantly different from the value for the WT receptor are indicated by asterisks (*p &lt; 0.05, **p &lt; 0.01; ANOVA and Dunnett's test). Results are means ± SE of 6 to 7 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Figure 4"/>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2743200" cy="2194560"/>
                    </a:xfrm>
                    <a:prstGeom prst="rect">
                      <a:avLst/>
                    </a:prstGeom>
                    <a:noFill/>
                    <a:ln>
                      <a:noFill/>
                    </a:ln>
                  </pic:spPr>
                </pic:pic>
              </a:graphicData>
            </a:graphic>
          </wp:inline>
        </w:drawing>
      </w:r>
    </w:p>
    <w:p w14:paraId="046BD655" w14:textId="13ED76A5" w:rsidR="00DC2506" w:rsidRPr="00BE5234" w:rsidRDefault="00DC2506" w:rsidP="00DC2506">
      <w:pPr>
        <w:rPr>
          <w:rFonts w:cstheme="minorHAnsi"/>
        </w:rPr>
      </w:pPr>
      <w:r w:rsidRPr="00BE5234">
        <w:rPr>
          <w:rStyle w:val="Strong"/>
          <w:rFonts w:cstheme="minorHAnsi"/>
          <w:color w:val="212121"/>
        </w:rPr>
        <w:t>Figure 4</w:t>
      </w:r>
      <w:r w:rsidR="00215592" w:rsidRPr="00BE5234">
        <w:rPr>
          <w:rStyle w:val="Strong"/>
          <w:rFonts w:cstheme="minorHAnsi"/>
          <w:color w:val="212121"/>
        </w:rPr>
        <w:t xml:space="preserve"> </w:t>
      </w:r>
      <w:r w:rsidRPr="00BE5234">
        <w:rPr>
          <w:rFonts w:cstheme="minorHAnsi"/>
        </w:rPr>
        <w:t>Substitution mutations at the M4</w:t>
      </w:r>
      <w:r w:rsidRPr="00BE5234">
        <w:rPr>
          <w:rFonts w:cstheme="minorHAnsi"/>
          <w:sz w:val="16"/>
          <w:szCs w:val="16"/>
          <w:vertAlign w:val="subscript"/>
        </w:rPr>
        <w:t>1</w:t>
      </w:r>
      <w:r w:rsidRPr="00BE5234">
        <w:rPr>
          <w:rFonts w:cstheme="minorHAnsi"/>
        </w:rPr>
        <w:t> position (M821) in the GluN2C subunit can alter glutamate potency. (</w:t>
      </w:r>
      <w:r w:rsidRPr="00BE5234">
        <w:rPr>
          <w:rFonts w:cstheme="minorHAnsi"/>
          <w:b/>
          <w:bCs/>
        </w:rPr>
        <w:t>A</w:t>
      </w:r>
      <w:r w:rsidRPr="00BE5234">
        <w:rPr>
          <w:rFonts w:cstheme="minorHAnsi"/>
        </w:rPr>
        <w:t>,</w:t>
      </w:r>
      <w:r w:rsidRPr="00BE5234">
        <w:rPr>
          <w:rFonts w:cstheme="minorHAnsi"/>
          <w:b/>
          <w:bCs/>
        </w:rPr>
        <w:t> C</w:t>
      </w:r>
      <w:r w:rsidRPr="00BE5234">
        <w:rPr>
          <w:rFonts w:cstheme="minorHAnsi"/>
        </w:rPr>
        <w:t>) Concentration–response curves for activation of peak (</w:t>
      </w:r>
      <w:r w:rsidRPr="00BE5234">
        <w:rPr>
          <w:rFonts w:cstheme="minorHAnsi"/>
          <w:b/>
          <w:bCs/>
        </w:rPr>
        <w:t>A</w:t>
      </w:r>
      <w:r w:rsidRPr="00BE5234">
        <w:rPr>
          <w:rFonts w:cstheme="minorHAnsi"/>
        </w:rPr>
        <w:t>) and steady‐state (</w:t>
      </w:r>
      <w:r w:rsidRPr="00BE5234">
        <w:rPr>
          <w:rFonts w:cstheme="minorHAnsi"/>
          <w:b/>
          <w:bCs/>
        </w:rPr>
        <w:t>C</w:t>
      </w:r>
      <w:r w:rsidRPr="00BE5234">
        <w:rPr>
          <w:rFonts w:cstheme="minorHAnsi"/>
        </w:rPr>
        <w:t>) currents evoked by various concentrations of glutamate in the presence of glycine, 50 </w:t>
      </w:r>
      <w:r w:rsidRPr="00BE5234">
        <w:rPr>
          <w:rFonts w:cstheme="minorHAnsi"/>
          <w:i/>
          <w:iCs/>
        </w:rPr>
        <w:t>μ</w:t>
      </w:r>
      <w:r w:rsidRPr="00BE5234">
        <w:rPr>
          <w:rFonts w:cstheme="minorHAnsi"/>
        </w:rPr>
        <w:t>M, in cells expressing the wild‐type (WT) and mutant subunits as indicated. Curves shown are the best fits to the equation given in the </w:t>
      </w:r>
      <w:hyperlink r:id="rId93" w:anchor="acer14042-sec-0006-title" w:history="1">
        <w:r w:rsidRPr="00BE5234">
          <w:rPr>
            <w:rStyle w:val="Hyperlink"/>
            <w:rFonts w:cstheme="minorHAnsi"/>
            <w:color w:val="005274"/>
          </w:rPr>
          <w:t>Materials and Methods</w:t>
        </w:r>
      </w:hyperlink>
      <w:r w:rsidRPr="00BE5234">
        <w:rPr>
          <w:rFonts w:cstheme="minorHAnsi"/>
        </w:rPr>
        <w:t>. Data points are means of 6 to 7 cells; error bars are omitted to improve clarity. (</w:t>
      </w:r>
      <w:r w:rsidRPr="00BE5234">
        <w:rPr>
          <w:rFonts w:cstheme="minorHAnsi"/>
          <w:b/>
          <w:bCs/>
        </w:rPr>
        <w:t>B</w:t>
      </w:r>
      <w:r w:rsidRPr="00BE5234">
        <w:rPr>
          <w:rFonts w:cstheme="minorHAnsi"/>
        </w:rPr>
        <w:t>,</w:t>
      </w:r>
      <w:r w:rsidRPr="00BE5234">
        <w:rPr>
          <w:rFonts w:cstheme="minorHAnsi"/>
          <w:b/>
          <w:bCs/>
        </w:rPr>
        <w:t> D</w:t>
      </w:r>
      <w:r w:rsidRPr="00BE5234">
        <w:rPr>
          <w:rFonts w:cstheme="minorHAnsi"/>
        </w:rPr>
        <w:t>) Bar graphs show average EC</w:t>
      </w:r>
      <w:r w:rsidRPr="00BE5234">
        <w:rPr>
          <w:rFonts w:cstheme="minorHAnsi"/>
          <w:sz w:val="16"/>
          <w:szCs w:val="16"/>
          <w:vertAlign w:val="subscript"/>
        </w:rPr>
        <w:t>50</w:t>
      </w:r>
      <w:r w:rsidRPr="00BE5234">
        <w:rPr>
          <w:rFonts w:cstheme="minorHAnsi"/>
        </w:rPr>
        <w:t> values for glutamate activation of peak (</w:t>
      </w:r>
      <w:r w:rsidRPr="00BE5234">
        <w:rPr>
          <w:rFonts w:cstheme="minorHAnsi"/>
          <w:b/>
          <w:bCs/>
        </w:rPr>
        <w:t>B</w:t>
      </w:r>
      <w:r w:rsidRPr="00BE5234">
        <w:rPr>
          <w:rFonts w:cstheme="minorHAnsi"/>
        </w:rPr>
        <w:t>) and steady‐state (</w:t>
      </w:r>
      <w:r w:rsidRPr="00BE5234">
        <w:rPr>
          <w:rFonts w:cstheme="minorHAnsi"/>
          <w:b/>
          <w:bCs/>
        </w:rPr>
        <w:t>D</w:t>
      </w:r>
      <w:r w:rsidRPr="00BE5234">
        <w:rPr>
          <w:rFonts w:cstheme="minorHAnsi"/>
        </w:rPr>
        <w:t>) current in the presence of 50 </w:t>
      </w:r>
      <w:r w:rsidRPr="00BE5234">
        <w:rPr>
          <w:rFonts w:cstheme="minorHAnsi"/>
          <w:i/>
          <w:iCs/>
        </w:rPr>
        <w:t>μ</w:t>
      </w:r>
      <w:r w:rsidRPr="00BE5234">
        <w:rPr>
          <w:rFonts w:cstheme="minorHAnsi"/>
        </w:rPr>
        <w:t>M glycine in cells expressing WT or mutant GluN2C subunits. EC</w:t>
      </w:r>
      <w:r w:rsidRPr="00BE5234">
        <w:rPr>
          <w:rFonts w:cstheme="minorHAnsi"/>
          <w:sz w:val="16"/>
          <w:szCs w:val="16"/>
          <w:vertAlign w:val="subscript"/>
        </w:rPr>
        <w:t>50</w:t>
      </w:r>
      <w:r w:rsidRPr="00BE5234">
        <w:rPr>
          <w:rFonts w:cstheme="minorHAnsi"/>
        </w:rPr>
        <w:t> values that are significantly different from the value for the WT receptor are indicated by asterisks (*</w:t>
      </w:r>
      <w:r w:rsidRPr="00BE5234">
        <w:rPr>
          <w:rFonts w:cstheme="minorHAnsi"/>
          <w:i/>
          <w:iCs/>
        </w:rPr>
        <w:t>p</w:t>
      </w:r>
      <w:r w:rsidRPr="00BE5234">
        <w:rPr>
          <w:rFonts w:cstheme="minorHAnsi"/>
        </w:rPr>
        <w:t> &lt; 0.05, **</w:t>
      </w:r>
      <w:r w:rsidRPr="00BE5234">
        <w:rPr>
          <w:rFonts w:cstheme="minorHAnsi"/>
          <w:i/>
          <w:iCs/>
        </w:rPr>
        <w:t>p</w:t>
      </w:r>
      <w:r w:rsidRPr="00BE5234">
        <w:rPr>
          <w:rFonts w:cstheme="minorHAnsi"/>
        </w:rPr>
        <w:t> &lt; 0.01; ANOVA and Dunnett's test). Results are means ± SE of 6 to 7 cells.</w:t>
      </w:r>
    </w:p>
    <w:p w14:paraId="380A32ED" w14:textId="5384DC0A" w:rsidR="00DC2506" w:rsidRPr="00BE5234" w:rsidRDefault="00DC2506" w:rsidP="00215592">
      <w:pPr>
        <w:pStyle w:val="NoSpacing"/>
        <w:rPr>
          <w:rFonts w:cstheme="minorHAnsi"/>
        </w:rPr>
      </w:pPr>
      <w:r w:rsidRPr="00BE5234">
        <w:rPr>
          <w:rFonts w:cstheme="minorHAnsi"/>
          <w:noProof/>
        </w:rPr>
        <w:drawing>
          <wp:inline distT="0" distB="0" distL="0" distR="0" wp14:anchorId="42D42257" wp14:editId="678522FD">
            <wp:extent cx="2743200" cy="1143000"/>
            <wp:effectExtent l="0" t="0" r="0" b="0"/>
            <wp:docPr id="4" name="Picture 4" descr="Figure 5 Substitution mutations at the M41 position (M821) in the GluN2C subunit can alter desensitization. (A) Bar graph shows average values of steady‐state‐to‐peak current ratio (Iss:Ip) for currents activated by glutamate, 300 μM, in the presence of glycine, 50 μM, in cells expressing the wild‐type (WT) and mutant subunits as indicated. Values that are significantly different from the value for the WT receptor are indicated by asterisks (**p &lt; 0.01; ANOVA and Dunnett's test). Results are means ± SE of 6 to 7 cells. (B) Graph plots maximal steady‐state‐to‐peak current ratio (Iss:Ip) against the EC50 for glutamate activation of steady‐state current (Iss). Maximal Iss:Ip and glutamate Iss EC50 values were not significantly correlated (R2 = 0.0918, p &gt; 0.05; ANO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5"/>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2743200" cy="1143000"/>
                    </a:xfrm>
                    <a:prstGeom prst="rect">
                      <a:avLst/>
                    </a:prstGeom>
                    <a:noFill/>
                    <a:ln>
                      <a:noFill/>
                    </a:ln>
                  </pic:spPr>
                </pic:pic>
              </a:graphicData>
            </a:graphic>
          </wp:inline>
        </w:drawing>
      </w:r>
    </w:p>
    <w:p w14:paraId="24C757E6" w14:textId="05DE81FE" w:rsidR="00DC2506" w:rsidRPr="00BE5234" w:rsidRDefault="00DC2506" w:rsidP="00DC2506">
      <w:pPr>
        <w:rPr>
          <w:rFonts w:cstheme="minorHAnsi"/>
        </w:rPr>
      </w:pPr>
      <w:r w:rsidRPr="00BE5234">
        <w:rPr>
          <w:rStyle w:val="Strong"/>
          <w:rFonts w:cstheme="minorHAnsi"/>
          <w:color w:val="212121"/>
        </w:rPr>
        <w:t>Figure 5</w:t>
      </w:r>
      <w:r w:rsidR="00215592" w:rsidRPr="00BE5234">
        <w:rPr>
          <w:rStyle w:val="Strong"/>
          <w:rFonts w:cstheme="minorHAnsi"/>
          <w:color w:val="212121"/>
        </w:rPr>
        <w:t xml:space="preserve"> </w:t>
      </w:r>
      <w:r w:rsidRPr="00BE5234">
        <w:rPr>
          <w:rFonts w:cstheme="minorHAnsi"/>
        </w:rPr>
        <w:t>Substitution mutations at the M4</w:t>
      </w:r>
      <w:r w:rsidRPr="00BE5234">
        <w:rPr>
          <w:rFonts w:cstheme="minorHAnsi"/>
          <w:sz w:val="16"/>
          <w:szCs w:val="16"/>
          <w:vertAlign w:val="subscript"/>
        </w:rPr>
        <w:t>1</w:t>
      </w:r>
      <w:r w:rsidRPr="00BE5234">
        <w:rPr>
          <w:rFonts w:cstheme="minorHAnsi"/>
        </w:rPr>
        <w:t> position (M821) in the GluN2C subunit can alter desensitization. (</w:t>
      </w:r>
      <w:r w:rsidRPr="00BE5234">
        <w:rPr>
          <w:rFonts w:cstheme="minorHAnsi"/>
          <w:b/>
          <w:bCs/>
        </w:rPr>
        <w:t>A</w:t>
      </w:r>
      <w:r w:rsidRPr="00BE5234">
        <w:rPr>
          <w:rFonts w:cstheme="minorHAnsi"/>
        </w:rPr>
        <w:t>) Bar graph shows average values of steady‐state‐to‐peak current ratio (</w:t>
      </w:r>
      <w:r w:rsidRPr="00BE5234">
        <w:rPr>
          <w:rFonts w:cstheme="minorHAnsi"/>
          <w:i/>
          <w:iCs/>
        </w:rPr>
        <w:t>I</w:t>
      </w:r>
      <w:r w:rsidRPr="00BE5234">
        <w:rPr>
          <w:rFonts w:cstheme="minorHAnsi"/>
          <w:sz w:val="16"/>
          <w:szCs w:val="16"/>
          <w:vertAlign w:val="subscript"/>
        </w:rPr>
        <w:t>ss</w:t>
      </w:r>
      <w:r w:rsidRPr="00BE5234">
        <w:rPr>
          <w:rFonts w:cstheme="minorHAnsi"/>
        </w:rPr>
        <w:t>:</w:t>
      </w:r>
      <w:r w:rsidRPr="00BE5234">
        <w:rPr>
          <w:rFonts w:cstheme="minorHAnsi"/>
          <w:i/>
          <w:iCs/>
        </w:rPr>
        <w:t>I</w:t>
      </w:r>
      <w:r w:rsidRPr="00BE5234">
        <w:rPr>
          <w:rFonts w:cstheme="minorHAnsi"/>
          <w:sz w:val="16"/>
          <w:szCs w:val="16"/>
          <w:vertAlign w:val="subscript"/>
        </w:rPr>
        <w:t>p</w:t>
      </w:r>
      <w:r w:rsidRPr="00BE5234">
        <w:rPr>
          <w:rFonts w:cstheme="minorHAnsi"/>
        </w:rPr>
        <w:t>) for currents activated by glutamate, 300 </w:t>
      </w:r>
      <w:r w:rsidRPr="00BE5234">
        <w:rPr>
          <w:rFonts w:cstheme="minorHAnsi"/>
          <w:i/>
          <w:iCs/>
        </w:rPr>
        <w:t>μ</w:t>
      </w:r>
      <w:r w:rsidRPr="00BE5234">
        <w:rPr>
          <w:rFonts w:cstheme="minorHAnsi"/>
        </w:rPr>
        <w:t>M, in the presence of glycine, 50 </w:t>
      </w:r>
      <w:r w:rsidRPr="00BE5234">
        <w:rPr>
          <w:rFonts w:cstheme="minorHAnsi"/>
          <w:i/>
          <w:iCs/>
        </w:rPr>
        <w:t>μ</w:t>
      </w:r>
      <w:r w:rsidRPr="00BE5234">
        <w:rPr>
          <w:rFonts w:cstheme="minorHAnsi"/>
        </w:rPr>
        <w:t>M, in cells expressing the wild‐type (WT) and mutant subunits as indicated. Values that are significantly different from the value for the WT receptor are indicated by asterisks (**</w:t>
      </w:r>
      <w:r w:rsidRPr="00BE5234">
        <w:rPr>
          <w:rFonts w:cstheme="minorHAnsi"/>
          <w:i/>
          <w:iCs/>
        </w:rPr>
        <w:t>p</w:t>
      </w:r>
      <w:r w:rsidRPr="00BE5234">
        <w:rPr>
          <w:rFonts w:cstheme="minorHAnsi"/>
        </w:rPr>
        <w:t> &lt; 0.01; ANOVA and Dunnett's test). Results are means ± SE of 6 to 7 cells. (</w:t>
      </w:r>
      <w:r w:rsidRPr="00BE5234">
        <w:rPr>
          <w:rFonts w:cstheme="minorHAnsi"/>
          <w:b/>
          <w:bCs/>
        </w:rPr>
        <w:t>B</w:t>
      </w:r>
      <w:r w:rsidRPr="00BE5234">
        <w:rPr>
          <w:rFonts w:cstheme="minorHAnsi"/>
        </w:rPr>
        <w:t>) Graph plots maximal steady‐state‐to‐peak current ratio (</w:t>
      </w:r>
      <w:r w:rsidRPr="00BE5234">
        <w:rPr>
          <w:rFonts w:cstheme="minorHAnsi"/>
          <w:i/>
          <w:iCs/>
        </w:rPr>
        <w:t>I</w:t>
      </w:r>
      <w:r w:rsidRPr="00BE5234">
        <w:rPr>
          <w:rFonts w:cstheme="minorHAnsi"/>
          <w:sz w:val="16"/>
          <w:szCs w:val="16"/>
          <w:vertAlign w:val="subscript"/>
        </w:rPr>
        <w:t>ss</w:t>
      </w:r>
      <w:r w:rsidRPr="00BE5234">
        <w:rPr>
          <w:rFonts w:cstheme="minorHAnsi"/>
        </w:rPr>
        <w:t>:</w:t>
      </w:r>
      <w:r w:rsidRPr="00BE5234">
        <w:rPr>
          <w:rFonts w:cstheme="minorHAnsi"/>
          <w:i/>
          <w:iCs/>
        </w:rPr>
        <w:t>I</w:t>
      </w:r>
      <w:r w:rsidRPr="00BE5234">
        <w:rPr>
          <w:rFonts w:cstheme="minorHAnsi"/>
          <w:sz w:val="16"/>
          <w:szCs w:val="16"/>
          <w:vertAlign w:val="subscript"/>
        </w:rPr>
        <w:t>p</w:t>
      </w:r>
      <w:r w:rsidRPr="00BE5234">
        <w:rPr>
          <w:rFonts w:cstheme="minorHAnsi"/>
        </w:rPr>
        <w:t>) against the EC</w:t>
      </w:r>
      <w:r w:rsidRPr="00BE5234">
        <w:rPr>
          <w:rFonts w:cstheme="minorHAnsi"/>
          <w:sz w:val="16"/>
          <w:szCs w:val="16"/>
          <w:vertAlign w:val="subscript"/>
        </w:rPr>
        <w:t>50</w:t>
      </w:r>
      <w:r w:rsidRPr="00BE5234">
        <w:rPr>
          <w:rFonts w:cstheme="minorHAnsi"/>
        </w:rPr>
        <w:t> for glutamate activation of steady‐state current (</w:t>
      </w:r>
      <w:r w:rsidRPr="00BE5234">
        <w:rPr>
          <w:rFonts w:cstheme="minorHAnsi"/>
          <w:i/>
          <w:iCs/>
        </w:rPr>
        <w:t>I</w:t>
      </w:r>
      <w:r w:rsidRPr="00BE5234">
        <w:rPr>
          <w:rFonts w:cstheme="minorHAnsi"/>
          <w:sz w:val="16"/>
          <w:szCs w:val="16"/>
          <w:vertAlign w:val="subscript"/>
        </w:rPr>
        <w:t>ss</w:t>
      </w:r>
      <w:r w:rsidRPr="00BE5234">
        <w:rPr>
          <w:rFonts w:cstheme="minorHAnsi"/>
        </w:rPr>
        <w:t>). Maximal </w:t>
      </w:r>
      <w:r w:rsidRPr="00BE5234">
        <w:rPr>
          <w:rFonts w:cstheme="minorHAnsi"/>
          <w:i/>
          <w:iCs/>
        </w:rPr>
        <w:t>I</w:t>
      </w:r>
      <w:r w:rsidRPr="00BE5234">
        <w:rPr>
          <w:rFonts w:cstheme="minorHAnsi"/>
          <w:sz w:val="16"/>
          <w:szCs w:val="16"/>
          <w:vertAlign w:val="subscript"/>
        </w:rPr>
        <w:t>ss</w:t>
      </w:r>
      <w:r w:rsidRPr="00BE5234">
        <w:rPr>
          <w:rFonts w:cstheme="minorHAnsi"/>
        </w:rPr>
        <w:t>:</w:t>
      </w:r>
      <w:r w:rsidRPr="00BE5234">
        <w:rPr>
          <w:rFonts w:cstheme="minorHAnsi"/>
          <w:i/>
          <w:iCs/>
        </w:rPr>
        <w:t>I</w:t>
      </w:r>
      <w:r w:rsidRPr="00BE5234">
        <w:rPr>
          <w:rFonts w:cstheme="minorHAnsi"/>
          <w:sz w:val="16"/>
          <w:szCs w:val="16"/>
          <w:vertAlign w:val="subscript"/>
        </w:rPr>
        <w:t>p</w:t>
      </w:r>
      <w:r w:rsidRPr="00BE5234">
        <w:rPr>
          <w:rFonts w:cstheme="minorHAnsi"/>
        </w:rPr>
        <w:t> and glutamate </w:t>
      </w:r>
      <w:r w:rsidRPr="00BE5234">
        <w:rPr>
          <w:rFonts w:cstheme="minorHAnsi"/>
          <w:i/>
          <w:iCs/>
        </w:rPr>
        <w:t>I</w:t>
      </w:r>
      <w:r w:rsidRPr="00BE5234">
        <w:rPr>
          <w:rFonts w:cstheme="minorHAnsi"/>
          <w:sz w:val="16"/>
          <w:szCs w:val="16"/>
          <w:vertAlign w:val="subscript"/>
        </w:rPr>
        <w:t>ss</w:t>
      </w:r>
      <w:r w:rsidRPr="00BE5234">
        <w:rPr>
          <w:rFonts w:cstheme="minorHAnsi"/>
        </w:rPr>
        <w:t> EC</w:t>
      </w:r>
      <w:r w:rsidRPr="00BE5234">
        <w:rPr>
          <w:rFonts w:cstheme="minorHAnsi"/>
          <w:sz w:val="16"/>
          <w:szCs w:val="16"/>
          <w:vertAlign w:val="subscript"/>
        </w:rPr>
        <w:t>50</w:t>
      </w:r>
      <w:r w:rsidRPr="00BE5234">
        <w:rPr>
          <w:rFonts w:cstheme="minorHAnsi"/>
        </w:rPr>
        <w:t> values were not significantly correlated (</w:t>
      </w:r>
      <w:r w:rsidRPr="00BE5234">
        <w:rPr>
          <w:rFonts w:cstheme="minorHAnsi"/>
          <w:i/>
          <w:iCs/>
        </w:rPr>
        <w:t>R</w:t>
      </w:r>
      <w:r w:rsidRPr="00BE5234">
        <w:rPr>
          <w:rFonts w:cstheme="minorHAnsi"/>
          <w:sz w:val="16"/>
          <w:szCs w:val="16"/>
          <w:vertAlign w:val="superscript"/>
        </w:rPr>
        <w:t>2</w:t>
      </w:r>
      <w:r w:rsidRPr="00BE5234">
        <w:rPr>
          <w:rFonts w:cstheme="minorHAnsi"/>
        </w:rPr>
        <w:t> = 0.0918, </w:t>
      </w:r>
      <w:r w:rsidRPr="00BE5234">
        <w:rPr>
          <w:rFonts w:cstheme="minorHAnsi"/>
          <w:i/>
          <w:iCs/>
        </w:rPr>
        <w:t>p</w:t>
      </w:r>
      <w:r w:rsidRPr="00BE5234">
        <w:rPr>
          <w:rFonts w:cstheme="minorHAnsi"/>
        </w:rPr>
        <w:t> &gt; 0.05; ANOVA).</w:t>
      </w:r>
    </w:p>
    <w:p w14:paraId="0E83D552" w14:textId="77777777" w:rsidR="00DC2506" w:rsidRPr="00BE5234" w:rsidRDefault="00DC2506" w:rsidP="00A30B81">
      <w:pPr>
        <w:pStyle w:val="Heading2"/>
        <w:rPr>
          <w:rFonts w:asciiTheme="minorHAnsi" w:hAnsiTheme="minorHAnsi" w:cstheme="minorHAnsi"/>
        </w:rPr>
      </w:pPr>
      <w:r w:rsidRPr="00BE5234">
        <w:rPr>
          <w:rFonts w:asciiTheme="minorHAnsi" w:hAnsiTheme="minorHAnsi" w:cstheme="minorHAnsi"/>
        </w:rPr>
        <w:t>Relation of EtOH Sensitivity to the Physical and Chemical Properties of the Substituent at GluN2C(M821)</w:t>
      </w:r>
    </w:p>
    <w:p w14:paraId="729B5831" w14:textId="77777777" w:rsidR="00DC2506" w:rsidRPr="00BE5234" w:rsidRDefault="00DC2506" w:rsidP="00A30B81">
      <w:pPr>
        <w:rPr>
          <w:rFonts w:cstheme="minorHAnsi"/>
        </w:rPr>
      </w:pPr>
      <w:r w:rsidRPr="00BE5234">
        <w:rPr>
          <w:rFonts w:cstheme="minorHAnsi"/>
        </w:rPr>
        <w:t>To evaluate the relative contribution of the physicochemical parameters of the amino acid at GluN2C(M821) to alcohol sensitivity, linear regression analyses of EtOH IC</w:t>
      </w:r>
      <w:r w:rsidRPr="00BE5234">
        <w:rPr>
          <w:rFonts w:cstheme="minorHAnsi"/>
          <w:vertAlign w:val="subscript"/>
        </w:rPr>
        <w:t>50</w:t>
      </w:r>
      <w:r w:rsidRPr="00BE5234">
        <w:rPr>
          <w:rFonts w:cstheme="minorHAnsi"/>
        </w:rPr>
        <w:t> values versus Log P (the logarithm of the octanol:water partition coefficient), hydrophilicity, molecular volume, and polarity of the substituent were performed. No significant linear relations were observed between log EtOH IC</w:t>
      </w:r>
      <w:r w:rsidRPr="00BE5234">
        <w:rPr>
          <w:rFonts w:cstheme="minorHAnsi"/>
          <w:vertAlign w:val="subscript"/>
        </w:rPr>
        <w:t>50</w:t>
      </w:r>
      <w:r w:rsidRPr="00BE5234">
        <w:rPr>
          <w:rFonts w:cstheme="minorHAnsi"/>
        </w:rPr>
        <w:t> values and Log P (</w:t>
      </w:r>
      <w:r w:rsidRPr="00BE5234">
        <w:rPr>
          <w:rFonts w:cstheme="minorHAnsi"/>
          <w:i/>
          <w:iCs/>
        </w:rPr>
        <w:t>R</w:t>
      </w:r>
      <w:r w:rsidRPr="00BE5234">
        <w:rPr>
          <w:rFonts w:cstheme="minorHAnsi"/>
          <w:vertAlign w:val="superscript"/>
        </w:rPr>
        <w:t>2</w:t>
      </w:r>
      <w:r w:rsidRPr="00BE5234">
        <w:rPr>
          <w:rFonts w:cstheme="minorHAnsi"/>
        </w:rPr>
        <w:t> = 0.0917; </w:t>
      </w:r>
      <w:r w:rsidRPr="00BE5234">
        <w:rPr>
          <w:rFonts w:cstheme="minorHAnsi"/>
          <w:i/>
          <w:iCs/>
        </w:rPr>
        <w:t>p</w:t>
      </w:r>
      <w:r w:rsidRPr="00BE5234">
        <w:rPr>
          <w:rFonts w:cstheme="minorHAnsi"/>
        </w:rPr>
        <w:t> &gt; 0.05), hydrophilicity (</w:t>
      </w:r>
      <w:r w:rsidRPr="00BE5234">
        <w:rPr>
          <w:rFonts w:cstheme="minorHAnsi"/>
          <w:i/>
          <w:iCs/>
        </w:rPr>
        <w:t>R</w:t>
      </w:r>
      <w:r w:rsidRPr="00BE5234">
        <w:rPr>
          <w:rFonts w:cstheme="minorHAnsi"/>
          <w:vertAlign w:val="superscript"/>
        </w:rPr>
        <w:t>2</w:t>
      </w:r>
      <w:r w:rsidRPr="00BE5234">
        <w:rPr>
          <w:rFonts w:cstheme="minorHAnsi"/>
        </w:rPr>
        <w:t> = 0.276; </w:t>
      </w:r>
      <w:r w:rsidRPr="00BE5234">
        <w:rPr>
          <w:rFonts w:cstheme="minorHAnsi"/>
          <w:i/>
          <w:iCs/>
        </w:rPr>
        <w:t>p</w:t>
      </w:r>
      <w:r w:rsidRPr="00BE5234">
        <w:rPr>
          <w:rFonts w:cstheme="minorHAnsi"/>
        </w:rPr>
        <w:t> &gt; 0.05), molecular volume (</w:t>
      </w:r>
      <w:r w:rsidRPr="00BE5234">
        <w:rPr>
          <w:rFonts w:cstheme="minorHAnsi"/>
          <w:i/>
          <w:iCs/>
        </w:rPr>
        <w:t>R</w:t>
      </w:r>
      <w:r w:rsidRPr="00BE5234">
        <w:rPr>
          <w:rFonts w:cstheme="minorHAnsi"/>
          <w:vertAlign w:val="superscript"/>
        </w:rPr>
        <w:t>2</w:t>
      </w:r>
      <w:r w:rsidRPr="00BE5234">
        <w:rPr>
          <w:rFonts w:cstheme="minorHAnsi"/>
        </w:rPr>
        <w:t> = 0.249; </w:t>
      </w:r>
      <w:r w:rsidRPr="00BE5234">
        <w:rPr>
          <w:rFonts w:cstheme="minorHAnsi"/>
          <w:i/>
          <w:iCs/>
        </w:rPr>
        <w:t>p</w:t>
      </w:r>
      <w:r w:rsidRPr="00BE5234">
        <w:rPr>
          <w:rFonts w:cstheme="minorHAnsi"/>
        </w:rPr>
        <w:t> &gt; 0.05), or polarity (</w:t>
      </w:r>
      <w:r w:rsidRPr="00BE5234">
        <w:rPr>
          <w:rFonts w:cstheme="minorHAnsi"/>
          <w:i/>
          <w:iCs/>
        </w:rPr>
        <w:t>R</w:t>
      </w:r>
      <w:r w:rsidRPr="00BE5234">
        <w:rPr>
          <w:rFonts w:cstheme="minorHAnsi"/>
          <w:vertAlign w:val="superscript"/>
        </w:rPr>
        <w:t>2</w:t>
      </w:r>
      <w:r w:rsidRPr="00BE5234">
        <w:rPr>
          <w:rFonts w:cstheme="minorHAnsi"/>
        </w:rPr>
        <w:t> = 0.0810; </w:t>
      </w:r>
      <w:r w:rsidRPr="00BE5234">
        <w:rPr>
          <w:rFonts w:cstheme="minorHAnsi"/>
          <w:i/>
          <w:iCs/>
        </w:rPr>
        <w:t>p</w:t>
      </w:r>
      <w:r w:rsidRPr="00BE5234">
        <w:rPr>
          <w:rFonts w:cstheme="minorHAnsi"/>
        </w:rPr>
        <w:t> &gt; 0.05) (Fig. </w:t>
      </w:r>
      <w:hyperlink r:id="rId95" w:anchor="acer14042-fig-0006" w:history="1">
        <w:r w:rsidRPr="00BE5234">
          <w:rPr>
            <w:rStyle w:val="Hyperlink"/>
            <w:rFonts w:eastAsiaTheme="majorEastAsia" w:cstheme="minorHAnsi"/>
            <w:b/>
            <w:bCs/>
            <w:color w:val="005274"/>
          </w:rPr>
          <w:t>6</w:t>
        </w:r>
      </w:hyperlink>
      <w:r w:rsidRPr="00BE5234">
        <w:rPr>
          <w:rFonts w:cstheme="minorHAnsi"/>
        </w:rPr>
        <w:t>).</w:t>
      </w:r>
    </w:p>
    <w:p w14:paraId="4C9352DA" w14:textId="65B0BDAD" w:rsidR="00DC2506" w:rsidRPr="00BE5234" w:rsidRDefault="00DC2506" w:rsidP="00215592">
      <w:pPr>
        <w:pStyle w:val="NoSpacing"/>
        <w:rPr>
          <w:rFonts w:cstheme="minorHAnsi"/>
        </w:rPr>
      </w:pPr>
      <w:r w:rsidRPr="00BE5234">
        <w:rPr>
          <w:rFonts w:cstheme="minorHAnsi"/>
          <w:noProof/>
        </w:rPr>
        <w:drawing>
          <wp:inline distT="0" distB="0" distL="0" distR="0" wp14:anchorId="5F363A72" wp14:editId="04C63366">
            <wp:extent cx="2743200" cy="2203704"/>
            <wp:effectExtent l="0" t="0" r="0" b="6350"/>
            <wp:docPr id="3" name="Picture 3" descr="Figure 6 Ethanol (EtOH) sensitivity of GluN2C M41 mutant subunits is not related to the physicochemical parameters of the substituent. The graphs plot log EtOH IC50 values versus Log P (A), hydrophilicity (B), molecular volume (C), and polarity (D) for various GluN2C(M821) mutant subunits. No significant linear relations were obtained among any of the measures tested (p &gt; 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6"/>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2743200" cy="2203704"/>
                    </a:xfrm>
                    <a:prstGeom prst="rect">
                      <a:avLst/>
                    </a:prstGeom>
                    <a:noFill/>
                    <a:ln>
                      <a:noFill/>
                    </a:ln>
                  </pic:spPr>
                </pic:pic>
              </a:graphicData>
            </a:graphic>
          </wp:inline>
        </w:drawing>
      </w:r>
    </w:p>
    <w:p w14:paraId="53FBE537" w14:textId="191BB7C6" w:rsidR="00DC2506" w:rsidRPr="00BE5234" w:rsidRDefault="00DC2506" w:rsidP="00DC2506">
      <w:pPr>
        <w:rPr>
          <w:rFonts w:cstheme="minorHAnsi"/>
        </w:rPr>
      </w:pPr>
      <w:r w:rsidRPr="00BE5234">
        <w:rPr>
          <w:rStyle w:val="Strong"/>
          <w:rFonts w:cstheme="minorHAnsi"/>
          <w:color w:val="212121"/>
        </w:rPr>
        <w:t>Figure 6</w:t>
      </w:r>
      <w:r w:rsidR="00215592" w:rsidRPr="00BE5234">
        <w:rPr>
          <w:rStyle w:val="Strong"/>
          <w:rFonts w:cstheme="minorHAnsi"/>
          <w:color w:val="212121"/>
        </w:rPr>
        <w:t xml:space="preserve"> </w:t>
      </w:r>
      <w:r w:rsidRPr="00BE5234">
        <w:rPr>
          <w:rFonts w:cstheme="minorHAnsi"/>
        </w:rPr>
        <w:t>Ethanol (EtOH) sensitivity of GluN2C M4</w:t>
      </w:r>
      <w:r w:rsidRPr="00BE5234">
        <w:rPr>
          <w:rFonts w:cstheme="minorHAnsi"/>
          <w:sz w:val="16"/>
          <w:szCs w:val="16"/>
          <w:vertAlign w:val="subscript"/>
        </w:rPr>
        <w:t>1</w:t>
      </w:r>
      <w:r w:rsidRPr="00BE5234">
        <w:rPr>
          <w:rFonts w:cstheme="minorHAnsi"/>
        </w:rPr>
        <w:t> mutant subunits is not related to the physicochemical parameters of the substituent. The graphs plot log EtOH IC</w:t>
      </w:r>
      <w:r w:rsidRPr="00BE5234">
        <w:rPr>
          <w:rFonts w:cstheme="minorHAnsi"/>
          <w:sz w:val="16"/>
          <w:szCs w:val="16"/>
          <w:vertAlign w:val="subscript"/>
        </w:rPr>
        <w:t>50</w:t>
      </w:r>
      <w:r w:rsidRPr="00BE5234">
        <w:rPr>
          <w:rFonts w:cstheme="minorHAnsi"/>
        </w:rPr>
        <w:t> values versus Log P (</w:t>
      </w:r>
      <w:r w:rsidRPr="00BE5234">
        <w:rPr>
          <w:rFonts w:cstheme="minorHAnsi"/>
          <w:b/>
          <w:bCs/>
        </w:rPr>
        <w:t>A</w:t>
      </w:r>
      <w:r w:rsidRPr="00BE5234">
        <w:rPr>
          <w:rFonts w:cstheme="minorHAnsi"/>
        </w:rPr>
        <w:t>), hydrophilicity (</w:t>
      </w:r>
      <w:r w:rsidRPr="00BE5234">
        <w:rPr>
          <w:rFonts w:cstheme="minorHAnsi"/>
          <w:b/>
          <w:bCs/>
        </w:rPr>
        <w:t>B</w:t>
      </w:r>
      <w:r w:rsidRPr="00BE5234">
        <w:rPr>
          <w:rFonts w:cstheme="minorHAnsi"/>
        </w:rPr>
        <w:t>), molecular volume (</w:t>
      </w:r>
      <w:r w:rsidRPr="00BE5234">
        <w:rPr>
          <w:rFonts w:cstheme="minorHAnsi"/>
          <w:b/>
          <w:bCs/>
        </w:rPr>
        <w:t>C</w:t>
      </w:r>
      <w:r w:rsidRPr="00BE5234">
        <w:rPr>
          <w:rFonts w:cstheme="minorHAnsi"/>
        </w:rPr>
        <w:t>), and polarity (</w:t>
      </w:r>
      <w:r w:rsidRPr="00BE5234">
        <w:rPr>
          <w:rFonts w:cstheme="minorHAnsi"/>
          <w:b/>
          <w:bCs/>
        </w:rPr>
        <w:t>D</w:t>
      </w:r>
      <w:r w:rsidRPr="00BE5234">
        <w:rPr>
          <w:rFonts w:cstheme="minorHAnsi"/>
        </w:rPr>
        <w:t>) for various GluN2C(M821) mutant subunits. No significant linear relations were obtained among any of the measures tested (</w:t>
      </w:r>
      <w:r w:rsidRPr="00BE5234">
        <w:rPr>
          <w:rFonts w:cstheme="minorHAnsi"/>
          <w:i/>
          <w:iCs/>
        </w:rPr>
        <w:t>p</w:t>
      </w:r>
      <w:r w:rsidRPr="00BE5234">
        <w:rPr>
          <w:rFonts w:cstheme="minorHAnsi"/>
        </w:rPr>
        <w:t> &gt; 0.05).</w:t>
      </w:r>
    </w:p>
    <w:p w14:paraId="01954EBE" w14:textId="77777777" w:rsidR="00DC2506" w:rsidRPr="00BE5234" w:rsidRDefault="00DC2506" w:rsidP="00A30B81">
      <w:pPr>
        <w:pStyle w:val="Heading2"/>
        <w:rPr>
          <w:rFonts w:asciiTheme="minorHAnsi" w:hAnsiTheme="minorHAnsi" w:cstheme="minorHAnsi"/>
        </w:rPr>
      </w:pPr>
      <w:r w:rsidRPr="00BE5234">
        <w:rPr>
          <w:rFonts w:asciiTheme="minorHAnsi" w:hAnsiTheme="minorHAnsi" w:cstheme="minorHAnsi"/>
        </w:rPr>
        <w:t>Relation of EtOH Sensitivity to Glutamate Potency and Desensitization Among Mutants at GluN2C(M821)</w:t>
      </w:r>
    </w:p>
    <w:p w14:paraId="57FA87BE" w14:textId="77777777" w:rsidR="00DC2506" w:rsidRPr="00BE5234" w:rsidRDefault="00DC2506" w:rsidP="00A30B81">
      <w:pPr>
        <w:rPr>
          <w:rFonts w:cstheme="minorHAnsi"/>
        </w:rPr>
      </w:pPr>
      <w:r w:rsidRPr="00BE5234">
        <w:rPr>
          <w:rFonts w:cstheme="minorHAnsi"/>
        </w:rPr>
        <w:t>It is possible that the observed variation in EtOH sensitivity among mutants at GluN2C(M821) could be attributable to changes in receptor kinetics. To test this possibility, we asked whether EtOH IC</w:t>
      </w:r>
      <w:r w:rsidRPr="00BE5234">
        <w:rPr>
          <w:rFonts w:cstheme="minorHAnsi"/>
          <w:vertAlign w:val="subscript"/>
        </w:rPr>
        <w:t>50</w:t>
      </w:r>
      <w:r w:rsidRPr="00BE5234">
        <w:rPr>
          <w:rFonts w:cstheme="minorHAnsi"/>
        </w:rPr>
        <w:t> values among the mutants were correlated with glutamate potency or desensitization. Although there was significant variation in each measure of receptor kinetics among the mutants, EtOH IC</w:t>
      </w:r>
      <w:r w:rsidRPr="00BE5234">
        <w:rPr>
          <w:rFonts w:cstheme="minorHAnsi"/>
          <w:vertAlign w:val="subscript"/>
        </w:rPr>
        <w:t>50</w:t>
      </w:r>
      <w:r w:rsidRPr="00BE5234">
        <w:rPr>
          <w:rFonts w:cstheme="minorHAnsi"/>
        </w:rPr>
        <w:t> values were not correlated with glutamate peak EC</w:t>
      </w:r>
      <w:r w:rsidRPr="00BE5234">
        <w:rPr>
          <w:rFonts w:cstheme="minorHAnsi"/>
          <w:vertAlign w:val="subscript"/>
        </w:rPr>
        <w:t>50</w:t>
      </w:r>
      <w:r w:rsidRPr="00BE5234">
        <w:rPr>
          <w:rFonts w:cstheme="minorHAnsi"/>
        </w:rPr>
        <w:t> (</w:t>
      </w:r>
      <w:r w:rsidRPr="00BE5234">
        <w:rPr>
          <w:rFonts w:cstheme="minorHAnsi"/>
          <w:i/>
          <w:iCs/>
        </w:rPr>
        <w:t>R</w:t>
      </w:r>
      <w:r w:rsidRPr="00BE5234">
        <w:rPr>
          <w:rFonts w:cstheme="minorHAnsi"/>
          <w:vertAlign w:val="superscript"/>
        </w:rPr>
        <w:t>2</w:t>
      </w:r>
      <w:r w:rsidRPr="00BE5234">
        <w:rPr>
          <w:rFonts w:cstheme="minorHAnsi"/>
        </w:rPr>
        <w:t> = 0.0614, </w:t>
      </w:r>
      <w:r w:rsidRPr="00BE5234">
        <w:rPr>
          <w:rFonts w:cstheme="minorHAnsi"/>
          <w:i/>
          <w:iCs/>
        </w:rPr>
        <w:t>p</w:t>
      </w:r>
      <w:r w:rsidRPr="00BE5234">
        <w:rPr>
          <w:rFonts w:cstheme="minorHAnsi"/>
        </w:rPr>
        <w:t> &gt; 0.05), steady‐state EC</w:t>
      </w:r>
      <w:r w:rsidRPr="00BE5234">
        <w:rPr>
          <w:rFonts w:cstheme="minorHAnsi"/>
          <w:vertAlign w:val="subscript"/>
        </w:rPr>
        <w:t>50</w:t>
      </w:r>
      <w:r w:rsidRPr="00BE5234">
        <w:rPr>
          <w:rFonts w:cstheme="minorHAnsi"/>
        </w:rPr>
        <w:t> (</w:t>
      </w:r>
      <w:r w:rsidRPr="00BE5234">
        <w:rPr>
          <w:rFonts w:cstheme="minorHAnsi"/>
          <w:i/>
          <w:iCs/>
        </w:rPr>
        <w:t>R</w:t>
      </w:r>
      <w:r w:rsidRPr="00BE5234">
        <w:rPr>
          <w:rFonts w:cstheme="minorHAnsi"/>
          <w:vertAlign w:val="superscript"/>
        </w:rPr>
        <w:t>2</w:t>
      </w:r>
      <w:r w:rsidRPr="00BE5234">
        <w:rPr>
          <w:rFonts w:cstheme="minorHAnsi"/>
        </w:rPr>
        <w:t> = 0.00462, </w:t>
      </w:r>
      <w:r w:rsidRPr="00BE5234">
        <w:rPr>
          <w:rFonts w:cstheme="minorHAnsi"/>
          <w:i/>
          <w:iCs/>
        </w:rPr>
        <w:t>p</w:t>
      </w:r>
      <w:r w:rsidRPr="00BE5234">
        <w:rPr>
          <w:rFonts w:cstheme="minorHAnsi"/>
        </w:rPr>
        <w:t> &gt; 0.05), or maximal </w:t>
      </w:r>
      <w:r w:rsidRPr="00BE5234">
        <w:rPr>
          <w:rFonts w:cstheme="minorHAnsi"/>
          <w:i/>
          <w:iCs/>
        </w:rPr>
        <w:t>I</w:t>
      </w:r>
      <w:r w:rsidRPr="00BE5234">
        <w:rPr>
          <w:rFonts w:cstheme="minorHAnsi"/>
          <w:vertAlign w:val="subscript"/>
        </w:rPr>
        <w:t>ss</w:t>
      </w:r>
      <w:r w:rsidRPr="00BE5234">
        <w:rPr>
          <w:rFonts w:cstheme="minorHAnsi"/>
        </w:rPr>
        <w:t>:</w:t>
      </w:r>
      <w:r w:rsidRPr="00BE5234">
        <w:rPr>
          <w:rFonts w:cstheme="minorHAnsi"/>
          <w:i/>
          <w:iCs/>
        </w:rPr>
        <w:t>I</w:t>
      </w:r>
      <w:r w:rsidRPr="00BE5234">
        <w:rPr>
          <w:rFonts w:cstheme="minorHAnsi"/>
          <w:vertAlign w:val="subscript"/>
        </w:rPr>
        <w:t>p</w:t>
      </w:r>
      <w:r w:rsidRPr="00BE5234">
        <w:rPr>
          <w:rFonts w:cstheme="minorHAnsi"/>
        </w:rPr>
        <w:t>(</w:t>
      </w:r>
      <w:r w:rsidRPr="00BE5234">
        <w:rPr>
          <w:rFonts w:cstheme="minorHAnsi"/>
          <w:i/>
          <w:iCs/>
        </w:rPr>
        <w:t>R</w:t>
      </w:r>
      <w:r w:rsidRPr="00BE5234">
        <w:rPr>
          <w:rFonts w:cstheme="minorHAnsi"/>
          <w:vertAlign w:val="superscript"/>
        </w:rPr>
        <w:t>2</w:t>
      </w:r>
      <w:r w:rsidRPr="00BE5234">
        <w:rPr>
          <w:rFonts w:cstheme="minorHAnsi"/>
        </w:rPr>
        <w:t> = 0.376, </w:t>
      </w:r>
      <w:r w:rsidRPr="00BE5234">
        <w:rPr>
          <w:rFonts w:cstheme="minorHAnsi"/>
          <w:i/>
          <w:iCs/>
        </w:rPr>
        <w:t>p</w:t>
      </w:r>
      <w:r w:rsidRPr="00BE5234">
        <w:rPr>
          <w:rFonts w:cstheme="minorHAnsi"/>
        </w:rPr>
        <w:t> &gt; 0.05; Fig. </w:t>
      </w:r>
      <w:hyperlink r:id="rId97" w:anchor="acer14042-fig-0007" w:history="1">
        <w:r w:rsidRPr="00BE5234">
          <w:rPr>
            <w:rStyle w:val="Hyperlink"/>
            <w:rFonts w:eastAsiaTheme="majorEastAsia" w:cstheme="minorHAnsi"/>
            <w:b/>
            <w:bCs/>
            <w:color w:val="005274"/>
          </w:rPr>
          <w:t>7</w:t>
        </w:r>
      </w:hyperlink>
      <w:r w:rsidRPr="00BE5234">
        <w:rPr>
          <w:rFonts w:cstheme="minorHAnsi"/>
        </w:rPr>
        <w:t>).</w:t>
      </w:r>
    </w:p>
    <w:p w14:paraId="4136711F" w14:textId="3B55025B" w:rsidR="00DC2506" w:rsidRPr="00BE5234" w:rsidRDefault="00DC2506" w:rsidP="00215592">
      <w:pPr>
        <w:pStyle w:val="NoSpacing"/>
        <w:rPr>
          <w:rFonts w:cstheme="minorHAnsi"/>
        </w:rPr>
      </w:pPr>
      <w:r w:rsidRPr="00BE5234">
        <w:rPr>
          <w:rFonts w:cstheme="minorHAnsi"/>
          <w:noProof/>
        </w:rPr>
        <w:drawing>
          <wp:inline distT="0" distB="0" distL="0" distR="0" wp14:anchorId="3E6D1542" wp14:editId="1DD55A1D">
            <wp:extent cx="2743200" cy="1060704"/>
            <wp:effectExtent l="0" t="0" r="0" b="6350"/>
            <wp:docPr id="2" name="Picture 2" descr="Figure 7 Ethanol (EtOH) sensitivity of GluN2C M41 mutant subunits is not related to glutamate potency or desensitization. The graphs plot log EtOH IC50 values versus the EC50 for glutamate activation of peak (Ip) or steady‐state (Iss) current (A) or maximal steady‐state‐to‐peak current ratio (Iss:Ip) (B) for various GluN2C(M821) mutant subunits. No significant linear relations were obtained among any of the measures tested (p &gt; 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7"/>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2743200" cy="1060704"/>
                    </a:xfrm>
                    <a:prstGeom prst="rect">
                      <a:avLst/>
                    </a:prstGeom>
                    <a:noFill/>
                    <a:ln>
                      <a:noFill/>
                    </a:ln>
                  </pic:spPr>
                </pic:pic>
              </a:graphicData>
            </a:graphic>
          </wp:inline>
        </w:drawing>
      </w:r>
    </w:p>
    <w:p w14:paraId="066A864E" w14:textId="0309F688" w:rsidR="00DC2506" w:rsidRPr="00BE5234" w:rsidRDefault="00DC2506" w:rsidP="00DC2506">
      <w:pPr>
        <w:rPr>
          <w:rFonts w:cstheme="minorHAnsi"/>
        </w:rPr>
      </w:pPr>
      <w:r w:rsidRPr="00BE5234">
        <w:rPr>
          <w:rStyle w:val="Strong"/>
          <w:rFonts w:cstheme="minorHAnsi"/>
          <w:color w:val="212121"/>
        </w:rPr>
        <w:t>Figure 7</w:t>
      </w:r>
      <w:r w:rsidR="00215592" w:rsidRPr="00BE5234">
        <w:rPr>
          <w:rStyle w:val="Strong"/>
          <w:rFonts w:cstheme="minorHAnsi"/>
          <w:color w:val="212121"/>
        </w:rPr>
        <w:t xml:space="preserve"> </w:t>
      </w:r>
      <w:r w:rsidRPr="00BE5234">
        <w:rPr>
          <w:rFonts w:cstheme="minorHAnsi"/>
        </w:rPr>
        <w:t>Ethanol (EtOH) sensitivity of GluN2C M4</w:t>
      </w:r>
      <w:r w:rsidRPr="00BE5234">
        <w:rPr>
          <w:rFonts w:cstheme="minorHAnsi"/>
          <w:sz w:val="16"/>
          <w:szCs w:val="16"/>
          <w:vertAlign w:val="subscript"/>
        </w:rPr>
        <w:t>1</w:t>
      </w:r>
      <w:r w:rsidRPr="00BE5234">
        <w:rPr>
          <w:rFonts w:cstheme="minorHAnsi"/>
        </w:rPr>
        <w:t> mutant subunits is not related to glutamate potency or desensitization. The graphs plot log EtOH IC</w:t>
      </w:r>
      <w:r w:rsidRPr="00BE5234">
        <w:rPr>
          <w:rFonts w:cstheme="minorHAnsi"/>
          <w:sz w:val="16"/>
          <w:szCs w:val="16"/>
          <w:vertAlign w:val="subscript"/>
        </w:rPr>
        <w:t>50</w:t>
      </w:r>
      <w:r w:rsidRPr="00BE5234">
        <w:rPr>
          <w:rFonts w:cstheme="minorHAnsi"/>
        </w:rPr>
        <w:t> values versus the EC</w:t>
      </w:r>
      <w:r w:rsidRPr="00BE5234">
        <w:rPr>
          <w:rFonts w:cstheme="minorHAnsi"/>
          <w:sz w:val="16"/>
          <w:szCs w:val="16"/>
          <w:vertAlign w:val="subscript"/>
        </w:rPr>
        <w:t>50</w:t>
      </w:r>
      <w:r w:rsidRPr="00BE5234">
        <w:rPr>
          <w:rFonts w:cstheme="minorHAnsi"/>
        </w:rPr>
        <w:t> for glutamate activation of peak (</w:t>
      </w:r>
      <w:r w:rsidRPr="00BE5234">
        <w:rPr>
          <w:rFonts w:cstheme="minorHAnsi"/>
          <w:i/>
          <w:iCs/>
        </w:rPr>
        <w:t>I</w:t>
      </w:r>
      <w:r w:rsidRPr="00BE5234">
        <w:rPr>
          <w:rFonts w:cstheme="minorHAnsi"/>
          <w:sz w:val="16"/>
          <w:szCs w:val="16"/>
          <w:vertAlign w:val="subscript"/>
        </w:rPr>
        <w:t>p</w:t>
      </w:r>
      <w:r w:rsidRPr="00BE5234">
        <w:rPr>
          <w:rFonts w:cstheme="minorHAnsi"/>
        </w:rPr>
        <w:t>) or steady‐state (</w:t>
      </w:r>
      <w:r w:rsidRPr="00BE5234">
        <w:rPr>
          <w:rFonts w:cstheme="minorHAnsi"/>
          <w:i/>
          <w:iCs/>
        </w:rPr>
        <w:t>I</w:t>
      </w:r>
      <w:r w:rsidRPr="00BE5234">
        <w:rPr>
          <w:rFonts w:cstheme="minorHAnsi"/>
          <w:sz w:val="16"/>
          <w:szCs w:val="16"/>
          <w:vertAlign w:val="subscript"/>
        </w:rPr>
        <w:t>ss</w:t>
      </w:r>
      <w:r w:rsidRPr="00BE5234">
        <w:rPr>
          <w:rFonts w:cstheme="minorHAnsi"/>
        </w:rPr>
        <w:t>) current (</w:t>
      </w:r>
      <w:r w:rsidRPr="00BE5234">
        <w:rPr>
          <w:rFonts w:cstheme="minorHAnsi"/>
          <w:b/>
          <w:bCs/>
        </w:rPr>
        <w:t>A</w:t>
      </w:r>
      <w:r w:rsidRPr="00BE5234">
        <w:rPr>
          <w:rFonts w:cstheme="minorHAnsi"/>
        </w:rPr>
        <w:t>) or maximal steady‐state‐to‐peak current ratio (</w:t>
      </w:r>
      <w:r w:rsidRPr="00BE5234">
        <w:rPr>
          <w:rFonts w:cstheme="minorHAnsi"/>
          <w:i/>
          <w:iCs/>
        </w:rPr>
        <w:t>I</w:t>
      </w:r>
      <w:r w:rsidRPr="00BE5234">
        <w:rPr>
          <w:rFonts w:cstheme="minorHAnsi"/>
          <w:sz w:val="16"/>
          <w:szCs w:val="16"/>
          <w:vertAlign w:val="subscript"/>
        </w:rPr>
        <w:t>ss</w:t>
      </w:r>
      <w:r w:rsidRPr="00BE5234">
        <w:rPr>
          <w:rFonts w:cstheme="minorHAnsi"/>
        </w:rPr>
        <w:t>:</w:t>
      </w:r>
      <w:r w:rsidRPr="00BE5234">
        <w:rPr>
          <w:rFonts w:cstheme="minorHAnsi"/>
          <w:i/>
          <w:iCs/>
        </w:rPr>
        <w:t>I</w:t>
      </w:r>
      <w:r w:rsidRPr="00BE5234">
        <w:rPr>
          <w:rFonts w:cstheme="minorHAnsi"/>
          <w:sz w:val="16"/>
          <w:szCs w:val="16"/>
          <w:vertAlign w:val="subscript"/>
        </w:rPr>
        <w:t>p</w:t>
      </w:r>
      <w:r w:rsidRPr="00BE5234">
        <w:rPr>
          <w:rFonts w:cstheme="minorHAnsi"/>
        </w:rPr>
        <w:t>) (</w:t>
      </w:r>
      <w:r w:rsidRPr="00BE5234">
        <w:rPr>
          <w:rFonts w:cstheme="minorHAnsi"/>
          <w:b/>
          <w:bCs/>
        </w:rPr>
        <w:t>B</w:t>
      </w:r>
      <w:r w:rsidRPr="00BE5234">
        <w:rPr>
          <w:rFonts w:cstheme="minorHAnsi"/>
        </w:rPr>
        <w:t>) for various GluN2C(M821) mutant subunits. No significant linear relations were obtained among any of the measures tested (</w:t>
      </w:r>
      <w:r w:rsidRPr="00BE5234">
        <w:rPr>
          <w:rFonts w:cstheme="minorHAnsi"/>
          <w:i/>
          <w:iCs/>
        </w:rPr>
        <w:t>p</w:t>
      </w:r>
      <w:r w:rsidRPr="00BE5234">
        <w:rPr>
          <w:rFonts w:cstheme="minorHAnsi"/>
        </w:rPr>
        <w:t> &gt; 0.05).</w:t>
      </w:r>
    </w:p>
    <w:p w14:paraId="3FAEFFFB" w14:textId="77777777" w:rsidR="00DC2506" w:rsidRPr="00BE5234" w:rsidRDefault="00DC2506" w:rsidP="00A30B81">
      <w:pPr>
        <w:pStyle w:val="Heading2"/>
        <w:rPr>
          <w:rFonts w:asciiTheme="minorHAnsi" w:hAnsiTheme="minorHAnsi" w:cstheme="minorHAnsi"/>
        </w:rPr>
      </w:pPr>
      <w:r w:rsidRPr="00BE5234">
        <w:rPr>
          <w:rFonts w:asciiTheme="minorHAnsi" w:hAnsiTheme="minorHAnsi" w:cstheme="minorHAnsi"/>
        </w:rPr>
        <w:t>Comparison of EtOH‐Sensitive Positions in the GluN2A, GluN2B, and GluN2C Subunits</w:t>
      </w:r>
    </w:p>
    <w:p w14:paraId="379F0904" w14:textId="77777777" w:rsidR="00DC2506" w:rsidRPr="00BE5234" w:rsidRDefault="00DC2506" w:rsidP="00A30B81">
      <w:pPr>
        <w:rPr>
          <w:rFonts w:cstheme="minorHAnsi"/>
        </w:rPr>
      </w:pPr>
      <w:r w:rsidRPr="00BE5234">
        <w:rPr>
          <w:rFonts w:cstheme="minorHAnsi"/>
        </w:rPr>
        <w:t>Several previous studies from this laboratory have used scanning mutagenesis to identify EtOH‐sensitive positions in the M3 and M4 domains of the GluN2A and GluN2B subunits (Honse et al., </w:t>
      </w:r>
      <w:hyperlink r:id="rId99" w:anchor="acer14042-bib-0010" w:history="1">
        <w:r w:rsidRPr="00BE5234">
          <w:rPr>
            <w:rStyle w:val="Hyperlink"/>
            <w:rFonts w:eastAsiaTheme="majorEastAsia" w:cstheme="minorHAnsi"/>
            <w:b/>
            <w:bCs/>
            <w:color w:val="000000"/>
          </w:rPr>
          <w:t>2004</w:t>
        </w:r>
      </w:hyperlink>
      <w:r w:rsidRPr="00BE5234">
        <w:rPr>
          <w:rFonts w:cstheme="minorHAnsi"/>
        </w:rPr>
        <w:t>; Ren et al., </w:t>
      </w:r>
      <w:hyperlink r:id="rId100" w:anchor="acer14042-bib-0028" w:history="1">
        <w:r w:rsidRPr="00BE5234">
          <w:rPr>
            <w:rStyle w:val="Hyperlink"/>
            <w:rFonts w:eastAsiaTheme="majorEastAsia" w:cstheme="minorHAnsi"/>
            <w:b/>
            <w:bCs/>
            <w:color w:val="000000"/>
          </w:rPr>
          <w:t>2003b</w:t>
        </w:r>
      </w:hyperlink>
      <w:r w:rsidRPr="00BE5234">
        <w:rPr>
          <w:rFonts w:cstheme="minorHAnsi"/>
        </w:rPr>
        <w:t>, </w:t>
      </w:r>
      <w:hyperlink r:id="rId101" w:anchor="acer14042-bib-0030" w:history="1">
        <w:r w:rsidRPr="00BE5234">
          <w:rPr>
            <w:rStyle w:val="Hyperlink"/>
            <w:rFonts w:eastAsiaTheme="majorEastAsia" w:cstheme="minorHAnsi"/>
            <w:b/>
            <w:bCs/>
            <w:color w:val="000000"/>
          </w:rPr>
          <w:t>2007</w:t>
        </w:r>
      </w:hyperlink>
      <w:r w:rsidRPr="00BE5234">
        <w:rPr>
          <w:rFonts w:cstheme="minorHAnsi"/>
        </w:rPr>
        <w:t>, </w:t>
      </w:r>
      <w:hyperlink r:id="rId102" w:anchor="acer14042-bib-0032" w:history="1">
        <w:r w:rsidRPr="00BE5234">
          <w:rPr>
            <w:rStyle w:val="Hyperlink"/>
            <w:rFonts w:eastAsiaTheme="majorEastAsia" w:cstheme="minorHAnsi"/>
            <w:b/>
            <w:bCs/>
            <w:color w:val="000000"/>
          </w:rPr>
          <w:t>2013</w:t>
        </w:r>
      </w:hyperlink>
      <w:r w:rsidRPr="00BE5234">
        <w:rPr>
          <w:rFonts w:cstheme="minorHAnsi"/>
        </w:rPr>
        <w:t>; Zhao et al., </w:t>
      </w:r>
      <w:hyperlink r:id="rId103" w:anchor="acer14042-bib-0049" w:history="1">
        <w:r w:rsidRPr="00BE5234">
          <w:rPr>
            <w:rStyle w:val="Hyperlink"/>
            <w:rFonts w:eastAsiaTheme="majorEastAsia" w:cstheme="minorHAnsi"/>
            <w:b/>
            <w:bCs/>
            <w:color w:val="000000"/>
          </w:rPr>
          <w:t>2015</w:t>
        </w:r>
      </w:hyperlink>
      <w:r w:rsidRPr="00BE5234">
        <w:rPr>
          <w:rFonts w:cstheme="minorHAnsi"/>
        </w:rPr>
        <w:t>). Comparison of the EtOH sensitivity of tryptophan substitution mutants at these positions among the GluN2A‐C subunits revealed a number of striking differences as well as similarities (Fig. </w:t>
      </w:r>
      <w:hyperlink r:id="rId104" w:anchor="acer14042-fig-0008" w:history="1">
        <w:r w:rsidRPr="00BE5234">
          <w:rPr>
            <w:rStyle w:val="Hyperlink"/>
            <w:rFonts w:eastAsiaTheme="majorEastAsia" w:cstheme="minorHAnsi"/>
            <w:b/>
            <w:bCs/>
            <w:color w:val="005274"/>
          </w:rPr>
          <w:t>8</w:t>
        </w:r>
      </w:hyperlink>
      <w:r w:rsidRPr="00BE5234">
        <w:rPr>
          <w:rFonts w:cstheme="minorHAnsi"/>
        </w:rPr>
        <w:t>). At the M3</w:t>
      </w:r>
      <w:r w:rsidRPr="00BE5234">
        <w:rPr>
          <w:rFonts w:cstheme="minorHAnsi"/>
          <w:vertAlign w:val="subscript"/>
        </w:rPr>
        <w:t>1</w:t>
      </w:r>
      <w:r w:rsidRPr="00BE5234">
        <w:rPr>
          <w:rFonts w:cstheme="minorHAnsi"/>
        </w:rPr>
        <w:t>position, tryptophan substitution decreased EtOH sensitivity in both the GluN2A and GluN2B subunits, but had no effect in the GluN2C subunit (Fig. </w:t>
      </w:r>
      <w:hyperlink r:id="rId105" w:anchor="acer14042-fig-0008" w:history="1">
        <w:r w:rsidRPr="00BE5234">
          <w:rPr>
            <w:rStyle w:val="Hyperlink"/>
            <w:rFonts w:eastAsiaTheme="majorEastAsia" w:cstheme="minorHAnsi"/>
            <w:b/>
            <w:bCs/>
            <w:color w:val="005274"/>
          </w:rPr>
          <w:t>8</w:t>
        </w:r>
      </w:hyperlink>
      <w:r w:rsidRPr="00BE5234">
        <w:rPr>
          <w:rFonts w:cstheme="minorHAnsi"/>
          <w:i/>
          <w:iCs/>
        </w:rPr>
        <w:t>A</w:t>
      </w:r>
      <w:r w:rsidRPr="00BE5234">
        <w:rPr>
          <w:rFonts w:cstheme="minorHAnsi"/>
        </w:rPr>
        <w:t>). At the M3</w:t>
      </w:r>
      <w:r w:rsidRPr="00BE5234">
        <w:rPr>
          <w:rFonts w:cstheme="minorHAnsi"/>
          <w:vertAlign w:val="subscript"/>
        </w:rPr>
        <w:t>2</w:t>
      </w:r>
      <w:r w:rsidRPr="00BE5234">
        <w:rPr>
          <w:rFonts w:cstheme="minorHAnsi"/>
        </w:rPr>
        <w:t> and M4</w:t>
      </w:r>
      <w:r w:rsidRPr="00BE5234">
        <w:rPr>
          <w:rFonts w:cstheme="minorHAnsi"/>
          <w:vertAlign w:val="subscript"/>
        </w:rPr>
        <w:t>1</w:t>
      </w:r>
      <w:r w:rsidRPr="00BE5234">
        <w:rPr>
          <w:rFonts w:cstheme="minorHAnsi"/>
        </w:rPr>
        <w:t> positions, EtOH sensitivity was decreased by tryptophan substitution in GluN2A, unchanged in GluN2B, and increased in GluN2C. At the M4</w:t>
      </w:r>
      <w:r w:rsidRPr="00BE5234">
        <w:rPr>
          <w:rFonts w:cstheme="minorHAnsi"/>
          <w:vertAlign w:val="subscript"/>
        </w:rPr>
        <w:t>2</w:t>
      </w:r>
      <w:r w:rsidRPr="00BE5234">
        <w:rPr>
          <w:rFonts w:cstheme="minorHAnsi"/>
        </w:rPr>
        <w:t> position, tryptophan substitution decreased EtOH sensitivity in all 3 GluN2 subunits.</w:t>
      </w:r>
    </w:p>
    <w:p w14:paraId="6B29A735" w14:textId="34568180" w:rsidR="00DC2506" w:rsidRPr="00BE5234" w:rsidRDefault="00DC2506" w:rsidP="00215592">
      <w:pPr>
        <w:pStyle w:val="NoSpacing"/>
        <w:rPr>
          <w:rFonts w:cstheme="minorHAnsi"/>
        </w:rPr>
      </w:pPr>
      <w:r w:rsidRPr="00BE5234">
        <w:rPr>
          <w:rFonts w:cstheme="minorHAnsi"/>
          <w:noProof/>
        </w:rPr>
        <w:drawing>
          <wp:inline distT="0" distB="0" distL="0" distR="0" wp14:anchorId="79D569C0" wp14:editId="5141373C">
            <wp:extent cx="2743200" cy="1060704"/>
            <wp:effectExtent l="0" t="0" r="0" b="6350"/>
            <wp:docPr id="1" name="Picture 1" descr="Figure 8 Ethanol (EtOH)‐sensitive positions differ among GluN2A‐C subunits. (A) Bar graph plots EtOH IC50 values for wild‐type (WT) and tryptophan substitution mutant GluN2A‐C subunits. EC50values that are significantly different from the value for the corresponding WT receptor are indicated by asterisks (*p &lt; 0.05, **p &lt; 0.01, ***p &lt; 0.001; ANOVA and Dunnett's test). Data for GluN2A and GluN2B subunits are from Honse and colleagues (2004), Ren and colleagues (2003b, 2007, 2013), Zhao and colleagues (2015). (B) Graph plots log EtOH IC50 values for various substitution mutants at the M41 position in GluN2C versus those for various substitution mutants at the M41 position in GluN2A. EtOH sensitivity among GluN2A and GluN2C M41 mutants was not significantly linearly related (p &gt; 0.05). Data for GluN2A subunits are from Ren and colleagues (2003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8"/>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2743200" cy="1060704"/>
                    </a:xfrm>
                    <a:prstGeom prst="rect">
                      <a:avLst/>
                    </a:prstGeom>
                    <a:noFill/>
                    <a:ln>
                      <a:noFill/>
                    </a:ln>
                  </pic:spPr>
                </pic:pic>
              </a:graphicData>
            </a:graphic>
          </wp:inline>
        </w:drawing>
      </w:r>
    </w:p>
    <w:p w14:paraId="7FD7BE92" w14:textId="48F13782" w:rsidR="00DC2506" w:rsidRPr="00BE5234" w:rsidRDefault="00DC2506" w:rsidP="00DC2506">
      <w:pPr>
        <w:rPr>
          <w:rFonts w:cstheme="minorHAnsi"/>
        </w:rPr>
      </w:pPr>
      <w:r w:rsidRPr="00BE5234">
        <w:rPr>
          <w:rStyle w:val="Strong"/>
          <w:rFonts w:cstheme="minorHAnsi"/>
          <w:color w:val="212121"/>
        </w:rPr>
        <w:t>Figure 8</w:t>
      </w:r>
      <w:r w:rsidR="00215592" w:rsidRPr="00BE5234">
        <w:rPr>
          <w:rStyle w:val="Strong"/>
          <w:rFonts w:cstheme="minorHAnsi"/>
          <w:color w:val="212121"/>
        </w:rPr>
        <w:t xml:space="preserve"> </w:t>
      </w:r>
      <w:r w:rsidRPr="00BE5234">
        <w:rPr>
          <w:rFonts w:cstheme="minorHAnsi"/>
        </w:rPr>
        <w:t>Ethanol (EtOH)‐sensitive positions differ among GluN2A‐C subunits. (</w:t>
      </w:r>
      <w:r w:rsidRPr="00BE5234">
        <w:rPr>
          <w:rFonts w:cstheme="minorHAnsi"/>
          <w:b/>
          <w:bCs/>
        </w:rPr>
        <w:t>A</w:t>
      </w:r>
      <w:r w:rsidRPr="00BE5234">
        <w:rPr>
          <w:rFonts w:cstheme="minorHAnsi"/>
        </w:rPr>
        <w:t>) Bar graph plots EtOH IC</w:t>
      </w:r>
      <w:r w:rsidRPr="00BE5234">
        <w:rPr>
          <w:rFonts w:cstheme="minorHAnsi"/>
          <w:sz w:val="16"/>
          <w:szCs w:val="16"/>
          <w:vertAlign w:val="subscript"/>
        </w:rPr>
        <w:t>50</w:t>
      </w:r>
      <w:r w:rsidRPr="00BE5234">
        <w:rPr>
          <w:rFonts w:cstheme="minorHAnsi"/>
        </w:rPr>
        <w:t> values for wild‐type (WT) and tryptophan substitution mutant GluN2A‐C subunits. EC</w:t>
      </w:r>
      <w:r w:rsidRPr="00BE5234">
        <w:rPr>
          <w:rFonts w:cstheme="minorHAnsi"/>
          <w:sz w:val="16"/>
          <w:szCs w:val="16"/>
          <w:vertAlign w:val="subscript"/>
        </w:rPr>
        <w:t>50</w:t>
      </w:r>
      <w:r w:rsidRPr="00BE5234">
        <w:rPr>
          <w:rFonts w:cstheme="minorHAnsi"/>
        </w:rPr>
        <w:t>values that are significantly different from the value for the corresponding WT receptor are indicated by asterisks (*</w:t>
      </w:r>
      <w:r w:rsidRPr="00BE5234">
        <w:rPr>
          <w:rFonts w:cstheme="minorHAnsi"/>
          <w:i/>
          <w:iCs/>
        </w:rPr>
        <w:t>p</w:t>
      </w:r>
      <w:r w:rsidRPr="00BE5234">
        <w:rPr>
          <w:rFonts w:cstheme="minorHAnsi"/>
        </w:rPr>
        <w:t> &lt; 0.05, **</w:t>
      </w:r>
      <w:r w:rsidRPr="00BE5234">
        <w:rPr>
          <w:rFonts w:cstheme="minorHAnsi"/>
          <w:i/>
          <w:iCs/>
        </w:rPr>
        <w:t>p</w:t>
      </w:r>
      <w:r w:rsidRPr="00BE5234">
        <w:rPr>
          <w:rFonts w:cstheme="minorHAnsi"/>
        </w:rPr>
        <w:t> &lt; 0.01, ***</w:t>
      </w:r>
      <w:r w:rsidRPr="00BE5234">
        <w:rPr>
          <w:rFonts w:cstheme="minorHAnsi"/>
          <w:i/>
          <w:iCs/>
        </w:rPr>
        <w:t>p</w:t>
      </w:r>
      <w:r w:rsidRPr="00BE5234">
        <w:rPr>
          <w:rFonts w:cstheme="minorHAnsi"/>
        </w:rPr>
        <w:t> &lt; 0.001; ANOVA and Dunnett's test). Data for GluN2A and GluN2B subunits are from Honse and colleagues (</w:t>
      </w:r>
      <w:hyperlink r:id="rId107" w:anchor="acer14042-bib-0010" w:history="1">
        <w:r w:rsidRPr="00BE5234">
          <w:rPr>
            <w:rStyle w:val="Hyperlink"/>
            <w:rFonts w:cstheme="minorHAnsi"/>
            <w:color w:val="000000"/>
          </w:rPr>
          <w:t>2004</w:t>
        </w:r>
      </w:hyperlink>
      <w:r w:rsidRPr="00BE5234">
        <w:rPr>
          <w:rFonts w:cstheme="minorHAnsi"/>
        </w:rPr>
        <w:t>), Ren and colleagues (</w:t>
      </w:r>
      <w:hyperlink r:id="rId108" w:anchor="acer14042-bib-0028" w:history="1">
        <w:r w:rsidRPr="00BE5234">
          <w:rPr>
            <w:rStyle w:val="Hyperlink"/>
            <w:rFonts w:cstheme="minorHAnsi"/>
            <w:color w:val="000000"/>
          </w:rPr>
          <w:t>2003b</w:t>
        </w:r>
      </w:hyperlink>
      <w:r w:rsidRPr="00BE5234">
        <w:rPr>
          <w:rFonts w:cstheme="minorHAnsi"/>
        </w:rPr>
        <w:t>, </w:t>
      </w:r>
      <w:hyperlink r:id="rId109" w:anchor="acer14042-bib-0030" w:history="1">
        <w:r w:rsidRPr="00BE5234">
          <w:rPr>
            <w:rStyle w:val="Hyperlink"/>
            <w:rFonts w:cstheme="minorHAnsi"/>
            <w:color w:val="000000"/>
          </w:rPr>
          <w:t>2007</w:t>
        </w:r>
      </w:hyperlink>
      <w:r w:rsidRPr="00BE5234">
        <w:rPr>
          <w:rFonts w:cstheme="minorHAnsi"/>
        </w:rPr>
        <w:t>, </w:t>
      </w:r>
      <w:hyperlink r:id="rId110" w:anchor="acer14042-bib-0032" w:history="1">
        <w:r w:rsidRPr="00BE5234">
          <w:rPr>
            <w:rStyle w:val="Hyperlink"/>
            <w:rFonts w:cstheme="minorHAnsi"/>
            <w:color w:val="000000"/>
          </w:rPr>
          <w:t>2013</w:t>
        </w:r>
      </w:hyperlink>
      <w:r w:rsidRPr="00BE5234">
        <w:rPr>
          <w:rFonts w:cstheme="minorHAnsi"/>
        </w:rPr>
        <w:t>), Zhao and colleagues (</w:t>
      </w:r>
      <w:hyperlink r:id="rId111" w:anchor="acer14042-bib-0049" w:history="1">
        <w:r w:rsidRPr="00BE5234">
          <w:rPr>
            <w:rStyle w:val="Hyperlink"/>
            <w:rFonts w:cstheme="minorHAnsi"/>
            <w:color w:val="000000"/>
          </w:rPr>
          <w:t>2015</w:t>
        </w:r>
      </w:hyperlink>
      <w:r w:rsidRPr="00BE5234">
        <w:rPr>
          <w:rFonts w:cstheme="minorHAnsi"/>
        </w:rPr>
        <w:t>). (</w:t>
      </w:r>
      <w:r w:rsidRPr="00BE5234">
        <w:rPr>
          <w:rFonts w:cstheme="minorHAnsi"/>
          <w:b/>
          <w:bCs/>
        </w:rPr>
        <w:t>B</w:t>
      </w:r>
      <w:r w:rsidRPr="00BE5234">
        <w:rPr>
          <w:rFonts w:cstheme="minorHAnsi"/>
        </w:rPr>
        <w:t>) Graph plots log EtOH IC</w:t>
      </w:r>
      <w:r w:rsidRPr="00BE5234">
        <w:rPr>
          <w:rFonts w:cstheme="minorHAnsi"/>
          <w:sz w:val="16"/>
          <w:szCs w:val="16"/>
          <w:vertAlign w:val="subscript"/>
        </w:rPr>
        <w:t>50</w:t>
      </w:r>
      <w:r w:rsidRPr="00BE5234">
        <w:rPr>
          <w:rFonts w:cstheme="minorHAnsi"/>
        </w:rPr>
        <w:t> values for various substitution mutants at the M4</w:t>
      </w:r>
      <w:r w:rsidRPr="00BE5234">
        <w:rPr>
          <w:rFonts w:cstheme="minorHAnsi"/>
          <w:sz w:val="16"/>
          <w:szCs w:val="16"/>
          <w:vertAlign w:val="subscript"/>
        </w:rPr>
        <w:t>1</w:t>
      </w:r>
      <w:r w:rsidRPr="00BE5234">
        <w:rPr>
          <w:rFonts w:cstheme="minorHAnsi"/>
        </w:rPr>
        <w:t> position in GluN2C versus those for various substitution mutants at the M4</w:t>
      </w:r>
      <w:r w:rsidRPr="00BE5234">
        <w:rPr>
          <w:rFonts w:cstheme="minorHAnsi"/>
          <w:sz w:val="16"/>
          <w:szCs w:val="16"/>
          <w:vertAlign w:val="subscript"/>
        </w:rPr>
        <w:t>1</w:t>
      </w:r>
      <w:r w:rsidRPr="00BE5234">
        <w:rPr>
          <w:rFonts w:cstheme="minorHAnsi"/>
        </w:rPr>
        <w:t> position in GluN2A. EtOH sensitivity among GluN2A and GluN2C M4</w:t>
      </w:r>
      <w:r w:rsidRPr="00BE5234">
        <w:rPr>
          <w:rFonts w:cstheme="minorHAnsi"/>
          <w:sz w:val="16"/>
          <w:szCs w:val="16"/>
          <w:vertAlign w:val="subscript"/>
        </w:rPr>
        <w:t>1</w:t>
      </w:r>
      <w:r w:rsidRPr="00BE5234">
        <w:rPr>
          <w:rFonts w:cstheme="minorHAnsi"/>
        </w:rPr>
        <w:t> mutants was not significantly linearly related (</w:t>
      </w:r>
      <w:r w:rsidRPr="00BE5234">
        <w:rPr>
          <w:rFonts w:cstheme="minorHAnsi"/>
          <w:i/>
          <w:iCs/>
        </w:rPr>
        <w:t>p</w:t>
      </w:r>
      <w:r w:rsidRPr="00BE5234">
        <w:rPr>
          <w:rFonts w:cstheme="minorHAnsi"/>
        </w:rPr>
        <w:t> &gt; 0.05). Data for GluN2A subunits are from Ren and colleagues (</w:t>
      </w:r>
      <w:hyperlink r:id="rId112" w:anchor="acer14042-bib-0028" w:history="1">
        <w:r w:rsidRPr="00BE5234">
          <w:rPr>
            <w:rStyle w:val="Hyperlink"/>
            <w:rFonts w:cstheme="minorHAnsi"/>
            <w:color w:val="000000"/>
          </w:rPr>
          <w:t>2003b</w:t>
        </w:r>
      </w:hyperlink>
      <w:r w:rsidRPr="00BE5234">
        <w:rPr>
          <w:rFonts w:cstheme="minorHAnsi"/>
        </w:rPr>
        <w:t>).</w:t>
      </w:r>
    </w:p>
    <w:p w14:paraId="12B6F495" w14:textId="77777777" w:rsidR="00DC2506" w:rsidRPr="00BE5234" w:rsidRDefault="00DC2506" w:rsidP="00A30B81">
      <w:pPr>
        <w:rPr>
          <w:rFonts w:cstheme="minorHAnsi"/>
        </w:rPr>
      </w:pPr>
      <w:r w:rsidRPr="00BE5234">
        <w:rPr>
          <w:rFonts w:cstheme="minorHAnsi"/>
        </w:rPr>
        <w:t>If EtOH sensitivity at the corresponding position in 2 subunits is dependent upon similar factors, the effect of a series of substitution mutants at this position should be correlated. For a series of substitution mutants at the M4</w:t>
      </w:r>
      <w:r w:rsidRPr="00BE5234">
        <w:rPr>
          <w:rFonts w:cstheme="minorHAnsi"/>
          <w:vertAlign w:val="subscript"/>
        </w:rPr>
        <w:t>1</w:t>
      </w:r>
      <w:r w:rsidRPr="00BE5234">
        <w:rPr>
          <w:rFonts w:cstheme="minorHAnsi"/>
        </w:rPr>
        <w:t> position in the GluN2A and GluN2C subunits, however, EtOH sensitivity was not correlated (Fig. </w:t>
      </w:r>
      <w:hyperlink r:id="rId113" w:anchor="acer14042-fig-0008" w:history="1">
        <w:r w:rsidRPr="00BE5234">
          <w:rPr>
            <w:rStyle w:val="Hyperlink"/>
            <w:rFonts w:eastAsiaTheme="majorEastAsia" w:cstheme="minorHAnsi"/>
            <w:b/>
            <w:bCs/>
            <w:color w:val="005274"/>
          </w:rPr>
          <w:t>8</w:t>
        </w:r>
      </w:hyperlink>
      <w:r w:rsidRPr="00BE5234">
        <w:rPr>
          <w:rFonts w:cstheme="minorHAnsi"/>
          <w:i/>
          <w:iCs/>
        </w:rPr>
        <w:t>B</w:t>
      </w:r>
      <w:r w:rsidRPr="00BE5234">
        <w:rPr>
          <w:rFonts w:cstheme="minorHAnsi"/>
        </w:rPr>
        <w:t>).</w:t>
      </w:r>
    </w:p>
    <w:p w14:paraId="0FD1B041" w14:textId="77777777" w:rsidR="00DC2506" w:rsidRPr="00BE5234" w:rsidRDefault="00DC2506" w:rsidP="00A30B81">
      <w:pPr>
        <w:pStyle w:val="Heading1"/>
        <w:rPr>
          <w:rFonts w:asciiTheme="minorHAnsi" w:hAnsiTheme="minorHAnsi" w:cstheme="minorHAnsi"/>
        </w:rPr>
      </w:pPr>
      <w:r w:rsidRPr="00BE5234">
        <w:rPr>
          <w:rFonts w:asciiTheme="minorHAnsi" w:hAnsiTheme="minorHAnsi" w:cstheme="minorHAnsi"/>
        </w:rPr>
        <w:t>Discussion</w:t>
      </w:r>
    </w:p>
    <w:p w14:paraId="7A6362F6" w14:textId="77777777" w:rsidR="00DC2506" w:rsidRPr="00BE5234" w:rsidRDefault="00DC2506" w:rsidP="00A30B81">
      <w:pPr>
        <w:rPr>
          <w:rFonts w:cstheme="minorHAnsi"/>
        </w:rPr>
      </w:pPr>
      <w:r w:rsidRPr="00BE5234">
        <w:rPr>
          <w:rFonts w:cstheme="minorHAnsi"/>
        </w:rPr>
        <w:t>Previous work from this laboratory has demonstrated the existence of 4 alcohol‐sensitive positions in the M3 and M4 domains of the NMDAR GluN2A subunit (Honse et al., </w:t>
      </w:r>
      <w:hyperlink r:id="rId114" w:anchor="acer14042-bib-0010" w:history="1">
        <w:r w:rsidRPr="00BE5234">
          <w:rPr>
            <w:rStyle w:val="Hyperlink"/>
            <w:rFonts w:eastAsiaTheme="majorEastAsia" w:cstheme="minorHAnsi"/>
            <w:b/>
            <w:bCs/>
            <w:color w:val="000000"/>
          </w:rPr>
          <w:t>2004</w:t>
        </w:r>
      </w:hyperlink>
      <w:r w:rsidRPr="00BE5234">
        <w:rPr>
          <w:rFonts w:cstheme="minorHAnsi"/>
        </w:rPr>
        <w:t>; Ren et al., </w:t>
      </w:r>
      <w:hyperlink r:id="rId115" w:anchor="acer14042-bib-0028" w:history="1">
        <w:r w:rsidRPr="00BE5234">
          <w:rPr>
            <w:rStyle w:val="Hyperlink"/>
            <w:rFonts w:eastAsiaTheme="majorEastAsia" w:cstheme="minorHAnsi"/>
            <w:b/>
            <w:bCs/>
            <w:color w:val="000000"/>
          </w:rPr>
          <w:t>2003b</w:t>
        </w:r>
      </w:hyperlink>
      <w:r w:rsidRPr="00BE5234">
        <w:rPr>
          <w:rFonts w:cstheme="minorHAnsi"/>
        </w:rPr>
        <w:t>, </w:t>
      </w:r>
      <w:hyperlink r:id="rId116" w:anchor="acer14042-bib-0030" w:history="1">
        <w:r w:rsidRPr="00BE5234">
          <w:rPr>
            <w:rStyle w:val="Hyperlink"/>
            <w:rFonts w:eastAsiaTheme="majorEastAsia" w:cstheme="minorHAnsi"/>
            <w:b/>
            <w:bCs/>
            <w:color w:val="000000"/>
          </w:rPr>
          <w:t>2007</w:t>
        </w:r>
      </w:hyperlink>
      <w:r w:rsidRPr="00BE5234">
        <w:rPr>
          <w:rFonts w:cstheme="minorHAnsi"/>
        </w:rPr>
        <w:t>, </w:t>
      </w:r>
      <w:hyperlink r:id="rId117" w:anchor="acer14042-bib-0032" w:history="1">
        <w:r w:rsidRPr="00BE5234">
          <w:rPr>
            <w:rStyle w:val="Hyperlink"/>
            <w:rFonts w:eastAsiaTheme="majorEastAsia" w:cstheme="minorHAnsi"/>
            <w:b/>
            <w:bCs/>
            <w:color w:val="000000"/>
          </w:rPr>
          <w:t>2013</w:t>
        </w:r>
      </w:hyperlink>
      <w:r w:rsidRPr="00BE5234">
        <w:rPr>
          <w:rFonts w:cstheme="minorHAnsi"/>
        </w:rPr>
        <w:t>); 2 cognate positions regulate alcohol sensitivity in the GluN2B subunit (Zhao et al., </w:t>
      </w:r>
      <w:hyperlink r:id="rId118" w:anchor="acer14042-bib-0049" w:history="1">
        <w:r w:rsidRPr="00BE5234">
          <w:rPr>
            <w:rStyle w:val="Hyperlink"/>
            <w:rFonts w:eastAsiaTheme="majorEastAsia" w:cstheme="minorHAnsi"/>
            <w:b/>
            <w:bCs/>
            <w:color w:val="000000"/>
          </w:rPr>
          <w:t>2015</w:t>
        </w:r>
      </w:hyperlink>
      <w:r w:rsidRPr="00BE5234">
        <w:rPr>
          <w:rFonts w:cstheme="minorHAnsi"/>
        </w:rPr>
        <w:t>). The majority of these positions also regulate ion channel gating in GluN2A and GluN2B (Ren et al., </w:t>
      </w:r>
      <w:hyperlink r:id="rId119" w:anchor="acer14042-bib-0027" w:history="1">
        <w:r w:rsidRPr="00BE5234">
          <w:rPr>
            <w:rStyle w:val="Hyperlink"/>
            <w:rFonts w:eastAsiaTheme="majorEastAsia" w:cstheme="minorHAnsi"/>
            <w:b/>
            <w:bCs/>
            <w:color w:val="000000"/>
          </w:rPr>
          <w:t>2003a</w:t>
        </w:r>
      </w:hyperlink>
      <w:r w:rsidRPr="00BE5234">
        <w:rPr>
          <w:rFonts w:cstheme="minorHAnsi"/>
        </w:rPr>
        <w:t>, </w:t>
      </w:r>
      <w:hyperlink r:id="rId120" w:anchor="acer14042-bib-0030" w:history="1">
        <w:r w:rsidRPr="00BE5234">
          <w:rPr>
            <w:rStyle w:val="Hyperlink"/>
            <w:rFonts w:eastAsiaTheme="majorEastAsia" w:cstheme="minorHAnsi"/>
            <w:b/>
            <w:bCs/>
            <w:color w:val="000000"/>
          </w:rPr>
          <w:t>2007</w:t>
        </w:r>
      </w:hyperlink>
      <w:r w:rsidRPr="00BE5234">
        <w:rPr>
          <w:rFonts w:cstheme="minorHAnsi"/>
        </w:rPr>
        <w:t>, </w:t>
      </w:r>
      <w:hyperlink r:id="rId121" w:anchor="acer14042-bib-0029" w:history="1">
        <w:r w:rsidRPr="00BE5234">
          <w:rPr>
            <w:rStyle w:val="Hyperlink"/>
            <w:rFonts w:eastAsiaTheme="majorEastAsia" w:cstheme="minorHAnsi"/>
            <w:b/>
            <w:bCs/>
            <w:color w:val="000000"/>
          </w:rPr>
          <w:t>2008</w:t>
        </w:r>
      </w:hyperlink>
      <w:r w:rsidRPr="00BE5234">
        <w:rPr>
          <w:rFonts w:cstheme="minorHAnsi"/>
        </w:rPr>
        <w:t>, </w:t>
      </w:r>
      <w:hyperlink r:id="rId122" w:anchor="acer14042-bib-0032" w:history="1">
        <w:r w:rsidRPr="00BE5234">
          <w:rPr>
            <w:rStyle w:val="Hyperlink"/>
            <w:rFonts w:eastAsiaTheme="majorEastAsia" w:cstheme="minorHAnsi"/>
            <w:b/>
            <w:bCs/>
            <w:color w:val="000000"/>
          </w:rPr>
          <w:t>2013</w:t>
        </w:r>
      </w:hyperlink>
      <w:r w:rsidRPr="00BE5234">
        <w:rPr>
          <w:rFonts w:cstheme="minorHAnsi"/>
        </w:rPr>
        <w:t>; Zhao et al., </w:t>
      </w:r>
      <w:hyperlink r:id="rId123" w:anchor="acer14042-bib-0050" w:history="1">
        <w:r w:rsidRPr="00BE5234">
          <w:rPr>
            <w:rStyle w:val="Hyperlink"/>
            <w:rFonts w:eastAsiaTheme="majorEastAsia" w:cstheme="minorHAnsi"/>
            <w:b/>
            <w:bCs/>
            <w:color w:val="000000"/>
          </w:rPr>
          <w:t>2016</w:t>
        </w:r>
      </w:hyperlink>
      <w:r w:rsidRPr="00BE5234">
        <w:rPr>
          <w:rFonts w:cstheme="minorHAnsi"/>
        </w:rPr>
        <w:t>). Similar positions have been demonstrated in the GluN1 subunit (Ren et al., </w:t>
      </w:r>
      <w:hyperlink r:id="rId124" w:anchor="acer14042-bib-0031" w:history="1">
        <w:r w:rsidRPr="00BE5234">
          <w:rPr>
            <w:rStyle w:val="Hyperlink"/>
            <w:rFonts w:eastAsiaTheme="majorEastAsia" w:cstheme="minorHAnsi"/>
            <w:b/>
            <w:bCs/>
            <w:color w:val="000000"/>
          </w:rPr>
          <w:t>2012</w:t>
        </w:r>
      </w:hyperlink>
      <w:r w:rsidRPr="00BE5234">
        <w:rPr>
          <w:rFonts w:cstheme="minorHAnsi"/>
        </w:rPr>
        <w:t>; Ronald et al., </w:t>
      </w:r>
      <w:hyperlink r:id="rId125" w:anchor="acer14042-bib-0034" w:history="1">
        <w:r w:rsidRPr="00BE5234">
          <w:rPr>
            <w:rStyle w:val="Hyperlink"/>
            <w:rFonts w:eastAsiaTheme="majorEastAsia" w:cstheme="minorHAnsi"/>
            <w:b/>
            <w:bCs/>
            <w:color w:val="000000"/>
          </w:rPr>
          <w:t>2001</w:t>
        </w:r>
      </w:hyperlink>
      <w:r w:rsidRPr="00BE5234">
        <w:rPr>
          <w:rFonts w:cstheme="minorHAnsi"/>
        </w:rPr>
        <w:t>; Smothers and Woodward, </w:t>
      </w:r>
      <w:hyperlink r:id="rId126" w:anchor="acer14042-bib-0036" w:history="1">
        <w:r w:rsidRPr="00BE5234">
          <w:rPr>
            <w:rStyle w:val="Hyperlink"/>
            <w:rFonts w:eastAsiaTheme="majorEastAsia" w:cstheme="minorHAnsi"/>
            <w:b/>
            <w:bCs/>
            <w:color w:val="000000"/>
          </w:rPr>
          <w:t>2006</w:t>
        </w:r>
      </w:hyperlink>
      <w:r w:rsidRPr="00BE5234">
        <w:rPr>
          <w:rFonts w:cstheme="minorHAnsi"/>
        </w:rPr>
        <w:t>; Xu et al., </w:t>
      </w:r>
      <w:hyperlink r:id="rId127" w:anchor="acer14042-bib-0047" w:history="1">
        <w:r w:rsidRPr="00BE5234">
          <w:rPr>
            <w:rStyle w:val="Hyperlink"/>
            <w:rFonts w:eastAsiaTheme="majorEastAsia" w:cstheme="minorHAnsi"/>
            <w:b/>
            <w:bCs/>
            <w:color w:val="000000"/>
          </w:rPr>
          <w:t>2015</w:t>
        </w:r>
      </w:hyperlink>
      <w:r w:rsidRPr="00BE5234">
        <w:rPr>
          <w:rFonts w:cstheme="minorHAnsi"/>
        </w:rPr>
        <w:t>). A recent study from the Woodward laboratory has shown that the M4</w:t>
      </w:r>
      <w:r w:rsidRPr="00BE5234">
        <w:rPr>
          <w:rFonts w:cstheme="minorHAnsi"/>
          <w:vertAlign w:val="subscript"/>
        </w:rPr>
        <w:t>2</w:t>
      </w:r>
      <w:r w:rsidRPr="00BE5234">
        <w:rPr>
          <w:rFonts w:cstheme="minorHAnsi"/>
        </w:rPr>
        <w:t> position in the GluN2C subunit strongly regulates EtOH sensitivity (Smothers and Woodward, </w:t>
      </w:r>
      <w:hyperlink r:id="rId128" w:anchor="acer14042-bib-0037" w:history="1">
        <w:r w:rsidRPr="00BE5234">
          <w:rPr>
            <w:rStyle w:val="Hyperlink"/>
            <w:rFonts w:eastAsiaTheme="majorEastAsia" w:cstheme="minorHAnsi"/>
            <w:b/>
            <w:bCs/>
            <w:color w:val="000000"/>
          </w:rPr>
          <w:t>2016</w:t>
        </w:r>
      </w:hyperlink>
      <w:r w:rsidRPr="00BE5234">
        <w:rPr>
          <w:rFonts w:cstheme="minorHAnsi"/>
        </w:rPr>
        <w:t>). We confirm and extend this finding and additionally show that the side chains at 2 of the remaining positions in the GluN2C subunit influence alcohol sensitivity and at least 1 of the positions regulates ion channel gating.</w:t>
      </w:r>
    </w:p>
    <w:p w14:paraId="51D85DCB" w14:textId="77777777" w:rsidR="00DC2506" w:rsidRPr="00BE5234" w:rsidRDefault="00DC2506" w:rsidP="00A30B81">
      <w:pPr>
        <w:rPr>
          <w:rFonts w:cstheme="minorHAnsi"/>
        </w:rPr>
      </w:pPr>
      <w:r w:rsidRPr="00BE5234">
        <w:rPr>
          <w:rFonts w:cstheme="minorHAnsi"/>
        </w:rPr>
        <w:t>In previous studies, the 4 positions that regulate alcohol sensitivity in the GluN2A subunit (Honse et al., </w:t>
      </w:r>
      <w:hyperlink r:id="rId129" w:anchor="acer14042-bib-0010" w:history="1">
        <w:r w:rsidRPr="00BE5234">
          <w:rPr>
            <w:rStyle w:val="Hyperlink"/>
            <w:rFonts w:eastAsiaTheme="majorEastAsia" w:cstheme="minorHAnsi"/>
            <w:b/>
            <w:bCs/>
            <w:color w:val="000000"/>
          </w:rPr>
          <w:t>2004</w:t>
        </w:r>
      </w:hyperlink>
      <w:r w:rsidRPr="00BE5234">
        <w:rPr>
          <w:rFonts w:cstheme="minorHAnsi"/>
        </w:rPr>
        <w:t>; Ren et al., </w:t>
      </w:r>
      <w:hyperlink r:id="rId130" w:anchor="acer14042-bib-0028" w:history="1">
        <w:r w:rsidRPr="00BE5234">
          <w:rPr>
            <w:rStyle w:val="Hyperlink"/>
            <w:rFonts w:eastAsiaTheme="majorEastAsia" w:cstheme="minorHAnsi"/>
            <w:b/>
            <w:bCs/>
            <w:color w:val="000000"/>
          </w:rPr>
          <w:t>2003b</w:t>
        </w:r>
      </w:hyperlink>
      <w:r w:rsidRPr="00BE5234">
        <w:rPr>
          <w:rFonts w:cstheme="minorHAnsi"/>
        </w:rPr>
        <w:t>, </w:t>
      </w:r>
      <w:hyperlink r:id="rId131" w:anchor="acer14042-bib-0030" w:history="1">
        <w:r w:rsidRPr="00BE5234">
          <w:rPr>
            <w:rStyle w:val="Hyperlink"/>
            <w:rFonts w:eastAsiaTheme="majorEastAsia" w:cstheme="minorHAnsi"/>
            <w:b/>
            <w:bCs/>
            <w:color w:val="000000"/>
          </w:rPr>
          <w:t>2007</w:t>
        </w:r>
      </w:hyperlink>
      <w:r w:rsidRPr="00BE5234">
        <w:rPr>
          <w:rFonts w:cstheme="minorHAnsi"/>
        </w:rPr>
        <w:t>, </w:t>
      </w:r>
      <w:hyperlink r:id="rId132" w:anchor="acer14042-bib-0031" w:history="1">
        <w:r w:rsidRPr="00BE5234">
          <w:rPr>
            <w:rStyle w:val="Hyperlink"/>
            <w:rFonts w:eastAsiaTheme="majorEastAsia" w:cstheme="minorHAnsi"/>
            <w:b/>
            <w:bCs/>
            <w:color w:val="000000"/>
          </w:rPr>
          <w:t>2012</w:t>
        </w:r>
      </w:hyperlink>
      <w:r w:rsidRPr="00BE5234">
        <w:rPr>
          <w:rFonts w:cstheme="minorHAnsi"/>
        </w:rPr>
        <w:t>, </w:t>
      </w:r>
      <w:hyperlink r:id="rId133" w:anchor="acer14042-bib-0032" w:history="1">
        <w:r w:rsidRPr="00BE5234">
          <w:rPr>
            <w:rStyle w:val="Hyperlink"/>
            <w:rFonts w:eastAsiaTheme="majorEastAsia" w:cstheme="minorHAnsi"/>
            <w:b/>
            <w:bCs/>
            <w:color w:val="000000"/>
          </w:rPr>
          <w:t>2013</w:t>
        </w:r>
      </w:hyperlink>
      <w:r w:rsidRPr="00BE5234">
        <w:rPr>
          <w:rFonts w:cstheme="minorHAnsi"/>
        </w:rPr>
        <w:t>; Smothers and Woodward, </w:t>
      </w:r>
      <w:hyperlink r:id="rId134" w:anchor="acer14042-bib-0036" w:history="1">
        <w:r w:rsidRPr="00BE5234">
          <w:rPr>
            <w:rStyle w:val="Hyperlink"/>
            <w:rFonts w:eastAsiaTheme="majorEastAsia" w:cstheme="minorHAnsi"/>
            <w:b/>
            <w:bCs/>
            <w:color w:val="000000"/>
          </w:rPr>
          <w:t>2006</w:t>
        </w:r>
      </w:hyperlink>
      <w:r w:rsidRPr="00BE5234">
        <w:rPr>
          <w:rFonts w:cstheme="minorHAnsi"/>
        </w:rPr>
        <w:t>) do not all modulate alcohol sensitivity in the GluN1 (Ren et al., </w:t>
      </w:r>
      <w:hyperlink r:id="rId135" w:anchor="acer14042-bib-0031" w:history="1">
        <w:r w:rsidRPr="00BE5234">
          <w:rPr>
            <w:rStyle w:val="Hyperlink"/>
            <w:rFonts w:eastAsiaTheme="majorEastAsia" w:cstheme="minorHAnsi"/>
            <w:b/>
            <w:bCs/>
            <w:color w:val="000000"/>
          </w:rPr>
          <w:t>2012</w:t>
        </w:r>
      </w:hyperlink>
      <w:r w:rsidRPr="00BE5234">
        <w:rPr>
          <w:rFonts w:cstheme="minorHAnsi"/>
        </w:rPr>
        <w:t>; Ronald et al., </w:t>
      </w:r>
      <w:hyperlink r:id="rId136" w:anchor="acer14042-bib-0034" w:history="1">
        <w:r w:rsidRPr="00BE5234">
          <w:rPr>
            <w:rStyle w:val="Hyperlink"/>
            <w:rFonts w:eastAsiaTheme="majorEastAsia" w:cstheme="minorHAnsi"/>
            <w:b/>
            <w:bCs/>
            <w:color w:val="000000"/>
          </w:rPr>
          <w:t>2001</w:t>
        </w:r>
      </w:hyperlink>
      <w:r w:rsidRPr="00BE5234">
        <w:rPr>
          <w:rFonts w:cstheme="minorHAnsi"/>
        </w:rPr>
        <w:t>; Smothers and Woodward, </w:t>
      </w:r>
      <w:hyperlink r:id="rId137" w:anchor="acer14042-bib-0036" w:history="1">
        <w:r w:rsidRPr="00BE5234">
          <w:rPr>
            <w:rStyle w:val="Hyperlink"/>
            <w:rFonts w:eastAsiaTheme="majorEastAsia" w:cstheme="minorHAnsi"/>
            <w:b/>
            <w:bCs/>
            <w:color w:val="000000"/>
          </w:rPr>
          <w:t>2006</w:t>
        </w:r>
      </w:hyperlink>
      <w:r w:rsidRPr="00BE5234">
        <w:rPr>
          <w:rFonts w:cstheme="minorHAnsi"/>
        </w:rPr>
        <w:t>) and GluN2B (Zhao et al., </w:t>
      </w:r>
      <w:hyperlink r:id="rId138" w:anchor="acer14042-bib-0049" w:history="1">
        <w:r w:rsidRPr="00BE5234">
          <w:rPr>
            <w:rStyle w:val="Hyperlink"/>
            <w:rFonts w:eastAsiaTheme="majorEastAsia" w:cstheme="minorHAnsi"/>
            <w:b/>
            <w:bCs/>
            <w:color w:val="000000"/>
          </w:rPr>
          <w:t>2015</w:t>
        </w:r>
      </w:hyperlink>
      <w:r w:rsidRPr="00BE5234">
        <w:rPr>
          <w:rFonts w:cstheme="minorHAnsi"/>
        </w:rPr>
        <w:t>) subunits. In the GluN1 subunit, the M3</w:t>
      </w:r>
      <w:r w:rsidRPr="00BE5234">
        <w:rPr>
          <w:rFonts w:cstheme="minorHAnsi"/>
          <w:vertAlign w:val="subscript"/>
        </w:rPr>
        <w:t>1</w:t>
      </w:r>
      <w:r w:rsidRPr="00BE5234">
        <w:rPr>
          <w:rFonts w:cstheme="minorHAnsi"/>
        </w:rPr>
        <w:t> and M3</w:t>
      </w:r>
      <w:r w:rsidRPr="00BE5234">
        <w:rPr>
          <w:rFonts w:cstheme="minorHAnsi"/>
          <w:vertAlign w:val="subscript"/>
        </w:rPr>
        <w:t>2</w:t>
      </w:r>
      <w:r w:rsidRPr="00BE5234">
        <w:rPr>
          <w:rFonts w:cstheme="minorHAnsi"/>
        </w:rPr>
        <w:t> positions strongly regulate alcohol sensitivity (Ren et al., </w:t>
      </w:r>
      <w:hyperlink r:id="rId139" w:anchor="acer14042-bib-0031" w:history="1">
        <w:r w:rsidRPr="00BE5234">
          <w:rPr>
            <w:rStyle w:val="Hyperlink"/>
            <w:rFonts w:eastAsiaTheme="majorEastAsia" w:cstheme="minorHAnsi"/>
            <w:b/>
            <w:bCs/>
            <w:color w:val="000000"/>
          </w:rPr>
          <w:t>2012</w:t>
        </w:r>
      </w:hyperlink>
      <w:r w:rsidRPr="00BE5234">
        <w:rPr>
          <w:rFonts w:cstheme="minorHAnsi"/>
        </w:rPr>
        <w:t>; Ronald et al., </w:t>
      </w:r>
      <w:hyperlink r:id="rId140" w:anchor="acer14042-bib-0034" w:history="1">
        <w:r w:rsidRPr="00BE5234">
          <w:rPr>
            <w:rStyle w:val="Hyperlink"/>
            <w:rFonts w:eastAsiaTheme="majorEastAsia" w:cstheme="minorHAnsi"/>
            <w:b/>
            <w:bCs/>
            <w:color w:val="000000"/>
          </w:rPr>
          <w:t>2001</w:t>
        </w:r>
      </w:hyperlink>
      <w:r w:rsidRPr="00BE5234">
        <w:rPr>
          <w:rFonts w:cstheme="minorHAnsi"/>
        </w:rPr>
        <w:t>; Smothers and Woodward, </w:t>
      </w:r>
      <w:hyperlink r:id="rId141" w:anchor="acer14042-bib-0036" w:history="1">
        <w:r w:rsidRPr="00BE5234">
          <w:rPr>
            <w:rStyle w:val="Hyperlink"/>
            <w:rFonts w:eastAsiaTheme="majorEastAsia" w:cstheme="minorHAnsi"/>
            <w:b/>
            <w:bCs/>
            <w:color w:val="000000"/>
          </w:rPr>
          <w:t>2006</w:t>
        </w:r>
      </w:hyperlink>
      <w:r w:rsidRPr="00BE5234">
        <w:rPr>
          <w:rFonts w:cstheme="minorHAnsi"/>
        </w:rPr>
        <w:t>), whereas the M4 positions had much lesser effects (Smothers and Woodward, </w:t>
      </w:r>
      <w:hyperlink r:id="rId142" w:anchor="acer14042-bib-0036" w:history="1">
        <w:r w:rsidRPr="00BE5234">
          <w:rPr>
            <w:rStyle w:val="Hyperlink"/>
            <w:rFonts w:eastAsiaTheme="majorEastAsia" w:cstheme="minorHAnsi"/>
            <w:b/>
            <w:bCs/>
            <w:color w:val="000000"/>
          </w:rPr>
          <w:t>2006</w:t>
        </w:r>
      </w:hyperlink>
      <w:r w:rsidRPr="00BE5234">
        <w:rPr>
          <w:rFonts w:cstheme="minorHAnsi"/>
        </w:rPr>
        <w:t>) or no effect (Ren et al., </w:t>
      </w:r>
      <w:hyperlink r:id="rId143" w:anchor="acer14042-bib-0031" w:history="1">
        <w:r w:rsidRPr="00BE5234">
          <w:rPr>
            <w:rStyle w:val="Hyperlink"/>
            <w:rFonts w:eastAsiaTheme="majorEastAsia" w:cstheme="minorHAnsi"/>
            <w:b/>
            <w:bCs/>
            <w:color w:val="000000"/>
          </w:rPr>
          <w:t>2012</w:t>
        </w:r>
      </w:hyperlink>
      <w:r w:rsidRPr="00BE5234">
        <w:rPr>
          <w:rFonts w:cstheme="minorHAnsi"/>
        </w:rPr>
        <w:t>) on alcohol inhibition. In the GluN2B subunit, alcohol sensitivity was regulated only by the M3</w:t>
      </w:r>
      <w:r w:rsidRPr="00BE5234">
        <w:rPr>
          <w:rFonts w:cstheme="minorHAnsi"/>
          <w:vertAlign w:val="subscript"/>
        </w:rPr>
        <w:t>1</w:t>
      </w:r>
      <w:r w:rsidRPr="00BE5234">
        <w:rPr>
          <w:rFonts w:cstheme="minorHAnsi"/>
        </w:rPr>
        <w:t> and M4</w:t>
      </w:r>
      <w:r w:rsidRPr="00BE5234">
        <w:rPr>
          <w:rFonts w:cstheme="minorHAnsi"/>
          <w:vertAlign w:val="subscript"/>
        </w:rPr>
        <w:t>2</w:t>
      </w:r>
      <w:r w:rsidRPr="00BE5234">
        <w:rPr>
          <w:rFonts w:cstheme="minorHAnsi"/>
        </w:rPr>
        <w:t>positions (Zhao et al., </w:t>
      </w:r>
      <w:hyperlink r:id="rId144" w:anchor="acer14042-bib-0049" w:history="1">
        <w:r w:rsidRPr="00BE5234">
          <w:rPr>
            <w:rStyle w:val="Hyperlink"/>
            <w:rFonts w:eastAsiaTheme="majorEastAsia" w:cstheme="minorHAnsi"/>
            <w:b/>
            <w:bCs/>
            <w:color w:val="000000"/>
          </w:rPr>
          <w:t>2015</w:t>
        </w:r>
      </w:hyperlink>
      <w:r w:rsidRPr="00BE5234">
        <w:rPr>
          <w:rFonts w:cstheme="minorHAnsi"/>
        </w:rPr>
        <w:t>). In addition, at alcohol‐sensitive positions, alanine or tryptophan substitutions decreased alcohol sensitivity in most (Honse et al., </w:t>
      </w:r>
      <w:hyperlink r:id="rId145" w:anchor="acer14042-bib-0010" w:history="1">
        <w:r w:rsidRPr="00BE5234">
          <w:rPr>
            <w:rStyle w:val="Hyperlink"/>
            <w:rFonts w:eastAsiaTheme="majorEastAsia" w:cstheme="minorHAnsi"/>
            <w:b/>
            <w:bCs/>
            <w:color w:val="000000"/>
          </w:rPr>
          <w:t>2004</w:t>
        </w:r>
      </w:hyperlink>
      <w:r w:rsidRPr="00BE5234">
        <w:rPr>
          <w:rFonts w:cstheme="minorHAnsi"/>
        </w:rPr>
        <w:t>; Ren et al., </w:t>
      </w:r>
      <w:hyperlink r:id="rId146" w:anchor="acer14042-bib-0028" w:history="1">
        <w:r w:rsidRPr="00BE5234">
          <w:rPr>
            <w:rStyle w:val="Hyperlink"/>
            <w:rFonts w:eastAsiaTheme="majorEastAsia" w:cstheme="minorHAnsi"/>
            <w:b/>
            <w:bCs/>
            <w:color w:val="000000"/>
          </w:rPr>
          <w:t>2003b</w:t>
        </w:r>
      </w:hyperlink>
      <w:r w:rsidRPr="00BE5234">
        <w:rPr>
          <w:rFonts w:cstheme="minorHAnsi"/>
        </w:rPr>
        <w:t>, </w:t>
      </w:r>
      <w:hyperlink r:id="rId147" w:anchor="acer14042-bib-0030" w:history="1">
        <w:r w:rsidRPr="00BE5234">
          <w:rPr>
            <w:rStyle w:val="Hyperlink"/>
            <w:rFonts w:eastAsiaTheme="majorEastAsia" w:cstheme="minorHAnsi"/>
            <w:b/>
            <w:bCs/>
            <w:color w:val="000000"/>
          </w:rPr>
          <w:t>2007</w:t>
        </w:r>
      </w:hyperlink>
      <w:r w:rsidRPr="00BE5234">
        <w:rPr>
          <w:rFonts w:cstheme="minorHAnsi"/>
        </w:rPr>
        <w:t>, </w:t>
      </w:r>
      <w:hyperlink r:id="rId148" w:anchor="acer14042-bib-0031" w:history="1">
        <w:r w:rsidRPr="00BE5234">
          <w:rPr>
            <w:rStyle w:val="Hyperlink"/>
            <w:rFonts w:eastAsiaTheme="majorEastAsia" w:cstheme="minorHAnsi"/>
            <w:b/>
            <w:bCs/>
            <w:color w:val="000000"/>
          </w:rPr>
          <w:t>2012</w:t>
        </w:r>
      </w:hyperlink>
      <w:r w:rsidRPr="00BE5234">
        <w:rPr>
          <w:rFonts w:cstheme="minorHAnsi"/>
        </w:rPr>
        <w:t>; Ronald et al., </w:t>
      </w:r>
      <w:hyperlink r:id="rId149" w:anchor="acer14042-bib-0034" w:history="1">
        <w:r w:rsidRPr="00BE5234">
          <w:rPr>
            <w:rStyle w:val="Hyperlink"/>
            <w:rFonts w:eastAsiaTheme="majorEastAsia" w:cstheme="minorHAnsi"/>
            <w:b/>
            <w:bCs/>
            <w:color w:val="000000"/>
          </w:rPr>
          <w:t>2001</w:t>
        </w:r>
      </w:hyperlink>
      <w:r w:rsidRPr="00BE5234">
        <w:rPr>
          <w:rFonts w:cstheme="minorHAnsi"/>
        </w:rPr>
        <w:t>; Smothers and Woodward, </w:t>
      </w:r>
      <w:hyperlink r:id="rId150" w:anchor="acer14042-bib-0036" w:history="1">
        <w:r w:rsidRPr="00BE5234">
          <w:rPr>
            <w:rStyle w:val="Hyperlink"/>
            <w:rFonts w:eastAsiaTheme="majorEastAsia" w:cstheme="minorHAnsi"/>
            <w:b/>
            <w:bCs/>
            <w:color w:val="000000"/>
          </w:rPr>
          <w:t>2006</w:t>
        </w:r>
      </w:hyperlink>
      <w:r w:rsidRPr="00BE5234">
        <w:rPr>
          <w:rFonts w:cstheme="minorHAnsi"/>
        </w:rPr>
        <w:t>; Zhao et al., </w:t>
      </w:r>
      <w:hyperlink r:id="rId151" w:anchor="acer14042-bib-0049" w:history="1">
        <w:r w:rsidRPr="00BE5234">
          <w:rPr>
            <w:rStyle w:val="Hyperlink"/>
            <w:rFonts w:eastAsiaTheme="majorEastAsia" w:cstheme="minorHAnsi"/>
            <w:b/>
            <w:bCs/>
            <w:color w:val="000000"/>
          </w:rPr>
          <w:t>2015</w:t>
        </w:r>
      </w:hyperlink>
      <w:r w:rsidRPr="00BE5234">
        <w:rPr>
          <w:rFonts w:cstheme="minorHAnsi"/>
        </w:rPr>
        <w:t>), but not all (Ren et al., </w:t>
      </w:r>
      <w:hyperlink r:id="rId152" w:anchor="acer14042-bib-0028" w:history="1">
        <w:r w:rsidRPr="00BE5234">
          <w:rPr>
            <w:rStyle w:val="Hyperlink"/>
            <w:rFonts w:eastAsiaTheme="majorEastAsia" w:cstheme="minorHAnsi"/>
            <w:b/>
            <w:bCs/>
            <w:color w:val="000000"/>
          </w:rPr>
          <w:t>2003b</w:t>
        </w:r>
      </w:hyperlink>
      <w:r w:rsidRPr="00BE5234">
        <w:rPr>
          <w:rFonts w:cstheme="minorHAnsi"/>
        </w:rPr>
        <w:t>, 2008; Ronald et al., </w:t>
      </w:r>
      <w:hyperlink r:id="rId153" w:anchor="acer14042-bib-0034" w:history="1">
        <w:r w:rsidRPr="00BE5234">
          <w:rPr>
            <w:rStyle w:val="Hyperlink"/>
            <w:rFonts w:eastAsiaTheme="majorEastAsia" w:cstheme="minorHAnsi"/>
            <w:b/>
            <w:bCs/>
            <w:color w:val="000000"/>
          </w:rPr>
          <w:t>2001</w:t>
        </w:r>
      </w:hyperlink>
      <w:r w:rsidRPr="00BE5234">
        <w:rPr>
          <w:rFonts w:cstheme="minorHAnsi"/>
        </w:rPr>
        <w:t>; Zhao et al., </w:t>
      </w:r>
      <w:hyperlink r:id="rId154" w:anchor="acer14042-bib-0049" w:history="1">
        <w:r w:rsidRPr="00BE5234">
          <w:rPr>
            <w:rStyle w:val="Hyperlink"/>
            <w:rFonts w:eastAsiaTheme="majorEastAsia" w:cstheme="minorHAnsi"/>
            <w:b/>
            <w:bCs/>
            <w:color w:val="000000"/>
          </w:rPr>
          <w:t>2015</w:t>
        </w:r>
      </w:hyperlink>
      <w:r w:rsidRPr="00BE5234">
        <w:rPr>
          <w:rFonts w:cstheme="minorHAnsi"/>
        </w:rPr>
        <w:t>), instances. In the present study, GluN2C subunit alcohol sensitivity was not measurable in the alanine substitution mutant at F635 (M3</w:t>
      </w:r>
      <w:r w:rsidRPr="00BE5234">
        <w:rPr>
          <w:rFonts w:cstheme="minorHAnsi"/>
          <w:vertAlign w:val="subscript"/>
        </w:rPr>
        <w:t>2</w:t>
      </w:r>
      <w:r w:rsidRPr="00BE5234">
        <w:rPr>
          <w:rFonts w:cstheme="minorHAnsi"/>
        </w:rPr>
        <w:t>) because it was not functional, but was unchanged by alanine substitution at the remaining 3 positions. Furthermore, tryptophan substitution had no effect at M3</w:t>
      </w:r>
      <w:r w:rsidRPr="00BE5234">
        <w:rPr>
          <w:rFonts w:cstheme="minorHAnsi"/>
          <w:vertAlign w:val="subscript"/>
        </w:rPr>
        <w:t>1</w:t>
      </w:r>
      <w:r w:rsidRPr="00BE5234">
        <w:rPr>
          <w:rFonts w:cstheme="minorHAnsi"/>
        </w:rPr>
        <w:t>, increased alcohol sensitivity at M3</w:t>
      </w:r>
      <w:r w:rsidRPr="00BE5234">
        <w:rPr>
          <w:rFonts w:cstheme="minorHAnsi"/>
          <w:vertAlign w:val="subscript"/>
        </w:rPr>
        <w:t>2</w:t>
      </w:r>
      <w:r w:rsidRPr="00BE5234">
        <w:rPr>
          <w:rFonts w:cstheme="minorHAnsi"/>
        </w:rPr>
        <w:t> and M4</w:t>
      </w:r>
      <w:r w:rsidRPr="00BE5234">
        <w:rPr>
          <w:rFonts w:cstheme="minorHAnsi"/>
          <w:vertAlign w:val="subscript"/>
        </w:rPr>
        <w:t>1</w:t>
      </w:r>
      <w:r w:rsidRPr="00BE5234">
        <w:rPr>
          <w:rFonts w:cstheme="minorHAnsi"/>
        </w:rPr>
        <w:t>, and markedly decreased alcohol sensitivity at M4</w:t>
      </w:r>
      <w:r w:rsidRPr="00BE5234">
        <w:rPr>
          <w:rFonts w:cstheme="minorHAnsi"/>
          <w:vertAlign w:val="subscript"/>
        </w:rPr>
        <w:t>2</w:t>
      </w:r>
      <w:r w:rsidRPr="00BE5234">
        <w:rPr>
          <w:rFonts w:cstheme="minorHAnsi"/>
        </w:rPr>
        <w:t>. The over 6‐fold decrease in alcohol IC</w:t>
      </w:r>
      <w:r w:rsidRPr="00BE5234">
        <w:rPr>
          <w:rFonts w:cstheme="minorHAnsi"/>
          <w:vertAlign w:val="subscript"/>
        </w:rPr>
        <w:t>50</w:t>
      </w:r>
      <w:r w:rsidRPr="00BE5234">
        <w:rPr>
          <w:rFonts w:cstheme="minorHAnsi"/>
        </w:rPr>
        <w:t> for the GluN2C(L823W) subunit is the most pronounced change in alcohol sensitivity for a single‐site mutant reported to date. This finding was consistent with the recent report of Smothers and Woodward (</w:t>
      </w:r>
      <w:hyperlink r:id="rId155" w:anchor="acer14042-bib-0037" w:history="1">
        <w:r w:rsidRPr="00BE5234">
          <w:rPr>
            <w:rStyle w:val="Hyperlink"/>
            <w:rFonts w:eastAsiaTheme="majorEastAsia" w:cstheme="minorHAnsi"/>
            <w:b/>
            <w:bCs/>
            <w:color w:val="000000"/>
          </w:rPr>
          <w:t>2016</w:t>
        </w:r>
      </w:hyperlink>
      <w:r w:rsidRPr="00BE5234">
        <w:rPr>
          <w:rFonts w:cstheme="minorHAnsi"/>
        </w:rPr>
        <w:t>), who observed little to no inhibition of this mutant subunit by 100 mM EtOH. The explanation for the differential modulation of alcohol sensitivity by the M3‐M4 residues among the different subunit types, despite the high homology in these domains (Fig. </w:t>
      </w:r>
      <w:hyperlink r:id="rId156" w:anchor="acer14042-fig-0001" w:history="1">
        <w:r w:rsidRPr="00BE5234">
          <w:rPr>
            <w:rStyle w:val="Hyperlink"/>
            <w:rFonts w:eastAsiaTheme="majorEastAsia" w:cstheme="minorHAnsi"/>
            <w:b/>
            <w:bCs/>
            <w:color w:val="005274"/>
          </w:rPr>
          <w:t>1</w:t>
        </w:r>
      </w:hyperlink>
      <w:r w:rsidRPr="00BE5234">
        <w:rPr>
          <w:rFonts w:cstheme="minorHAnsi"/>
        </w:rPr>
        <w:t>), is unclear at present, but may result from differences in the adjacent residues interacting with these side chains among the subunit types, perhaps involving subtle differences in structure (Zhao et al., </w:t>
      </w:r>
      <w:hyperlink r:id="rId157" w:anchor="acer14042-bib-0049" w:history="1">
        <w:r w:rsidRPr="00BE5234">
          <w:rPr>
            <w:rStyle w:val="Hyperlink"/>
            <w:rFonts w:eastAsiaTheme="majorEastAsia" w:cstheme="minorHAnsi"/>
            <w:b/>
            <w:bCs/>
            <w:color w:val="000000"/>
          </w:rPr>
          <w:t>2015</w:t>
        </w:r>
      </w:hyperlink>
      <w:r w:rsidRPr="00BE5234">
        <w:rPr>
          <w:rFonts w:cstheme="minorHAnsi"/>
        </w:rPr>
        <w:t>). These structural differences may also contribute to the observed differences in EtOH sensitivity among the WT GluN2 subunits, such as the lower sensitivity of the GluN2C subunit compared to GluN2A or GluN2B (Masood et al., </w:t>
      </w:r>
      <w:hyperlink r:id="rId158" w:anchor="acer14042-bib-0019" w:history="1">
        <w:r w:rsidRPr="00BE5234">
          <w:rPr>
            <w:rStyle w:val="Hyperlink"/>
            <w:rFonts w:eastAsiaTheme="majorEastAsia" w:cstheme="minorHAnsi"/>
            <w:b/>
            <w:bCs/>
            <w:color w:val="000000"/>
          </w:rPr>
          <w:t>1994</w:t>
        </w:r>
      </w:hyperlink>
      <w:r w:rsidRPr="00BE5234">
        <w:rPr>
          <w:rFonts w:cstheme="minorHAnsi"/>
        </w:rPr>
        <w:t>; Mirshahi and Woodward, </w:t>
      </w:r>
      <w:hyperlink r:id="rId159" w:anchor="acer14042-bib-0022" w:history="1">
        <w:r w:rsidRPr="00BE5234">
          <w:rPr>
            <w:rStyle w:val="Hyperlink"/>
            <w:rFonts w:eastAsiaTheme="majorEastAsia" w:cstheme="minorHAnsi"/>
            <w:b/>
            <w:bCs/>
            <w:color w:val="000000"/>
          </w:rPr>
          <w:t>1995</w:t>
        </w:r>
      </w:hyperlink>
      <w:r w:rsidRPr="00BE5234">
        <w:rPr>
          <w:rFonts w:cstheme="minorHAnsi"/>
        </w:rPr>
        <w:t>). In the present study, substitution of alanine for leucine at M4</w:t>
      </w:r>
      <w:r w:rsidRPr="00BE5234">
        <w:rPr>
          <w:rFonts w:cstheme="minorHAnsi"/>
          <w:vertAlign w:val="subscript"/>
        </w:rPr>
        <w:t>2</w:t>
      </w:r>
      <w:r w:rsidRPr="00BE5234">
        <w:rPr>
          <w:rFonts w:cstheme="minorHAnsi"/>
        </w:rPr>
        <w:t>, which resulted in a GluN2C subunit with the same residues at the alcohol‐sensitive positions as the GluN2A subunit, appeared to slightly increase alcohol sensitivity, but the change was not significant. Additional differences among the GluN2A and GluN2C subunits at other, interacting positions may also be required to account for the differences in EtOH sensitivity.</w:t>
      </w:r>
    </w:p>
    <w:p w14:paraId="74931A45" w14:textId="77777777" w:rsidR="00DC2506" w:rsidRPr="00BE5234" w:rsidRDefault="00DC2506" w:rsidP="00A30B81">
      <w:pPr>
        <w:rPr>
          <w:rFonts w:cstheme="minorHAnsi"/>
        </w:rPr>
      </w:pPr>
      <w:r w:rsidRPr="00BE5234">
        <w:rPr>
          <w:rFonts w:cstheme="minorHAnsi"/>
        </w:rPr>
        <w:t>A striking difference among the GluN2A‐C subunits was observed for mutations at the highly conserved methionine at M4</w:t>
      </w:r>
      <w:r w:rsidRPr="00BE5234">
        <w:rPr>
          <w:rFonts w:cstheme="minorHAnsi"/>
          <w:vertAlign w:val="subscript"/>
        </w:rPr>
        <w:t>1</w:t>
      </w:r>
      <w:r w:rsidRPr="00BE5234">
        <w:rPr>
          <w:rFonts w:cstheme="minorHAnsi"/>
        </w:rPr>
        <w:t> (821 in GluN2C). For tryptophan substitution mutants at this position, alcohol sensitivity was decreased in GluN2A (Ren et al., </w:t>
      </w:r>
      <w:hyperlink r:id="rId160" w:anchor="acer14042-bib-0028" w:history="1">
        <w:r w:rsidRPr="00BE5234">
          <w:rPr>
            <w:rStyle w:val="Hyperlink"/>
            <w:rFonts w:eastAsiaTheme="majorEastAsia" w:cstheme="minorHAnsi"/>
            <w:b/>
            <w:bCs/>
            <w:color w:val="000000"/>
          </w:rPr>
          <w:t>2003b</w:t>
        </w:r>
      </w:hyperlink>
      <w:r w:rsidRPr="00BE5234">
        <w:rPr>
          <w:rFonts w:cstheme="minorHAnsi"/>
        </w:rPr>
        <w:t>), unchanged in GluN2B (Zhao et al., </w:t>
      </w:r>
      <w:hyperlink r:id="rId161" w:anchor="acer14042-bib-0049" w:history="1">
        <w:r w:rsidRPr="00BE5234">
          <w:rPr>
            <w:rStyle w:val="Hyperlink"/>
            <w:rFonts w:eastAsiaTheme="majorEastAsia" w:cstheme="minorHAnsi"/>
            <w:b/>
            <w:bCs/>
            <w:color w:val="000000"/>
          </w:rPr>
          <w:t>2015</w:t>
        </w:r>
      </w:hyperlink>
      <w:r w:rsidRPr="00BE5234">
        <w:rPr>
          <w:rFonts w:cstheme="minorHAnsi"/>
        </w:rPr>
        <w:t>), and increased in GluN2C. Interestingly, this disparity occurred despite similar changes in ion channel gating, such as increased desensitization, among the GluN2 subunit mutants (Ren et al., </w:t>
      </w:r>
      <w:hyperlink r:id="rId162" w:anchor="acer14042-bib-0027" w:history="1">
        <w:r w:rsidRPr="00BE5234">
          <w:rPr>
            <w:rStyle w:val="Hyperlink"/>
            <w:rFonts w:eastAsiaTheme="majorEastAsia" w:cstheme="minorHAnsi"/>
            <w:b/>
            <w:bCs/>
            <w:color w:val="000000"/>
          </w:rPr>
          <w:t>2003a</w:t>
        </w:r>
      </w:hyperlink>
      <w:r w:rsidRPr="00BE5234">
        <w:rPr>
          <w:rFonts w:cstheme="minorHAnsi"/>
        </w:rPr>
        <w:t>; Zhao et al., </w:t>
      </w:r>
      <w:hyperlink r:id="rId163" w:anchor="acer14042-bib-0049" w:history="1">
        <w:r w:rsidRPr="00BE5234">
          <w:rPr>
            <w:rStyle w:val="Hyperlink"/>
            <w:rFonts w:eastAsiaTheme="majorEastAsia" w:cstheme="minorHAnsi"/>
            <w:b/>
            <w:bCs/>
            <w:color w:val="000000"/>
          </w:rPr>
          <w:t>2015</w:t>
        </w:r>
      </w:hyperlink>
      <w:r w:rsidRPr="00BE5234">
        <w:rPr>
          <w:rFonts w:cstheme="minorHAnsi"/>
        </w:rPr>
        <w:t>). In contrast, alanine mutation at this position did not change EtOH sensitivity in any of the GluN2 subunits tested (Ren et al., </w:t>
      </w:r>
      <w:hyperlink r:id="rId164" w:anchor="acer14042-bib-0028" w:history="1">
        <w:r w:rsidRPr="00BE5234">
          <w:rPr>
            <w:rStyle w:val="Hyperlink"/>
            <w:rFonts w:eastAsiaTheme="majorEastAsia" w:cstheme="minorHAnsi"/>
            <w:b/>
            <w:bCs/>
            <w:color w:val="000000"/>
          </w:rPr>
          <w:t>2003b</w:t>
        </w:r>
      </w:hyperlink>
      <w:r w:rsidRPr="00BE5234">
        <w:rPr>
          <w:rFonts w:cstheme="minorHAnsi"/>
        </w:rPr>
        <w:t>; Zhao et al., </w:t>
      </w:r>
      <w:hyperlink r:id="rId165" w:anchor="acer14042-bib-0049" w:history="1">
        <w:r w:rsidRPr="00BE5234">
          <w:rPr>
            <w:rStyle w:val="Hyperlink"/>
            <w:rFonts w:eastAsiaTheme="majorEastAsia" w:cstheme="minorHAnsi"/>
            <w:b/>
            <w:bCs/>
            <w:color w:val="000000"/>
          </w:rPr>
          <w:t>2015</w:t>
        </w:r>
      </w:hyperlink>
      <w:r w:rsidRPr="00BE5234">
        <w:rPr>
          <w:rFonts w:cstheme="minorHAnsi"/>
        </w:rPr>
        <w:t>). These results suggest that any interactions formed by the native methionine side chain that regulate alcohol sensitivity are preserved in the alanine mutants. This does not necessarily extend to interactions regulating ion channel gating, however, as alanine mutation at the M4</w:t>
      </w:r>
      <w:r w:rsidRPr="00BE5234">
        <w:rPr>
          <w:rFonts w:cstheme="minorHAnsi"/>
          <w:vertAlign w:val="subscript"/>
        </w:rPr>
        <w:t>1</w:t>
      </w:r>
      <w:r w:rsidRPr="00BE5234">
        <w:rPr>
          <w:rFonts w:cstheme="minorHAnsi"/>
        </w:rPr>
        <w:t> position in the GluN2A and GluN2C subunits altered ion channel gating (Ren et al., </w:t>
      </w:r>
      <w:hyperlink r:id="rId166" w:anchor="acer14042-bib-0027" w:history="1">
        <w:r w:rsidRPr="00BE5234">
          <w:rPr>
            <w:rStyle w:val="Hyperlink"/>
            <w:rFonts w:eastAsiaTheme="majorEastAsia" w:cstheme="minorHAnsi"/>
            <w:b/>
            <w:bCs/>
            <w:color w:val="000000"/>
          </w:rPr>
          <w:t>2003a</w:t>
        </w:r>
      </w:hyperlink>
      <w:r w:rsidRPr="00BE5234">
        <w:rPr>
          <w:rFonts w:cstheme="minorHAnsi"/>
        </w:rPr>
        <w:t>). The M4</w:t>
      </w:r>
      <w:r w:rsidRPr="00BE5234">
        <w:rPr>
          <w:rFonts w:cstheme="minorHAnsi"/>
          <w:vertAlign w:val="subscript"/>
        </w:rPr>
        <w:t>1</w:t>
      </w:r>
      <w:r w:rsidRPr="00BE5234">
        <w:rPr>
          <w:rFonts w:cstheme="minorHAnsi"/>
        </w:rPr>
        <w:t> position in the GluN2C subunit appeared to have the most stringent requirements for receptor function, as a greater number of amino acid substitutions at this position yielded nonfunctional receptors compared to the GluN2A and GluN2B subunits (Ren et al., </w:t>
      </w:r>
      <w:hyperlink r:id="rId167" w:anchor="acer14042-bib-0028" w:history="1">
        <w:r w:rsidRPr="00BE5234">
          <w:rPr>
            <w:rStyle w:val="Hyperlink"/>
            <w:rFonts w:eastAsiaTheme="majorEastAsia" w:cstheme="minorHAnsi"/>
            <w:b/>
            <w:bCs/>
            <w:color w:val="000000"/>
          </w:rPr>
          <w:t>2003b</w:t>
        </w:r>
      </w:hyperlink>
      <w:r w:rsidRPr="00BE5234">
        <w:rPr>
          <w:rFonts w:cstheme="minorHAnsi"/>
        </w:rPr>
        <w:t>; Zhao et al., </w:t>
      </w:r>
      <w:hyperlink r:id="rId168" w:anchor="acer14042-bib-0049" w:history="1">
        <w:r w:rsidRPr="00BE5234">
          <w:rPr>
            <w:rStyle w:val="Hyperlink"/>
            <w:rFonts w:eastAsiaTheme="majorEastAsia" w:cstheme="minorHAnsi"/>
            <w:b/>
            <w:bCs/>
            <w:color w:val="000000"/>
          </w:rPr>
          <w:t>2015</w:t>
        </w:r>
      </w:hyperlink>
      <w:r w:rsidRPr="00BE5234">
        <w:rPr>
          <w:rFonts w:cstheme="minorHAnsi"/>
        </w:rPr>
        <w:t>). An additional distinction among the GluN2 subunit types regarding gating was observed in the relation between glutamate potency and desensitization. In the GluN2A subunit, mutations at the M4</w:t>
      </w:r>
      <w:r w:rsidRPr="00BE5234">
        <w:rPr>
          <w:rFonts w:cstheme="minorHAnsi"/>
          <w:vertAlign w:val="subscript"/>
        </w:rPr>
        <w:t>1</w:t>
      </w:r>
      <w:r w:rsidRPr="00BE5234">
        <w:rPr>
          <w:rFonts w:cstheme="minorHAnsi"/>
        </w:rPr>
        <w:t> position can increase potency of glutamate for activation of steady‐state current via agonist trapping at the binding site by increasing desensitization (Ren et al., </w:t>
      </w:r>
      <w:hyperlink r:id="rId169" w:anchor="acer14042-bib-0027" w:history="1">
        <w:r w:rsidRPr="00BE5234">
          <w:rPr>
            <w:rStyle w:val="Hyperlink"/>
            <w:rFonts w:eastAsiaTheme="majorEastAsia" w:cstheme="minorHAnsi"/>
            <w:b/>
            <w:bCs/>
            <w:color w:val="000000"/>
          </w:rPr>
          <w:t>2003a</w:t>
        </w:r>
      </w:hyperlink>
      <w:r w:rsidRPr="00BE5234">
        <w:rPr>
          <w:rFonts w:cstheme="minorHAnsi"/>
        </w:rPr>
        <w:t>). Although mutations at M4</w:t>
      </w:r>
      <w:r w:rsidRPr="00BE5234">
        <w:rPr>
          <w:rFonts w:cstheme="minorHAnsi"/>
          <w:vertAlign w:val="subscript"/>
        </w:rPr>
        <w:t>1</w:t>
      </w:r>
      <w:r w:rsidRPr="00BE5234">
        <w:rPr>
          <w:rFonts w:cstheme="minorHAnsi"/>
        </w:rPr>
        <w:t>in the GluN2B and GluN2C subunits could increase desensitization, no relation was observed between steady‐state current glutamate potency and </w:t>
      </w:r>
      <w:r w:rsidRPr="00BE5234">
        <w:rPr>
          <w:rFonts w:cstheme="minorHAnsi"/>
          <w:i/>
          <w:iCs/>
        </w:rPr>
        <w:t>I</w:t>
      </w:r>
      <w:r w:rsidRPr="00BE5234">
        <w:rPr>
          <w:rFonts w:cstheme="minorHAnsi"/>
          <w:vertAlign w:val="subscript"/>
        </w:rPr>
        <w:t>ss</w:t>
      </w:r>
      <w:r w:rsidRPr="00BE5234">
        <w:rPr>
          <w:rFonts w:cstheme="minorHAnsi"/>
        </w:rPr>
        <w:t>:</w:t>
      </w:r>
      <w:r w:rsidRPr="00BE5234">
        <w:rPr>
          <w:rFonts w:cstheme="minorHAnsi"/>
          <w:i/>
          <w:iCs/>
        </w:rPr>
        <w:t>I</w:t>
      </w:r>
      <w:r w:rsidRPr="00BE5234">
        <w:rPr>
          <w:rFonts w:cstheme="minorHAnsi"/>
          <w:vertAlign w:val="subscript"/>
        </w:rPr>
        <w:t>p</w:t>
      </w:r>
      <w:r w:rsidRPr="00BE5234">
        <w:rPr>
          <w:rFonts w:cstheme="minorHAnsi"/>
        </w:rPr>
        <w:t> values in either subunit (Zhao et al., </w:t>
      </w:r>
      <w:hyperlink r:id="rId170" w:anchor="acer14042-bib-0049" w:history="1">
        <w:r w:rsidRPr="00BE5234">
          <w:rPr>
            <w:rStyle w:val="Hyperlink"/>
            <w:rFonts w:eastAsiaTheme="majorEastAsia" w:cstheme="minorHAnsi"/>
            <w:b/>
            <w:bCs/>
            <w:color w:val="000000"/>
          </w:rPr>
          <w:t>2015</w:t>
        </w:r>
      </w:hyperlink>
      <w:r w:rsidRPr="00BE5234">
        <w:rPr>
          <w:rFonts w:cstheme="minorHAnsi"/>
        </w:rPr>
        <w:t>).</w:t>
      </w:r>
    </w:p>
    <w:p w14:paraId="4A63CDFD" w14:textId="77777777" w:rsidR="00DC2506" w:rsidRPr="00BE5234" w:rsidRDefault="00DC2506" w:rsidP="00A30B81">
      <w:pPr>
        <w:rPr>
          <w:rFonts w:cstheme="minorHAnsi"/>
        </w:rPr>
      </w:pPr>
      <w:r w:rsidRPr="00BE5234">
        <w:rPr>
          <w:rFonts w:cstheme="minorHAnsi"/>
        </w:rPr>
        <w:t>The differences in the identity and characteristics of alcohol‐sensitive amino acid positions among the GluN2 subunits may reflect differences in the interaction of alcohol with the putative‐binding cavities bounded by these positions, as well as in the mechanism of alcohol modulation of ion channel function. In the present study, EtOH IC</w:t>
      </w:r>
      <w:r w:rsidRPr="00BE5234">
        <w:rPr>
          <w:rFonts w:cstheme="minorHAnsi"/>
          <w:vertAlign w:val="subscript"/>
        </w:rPr>
        <w:t>50</w:t>
      </w:r>
      <w:r w:rsidRPr="00BE5234">
        <w:rPr>
          <w:rFonts w:cstheme="minorHAnsi"/>
        </w:rPr>
        <w:t> for mutants at the M4</w:t>
      </w:r>
      <w:r w:rsidRPr="00BE5234">
        <w:rPr>
          <w:rFonts w:cstheme="minorHAnsi"/>
          <w:vertAlign w:val="subscript"/>
        </w:rPr>
        <w:t>1</w:t>
      </w:r>
      <w:r w:rsidRPr="00BE5234">
        <w:rPr>
          <w:rFonts w:cstheme="minorHAnsi"/>
        </w:rPr>
        <w:t>position in GluN2C was not significantly related to any physicochemical measure of the substituent side chain. Correlations between EtOH sensitivity and measures such as molecular volume have been previously observed in other alcohol‐sensitive ion channels including GABA</w:t>
      </w:r>
      <w:r w:rsidRPr="00BE5234">
        <w:rPr>
          <w:rFonts w:cstheme="minorHAnsi"/>
          <w:vertAlign w:val="subscript"/>
        </w:rPr>
        <w:t>A</w:t>
      </w:r>
      <w:r w:rsidRPr="00BE5234">
        <w:rPr>
          <w:rFonts w:cstheme="minorHAnsi"/>
        </w:rPr>
        <w:t> and glycine receptors (Kash et al., </w:t>
      </w:r>
      <w:hyperlink r:id="rId171" w:anchor="acer14042-bib-0014" w:history="1">
        <w:r w:rsidRPr="00BE5234">
          <w:rPr>
            <w:rStyle w:val="Hyperlink"/>
            <w:rFonts w:eastAsiaTheme="majorEastAsia" w:cstheme="minorHAnsi"/>
            <w:b/>
            <w:bCs/>
            <w:color w:val="000000"/>
          </w:rPr>
          <w:t>2003</w:t>
        </w:r>
      </w:hyperlink>
      <w:r w:rsidRPr="00BE5234">
        <w:rPr>
          <w:rFonts w:cstheme="minorHAnsi"/>
        </w:rPr>
        <w:t>; Mihic et al., </w:t>
      </w:r>
      <w:hyperlink r:id="rId172" w:anchor="acer14042-bib-0021" w:history="1">
        <w:r w:rsidRPr="00BE5234">
          <w:rPr>
            <w:rStyle w:val="Hyperlink"/>
            <w:rFonts w:eastAsiaTheme="majorEastAsia" w:cstheme="minorHAnsi"/>
            <w:b/>
            <w:bCs/>
            <w:color w:val="000000"/>
          </w:rPr>
          <w:t>1997</w:t>
        </w:r>
      </w:hyperlink>
      <w:r w:rsidRPr="00BE5234">
        <w:rPr>
          <w:rFonts w:cstheme="minorHAnsi"/>
        </w:rPr>
        <w:t>; Wick et al., </w:t>
      </w:r>
      <w:hyperlink r:id="rId173" w:anchor="acer14042-bib-0044" w:history="1">
        <w:r w:rsidRPr="00BE5234">
          <w:rPr>
            <w:rStyle w:val="Hyperlink"/>
            <w:rFonts w:eastAsiaTheme="majorEastAsia" w:cstheme="minorHAnsi"/>
            <w:b/>
            <w:bCs/>
            <w:color w:val="000000"/>
          </w:rPr>
          <w:t>1998</w:t>
        </w:r>
      </w:hyperlink>
      <w:r w:rsidRPr="00BE5234">
        <w:rPr>
          <w:rFonts w:cstheme="minorHAnsi"/>
        </w:rPr>
        <w:t>; Yamakura et al., </w:t>
      </w:r>
      <w:hyperlink r:id="rId174" w:anchor="acer14042-bib-0048" w:history="1">
        <w:r w:rsidRPr="00BE5234">
          <w:rPr>
            <w:rStyle w:val="Hyperlink"/>
            <w:rFonts w:eastAsiaTheme="majorEastAsia" w:cstheme="minorHAnsi"/>
            <w:b/>
            <w:bCs/>
            <w:color w:val="000000"/>
          </w:rPr>
          <w:t>1999</w:t>
        </w:r>
      </w:hyperlink>
      <w:r w:rsidRPr="00BE5234">
        <w:rPr>
          <w:rFonts w:cstheme="minorHAnsi"/>
        </w:rPr>
        <w:t>), as well as in the NMDAR GluN1 subunit at the M3</w:t>
      </w:r>
      <w:r w:rsidRPr="00BE5234">
        <w:rPr>
          <w:rFonts w:cstheme="minorHAnsi"/>
          <w:vertAlign w:val="subscript"/>
        </w:rPr>
        <w:t>2</w:t>
      </w:r>
      <w:r w:rsidRPr="00BE5234">
        <w:rPr>
          <w:rFonts w:cstheme="minorHAnsi"/>
        </w:rPr>
        <w:t> position (Smothers and Woodward, </w:t>
      </w:r>
      <w:hyperlink r:id="rId175" w:anchor="acer14042-bib-0036" w:history="1">
        <w:r w:rsidRPr="00BE5234">
          <w:rPr>
            <w:rStyle w:val="Hyperlink"/>
            <w:rFonts w:eastAsiaTheme="majorEastAsia" w:cstheme="minorHAnsi"/>
            <w:b/>
            <w:bCs/>
            <w:color w:val="000000"/>
          </w:rPr>
          <w:t>2006</w:t>
        </w:r>
      </w:hyperlink>
      <w:r w:rsidRPr="00BE5234">
        <w:rPr>
          <w:rFonts w:cstheme="minorHAnsi"/>
        </w:rPr>
        <w:t>) and GluN2A subunit at the M3</w:t>
      </w:r>
      <w:r w:rsidRPr="00BE5234">
        <w:rPr>
          <w:rFonts w:cstheme="minorHAnsi"/>
          <w:vertAlign w:val="subscript"/>
        </w:rPr>
        <w:t>2</w:t>
      </w:r>
      <w:r w:rsidRPr="00BE5234">
        <w:rPr>
          <w:rFonts w:cstheme="minorHAnsi"/>
        </w:rPr>
        <w:t> and M4</w:t>
      </w:r>
      <w:r w:rsidRPr="00BE5234">
        <w:rPr>
          <w:rFonts w:cstheme="minorHAnsi"/>
          <w:vertAlign w:val="subscript"/>
        </w:rPr>
        <w:t>1</w:t>
      </w:r>
      <w:r w:rsidRPr="00BE5234">
        <w:rPr>
          <w:rFonts w:cstheme="minorHAnsi"/>
        </w:rPr>
        <w:t> positions (Ren et al., </w:t>
      </w:r>
      <w:hyperlink r:id="rId176" w:anchor="acer14042-bib-0028" w:history="1">
        <w:r w:rsidRPr="00BE5234">
          <w:rPr>
            <w:rStyle w:val="Hyperlink"/>
            <w:rFonts w:eastAsiaTheme="majorEastAsia" w:cstheme="minorHAnsi"/>
            <w:b/>
            <w:bCs/>
            <w:color w:val="000000"/>
          </w:rPr>
          <w:t>2003b</w:t>
        </w:r>
      </w:hyperlink>
      <w:r w:rsidRPr="00BE5234">
        <w:rPr>
          <w:rFonts w:cstheme="minorHAnsi"/>
        </w:rPr>
        <w:t>, </w:t>
      </w:r>
      <w:hyperlink r:id="rId177" w:anchor="acer14042-bib-0030" w:history="1">
        <w:r w:rsidRPr="00BE5234">
          <w:rPr>
            <w:rStyle w:val="Hyperlink"/>
            <w:rFonts w:eastAsiaTheme="majorEastAsia" w:cstheme="minorHAnsi"/>
            <w:b/>
            <w:bCs/>
            <w:color w:val="000000"/>
          </w:rPr>
          <w:t>2007</w:t>
        </w:r>
      </w:hyperlink>
      <w:r w:rsidRPr="00BE5234">
        <w:rPr>
          <w:rFonts w:cstheme="minorHAnsi"/>
        </w:rPr>
        <w:t>), and have been taken as evidence for alcohol binding in the vicinity of the side chain. The lack of such a relation in the present study could be interpreted as an indication that the EtOH molecule does not directly interact with the cavity formed by this position, but other interpretations are also plausible. For example, it is possible that EtOH interacts with the side chains at these positions in a manner that is more specific than simple volume occupation of a cavity and that would not be accurately represented by any of the physical–chemical scales used. The binding cavity may thus be sufficiently large to accommodate any of the hydrophobic amino acid side chains and an alcohol molecule without altering its conformation. The observation that the isomeric amino acids isoleucine and leucine, which have the same molecular volume and hydrophobicity but different structures, produce distinctly different effects on EtOH sensitivity is consistent with this interpretation, although the observation that these substitutions also differentially affected receptor kinetics raises the possibility that the changes in EtOH sensitivity are secondary to changes in receptor kinetics. However, EtOH sensitivity among the mutants at GluN2C(M821) was not dependent upon the measures of receptor kinetics tested: EtOH IC</w:t>
      </w:r>
      <w:r w:rsidRPr="00BE5234">
        <w:rPr>
          <w:rFonts w:cstheme="minorHAnsi"/>
          <w:vertAlign w:val="subscript"/>
        </w:rPr>
        <w:t>50</w:t>
      </w:r>
      <w:r w:rsidRPr="00BE5234">
        <w:rPr>
          <w:rFonts w:cstheme="minorHAnsi"/>
        </w:rPr>
        <w:t> values were not related to values of glutamate potency for activation of either peak or steady‐state current or to a measure of desensitization, steady‐state‐to‐peak current (</w:t>
      </w:r>
      <w:r w:rsidRPr="00BE5234">
        <w:rPr>
          <w:rFonts w:cstheme="minorHAnsi"/>
          <w:i/>
          <w:iCs/>
        </w:rPr>
        <w:t>I</w:t>
      </w:r>
      <w:r w:rsidRPr="00BE5234">
        <w:rPr>
          <w:rFonts w:cstheme="minorHAnsi"/>
          <w:vertAlign w:val="subscript"/>
        </w:rPr>
        <w:t>ss</w:t>
      </w:r>
      <w:r w:rsidRPr="00BE5234">
        <w:rPr>
          <w:rFonts w:cstheme="minorHAnsi"/>
        </w:rPr>
        <w:t>:</w:t>
      </w:r>
      <w:r w:rsidRPr="00BE5234">
        <w:rPr>
          <w:rFonts w:cstheme="minorHAnsi"/>
          <w:i/>
          <w:iCs/>
        </w:rPr>
        <w:t>I</w:t>
      </w:r>
      <w:r w:rsidRPr="00BE5234">
        <w:rPr>
          <w:rFonts w:cstheme="minorHAnsi"/>
          <w:vertAlign w:val="subscript"/>
        </w:rPr>
        <w:t>p</w:t>
      </w:r>
      <w:r w:rsidRPr="00BE5234">
        <w:rPr>
          <w:rFonts w:cstheme="minorHAnsi"/>
        </w:rPr>
        <w:t>) ratio. Additional experiments will be required to distinguish among these and other possible explanations.</w:t>
      </w:r>
    </w:p>
    <w:p w14:paraId="71E245BD" w14:textId="77777777" w:rsidR="00DC2506" w:rsidRPr="00BE5234" w:rsidRDefault="00DC2506" w:rsidP="00A30B81">
      <w:pPr>
        <w:pStyle w:val="Heading1"/>
        <w:rPr>
          <w:rFonts w:asciiTheme="minorHAnsi" w:hAnsiTheme="minorHAnsi" w:cstheme="minorHAnsi"/>
        </w:rPr>
      </w:pPr>
      <w:r w:rsidRPr="00BE5234">
        <w:rPr>
          <w:rFonts w:asciiTheme="minorHAnsi" w:hAnsiTheme="minorHAnsi" w:cstheme="minorHAnsi"/>
        </w:rPr>
        <w:t>Acknowledgments</w:t>
      </w:r>
    </w:p>
    <w:p w14:paraId="109A53E8" w14:textId="77777777" w:rsidR="00DC2506" w:rsidRPr="00BE5234" w:rsidRDefault="00DC2506" w:rsidP="00A30B81">
      <w:pPr>
        <w:rPr>
          <w:rFonts w:cstheme="minorHAnsi"/>
        </w:rPr>
      </w:pPr>
      <w:r w:rsidRPr="00BE5234">
        <w:rPr>
          <w:rFonts w:cstheme="minorHAnsi"/>
        </w:rPr>
        <w:t>This study was supported by grants RO1 AA015203‐01A1 and AA015203‐06A1 from the NIAAA, National Institutes of Health, and by a Way Klingler Fellowship Award from Marquette University to RWP.</w:t>
      </w:r>
    </w:p>
    <w:p w14:paraId="0B91A2A8" w14:textId="77777777" w:rsidR="00DC2506" w:rsidRPr="00BE5234" w:rsidRDefault="00DC2506" w:rsidP="00A30B81">
      <w:pPr>
        <w:pStyle w:val="Heading1"/>
        <w:rPr>
          <w:rFonts w:asciiTheme="minorHAnsi" w:hAnsiTheme="minorHAnsi" w:cstheme="minorHAnsi"/>
        </w:rPr>
      </w:pPr>
      <w:r w:rsidRPr="00BE5234">
        <w:rPr>
          <w:rFonts w:asciiTheme="minorHAnsi" w:hAnsiTheme="minorHAnsi" w:cstheme="minorHAnsi"/>
        </w:rPr>
        <w:t>Conflict of Interest</w:t>
      </w:r>
    </w:p>
    <w:p w14:paraId="6D19C36C" w14:textId="77777777" w:rsidR="00DC2506" w:rsidRPr="00BE5234" w:rsidRDefault="00DC2506" w:rsidP="00A30B81">
      <w:pPr>
        <w:rPr>
          <w:rFonts w:cstheme="minorHAnsi"/>
        </w:rPr>
      </w:pPr>
      <w:r w:rsidRPr="00BE5234">
        <w:rPr>
          <w:rFonts w:cstheme="minorHAnsi"/>
        </w:rPr>
        <w:t>The authors have no conflicts of interest to disclose.</w:t>
      </w:r>
    </w:p>
    <w:p w14:paraId="6F3ED741" w14:textId="1E0CE192" w:rsidR="00DC2506" w:rsidRPr="00BE5234" w:rsidRDefault="003446E4" w:rsidP="003446E4">
      <w:pPr>
        <w:pStyle w:val="Heading1"/>
        <w:rPr>
          <w:rFonts w:asciiTheme="minorHAnsi" w:hAnsiTheme="minorHAnsi" w:cstheme="minorHAnsi"/>
        </w:rPr>
      </w:pPr>
      <w:r w:rsidRPr="00BE5234">
        <w:rPr>
          <w:rFonts w:asciiTheme="minorHAnsi" w:hAnsiTheme="minorHAnsi" w:cstheme="minorHAnsi"/>
        </w:rPr>
        <w:t>References</w:t>
      </w:r>
    </w:p>
    <w:p w14:paraId="0A4655CD" w14:textId="77777777" w:rsidR="00D67B01" w:rsidRPr="00BE5234" w:rsidRDefault="00D67B01" w:rsidP="00215592">
      <w:pPr>
        <w:numPr>
          <w:ilvl w:val="0"/>
          <w:numId w:val="2"/>
        </w:numPr>
        <w:spacing w:after="0"/>
        <w:rPr>
          <w:rFonts w:cstheme="minorHAnsi"/>
        </w:rPr>
      </w:pPr>
      <w:r w:rsidRPr="00BE5234">
        <w:rPr>
          <w:rFonts w:cstheme="minorHAnsi"/>
        </w:rPr>
        <w:t>Abrahao KP, Salinas AG, Lovinger DM (2017) Alcohol and the brain: neuronal molecular targets, synapses, and circuits. </w:t>
      </w:r>
      <w:r w:rsidRPr="00BE5234">
        <w:rPr>
          <w:rFonts w:cstheme="minorHAnsi"/>
          <w:i/>
          <w:iCs/>
        </w:rPr>
        <w:t>Neuron</w:t>
      </w:r>
      <w:r w:rsidRPr="00BE5234">
        <w:rPr>
          <w:rFonts w:cstheme="minorHAnsi"/>
        </w:rPr>
        <w:t> </w:t>
      </w:r>
      <w:r w:rsidRPr="00BE5234">
        <w:rPr>
          <w:rFonts w:cstheme="minorHAnsi"/>
          <w:b/>
          <w:bCs/>
        </w:rPr>
        <w:t>96</w:t>
      </w:r>
      <w:r w:rsidRPr="00BE5234">
        <w:rPr>
          <w:rFonts w:cstheme="minorHAnsi"/>
        </w:rPr>
        <w:t>: 1223– 1238.</w:t>
      </w:r>
    </w:p>
    <w:p w14:paraId="56C141B4" w14:textId="77777777" w:rsidR="00D67B01" w:rsidRPr="00BE5234" w:rsidRDefault="00D67B01" w:rsidP="00215592">
      <w:pPr>
        <w:numPr>
          <w:ilvl w:val="0"/>
          <w:numId w:val="2"/>
        </w:numPr>
        <w:spacing w:after="0"/>
        <w:rPr>
          <w:rFonts w:cstheme="minorHAnsi"/>
        </w:rPr>
      </w:pPr>
      <w:r w:rsidRPr="00BE5234">
        <w:rPr>
          <w:rFonts w:cstheme="minorHAnsi"/>
        </w:rPr>
        <w:t>Alsaad HA, DeKorver NW, Mao Z, Dravid SM, Arikkath J, Monaghan DT (2019) In the telencephalon, GluN2C NMDA receptor subunit mRNA is predominately expressed in glial cells and GluN2D mRNA in interneurons. </w:t>
      </w:r>
      <w:r w:rsidRPr="00BE5234">
        <w:rPr>
          <w:rFonts w:cstheme="minorHAnsi"/>
          <w:i/>
          <w:iCs/>
        </w:rPr>
        <w:t>Neurochem Res</w:t>
      </w:r>
      <w:r w:rsidRPr="00BE5234">
        <w:rPr>
          <w:rFonts w:cstheme="minorHAnsi"/>
        </w:rPr>
        <w:t> </w:t>
      </w:r>
      <w:r w:rsidRPr="00BE5234">
        <w:rPr>
          <w:rFonts w:cstheme="minorHAnsi"/>
          <w:b/>
          <w:bCs/>
        </w:rPr>
        <w:t>44</w:t>
      </w:r>
      <w:r w:rsidRPr="00BE5234">
        <w:rPr>
          <w:rFonts w:cstheme="minorHAnsi"/>
        </w:rPr>
        <w:t>: 61– 77.</w:t>
      </w:r>
    </w:p>
    <w:p w14:paraId="2E897739" w14:textId="77777777" w:rsidR="00D67B01" w:rsidRPr="00BE5234" w:rsidRDefault="00D67B01" w:rsidP="00215592">
      <w:pPr>
        <w:numPr>
          <w:ilvl w:val="0"/>
          <w:numId w:val="2"/>
        </w:numPr>
        <w:spacing w:after="0"/>
        <w:rPr>
          <w:rFonts w:cstheme="minorHAnsi"/>
        </w:rPr>
      </w:pPr>
      <w:r w:rsidRPr="00BE5234">
        <w:rPr>
          <w:rFonts w:cstheme="minorHAnsi"/>
        </w:rPr>
        <w:t>Bliss TVP, Collingridge GL (1993) A synaptic model of memory: long‐term potentiation in the hippocampus. </w:t>
      </w:r>
      <w:r w:rsidRPr="00BE5234">
        <w:rPr>
          <w:rFonts w:cstheme="minorHAnsi"/>
          <w:i/>
          <w:iCs/>
        </w:rPr>
        <w:t>Nature</w:t>
      </w:r>
      <w:r w:rsidRPr="00BE5234">
        <w:rPr>
          <w:rFonts w:cstheme="minorHAnsi"/>
        </w:rPr>
        <w:t> </w:t>
      </w:r>
      <w:r w:rsidRPr="00BE5234">
        <w:rPr>
          <w:rFonts w:cstheme="minorHAnsi"/>
          <w:b/>
          <w:bCs/>
        </w:rPr>
        <w:t>361</w:t>
      </w:r>
      <w:r w:rsidRPr="00BE5234">
        <w:rPr>
          <w:rFonts w:cstheme="minorHAnsi"/>
        </w:rPr>
        <w:t>: 31– 39.</w:t>
      </w:r>
    </w:p>
    <w:p w14:paraId="6DA299E0" w14:textId="77777777" w:rsidR="00D67B01" w:rsidRPr="00BE5234" w:rsidRDefault="00D67B01" w:rsidP="00215592">
      <w:pPr>
        <w:numPr>
          <w:ilvl w:val="0"/>
          <w:numId w:val="2"/>
        </w:numPr>
        <w:spacing w:after="0"/>
        <w:rPr>
          <w:rFonts w:cstheme="minorHAnsi"/>
        </w:rPr>
      </w:pPr>
      <w:r w:rsidRPr="00BE5234">
        <w:rPr>
          <w:rFonts w:cstheme="minorHAnsi"/>
        </w:rPr>
        <w:t>Chu B, Anantharam V, Treistman SN (1995) Ethanol inhibition of recombinant heteromeric NMDA channels in the presence and absence of modulators. </w:t>
      </w:r>
      <w:r w:rsidRPr="00BE5234">
        <w:rPr>
          <w:rFonts w:cstheme="minorHAnsi"/>
          <w:i/>
          <w:iCs/>
        </w:rPr>
        <w:t>J Neurochem</w:t>
      </w:r>
      <w:r w:rsidRPr="00BE5234">
        <w:rPr>
          <w:rFonts w:cstheme="minorHAnsi"/>
        </w:rPr>
        <w:t> </w:t>
      </w:r>
      <w:r w:rsidRPr="00BE5234">
        <w:rPr>
          <w:rFonts w:cstheme="minorHAnsi"/>
          <w:b/>
          <w:bCs/>
        </w:rPr>
        <w:t>65</w:t>
      </w:r>
      <w:r w:rsidRPr="00BE5234">
        <w:rPr>
          <w:rFonts w:cstheme="minorHAnsi"/>
        </w:rPr>
        <w:t>: 140– 148.</w:t>
      </w:r>
    </w:p>
    <w:p w14:paraId="28CBA931" w14:textId="77777777" w:rsidR="00D67B01" w:rsidRPr="00BE5234" w:rsidRDefault="00D67B01" w:rsidP="00215592">
      <w:pPr>
        <w:numPr>
          <w:ilvl w:val="0"/>
          <w:numId w:val="2"/>
        </w:numPr>
        <w:spacing w:after="0"/>
        <w:rPr>
          <w:rFonts w:cstheme="minorHAnsi"/>
        </w:rPr>
      </w:pPr>
      <w:r w:rsidRPr="00BE5234">
        <w:rPr>
          <w:rFonts w:cstheme="minorHAnsi"/>
        </w:rPr>
        <w:t>Dingledine R, Borges K, Bowie D, Traynelis SF (1999) The glutamate receptor ion channels. </w:t>
      </w:r>
      <w:r w:rsidRPr="00BE5234">
        <w:rPr>
          <w:rFonts w:cstheme="minorHAnsi"/>
          <w:i/>
          <w:iCs/>
        </w:rPr>
        <w:t>Pharmacol Rev</w:t>
      </w:r>
      <w:r w:rsidRPr="00BE5234">
        <w:rPr>
          <w:rFonts w:cstheme="minorHAnsi"/>
        </w:rPr>
        <w:t> </w:t>
      </w:r>
      <w:r w:rsidRPr="00BE5234">
        <w:rPr>
          <w:rFonts w:cstheme="minorHAnsi"/>
          <w:b/>
          <w:bCs/>
        </w:rPr>
        <w:t>51</w:t>
      </w:r>
      <w:r w:rsidRPr="00BE5234">
        <w:rPr>
          <w:rFonts w:cstheme="minorHAnsi"/>
        </w:rPr>
        <w:t>: 7– 61.</w:t>
      </w:r>
    </w:p>
    <w:p w14:paraId="6696FAFD" w14:textId="77777777" w:rsidR="00D67B01" w:rsidRPr="00BE5234" w:rsidRDefault="00D67B01" w:rsidP="00215592">
      <w:pPr>
        <w:numPr>
          <w:ilvl w:val="0"/>
          <w:numId w:val="2"/>
        </w:numPr>
        <w:spacing w:after="0"/>
        <w:rPr>
          <w:rFonts w:cstheme="minorHAnsi"/>
        </w:rPr>
      </w:pPr>
      <w:r w:rsidRPr="00BE5234">
        <w:rPr>
          <w:rFonts w:cstheme="minorHAnsi"/>
        </w:rPr>
        <w:t>Dravid SM, Prakash A, Traynelis SF (2008) Activation of recombinant NR1/NR2C NMDA receptors. </w:t>
      </w:r>
      <w:r w:rsidRPr="00BE5234">
        <w:rPr>
          <w:rFonts w:cstheme="minorHAnsi"/>
          <w:i/>
          <w:iCs/>
        </w:rPr>
        <w:t>J Physiol</w:t>
      </w:r>
      <w:r w:rsidRPr="00BE5234">
        <w:rPr>
          <w:rFonts w:cstheme="minorHAnsi"/>
        </w:rPr>
        <w:t> </w:t>
      </w:r>
      <w:r w:rsidRPr="00BE5234">
        <w:rPr>
          <w:rFonts w:cstheme="minorHAnsi"/>
          <w:b/>
          <w:bCs/>
        </w:rPr>
        <w:t>586</w:t>
      </w:r>
      <w:r w:rsidRPr="00BE5234">
        <w:rPr>
          <w:rFonts w:cstheme="minorHAnsi"/>
        </w:rPr>
        <w:t>: 4425– 4439.</w:t>
      </w:r>
    </w:p>
    <w:p w14:paraId="104F456A" w14:textId="77777777" w:rsidR="00D67B01" w:rsidRPr="00BE5234" w:rsidRDefault="00D67B01" w:rsidP="00215592">
      <w:pPr>
        <w:numPr>
          <w:ilvl w:val="0"/>
          <w:numId w:val="2"/>
        </w:numPr>
        <w:spacing w:after="0"/>
        <w:rPr>
          <w:rFonts w:cstheme="minorHAnsi"/>
        </w:rPr>
      </w:pPr>
      <w:r w:rsidRPr="00BE5234">
        <w:rPr>
          <w:rFonts w:cstheme="minorHAnsi"/>
        </w:rPr>
        <w:t>Farrant M, Feldmeyer D, Takahashi T, Cull‐Candy SG (1994) NMDA‐receptor channel diversity in the developing cerebellum. </w:t>
      </w:r>
      <w:r w:rsidRPr="00BE5234">
        <w:rPr>
          <w:rFonts w:cstheme="minorHAnsi"/>
          <w:i/>
          <w:iCs/>
        </w:rPr>
        <w:t>Nature</w:t>
      </w:r>
      <w:r w:rsidRPr="00BE5234">
        <w:rPr>
          <w:rFonts w:cstheme="minorHAnsi"/>
        </w:rPr>
        <w:t> </w:t>
      </w:r>
      <w:r w:rsidRPr="00BE5234">
        <w:rPr>
          <w:rFonts w:cstheme="minorHAnsi"/>
          <w:b/>
          <w:bCs/>
        </w:rPr>
        <w:t>368</w:t>
      </w:r>
      <w:r w:rsidRPr="00BE5234">
        <w:rPr>
          <w:rFonts w:cstheme="minorHAnsi"/>
        </w:rPr>
        <w:t>: 335– 339.</w:t>
      </w:r>
    </w:p>
    <w:p w14:paraId="03033629" w14:textId="77777777" w:rsidR="00D67B01" w:rsidRPr="00BE5234" w:rsidRDefault="00D67B01" w:rsidP="00215592">
      <w:pPr>
        <w:numPr>
          <w:ilvl w:val="0"/>
          <w:numId w:val="2"/>
        </w:numPr>
        <w:spacing w:after="0"/>
        <w:rPr>
          <w:rFonts w:cstheme="minorHAnsi"/>
        </w:rPr>
      </w:pPr>
      <w:r w:rsidRPr="00BE5234">
        <w:rPr>
          <w:rFonts w:cstheme="minorHAnsi"/>
        </w:rPr>
        <w:t>Harrison NL, Skelly MJ, Grosserode EK, Lowes DC, Zeric T, Phister S, Salling MC (2017) Effects of acute alcohol on excitability in the CNS. </w:t>
      </w:r>
      <w:r w:rsidRPr="00BE5234">
        <w:rPr>
          <w:rFonts w:cstheme="minorHAnsi"/>
          <w:i/>
          <w:iCs/>
        </w:rPr>
        <w:t>Neuropharmacology</w:t>
      </w:r>
      <w:r w:rsidRPr="00BE5234">
        <w:rPr>
          <w:rFonts w:cstheme="minorHAnsi"/>
        </w:rPr>
        <w:t> </w:t>
      </w:r>
      <w:r w:rsidRPr="00BE5234">
        <w:rPr>
          <w:rFonts w:cstheme="minorHAnsi"/>
          <w:b/>
          <w:bCs/>
        </w:rPr>
        <w:t>122</w:t>
      </w:r>
      <w:r w:rsidRPr="00BE5234">
        <w:rPr>
          <w:rFonts w:cstheme="minorHAnsi"/>
        </w:rPr>
        <w:t>: 36– 45.</w:t>
      </w:r>
    </w:p>
    <w:p w14:paraId="44330301" w14:textId="77777777" w:rsidR="00D67B01" w:rsidRPr="00BE5234" w:rsidRDefault="00D67B01" w:rsidP="00215592">
      <w:pPr>
        <w:numPr>
          <w:ilvl w:val="0"/>
          <w:numId w:val="2"/>
        </w:numPr>
        <w:spacing w:after="0"/>
        <w:rPr>
          <w:rFonts w:cstheme="minorHAnsi"/>
        </w:rPr>
      </w:pPr>
      <w:r w:rsidRPr="00BE5234">
        <w:rPr>
          <w:rFonts w:cstheme="minorHAnsi"/>
        </w:rPr>
        <w:t>Honer M, Benke D, Laube B, Kuhse J, Heckendorn R, Allgeier H, Angst C, Monyer H, Seeburg PH, Betz H, Mohler H (1998) Differentiation of glycine antagonist sites of N‐methyl‐D‐aspartate receptor subtypes. Preferential interaction of CGP 61594 with NR1/2B receptors. </w:t>
      </w:r>
      <w:r w:rsidRPr="00BE5234">
        <w:rPr>
          <w:rFonts w:cstheme="minorHAnsi"/>
          <w:i/>
          <w:iCs/>
        </w:rPr>
        <w:t>J Biol Chem</w:t>
      </w:r>
      <w:r w:rsidRPr="00BE5234">
        <w:rPr>
          <w:rFonts w:cstheme="minorHAnsi"/>
        </w:rPr>
        <w:t> </w:t>
      </w:r>
      <w:r w:rsidRPr="00BE5234">
        <w:rPr>
          <w:rFonts w:cstheme="minorHAnsi"/>
          <w:b/>
          <w:bCs/>
        </w:rPr>
        <w:t>273</w:t>
      </w:r>
      <w:r w:rsidRPr="00BE5234">
        <w:rPr>
          <w:rFonts w:cstheme="minorHAnsi"/>
        </w:rPr>
        <w:t>: 11158– 11163.</w:t>
      </w:r>
    </w:p>
    <w:p w14:paraId="4ED87A26" w14:textId="77777777" w:rsidR="00D67B01" w:rsidRPr="00BE5234" w:rsidRDefault="00D67B01" w:rsidP="00215592">
      <w:pPr>
        <w:numPr>
          <w:ilvl w:val="0"/>
          <w:numId w:val="2"/>
        </w:numPr>
        <w:spacing w:after="0"/>
        <w:rPr>
          <w:rFonts w:cstheme="minorHAnsi"/>
        </w:rPr>
      </w:pPr>
      <w:r w:rsidRPr="00BE5234">
        <w:rPr>
          <w:rFonts w:cstheme="minorHAnsi"/>
        </w:rPr>
        <w:t>Honse Y, Ren H, Lipsky RH, Peoples RW (2004) Sites in the fourth membrane‐associated domain regulate alcohol sensitivity of the NMDA receptor. </w:t>
      </w:r>
      <w:r w:rsidRPr="00BE5234">
        <w:rPr>
          <w:rFonts w:cstheme="minorHAnsi"/>
          <w:i/>
          <w:iCs/>
        </w:rPr>
        <w:t>Neuropharmacology</w:t>
      </w:r>
      <w:r w:rsidRPr="00BE5234">
        <w:rPr>
          <w:rFonts w:cstheme="minorHAnsi"/>
        </w:rPr>
        <w:t> </w:t>
      </w:r>
      <w:r w:rsidRPr="00BE5234">
        <w:rPr>
          <w:rFonts w:cstheme="minorHAnsi"/>
          <w:b/>
          <w:bCs/>
        </w:rPr>
        <w:t>46</w:t>
      </w:r>
      <w:r w:rsidRPr="00BE5234">
        <w:rPr>
          <w:rFonts w:cstheme="minorHAnsi"/>
        </w:rPr>
        <w:t>: 647– 654.</w:t>
      </w:r>
    </w:p>
    <w:p w14:paraId="725CCB4D" w14:textId="77777777" w:rsidR="00D67B01" w:rsidRPr="00BE5234" w:rsidRDefault="00D67B01" w:rsidP="00215592">
      <w:pPr>
        <w:numPr>
          <w:ilvl w:val="0"/>
          <w:numId w:val="2"/>
        </w:numPr>
        <w:spacing w:after="0"/>
        <w:rPr>
          <w:rFonts w:cstheme="minorHAnsi"/>
        </w:rPr>
      </w:pPr>
      <w:r w:rsidRPr="00BE5234">
        <w:rPr>
          <w:rFonts w:cstheme="minorHAnsi"/>
        </w:rPr>
        <w:t>Hopp TP, Woods KR (1981) Prediction of protein antigenic determinants from amino acid sequences. </w:t>
      </w:r>
      <w:r w:rsidRPr="00BE5234">
        <w:rPr>
          <w:rFonts w:cstheme="minorHAnsi"/>
          <w:i/>
          <w:iCs/>
        </w:rPr>
        <w:t>Proc Natl Acad Sci U S A</w:t>
      </w:r>
      <w:r w:rsidRPr="00BE5234">
        <w:rPr>
          <w:rFonts w:cstheme="minorHAnsi"/>
        </w:rPr>
        <w:t> </w:t>
      </w:r>
      <w:r w:rsidRPr="00BE5234">
        <w:rPr>
          <w:rFonts w:cstheme="minorHAnsi"/>
          <w:b/>
          <w:bCs/>
        </w:rPr>
        <w:t>78</w:t>
      </w:r>
      <w:r w:rsidRPr="00BE5234">
        <w:rPr>
          <w:rFonts w:cstheme="minorHAnsi"/>
        </w:rPr>
        <w:t>: 3824– 3828.</w:t>
      </w:r>
    </w:p>
    <w:p w14:paraId="54EA067F" w14:textId="77777777" w:rsidR="00D67B01" w:rsidRPr="00BE5234" w:rsidRDefault="00D67B01" w:rsidP="00215592">
      <w:pPr>
        <w:numPr>
          <w:ilvl w:val="0"/>
          <w:numId w:val="2"/>
        </w:numPr>
        <w:spacing w:after="0"/>
        <w:rPr>
          <w:rFonts w:cstheme="minorHAnsi"/>
        </w:rPr>
      </w:pPr>
      <w:r w:rsidRPr="00BE5234">
        <w:rPr>
          <w:rFonts w:cstheme="minorHAnsi"/>
        </w:rPr>
        <w:t>Karakas E, Furukawa H (2014) Crystal structure of a heterotetrameric NMDA receptor ion channel. </w:t>
      </w:r>
      <w:r w:rsidRPr="00BE5234">
        <w:rPr>
          <w:rFonts w:cstheme="minorHAnsi"/>
          <w:i/>
          <w:iCs/>
        </w:rPr>
        <w:t>Science</w:t>
      </w:r>
      <w:r w:rsidRPr="00BE5234">
        <w:rPr>
          <w:rFonts w:cstheme="minorHAnsi"/>
        </w:rPr>
        <w:t> </w:t>
      </w:r>
      <w:r w:rsidRPr="00BE5234">
        <w:rPr>
          <w:rFonts w:cstheme="minorHAnsi"/>
          <w:b/>
          <w:bCs/>
        </w:rPr>
        <w:t>344</w:t>
      </w:r>
      <w:r w:rsidRPr="00BE5234">
        <w:rPr>
          <w:rFonts w:cstheme="minorHAnsi"/>
        </w:rPr>
        <w:t>: 992– 997.</w:t>
      </w:r>
    </w:p>
    <w:p w14:paraId="1E8A6DC9" w14:textId="77777777" w:rsidR="00D67B01" w:rsidRPr="00BE5234" w:rsidRDefault="00D67B01" w:rsidP="00215592">
      <w:pPr>
        <w:numPr>
          <w:ilvl w:val="0"/>
          <w:numId w:val="2"/>
        </w:numPr>
        <w:spacing w:after="0"/>
        <w:rPr>
          <w:rFonts w:cstheme="minorHAnsi"/>
        </w:rPr>
      </w:pPr>
      <w:r w:rsidRPr="00BE5234">
        <w:rPr>
          <w:rFonts w:cstheme="minorHAnsi"/>
        </w:rPr>
        <w:t>Karavanova I, Vasudevan K, Cheng J, Buonanno A (2007) Novel regional and developmental NMDA receptor expression patterns uncovered in NR2C subunit‐beta‐galactosidase knock‐in mice. </w:t>
      </w:r>
      <w:r w:rsidRPr="00BE5234">
        <w:rPr>
          <w:rFonts w:cstheme="minorHAnsi"/>
          <w:i/>
          <w:iCs/>
        </w:rPr>
        <w:t>Mol Cell Neurosci</w:t>
      </w:r>
      <w:r w:rsidRPr="00BE5234">
        <w:rPr>
          <w:rFonts w:cstheme="minorHAnsi"/>
        </w:rPr>
        <w:t> </w:t>
      </w:r>
      <w:r w:rsidRPr="00BE5234">
        <w:rPr>
          <w:rFonts w:cstheme="minorHAnsi"/>
          <w:b/>
          <w:bCs/>
        </w:rPr>
        <w:t>34</w:t>
      </w:r>
      <w:r w:rsidRPr="00BE5234">
        <w:rPr>
          <w:rFonts w:cstheme="minorHAnsi"/>
        </w:rPr>
        <w:t>: 468– 480.</w:t>
      </w:r>
    </w:p>
    <w:p w14:paraId="587810FA" w14:textId="77777777" w:rsidR="00D67B01" w:rsidRPr="00BE5234" w:rsidRDefault="00D67B01" w:rsidP="00215592">
      <w:pPr>
        <w:numPr>
          <w:ilvl w:val="0"/>
          <w:numId w:val="2"/>
        </w:numPr>
        <w:spacing w:after="0"/>
        <w:rPr>
          <w:rFonts w:cstheme="minorHAnsi"/>
        </w:rPr>
      </w:pPr>
      <w:r w:rsidRPr="00BE5234">
        <w:rPr>
          <w:rFonts w:cstheme="minorHAnsi"/>
        </w:rPr>
        <w:t>Kash TL, Jenkins A, Harrison NL (2003) Molecular volume determines the activity of the halogenated alkane bromoform at wild‐type and mutant GABA(A) receptors. </w:t>
      </w:r>
      <w:r w:rsidRPr="00BE5234">
        <w:rPr>
          <w:rFonts w:cstheme="minorHAnsi"/>
          <w:i/>
          <w:iCs/>
        </w:rPr>
        <w:t>Brain Res</w:t>
      </w:r>
      <w:r w:rsidRPr="00BE5234">
        <w:rPr>
          <w:rFonts w:cstheme="minorHAnsi"/>
        </w:rPr>
        <w:t> </w:t>
      </w:r>
      <w:r w:rsidRPr="00BE5234">
        <w:rPr>
          <w:rFonts w:cstheme="minorHAnsi"/>
          <w:b/>
          <w:bCs/>
        </w:rPr>
        <w:t>960</w:t>
      </w:r>
      <w:r w:rsidRPr="00BE5234">
        <w:rPr>
          <w:rFonts w:cstheme="minorHAnsi"/>
        </w:rPr>
        <w:t>: 36– 41.</w:t>
      </w:r>
    </w:p>
    <w:p w14:paraId="7DD20B87" w14:textId="77777777" w:rsidR="00D67B01" w:rsidRPr="00BE5234" w:rsidRDefault="00D67B01" w:rsidP="00215592">
      <w:pPr>
        <w:numPr>
          <w:ilvl w:val="0"/>
          <w:numId w:val="2"/>
        </w:numPr>
        <w:spacing w:after="0"/>
        <w:rPr>
          <w:rFonts w:cstheme="minorHAnsi"/>
        </w:rPr>
      </w:pPr>
      <w:r w:rsidRPr="00BE5234">
        <w:rPr>
          <w:rFonts w:cstheme="minorHAnsi"/>
        </w:rPr>
        <w:t>Krupp JJ, Vissel B, Heinemann SF, Westbrook GL (1996) Calcium‐dependent inactivation of recombinant </w:t>
      </w:r>
      <w:r w:rsidRPr="00BE5234">
        <w:rPr>
          <w:rFonts w:cstheme="minorHAnsi"/>
          <w:i/>
          <w:iCs/>
        </w:rPr>
        <w:t>N</w:t>
      </w:r>
      <w:r w:rsidRPr="00BE5234">
        <w:rPr>
          <w:rFonts w:cstheme="minorHAnsi"/>
        </w:rPr>
        <w:t>‐methyl‐D‐aspartate receptors is NR2 subunit specific. </w:t>
      </w:r>
      <w:r w:rsidRPr="00BE5234">
        <w:rPr>
          <w:rFonts w:cstheme="minorHAnsi"/>
          <w:i/>
          <w:iCs/>
        </w:rPr>
        <w:t>Mol Pharmacol</w:t>
      </w:r>
      <w:r w:rsidRPr="00BE5234">
        <w:rPr>
          <w:rFonts w:cstheme="minorHAnsi"/>
        </w:rPr>
        <w:t> </w:t>
      </w:r>
      <w:r w:rsidRPr="00BE5234">
        <w:rPr>
          <w:rFonts w:cstheme="minorHAnsi"/>
          <w:b/>
          <w:bCs/>
        </w:rPr>
        <w:t>50</w:t>
      </w:r>
      <w:r w:rsidRPr="00BE5234">
        <w:rPr>
          <w:rFonts w:cstheme="minorHAnsi"/>
        </w:rPr>
        <w:t>: 1680– 1688.</w:t>
      </w:r>
    </w:p>
    <w:p w14:paraId="78053CD6" w14:textId="77777777" w:rsidR="00D67B01" w:rsidRPr="00BE5234" w:rsidRDefault="00D67B01" w:rsidP="00215592">
      <w:pPr>
        <w:numPr>
          <w:ilvl w:val="0"/>
          <w:numId w:val="2"/>
        </w:numPr>
        <w:spacing w:after="0"/>
        <w:rPr>
          <w:rFonts w:cstheme="minorHAnsi"/>
        </w:rPr>
      </w:pPr>
      <w:r w:rsidRPr="00BE5234">
        <w:rPr>
          <w:rFonts w:cstheme="minorHAnsi"/>
        </w:rPr>
        <w:t>Krystal JH, Petrakis IL, Mason G, Trevisan L, D'Souza DC (2003) N‐methyl‐D‐aspartate glutamate receptors and alcoholism: reward, dependence, treatment, and vulnerability. </w:t>
      </w:r>
      <w:r w:rsidRPr="00BE5234">
        <w:rPr>
          <w:rFonts w:cstheme="minorHAnsi"/>
          <w:i/>
          <w:iCs/>
        </w:rPr>
        <w:t>Pharmacol Ther</w:t>
      </w:r>
      <w:r w:rsidRPr="00BE5234">
        <w:rPr>
          <w:rFonts w:cstheme="minorHAnsi"/>
        </w:rPr>
        <w:t> </w:t>
      </w:r>
      <w:r w:rsidRPr="00BE5234">
        <w:rPr>
          <w:rFonts w:cstheme="minorHAnsi"/>
          <w:b/>
          <w:bCs/>
        </w:rPr>
        <w:t>99</w:t>
      </w:r>
      <w:r w:rsidRPr="00BE5234">
        <w:rPr>
          <w:rFonts w:cstheme="minorHAnsi"/>
        </w:rPr>
        <w:t>: 79– 94.</w:t>
      </w:r>
    </w:p>
    <w:p w14:paraId="051485FB" w14:textId="77777777" w:rsidR="00D67B01" w:rsidRPr="00BE5234" w:rsidRDefault="00D67B01" w:rsidP="00215592">
      <w:pPr>
        <w:numPr>
          <w:ilvl w:val="0"/>
          <w:numId w:val="2"/>
        </w:numPr>
        <w:spacing w:after="0"/>
        <w:rPr>
          <w:rFonts w:cstheme="minorHAnsi"/>
        </w:rPr>
      </w:pPr>
      <w:r w:rsidRPr="00BE5234">
        <w:rPr>
          <w:rFonts w:cstheme="minorHAnsi"/>
        </w:rPr>
        <w:t>Kutsuwada T, Kashiwabuchi N, Mori H, Sakimura K, Kushiya E, Araki K, Meguro H, Masaki H, Kumanishi T, Arakawa M, Mishina M (1992) Molecular diversity of the NMDA receptor channel. </w:t>
      </w:r>
      <w:r w:rsidRPr="00BE5234">
        <w:rPr>
          <w:rFonts w:cstheme="minorHAnsi"/>
          <w:i/>
          <w:iCs/>
        </w:rPr>
        <w:t>Nature</w:t>
      </w:r>
      <w:r w:rsidRPr="00BE5234">
        <w:rPr>
          <w:rFonts w:cstheme="minorHAnsi"/>
        </w:rPr>
        <w:t> </w:t>
      </w:r>
      <w:r w:rsidRPr="00BE5234">
        <w:rPr>
          <w:rFonts w:cstheme="minorHAnsi"/>
          <w:b/>
          <w:bCs/>
        </w:rPr>
        <w:t>358</w:t>
      </w:r>
      <w:r w:rsidRPr="00BE5234">
        <w:rPr>
          <w:rFonts w:cstheme="minorHAnsi"/>
        </w:rPr>
        <w:t>: 36– 41.</w:t>
      </w:r>
    </w:p>
    <w:p w14:paraId="519DAD72" w14:textId="77777777" w:rsidR="00D67B01" w:rsidRPr="00BE5234" w:rsidRDefault="00D67B01" w:rsidP="00215592">
      <w:pPr>
        <w:numPr>
          <w:ilvl w:val="0"/>
          <w:numId w:val="2"/>
        </w:numPr>
        <w:spacing w:after="0"/>
        <w:rPr>
          <w:rFonts w:cstheme="minorHAnsi"/>
        </w:rPr>
      </w:pPr>
      <w:r w:rsidRPr="00BE5234">
        <w:rPr>
          <w:rFonts w:cstheme="minorHAnsi"/>
        </w:rPr>
        <w:t>Laube B, Kuhse J, Betz H (1998) Evidence for a tetrameric structure of recombinant NMDA receptors. </w:t>
      </w:r>
      <w:r w:rsidRPr="00BE5234">
        <w:rPr>
          <w:rFonts w:cstheme="minorHAnsi"/>
          <w:i/>
          <w:iCs/>
        </w:rPr>
        <w:t>J Neurosci</w:t>
      </w:r>
      <w:r w:rsidRPr="00BE5234">
        <w:rPr>
          <w:rFonts w:cstheme="minorHAnsi"/>
        </w:rPr>
        <w:t> </w:t>
      </w:r>
      <w:r w:rsidRPr="00BE5234">
        <w:rPr>
          <w:rFonts w:cstheme="minorHAnsi"/>
          <w:b/>
          <w:bCs/>
        </w:rPr>
        <w:t>18</w:t>
      </w:r>
      <w:r w:rsidRPr="00BE5234">
        <w:rPr>
          <w:rFonts w:cstheme="minorHAnsi"/>
        </w:rPr>
        <w:t>: 2954– 2961.</w:t>
      </w:r>
    </w:p>
    <w:p w14:paraId="798599CC" w14:textId="77777777" w:rsidR="00D67B01" w:rsidRPr="00BE5234" w:rsidRDefault="00D67B01" w:rsidP="00215592">
      <w:pPr>
        <w:numPr>
          <w:ilvl w:val="0"/>
          <w:numId w:val="2"/>
        </w:numPr>
        <w:spacing w:after="0"/>
        <w:rPr>
          <w:rFonts w:cstheme="minorHAnsi"/>
        </w:rPr>
      </w:pPr>
      <w:r w:rsidRPr="00BE5234">
        <w:rPr>
          <w:rFonts w:cstheme="minorHAnsi"/>
        </w:rPr>
        <w:t>Masood K, Wu C, Brauneis U, Weight FF (1994) Differential ethanol sensitivity of recombinant </w:t>
      </w:r>
      <w:r w:rsidRPr="00BE5234">
        <w:rPr>
          <w:rFonts w:cstheme="minorHAnsi"/>
          <w:i/>
          <w:iCs/>
        </w:rPr>
        <w:t>N</w:t>
      </w:r>
      <w:r w:rsidRPr="00BE5234">
        <w:rPr>
          <w:rFonts w:cstheme="minorHAnsi"/>
        </w:rPr>
        <w:t>‐methyl‐D‐aspartate receptor subunits. </w:t>
      </w:r>
      <w:r w:rsidRPr="00BE5234">
        <w:rPr>
          <w:rFonts w:cstheme="minorHAnsi"/>
          <w:i/>
          <w:iCs/>
        </w:rPr>
        <w:t>Mol Pharmacol</w:t>
      </w:r>
      <w:r w:rsidRPr="00BE5234">
        <w:rPr>
          <w:rFonts w:cstheme="minorHAnsi"/>
        </w:rPr>
        <w:t> </w:t>
      </w:r>
      <w:r w:rsidRPr="00BE5234">
        <w:rPr>
          <w:rFonts w:cstheme="minorHAnsi"/>
          <w:b/>
          <w:bCs/>
        </w:rPr>
        <w:t>45</w:t>
      </w:r>
      <w:r w:rsidRPr="00BE5234">
        <w:rPr>
          <w:rFonts w:cstheme="minorHAnsi"/>
        </w:rPr>
        <w:t>: 324– 329.</w:t>
      </w:r>
    </w:p>
    <w:p w14:paraId="218D5B2D" w14:textId="77777777" w:rsidR="00D67B01" w:rsidRPr="00BE5234" w:rsidRDefault="00D67B01" w:rsidP="00215592">
      <w:pPr>
        <w:numPr>
          <w:ilvl w:val="0"/>
          <w:numId w:val="2"/>
        </w:numPr>
        <w:spacing w:after="0"/>
        <w:rPr>
          <w:rFonts w:cstheme="minorHAnsi"/>
        </w:rPr>
      </w:pPr>
      <w:r w:rsidRPr="00BE5234">
        <w:rPr>
          <w:rFonts w:cstheme="minorHAnsi"/>
        </w:rPr>
        <w:t>McCool BA (2011) Ethanol modulation of synaptic plasticity. </w:t>
      </w:r>
      <w:r w:rsidRPr="00BE5234">
        <w:rPr>
          <w:rFonts w:cstheme="minorHAnsi"/>
          <w:i/>
          <w:iCs/>
        </w:rPr>
        <w:t>Neuropharmacology</w:t>
      </w:r>
      <w:r w:rsidRPr="00BE5234">
        <w:rPr>
          <w:rFonts w:cstheme="minorHAnsi"/>
        </w:rPr>
        <w:t> </w:t>
      </w:r>
      <w:r w:rsidRPr="00BE5234">
        <w:rPr>
          <w:rFonts w:cstheme="minorHAnsi"/>
          <w:b/>
          <w:bCs/>
        </w:rPr>
        <w:t>61</w:t>
      </w:r>
      <w:r w:rsidRPr="00BE5234">
        <w:rPr>
          <w:rFonts w:cstheme="minorHAnsi"/>
        </w:rPr>
        <w:t>: 1097– 1108.</w:t>
      </w:r>
    </w:p>
    <w:p w14:paraId="724415BD" w14:textId="77777777" w:rsidR="00D67B01" w:rsidRPr="00BE5234" w:rsidRDefault="00D67B01" w:rsidP="00215592">
      <w:pPr>
        <w:numPr>
          <w:ilvl w:val="0"/>
          <w:numId w:val="2"/>
        </w:numPr>
        <w:spacing w:after="0"/>
        <w:rPr>
          <w:rFonts w:cstheme="minorHAnsi"/>
        </w:rPr>
      </w:pPr>
      <w:r w:rsidRPr="00BE5234">
        <w:rPr>
          <w:rFonts w:cstheme="minorHAnsi"/>
        </w:rPr>
        <w:t>Mihic SJ, Ye Q, Wick MJ, Koltchine VV, Krasowski MA, Finn SE, Mascia MP, Valenzuela CF, Hanson KK, Greenblatt EP, Harris RA, Harrison NL (1997) Sites of alcohol and volatile anaesthetic action on GABA</w:t>
      </w:r>
      <w:r w:rsidRPr="00BE5234">
        <w:rPr>
          <w:rFonts w:cstheme="minorHAnsi"/>
          <w:vertAlign w:val="subscript"/>
        </w:rPr>
        <w:t>A</w:t>
      </w:r>
      <w:r w:rsidRPr="00BE5234">
        <w:rPr>
          <w:rFonts w:cstheme="minorHAnsi"/>
        </w:rPr>
        <w:t> and glycine receptors. </w:t>
      </w:r>
      <w:r w:rsidRPr="00BE5234">
        <w:rPr>
          <w:rFonts w:cstheme="minorHAnsi"/>
          <w:i/>
          <w:iCs/>
        </w:rPr>
        <w:t>Nature</w:t>
      </w:r>
      <w:r w:rsidRPr="00BE5234">
        <w:rPr>
          <w:rFonts w:cstheme="minorHAnsi"/>
        </w:rPr>
        <w:t> </w:t>
      </w:r>
      <w:r w:rsidRPr="00BE5234">
        <w:rPr>
          <w:rFonts w:cstheme="minorHAnsi"/>
          <w:b/>
          <w:bCs/>
        </w:rPr>
        <w:t>389</w:t>
      </w:r>
      <w:r w:rsidRPr="00BE5234">
        <w:rPr>
          <w:rFonts w:cstheme="minorHAnsi"/>
        </w:rPr>
        <w:t>: 385– 389.</w:t>
      </w:r>
    </w:p>
    <w:p w14:paraId="3D7283BA" w14:textId="77777777" w:rsidR="00D67B01" w:rsidRPr="00BE5234" w:rsidRDefault="00D67B01" w:rsidP="00215592">
      <w:pPr>
        <w:numPr>
          <w:ilvl w:val="0"/>
          <w:numId w:val="2"/>
        </w:numPr>
        <w:spacing w:after="0"/>
        <w:rPr>
          <w:rFonts w:cstheme="minorHAnsi"/>
        </w:rPr>
      </w:pPr>
      <w:r w:rsidRPr="00BE5234">
        <w:rPr>
          <w:rFonts w:cstheme="minorHAnsi"/>
        </w:rPr>
        <w:t>Mirshahi T, Woodward JJ (1995) Ethanol sensitivity of heteromeric NMDA receptors: effects of subunit assembly, glycine and NMDAR1 Mg2+‐insensitive mutants. </w:t>
      </w:r>
      <w:r w:rsidRPr="00BE5234">
        <w:rPr>
          <w:rFonts w:cstheme="minorHAnsi"/>
          <w:i/>
          <w:iCs/>
        </w:rPr>
        <w:t>Neuropharmacology</w:t>
      </w:r>
      <w:r w:rsidRPr="00BE5234">
        <w:rPr>
          <w:rFonts w:cstheme="minorHAnsi"/>
        </w:rPr>
        <w:t> </w:t>
      </w:r>
      <w:r w:rsidRPr="00BE5234">
        <w:rPr>
          <w:rFonts w:cstheme="minorHAnsi"/>
          <w:b/>
          <w:bCs/>
        </w:rPr>
        <w:t>34</w:t>
      </w:r>
      <w:r w:rsidRPr="00BE5234">
        <w:rPr>
          <w:rFonts w:cstheme="minorHAnsi"/>
        </w:rPr>
        <w:t>: 347– 355.</w:t>
      </w:r>
    </w:p>
    <w:p w14:paraId="079C64BF" w14:textId="77777777" w:rsidR="00D67B01" w:rsidRPr="00BE5234" w:rsidRDefault="00D67B01" w:rsidP="00215592">
      <w:pPr>
        <w:numPr>
          <w:ilvl w:val="0"/>
          <w:numId w:val="2"/>
        </w:numPr>
        <w:spacing w:after="0"/>
        <w:rPr>
          <w:rFonts w:cstheme="minorHAnsi"/>
        </w:rPr>
      </w:pPr>
      <w:r w:rsidRPr="00BE5234">
        <w:rPr>
          <w:rFonts w:cstheme="minorHAnsi"/>
        </w:rPr>
        <w:t>Monyer H, Burnashev N, Laurie DJ, Sakmann B, Seeburg PH (1994) Developmental and regional expression in the rat brain and functional properties of four NMDA receptors. </w:t>
      </w:r>
      <w:r w:rsidRPr="00BE5234">
        <w:rPr>
          <w:rFonts w:cstheme="minorHAnsi"/>
          <w:i/>
          <w:iCs/>
        </w:rPr>
        <w:t>Neuron</w:t>
      </w:r>
      <w:r w:rsidRPr="00BE5234">
        <w:rPr>
          <w:rFonts w:cstheme="minorHAnsi"/>
        </w:rPr>
        <w:t> </w:t>
      </w:r>
      <w:r w:rsidRPr="00BE5234">
        <w:rPr>
          <w:rFonts w:cstheme="minorHAnsi"/>
          <w:b/>
          <w:bCs/>
        </w:rPr>
        <w:t>12</w:t>
      </w:r>
      <w:r w:rsidRPr="00BE5234">
        <w:rPr>
          <w:rFonts w:cstheme="minorHAnsi"/>
        </w:rPr>
        <w:t>: 529– 540.</w:t>
      </w:r>
    </w:p>
    <w:p w14:paraId="28D8687E" w14:textId="77777777" w:rsidR="00D67B01" w:rsidRPr="00BE5234" w:rsidRDefault="00D67B01" w:rsidP="00215592">
      <w:pPr>
        <w:numPr>
          <w:ilvl w:val="0"/>
          <w:numId w:val="2"/>
        </w:numPr>
        <w:spacing w:after="0"/>
        <w:rPr>
          <w:rFonts w:cstheme="minorHAnsi"/>
        </w:rPr>
      </w:pPr>
      <w:r w:rsidRPr="00BE5234">
        <w:rPr>
          <w:rFonts w:cstheme="minorHAnsi"/>
        </w:rPr>
        <w:t>Monyer H, Sprengel R, Schoepfer R, Herb A, Higuchi M, Lomeli H, Burnashev N, Sakmann B, Seeburg PH (1992) Heteromeric NMDA receptors: molecular and functional distinction of subtypes. </w:t>
      </w:r>
      <w:r w:rsidRPr="00BE5234">
        <w:rPr>
          <w:rFonts w:cstheme="minorHAnsi"/>
          <w:i/>
          <w:iCs/>
        </w:rPr>
        <w:t>Science</w:t>
      </w:r>
      <w:r w:rsidRPr="00BE5234">
        <w:rPr>
          <w:rFonts w:cstheme="minorHAnsi"/>
        </w:rPr>
        <w:t> </w:t>
      </w:r>
      <w:r w:rsidRPr="00BE5234">
        <w:rPr>
          <w:rFonts w:cstheme="minorHAnsi"/>
          <w:b/>
          <w:bCs/>
        </w:rPr>
        <w:t>256</w:t>
      </w:r>
      <w:r w:rsidRPr="00BE5234">
        <w:rPr>
          <w:rFonts w:cstheme="minorHAnsi"/>
        </w:rPr>
        <w:t>: 1217– 1221.</w:t>
      </w:r>
    </w:p>
    <w:p w14:paraId="15452794" w14:textId="77777777" w:rsidR="00D67B01" w:rsidRPr="00BE5234" w:rsidRDefault="00D67B01" w:rsidP="00215592">
      <w:pPr>
        <w:numPr>
          <w:ilvl w:val="0"/>
          <w:numId w:val="2"/>
        </w:numPr>
        <w:spacing w:after="0"/>
        <w:rPr>
          <w:rFonts w:cstheme="minorHAnsi"/>
        </w:rPr>
      </w:pPr>
      <w:r w:rsidRPr="00BE5234">
        <w:rPr>
          <w:rFonts w:cstheme="minorHAnsi"/>
        </w:rPr>
        <w:t>Paoletti P, Neyton J (2007) NMDA receptor subunits: function and pharmacology. </w:t>
      </w:r>
      <w:r w:rsidRPr="00BE5234">
        <w:rPr>
          <w:rFonts w:cstheme="minorHAnsi"/>
          <w:i/>
          <w:iCs/>
        </w:rPr>
        <w:t>Curr Opin Pharmacol</w:t>
      </w:r>
      <w:r w:rsidRPr="00BE5234">
        <w:rPr>
          <w:rFonts w:cstheme="minorHAnsi"/>
        </w:rPr>
        <w:t> </w:t>
      </w:r>
      <w:r w:rsidRPr="00BE5234">
        <w:rPr>
          <w:rFonts w:cstheme="minorHAnsi"/>
          <w:b/>
          <w:bCs/>
        </w:rPr>
        <w:t>7</w:t>
      </w:r>
      <w:r w:rsidRPr="00BE5234">
        <w:rPr>
          <w:rFonts w:cstheme="minorHAnsi"/>
        </w:rPr>
        <w:t>: 39– 47.</w:t>
      </w:r>
    </w:p>
    <w:p w14:paraId="00831E13" w14:textId="77777777" w:rsidR="00D67B01" w:rsidRPr="00BE5234" w:rsidRDefault="00D67B01" w:rsidP="00215592">
      <w:pPr>
        <w:numPr>
          <w:ilvl w:val="0"/>
          <w:numId w:val="2"/>
        </w:numPr>
        <w:spacing w:after="0"/>
        <w:rPr>
          <w:rFonts w:cstheme="minorHAnsi"/>
        </w:rPr>
      </w:pPr>
      <w:r w:rsidRPr="00BE5234">
        <w:rPr>
          <w:rFonts w:cstheme="minorHAnsi"/>
        </w:rPr>
        <w:t>Ravikrishnan A, Gandhi PJ, Shelkar GP, Liu J, Pavuluri R, Dravid SM (2018) Region‐specific expression of NMDA receptor GluN2C subunit in parvalbumin‐positive neurons and astrocytes: analysis of GluN2C expression using a novel reporter model. </w:t>
      </w:r>
      <w:r w:rsidRPr="00BE5234">
        <w:rPr>
          <w:rFonts w:cstheme="minorHAnsi"/>
          <w:i/>
          <w:iCs/>
        </w:rPr>
        <w:t>Neuroscience</w:t>
      </w:r>
      <w:r w:rsidRPr="00BE5234">
        <w:rPr>
          <w:rFonts w:cstheme="minorHAnsi"/>
        </w:rPr>
        <w:t> </w:t>
      </w:r>
      <w:r w:rsidRPr="00BE5234">
        <w:rPr>
          <w:rFonts w:cstheme="minorHAnsi"/>
          <w:b/>
          <w:bCs/>
        </w:rPr>
        <w:t>380</w:t>
      </w:r>
      <w:r w:rsidRPr="00BE5234">
        <w:rPr>
          <w:rFonts w:cstheme="minorHAnsi"/>
        </w:rPr>
        <w:t>: 49– 62.</w:t>
      </w:r>
    </w:p>
    <w:p w14:paraId="564B31C5" w14:textId="77777777" w:rsidR="00D67B01" w:rsidRPr="00BE5234" w:rsidRDefault="00D67B01" w:rsidP="00215592">
      <w:pPr>
        <w:numPr>
          <w:ilvl w:val="0"/>
          <w:numId w:val="2"/>
        </w:numPr>
        <w:spacing w:after="0"/>
        <w:rPr>
          <w:rFonts w:cstheme="minorHAnsi"/>
        </w:rPr>
      </w:pPr>
      <w:r w:rsidRPr="00BE5234">
        <w:rPr>
          <w:rFonts w:cstheme="minorHAnsi"/>
        </w:rPr>
        <w:t>Ren H, Honse Y, Karp BJ, Lipsky RH, Peoples RW (2003a) A site in the fourth membrane‐associated domain of the </w:t>
      </w:r>
      <w:r w:rsidRPr="00BE5234">
        <w:rPr>
          <w:rFonts w:cstheme="minorHAnsi"/>
          <w:i/>
          <w:iCs/>
        </w:rPr>
        <w:t>N</w:t>
      </w:r>
      <w:r w:rsidRPr="00BE5234">
        <w:rPr>
          <w:rFonts w:cstheme="minorHAnsi"/>
        </w:rPr>
        <w:t>‐methyl‐D‐aspartate receptor regulates desensitization and ion channel gating. </w:t>
      </w:r>
      <w:r w:rsidRPr="00BE5234">
        <w:rPr>
          <w:rFonts w:cstheme="minorHAnsi"/>
          <w:i/>
          <w:iCs/>
        </w:rPr>
        <w:t>J Biol Chem</w:t>
      </w:r>
      <w:r w:rsidRPr="00BE5234">
        <w:rPr>
          <w:rFonts w:cstheme="minorHAnsi"/>
        </w:rPr>
        <w:t> </w:t>
      </w:r>
      <w:r w:rsidRPr="00BE5234">
        <w:rPr>
          <w:rFonts w:cstheme="minorHAnsi"/>
          <w:b/>
          <w:bCs/>
        </w:rPr>
        <w:t>278</w:t>
      </w:r>
      <w:r w:rsidRPr="00BE5234">
        <w:rPr>
          <w:rFonts w:cstheme="minorHAnsi"/>
        </w:rPr>
        <w:t>: 276– 283.</w:t>
      </w:r>
    </w:p>
    <w:p w14:paraId="190D69B8" w14:textId="77777777" w:rsidR="00D67B01" w:rsidRPr="00BE5234" w:rsidRDefault="00D67B01" w:rsidP="00215592">
      <w:pPr>
        <w:numPr>
          <w:ilvl w:val="0"/>
          <w:numId w:val="2"/>
        </w:numPr>
        <w:spacing w:after="0"/>
        <w:rPr>
          <w:rFonts w:cstheme="minorHAnsi"/>
        </w:rPr>
      </w:pPr>
      <w:r w:rsidRPr="00BE5234">
        <w:rPr>
          <w:rFonts w:cstheme="minorHAnsi"/>
        </w:rPr>
        <w:t>Ren H, Honse Y, Peoples RW (2003b) A site of alcohol action in the fourth membrane‐associated domain of the NMDA receptor. </w:t>
      </w:r>
      <w:r w:rsidRPr="00BE5234">
        <w:rPr>
          <w:rFonts w:cstheme="minorHAnsi"/>
          <w:i/>
          <w:iCs/>
        </w:rPr>
        <w:t>J Biol Chem</w:t>
      </w:r>
      <w:r w:rsidRPr="00BE5234">
        <w:rPr>
          <w:rFonts w:cstheme="minorHAnsi"/>
        </w:rPr>
        <w:t> </w:t>
      </w:r>
      <w:r w:rsidRPr="00BE5234">
        <w:rPr>
          <w:rFonts w:cstheme="minorHAnsi"/>
          <w:b/>
          <w:bCs/>
        </w:rPr>
        <w:t>278</w:t>
      </w:r>
      <w:r w:rsidRPr="00BE5234">
        <w:rPr>
          <w:rFonts w:cstheme="minorHAnsi"/>
        </w:rPr>
        <w:t>: 48815– 48820.</w:t>
      </w:r>
    </w:p>
    <w:p w14:paraId="5FAEB1FB" w14:textId="77777777" w:rsidR="00D67B01" w:rsidRPr="00BE5234" w:rsidRDefault="00D67B01" w:rsidP="00215592">
      <w:pPr>
        <w:numPr>
          <w:ilvl w:val="0"/>
          <w:numId w:val="2"/>
        </w:numPr>
        <w:spacing w:after="0"/>
        <w:rPr>
          <w:rFonts w:cstheme="minorHAnsi"/>
        </w:rPr>
      </w:pPr>
      <w:r w:rsidRPr="00BE5234">
        <w:rPr>
          <w:rFonts w:cstheme="minorHAnsi"/>
        </w:rPr>
        <w:t>Ren H, Salous AK, Paul JM, Lamb KA, Dwyer DS, Peoples RW (2008) Functional interactions of alcohol‐sensitive sites in the N‐methyl‐D‐aspartate receptor M3 and M4 domains. </w:t>
      </w:r>
      <w:r w:rsidRPr="00BE5234">
        <w:rPr>
          <w:rFonts w:cstheme="minorHAnsi"/>
          <w:i/>
          <w:iCs/>
        </w:rPr>
        <w:t>J Biol Chem</w:t>
      </w:r>
      <w:r w:rsidRPr="00BE5234">
        <w:rPr>
          <w:rFonts w:cstheme="minorHAnsi"/>
        </w:rPr>
        <w:t> </w:t>
      </w:r>
      <w:r w:rsidRPr="00BE5234">
        <w:rPr>
          <w:rFonts w:cstheme="minorHAnsi"/>
          <w:b/>
          <w:bCs/>
        </w:rPr>
        <w:t>283</w:t>
      </w:r>
      <w:r w:rsidRPr="00BE5234">
        <w:rPr>
          <w:rFonts w:cstheme="minorHAnsi"/>
        </w:rPr>
        <w:t>: 8250– 8257.</w:t>
      </w:r>
    </w:p>
    <w:p w14:paraId="23FC73AB" w14:textId="77777777" w:rsidR="00D67B01" w:rsidRPr="00BE5234" w:rsidRDefault="00D67B01" w:rsidP="00215592">
      <w:pPr>
        <w:numPr>
          <w:ilvl w:val="0"/>
          <w:numId w:val="2"/>
        </w:numPr>
        <w:spacing w:after="0"/>
        <w:rPr>
          <w:rFonts w:cstheme="minorHAnsi"/>
        </w:rPr>
      </w:pPr>
      <w:r w:rsidRPr="00BE5234">
        <w:rPr>
          <w:rFonts w:cstheme="minorHAnsi"/>
        </w:rPr>
        <w:t>Ren H, Salous AK, Paul JM, Lipsky RH, Peoples RW (2007) Mutations at F637 in the NMDA receptor NR2A subunit M3 domain influence agonist potency, ion channel gating and alcohol action. </w:t>
      </w:r>
      <w:r w:rsidRPr="00BE5234">
        <w:rPr>
          <w:rFonts w:cstheme="minorHAnsi"/>
          <w:i/>
          <w:iCs/>
        </w:rPr>
        <w:t>Br J Pharmacol</w:t>
      </w:r>
      <w:r w:rsidRPr="00BE5234">
        <w:rPr>
          <w:rFonts w:cstheme="minorHAnsi"/>
        </w:rPr>
        <w:t> </w:t>
      </w:r>
      <w:r w:rsidRPr="00BE5234">
        <w:rPr>
          <w:rFonts w:cstheme="minorHAnsi"/>
          <w:b/>
          <w:bCs/>
        </w:rPr>
        <w:t>151</w:t>
      </w:r>
      <w:r w:rsidRPr="00BE5234">
        <w:rPr>
          <w:rFonts w:cstheme="minorHAnsi"/>
        </w:rPr>
        <w:t>: 749– 757.</w:t>
      </w:r>
    </w:p>
    <w:p w14:paraId="1CAC55A3" w14:textId="77777777" w:rsidR="00D67B01" w:rsidRPr="00BE5234" w:rsidRDefault="00D67B01" w:rsidP="00215592">
      <w:pPr>
        <w:numPr>
          <w:ilvl w:val="0"/>
          <w:numId w:val="2"/>
        </w:numPr>
        <w:spacing w:after="0"/>
        <w:rPr>
          <w:rFonts w:cstheme="minorHAnsi"/>
        </w:rPr>
      </w:pPr>
      <w:r w:rsidRPr="00BE5234">
        <w:rPr>
          <w:rFonts w:cstheme="minorHAnsi"/>
        </w:rPr>
        <w:t>Ren H, Zhao Y, Dwyer DS, Peoples RW (2012) Interactions among positions in the third and fourth membrane‐associated domains at the intersubunit interface of the N‐methyl‐D‐aspartate receptor forming sites of alcohol action. </w:t>
      </w:r>
      <w:r w:rsidRPr="00BE5234">
        <w:rPr>
          <w:rFonts w:cstheme="minorHAnsi"/>
          <w:i/>
          <w:iCs/>
        </w:rPr>
        <w:t>J Biol Chem</w:t>
      </w:r>
      <w:r w:rsidRPr="00BE5234">
        <w:rPr>
          <w:rFonts w:cstheme="minorHAnsi"/>
        </w:rPr>
        <w:t> </w:t>
      </w:r>
      <w:r w:rsidRPr="00BE5234">
        <w:rPr>
          <w:rFonts w:cstheme="minorHAnsi"/>
          <w:b/>
          <w:bCs/>
        </w:rPr>
        <w:t>287</w:t>
      </w:r>
      <w:r w:rsidRPr="00BE5234">
        <w:rPr>
          <w:rFonts w:cstheme="minorHAnsi"/>
        </w:rPr>
        <w:t>: 27302– 27312.</w:t>
      </w:r>
    </w:p>
    <w:p w14:paraId="2622B611" w14:textId="77777777" w:rsidR="00D67B01" w:rsidRPr="00BE5234" w:rsidRDefault="00D67B01" w:rsidP="00215592">
      <w:pPr>
        <w:numPr>
          <w:ilvl w:val="0"/>
          <w:numId w:val="2"/>
        </w:numPr>
        <w:spacing w:after="0"/>
        <w:rPr>
          <w:rFonts w:cstheme="minorHAnsi"/>
        </w:rPr>
      </w:pPr>
      <w:r w:rsidRPr="00BE5234">
        <w:rPr>
          <w:rFonts w:cstheme="minorHAnsi"/>
        </w:rPr>
        <w:t>Ren H, Zhao Y, Wu M, Peoples RW (2013) A novel alcohol‐sensitive position in the N‐methyl‐D‐aspartate receptor GluN2A subunit M3 domain regulates agonist affinity and ion channel gating. </w:t>
      </w:r>
      <w:r w:rsidRPr="00BE5234">
        <w:rPr>
          <w:rFonts w:cstheme="minorHAnsi"/>
          <w:i/>
          <w:iCs/>
        </w:rPr>
        <w:t>Mol Pharmacol</w:t>
      </w:r>
      <w:r w:rsidRPr="00BE5234">
        <w:rPr>
          <w:rFonts w:cstheme="minorHAnsi"/>
        </w:rPr>
        <w:t> </w:t>
      </w:r>
      <w:r w:rsidRPr="00BE5234">
        <w:rPr>
          <w:rFonts w:cstheme="minorHAnsi"/>
          <w:b/>
          <w:bCs/>
        </w:rPr>
        <w:t>84</w:t>
      </w:r>
      <w:r w:rsidRPr="00BE5234">
        <w:rPr>
          <w:rFonts w:cstheme="minorHAnsi"/>
        </w:rPr>
        <w:t>: 501– 510.</w:t>
      </w:r>
    </w:p>
    <w:p w14:paraId="10776C86" w14:textId="77777777" w:rsidR="00D67B01" w:rsidRPr="00BE5234" w:rsidRDefault="00D67B01" w:rsidP="00215592">
      <w:pPr>
        <w:numPr>
          <w:ilvl w:val="0"/>
          <w:numId w:val="2"/>
        </w:numPr>
        <w:spacing w:after="0"/>
        <w:rPr>
          <w:rFonts w:cstheme="minorHAnsi"/>
        </w:rPr>
      </w:pPr>
      <w:r w:rsidRPr="00BE5234">
        <w:rPr>
          <w:rFonts w:cstheme="minorHAnsi"/>
        </w:rPr>
        <w:t>Ron D (2004) Signaling cascades regulating NMDA receptor sensitivity to ethanol. </w:t>
      </w:r>
      <w:r w:rsidRPr="00BE5234">
        <w:rPr>
          <w:rFonts w:cstheme="minorHAnsi"/>
          <w:i/>
          <w:iCs/>
        </w:rPr>
        <w:t>Neuroscientist</w:t>
      </w:r>
      <w:r w:rsidRPr="00BE5234">
        <w:rPr>
          <w:rFonts w:cstheme="minorHAnsi"/>
        </w:rPr>
        <w:t> </w:t>
      </w:r>
      <w:r w:rsidRPr="00BE5234">
        <w:rPr>
          <w:rFonts w:cstheme="minorHAnsi"/>
          <w:b/>
          <w:bCs/>
        </w:rPr>
        <w:t>10</w:t>
      </w:r>
      <w:r w:rsidRPr="00BE5234">
        <w:rPr>
          <w:rFonts w:cstheme="minorHAnsi"/>
        </w:rPr>
        <w:t>: 325– 336.</w:t>
      </w:r>
    </w:p>
    <w:p w14:paraId="7E67F881" w14:textId="77777777" w:rsidR="00D67B01" w:rsidRPr="00BE5234" w:rsidRDefault="00D67B01" w:rsidP="00215592">
      <w:pPr>
        <w:numPr>
          <w:ilvl w:val="0"/>
          <w:numId w:val="2"/>
        </w:numPr>
        <w:spacing w:after="0"/>
        <w:rPr>
          <w:rFonts w:cstheme="minorHAnsi"/>
        </w:rPr>
      </w:pPr>
      <w:r w:rsidRPr="00BE5234">
        <w:rPr>
          <w:rFonts w:cstheme="minorHAnsi"/>
        </w:rPr>
        <w:t>Ronald KM, Mirshahi T, Woodward JJ (2001) Ethanol inhibition of </w:t>
      </w:r>
      <w:r w:rsidRPr="00BE5234">
        <w:rPr>
          <w:rFonts w:cstheme="minorHAnsi"/>
          <w:i/>
          <w:iCs/>
        </w:rPr>
        <w:t>N</w:t>
      </w:r>
      <w:r w:rsidRPr="00BE5234">
        <w:rPr>
          <w:rFonts w:cstheme="minorHAnsi"/>
        </w:rPr>
        <w:t>‐methyl‐D‐aspartate receptors is reduced by site‐ directed mutagenesis of a transmembrane domain phenylalanine residue. </w:t>
      </w:r>
      <w:r w:rsidRPr="00BE5234">
        <w:rPr>
          <w:rFonts w:cstheme="minorHAnsi"/>
          <w:i/>
          <w:iCs/>
        </w:rPr>
        <w:t>J Biol Chem</w:t>
      </w:r>
      <w:r w:rsidRPr="00BE5234">
        <w:rPr>
          <w:rFonts w:cstheme="minorHAnsi"/>
        </w:rPr>
        <w:t> </w:t>
      </w:r>
      <w:r w:rsidRPr="00BE5234">
        <w:rPr>
          <w:rFonts w:cstheme="minorHAnsi"/>
          <w:b/>
          <w:bCs/>
        </w:rPr>
        <w:t>276</w:t>
      </w:r>
      <w:r w:rsidRPr="00BE5234">
        <w:rPr>
          <w:rFonts w:cstheme="minorHAnsi"/>
        </w:rPr>
        <w:t>: 44729– 44735.</w:t>
      </w:r>
    </w:p>
    <w:p w14:paraId="4B4E608C" w14:textId="77777777" w:rsidR="00D67B01" w:rsidRPr="00BE5234" w:rsidRDefault="00D67B01" w:rsidP="00215592">
      <w:pPr>
        <w:numPr>
          <w:ilvl w:val="0"/>
          <w:numId w:val="2"/>
        </w:numPr>
        <w:spacing w:after="0"/>
        <w:rPr>
          <w:rFonts w:cstheme="minorHAnsi"/>
        </w:rPr>
      </w:pPr>
      <w:r w:rsidRPr="00BE5234">
        <w:rPr>
          <w:rFonts w:cstheme="minorHAnsi"/>
        </w:rPr>
        <w:t>Salous AK, Ren H, Lamb KA, Hu XQ, Lipsky RH, Peoples RW (2009) Differential actions of ethanol and trichloroethanol at sites in the M3 and M4 domains of the NMDA receptor GluN2A (NR2A) subunit. </w:t>
      </w:r>
      <w:r w:rsidRPr="00BE5234">
        <w:rPr>
          <w:rFonts w:cstheme="minorHAnsi"/>
          <w:i/>
          <w:iCs/>
        </w:rPr>
        <w:t>Br J Pharmacol</w:t>
      </w:r>
      <w:r w:rsidRPr="00BE5234">
        <w:rPr>
          <w:rFonts w:cstheme="minorHAnsi"/>
        </w:rPr>
        <w:t> </w:t>
      </w:r>
      <w:r w:rsidRPr="00BE5234">
        <w:rPr>
          <w:rFonts w:cstheme="minorHAnsi"/>
          <w:b/>
          <w:bCs/>
        </w:rPr>
        <w:t>158</w:t>
      </w:r>
      <w:r w:rsidRPr="00BE5234">
        <w:rPr>
          <w:rFonts w:cstheme="minorHAnsi"/>
        </w:rPr>
        <w:t>: 1395– 1404.</w:t>
      </w:r>
    </w:p>
    <w:p w14:paraId="19980599" w14:textId="77777777" w:rsidR="00D67B01" w:rsidRPr="00BE5234" w:rsidRDefault="00D67B01" w:rsidP="00215592">
      <w:pPr>
        <w:numPr>
          <w:ilvl w:val="0"/>
          <w:numId w:val="2"/>
        </w:numPr>
        <w:spacing w:after="0"/>
        <w:rPr>
          <w:rFonts w:cstheme="minorHAnsi"/>
        </w:rPr>
      </w:pPr>
      <w:r w:rsidRPr="00BE5234">
        <w:rPr>
          <w:rFonts w:cstheme="minorHAnsi"/>
        </w:rPr>
        <w:t>Smothers CT, Woodward JJ (2006) Effects of amino acid substitutions in transmembrane domains of the NR1 subunit on the ethanol inhibition of recombinant N‐methyl‐D‐aspartate receptors. </w:t>
      </w:r>
      <w:r w:rsidRPr="00BE5234">
        <w:rPr>
          <w:rFonts w:cstheme="minorHAnsi"/>
          <w:i/>
          <w:iCs/>
        </w:rPr>
        <w:t>Alcohol Clin Exp Res</w:t>
      </w:r>
      <w:r w:rsidRPr="00BE5234">
        <w:rPr>
          <w:rFonts w:cstheme="minorHAnsi"/>
        </w:rPr>
        <w:t> </w:t>
      </w:r>
      <w:r w:rsidRPr="00BE5234">
        <w:rPr>
          <w:rFonts w:cstheme="minorHAnsi"/>
          <w:b/>
          <w:bCs/>
        </w:rPr>
        <w:t>30</w:t>
      </w:r>
      <w:r w:rsidRPr="00BE5234">
        <w:rPr>
          <w:rFonts w:cstheme="minorHAnsi"/>
        </w:rPr>
        <w:t>: 523– 530.</w:t>
      </w:r>
    </w:p>
    <w:p w14:paraId="524F1FF6" w14:textId="77777777" w:rsidR="00D67B01" w:rsidRPr="00BE5234" w:rsidRDefault="00D67B01" w:rsidP="00215592">
      <w:pPr>
        <w:numPr>
          <w:ilvl w:val="0"/>
          <w:numId w:val="2"/>
        </w:numPr>
        <w:spacing w:after="0"/>
        <w:rPr>
          <w:rFonts w:cstheme="minorHAnsi"/>
        </w:rPr>
      </w:pPr>
      <w:r w:rsidRPr="00BE5234">
        <w:rPr>
          <w:rFonts w:cstheme="minorHAnsi"/>
        </w:rPr>
        <w:t>Smothers CT, Woodward JJ (2016) Differential effects of TM4 tryptophan mutations on inhibition of N‐methyl‐d‐aspartate receptors by ethanol and toluene. </w:t>
      </w:r>
      <w:r w:rsidRPr="00BE5234">
        <w:rPr>
          <w:rFonts w:cstheme="minorHAnsi"/>
          <w:i/>
          <w:iCs/>
        </w:rPr>
        <w:t>Alcohol</w:t>
      </w:r>
      <w:r w:rsidRPr="00BE5234">
        <w:rPr>
          <w:rFonts w:cstheme="minorHAnsi"/>
        </w:rPr>
        <w:t> </w:t>
      </w:r>
      <w:r w:rsidRPr="00BE5234">
        <w:rPr>
          <w:rFonts w:cstheme="minorHAnsi"/>
          <w:b/>
          <w:bCs/>
        </w:rPr>
        <w:t>56</w:t>
      </w:r>
      <w:r w:rsidRPr="00BE5234">
        <w:rPr>
          <w:rFonts w:cstheme="minorHAnsi"/>
        </w:rPr>
        <w:t>: 15– 19.</w:t>
      </w:r>
    </w:p>
    <w:p w14:paraId="0AC8F87A" w14:textId="77777777" w:rsidR="00D67B01" w:rsidRPr="00BE5234" w:rsidRDefault="00D67B01" w:rsidP="00215592">
      <w:pPr>
        <w:numPr>
          <w:ilvl w:val="0"/>
          <w:numId w:val="2"/>
        </w:numPr>
        <w:spacing w:after="0"/>
        <w:rPr>
          <w:rFonts w:cstheme="minorHAnsi"/>
        </w:rPr>
      </w:pPr>
      <w:r w:rsidRPr="00BE5234">
        <w:rPr>
          <w:rFonts w:cstheme="minorHAnsi"/>
        </w:rPr>
        <w:t>Stern P, Béhé P, Schoepfer R, Colquhoun D (1992) Single‐channel conductances of NMDA receptors expressed from cloned cDNAs: comparison with native receptors. </w:t>
      </w:r>
      <w:r w:rsidRPr="00BE5234">
        <w:rPr>
          <w:rFonts w:cstheme="minorHAnsi"/>
          <w:i/>
          <w:iCs/>
        </w:rPr>
        <w:t>Proc Biol Sci</w:t>
      </w:r>
      <w:r w:rsidRPr="00BE5234">
        <w:rPr>
          <w:rFonts w:cstheme="minorHAnsi"/>
        </w:rPr>
        <w:t> </w:t>
      </w:r>
      <w:r w:rsidRPr="00BE5234">
        <w:rPr>
          <w:rFonts w:cstheme="minorHAnsi"/>
          <w:b/>
          <w:bCs/>
        </w:rPr>
        <w:t>250</w:t>
      </w:r>
      <w:r w:rsidRPr="00BE5234">
        <w:rPr>
          <w:rFonts w:cstheme="minorHAnsi"/>
        </w:rPr>
        <w:t>: 271– 277.</w:t>
      </w:r>
    </w:p>
    <w:p w14:paraId="6F9C733E" w14:textId="77777777" w:rsidR="00D67B01" w:rsidRPr="00BE5234" w:rsidRDefault="00D67B01" w:rsidP="00215592">
      <w:pPr>
        <w:numPr>
          <w:ilvl w:val="0"/>
          <w:numId w:val="2"/>
        </w:numPr>
        <w:spacing w:after="0"/>
        <w:rPr>
          <w:rFonts w:cstheme="minorHAnsi"/>
        </w:rPr>
      </w:pPr>
      <w:r w:rsidRPr="00BE5234">
        <w:rPr>
          <w:rFonts w:cstheme="minorHAnsi"/>
        </w:rPr>
        <w:t>Traynelis SF, Wollmuth LP, McBain CJ, Menniti FS, Vance KM, Ogden KK, Hansen KB, Yuan H, Myers SJ, Dingledine R (2010) Glutamate receptor ion channels: structure, regulation, and function. </w:t>
      </w:r>
      <w:r w:rsidRPr="00BE5234">
        <w:rPr>
          <w:rFonts w:cstheme="minorHAnsi"/>
          <w:i/>
          <w:iCs/>
        </w:rPr>
        <w:t>Pharmacol Rev</w:t>
      </w:r>
      <w:r w:rsidRPr="00BE5234">
        <w:rPr>
          <w:rFonts w:cstheme="minorHAnsi"/>
        </w:rPr>
        <w:t> </w:t>
      </w:r>
      <w:r w:rsidRPr="00BE5234">
        <w:rPr>
          <w:rFonts w:cstheme="minorHAnsi"/>
          <w:b/>
          <w:bCs/>
        </w:rPr>
        <w:t>62</w:t>
      </w:r>
      <w:r w:rsidRPr="00BE5234">
        <w:rPr>
          <w:rFonts w:cstheme="minorHAnsi"/>
        </w:rPr>
        <w:t>: 405– 496.</w:t>
      </w:r>
    </w:p>
    <w:p w14:paraId="2DBF0390" w14:textId="77777777" w:rsidR="00D67B01" w:rsidRPr="00BE5234" w:rsidRDefault="00D67B01" w:rsidP="00215592">
      <w:pPr>
        <w:numPr>
          <w:ilvl w:val="0"/>
          <w:numId w:val="2"/>
        </w:numPr>
        <w:spacing w:after="0"/>
        <w:rPr>
          <w:rFonts w:cstheme="minorHAnsi"/>
        </w:rPr>
      </w:pPr>
      <w:r w:rsidRPr="00BE5234">
        <w:rPr>
          <w:rFonts w:cstheme="minorHAnsi"/>
        </w:rPr>
        <w:t>Vengeliene V, Bilbao A, Molander A, Spanagel R (2008) Neuropharmacology of alcohol addiction. </w:t>
      </w:r>
      <w:r w:rsidRPr="00BE5234">
        <w:rPr>
          <w:rFonts w:cstheme="minorHAnsi"/>
          <w:i/>
          <w:iCs/>
        </w:rPr>
        <w:t>Br J Pharmacol</w:t>
      </w:r>
      <w:r w:rsidRPr="00BE5234">
        <w:rPr>
          <w:rFonts w:cstheme="minorHAnsi"/>
        </w:rPr>
        <w:t> </w:t>
      </w:r>
      <w:r w:rsidRPr="00BE5234">
        <w:rPr>
          <w:rFonts w:cstheme="minorHAnsi"/>
          <w:b/>
          <w:bCs/>
        </w:rPr>
        <w:t>154</w:t>
      </w:r>
      <w:r w:rsidRPr="00BE5234">
        <w:rPr>
          <w:rFonts w:cstheme="minorHAnsi"/>
        </w:rPr>
        <w:t>: 299– 315.</w:t>
      </w:r>
    </w:p>
    <w:p w14:paraId="40B713BA" w14:textId="77777777" w:rsidR="00D67B01" w:rsidRPr="00BE5234" w:rsidRDefault="00D67B01" w:rsidP="00215592">
      <w:pPr>
        <w:numPr>
          <w:ilvl w:val="0"/>
          <w:numId w:val="2"/>
        </w:numPr>
        <w:spacing w:after="0"/>
        <w:rPr>
          <w:rFonts w:cstheme="minorHAnsi"/>
        </w:rPr>
      </w:pPr>
      <w:r w:rsidRPr="00BE5234">
        <w:rPr>
          <w:rFonts w:cstheme="minorHAnsi"/>
        </w:rPr>
        <w:t>Verkhratsky A, Chvátal A (2019) NMDA receptors in astrocytes. </w:t>
      </w:r>
      <w:r w:rsidRPr="00BE5234">
        <w:rPr>
          <w:rFonts w:cstheme="minorHAnsi"/>
          <w:i/>
          <w:iCs/>
        </w:rPr>
        <w:t>Neurochem Res</w:t>
      </w:r>
      <w:r w:rsidRPr="00BE5234">
        <w:rPr>
          <w:rFonts w:cstheme="minorHAnsi"/>
        </w:rPr>
        <w:t> </w:t>
      </w:r>
      <w:hyperlink r:id="rId178" w:history="1">
        <w:r w:rsidRPr="00BE5234">
          <w:rPr>
            <w:rStyle w:val="Hyperlink"/>
            <w:rFonts w:cstheme="minorHAnsi"/>
          </w:rPr>
          <w:t>https://doi.org/10.1007/s11064-019-02750-3</w:t>
        </w:r>
      </w:hyperlink>
      <w:r w:rsidRPr="00BE5234">
        <w:rPr>
          <w:rFonts w:cstheme="minorHAnsi"/>
        </w:rPr>
        <w:t> [Epub ahead of print].</w:t>
      </w:r>
    </w:p>
    <w:p w14:paraId="2A988884" w14:textId="77777777" w:rsidR="00D67B01" w:rsidRPr="00BE5234" w:rsidRDefault="00D67B01" w:rsidP="00215592">
      <w:pPr>
        <w:numPr>
          <w:ilvl w:val="0"/>
          <w:numId w:val="2"/>
        </w:numPr>
        <w:spacing w:after="0"/>
        <w:rPr>
          <w:rFonts w:cstheme="minorHAnsi"/>
        </w:rPr>
      </w:pPr>
      <w:r w:rsidRPr="00BE5234">
        <w:rPr>
          <w:rFonts w:cstheme="minorHAnsi"/>
        </w:rPr>
        <w:t>Vicini S, Wang JF, Li JH, Zhu WJ, Wang YH, Luo JAH, Wolfe BB, Grayson DR (1998) Functional and pharmacological differences between recombinant </w:t>
      </w:r>
      <w:r w:rsidRPr="00BE5234">
        <w:rPr>
          <w:rFonts w:cstheme="minorHAnsi"/>
          <w:i/>
          <w:iCs/>
        </w:rPr>
        <w:t>N</w:t>
      </w:r>
      <w:r w:rsidRPr="00BE5234">
        <w:rPr>
          <w:rFonts w:cstheme="minorHAnsi"/>
        </w:rPr>
        <w:t>‐methyl‐D‐aspartate receptors. </w:t>
      </w:r>
      <w:r w:rsidRPr="00BE5234">
        <w:rPr>
          <w:rFonts w:cstheme="minorHAnsi"/>
          <w:i/>
          <w:iCs/>
        </w:rPr>
        <w:t>J Neurophysiol</w:t>
      </w:r>
      <w:r w:rsidRPr="00BE5234">
        <w:rPr>
          <w:rFonts w:cstheme="minorHAnsi"/>
        </w:rPr>
        <w:t> </w:t>
      </w:r>
      <w:r w:rsidRPr="00BE5234">
        <w:rPr>
          <w:rFonts w:cstheme="minorHAnsi"/>
          <w:b/>
          <w:bCs/>
        </w:rPr>
        <w:t>79</w:t>
      </w:r>
      <w:r w:rsidRPr="00BE5234">
        <w:rPr>
          <w:rFonts w:cstheme="minorHAnsi"/>
        </w:rPr>
        <w:t>: 555– 566.</w:t>
      </w:r>
    </w:p>
    <w:p w14:paraId="51B23DF7" w14:textId="77777777" w:rsidR="00D67B01" w:rsidRPr="00BE5234" w:rsidRDefault="00D67B01" w:rsidP="00215592">
      <w:pPr>
        <w:numPr>
          <w:ilvl w:val="0"/>
          <w:numId w:val="2"/>
        </w:numPr>
        <w:spacing w:after="0"/>
        <w:rPr>
          <w:rFonts w:cstheme="minorHAnsi"/>
        </w:rPr>
      </w:pPr>
      <w:r w:rsidRPr="00BE5234">
        <w:rPr>
          <w:rFonts w:cstheme="minorHAnsi"/>
        </w:rPr>
        <w:t>Wenzel A, Fritschy JM, Mohler H, Benke D (1997) NMDA receptor heterogeneity during postnatal development of the rat brain: differential expression of the NR2A, NR2B, and NR2C subunit proteins. </w:t>
      </w:r>
      <w:r w:rsidRPr="00BE5234">
        <w:rPr>
          <w:rFonts w:cstheme="minorHAnsi"/>
          <w:i/>
          <w:iCs/>
        </w:rPr>
        <w:t>J Neurochem</w:t>
      </w:r>
      <w:r w:rsidRPr="00BE5234">
        <w:rPr>
          <w:rFonts w:cstheme="minorHAnsi"/>
        </w:rPr>
        <w:t> </w:t>
      </w:r>
      <w:r w:rsidRPr="00BE5234">
        <w:rPr>
          <w:rFonts w:cstheme="minorHAnsi"/>
          <w:b/>
          <w:bCs/>
        </w:rPr>
        <w:t>68</w:t>
      </w:r>
      <w:r w:rsidRPr="00BE5234">
        <w:rPr>
          <w:rFonts w:cstheme="minorHAnsi"/>
        </w:rPr>
        <w:t>: 469– 478.</w:t>
      </w:r>
    </w:p>
    <w:p w14:paraId="21484961" w14:textId="77777777" w:rsidR="00D67B01" w:rsidRPr="00BE5234" w:rsidRDefault="00D67B01" w:rsidP="00215592">
      <w:pPr>
        <w:numPr>
          <w:ilvl w:val="0"/>
          <w:numId w:val="2"/>
        </w:numPr>
        <w:spacing w:after="0"/>
        <w:rPr>
          <w:rFonts w:cstheme="minorHAnsi"/>
        </w:rPr>
      </w:pPr>
      <w:r w:rsidRPr="00BE5234">
        <w:rPr>
          <w:rFonts w:cstheme="minorHAnsi"/>
        </w:rPr>
        <w:t>Wick MJ, Mihic SJ, Ueno S, Mascia MP, Trudell JR, Brozowski SJ, Ye Q, Harrison NL, Harris RA (1998) Mutations of g‐aminobutyric acid and glycine receptors change alcohol cutoff: evidence for an alcohol receptor? </w:t>
      </w:r>
      <w:r w:rsidRPr="00BE5234">
        <w:rPr>
          <w:rFonts w:cstheme="minorHAnsi"/>
          <w:i/>
          <w:iCs/>
        </w:rPr>
        <w:t>Proc Natl Acad Sci U S A</w:t>
      </w:r>
      <w:r w:rsidRPr="00BE5234">
        <w:rPr>
          <w:rFonts w:cstheme="minorHAnsi"/>
        </w:rPr>
        <w:t> </w:t>
      </w:r>
      <w:r w:rsidRPr="00BE5234">
        <w:rPr>
          <w:rFonts w:cstheme="minorHAnsi"/>
          <w:b/>
          <w:bCs/>
        </w:rPr>
        <w:t>95</w:t>
      </w:r>
      <w:r w:rsidRPr="00BE5234">
        <w:rPr>
          <w:rFonts w:cstheme="minorHAnsi"/>
        </w:rPr>
        <w:t>: 6504– 6509.</w:t>
      </w:r>
    </w:p>
    <w:p w14:paraId="76AC6EDD" w14:textId="77777777" w:rsidR="00D67B01" w:rsidRPr="00BE5234" w:rsidRDefault="00D67B01" w:rsidP="00215592">
      <w:pPr>
        <w:numPr>
          <w:ilvl w:val="0"/>
          <w:numId w:val="2"/>
        </w:numPr>
        <w:spacing w:after="0"/>
        <w:rPr>
          <w:rFonts w:cstheme="minorHAnsi"/>
        </w:rPr>
      </w:pPr>
      <w:r w:rsidRPr="00BE5234">
        <w:rPr>
          <w:rFonts w:cstheme="minorHAnsi"/>
        </w:rPr>
        <w:t>Woodward JJ (2000) Ethanol and NMDA receptor signaling. </w:t>
      </w:r>
      <w:r w:rsidRPr="00BE5234">
        <w:rPr>
          <w:rFonts w:cstheme="minorHAnsi"/>
          <w:i/>
          <w:iCs/>
        </w:rPr>
        <w:t>Crit Rev Neurobiol</w:t>
      </w:r>
      <w:r w:rsidRPr="00BE5234">
        <w:rPr>
          <w:rFonts w:cstheme="minorHAnsi"/>
        </w:rPr>
        <w:t> </w:t>
      </w:r>
      <w:r w:rsidRPr="00BE5234">
        <w:rPr>
          <w:rFonts w:cstheme="minorHAnsi"/>
          <w:b/>
          <w:bCs/>
        </w:rPr>
        <w:t>14</w:t>
      </w:r>
      <w:r w:rsidRPr="00BE5234">
        <w:rPr>
          <w:rFonts w:cstheme="minorHAnsi"/>
        </w:rPr>
        <w:t>: 69– 89.</w:t>
      </w:r>
    </w:p>
    <w:p w14:paraId="5EB09F62" w14:textId="77777777" w:rsidR="00D67B01" w:rsidRPr="00BE5234" w:rsidRDefault="00D67B01" w:rsidP="00215592">
      <w:pPr>
        <w:numPr>
          <w:ilvl w:val="0"/>
          <w:numId w:val="2"/>
        </w:numPr>
        <w:spacing w:after="0"/>
        <w:rPr>
          <w:rFonts w:cstheme="minorHAnsi"/>
        </w:rPr>
      </w:pPr>
      <w:r w:rsidRPr="00BE5234">
        <w:rPr>
          <w:rFonts w:cstheme="minorHAnsi"/>
        </w:rPr>
        <w:t>Wright JM, Peoples RW, Weight FF (1996) Single‐channel and whole‐cell analysis of ethanol inhibition of NMDA‐activated currents in cultured mouse cortical and hippocampal neurons. </w:t>
      </w:r>
      <w:r w:rsidRPr="00BE5234">
        <w:rPr>
          <w:rFonts w:cstheme="minorHAnsi"/>
          <w:i/>
          <w:iCs/>
        </w:rPr>
        <w:t>Brain Res</w:t>
      </w:r>
      <w:r w:rsidRPr="00BE5234">
        <w:rPr>
          <w:rFonts w:cstheme="minorHAnsi"/>
        </w:rPr>
        <w:t> </w:t>
      </w:r>
      <w:r w:rsidRPr="00BE5234">
        <w:rPr>
          <w:rFonts w:cstheme="minorHAnsi"/>
          <w:b/>
          <w:bCs/>
        </w:rPr>
        <w:t>738</w:t>
      </w:r>
      <w:r w:rsidRPr="00BE5234">
        <w:rPr>
          <w:rFonts w:cstheme="minorHAnsi"/>
        </w:rPr>
        <w:t>: 249– 256.</w:t>
      </w:r>
    </w:p>
    <w:p w14:paraId="69703DA0" w14:textId="77777777" w:rsidR="00D67B01" w:rsidRPr="00BE5234" w:rsidRDefault="00D67B01" w:rsidP="00215592">
      <w:pPr>
        <w:numPr>
          <w:ilvl w:val="0"/>
          <w:numId w:val="2"/>
        </w:numPr>
        <w:spacing w:after="0"/>
        <w:rPr>
          <w:rFonts w:cstheme="minorHAnsi"/>
        </w:rPr>
      </w:pPr>
      <w:r w:rsidRPr="00BE5234">
        <w:rPr>
          <w:rFonts w:cstheme="minorHAnsi"/>
        </w:rPr>
        <w:t>Xu M, Smothers CT, Woodward JJ (2015) Cysteine substitution of transmembrane domain amino acids alters the ethanol inhibition of GluN1/GluN2A N‐methyl‐D‐aspartate receptors. </w:t>
      </w:r>
      <w:r w:rsidRPr="00BE5234">
        <w:rPr>
          <w:rFonts w:cstheme="minorHAnsi"/>
          <w:i/>
          <w:iCs/>
        </w:rPr>
        <w:t>J Pharmacol Exp Ther</w:t>
      </w:r>
      <w:r w:rsidRPr="00BE5234">
        <w:rPr>
          <w:rFonts w:cstheme="minorHAnsi"/>
        </w:rPr>
        <w:t> </w:t>
      </w:r>
      <w:r w:rsidRPr="00BE5234">
        <w:rPr>
          <w:rFonts w:cstheme="minorHAnsi"/>
          <w:b/>
          <w:bCs/>
        </w:rPr>
        <w:t>353</w:t>
      </w:r>
      <w:r w:rsidRPr="00BE5234">
        <w:rPr>
          <w:rFonts w:cstheme="minorHAnsi"/>
        </w:rPr>
        <w:t>: 91– 101.</w:t>
      </w:r>
    </w:p>
    <w:p w14:paraId="1C4ED064" w14:textId="77777777" w:rsidR="00D67B01" w:rsidRPr="00BE5234" w:rsidRDefault="00D67B01" w:rsidP="00215592">
      <w:pPr>
        <w:numPr>
          <w:ilvl w:val="0"/>
          <w:numId w:val="2"/>
        </w:numPr>
        <w:spacing w:after="0"/>
        <w:rPr>
          <w:rFonts w:cstheme="minorHAnsi"/>
        </w:rPr>
      </w:pPr>
      <w:r w:rsidRPr="00BE5234">
        <w:rPr>
          <w:rFonts w:cstheme="minorHAnsi"/>
        </w:rPr>
        <w:t>Yamakura T, Mihic SJ, Harris RA (1999) Amino acid volume and hydropathy of a transmembrane site determine glycine and anesthetic sensitivity of glycine receptors. </w:t>
      </w:r>
      <w:r w:rsidRPr="00BE5234">
        <w:rPr>
          <w:rFonts w:cstheme="minorHAnsi"/>
          <w:i/>
          <w:iCs/>
        </w:rPr>
        <w:t>J Biol Chem</w:t>
      </w:r>
      <w:r w:rsidRPr="00BE5234">
        <w:rPr>
          <w:rFonts w:cstheme="minorHAnsi"/>
        </w:rPr>
        <w:t> </w:t>
      </w:r>
      <w:r w:rsidRPr="00BE5234">
        <w:rPr>
          <w:rFonts w:cstheme="minorHAnsi"/>
          <w:b/>
          <w:bCs/>
        </w:rPr>
        <w:t>274</w:t>
      </w:r>
      <w:r w:rsidRPr="00BE5234">
        <w:rPr>
          <w:rFonts w:cstheme="minorHAnsi"/>
        </w:rPr>
        <w:t>: 23006– 23012.</w:t>
      </w:r>
    </w:p>
    <w:p w14:paraId="2B3AE146" w14:textId="77777777" w:rsidR="00D67B01" w:rsidRPr="00BE5234" w:rsidRDefault="00D67B01" w:rsidP="00215592">
      <w:pPr>
        <w:numPr>
          <w:ilvl w:val="0"/>
          <w:numId w:val="2"/>
        </w:numPr>
        <w:spacing w:after="0"/>
        <w:rPr>
          <w:rFonts w:cstheme="minorHAnsi"/>
        </w:rPr>
      </w:pPr>
      <w:r w:rsidRPr="00BE5234">
        <w:rPr>
          <w:rFonts w:cstheme="minorHAnsi"/>
        </w:rPr>
        <w:t>Zhao Y, Ren H, Dwyer DS, Peoples RW (2015) Different sites of alcohol action in the NMDA receptor GluN2A and GluN2B subunits. </w:t>
      </w:r>
      <w:r w:rsidRPr="00BE5234">
        <w:rPr>
          <w:rFonts w:cstheme="minorHAnsi"/>
          <w:i/>
          <w:iCs/>
        </w:rPr>
        <w:t>Neuropharmacology</w:t>
      </w:r>
      <w:r w:rsidRPr="00BE5234">
        <w:rPr>
          <w:rFonts w:cstheme="minorHAnsi"/>
        </w:rPr>
        <w:t> </w:t>
      </w:r>
      <w:r w:rsidRPr="00BE5234">
        <w:rPr>
          <w:rFonts w:cstheme="minorHAnsi"/>
          <w:b/>
          <w:bCs/>
        </w:rPr>
        <w:t>97</w:t>
      </w:r>
      <w:r w:rsidRPr="00BE5234">
        <w:rPr>
          <w:rFonts w:cstheme="minorHAnsi"/>
        </w:rPr>
        <w:t>: 240– 250.</w:t>
      </w:r>
    </w:p>
    <w:p w14:paraId="30EA9737" w14:textId="77777777" w:rsidR="00D67B01" w:rsidRPr="00BE5234" w:rsidRDefault="00D67B01" w:rsidP="00215592">
      <w:pPr>
        <w:numPr>
          <w:ilvl w:val="0"/>
          <w:numId w:val="2"/>
        </w:numPr>
        <w:spacing w:after="0"/>
        <w:rPr>
          <w:rFonts w:cstheme="minorHAnsi"/>
        </w:rPr>
      </w:pPr>
      <w:r w:rsidRPr="00BE5234">
        <w:rPr>
          <w:rFonts w:cstheme="minorHAnsi"/>
        </w:rPr>
        <w:t>Zhao Y, Ren H, Peoples RW (2016) Intersubunit interactions at putative sites of ethanol action in the M3 and M4 domains of the NMDA receptor GluN1 and GluN2B subunits. </w:t>
      </w:r>
      <w:r w:rsidRPr="00BE5234">
        <w:rPr>
          <w:rFonts w:cstheme="minorHAnsi"/>
          <w:i/>
          <w:iCs/>
        </w:rPr>
        <w:t>Br J Pharmacol</w:t>
      </w:r>
      <w:r w:rsidRPr="00BE5234">
        <w:rPr>
          <w:rFonts w:cstheme="minorHAnsi"/>
        </w:rPr>
        <w:t> </w:t>
      </w:r>
      <w:r w:rsidRPr="00BE5234">
        <w:rPr>
          <w:rFonts w:cstheme="minorHAnsi"/>
          <w:b/>
          <w:bCs/>
        </w:rPr>
        <w:t>173</w:t>
      </w:r>
      <w:r w:rsidRPr="00BE5234">
        <w:rPr>
          <w:rFonts w:cstheme="minorHAnsi"/>
        </w:rPr>
        <w:t>: 1950– 1965.</w:t>
      </w:r>
    </w:p>
    <w:p w14:paraId="54222886" w14:textId="77777777" w:rsidR="00D67B01" w:rsidRPr="00BE5234" w:rsidRDefault="00D67B01" w:rsidP="00215592">
      <w:pPr>
        <w:numPr>
          <w:ilvl w:val="0"/>
          <w:numId w:val="2"/>
        </w:numPr>
        <w:spacing w:after="0"/>
        <w:rPr>
          <w:rFonts w:cstheme="minorHAnsi"/>
        </w:rPr>
      </w:pPr>
      <w:r w:rsidRPr="00BE5234">
        <w:rPr>
          <w:rFonts w:cstheme="minorHAnsi"/>
        </w:rPr>
        <w:t>Zimmerman JM, Eliezer N, Simha R (1968) The characterization of amino acid sequences in proteins by statistical methods. </w:t>
      </w:r>
      <w:r w:rsidRPr="00BE5234">
        <w:rPr>
          <w:rFonts w:cstheme="minorHAnsi"/>
          <w:i/>
          <w:iCs/>
        </w:rPr>
        <w:t>J Theor Biol</w:t>
      </w:r>
      <w:r w:rsidRPr="00BE5234">
        <w:rPr>
          <w:rFonts w:cstheme="minorHAnsi"/>
        </w:rPr>
        <w:t> </w:t>
      </w:r>
      <w:r w:rsidRPr="00BE5234">
        <w:rPr>
          <w:rFonts w:cstheme="minorHAnsi"/>
          <w:b/>
          <w:bCs/>
        </w:rPr>
        <w:t>21</w:t>
      </w:r>
      <w:r w:rsidRPr="00BE5234">
        <w:rPr>
          <w:rFonts w:cstheme="minorHAnsi"/>
        </w:rPr>
        <w:t>: 170– 201.</w:t>
      </w:r>
    </w:p>
    <w:p w14:paraId="6F3663CB" w14:textId="77777777" w:rsidR="00D67B01" w:rsidRPr="00BE5234" w:rsidRDefault="00D67B01" w:rsidP="00215592">
      <w:pPr>
        <w:spacing w:after="0"/>
        <w:rPr>
          <w:rFonts w:cstheme="minorHAnsi"/>
        </w:rPr>
      </w:pPr>
    </w:p>
    <w:sectPr w:rsidR="00D67B01" w:rsidRPr="00BE5234"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7E48A2"/>
    <w:multiLevelType w:val="multilevel"/>
    <w:tmpl w:val="631A46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32878F4"/>
    <w:multiLevelType w:val="hybridMultilevel"/>
    <w:tmpl w:val="0409000F"/>
    <w:lvl w:ilvl="0" w:tplc="A3686DD6">
      <w:start w:val="1"/>
      <w:numFmt w:val="decimal"/>
      <w:lvlText w:val="%1."/>
      <w:lvlJc w:val="left"/>
      <w:pPr>
        <w:ind w:left="720" w:hanging="360"/>
      </w:pPr>
      <w:rPr>
        <w:rFonts w:hint="default"/>
        <w:sz w:val="20"/>
      </w:rPr>
    </w:lvl>
    <w:lvl w:ilvl="1" w:tplc="1272FB92" w:tentative="1">
      <w:start w:val="1"/>
      <w:numFmt w:val="lowerLetter"/>
      <w:lvlText w:val="%2."/>
      <w:lvlJc w:val="left"/>
      <w:pPr>
        <w:ind w:left="1440" w:hanging="360"/>
      </w:pPr>
      <w:rPr>
        <w:rFonts w:hint="default"/>
        <w:sz w:val="20"/>
      </w:rPr>
    </w:lvl>
    <w:lvl w:ilvl="2" w:tplc="B27E3332" w:tentative="1">
      <w:start w:val="1"/>
      <w:numFmt w:val="lowerRoman"/>
      <w:lvlText w:val="%3."/>
      <w:lvlJc w:val="right"/>
      <w:pPr>
        <w:ind w:left="2160" w:hanging="180"/>
      </w:pPr>
      <w:rPr>
        <w:rFonts w:hint="default"/>
        <w:sz w:val="20"/>
      </w:rPr>
    </w:lvl>
    <w:lvl w:ilvl="3" w:tplc="86D28A80" w:tentative="1">
      <w:start w:val="1"/>
      <w:numFmt w:val="decimal"/>
      <w:lvlText w:val="%4."/>
      <w:lvlJc w:val="left"/>
      <w:pPr>
        <w:ind w:left="2880" w:hanging="360"/>
      </w:pPr>
      <w:rPr>
        <w:rFonts w:hint="default"/>
        <w:sz w:val="20"/>
      </w:rPr>
    </w:lvl>
    <w:lvl w:ilvl="4" w:tplc="EE26CDD6" w:tentative="1">
      <w:start w:val="1"/>
      <w:numFmt w:val="lowerLetter"/>
      <w:lvlText w:val="%5."/>
      <w:lvlJc w:val="left"/>
      <w:pPr>
        <w:ind w:left="3600" w:hanging="360"/>
      </w:pPr>
      <w:rPr>
        <w:rFonts w:hint="default"/>
        <w:sz w:val="20"/>
      </w:rPr>
    </w:lvl>
    <w:lvl w:ilvl="5" w:tplc="2A8EF190" w:tentative="1">
      <w:start w:val="1"/>
      <w:numFmt w:val="lowerRoman"/>
      <w:lvlText w:val="%6."/>
      <w:lvlJc w:val="right"/>
      <w:pPr>
        <w:ind w:left="4320" w:hanging="180"/>
      </w:pPr>
      <w:rPr>
        <w:rFonts w:hint="default"/>
        <w:sz w:val="20"/>
      </w:rPr>
    </w:lvl>
    <w:lvl w:ilvl="6" w:tplc="BB0097AC" w:tentative="1">
      <w:start w:val="1"/>
      <w:numFmt w:val="decimal"/>
      <w:lvlText w:val="%7."/>
      <w:lvlJc w:val="left"/>
      <w:pPr>
        <w:ind w:left="5040" w:hanging="360"/>
      </w:pPr>
      <w:rPr>
        <w:rFonts w:hint="default"/>
        <w:sz w:val="20"/>
      </w:rPr>
    </w:lvl>
    <w:lvl w:ilvl="7" w:tplc="12EC6EE6" w:tentative="1">
      <w:start w:val="1"/>
      <w:numFmt w:val="lowerLetter"/>
      <w:lvlText w:val="%8."/>
      <w:lvlJc w:val="left"/>
      <w:pPr>
        <w:ind w:left="5760" w:hanging="360"/>
      </w:pPr>
      <w:rPr>
        <w:rFonts w:hint="default"/>
        <w:sz w:val="20"/>
      </w:rPr>
    </w:lvl>
    <w:lvl w:ilvl="8" w:tplc="EED283DE" w:tentative="1">
      <w:start w:val="1"/>
      <w:numFmt w:val="lowerRoman"/>
      <w:lvlText w:val="%9."/>
      <w:lvlJc w:val="right"/>
      <w:pPr>
        <w:ind w:left="6480" w:hanging="180"/>
      </w:pPr>
      <w:rPr>
        <w:rFont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6DeWs7wWXMxRRRPx84+CdE/pnErDggeXwFDcnDYUozJnrm1bCn2i9hLiTkuQo4agG6g1qWEp/4BZcZhtFy+8cQ==" w:salt="BZB3Y2dMXydHFm5cG46mC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4D1B"/>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0F4D9E"/>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1D85"/>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5592"/>
    <w:rsid w:val="002179E3"/>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2DA5"/>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46E4"/>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79B"/>
    <w:rsid w:val="00391C48"/>
    <w:rsid w:val="00394337"/>
    <w:rsid w:val="003A437A"/>
    <w:rsid w:val="003A503E"/>
    <w:rsid w:val="003A6039"/>
    <w:rsid w:val="003B47FA"/>
    <w:rsid w:val="003B6208"/>
    <w:rsid w:val="003B7F8F"/>
    <w:rsid w:val="003C4172"/>
    <w:rsid w:val="003C437D"/>
    <w:rsid w:val="003C4456"/>
    <w:rsid w:val="003C4E44"/>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0298"/>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38B2"/>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6BE"/>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24FF"/>
    <w:rsid w:val="006647E7"/>
    <w:rsid w:val="00666FD4"/>
    <w:rsid w:val="00667217"/>
    <w:rsid w:val="006702C6"/>
    <w:rsid w:val="006769E6"/>
    <w:rsid w:val="00676C63"/>
    <w:rsid w:val="00677C5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4C20"/>
    <w:rsid w:val="007258CB"/>
    <w:rsid w:val="00725ED0"/>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E0B55"/>
    <w:rsid w:val="008E76E9"/>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49F"/>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2121"/>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0B81"/>
    <w:rsid w:val="00A310DA"/>
    <w:rsid w:val="00A32FCB"/>
    <w:rsid w:val="00A3561C"/>
    <w:rsid w:val="00A400BC"/>
    <w:rsid w:val="00A40701"/>
    <w:rsid w:val="00A42169"/>
    <w:rsid w:val="00A424F1"/>
    <w:rsid w:val="00A426B2"/>
    <w:rsid w:val="00A45EE8"/>
    <w:rsid w:val="00A465FC"/>
    <w:rsid w:val="00A46655"/>
    <w:rsid w:val="00A47B50"/>
    <w:rsid w:val="00A50459"/>
    <w:rsid w:val="00A506CB"/>
    <w:rsid w:val="00A52369"/>
    <w:rsid w:val="00A52A88"/>
    <w:rsid w:val="00A541F2"/>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10FF"/>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234"/>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3E8A"/>
    <w:rsid w:val="00C57F24"/>
    <w:rsid w:val="00C63EA6"/>
    <w:rsid w:val="00C6619F"/>
    <w:rsid w:val="00C6624A"/>
    <w:rsid w:val="00C66A6D"/>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47BE"/>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67B01"/>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2506"/>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DC2506"/>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DC250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C2506"/>
    <w:rPr>
      <w:color w:val="0000FF"/>
      <w:u w:val="single"/>
    </w:rPr>
  </w:style>
  <w:style w:type="character" w:styleId="FollowedHyperlink">
    <w:name w:val="FollowedHyperlink"/>
    <w:basedOn w:val="DefaultParagraphFont"/>
    <w:uiPriority w:val="99"/>
    <w:semiHidden/>
    <w:unhideWhenUsed/>
    <w:rsid w:val="00DC2506"/>
    <w:rPr>
      <w:color w:val="800080"/>
      <w:u w:val="single"/>
    </w:rPr>
  </w:style>
  <w:style w:type="character" w:customStyle="1" w:styleId="figurelink">
    <w:name w:val="figurelink"/>
    <w:basedOn w:val="DefaultParagraphFont"/>
    <w:rsid w:val="00DC2506"/>
  </w:style>
  <w:style w:type="character" w:customStyle="1" w:styleId="author">
    <w:name w:val="author"/>
    <w:basedOn w:val="DefaultParagraphFont"/>
    <w:rsid w:val="00D67B01"/>
  </w:style>
  <w:style w:type="character" w:customStyle="1" w:styleId="pubyear">
    <w:name w:val="pubyear"/>
    <w:basedOn w:val="DefaultParagraphFont"/>
    <w:rsid w:val="00D67B01"/>
  </w:style>
  <w:style w:type="character" w:customStyle="1" w:styleId="articletitle">
    <w:name w:val="articletitle"/>
    <w:basedOn w:val="DefaultParagraphFont"/>
    <w:rsid w:val="00D67B01"/>
  </w:style>
  <w:style w:type="character" w:customStyle="1" w:styleId="vol">
    <w:name w:val="vol"/>
    <w:basedOn w:val="DefaultParagraphFont"/>
    <w:rsid w:val="00D67B01"/>
  </w:style>
  <w:style w:type="character" w:customStyle="1" w:styleId="pagefirst">
    <w:name w:val="pagefirst"/>
    <w:basedOn w:val="DefaultParagraphFont"/>
    <w:rsid w:val="00D67B01"/>
  </w:style>
  <w:style w:type="character" w:customStyle="1" w:styleId="pagelast">
    <w:name w:val="pagelast"/>
    <w:basedOn w:val="DefaultParagraphFont"/>
    <w:rsid w:val="00D67B01"/>
  </w:style>
  <w:style w:type="character" w:customStyle="1" w:styleId="openurl">
    <w:name w:val="openurl"/>
    <w:basedOn w:val="DefaultParagraphFont"/>
    <w:rsid w:val="00D67B01"/>
  </w:style>
  <w:style w:type="character" w:styleId="UnresolvedMention">
    <w:name w:val="Unresolved Mention"/>
    <w:basedOn w:val="DefaultParagraphFont"/>
    <w:uiPriority w:val="99"/>
    <w:semiHidden/>
    <w:unhideWhenUsed/>
    <w:rsid w:val="00D67B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7298237">
      <w:bodyDiv w:val="1"/>
      <w:marLeft w:val="0"/>
      <w:marRight w:val="0"/>
      <w:marTop w:val="0"/>
      <w:marBottom w:val="0"/>
      <w:divBdr>
        <w:top w:val="none" w:sz="0" w:space="0" w:color="auto"/>
        <w:left w:val="none" w:sz="0" w:space="0" w:color="auto"/>
        <w:bottom w:val="none" w:sz="0" w:space="0" w:color="auto"/>
        <w:right w:val="none" w:sz="0" w:space="0" w:color="auto"/>
      </w:divBdr>
      <w:divsChild>
        <w:div w:id="1708137776">
          <w:marLeft w:val="0"/>
          <w:marRight w:val="0"/>
          <w:marTop w:val="0"/>
          <w:marBottom w:val="0"/>
          <w:divBdr>
            <w:top w:val="none" w:sz="0" w:space="0" w:color="auto"/>
            <w:left w:val="none" w:sz="0" w:space="0" w:color="auto"/>
            <w:bottom w:val="none" w:sz="0" w:space="0" w:color="auto"/>
            <w:right w:val="none" w:sz="0" w:space="0" w:color="auto"/>
          </w:divBdr>
          <w:divsChild>
            <w:div w:id="345594572">
              <w:marLeft w:val="0"/>
              <w:marRight w:val="0"/>
              <w:marTop w:val="0"/>
              <w:marBottom w:val="0"/>
              <w:divBdr>
                <w:top w:val="none" w:sz="0" w:space="0" w:color="auto"/>
                <w:left w:val="none" w:sz="0" w:space="0" w:color="auto"/>
                <w:bottom w:val="none" w:sz="0" w:space="0" w:color="auto"/>
                <w:right w:val="none" w:sz="0" w:space="0" w:color="auto"/>
              </w:divBdr>
              <w:divsChild>
                <w:div w:id="792753607">
                  <w:marLeft w:val="0"/>
                  <w:marRight w:val="0"/>
                  <w:marTop w:val="0"/>
                  <w:marBottom w:val="0"/>
                  <w:divBdr>
                    <w:top w:val="none" w:sz="0" w:space="0" w:color="auto"/>
                    <w:left w:val="none" w:sz="0" w:space="0" w:color="auto"/>
                    <w:bottom w:val="none" w:sz="0" w:space="0" w:color="auto"/>
                    <w:right w:val="none" w:sz="0" w:space="0" w:color="auto"/>
                  </w:divBdr>
                </w:div>
                <w:div w:id="2074962055">
                  <w:marLeft w:val="0"/>
                  <w:marRight w:val="0"/>
                  <w:marTop w:val="0"/>
                  <w:marBottom w:val="0"/>
                  <w:divBdr>
                    <w:top w:val="none" w:sz="0" w:space="0" w:color="auto"/>
                    <w:left w:val="none" w:sz="0" w:space="0" w:color="auto"/>
                    <w:bottom w:val="none" w:sz="0" w:space="0" w:color="auto"/>
                    <w:right w:val="none" w:sz="0" w:space="0" w:color="auto"/>
                  </w:divBdr>
                </w:div>
                <w:div w:id="984701916">
                  <w:marLeft w:val="0"/>
                  <w:marRight w:val="0"/>
                  <w:marTop w:val="0"/>
                  <w:marBottom w:val="0"/>
                  <w:divBdr>
                    <w:top w:val="none" w:sz="0" w:space="0" w:color="auto"/>
                    <w:left w:val="none" w:sz="0" w:space="0" w:color="auto"/>
                    <w:bottom w:val="none" w:sz="0" w:space="0" w:color="auto"/>
                    <w:right w:val="none" w:sz="0" w:space="0" w:color="auto"/>
                  </w:divBdr>
                </w:div>
                <w:div w:id="42750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011775">
          <w:marLeft w:val="0"/>
          <w:marRight w:val="0"/>
          <w:marTop w:val="0"/>
          <w:marBottom w:val="0"/>
          <w:divBdr>
            <w:top w:val="none" w:sz="0" w:space="0" w:color="auto"/>
            <w:left w:val="none" w:sz="0" w:space="0" w:color="auto"/>
            <w:bottom w:val="none" w:sz="0" w:space="0" w:color="auto"/>
            <w:right w:val="none" w:sz="0" w:space="0" w:color="auto"/>
          </w:divBdr>
        </w:div>
        <w:div w:id="1059281659">
          <w:marLeft w:val="0"/>
          <w:marRight w:val="0"/>
          <w:marTop w:val="0"/>
          <w:marBottom w:val="0"/>
          <w:divBdr>
            <w:top w:val="none" w:sz="0" w:space="0" w:color="auto"/>
            <w:left w:val="none" w:sz="0" w:space="0" w:color="auto"/>
            <w:bottom w:val="none" w:sz="0" w:space="0" w:color="auto"/>
            <w:right w:val="none" w:sz="0" w:space="0" w:color="auto"/>
          </w:divBdr>
          <w:divsChild>
            <w:div w:id="976182881">
              <w:marLeft w:val="0"/>
              <w:marRight w:val="0"/>
              <w:marTop w:val="150"/>
              <w:marBottom w:val="270"/>
              <w:divBdr>
                <w:top w:val="none" w:sz="0" w:space="0" w:color="auto"/>
                <w:left w:val="none" w:sz="0" w:space="0" w:color="auto"/>
                <w:bottom w:val="none" w:sz="0" w:space="0" w:color="auto"/>
                <w:right w:val="none" w:sz="0" w:space="0" w:color="auto"/>
              </w:divBdr>
            </w:div>
            <w:div w:id="1594512051">
              <w:marLeft w:val="0"/>
              <w:marRight w:val="0"/>
              <w:marTop w:val="150"/>
              <w:marBottom w:val="270"/>
              <w:divBdr>
                <w:top w:val="none" w:sz="0" w:space="0" w:color="auto"/>
                <w:left w:val="none" w:sz="0" w:space="0" w:color="auto"/>
                <w:bottom w:val="none" w:sz="0" w:space="0" w:color="auto"/>
                <w:right w:val="none" w:sz="0" w:space="0" w:color="auto"/>
              </w:divBdr>
            </w:div>
            <w:div w:id="1095593158">
              <w:marLeft w:val="0"/>
              <w:marRight w:val="0"/>
              <w:marTop w:val="150"/>
              <w:marBottom w:val="270"/>
              <w:divBdr>
                <w:top w:val="none" w:sz="0" w:space="0" w:color="auto"/>
                <w:left w:val="none" w:sz="0" w:space="0" w:color="auto"/>
                <w:bottom w:val="none" w:sz="0" w:space="0" w:color="auto"/>
                <w:right w:val="none" w:sz="0" w:space="0" w:color="auto"/>
              </w:divBdr>
            </w:div>
            <w:div w:id="2110272390">
              <w:marLeft w:val="0"/>
              <w:marRight w:val="0"/>
              <w:marTop w:val="150"/>
              <w:marBottom w:val="270"/>
              <w:divBdr>
                <w:top w:val="none" w:sz="0" w:space="0" w:color="auto"/>
                <w:left w:val="none" w:sz="0" w:space="0" w:color="auto"/>
                <w:bottom w:val="none" w:sz="0" w:space="0" w:color="auto"/>
                <w:right w:val="none" w:sz="0" w:space="0" w:color="auto"/>
              </w:divBdr>
            </w:div>
            <w:div w:id="562108933">
              <w:marLeft w:val="0"/>
              <w:marRight w:val="0"/>
              <w:marTop w:val="150"/>
              <w:marBottom w:val="270"/>
              <w:divBdr>
                <w:top w:val="none" w:sz="0" w:space="0" w:color="auto"/>
                <w:left w:val="none" w:sz="0" w:space="0" w:color="auto"/>
                <w:bottom w:val="none" w:sz="0" w:space="0" w:color="auto"/>
                <w:right w:val="none" w:sz="0" w:space="0" w:color="auto"/>
              </w:divBdr>
            </w:div>
          </w:divsChild>
        </w:div>
        <w:div w:id="785778285">
          <w:marLeft w:val="0"/>
          <w:marRight w:val="0"/>
          <w:marTop w:val="0"/>
          <w:marBottom w:val="0"/>
          <w:divBdr>
            <w:top w:val="none" w:sz="0" w:space="0" w:color="auto"/>
            <w:left w:val="none" w:sz="0" w:space="0" w:color="auto"/>
            <w:bottom w:val="none" w:sz="0" w:space="0" w:color="auto"/>
            <w:right w:val="none" w:sz="0" w:space="0" w:color="auto"/>
          </w:divBdr>
          <w:divsChild>
            <w:div w:id="1338655329">
              <w:marLeft w:val="0"/>
              <w:marRight w:val="0"/>
              <w:marTop w:val="150"/>
              <w:marBottom w:val="270"/>
              <w:divBdr>
                <w:top w:val="none" w:sz="0" w:space="0" w:color="auto"/>
                <w:left w:val="none" w:sz="0" w:space="0" w:color="auto"/>
                <w:bottom w:val="none" w:sz="0" w:space="0" w:color="auto"/>
                <w:right w:val="none" w:sz="0" w:space="0" w:color="auto"/>
              </w:divBdr>
              <w:divsChild>
                <w:div w:id="1262761024">
                  <w:marLeft w:val="0"/>
                  <w:marRight w:val="0"/>
                  <w:marTop w:val="0"/>
                  <w:marBottom w:val="0"/>
                  <w:divBdr>
                    <w:top w:val="none" w:sz="0" w:space="0" w:color="auto"/>
                    <w:left w:val="none" w:sz="0" w:space="0" w:color="auto"/>
                    <w:bottom w:val="none" w:sz="0" w:space="0" w:color="auto"/>
                    <w:right w:val="none" w:sz="0" w:space="0" w:color="auto"/>
                  </w:divBdr>
                  <w:divsChild>
                    <w:div w:id="1703095304">
                      <w:marLeft w:val="0"/>
                      <w:marRight w:val="0"/>
                      <w:marTop w:val="0"/>
                      <w:marBottom w:val="0"/>
                      <w:divBdr>
                        <w:top w:val="none" w:sz="0" w:space="0" w:color="auto"/>
                        <w:left w:val="none" w:sz="0" w:space="0" w:color="auto"/>
                        <w:bottom w:val="none" w:sz="0" w:space="0" w:color="auto"/>
                        <w:right w:val="none" w:sz="0" w:space="0" w:color="auto"/>
                      </w:divBdr>
                    </w:div>
                  </w:divsChild>
                </w:div>
                <w:div w:id="237402653">
                  <w:marLeft w:val="0"/>
                  <w:marRight w:val="0"/>
                  <w:marTop w:val="0"/>
                  <w:marBottom w:val="0"/>
                  <w:divBdr>
                    <w:top w:val="none" w:sz="0" w:space="0" w:color="auto"/>
                    <w:left w:val="none" w:sz="0" w:space="0" w:color="auto"/>
                    <w:bottom w:val="none" w:sz="0" w:space="0" w:color="auto"/>
                    <w:right w:val="none" w:sz="0" w:space="0" w:color="auto"/>
                  </w:divBdr>
                </w:div>
                <w:div w:id="1006899882">
                  <w:marLeft w:val="0"/>
                  <w:marRight w:val="0"/>
                  <w:marTop w:val="0"/>
                  <w:marBottom w:val="0"/>
                  <w:divBdr>
                    <w:top w:val="none" w:sz="0" w:space="0" w:color="auto"/>
                    <w:left w:val="none" w:sz="0" w:space="0" w:color="auto"/>
                    <w:bottom w:val="none" w:sz="0" w:space="0" w:color="auto"/>
                    <w:right w:val="none" w:sz="0" w:space="0" w:color="auto"/>
                  </w:divBdr>
                  <w:divsChild>
                    <w:div w:id="1629896803">
                      <w:marLeft w:val="0"/>
                      <w:marRight w:val="0"/>
                      <w:marTop w:val="0"/>
                      <w:marBottom w:val="0"/>
                      <w:divBdr>
                        <w:top w:val="none" w:sz="0" w:space="0" w:color="auto"/>
                        <w:left w:val="none" w:sz="0" w:space="0" w:color="auto"/>
                        <w:bottom w:val="none" w:sz="0" w:space="0" w:color="auto"/>
                        <w:right w:val="none" w:sz="0" w:space="0" w:color="auto"/>
                      </w:divBdr>
                    </w:div>
                  </w:divsChild>
                </w:div>
                <w:div w:id="45840064">
                  <w:marLeft w:val="0"/>
                  <w:marRight w:val="0"/>
                  <w:marTop w:val="0"/>
                  <w:marBottom w:val="0"/>
                  <w:divBdr>
                    <w:top w:val="none" w:sz="0" w:space="0" w:color="auto"/>
                    <w:left w:val="none" w:sz="0" w:space="0" w:color="auto"/>
                    <w:bottom w:val="none" w:sz="0" w:space="0" w:color="auto"/>
                    <w:right w:val="none" w:sz="0" w:space="0" w:color="auto"/>
                  </w:divBdr>
                </w:div>
              </w:divsChild>
            </w:div>
            <w:div w:id="588738303">
              <w:marLeft w:val="0"/>
              <w:marRight w:val="0"/>
              <w:marTop w:val="150"/>
              <w:marBottom w:val="270"/>
              <w:divBdr>
                <w:top w:val="none" w:sz="0" w:space="0" w:color="auto"/>
                <w:left w:val="none" w:sz="0" w:space="0" w:color="auto"/>
                <w:bottom w:val="none" w:sz="0" w:space="0" w:color="auto"/>
                <w:right w:val="none" w:sz="0" w:space="0" w:color="auto"/>
              </w:divBdr>
              <w:divsChild>
                <w:div w:id="552892859">
                  <w:marLeft w:val="0"/>
                  <w:marRight w:val="0"/>
                  <w:marTop w:val="0"/>
                  <w:marBottom w:val="0"/>
                  <w:divBdr>
                    <w:top w:val="none" w:sz="0" w:space="0" w:color="auto"/>
                    <w:left w:val="none" w:sz="0" w:space="0" w:color="auto"/>
                    <w:bottom w:val="none" w:sz="0" w:space="0" w:color="auto"/>
                    <w:right w:val="none" w:sz="0" w:space="0" w:color="auto"/>
                  </w:divBdr>
                  <w:divsChild>
                    <w:div w:id="258679114">
                      <w:marLeft w:val="0"/>
                      <w:marRight w:val="0"/>
                      <w:marTop w:val="0"/>
                      <w:marBottom w:val="0"/>
                      <w:divBdr>
                        <w:top w:val="none" w:sz="0" w:space="0" w:color="auto"/>
                        <w:left w:val="none" w:sz="0" w:space="0" w:color="auto"/>
                        <w:bottom w:val="none" w:sz="0" w:space="0" w:color="auto"/>
                        <w:right w:val="none" w:sz="0" w:space="0" w:color="auto"/>
                      </w:divBdr>
                    </w:div>
                  </w:divsChild>
                </w:div>
                <w:div w:id="532116609">
                  <w:marLeft w:val="0"/>
                  <w:marRight w:val="0"/>
                  <w:marTop w:val="0"/>
                  <w:marBottom w:val="0"/>
                  <w:divBdr>
                    <w:top w:val="none" w:sz="0" w:space="0" w:color="auto"/>
                    <w:left w:val="none" w:sz="0" w:space="0" w:color="auto"/>
                    <w:bottom w:val="none" w:sz="0" w:space="0" w:color="auto"/>
                    <w:right w:val="none" w:sz="0" w:space="0" w:color="auto"/>
                  </w:divBdr>
                </w:div>
              </w:divsChild>
            </w:div>
            <w:div w:id="1664505138">
              <w:marLeft w:val="0"/>
              <w:marRight w:val="0"/>
              <w:marTop w:val="150"/>
              <w:marBottom w:val="270"/>
              <w:divBdr>
                <w:top w:val="none" w:sz="0" w:space="0" w:color="auto"/>
                <w:left w:val="none" w:sz="0" w:space="0" w:color="auto"/>
                <w:bottom w:val="none" w:sz="0" w:space="0" w:color="auto"/>
                <w:right w:val="none" w:sz="0" w:space="0" w:color="auto"/>
              </w:divBdr>
              <w:divsChild>
                <w:div w:id="271476906">
                  <w:marLeft w:val="0"/>
                  <w:marRight w:val="0"/>
                  <w:marTop w:val="0"/>
                  <w:marBottom w:val="0"/>
                  <w:divBdr>
                    <w:top w:val="none" w:sz="0" w:space="0" w:color="auto"/>
                    <w:left w:val="none" w:sz="0" w:space="0" w:color="auto"/>
                    <w:bottom w:val="none" w:sz="0" w:space="0" w:color="auto"/>
                    <w:right w:val="none" w:sz="0" w:space="0" w:color="auto"/>
                  </w:divBdr>
                  <w:divsChild>
                    <w:div w:id="1737121896">
                      <w:marLeft w:val="0"/>
                      <w:marRight w:val="0"/>
                      <w:marTop w:val="0"/>
                      <w:marBottom w:val="0"/>
                      <w:divBdr>
                        <w:top w:val="none" w:sz="0" w:space="0" w:color="auto"/>
                        <w:left w:val="none" w:sz="0" w:space="0" w:color="auto"/>
                        <w:bottom w:val="none" w:sz="0" w:space="0" w:color="auto"/>
                        <w:right w:val="none" w:sz="0" w:space="0" w:color="auto"/>
                      </w:divBdr>
                    </w:div>
                  </w:divsChild>
                </w:div>
                <w:div w:id="1787849681">
                  <w:marLeft w:val="0"/>
                  <w:marRight w:val="0"/>
                  <w:marTop w:val="0"/>
                  <w:marBottom w:val="0"/>
                  <w:divBdr>
                    <w:top w:val="none" w:sz="0" w:space="0" w:color="auto"/>
                    <w:left w:val="none" w:sz="0" w:space="0" w:color="auto"/>
                    <w:bottom w:val="none" w:sz="0" w:space="0" w:color="auto"/>
                    <w:right w:val="none" w:sz="0" w:space="0" w:color="auto"/>
                  </w:divBdr>
                </w:div>
                <w:div w:id="796751920">
                  <w:marLeft w:val="0"/>
                  <w:marRight w:val="0"/>
                  <w:marTop w:val="0"/>
                  <w:marBottom w:val="0"/>
                  <w:divBdr>
                    <w:top w:val="none" w:sz="0" w:space="0" w:color="auto"/>
                    <w:left w:val="none" w:sz="0" w:space="0" w:color="auto"/>
                    <w:bottom w:val="none" w:sz="0" w:space="0" w:color="auto"/>
                    <w:right w:val="none" w:sz="0" w:space="0" w:color="auto"/>
                  </w:divBdr>
                  <w:divsChild>
                    <w:div w:id="1357345551">
                      <w:marLeft w:val="0"/>
                      <w:marRight w:val="0"/>
                      <w:marTop w:val="0"/>
                      <w:marBottom w:val="0"/>
                      <w:divBdr>
                        <w:top w:val="none" w:sz="0" w:space="0" w:color="auto"/>
                        <w:left w:val="none" w:sz="0" w:space="0" w:color="auto"/>
                        <w:bottom w:val="none" w:sz="0" w:space="0" w:color="auto"/>
                        <w:right w:val="none" w:sz="0" w:space="0" w:color="auto"/>
                      </w:divBdr>
                    </w:div>
                  </w:divsChild>
                </w:div>
                <w:div w:id="44647765">
                  <w:marLeft w:val="0"/>
                  <w:marRight w:val="0"/>
                  <w:marTop w:val="0"/>
                  <w:marBottom w:val="0"/>
                  <w:divBdr>
                    <w:top w:val="none" w:sz="0" w:space="0" w:color="auto"/>
                    <w:left w:val="none" w:sz="0" w:space="0" w:color="auto"/>
                    <w:bottom w:val="none" w:sz="0" w:space="0" w:color="auto"/>
                    <w:right w:val="none" w:sz="0" w:space="0" w:color="auto"/>
                  </w:divBdr>
                </w:div>
              </w:divsChild>
            </w:div>
            <w:div w:id="509028164">
              <w:marLeft w:val="0"/>
              <w:marRight w:val="0"/>
              <w:marTop w:val="150"/>
              <w:marBottom w:val="270"/>
              <w:divBdr>
                <w:top w:val="none" w:sz="0" w:space="0" w:color="auto"/>
                <w:left w:val="none" w:sz="0" w:space="0" w:color="auto"/>
                <w:bottom w:val="none" w:sz="0" w:space="0" w:color="auto"/>
                <w:right w:val="none" w:sz="0" w:space="0" w:color="auto"/>
              </w:divBdr>
              <w:divsChild>
                <w:div w:id="1387991898">
                  <w:marLeft w:val="0"/>
                  <w:marRight w:val="0"/>
                  <w:marTop w:val="0"/>
                  <w:marBottom w:val="0"/>
                  <w:divBdr>
                    <w:top w:val="none" w:sz="0" w:space="0" w:color="auto"/>
                    <w:left w:val="none" w:sz="0" w:space="0" w:color="auto"/>
                    <w:bottom w:val="none" w:sz="0" w:space="0" w:color="auto"/>
                    <w:right w:val="none" w:sz="0" w:space="0" w:color="auto"/>
                  </w:divBdr>
                  <w:divsChild>
                    <w:div w:id="48698074">
                      <w:marLeft w:val="0"/>
                      <w:marRight w:val="0"/>
                      <w:marTop w:val="0"/>
                      <w:marBottom w:val="0"/>
                      <w:divBdr>
                        <w:top w:val="none" w:sz="0" w:space="0" w:color="auto"/>
                        <w:left w:val="none" w:sz="0" w:space="0" w:color="auto"/>
                        <w:bottom w:val="none" w:sz="0" w:space="0" w:color="auto"/>
                        <w:right w:val="none" w:sz="0" w:space="0" w:color="auto"/>
                      </w:divBdr>
                    </w:div>
                  </w:divsChild>
                </w:div>
                <w:div w:id="1742562765">
                  <w:marLeft w:val="0"/>
                  <w:marRight w:val="0"/>
                  <w:marTop w:val="0"/>
                  <w:marBottom w:val="0"/>
                  <w:divBdr>
                    <w:top w:val="none" w:sz="0" w:space="0" w:color="auto"/>
                    <w:left w:val="none" w:sz="0" w:space="0" w:color="auto"/>
                    <w:bottom w:val="none" w:sz="0" w:space="0" w:color="auto"/>
                    <w:right w:val="none" w:sz="0" w:space="0" w:color="auto"/>
                  </w:divBdr>
                </w:div>
              </w:divsChild>
            </w:div>
            <w:div w:id="1724334170">
              <w:marLeft w:val="0"/>
              <w:marRight w:val="0"/>
              <w:marTop w:val="150"/>
              <w:marBottom w:val="270"/>
              <w:divBdr>
                <w:top w:val="none" w:sz="0" w:space="0" w:color="auto"/>
                <w:left w:val="none" w:sz="0" w:space="0" w:color="auto"/>
                <w:bottom w:val="none" w:sz="0" w:space="0" w:color="auto"/>
                <w:right w:val="none" w:sz="0" w:space="0" w:color="auto"/>
              </w:divBdr>
              <w:divsChild>
                <w:div w:id="1162626329">
                  <w:marLeft w:val="0"/>
                  <w:marRight w:val="0"/>
                  <w:marTop w:val="0"/>
                  <w:marBottom w:val="0"/>
                  <w:divBdr>
                    <w:top w:val="none" w:sz="0" w:space="0" w:color="auto"/>
                    <w:left w:val="none" w:sz="0" w:space="0" w:color="auto"/>
                    <w:bottom w:val="none" w:sz="0" w:space="0" w:color="auto"/>
                    <w:right w:val="none" w:sz="0" w:space="0" w:color="auto"/>
                  </w:divBdr>
                  <w:divsChild>
                    <w:div w:id="2055152978">
                      <w:marLeft w:val="0"/>
                      <w:marRight w:val="0"/>
                      <w:marTop w:val="0"/>
                      <w:marBottom w:val="0"/>
                      <w:divBdr>
                        <w:top w:val="none" w:sz="0" w:space="0" w:color="auto"/>
                        <w:left w:val="none" w:sz="0" w:space="0" w:color="auto"/>
                        <w:bottom w:val="none" w:sz="0" w:space="0" w:color="auto"/>
                        <w:right w:val="none" w:sz="0" w:space="0" w:color="auto"/>
                      </w:divBdr>
                    </w:div>
                  </w:divsChild>
                </w:div>
                <w:div w:id="1828747425">
                  <w:marLeft w:val="0"/>
                  <w:marRight w:val="0"/>
                  <w:marTop w:val="0"/>
                  <w:marBottom w:val="0"/>
                  <w:divBdr>
                    <w:top w:val="none" w:sz="0" w:space="0" w:color="auto"/>
                    <w:left w:val="none" w:sz="0" w:space="0" w:color="auto"/>
                    <w:bottom w:val="none" w:sz="0" w:space="0" w:color="auto"/>
                    <w:right w:val="none" w:sz="0" w:space="0" w:color="auto"/>
                  </w:divBdr>
                </w:div>
              </w:divsChild>
            </w:div>
            <w:div w:id="442042600">
              <w:marLeft w:val="0"/>
              <w:marRight w:val="0"/>
              <w:marTop w:val="150"/>
              <w:marBottom w:val="270"/>
              <w:divBdr>
                <w:top w:val="none" w:sz="0" w:space="0" w:color="auto"/>
                <w:left w:val="none" w:sz="0" w:space="0" w:color="auto"/>
                <w:bottom w:val="none" w:sz="0" w:space="0" w:color="auto"/>
                <w:right w:val="none" w:sz="0" w:space="0" w:color="auto"/>
              </w:divBdr>
              <w:divsChild>
                <w:div w:id="2111002043">
                  <w:marLeft w:val="0"/>
                  <w:marRight w:val="0"/>
                  <w:marTop w:val="0"/>
                  <w:marBottom w:val="0"/>
                  <w:divBdr>
                    <w:top w:val="none" w:sz="0" w:space="0" w:color="auto"/>
                    <w:left w:val="none" w:sz="0" w:space="0" w:color="auto"/>
                    <w:bottom w:val="none" w:sz="0" w:space="0" w:color="auto"/>
                    <w:right w:val="none" w:sz="0" w:space="0" w:color="auto"/>
                  </w:divBdr>
                  <w:divsChild>
                    <w:div w:id="1781950568">
                      <w:marLeft w:val="0"/>
                      <w:marRight w:val="0"/>
                      <w:marTop w:val="0"/>
                      <w:marBottom w:val="0"/>
                      <w:divBdr>
                        <w:top w:val="none" w:sz="0" w:space="0" w:color="auto"/>
                        <w:left w:val="none" w:sz="0" w:space="0" w:color="auto"/>
                        <w:bottom w:val="none" w:sz="0" w:space="0" w:color="auto"/>
                        <w:right w:val="none" w:sz="0" w:space="0" w:color="auto"/>
                      </w:divBdr>
                    </w:div>
                  </w:divsChild>
                </w:div>
                <w:div w:id="209709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933005">
          <w:marLeft w:val="0"/>
          <w:marRight w:val="0"/>
          <w:marTop w:val="0"/>
          <w:marBottom w:val="0"/>
          <w:divBdr>
            <w:top w:val="none" w:sz="0" w:space="0" w:color="auto"/>
            <w:left w:val="none" w:sz="0" w:space="0" w:color="auto"/>
            <w:bottom w:val="none" w:sz="0" w:space="0" w:color="auto"/>
            <w:right w:val="none" w:sz="0" w:space="0" w:color="auto"/>
          </w:divBdr>
        </w:div>
        <w:div w:id="719093102">
          <w:marLeft w:val="0"/>
          <w:marRight w:val="0"/>
          <w:marTop w:val="0"/>
          <w:marBottom w:val="0"/>
          <w:divBdr>
            <w:top w:val="none" w:sz="0" w:space="0" w:color="auto"/>
            <w:left w:val="none" w:sz="0" w:space="0" w:color="auto"/>
            <w:bottom w:val="none" w:sz="0" w:space="0" w:color="auto"/>
            <w:right w:val="none" w:sz="0" w:space="0" w:color="auto"/>
          </w:divBdr>
        </w:div>
        <w:div w:id="176819448">
          <w:marLeft w:val="0"/>
          <w:marRight w:val="0"/>
          <w:marTop w:val="0"/>
          <w:marBottom w:val="0"/>
          <w:divBdr>
            <w:top w:val="none" w:sz="0" w:space="0" w:color="auto"/>
            <w:left w:val="none" w:sz="0" w:space="0" w:color="auto"/>
            <w:bottom w:val="none" w:sz="0" w:space="0" w:color="auto"/>
            <w:right w:val="none" w:sz="0" w:space="0" w:color="auto"/>
          </w:divBdr>
        </w:div>
      </w:divsChild>
    </w:div>
    <w:div w:id="1842428261">
      <w:bodyDiv w:val="1"/>
      <w:marLeft w:val="0"/>
      <w:marRight w:val="0"/>
      <w:marTop w:val="0"/>
      <w:marBottom w:val="0"/>
      <w:divBdr>
        <w:top w:val="none" w:sz="0" w:space="0" w:color="auto"/>
        <w:left w:val="none" w:sz="0" w:space="0" w:color="auto"/>
        <w:bottom w:val="none" w:sz="0" w:space="0" w:color="auto"/>
        <w:right w:val="none" w:sz="0" w:space="0" w:color="auto"/>
      </w:divBdr>
      <w:divsChild>
        <w:div w:id="405497245">
          <w:marLeft w:val="0"/>
          <w:marRight w:val="0"/>
          <w:marTop w:val="0"/>
          <w:marBottom w:val="0"/>
          <w:divBdr>
            <w:top w:val="none" w:sz="0" w:space="0" w:color="auto"/>
            <w:left w:val="none" w:sz="0" w:space="0" w:color="auto"/>
            <w:bottom w:val="none" w:sz="0" w:space="0" w:color="auto"/>
            <w:right w:val="none" w:sz="0" w:space="0" w:color="auto"/>
          </w:divBdr>
        </w:div>
        <w:div w:id="1872566033">
          <w:marLeft w:val="0"/>
          <w:marRight w:val="0"/>
          <w:marTop w:val="0"/>
          <w:marBottom w:val="0"/>
          <w:divBdr>
            <w:top w:val="none" w:sz="0" w:space="0" w:color="auto"/>
            <w:left w:val="none" w:sz="0" w:space="0" w:color="auto"/>
            <w:bottom w:val="none" w:sz="0" w:space="0" w:color="auto"/>
            <w:right w:val="none" w:sz="0" w:space="0" w:color="auto"/>
          </w:divBdr>
        </w:div>
        <w:div w:id="127628790">
          <w:marLeft w:val="0"/>
          <w:marRight w:val="0"/>
          <w:marTop w:val="0"/>
          <w:marBottom w:val="0"/>
          <w:divBdr>
            <w:top w:val="none" w:sz="0" w:space="0" w:color="auto"/>
            <w:left w:val="none" w:sz="0" w:space="0" w:color="auto"/>
            <w:bottom w:val="none" w:sz="0" w:space="0" w:color="auto"/>
            <w:right w:val="none" w:sz="0" w:space="0" w:color="auto"/>
          </w:divBdr>
        </w:div>
        <w:div w:id="176233002">
          <w:marLeft w:val="0"/>
          <w:marRight w:val="0"/>
          <w:marTop w:val="0"/>
          <w:marBottom w:val="0"/>
          <w:divBdr>
            <w:top w:val="none" w:sz="0" w:space="0" w:color="auto"/>
            <w:left w:val="none" w:sz="0" w:space="0" w:color="auto"/>
            <w:bottom w:val="none" w:sz="0" w:space="0" w:color="auto"/>
            <w:right w:val="none" w:sz="0" w:space="0" w:color="auto"/>
          </w:divBdr>
        </w:div>
        <w:div w:id="1474133450">
          <w:marLeft w:val="0"/>
          <w:marRight w:val="0"/>
          <w:marTop w:val="0"/>
          <w:marBottom w:val="0"/>
          <w:divBdr>
            <w:top w:val="none" w:sz="0" w:space="0" w:color="auto"/>
            <w:left w:val="none" w:sz="0" w:space="0" w:color="auto"/>
            <w:bottom w:val="none" w:sz="0" w:space="0" w:color="auto"/>
            <w:right w:val="none" w:sz="0" w:space="0" w:color="auto"/>
          </w:divBdr>
        </w:div>
        <w:div w:id="1802306132">
          <w:marLeft w:val="0"/>
          <w:marRight w:val="0"/>
          <w:marTop w:val="0"/>
          <w:marBottom w:val="0"/>
          <w:divBdr>
            <w:top w:val="none" w:sz="0" w:space="0" w:color="auto"/>
            <w:left w:val="none" w:sz="0" w:space="0" w:color="auto"/>
            <w:bottom w:val="none" w:sz="0" w:space="0" w:color="auto"/>
            <w:right w:val="none" w:sz="0" w:space="0" w:color="auto"/>
          </w:divBdr>
        </w:div>
        <w:div w:id="1706245708">
          <w:marLeft w:val="0"/>
          <w:marRight w:val="0"/>
          <w:marTop w:val="0"/>
          <w:marBottom w:val="0"/>
          <w:divBdr>
            <w:top w:val="none" w:sz="0" w:space="0" w:color="auto"/>
            <w:left w:val="none" w:sz="0" w:space="0" w:color="auto"/>
            <w:bottom w:val="none" w:sz="0" w:space="0" w:color="auto"/>
            <w:right w:val="none" w:sz="0" w:space="0" w:color="auto"/>
          </w:divBdr>
        </w:div>
        <w:div w:id="176847580">
          <w:marLeft w:val="0"/>
          <w:marRight w:val="0"/>
          <w:marTop w:val="0"/>
          <w:marBottom w:val="0"/>
          <w:divBdr>
            <w:top w:val="none" w:sz="0" w:space="0" w:color="auto"/>
            <w:left w:val="none" w:sz="0" w:space="0" w:color="auto"/>
            <w:bottom w:val="none" w:sz="0" w:space="0" w:color="auto"/>
            <w:right w:val="none" w:sz="0" w:space="0" w:color="auto"/>
          </w:divBdr>
        </w:div>
        <w:div w:id="1796748798">
          <w:marLeft w:val="0"/>
          <w:marRight w:val="0"/>
          <w:marTop w:val="0"/>
          <w:marBottom w:val="0"/>
          <w:divBdr>
            <w:top w:val="none" w:sz="0" w:space="0" w:color="auto"/>
            <w:left w:val="none" w:sz="0" w:space="0" w:color="auto"/>
            <w:bottom w:val="none" w:sz="0" w:space="0" w:color="auto"/>
            <w:right w:val="none" w:sz="0" w:space="0" w:color="auto"/>
          </w:divBdr>
        </w:div>
        <w:div w:id="1829595923">
          <w:marLeft w:val="0"/>
          <w:marRight w:val="0"/>
          <w:marTop w:val="0"/>
          <w:marBottom w:val="0"/>
          <w:divBdr>
            <w:top w:val="none" w:sz="0" w:space="0" w:color="auto"/>
            <w:left w:val="none" w:sz="0" w:space="0" w:color="auto"/>
            <w:bottom w:val="none" w:sz="0" w:space="0" w:color="auto"/>
            <w:right w:val="none" w:sz="0" w:space="0" w:color="auto"/>
          </w:divBdr>
        </w:div>
        <w:div w:id="1716541821">
          <w:marLeft w:val="0"/>
          <w:marRight w:val="0"/>
          <w:marTop w:val="0"/>
          <w:marBottom w:val="0"/>
          <w:divBdr>
            <w:top w:val="none" w:sz="0" w:space="0" w:color="auto"/>
            <w:left w:val="none" w:sz="0" w:space="0" w:color="auto"/>
            <w:bottom w:val="none" w:sz="0" w:space="0" w:color="auto"/>
            <w:right w:val="none" w:sz="0" w:space="0" w:color="auto"/>
          </w:divBdr>
        </w:div>
        <w:div w:id="580484684">
          <w:marLeft w:val="0"/>
          <w:marRight w:val="0"/>
          <w:marTop w:val="0"/>
          <w:marBottom w:val="0"/>
          <w:divBdr>
            <w:top w:val="none" w:sz="0" w:space="0" w:color="auto"/>
            <w:left w:val="none" w:sz="0" w:space="0" w:color="auto"/>
            <w:bottom w:val="none" w:sz="0" w:space="0" w:color="auto"/>
            <w:right w:val="none" w:sz="0" w:space="0" w:color="auto"/>
          </w:divBdr>
        </w:div>
        <w:div w:id="1329869812">
          <w:marLeft w:val="0"/>
          <w:marRight w:val="0"/>
          <w:marTop w:val="0"/>
          <w:marBottom w:val="0"/>
          <w:divBdr>
            <w:top w:val="none" w:sz="0" w:space="0" w:color="auto"/>
            <w:left w:val="none" w:sz="0" w:space="0" w:color="auto"/>
            <w:bottom w:val="none" w:sz="0" w:space="0" w:color="auto"/>
            <w:right w:val="none" w:sz="0" w:space="0" w:color="auto"/>
          </w:divBdr>
        </w:div>
        <w:div w:id="539706445">
          <w:marLeft w:val="0"/>
          <w:marRight w:val="0"/>
          <w:marTop w:val="0"/>
          <w:marBottom w:val="0"/>
          <w:divBdr>
            <w:top w:val="none" w:sz="0" w:space="0" w:color="auto"/>
            <w:left w:val="none" w:sz="0" w:space="0" w:color="auto"/>
            <w:bottom w:val="none" w:sz="0" w:space="0" w:color="auto"/>
            <w:right w:val="none" w:sz="0" w:space="0" w:color="auto"/>
          </w:divBdr>
        </w:div>
        <w:div w:id="1715235054">
          <w:marLeft w:val="0"/>
          <w:marRight w:val="0"/>
          <w:marTop w:val="0"/>
          <w:marBottom w:val="0"/>
          <w:divBdr>
            <w:top w:val="none" w:sz="0" w:space="0" w:color="auto"/>
            <w:left w:val="none" w:sz="0" w:space="0" w:color="auto"/>
            <w:bottom w:val="none" w:sz="0" w:space="0" w:color="auto"/>
            <w:right w:val="none" w:sz="0" w:space="0" w:color="auto"/>
          </w:divBdr>
        </w:div>
        <w:div w:id="354501974">
          <w:marLeft w:val="0"/>
          <w:marRight w:val="0"/>
          <w:marTop w:val="0"/>
          <w:marBottom w:val="0"/>
          <w:divBdr>
            <w:top w:val="none" w:sz="0" w:space="0" w:color="auto"/>
            <w:left w:val="none" w:sz="0" w:space="0" w:color="auto"/>
            <w:bottom w:val="none" w:sz="0" w:space="0" w:color="auto"/>
            <w:right w:val="none" w:sz="0" w:space="0" w:color="auto"/>
          </w:divBdr>
        </w:div>
        <w:div w:id="577594418">
          <w:marLeft w:val="0"/>
          <w:marRight w:val="0"/>
          <w:marTop w:val="0"/>
          <w:marBottom w:val="0"/>
          <w:divBdr>
            <w:top w:val="none" w:sz="0" w:space="0" w:color="auto"/>
            <w:left w:val="none" w:sz="0" w:space="0" w:color="auto"/>
            <w:bottom w:val="none" w:sz="0" w:space="0" w:color="auto"/>
            <w:right w:val="none" w:sz="0" w:space="0" w:color="auto"/>
          </w:divBdr>
        </w:div>
        <w:div w:id="1776556786">
          <w:marLeft w:val="0"/>
          <w:marRight w:val="0"/>
          <w:marTop w:val="0"/>
          <w:marBottom w:val="0"/>
          <w:divBdr>
            <w:top w:val="none" w:sz="0" w:space="0" w:color="auto"/>
            <w:left w:val="none" w:sz="0" w:space="0" w:color="auto"/>
            <w:bottom w:val="none" w:sz="0" w:space="0" w:color="auto"/>
            <w:right w:val="none" w:sz="0" w:space="0" w:color="auto"/>
          </w:divBdr>
        </w:div>
        <w:div w:id="970549564">
          <w:marLeft w:val="0"/>
          <w:marRight w:val="0"/>
          <w:marTop w:val="0"/>
          <w:marBottom w:val="0"/>
          <w:divBdr>
            <w:top w:val="none" w:sz="0" w:space="0" w:color="auto"/>
            <w:left w:val="none" w:sz="0" w:space="0" w:color="auto"/>
            <w:bottom w:val="none" w:sz="0" w:space="0" w:color="auto"/>
            <w:right w:val="none" w:sz="0" w:space="0" w:color="auto"/>
          </w:divBdr>
        </w:div>
        <w:div w:id="1045642634">
          <w:marLeft w:val="0"/>
          <w:marRight w:val="0"/>
          <w:marTop w:val="0"/>
          <w:marBottom w:val="0"/>
          <w:divBdr>
            <w:top w:val="none" w:sz="0" w:space="0" w:color="auto"/>
            <w:left w:val="none" w:sz="0" w:space="0" w:color="auto"/>
            <w:bottom w:val="none" w:sz="0" w:space="0" w:color="auto"/>
            <w:right w:val="none" w:sz="0" w:space="0" w:color="auto"/>
          </w:divBdr>
        </w:div>
        <w:div w:id="1704398531">
          <w:marLeft w:val="0"/>
          <w:marRight w:val="0"/>
          <w:marTop w:val="0"/>
          <w:marBottom w:val="0"/>
          <w:divBdr>
            <w:top w:val="none" w:sz="0" w:space="0" w:color="auto"/>
            <w:left w:val="none" w:sz="0" w:space="0" w:color="auto"/>
            <w:bottom w:val="none" w:sz="0" w:space="0" w:color="auto"/>
            <w:right w:val="none" w:sz="0" w:space="0" w:color="auto"/>
          </w:divBdr>
        </w:div>
        <w:div w:id="1823816515">
          <w:marLeft w:val="0"/>
          <w:marRight w:val="0"/>
          <w:marTop w:val="0"/>
          <w:marBottom w:val="0"/>
          <w:divBdr>
            <w:top w:val="none" w:sz="0" w:space="0" w:color="auto"/>
            <w:left w:val="none" w:sz="0" w:space="0" w:color="auto"/>
            <w:bottom w:val="none" w:sz="0" w:space="0" w:color="auto"/>
            <w:right w:val="none" w:sz="0" w:space="0" w:color="auto"/>
          </w:divBdr>
        </w:div>
        <w:div w:id="480655260">
          <w:marLeft w:val="0"/>
          <w:marRight w:val="0"/>
          <w:marTop w:val="0"/>
          <w:marBottom w:val="0"/>
          <w:divBdr>
            <w:top w:val="none" w:sz="0" w:space="0" w:color="auto"/>
            <w:left w:val="none" w:sz="0" w:space="0" w:color="auto"/>
            <w:bottom w:val="none" w:sz="0" w:space="0" w:color="auto"/>
            <w:right w:val="none" w:sz="0" w:space="0" w:color="auto"/>
          </w:divBdr>
        </w:div>
        <w:div w:id="1912961022">
          <w:marLeft w:val="0"/>
          <w:marRight w:val="0"/>
          <w:marTop w:val="0"/>
          <w:marBottom w:val="0"/>
          <w:divBdr>
            <w:top w:val="none" w:sz="0" w:space="0" w:color="auto"/>
            <w:left w:val="none" w:sz="0" w:space="0" w:color="auto"/>
            <w:bottom w:val="none" w:sz="0" w:space="0" w:color="auto"/>
            <w:right w:val="none" w:sz="0" w:space="0" w:color="auto"/>
          </w:divBdr>
        </w:div>
        <w:div w:id="155534372">
          <w:marLeft w:val="0"/>
          <w:marRight w:val="0"/>
          <w:marTop w:val="0"/>
          <w:marBottom w:val="0"/>
          <w:divBdr>
            <w:top w:val="none" w:sz="0" w:space="0" w:color="auto"/>
            <w:left w:val="none" w:sz="0" w:space="0" w:color="auto"/>
            <w:bottom w:val="none" w:sz="0" w:space="0" w:color="auto"/>
            <w:right w:val="none" w:sz="0" w:space="0" w:color="auto"/>
          </w:divBdr>
        </w:div>
        <w:div w:id="1050305024">
          <w:marLeft w:val="0"/>
          <w:marRight w:val="0"/>
          <w:marTop w:val="0"/>
          <w:marBottom w:val="0"/>
          <w:divBdr>
            <w:top w:val="none" w:sz="0" w:space="0" w:color="auto"/>
            <w:left w:val="none" w:sz="0" w:space="0" w:color="auto"/>
            <w:bottom w:val="none" w:sz="0" w:space="0" w:color="auto"/>
            <w:right w:val="none" w:sz="0" w:space="0" w:color="auto"/>
          </w:divBdr>
        </w:div>
        <w:div w:id="1095711151">
          <w:marLeft w:val="0"/>
          <w:marRight w:val="0"/>
          <w:marTop w:val="0"/>
          <w:marBottom w:val="0"/>
          <w:divBdr>
            <w:top w:val="none" w:sz="0" w:space="0" w:color="auto"/>
            <w:left w:val="none" w:sz="0" w:space="0" w:color="auto"/>
            <w:bottom w:val="none" w:sz="0" w:space="0" w:color="auto"/>
            <w:right w:val="none" w:sz="0" w:space="0" w:color="auto"/>
          </w:divBdr>
        </w:div>
        <w:div w:id="407921851">
          <w:marLeft w:val="0"/>
          <w:marRight w:val="0"/>
          <w:marTop w:val="0"/>
          <w:marBottom w:val="0"/>
          <w:divBdr>
            <w:top w:val="none" w:sz="0" w:space="0" w:color="auto"/>
            <w:left w:val="none" w:sz="0" w:space="0" w:color="auto"/>
            <w:bottom w:val="none" w:sz="0" w:space="0" w:color="auto"/>
            <w:right w:val="none" w:sz="0" w:space="0" w:color="auto"/>
          </w:divBdr>
        </w:div>
        <w:div w:id="180630141">
          <w:marLeft w:val="0"/>
          <w:marRight w:val="0"/>
          <w:marTop w:val="0"/>
          <w:marBottom w:val="0"/>
          <w:divBdr>
            <w:top w:val="none" w:sz="0" w:space="0" w:color="auto"/>
            <w:left w:val="none" w:sz="0" w:space="0" w:color="auto"/>
            <w:bottom w:val="none" w:sz="0" w:space="0" w:color="auto"/>
            <w:right w:val="none" w:sz="0" w:space="0" w:color="auto"/>
          </w:divBdr>
        </w:div>
        <w:div w:id="2050714601">
          <w:marLeft w:val="0"/>
          <w:marRight w:val="0"/>
          <w:marTop w:val="0"/>
          <w:marBottom w:val="0"/>
          <w:divBdr>
            <w:top w:val="none" w:sz="0" w:space="0" w:color="auto"/>
            <w:left w:val="none" w:sz="0" w:space="0" w:color="auto"/>
            <w:bottom w:val="none" w:sz="0" w:space="0" w:color="auto"/>
            <w:right w:val="none" w:sz="0" w:space="0" w:color="auto"/>
          </w:divBdr>
        </w:div>
        <w:div w:id="1642079156">
          <w:marLeft w:val="0"/>
          <w:marRight w:val="0"/>
          <w:marTop w:val="0"/>
          <w:marBottom w:val="0"/>
          <w:divBdr>
            <w:top w:val="none" w:sz="0" w:space="0" w:color="auto"/>
            <w:left w:val="none" w:sz="0" w:space="0" w:color="auto"/>
            <w:bottom w:val="none" w:sz="0" w:space="0" w:color="auto"/>
            <w:right w:val="none" w:sz="0" w:space="0" w:color="auto"/>
          </w:divBdr>
        </w:div>
        <w:div w:id="1207641483">
          <w:marLeft w:val="0"/>
          <w:marRight w:val="0"/>
          <w:marTop w:val="0"/>
          <w:marBottom w:val="0"/>
          <w:divBdr>
            <w:top w:val="none" w:sz="0" w:space="0" w:color="auto"/>
            <w:left w:val="none" w:sz="0" w:space="0" w:color="auto"/>
            <w:bottom w:val="none" w:sz="0" w:space="0" w:color="auto"/>
            <w:right w:val="none" w:sz="0" w:space="0" w:color="auto"/>
          </w:divBdr>
        </w:div>
        <w:div w:id="1733112383">
          <w:marLeft w:val="0"/>
          <w:marRight w:val="0"/>
          <w:marTop w:val="0"/>
          <w:marBottom w:val="0"/>
          <w:divBdr>
            <w:top w:val="none" w:sz="0" w:space="0" w:color="auto"/>
            <w:left w:val="none" w:sz="0" w:space="0" w:color="auto"/>
            <w:bottom w:val="none" w:sz="0" w:space="0" w:color="auto"/>
            <w:right w:val="none" w:sz="0" w:space="0" w:color="auto"/>
          </w:divBdr>
        </w:div>
        <w:div w:id="552427586">
          <w:marLeft w:val="0"/>
          <w:marRight w:val="0"/>
          <w:marTop w:val="0"/>
          <w:marBottom w:val="0"/>
          <w:divBdr>
            <w:top w:val="none" w:sz="0" w:space="0" w:color="auto"/>
            <w:left w:val="none" w:sz="0" w:space="0" w:color="auto"/>
            <w:bottom w:val="none" w:sz="0" w:space="0" w:color="auto"/>
            <w:right w:val="none" w:sz="0" w:space="0" w:color="auto"/>
          </w:divBdr>
        </w:div>
        <w:div w:id="1997760585">
          <w:marLeft w:val="0"/>
          <w:marRight w:val="0"/>
          <w:marTop w:val="0"/>
          <w:marBottom w:val="0"/>
          <w:divBdr>
            <w:top w:val="none" w:sz="0" w:space="0" w:color="auto"/>
            <w:left w:val="none" w:sz="0" w:space="0" w:color="auto"/>
            <w:bottom w:val="none" w:sz="0" w:space="0" w:color="auto"/>
            <w:right w:val="none" w:sz="0" w:space="0" w:color="auto"/>
          </w:divBdr>
        </w:div>
        <w:div w:id="1357779179">
          <w:marLeft w:val="0"/>
          <w:marRight w:val="0"/>
          <w:marTop w:val="0"/>
          <w:marBottom w:val="0"/>
          <w:divBdr>
            <w:top w:val="none" w:sz="0" w:space="0" w:color="auto"/>
            <w:left w:val="none" w:sz="0" w:space="0" w:color="auto"/>
            <w:bottom w:val="none" w:sz="0" w:space="0" w:color="auto"/>
            <w:right w:val="none" w:sz="0" w:space="0" w:color="auto"/>
          </w:divBdr>
        </w:div>
        <w:div w:id="231895514">
          <w:marLeft w:val="0"/>
          <w:marRight w:val="0"/>
          <w:marTop w:val="0"/>
          <w:marBottom w:val="0"/>
          <w:divBdr>
            <w:top w:val="none" w:sz="0" w:space="0" w:color="auto"/>
            <w:left w:val="none" w:sz="0" w:space="0" w:color="auto"/>
            <w:bottom w:val="none" w:sz="0" w:space="0" w:color="auto"/>
            <w:right w:val="none" w:sz="0" w:space="0" w:color="auto"/>
          </w:divBdr>
        </w:div>
        <w:div w:id="1605383531">
          <w:marLeft w:val="0"/>
          <w:marRight w:val="0"/>
          <w:marTop w:val="0"/>
          <w:marBottom w:val="0"/>
          <w:divBdr>
            <w:top w:val="none" w:sz="0" w:space="0" w:color="auto"/>
            <w:left w:val="none" w:sz="0" w:space="0" w:color="auto"/>
            <w:bottom w:val="none" w:sz="0" w:space="0" w:color="auto"/>
            <w:right w:val="none" w:sz="0" w:space="0" w:color="auto"/>
          </w:divBdr>
        </w:div>
        <w:div w:id="1740904825">
          <w:marLeft w:val="0"/>
          <w:marRight w:val="0"/>
          <w:marTop w:val="0"/>
          <w:marBottom w:val="0"/>
          <w:divBdr>
            <w:top w:val="none" w:sz="0" w:space="0" w:color="auto"/>
            <w:left w:val="none" w:sz="0" w:space="0" w:color="auto"/>
            <w:bottom w:val="none" w:sz="0" w:space="0" w:color="auto"/>
            <w:right w:val="none" w:sz="0" w:space="0" w:color="auto"/>
          </w:divBdr>
        </w:div>
        <w:div w:id="1449155336">
          <w:marLeft w:val="0"/>
          <w:marRight w:val="0"/>
          <w:marTop w:val="0"/>
          <w:marBottom w:val="0"/>
          <w:divBdr>
            <w:top w:val="none" w:sz="0" w:space="0" w:color="auto"/>
            <w:left w:val="none" w:sz="0" w:space="0" w:color="auto"/>
            <w:bottom w:val="none" w:sz="0" w:space="0" w:color="auto"/>
            <w:right w:val="none" w:sz="0" w:space="0" w:color="auto"/>
          </w:divBdr>
        </w:div>
        <w:div w:id="1994291951">
          <w:marLeft w:val="0"/>
          <w:marRight w:val="0"/>
          <w:marTop w:val="0"/>
          <w:marBottom w:val="0"/>
          <w:divBdr>
            <w:top w:val="none" w:sz="0" w:space="0" w:color="auto"/>
            <w:left w:val="none" w:sz="0" w:space="0" w:color="auto"/>
            <w:bottom w:val="none" w:sz="0" w:space="0" w:color="auto"/>
            <w:right w:val="none" w:sz="0" w:space="0" w:color="auto"/>
          </w:divBdr>
        </w:div>
        <w:div w:id="1170632007">
          <w:marLeft w:val="0"/>
          <w:marRight w:val="0"/>
          <w:marTop w:val="0"/>
          <w:marBottom w:val="0"/>
          <w:divBdr>
            <w:top w:val="none" w:sz="0" w:space="0" w:color="auto"/>
            <w:left w:val="none" w:sz="0" w:space="0" w:color="auto"/>
            <w:bottom w:val="none" w:sz="0" w:space="0" w:color="auto"/>
            <w:right w:val="none" w:sz="0" w:space="0" w:color="auto"/>
          </w:divBdr>
        </w:div>
        <w:div w:id="1597592842">
          <w:marLeft w:val="0"/>
          <w:marRight w:val="0"/>
          <w:marTop w:val="0"/>
          <w:marBottom w:val="0"/>
          <w:divBdr>
            <w:top w:val="none" w:sz="0" w:space="0" w:color="auto"/>
            <w:left w:val="none" w:sz="0" w:space="0" w:color="auto"/>
            <w:bottom w:val="none" w:sz="0" w:space="0" w:color="auto"/>
            <w:right w:val="none" w:sz="0" w:space="0" w:color="auto"/>
          </w:divBdr>
        </w:div>
        <w:div w:id="1972709859">
          <w:marLeft w:val="0"/>
          <w:marRight w:val="0"/>
          <w:marTop w:val="0"/>
          <w:marBottom w:val="0"/>
          <w:divBdr>
            <w:top w:val="none" w:sz="0" w:space="0" w:color="auto"/>
            <w:left w:val="none" w:sz="0" w:space="0" w:color="auto"/>
            <w:bottom w:val="none" w:sz="0" w:space="0" w:color="auto"/>
            <w:right w:val="none" w:sz="0" w:space="0" w:color="auto"/>
          </w:divBdr>
        </w:div>
        <w:div w:id="169876266">
          <w:marLeft w:val="0"/>
          <w:marRight w:val="0"/>
          <w:marTop w:val="0"/>
          <w:marBottom w:val="0"/>
          <w:divBdr>
            <w:top w:val="none" w:sz="0" w:space="0" w:color="auto"/>
            <w:left w:val="none" w:sz="0" w:space="0" w:color="auto"/>
            <w:bottom w:val="none" w:sz="0" w:space="0" w:color="auto"/>
            <w:right w:val="none" w:sz="0" w:space="0" w:color="auto"/>
          </w:divBdr>
        </w:div>
        <w:div w:id="895508350">
          <w:marLeft w:val="0"/>
          <w:marRight w:val="0"/>
          <w:marTop w:val="0"/>
          <w:marBottom w:val="0"/>
          <w:divBdr>
            <w:top w:val="none" w:sz="0" w:space="0" w:color="auto"/>
            <w:left w:val="none" w:sz="0" w:space="0" w:color="auto"/>
            <w:bottom w:val="none" w:sz="0" w:space="0" w:color="auto"/>
            <w:right w:val="none" w:sz="0" w:space="0" w:color="auto"/>
          </w:divBdr>
        </w:div>
        <w:div w:id="193810893">
          <w:marLeft w:val="0"/>
          <w:marRight w:val="0"/>
          <w:marTop w:val="0"/>
          <w:marBottom w:val="0"/>
          <w:divBdr>
            <w:top w:val="none" w:sz="0" w:space="0" w:color="auto"/>
            <w:left w:val="none" w:sz="0" w:space="0" w:color="auto"/>
            <w:bottom w:val="none" w:sz="0" w:space="0" w:color="auto"/>
            <w:right w:val="none" w:sz="0" w:space="0" w:color="auto"/>
          </w:divBdr>
        </w:div>
        <w:div w:id="1347246582">
          <w:marLeft w:val="0"/>
          <w:marRight w:val="0"/>
          <w:marTop w:val="0"/>
          <w:marBottom w:val="0"/>
          <w:divBdr>
            <w:top w:val="none" w:sz="0" w:space="0" w:color="auto"/>
            <w:left w:val="none" w:sz="0" w:space="0" w:color="auto"/>
            <w:bottom w:val="none" w:sz="0" w:space="0" w:color="auto"/>
            <w:right w:val="none" w:sz="0" w:space="0" w:color="auto"/>
          </w:divBdr>
        </w:div>
        <w:div w:id="1720932974">
          <w:marLeft w:val="0"/>
          <w:marRight w:val="0"/>
          <w:marTop w:val="0"/>
          <w:marBottom w:val="0"/>
          <w:divBdr>
            <w:top w:val="none" w:sz="0" w:space="0" w:color="auto"/>
            <w:left w:val="none" w:sz="0" w:space="0" w:color="auto"/>
            <w:bottom w:val="none" w:sz="0" w:space="0" w:color="auto"/>
            <w:right w:val="none" w:sz="0" w:space="0" w:color="auto"/>
          </w:divBdr>
        </w:div>
        <w:div w:id="1266383819">
          <w:marLeft w:val="0"/>
          <w:marRight w:val="0"/>
          <w:marTop w:val="0"/>
          <w:marBottom w:val="0"/>
          <w:divBdr>
            <w:top w:val="none" w:sz="0" w:space="0" w:color="auto"/>
            <w:left w:val="none" w:sz="0" w:space="0" w:color="auto"/>
            <w:bottom w:val="none" w:sz="0" w:space="0" w:color="auto"/>
            <w:right w:val="none" w:sz="0" w:space="0" w:color="auto"/>
          </w:divBdr>
        </w:div>
        <w:div w:id="8939333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onlinelibrary.wiley.com/doi/full/10.1111/acer.14042" TargetMode="External"/><Relationship Id="rId21" Type="http://schemas.openxmlformats.org/officeDocument/2006/relationships/hyperlink" Target="https://onlinelibrary.wiley.com/doi/full/10.1111/acer.14042" TargetMode="External"/><Relationship Id="rId42" Type="http://schemas.openxmlformats.org/officeDocument/2006/relationships/hyperlink" Target="https://onlinelibrary.wiley.com/doi/full/10.1111/acer.14042" TargetMode="External"/><Relationship Id="rId63" Type="http://schemas.openxmlformats.org/officeDocument/2006/relationships/hyperlink" Target="https://onlinelibrary.wiley.com/doi/full/10.1111/acer.14042" TargetMode="External"/><Relationship Id="rId84" Type="http://schemas.openxmlformats.org/officeDocument/2006/relationships/hyperlink" Target="https://onlinelibrary.wiley.com/doi/full/10.1111/acer.14042" TargetMode="External"/><Relationship Id="rId138" Type="http://schemas.openxmlformats.org/officeDocument/2006/relationships/hyperlink" Target="https://onlinelibrary.wiley.com/doi/full/10.1111/acer.14042" TargetMode="External"/><Relationship Id="rId159" Type="http://schemas.openxmlformats.org/officeDocument/2006/relationships/hyperlink" Target="https://onlinelibrary.wiley.com/doi/full/10.1111/acer.14042" TargetMode="External"/><Relationship Id="rId170" Type="http://schemas.openxmlformats.org/officeDocument/2006/relationships/hyperlink" Target="https://onlinelibrary.wiley.com/doi/full/10.1111/acer.14042" TargetMode="External"/><Relationship Id="rId107" Type="http://schemas.openxmlformats.org/officeDocument/2006/relationships/hyperlink" Target="https://onlinelibrary.wiley.com/doi/full/10.1111/acer.14042" TargetMode="External"/><Relationship Id="rId11" Type="http://schemas.openxmlformats.org/officeDocument/2006/relationships/hyperlink" Target="https://onlinelibrary.wiley.com/doi/full/10.1111/acer.14042" TargetMode="External"/><Relationship Id="rId32" Type="http://schemas.openxmlformats.org/officeDocument/2006/relationships/hyperlink" Target="https://onlinelibrary.wiley.com/doi/full/10.1111/acer.14042" TargetMode="External"/><Relationship Id="rId53" Type="http://schemas.openxmlformats.org/officeDocument/2006/relationships/hyperlink" Target="https://onlinelibrary.wiley.com/doi/full/10.1111/acer.14042" TargetMode="External"/><Relationship Id="rId74" Type="http://schemas.openxmlformats.org/officeDocument/2006/relationships/hyperlink" Target="https://onlinelibrary.wiley.com/doi/full/10.1111/acer.14042" TargetMode="External"/><Relationship Id="rId128" Type="http://schemas.openxmlformats.org/officeDocument/2006/relationships/hyperlink" Target="https://onlinelibrary.wiley.com/doi/full/10.1111/acer.14042" TargetMode="External"/><Relationship Id="rId149" Type="http://schemas.openxmlformats.org/officeDocument/2006/relationships/hyperlink" Target="https://onlinelibrary.wiley.com/doi/full/10.1111/acer.14042" TargetMode="External"/><Relationship Id="rId5" Type="http://schemas.openxmlformats.org/officeDocument/2006/relationships/styles" Target="styles.xml"/><Relationship Id="rId95" Type="http://schemas.openxmlformats.org/officeDocument/2006/relationships/hyperlink" Target="https://onlinelibrary.wiley.com/doi/full/10.1111/acer.14042" TargetMode="External"/><Relationship Id="rId160" Type="http://schemas.openxmlformats.org/officeDocument/2006/relationships/hyperlink" Target="https://onlinelibrary.wiley.com/doi/full/10.1111/acer.14042" TargetMode="External"/><Relationship Id="rId22" Type="http://schemas.openxmlformats.org/officeDocument/2006/relationships/hyperlink" Target="https://onlinelibrary.wiley.com/doi/full/10.1111/acer.14042" TargetMode="External"/><Relationship Id="rId43" Type="http://schemas.openxmlformats.org/officeDocument/2006/relationships/hyperlink" Target="https://onlinelibrary.wiley.com/doi/full/10.1111/acer.14042" TargetMode="External"/><Relationship Id="rId64" Type="http://schemas.openxmlformats.org/officeDocument/2006/relationships/hyperlink" Target="https://onlinelibrary.wiley.com/doi/full/10.1111/acer.14042" TargetMode="External"/><Relationship Id="rId118" Type="http://schemas.openxmlformats.org/officeDocument/2006/relationships/hyperlink" Target="https://onlinelibrary.wiley.com/doi/full/10.1111/acer.14042" TargetMode="External"/><Relationship Id="rId139" Type="http://schemas.openxmlformats.org/officeDocument/2006/relationships/hyperlink" Target="https://onlinelibrary.wiley.com/doi/full/10.1111/acer.14042" TargetMode="External"/><Relationship Id="rId85" Type="http://schemas.openxmlformats.org/officeDocument/2006/relationships/hyperlink" Target="https://onlinelibrary.wiley.com/doi/full/10.1111/acer.14042" TargetMode="External"/><Relationship Id="rId150" Type="http://schemas.openxmlformats.org/officeDocument/2006/relationships/hyperlink" Target="https://onlinelibrary.wiley.com/doi/full/10.1111/acer.14042" TargetMode="External"/><Relationship Id="rId171" Type="http://schemas.openxmlformats.org/officeDocument/2006/relationships/hyperlink" Target="https://onlinelibrary.wiley.com/doi/full/10.1111/acer.14042" TargetMode="External"/><Relationship Id="rId12" Type="http://schemas.openxmlformats.org/officeDocument/2006/relationships/hyperlink" Target="https://onlinelibrary.wiley.com/doi/full/10.1111/acer.14042" TargetMode="External"/><Relationship Id="rId33" Type="http://schemas.openxmlformats.org/officeDocument/2006/relationships/hyperlink" Target="https://onlinelibrary.wiley.com/doi/full/10.1111/acer.14042" TargetMode="External"/><Relationship Id="rId108" Type="http://schemas.openxmlformats.org/officeDocument/2006/relationships/hyperlink" Target="https://onlinelibrary.wiley.com/doi/full/10.1111/acer.14042" TargetMode="External"/><Relationship Id="rId129" Type="http://schemas.openxmlformats.org/officeDocument/2006/relationships/hyperlink" Target="https://onlinelibrary.wiley.com/doi/full/10.1111/acer.14042" TargetMode="External"/><Relationship Id="rId54" Type="http://schemas.openxmlformats.org/officeDocument/2006/relationships/hyperlink" Target="https://onlinelibrary.wiley.com/doi/full/10.1111/acer.14042" TargetMode="External"/><Relationship Id="rId75" Type="http://schemas.openxmlformats.org/officeDocument/2006/relationships/hyperlink" Target="https://onlinelibrary.wiley.com/doi/full/10.1111/acer.14042" TargetMode="External"/><Relationship Id="rId96" Type="http://schemas.openxmlformats.org/officeDocument/2006/relationships/image" Target="media/image6.png"/><Relationship Id="rId140" Type="http://schemas.openxmlformats.org/officeDocument/2006/relationships/hyperlink" Target="https://onlinelibrary.wiley.com/doi/full/10.1111/acer.14042" TargetMode="External"/><Relationship Id="rId161" Type="http://schemas.openxmlformats.org/officeDocument/2006/relationships/hyperlink" Target="https://onlinelibrary.wiley.com/doi/full/10.1111/acer.14042" TargetMode="External"/><Relationship Id="rId6" Type="http://schemas.openxmlformats.org/officeDocument/2006/relationships/settings" Target="settings.xml"/><Relationship Id="rId23" Type="http://schemas.openxmlformats.org/officeDocument/2006/relationships/hyperlink" Target="https://onlinelibrary.wiley.com/doi/full/10.1111/acer.14042" TargetMode="External"/><Relationship Id="rId28" Type="http://schemas.openxmlformats.org/officeDocument/2006/relationships/hyperlink" Target="https://onlinelibrary.wiley.com/doi/full/10.1111/acer.14042" TargetMode="External"/><Relationship Id="rId49" Type="http://schemas.openxmlformats.org/officeDocument/2006/relationships/hyperlink" Target="https://onlinelibrary.wiley.com/doi/full/10.1111/acer.14042" TargetMode="External"/><Relationship Id="rId114" Type="http://schemas.openxmlformats.org/officeDocument/2006/relationships/hyperlink" Target="https://onlinelibrary.wiley.com/doi/full/10.1111/acer.14042" TargetMode="External"/><Relationship Id="rId119" Type="http://schemas.openxmlformats.org/officeDocument/2006/relationships/hyperlink" Target="https://onlinelibrary.wiley.com/doi/full/10.1111/acer.14042" TargetMode="External"/><Relationship Id="rId44" Type="http://schemas.openxmlformats.org/officeDocument/2006/relationships/hyperlink" Target="https://onlinelibrary.wiley.com/doi/full/10.1111/acer.14042" TargetMode="External"/><Relationship Id="rId60" Type="http://schemas.openxmlformats.org/officeDocument/2006/relationships/hyperlink" Target="https://onlinelibrary.wiley.com/doi/full/10.1111/acer.14042" TargetMode="External"/><Relationship Id="rId65" Type="http://schemas.openxmlformats.org/officeDocument/2006/relationships/hyperlink" Target="https://onlinelibrary.wiley.com/doi/full/10.1111/acer.14042" TargetMode="External"/><Relationship Id="rId81" Type="http://schemas.openxmlformats.org/officeDocument/2006/relationships/hyperlink" Target="https://onlinelibrary.wiley.com/doi/full/10.1111/acer.14042" TargetMode="External"/><Relationship Id="rId86" Type="http://schemas.openxmlformats.org/officeDocument/2006/relationships/hyperlink" Target="https://onlinelibrary.wiley.com/doi/full/10.1111/acer.14042" TargetMode="External"/><Relationship Id="rId130" Type="http://schemas.openxmlformats.org/officeDocument/2006/relationships/hyperlink" Target="https://onlinelibrary.wiley.com/doi/full/10.1111/acer.14042" TargetMode="External"/><Relationship Id="rId135" Type="http://schemas.openxmlformats.org/officeDocument/2006/relationships/hyperlink" Target="https://onlinelibrary.wiley.com/doi/full/10.1111/acer.14042" TargetMode="External"/><Relationship Id="rId151" Type="http://schemas.openxmlformats.org/officeDocument/2006/relationships/hyperlink" Target="https://onlinelibrary.wiley.com/doi/full/10.1111/acer.14042" TargetMode="External"/><Relationship Id="rId156" Type="http://schemas.openxmlformats.org/officeDocument/2006/relationships/hyperlink" Target="https://onlinelibrary.wiley.com/doi/full/10.1111/acer.14042" TargetMode="External"/><Relationship Id="rId177" Type="http://schemas.openxmlformats.org/officeDocument/2006/relationships/hyperlink" Target="https://onlinelibrary.wiley.com/doi/full/10.1111/acer.14042" TargetMode="External"/><Relationship Id="rId172" Type="http://schemas.openxmlformats.org/officeDocument/2006/relationships/hyperlink" Target="https://onlinelibrary.wiley.com/doi/full/10.1111/acer.14042" TargetMode="External"/><Relationship Id="rId13" Type="http://schemas.openxmlformats.org/officeDocument/2006/relationships/hyperlink" Target="https://onlinelibrary.wiley.com/doi/full/10.1111/acer.14042" TargetMode="External"/><Relationship Id="rId18" Type="http://schemas.openxmlformats.org/officeDocument/2006/relationships/hyperlink" Target="https://onlinelibrary.wiley.com/doi/full/10.1111/acer.14042" TargetMode="External"/><Relationship Id="rId39" Type="http://schemas.openxmlformats.org/officeDocument/2006/relationships/hyperlink" Target="https://onlinelibrary.wiley.com/doi/full/10.1111/acer.14042" TargetMode="External"/><Relationship Id="rId109" Type="http://schemas.openxmlformats.org/officeDocument/2006/relationships/hyperlink" Target="https://onlinelibrary.wiley.com/doi/full/10.1111/acer.14042" TargetMode="External"/><Relationship Id="rId34" Type="http://schemas.openxmlformats.org/officeDocument/2006/relationships/hyperlink" Target="https://onlinelibrary.wiley.com/doi/full/10.1111/acer.14042" TargetMode="External"/><Relationship Id="rId50" Type="http://schemas.openxmlformats.org/officeDocument/2006/relationships/hyperlink" Target="https://onlinelibrary.wiley.com/doi/full/10.1111/acer.14042" TargetMode="External"/><Relationship Id="rId55" Type="http://schemas.openxmlformats.org/officeDocument/2006/relationships/hyperlink" Target="https://onlinelibrary.wiley.com/doi/full/10.1111/acer.14042" TargetMode="External"/><Relationship Id="rId76" Type="http://schemas.openxmlformats.org/officeDocument/2006/relationships/hyperlink" Target="https://onlinelibrary.wiley.com/doi/full/10.1111/acer.14042" TargetMode="External"/><Relationship Id="rId97" Type="http://schemas.openxmlformats.org/officeDocument/2006/relationships/hyperlink" Target="https://onlinelibrary.wiley.com/doi/full/10.1111/acer.14042" TargetMode="External"/><Relationship Id="rId104" Type="http://schemas.openxmlformats.org/officeDocument/2006/relationships/hyperlink" Target="https://onlinelibrary.wiley.com/doi/full/10.1111/acer.14042" TargetMode="External"/><Relationship Id="rId120" Type="http://schemas.openxmlformats.org/officeDocument/2006/relationships/hyperlink" Target="https://onlinelibrary.wiley.com/doi/full/10.1111/acer.14042" TargetMode="External"/><Relationship Id="rId125" Type="http://schemas.openxmlformats.org/officeDocument/2006/relationships/hyperlink" Target="https://onlinelibrary.wiley.com/doi/full/10.1111/acer.14042" TargetMode="External"/><Relationship Id="rId141" Type="http://schemas.openxmlformats.org/officeDocument/2006/relationships/hyperlink" Target="https://onlinelibrary.wiley.com/doi/full/10.1111/acer.14042" TargetMode="External"/><Relationship Id="rId146" Type="http://schemas.openxmlformats.org/officeDocument/2006/relationships/hyperlink" Target="https://onlinelibrary.wiley.com/doi/full/10.1111/acer.14042" TargetMode="External"/><Relationship Id="rId167" Type="http://schemas.openxmlformats.org/officeDocument/2006/relationships/hyperlink" Target="https://onlinelibrary.wiley.com/doi/full/10.1111/acer.14042" TargetMode="External"/><Relationship Id="rId7" Type="http://schemas.openxmlformats.org/officeDocument/2006/relationships/webSettings" Target="webSettings.xml"/><Relationship Id="rId71" Type="http://schemas.openxmlformats.org/officeDocument/2006/relationships/hyperlink" Target="https://onlinelibrary.wiley.com/doi/full/10.1111/acer.14042" TargetMode="External"/><Relationship Id="rId92" Type="http://schemas.openxmlformats.org/officeDocument/2006/relationships/image" Target="media/image4.png"/><Relationship Id="rId162" Type="http://schemas.openxmlformats.org/officeDocument/2006/relationships/hyperlink" Target="https://onlinelibrary.wiley.com/doi/full/10.1111/acer.14042" TargetMode="External"/><Relationship Id="rId2" Type="http://schemas.openxmlformats.org/officeDocument/2006/relationships/customXml" Target="../customXml/item2.xml"/><Relationship Id="rId29" Type="http://schemas.openxmlformats.org/officeDocument/2006/relationships/hyperlink" Target="https://onlinelibrary.wiley.com/doi/full/10.1111/acer.14042" TargetMode="External"/><Relationship Id="rId24" Type="http://schemas.openxmlformats.org/officeDocument/2006/relationships/hyperlink" Target="https://onlinelibrary.wiley.com/doi/full/10.1111/acer.14042" TargetMode="External"/><Relationship Id="rId40" Type="http://schemas.openxmlformats.org/officeDocument/2006/relationships/hyperlink" Target="https://onlinelibrary.wiley.com/doi/full/10.1111/acer.14042" TargetMode="External"/><Relationship Id="rId45" Type="http://schemas.openxmlformats.org/officeDocument/2006/relationships/hyperlink" Target="https://onlinelibrary.wiley.com/doi/full/10.1111/acer.14042" TargetMode="External"/><Relationship Id="rId66" Type="http://schemas.openxmlformats.org/officeDocument/2006/relationships/hyperlink" Target="https://onlinelibrary.wiley.com/doi/full/10.1111/acer.14042" TargetMode="External"/><Relationship Id="rId87" Type="http://schemas.openxmlformats.org/officeDocument/2006/relationships/image" Target="media/image3.png"/><Relationship Id="rId110" Type="http://schemas.openxmlformats.org/officeDocument/2006/relationships/hyperlink" Target="https://onlinelibrary.wiley.com/doi/full/10.1111/acer.14042" TargetMode="External"/><Relationship Id="rId115" Type="http://schemas.openxmlformats.org/officeDocument/2006/relationships/hyperlink" Target="https://onlinelibrary.wiley.com/doi/full/10.1111/acer.14042" TargetMode="External"/><Relationship Id="rId131" Type="http://schemas.openxmlformats.org/officeDocument/2006/relationships/hyperlink" Target="https://onlinelibrary.wiley.com/doi/full/10.1111/acer.14042" TargetMode="External"/><Relationship Id="rId136" Type="http://schemas.openxmlformats.org/officeDocument/2006/relationships/hyperlink" Target="https://onlinelibrary.wiley.com/doi/full/10.1111/acer.14042" TargetMode="External"/><Relationship Id="rId157" Type="http://schemas.openxmlformats.org/officeDocument/2006/relationships/hyperlink" Target="https://onlinelibrary.wiley.com/doi/full/10.1111/acer.14042" TargetMode="External"/><Relationship Id="rId178" Type="http://schemas.openxmlformats.org/officeDocument/2006/relationships/hyperlink" Target="https://doi.org/10.1007/s11064-019-02750-3" TargetMode="External"/><Relationship Id="rId61" Type="http://schemas.openxmlformats.org/officeDocument/2006/relationships/hyperlink" Target="https://onlinelibrary.wiley.com/doi/full/10.1111/acer.14042" TargetMode="External"/><Relationship Id="rId82" Type="http://schemas.openxmlformats.org/officeDocument/2006/relationships/hyperlink" Target="https://onlinelibrary.wiley.com/doi/full/10.1111/acer.14042" TargetMode="External"/><Relationship Id="rId152" Type="http://schemas.openxmlformats.org/officeDocument/2006/relationships/hyperlink" Target="https://onlinelibrary.wiley.com/doi/full/10.1111/acer.14042" TargetMode="External"/><Relationship Id="rId173" Type="http://schemas.openxmlformats.org/officeDocument/2006/relationships/hyperlink" Target="https://onlinelibrary.wiley.com/doi/full/10.1111/acer.14042" TargetMode="External"/><Relationship Id="rId19" Type="http://schemas.openxmlformats.org/officeDocument/2006/relationships/hyperlink" Target="https://onlinelibrary.wiley.com/doi/full/10.1111/acer.14042" TargetMode="External"/><Relationship Id="rId14" Type="http://schemas.openxmlformats.org/officeDocument/2006/relationships/hyperlink" Target="https://onlinelibrary.wiley.com/doi/full/10.1111/acer.14042" TargetMode="External"/><Relationship Id="rId30" Type="http://schemas.openxmlformats.org/officeDocument/2006/relationships/hyperlink" Target="https://onlinelibrary.wiley.com/doi/full/10.1111/acer.14042" TargetMode="External"/><Relationship Id="rId35" Type="http://schemas.openxmlformats.org/officeDocument/2006/relationships/hyperlink" Target="https://onlinelibrary.wiley.com/doi/full/10.1111/acer.14042" TargetMode="External"/><Relationship Id="rId56" Type="http://schemas.openxmlformats.org/officeDocument/2006/relationships/hyperlink" Target="https://onlinelibrary.wiley.com/doi/full/10.1111/acer.14042" TargetMode="External"/><Relationship Id="rId77" Type="http://schemas.openxmlformats.org/officeDocument/2006/relationships/image" Target="media/image1.png"/><Relationship Id="rId100" Type="http://schemas.openxmlformats.org/officeDocument/2006/relationships/hyperlink" Target="https://onlinelibrary.wiley.com/doi/full/10.1111/acer.14042" TargetMode="External"/><Relationship Id="rId105" Type="http://schemas.openxmlformats.org/officeDocument/2006/relationships/hyperlink" Target="https://onlinelibrary.wiley.com/doi/full/10.1111/acer.14042" TargetMode="External"/><Relationship Id="rId126" Type="http://schemas.openxmlformats.org/officeDocument/2006/relationships/hyperlink" Target="https://onlinelibrary.wiley.com/doi/full/10.1111/acer.14042" TargetMode="External"/><Relationship Id="rId147" Type="http://schemas.openxmlformats.org/officeDocument/2006/relationships/hyperlink" Target="https://onlinelibrary.wiley.com/doi/full/10.1111/acer.14042" TargetMode="External"/><Relationship Id="rId168" Type="http://schemas.openxmlformats.org/officeDocument/2006/relationships/hyperlink" Target="https://onlinelibrary.wiley.com/doi/full/10.1111/acer.14042" TargetMode="External"/><Relationship Id="rId8" Type="http://schemas.openxmlformats.org/officeDocument/2006/relationships/hyperlink" Target="https://onlinelibrary.wiley.com/doi/full/10.1111/acer.14042" TargetMode="External"/><Relationship Id="rId51" Type="http://schemas.openxmlformats.org/officeDocument/2006/relationships/hyperlink" Target="https://onlinelibrary.wiley.com/doi/full/10.1111/acer.14042" TargetMode="External"/><Relationship Id="rId72" Type="http://schemas.openxmlformats.org/officeDocument/2006/relationships/hyperlink" Target="https://onlinelibrary.wiley.com/doi/full/10.1111/acer.14042" TargetMode="External"/><Relationship Id="rId93" Type="http://schemas.openxmlformats.org/officeDocument/2006/relationships/hyperlink" Target="https://onlinelibrary.wiley.com/doi/full/10.1111/acer.14042" TargetMode="External"/><Relationship Id="rId98" Type="http://schemas.openxmlformats.org/officeDocument/2006/relationships/image" Target="media/image7.png"/><Relationship Id="rId121" Type="http://schemas.openxmlformats.org/officeDocument/2006/relationships/hyperlink" Target="https://onlinelibrary.wiley.com/doi/full/10.1111/acer.14042" TargetMode="External"/><Relationship Id="rId142" Type="http://schemas.openxmlformats.org/officeDocument/2006/relationships/hyperlink" Target="https://onlinelibrary.wiley.com/doi/full/10.1111/acer.14042" TargetMode="External"/><Relationship Id="rId163" Type="http://schemas.openxmlformats.org/officeDocument/2006/relationships/hyperlink" Target="https://onlinelibrary.wiley.com/doi/full/10.1111/acer.14042" TargetMode="External"/><Relationship Id="rId3" Type="http://schemas.openxmlformats.org/officeDocument/2006/relationships/customXml" Target="../customXml/item3.xml"/><Relationship Id="rId25" Type="http://schemas.openxmlformats.org/officeDocument/2006/relationships/hyperlink" Target="https://onlinelibrary.wiley.com/doi/full/10.1111/acer.14042" TargetMode="External"/><Relationship Id="rId46" Type="http://schemas.openxmlformats.org/officeDocument/2006/relationships/hyperlink" Target="https://onlinelibrary.wiley.com/doi/full/10.1111/acer.14042" TargetMode="External"/><Relationship Id="rId67" Type="http://schemas.openxmlformats.org/officeDocument/2006/relationships/hyperlink" Target="https://onlinelibrary.wiley.com/doi/full/10.1111/acer.14042" TargetMode="External"/><Relationship Id="rId116" Type="http://schemas.openxmlformats.org/officeDocument/2006/relationships/hyperlink" Target="https://onlinelibrary.wiley.com/doi/full/10.1111/acer.14042" TargetMode="External"/><Relationship Id="rId137" Type="http://schemas.openxmlformats.org/officeDocument/2006/relationships/hyperlink" Target="https://onlinelibrary.wiley.com/doi/full/10.1111/acer.14042" TargetMode="External"/><Relationship Id="rId158" Type="http://schemas.openxmlformats.org/officeDocument/2006/relationships/hyperlink" Target="https://onlinelibrary.wiley.com/doi/full/10.1111/acer.14042" TargetMode="External"/><Relationship Id="rId20" Type="http://schemas.openxmlformats.org/officeDocument/2006/relationships/hyperlink" Target="https://onlinelibrary.wiley.com/doi/full/10.1111/acer.14042" TargetMode="External"/><Relationship Id="rId41" Type="http://schemas.openxmlformats.org/officeDocument/2006/relationships/hyperlink" Target="https://onlinelibrary.wiley.com/doi/full/10.1111/acer.14042" TargetMode="External"/><Relationship Id="rId62" Type="http://schemas.openxmlformats.org/officeDocument/2006/relationships/hyperlink" Target="https://onlinelibrary.wiley.com/doi/full/10.1111/acer.14042" TargetMode="External"/><Relationship Id="rId83" Type="http://schemas.openxmlformats.org/officeDocument/2006/relationships/hyperlink" Target="https://onlinelibrary.wiley.com/doi/full/10.1111/acer.14042" TargetMode="External"/><Relationship Id="rId88" Type="http://schemas.openxmlformats.org/officeDocument/2006/relationships/hyperlink" Target="https://onlinelibrary.wiley.com/doi/full/10.1111/acer.14042" TargetMode="External"/><Relationship Id="rId111" Type="http://schemas.openxmlformats.org/officeDocument/2006/relationships/hyperlink" Target="https://onlinelibrary.wiley.com/doi/full/10.1111/acer.14042" TargetMode="External"/><Relationship Id="rId132" Type="http://schemas.openxmlformats.org/officeDocument/2006/relationships/hyperlink" Target="https://onlinelibrary.wiley.com/doi/full/10.1111/acer.14042" TargetMode="External"/><Relationship Id="rId153" Type="http://schemas.openxmlformats.org/officeDocument/2006/relationships/hyperlink" Target="https://onlinelibrary.wiley.com/doi/full/10.1111/acer.14042" TargetMode="External"/><Relationship Id="rId174" Type="http://schemas.openxmlformats.org/officeDocument/2006/relationships/hyperlink" Target="https://onlinelibrary.wiley.com/doi/full/10.1111/acer.14042" TargetMode="External"/><Relationship Id="rId179" Type="http://schemas.openxmlformats.org/officeDocument/2006/relationships/fontTable" Target="fontTable.xml"/><Relationship Id="rId15" Type="http://schemas.openxmlformats.org/officeDocument/2006/relationships/hyperlink" Target="https://onlinelibrary.wiley.com/doi/full/10.1111/acer.14042" TargetMode="External"/><Relationship Id="rId36" Type="http://schemas.openxmlformats.org/officeDocument/2006/relationships/hyperlink" Target="https://onlinelibrary.wiley.com/doi/full/10.1111/acer.14042" TargetMode="External"/><Relationship Id="rId57" Type="http://schemas.openxmlformats.org/officeDocument/2006/relationships/hyperlink" Target="https://onlinelibrary.wiley.com/doi/full/10.1111/acer.14042" TargetMode="External"/><Relationship Id="rId106" Type="http://schemas.openxmlformats.org/officeDocument/2006/relationships/image" Target="media/image8.png"/><Relationship Id="rId127" Type="http://schemas.openxmlformats.org/officeDocument/2006/relationships/hyperlink" Target="https://onlinelibrary.wiley.com/doi/full/10.1111/acer.14042" TargetMode="External"/><Relationship Id="rId10" Type="http://schemas.openxmlformats.org/officeDocument/2006/relationships/hyperlink" Target="https://onlinelibrary.wiley.com/doi/full/10.1111/acer.14042" TargetMode="External"/><Relationship Id="rId31" Type="http://schemas.openxmlformats.org/officeDocument/2006/relationships/hyperlink" Target="https://onlinelibrary.wiley.com/doi/full/10.1111/acer.14042" TargetMode="External"/><Relationship Id="rId52" Type="http://schemas.openxmlformats.org/officeDocument/2006/relationships/hyperlink" Target="https://onlinelibrary.wiley.com/doi/full/10.1111/acer.14042" TargetMode="External"/><Relationship Id="rId73" Type="http://schemas.openxmlformats.org/officeDocument/2006/relationships/hyperlink" Target="https://onlinelibrary.wiley.com/doi/full/10.1111/acer.14042" TargetMode="External"/><Relationship Id="rId78" Type="http://schemas.openxmlformats.org/officeDocument/2006/relationships/hyperlink" Target="https://onlinelibrary.wiley.com/doi/full/10.1111/acer.14042" TargetMode="External"/><Relationship Id="rId94" Type="http://schemas.openxmlformats.org/officeDocument/2006/relationships/image" Target="media/image5.png"/><Relationship Id="rId99" Type="http://schemas.openxmlformats.org/officeDocument/2006/relationships/hyperlink" Target="https://onlinelibrary.wiley.com/doi/full/10.1111/acer.14042" TargetMode="External"/><Relationship Id="rId101" Type="http://schemas.openxmlformats.org/officeDocument/2006/relationships/hyperlink" Target="https://onlinelibrary.wiley.com/doi/full/10.1111/acer.14042" TargetMode="External"/><Relationship Id="rId122" Type="http://schemas.openxmlformats.org/officeDocument/2006/relationships/hyperlink" Target="https://onlinelibrary.wiley.com/doi/full/10.1111/acer.14042" TargetMode="External"/><Relationship Id="rId143" Type="http://schemas.openxmlformats.org/officeDocument/2006/relationships/hyperlink" Target="https://onlinelibrary.wiley.com/doi/full/10.1111/acer.14042" TargetMode="External"/><Relationship Id="rId148" Type="http://schemas.openxmlformats.org/officeDocument/2006/relationships/hyperlink" Target="https://onlinelibrary.wiley.com/doi/full/10.1111/acer.14042" TargetMode="External"/><Relationship Id="rId164" Type="http://schemas.openxmlformats.org/officeDocument/2006/relationships/hyperlink" Target="https://onlinelibrary.wiley.com/doi/full/10.1111/acer.14042" TargetMode="External"/><Relationship Id="rId169" Type="http://schemas.openxmlformats.org/officeDocument/2006/relationships/hyperlink" Target="https://onlinelibrary.wiley.com/doi/full/10.1111/acer.14042"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80" Type="http://schemas.openxmlformats.org/officeDocument/2006/relationships/theme" Target="theme/theme1.xml"/><Relationship Id="rId26" Type="http://schemas.openxmlformats.org/officeDocument/2006/relationships/hyperlink" Target="https://onlinelibrary.wiley.com/doi/full/10.1111/acer.14042" TargetMode="External"/><Relationship Id="rId47" Type="http://schemas.openxmlformats.org/officeDocument/2006/relationships/hyperlink" Target="https://onlinelibrary.wiley.com/doi/full/10.1111/acer.14042" TargetMode="External"/><Relationship Id="rId68" Type="http://schemas.openxmlformats.org/officeDocument/2006/relationships/hyperlink" Target="https://onlinelibrary.wiley.com/doi/full/10.1111/acer.14042" TargetMode="External"/><Relationship Id="rId89" Type="http://schemas.openxmlformats.org/officeDocument/2006/relationships/hyperlink" Target="https://onlinelibrary.wiley.com/doi/full/10.1111/acer.14042" TargetMode="External"/><Relationship Id="rId112" Type="http://schemas.openxmlformats.org/officeDocument/2006/relationships/hyperlink" Target="https://onlinelibrary.wiley.com/doi/full/10.1111/acer.14042" TargetMode="External"/><Relationship Id="rId133" Type="http://schemas.openxmlformats.org/officeDocument/2006/relationships/hyperlink" Target="https://onlinelibrary.wiley.com/doi/full/10.1111/acer.14042" TargetMode="External"/><Relationship Id="rId154" Type="http://schemas.openxmlformats.org/officeDocument/2006/relationships/hyperlink" Target="https://onlinelibrary.wiley.com/doi/full/10.1111/acer.14042" TargetMode="External"/><Relationship Id="rId175" Type="http://schemas.openxmlformats.org/officeDocument/2006/relationships/hyperlink" Target="https://onlinelibrary.wiley.com/doi/full/10.1111/acer.14042" TargetMode="External"/><Relationship Id="rId16" Type="http://schemas.openxmlformats.org/officeDocument/2006/relationships/hyperlink" Target="https://onlinelibrary.wiley.com/doi/full/10.1111/acer.14042" TargetMode="External"/><Relationship Id="rId37" Type="http://schemas.openxmlformats.org/officeDocument/2006/relationships/hyperlink" Target="https://onlinelibrary.wiley.com/doi/full/10.1111/acer.14042" TargetMode="External"/><Relationship Id="rId58" Type="http://schemas.openxmlformats.org/officeDocument/2006/relationships/hyperlink" Target="https://onlinelibrary.wiley.com/doi/full/10.1111/acer.14042" TargetMode="External"/><Relationship Id="rId79" Type="http://schemas.openxmlformats.org/officeDocument/2006/relationships/image" Target="media/image2.png"/><Relationship Id="rId102" Type="http://schemas.openxmlformats.org/officeDocument/2006/relationships/hyperlink" Target="https://onlinelibrary.wiley.com/doi/full/10.1111/acer.14042" TargetMode="External"/><Relationship Id="rId123" Type="http://schemas.openxmlformats.org/officeDocument/2006/relationships/hyperlink" Target="https://onlinelibrary.wiley.com/doi/full/10.1111/acer.14042" TargetMode="External"/><Relationship Id="rId144" Type="http://schemas.openxmlformats.org/officeDocument/2006/relationships/hyperlink" Target="https://onlinelibrary.wiley.com/doi/full/10.1111/acer.14042" TargetMode="External"/><Relationship Id="rId90" Type="http://schemas.openxmlformats.org/officeDocument/2006/relationships/hyperlink" Target="https://onlinelibrary.wiley.com/doi/full/10.1111/acer.14042" TargetMode="External"/><Relationship Id="rId165" Type="http://schemas.openxmlformats.org/officeDocument/2006/relationships/hyperlink" Target="https://onlinelibrary.wiley.com/doi/full/10.1111/acer.14042" TargetMode="External"/><Relationship Id="rId27" Type="http://schemas.openxmlformats.org/officeDocument/2006/relationships/hyperlink" Target="https://onlinelibrary.wiley.com/doi/full/10.1111/acer.14042" TargetMode="External"/><Relationship Id="rId48" Type="http://schemas.openxmlformats.org/officeDocument/2006/relationships/hyperlink" Target="https://onlinelibrary.wiley.com/doi/full/10.1111/acer.14042" TargetMode="External"/><Relationship Id="rId69" Type="http://schemas.openxmlformats.org/officeDocument/2006/relationships/hyperlink" Target="https://onlinelibrary.wiley.com/doi/full/10.1111/acer.14042" TargetMode="External"/><Relationship Id="rId113" Type="http://schemas.openxmlformats.org/officeDocument/2006/relationships/hyperlink" Target="https://onlinelibrary.wiley.com/doi/full/10.1111/acer.14042" TargetMode="External"/><Relationship Id="rId134" Type="http://schemas.openxmlformats.org/officeDocument/2006/relationships/hyperlink" Target="https://onlinelibrary.wiley.com/doi/full/10.1111/acer.14042" TargetMode="External"/><Relationship Id="rId80" Type="http://schemas.openxmlformats.org/officeDocument/2006/relationships/hyperlink" Target="https://onlinelibrary.wiley.com/doi/full/10.1111/acer.14042" TargetMode="External"/><Relationship Id="rId155" Type="http://schemas.openxmlformats.org/officeDocument/2006/relationships/hyperlink" Target="https://onlinelibrary.wiley.com/doi/full/10.1111/acer.14042" TargetMode="External"/><Relationship Id="rId176" Type="http://schemas.openxmlformats.org/officeDocument/2006/relationships/hyperlink" Target="https://onlinelibrary.wiley.com/doi/full/10.1111/acer.14042" TargetMode="External"/><Relationship Id="rId17" Type="http://schemas.openxmlformats.org/officeDocument/2006/relationships/hyperlink" Target="https://onlinelibrary.wiley.com/doi/full/10.1111/acer.14042" TargetMode="External"/><Relationship Id="rId38" Type="http://schemas.openxmlformats.org/officeDocument/2006/relationships/hyperlink" Target="https://onlinelibrary.wiley.com/doi/full/10.1111/acer.14042" TargetMode="External"/><Relationship Id="rId59" Type="http://schemas.openxmlformats.org/officeDocument/2006/relationships/hyperlink" Target="https://onlinelibrary.wiley.com/doi/full/10.1111/acer.14042" TargetMode="External"/><Relationship Id="rId103" Type="http://schemas.openxmlformats.org/officeDocument/2006/relationships/hyperlink" Target="https://onlinelibrary.wiley.com/doi/full/10.1111/acer.14042" TargetMode="External"/><Relationship Id="rId124" Type="http://schemas.openxmlformats.org/officeDocument/2006/relationships/hyperlink" Target="https://onlinelibrary.wiley.com/doi/full/10.1111/acer.14042" TargetMode="External"/><Relationship Id="rId70" Type="http://schemas.openxmlformats.org/officeDocument/2006/relationships/hyperlink" Target="https://onlinelibrary.wiley.com/doi/full/10.1111/acer.14042" TargetMode="External"/><Relationship Id="rId91" Type="http://schemas.openxmlformats.org/officeDocument/2006/relationships/hyperlink" Target="https://onlinelibrary.wiley.com/doi/full/10.1111/acer.14042" TargetMode="External"/><Relationship Id="rId145" Type="http://schemas.openxmlformats.org/officeDocument/2006/relationships/hyperlink" Target="https://onlinelibrary.wiley.com/doi/full/10.1111/acer.14042" TargetMode="External"/><Relationship Id="rId166" Type="http://schemas.openxmlformats.org/officeDocument/2006/relationships/hyperlink" Target="https://onlinelibrary.wiley.com/doi/full/10.1111/acer.14042" TargetMode="External"/><Relationship Id="rId1"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68533D-C00D-4420-869F-3BCED1C0E5D6}">
  <ds:schemaRefs>
    <ds:schemaRef ds:uri="http://schemas.microsoft.com/sharepoint/v3/contenttype/forms"/>
  </ds:schemaRefs>
</ds:datastoreItem>
</file>

<file path=customXml/itemProps2.xml><?xml version="1.0" encoding="utf-8"?>
<ds:datastoreItem xmlns:ds="http://schemas.openxmlformats.org/officeDocument/2006/customXml" ds:itemID="{D3CF3236-4846-482E-8EBE-13FBF140D9E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6A61046-C764-40BE-BFB1-D1E42B92C4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13</Pages>
  <Words>9047</Words>
  <Characters>50035</Characters>
  <Application>Microsoft Office Word</Application>
  <DocSecurity>8</DocSecurity>
  <Lines>667</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31</cp:revision>
  <dcterms:created xsi:type="dcterms:W3CDTF">2019-07-30T16:54:00Z</dcterms:created>
  <dcterms:modified xsi:type="dcterms:W3CDTF">2019-12-05T17:52:00Z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