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2D376BEC" w:rsidR="000A7622" w:rsidRPr="00C04F25" w:rsidRDefault="00726119" w:rsidP="00D14423">
      <w:pPr>
        <w:autoSpaceDE w:val="0"/>
        <w:autoSpaceDN w:val="0"/>
        <w:adjustRightInd w:val="0"/>
        <w:rPr>
          <w:rFonts w:cstheme="minorHAnsi"/>
          <w:b/>
          <w:bCs/>
          <w:i/>
          <w:iCs/>
          <w:sz w:val="32"/>
          <w:szCs w:val="32"/>
        </w:rPr>
      </w:pPr>
      <w:r>
        <w:rPr>
          <w:rFonts w:cstheme="minorHAnsi"/>
          <w:b/>
          <w:bCs/>
          <w:i/>
          <w:iCs/>
          <w:sz w:val="32"/>
          <w:szCs w:val="32"/>
        </w:rPr>
        <w:t xml:space="preserve">Exercise Sciences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Health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6C034336" w:rsidR="000A7622" w:rsidRDefault="00A02637" w:rsidP="00D14423">
      <w:pPr>
        <w:rPr>
          <w:rFonts w:cstheme="minorHAnsi"/>
          <w:sz w:val="24"/>
          <w:szCs w:val="24"/>
        </w:rPr>
      </w:pPr>
      <w:r w:rsidRPr="00A02637">
        <w:rPr>
          <w:rFonts w:cstheme="minorHAnsi"/>
          <w:i/>
          <w:sz w:val="24"/>
          <w:szCs w:val="24"/>
          <w:lang w:val="fr-FR"/>
        </w:rPr>
        <w:t xml:space="preserve">Journal of </w:t>
      </w:r>
      <w:proofErr w:type="spellStart"/>
      <w:r w:rsidRPr="00A02637">
        <w:rPr>
          <w:rFonts w:cstheme="minorHAnsi"/>
          <w:i/>
          <w:sz w:val="24"/>
          <w:szCs w:val="24"/>
          <w:lang w:val="fr-FR"/>
        </w:rPr>
        <w:t>Strength</w:t>
      </w:r>
      <w:proofErr w:type="spellEnd"/>
      <w:r w:rsidRPr="00A02637">
        <w:rPr>
          <w:rFonts w:cstheme="minorHAnsi"/>
          <w:i/>
          <w:sz w:val="24"/>
          <w:szCs w:val="24"/>
          <w:lang w:val="fr-FR"/>
        </w:rPr>
        <w:t xml:space="preserve"> and </w:t>
      </w:r>
      <w:proofErr w:type="spellStart"/>
      <w:r w:rsidRPr="00A02637">
        <w:rPr>
          <w:rFonts w:cstheme="minorHAnsi"/>
          <w:i/>
          <w:sz w:val="24"/>
          <w:szCs w:val="24"/>
          <w:lang w:val="fr-FR"/>
        </w:rPr>
        <w:t>Conditioning</w:t>
      </w:r>
      <w:proofErr w:type="spellEnd"/>
      <w:r w:rsidRPr="00A02637">
        <w:rPr>
          <w:rFonts w:cstheme="minorHAnsi"/>
          <w:i/>
          <w:sz w:val="24"/>
          <w:szCs w:val="24"/>
          <w:lang w:val="fr-FR"/>
        </w:rPr>
        <w:t xml:space="preserve"> </w:t>
      </w:r>
      <w:proofErr w:type="spellStart"/>
      <w:r w:rsidRPr="00A02637">
        <w:rPr>
          <w:rFonts w:cstheme="minorHAnsi"/>
          <w:i/>
          <w:sz w:val="24"/>
          <w:szCs w:val="24"/>
          <w:lang w:val="fr-FR"/>
        </w:rPr>
        <w:t>Research</w:t>
      </w:r>
      <w:proofErr w:type="spellEnd"/>
      <w:r w:rsidR="000A7622" w:rsidRPr="00C04F25">
        <w:rPr>
          <w:rFonts w:cstheme="minorHAnsi"/>
          <w:sz w:val="24"/>
          <w:szCs w:val="24"/>
          <w:lang w:val="fr-FR"/>
        </w:rPr>
        <w:t xml:space="preserve">, Vol. </w:t>
      </w:r>
      <w:r>
        <w:rPr>
          <w:rFonts w:cstheme="minorHAnsi"/>
          <w:sz w:val="24"/>
          <w:szCs w:val="24"/>
          <w:lang w:val="fr-FR"/>
        </w:rPr>
        <w:t>35</w:t>
      </w:r>
      <w:r w:rsidR="000A7622" w:rsidRPr="00C04F25">
        <w:rPr>
          <w:rFonts w:cstheme="minorHAnsi"/>
          <w:sz w:val="24"/>
          <w:szCs w:val="24"/>
          <w:lang w:val="fr-FR"/>
        </w:rPr>
        <w:t xml:space="preserve">, No. </w:t>
      </w:r>
      <w:r>
        <w:rPr>
          <w:rFonts w:cstheme="minorHAnsi"/>
          <w:sz w:val="24"/>
          <w:szCs w:val="24"/>
          <w:lang w:val="fr-FR"/>
        </w:rPr>
        <w:t>6</w:t>
      </w:r>
      <w:r w:rsidR="000A7622" w:rsidRPr="00C04F25">
        <w:rPr>
          <w:rFonts w:cstheme="minorHAnsi"/>
          <w:sz w:val="24"/>
          <w:szCs w:val="24"/>
          <w:lang w:val="fr-FR"/>
        </w:rPr>
        <w:t xml:space="preserve"> (</w:t>
      </w:r>
      <w:r w:rsidR="00C107B5">
        <w:rPr>
          <w:rFonts w:cstheme="minorHAnsi"/>
          <w:sz w:val="24"/>
          <w:szCs w:val="24"/>
          <w:lang w:val="fr-FR"/>
        </w:rPr>
        <w:t>June 2021</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C107B5">
        <w:rPr>
          <w:rFonts w:cstheme="minorHAnsi"/>
          <w:sz w:val="24"/>
          <w:szCs w:val="24"/>
          <w:lang w:val="fr-FR"/>
        </w:rPr>
        <w:t>1484-1490</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A002BA" w:rsidRPr="00A002BA">
        <w:rPr>
          <w:rFonts w:cstheme="minorHAnsi"/>
          <w:sz w:val="24"/>
          <w:szCs w:val="24"/>
        </w:rPr>
        <w:t>National Strength and Conditioning Association</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A002BA" w:rsidRPr="00A002BA">
        <w:rPr>
          <w:rFonts w:cstheme="minorHAnsi"/>
          <w:sz w:val="24"/>
          <w:szCs w:val="24"/>
        </w:rPr>
        <w:t>National Strength and Conditioning Association</w:t>
      </w:r>
      <w:r w:rsidR="000A7622" w:rsidRPr="00C04F25">
        <w:rPr>
          <w:rFonts w:cstheme="minorHAnsi"/>
          <w:sz w:val="24"/>
          <w:szCs w:val="24"/>
        </w:rPr>
        <w:t xml:space="preserve"> does not grant permission for this article to be further copied/distributed or hosted elsewhere without the express permission from </w:t>
      </w:r>
      <w:r w:rsidR="00A002BA" w:rsidRPr="00A002BA">
        <w:rPr>
          <w:rFonts w:cstheme="minorHAnsi"/>
          <w:sz w:val="24"/>
          <w:szCs w:val="24"/>
        </w:rPr>
        <w:t>National Strength and Conditioning Association</w:t>
      </w:r>
      <w:r w:rsidR="000A7622" w:rsidRPr="00C04F25">
        <w:rPr>
          <w:rFonts w:cstheme="minorHAnsi"/>
          <w:sz w:val="24"/>
          <w:szCs w:val="24"/>
        </w:rPr>
        <w:t xml:space="preserve">. </w:t>
      </w:r>
      <w:bookmarkEnd w:id="1"/>
    </w:p>
    <w:p w14:paraId="33B44CD5" w14:textId="4C4AEC77" w:rsidR="00056C17" w:rsidRDefault="00056C17" w:rsidP="00D14423">
      <w:pPr>
        <w:rPr>
          <w:rFonts w:cstheme="minorHAnsi"/>
          <w:sz w:val="24"/>
          <w:szCs w:val="24"/>
        </w:rPr>
      </w:pPr>
    </w:p>
    <w:p w14:paraId="435B9D7E" w14:textId="77777777" w:rsidR="0001660E" w:rsidRPr="0001660E" w:rsidRDefault="0001660E" w:rsidP="0001660E">
      <w:pPr>
        <w:pStyle w:val="Title"/>
      </w:pPr>
      <w:r w:rsidRPr="0001660E">
        <w:t>Influence of the Bar Position on Joint-Level Biomechanics During Isometric Pulling Exercises</w:t>
      </w:r>
    </w:p>
    <w:p w14:paraId="6061B8F5" w14:textId="77777777" w:rsidR="00726119" w:rsidRDefault="00726119" w:rsidP="00D14423">
      <w:pPr>
        <w:rPr>
          <w:rFonts w:cstheme="minorHAnsi"/>
          <w:sz w:val="24"/>
          <w:szCs w:val="24"/>
        </w:rPr>
      </w:pPr>
    </w:p>
    <w:p w14:paraId="00EF4FFD" w14:textId="77777777" w:rsidR="00327A69" w:rsidRPr="00683D68" w:rsidRDefault="00327A69" w:rsidP="00683D68">
      <w:pPr>
        <w:pStyle w:val="NoSpacing"/>
        <w:rPr>
          <w:sz w:val="32"/>
          <w:szCs w:val="32"/>
        </w:rPr>
      </w:pPr>
      <w:proofErr w:type="spellStart"/>
      <w:r w:rsidRPr="00683D68">
        <w:rPr>
          <w:sz w:val="32"/>
          <w:szCs w:val="32"/>
        </w:rPr>
        <w:t>Nayun</w:t>
      </w:r>
      <w:proofErr w:type="spellEnd"/>
      <w:r w:rsidRPr="00683D68">
        <w:rPr>
          <w:sz w:val="32"/>
          <w:szCs w:val="32"/>
        </w:rPr>
        <w:t xml:space="preserve"> </w:t>
      </w:r>
      <w:proofErr w:type="spellStart"/>
      <w:r w:rsidRPr="00683D68">
        <w:rPr>
          <w:sz w:val="32"/>
          <w:szCs w:val="32"/>
        </w:rPr>
        <w:t>Ahn</w:t>
      </w:r>
      <w:proofErr w:type="spellEnd"/>
    </w:p>
    <w:p w14:paraId="5A4114EC" w14:textId="1800E308" w:rsidR="00327A69" w:rsidRPr="00683D68" w:rsidRDefault="00A007FF" w:rsidP="00683D68">
      <w:pPr>
        <w:pStyle w:val="NoSpacing"/>
        <w:rPr>
          <w:sz w:val="24"/>
          <w:szCs w:val="24"/>
        </w:rPr>
      </w:pPr>
      <w:r w:rsidRPr="00683D68">
        <w:rPr>
          <w:sz w:val="24"/>
          <w:szCs w:val="24"/>
        </w:rPr>
        <w:t>Department of Physical Therapy, Program in Exercise Science, Marquette University, Milwaukee, Wisconsin</w:t>
      </w:r>
    </w:p>
    <w:p w14:paraId="5E051A60" w14:textId="77777777" w:rsidR="00327A69" w:rsidRPr="00683D68" w:rsidRDefault="00327A69" w:rsidP="00683D68">
      <w:pPr>
        <w:pStyle w:val="NoSpacing"/>
        <w:rPr>
          <w:sz w:val="32"/>
          <w:szCs w:val="32"/>
        </w:rPr>
      </w:pPr>
      <w:r w:rsidRPr="00683D68">
        <w:rPr>
          <w:sz w:val="32"/>
          <w:szCs w:val="32"/>
        </w:rPr>
        <w:t>Hoon</w:t>
      </w:r>
      <w:r w:rsidRPr="00683D68">
        <w:rPr>
          <w:sz w:val="32"/>
          <w:szCs w:val="32"/>
        </w:rPr>
        <w:t xml:space="preserve"> </w:t>
      </w:r>
      <w:r w:rsidRPr="00683D68">
        <w:rPr>
          <w:sz w:val="32"/>
          <w:szCs w:val="32"/>
        </w:rPr>
        <w:t>Kim</w:t>
      </w:r>
    </w:p>
    <w:p w14:paraId="7ED749BB" w14:textId="23117AA6" w:rsidR="00327A69" w:rsidRPr="00683D68" w:rsidRDefault="00A007FF" w:rsidP="00683D68">
      <w:pPr>
        <w:pStyle w:val="NoSpacing"/>
        <w:rPr>
          <w:sz w:val="24"/>
          <w:szCs w:val="24"/>
        </w:rPr>
      </w:pPr>
      <w:r w:rsidRPr="00683D68">
        <w:rPr>
          <w:sz w:val="24"/>
          <w:szCs w:val="24"/>
        </w:rPr>
        <w:t>Department of Physical Therapy, Program in Exercise Science, Marquette University, Milwaukee, Wisconsin</w:t>
      </w:r>
    </w:p>
    <w:p w14:paraId="00CF88FB" w14:textId="77777777" w:rsidR="00327A69" w:rsidRPr="00683D68" w:rsidRDefault="00327A69" w:rsidP="00683D68">
      <w:pPr>
        <w:pStyle w:val="NoSpacing"/>
        <w:rPr>
          <w:sz w:val="32"/>
          <w:szCs w:val="32"/>
        </w:rPr>
      </w:pPr>
      <w:r w:rsidRPr="00683D68">
        <w:rPr>
          <w:sz w:val="32"/>
          <w:szCs w:val="32"/>
        </w:rPr>
        <w:t>John</w:t>
      </w:r>
      <w:r w:rsidRPr="00683D68">
        <w:rPr>
          <w:sz w:val="32"/>
          <w:szCs w:val="32"/>
        </w:rPr>
        <w:t xml:space="preserve"> </w:t>
      </w:r>
      <w:proofErr w:type="spellStart"/>
      <w:r w:rsidRPr="00683D68">
        <w:rPr>
          <w:sz w:val="32"/>
          <w:szCs w:val="32"/>
        </w:rPr>
        <w:t>Krzyszkowski</w:t>
      </w:r>
      <w:proofErr w:type="spellEnd"/>
    </w:p>
    <w:p w14:paraId="48EE82D0" w14:textId="0502CC1D" w:rsidR="00327A69" w:rsidRPr="00683D68" w:rsidRDefault="00683D68" w:rsidP="00683D68">
      <w:pPr>
        <w:pStyle w:val="NoSpacing"/>
        <w:rPr>
          <w:sz w:val="24"/>
          <w:szCs w:val="24"/>
        </w:rPr>
      </w:pPr>
      <w:r w:rsidRPr="00683D68">
        <w:rPr>
          <w:sz w:val="24"/>
          <w:szCs w:val="24"/>
        </w:rPr>
        <w:t>Department of Kinesiology &amp; Sport Management, Texas Tech University, Lubbock, Texas</w:t>
      </w:r>
    </w:p>
    <w:p w14:paraId="77B6EA14" w14:textId="77777777" w:rsidR="00327A69" w:rsidRPr="00683D68" w:rsidRDefault="00327A69" w:rsidP="00683D68">
      <w:pPr>
        <w:pStyle w:val="NoSpacing"/>
        <w:rPr>
          <w:sz w:val="32"/>
          <w:szCs w:val="32"/>
        </w:rPr>
      </w:pPr>
      <w:r w:rsidRPr="00683D68">
        <w:rPr>
          <w:sz w:val="32"/>
          <w:szCs w:val="32"/>
        </w:rPr>
        <w:t>Stuart</w:t>
      </w:r>
      <w:r w:rsidRPr="00683D68">
        <w:rPr>
          <w:sz w:val="32"/>
          <w:szCs w:val="32"/>
        </w:rPr>
        <w:t xml:space="preserve"> </w:t>
      </w:r>
      <w:r w:rsidRPr="00683D68">
        <w:rPr>
          <w:sz w:val="32"/>
          <w:szCs w:val="32"/>
        </w:rPr>
        <w:t>Roche</w:t>
      </w:r>
    </w:p>
    <w:p w14:paraId="6D4AFFCE" w14:textId="128CEEF7" w:rsidR="00327A69" w:rsidRPr="00683D68" w:rsidRDefault="00683D68" w:rsidP="00683D68">
      <w:pPr>
        <w:pStyle w:val="NoSpacing"/>
        <w:rPr>
          <w:sz w:val="24"/>
          <w:szCs w:val="24"/>
        </w:rPr>
      </w:pPr>
      <w:r w:rsidRPr="00683D68">
        <w:rPr>
          <w:sz w:val="24"/>
          <w:szCs w:val="24"/>
        </w:rPr>
        <w:t>Department of Intercollegiate Athletics, Marquette University, Milwaukee, Wisconsin</w:t>
      </w:r>
    </w:p>
    <w:p w14:paraId="1E4BCAB5" w14:textId="5504E5AA" w:rsidR="0001660E" w:rsidRPr="00683D68" w:rsidRDefault="00327A69" w:rsidP="00683D68">
      <w:pPr>
        <w:pStyle w:val="NoSpacing"/>
        <w:rPr>
          <w:sz w:val="32"/>
          <w:szCs w:val="32"/>
        </w:rPr>
      </w:pPr>
      <w:r w:rsidRPr="00683D68">
        <w:rPr>
          <w:sz w:val="32"/>
          <w:szCs w:val="32"/>
        </w:rPr>
        <w:t>Kristof</w:t>
      </w:r>
      <w:r w:rsidRPr="00683D68">
        <w:rPr>
          <w:sz w:val="32"/>
          <w:szCs w:val="32"/>
        </w:rPr>
        <w:t xml:space="preserve"> </w:t>
      </w:r>
      <w:r w:rsidRPr="00683D68">
        <w:rPr>
          <w:sz w:val="32"/>
          <w:szCs w:val="32"/>
        </w:rPr>
        <w:t>Kipp</w:t>
      </w:r>
    </w:p>
    <w:p w14:paraId="60987B45" w14:textId="00618E52" w:rsidR="00327A69" w:rsidRPr="00683D68" w:rsidRDefault="00A007FF" w:rsidP="00683D68">
      <w:pPr>
        <w:pStyle w:val="NoSpacing"/>
        <w:rPr>
          <w:sz w:val="24"/>
          <w:szCs w:val="24"/>
        </w:rPr>
      </w:pPr>
      <w:r w:rsidRPr="00683D68">
        <w:rPr>
          <w:sz w:val="24"/>
          <w:szCs w:val="24"/>
        </w:rPr>
        <w:t>Department of Physical Therapy, Program in Exercise Science, Marquette University, Milwaukee, Wisconsin</w:t>
      </w:r>
    </w:p>
    <w:p w14:paraId="0C1CE357" w14:textId="77777777" w:rsidR="0001660E" w:rsidRPr="0001660E" w:rsidRDefault="0001660E" w:rsidP="00A007FF">
      <w:pPr>
        <w:pStyle w:val="Heading1"/>
      </w:pPr>
      <w:r w:rsidRPr="0001660E">
        <w:t>Abstract</w:t>
      </w:r>
    </w:p>
    <w:p w14:paraId="4B4A398D" w14:textId="77777777" w:rsidR="0001660E" w:rsidRPr="0001660E" w:rsidRDefault="0001660E" w:rsidP="0001660E">
      <w:pPr>
        <w:rPr>
          <w:rFonts w:cstheme="minorHAnsi"/>
          <w:sz w:val="24"/>
          <w:szCs w:val="24"/>
        </w:rPr>
      </w:pPr>
      <w:r w:rsidRPr="0001660E">
        <w:rPr>
          <w:rFonts w:cstheme="minorHAnsi"/>
          <w:sz w:val="24"/>
          <w:szCs w:val="24"/>
        </w:rPr>
        <w:t xml:space="preserve">Ahn, N, Kim, H, </w:t>
      </w:r>
      <w:proofErr w:type="spellStart"/>
      <w:r w:rsidRPr="0001660E">
        <w:rPr>
          <w:rFonts w:cstheme="minorHAnsi"/>
          <w:sz w:val="24"/>
          <w:szCs w:val="24"/>
        </w:rPr>
        <w:t>Krzyszkowski</w:t>
      </w:r>
      <w:proofErr w:type="spellEnd"/>
      <w:r w:rsidRPr="0001660E">
        <w:rPr>
          <w:rFonts w:cstheme="minorHAnsi"/>
          <w:sz w:val="24"/>
          <w:szCs w:val="24"/>
        </w:rPr>
        <w:t>, J, Roche, S, and Kipp, K. Influence of the bar position on joint-level biomechanics during isometric pulling exercises. </w:t>
      </w:r>
      <w:r w:rsidRPr="0001660E">
        <w:rPr>
          <w:rFonts w:cstheme="minorHAnsi"/>
          <w:i/>
          <w:iCs/>
          <w:sz w:val="24"/>
          <w:szCs w:val="24"/>
        </w:rPr>
        <w:t>J Strength Cond Res</w:t>
      </w:r>
      <w:r w:rsidRPr="0001660E">
        <w:rPr>
          <w:rFonts w:cstheme="minorHAnsi"/>
          <w:sz w:val="24"/>
          <w:szCs w:val="24"/>
        </w:rPr>
        <w:t xml:space="preserve"> 35(6): 1484–1490, 2021—The purpose of this study was to investigate the influence of the bar position on ankle, knee, and hip net joint moments (NJMs), relative muscular effort (RME), and vertical ground reaction forces (GRFs) during isometric pulling exercises, such as the isometric midthigh pull. Eight female lacrosse athletes performed maximal effort isometric pulls at 3 different bar positions (low: above patella, mid: midthigh, and high: crease of hip) while motion capture and GRF data were recorded. Net joint moments were calculated with inverse dynamics. Relative muscle effort was defined as the ratio between the inverse dynamics NJMs and the maximum theoretical NJMs, which were estimated with regression-based maximum moment-angle models. Peak NJM and RME were compared with 2-way analyses of variance (ANOVA), whereas GRFS were compared with a 1-way ANOVA. Peak vertical GRF were significantly greater in the mid bar position than the high bar position but did not differ between </w:t>
      </w:r>
      <w:r w:rsidRPr="0001660E">
        <w:rPr>
          <w:rFonts w:cstheme="minorHAnsi"/>
          <w:sz w:val="24"/>
          <w:szCs w:val="24"/>
        </w:rPr>
        <w:lastRenderedPageBreak/>
        <w:t>the low and mid bar position. Bar position significantly influenced peak hip and knee NJM and RME. Hip NJM and RME were greatest in the low bar position, whereas knee NJM and RME were greater in the mid bar position. Because hip and knee extensor NJM and RME differed between the low and mid bar positions, but the GRFS did not, the joint-specific contributions to peak isometric pulling forces likely reflected a trade-off between hip dominance and knee dominance in the low and mid bar position, respectively. This information should be considered in the interpretation isometric pulling data and their use in assessing and monitoring maximal force-producing capacity of the lower body.</w:t>
      </w:r>
    </w:p>
    <w:p w14:paraId="798EB1DB" w14:textId="77777777" w:rsidR="0001660E" w:rsidRPr="0001660E" w:rsidRDefault="0001660E" w:rsidP="00A9020C">
      <w:pPr>
        <w:pStyle w:val="Heading1"/>
      </w:pPr>
      <w:r w:rsidRPr="0001660E">
        <w:t>Introduction</w:t>
      </w:r>
    </w:p>
    <w:p w14:paraId="724A2461" w14:textId="77777777" w:rsidR="0001660E" w:rsidRPr="0001660E" w:rsidRDefault="0001660E" w:rsidP="0001660E">
      <w:pPr>
        <w:rPr>
          <w:rFonts w:cstheme="minorHAnsi"/>
          <w:sz w:val="24"/>
          <w:szCs w:val="24"/>
        </w:rPr>
      </w:pPr>
      <w:r w:rsidRPr="0001660E">
        <w:rPr>
          <w:rFonts w:cstheme="minorHAnsi"/>
          <w:sz w:val="24"/>
          <w:szCs w:val="24"/>
        </w:rPr>
        <w:t xml:space="preserve">Isometric pulling exercises, such as the midthigh pull (IMTP), are </w:t>
      </w:r>
      <w:proofErr w:type="spellStart"/>
      <w:r w:rsidRPr="0001660E">
        <w:rPr>
          <w:rFonts w:cstheme="minorHAnsi"/>
          <w:sz w:val="24"/>
          <w:szCs w:val="24"/>
        </w:rPr>
        <w:t>multijoint</w:t>
      </w:r>
      <w:proofErr w:type="spellEnd"/>
      <w:r w:rsidRPr="0001660E">
        <w:rPr>
          <w:rFonts w:cstheme="minorHAnsi"/>
          <w:sz w:val="24"/>
          <w:szCs w:val="24"/>
        </w:rPr>
        <w:t xml:space="preserve"> isometric exercises that are used to provide information about an athlete's maximum and rapid force generating capacity (</w:t>
      </w:r>
      <w:r w:rsidRPr="0001660E">
        <w:rPr>
          <w:rFonts w:cstheme="minorHAnsi"/>
          <w:sz w:val="24"/>
          <w:szCs w:val="24"/>
          <w:vertAlign w:val="superscript"/>
        </w:rPr>
        <w:t>5,8,9,13,19,28</w:t>
      </w:r>
      <w:r w:rsidRPr="0001660E">
        <w:rPr>
          <w:rFonts w:cstheme="minorHAnsi"/>
          <w:sz w:val="24"/>
          <w:szCs w:val="24"/>
        </w:rPr>
        <w:t>). For example, IMTP performance is typically quantified with variables that are extracted from ground reaction force (GRF) data, such as peak force, rate of force development, and impulse. Importantly, these variables strongly correlate with dynamic performance during tasks such as weightlifting, cycling, and sprinting (</w:t>
      </w:r>
      <w:r w:rsidRPr="0001660E">
        <w:rPr>
          <w:rFonts w:cstheme="minorHAnsi"/>
          <w:sz w:val="24"/>
          <w:szCs w:val="24"/>
          <w:vertAlign w:val="superscript"/>
        </w:rPr>
        <w:t>3,15,28,29</w:t>
      </w:r>
      <w:r w:rsidRPr="0001660E">
        <w:rPr>
          <w:rFonts w:cstheme="minorHAnsi"/>
          <w:sz w:val="24"/>
          <w:szCs w:val="24"/>
        </w:rPr>
        <w:t>). Based on these characteristics, the IMTP provides a simple tool to assess lower-body muscle strength, prescribe training interventions, and monitor training adaptations (</w:t>
      </w:r>
      <w:r w:rsidRPr="0001660E">
        <w:rPr>
          <w:rFonts w:cstheme="minorHAnsi"/>
          <w:sz w:val="24"/>
          <w:szCs w:val="24"/>
          <w:vertAlign w:val="superscript"/>
        </w:rPr>
        <w:t>4,10,11,15</w:t>
      </w:r>
      <w:r w:rsidRPr="0001660E">
        <w:rPr>
          <w:rFonts w:cstheme="minorHAnsi"/>
          <w:sz w:val="24"/>
          <w:szCs w:val="24"/>
        </w:rPr>
        <w:t>).</w:t>
      </w:r>
    </w:p>
    <w:p w14:paraId="216286F7" w14:textId="77777777" w:rsidR="0001660E" w:rsidRPr="0001660E" w:rsidRDefault="0001660E" w:rsidP="0001660E">
      <w:pPr>
        <w:rPr>
          <w:rFonts w:cstheme="minorHAnsi"/>
          <w:sz w:val="24"/>
          <w:szCs w:val="24"/>
        </w:rPr>
      </w:pPr>
      <w:r w:rsidRPr="0001660E">
        <w:rPr>
          <w:rFonts w:cstheme="minorHAnsi"/>
          <w:sz w:val="24"/>
          <w:szCs w:val="24"/>
        </w:rPr>
        <w:t>Strength coaches and researchers have used various postures and bar positions during isometric pull testing (</w:t>
      </w:r>
      <w:r w:rsidRPr="0001660E">
        <w:rPr>
          <w:rFonts w:cstheme="minorHAnsi"/>
          <w:sz w:val="24"/>
          <w:szCs w:val="24"/>
          <w:vertAlign w:val="superscript"/>
        </w:rPr>
        <w:t>5</w:t>
      </w:r>
      <w:r w:rsidRPr="0001660E">
        <w:rPr>
          <w:rFonts w:cstheme="minorHAnsi"/>
          <w:sz w:val="24"/>
          <w:szCs w:val="24"/>
        </w:rPr>
        <w:t>). The IMTP, for example, is often performed with the body positioned in a posture that matches the second pull of the clean and with the bar located between the athlete's knee and hip joints (</w:t>
      </w:r>
      <w:r w:rsidRPr="0001660E">
        <w:rPr>
          <w:rFonts w:cstheme="minorHAnsi"/>
          <w:sz w:val="24"/>
          <w:szCs w:val="24"/>
          <w:vertAlign w:val="superscript"/>
        </w:rPr>
        <w:t>5</w:t>
      </w:r>
      <w:r w:rsidRPr="0001660E">
        <w:rPr>
          <w:rFonts w:cstheme="minorHAnsi"/>
          <w:sz w:val="24"/>
          <w:szCs w:val="24"/>
        </w:rPr>
        <w:t>). More specifically, initial research by Haff et al. (</w:t>
      </w:r>
      <w:r w:rsidRPr="0001660E">
        <w:rPr>
          <w:rFonts w:cstheme="minorHAnsi"/>
          <w:sz w:val="24"/>
          <w:szCs w:val="24"/>
          <w:vertAlign w:val="superscript"/>
        </w:rPr>
        <w:t>18</w:t>
      </w:r>
      <w:r w:rsidRPr="0001660E">
        <w:rPr>
          <w:rFonts w:cstheme="minorHAnsi"/>
          <w:sz w:val="24"/>
          <w:szCs w:val="24"/>
        </w:rPr>
        <w:t>) tested maximum force production of elite weightlifters during the IMTP by selecting knee and hip angles that matched the second pull position of the clean. Since then, other authors found that a body position with knee angles between 130° and 145° and hip angles around 145° enabled athletes to produce greater GRFs compared with other positions (</w:t>
      </w:r>
      <w:r w:rsidRPr="0001660E">
        <w:rPr>
          <w:rFonts w:cstheme="minorHAnsi"/>
          <w:sz w:val="24"/>
          <w:szCs w:val="24"/>
          <w:vertAlign w:val="superscript"/>
        </w:rPr>
        <w:t>14,19,23,26,27</w:t>
      </w:r>
      <w:r w:rsidRPr="0001660E">
        <w:rPr>
          <w:rFonts w:cstheme="minorHAnsi"/>
          <w:sz w:val="24"/>
          <w:szCs w:val="24"/>
        </w:rPr>
        <w:t>). Other studies also subsequently showed that changing body posture, joint angles, and bar position affects GRFs during the IMTP (</w:t>
      </w:r>
      <w:r w:rsidRPr="0001660E">
        <w:rPr>
          <w:rFonts w:cstheme="minorHAnsi"/>
          <w:sz w:val="24"/>
          <w:szCs w:val="24"/>
          <w:vertAlign w:val="superscript"/>
        </w:rPr>
        <w:t>4,17</w:t>
      </w:r>
      <w:r w:rsidRPr="0001660E">
        <w:rPr>
          <w:rFonts w:cstheme="minorHAnsi"/>
          <w:sz w:val="24"/>
          <w:szCs w:val="24"/>
        </w:rPr>
        <w:t>). Practical recommendations in the literature for the implementation of the IMTP are based partially on the findings of these studies, which in turn are the result of investigating GRF-based parameters.</w:t>
      </w:r>
    </w:p>
    <w:p w14:paraId="5BE07098" w14:textId="77777777" w:rsidR="0001660E" w:rsidRPr="0001660E" w:rsidRDefault="0001660E" w:rsidP="0001660E">
      <w:pPr>
        <w:rPr>
          <w:rFonts w:cstheme="minorHAnsi"/>
          <w:sz w:val="24"/>
          <w:szCs w:val="24"/>
        </w:rPr>
      </w:pPr>
      <w:r w:rsidRPr="0001660E">
        <w:rPr>
          <w:rFonts w:cstheme="minorHAnsi"/>
          <w:sz w:val="24"/>
          <w:szCs w:val="24"/>
        </w:rPr>
        <w:t xml:space="preserve">Evaluating neuromuscular function during </w:t>
      </w:r>
      <w:proofErr w:type="spellStart"/>
      <w:r w:rsidRPr="0001660E">
        <w:rPr>
          <w:rFonts w:cstheme="minorHAnsi"/>
          <w:sz w:val="24"/>
          <w:szCs w:val="24"/>
        </w:rPr>
        <w:t>multijoint</w:t>
      </w:r>
      <w:proofErr w:type="spellEnd"/>
      <w:r w:rsidRPr="0001660E">
        <w:rPr>
          <w:rFonts w:cstheme="minorHAnsi"/>
          <w:sz w:val="24"/>
          <w:szCs w:val="24"/>
        </w:rPr>
        <w:t xml:space="preserve"> isometric tasks through only GRF data is associated with limitations (</w:t>
      </w:r>
      <w:r w:rsidRPr="0001660E">
        <w:rPr>
          <w:rFonts w:cstheme="minorHAnsi"/>
          <w:sz w:val="24"/>
          <w:szCs w:val="24"/>
          <w:vertAlign w:val="superscript"/>
        </w:rPr>
        <w:t>20</w:t>
      </w:r>
      <w:r w:rsidRPr="0001660E">
        <w:rPr>
          <w:rFonts w:cstheme="minorHAnsi"/>
          <w:sz w:val="24"/>
          <w:szCs w:val="24"/>
        </w:rPr>
        <w:t>). For example, Hahn (</w:t>
      </w:r>
      <w:r w:rsidRPr="0001660E">
        <w:rPr>
          <w:rFonts w:cstheme="minorHAnsi"/>
          <w:sz w:val="24"/>
          <w:szCs w:val="24"/>
          <w:vertAlign w:val="superscript"/>
        </w:rPr>
        <w:t>20</w:t>
      </w:r>
      <w:r w:rsidRPr="0001660E">
        <w:rPr>
          <w:rFonts w:cstheme="minorHAnsi"/>
          <w:sz w:val="24"/>
          <w:szCs w:val="24"/>
        </w:rPr>
        <w:t xml:space="preserve">) investigated lower-body biomechanics during </w:t>
      </w:r>
      <w:proofErr w:type="spellStart"/>
      <w:r w:rsidRPr="0001660E">
        <w:rPr>
          <w:rFonts w:cstheme="minorHAnsi"/>
          <w:sz w:val="24"/>
          <w:szCs w:val="24"/>
        </w:rPr>
        <w:t>multijoint</w:t>
      </w:r>
      <w:proofErr w:type="spellEnd"/>
      <w:r w:rsidRPr="0001660E">
        <w:rPr>
          <w:rFonts w:cstheme="minorHAnsi"/>
          <w:sz w:val="24"/>
          <w:szCs w:val="24"/>
        </w:rPr>
        <w:t xml:space="preserve"> isometric leg extensions and observed that changes in GRFs were not directly associated with changes in net joint moments (NJMs) as the positions of the lower body were altered through the full range of knee and hip motion. For example, although some subjects showed similar GRFs, the ratios between hip and knee NJM were different, which suggests that the GRF did not reveal any information about joint-specific contributions (e.g., hip vs. knee dominant contribution). Thus, analyses of biomechanical and neuromuscular function at the joint level (e.g., NJMs) may provide more detailed information than analysis of only the GRFs. To date, no study has examined NJMs during isometric pulling exercises, and the effects of changing body position and joint angles on the NJM of the lower body are not known. However, if changes in bar positions also influence NJMs in addition to the GRFs, and if their respective contributions to peak isometric pulling forces change, then this information might provide valuable information for practitioners and researchers who use such data to assess and monitor maximal force-producing capacity of the lower body.</w:t>
      </w:r>
    </w:p>
    <w:p w14:paraId="4C4C6045" w14:textId="77777777" w:rsidR="0001660E" w:rsidRPr="0001660E" w:rsidRDefault="0001660E" w:rsidP="0001660E">
      <w:pPr>
        <w:rPr>
          <w:rFonts w:cstheme="minorHAnsi"/>
          <w:sz w:val="24"/>
          <w:szCs w:val="24"/>
        </w:rPr>
      </w:pPr>
      <w:r w:rsidRPr="0001660E">
        <w:rPr>
          <w:rFonts w:cstheme="minorHAnsi"/>
          <w:sz w:val="24"/>
          <w:szCs w:val="24"/>
        </w:rPr>
        <w:t xml:space="preserve">Given that changing joint angles affects muscle lengths and internal moment arms, it is highly likely that these changes would influence the maximum moment-generating capacities of these muscles. Considering the implications that follow, it is also likely that the relative muscular effort (RME), which is often defined as the ratio between the inverse dynamics-based </w:t>
      </w:r>
      <w:proofErr w:type="gramStart"/>
      <w:r w:rsidRPr="0001660E">
        <w:rPr>
          <w:rFonts w:cstheme="minorHAnsi"/>
          <w:sz w:val="24"/>
          <w:szCs w:val="24"/>
        </w:rPr>
        <w:t>NJMs</w:t>
      </w:r>
      <w:proofErr w:type="gramEnd"/>
      <w:r w:rsidRPr="0001660E">
        <w:rPr>
          <w:rFonts w:cstheme="minorHAnsi"/>
          <w:sz w:val="24"/>
          <w:szCs w:val="24"/>
        </w:rPr>
        <w:t xml:space="preserve"> and the maximal theoretical moment based on the moment-angle curve, of these muscle groups would also differ with changes in joint angles and bar position. With respect to changing joint angles during a </w:t>
      </w:r>
      <w:proofErr w:type="spellStart"/>
      <w:r w:rsidRPr="0001660E">
        <w:rPr>
          <w:rFonts w:cstheme="minorHAnsi"/>
          <w:sz w:val="24"/>
          <w:szCs w:val="24"/>
        </w:rPr>
        <w:t>multijoint</w:t>
      </w:r>
      <w:proofErr w:type="spellEnd"/>
      <w:r w:rsidRPr="0001660E">
        <w:rPr>
          <w:rFonts w:cstheme="minorHAnsi"/>
          <w:sz w:val="24"/>
          <w:szCs w:val="24"/>
        </w:rPr>
        <w:t xml:space="preserve"> isometric task, it is therefore also possible that the RME of the respective muscle groups are also affected, perhaps even to a greater extent than the NJM. Because RME reflects the operating capacities of specific muscle groups, investigating lower-body RME in addition to NJMs during isometric pulls would provide important supplemental information about the relative functional demand imposed on each muscle group and its respective contribution to overall maximal force generation (</w:t>
      </w:r>
      <w:r w:rsidRPr="0001660E">
        <w:rPr>
          <w:rFonts w:cstheme="minorHAnsi"/>
          <w:sz w:val="24"/>
          <w:szCs w:val="24"/>
          <w:vertAlign w:val="superscript"/>
        </w:rPr>
        <w:t>6,7</w:t>
      </w:r>
      <w:r w:rsidRPr="0001660E">
        <w:rPr>
          <w:rFonts w:cstheme="minorHAnsi"/>
          <w:sz w:val="24"/>
          <w:szCs w:val="24"/>
        </w:rPr>
        <w:t>). Furthermore, knowledge about the functional demands and respective contributions across bar positions would offer practitioners insight into whether maximal GRFs during isometric pulls reflect general lower-body strength or joint-specific strength. The purpose of this study was to study the influence of bar position on joint-level biomechanics and GRFs during different isometric pulls. We hypothesized that peak ankle, knee, and hip NJMs and RME would differ depending on the bar position. The goal of this research was to provide evidence-based insights about the effect of bar position on joint-specific demands and operating capacities during isometric pulling exercises to provide detailed information for researchers and practitioners to better use data from isometric pulls to assess and monitor maximal strength.</w:t>
      </w:r>
    </w:p>
    <w:p w14:paraId="291603DF" w14:textId="77777777" w:rsidR="0001660E" w:rsidRPr="0001660E" w:rsidRDefault="0001660E" w:rsidP="00A9020C">
      <w:pPr>
        <w:pStyle w:val="Heading1"/>
      </w:pPr>
      <w:r w:rsidRPr="0001660E">
        <w:t>Methods</w:t>
      </w:r>
    </w:p>
    <w:p w14:paraId="4C9F3C75" w14:textId="77777777" w:rsidR="0001660E" w:rsidRPr="0001660E" w:rsidRDefault="0001660E" w:rsidP="00A9020C">
      <w:pPr>
        <w:pStyle w:val="Heading2"/>
      </w:pPr>
      <w:r w:rsidRPr="0001660E">
        <w:t>Experimental Approach to the Problem</w:t>
      </w:r>
    </w:p>
    <w:p w14:paraId="13DF220F" w14:textId="77777777" w:rsidR="0001660E" w:rsidRPr="0001660E" w:rsidRDefault="0001660E" w:rsidP="0001660E">
      <w:pPr>
        <w:rPr>
          <w:rFonts w:cstheme="minorHAnsi"/>
          <w:sz w:val="24"/>
          <w:szCs w:val="24"/>
        </w:rPr>
      </w:pPr>
      <w:r w:rsidRPr="0001660E">
        <w:rPr>
          <w:rFonts w:cstheme="minorHAnsi"/>
          <w:sz w:val="24"/>
          <w:szCs w:val="24"/>
        </w:rPr>
        <w:t xml:space="preserve">To identify the effect of bar position on joint-level biomechanics and GRFs during isometric pulling exercises, subjects performed maximal isometric pulls at 3 different bar positions while motion capture and GRF data were recorded. The peak internal NJMs at the ankle, knee, and hip joint were calculated with inverse dynamic analysis. Relative muscular effort was calculated as the ratio between the inverse dynamics NJMs and the maximum possible NJMs, which were estimated with regression-based maximum moment-angle </w:t>
      </w:r>
      <w:proofErr w:type="gramStart"/>
      <w:r w:rsidRPr="0001660E">
        <w:rPr>
          <w:rFonts w:cstheme="minorHAnsi"/>
          <w:sz w:val="24"/>
          <w:szCs w:val="24"/>
        </w:rPr>
        <w:t>models, and</w:t>
      </w:r>
      <w:proofErr w:type="gramEnd"/>
      <w:r w:rsidRPr="0001660E">
        <w:rPr>
          <w:rFonts w:cstheme="minorHAnsi"/>
          <w:sz w:val="24"/>
          <w:szCs w:val="24"/>
        </w:rPr>
        <w:t xml:space="preserve"> used to assess joint-specific force-production capacity. Given that moment-angle curves vary dynamically throughout a joint's range of motion, the 3 bar positions were chosen to reflect a wide range of hip and knee flexion angles. Because the mid bar position was based on the posture most used in IMTP testing (</w:t>
      </w:r>
      <w:r w:rsidRPr="0001660E">
        <w:rPr>
          <w:rFonts w:cstheme="minorHAnsi"/>
          <w:sz w:val="24"/>
          <w:szCs w:val="24"/>
          <w:vertAlign w:val="superscript"/>
        </w:rPr>
        <w:t>5,8</w:t>
      </w:r>
      <w:r w:rsidRPr="0001660E">
        <w:rPr>
          <w:rFonts w:cstheme="minorHAnsi"/>
          <w:sz w:val="24"/>
          <w:szCs w:val="24"/>
        </w:rPr>
        <w:t>), the low and high bar positions simply represented deviations where the bar was lowered or raised, respectively. The peak ankle, knee, and hip NJMs and RME at 3 different bar positions were compared to determine the effect of bar positions on lower-body NJMs and RME during the isometric pulls.</w:t>
      </w:r>
    </w:p>
    <w:p w14:paraId="722A4CD9" w14:textId="77777777" w:rsidR="0001660E" w:rsidRPr="0001660E" w:rsidRDefault="0001660E" w:rsidP="00A9020C">
      <w:pPr>
        <w:pStyle w:val="Heading2"/>
      </w:pPr>
      <w:r w:rsidRPr="0001660E">
        <w:t>Subjects</w:t>
      </w:r>
    </w:p>
    <w:p w14:paraId="5BD311E6" w14:textId="77777777" w:rsidR="0001660E" w:rsidRPr="0001660E" w:rsidRDefault="0001660E" w:rsidP="0001660E">
      <w:pPr>
        <w:rPr>
          <w:rFonts w:cstheme="minorHAnsi"/>
          <w:sz w:val="24"/>
          <w:szCs w:val="24"/>
        </w:rPr>
      </w:pPr>
      <w:r w:rsidRPr="0001660E">
        <w:rPr>
          <w:rFonts w:cstheme="minorHAnsi"/>
          <w:sz w:val="24"/>
          <w:szCs w:val="24"/>
        </w:rPr>
        <w:t>Eight female NCAA Division I lacrosse athletes (age: 20 ± 2 years; height: 1.70 ± 0.03 m; and body mass: 65.4 ± 5.9 kg; No subjects were under 18) were therefore recruited for this study. Each player provided written informed consent, which was approved by the Marquette University's IRB. Data collection for the current study occurred after the end of the player's offseason training program, which included dynamic and isometric resistance training exercises. In addition, all players were familiar with IMTP test procedures through participation in previous research studies.</w:t>
      </w:r>
    </w:p>
    <w:p w14:paraId="4B628224" w14:textId="77777777" w:rsidR="0001660E" w:rsidRPr="0001660E" w:rsidRDefault="0001660E" w:rsidP="00A9020C">
      <w:pPr>
        <w:pStyle w:val="Heading2"/>
      </w:pPr>
      <w:r w:rsidRPr="0001660E">
        <w:t>Procedures</w:t>
      </w:r>
    </w:p>
    <w:p w14:paraId="1D2773E6" w14:textId="1FC44DE2" w:rsidR="0001660E" w:rsidRPr="0001660E" w:rsidRDefault="0001660E" w:rsidP="0001660E">
      <w:pPr>
        <w:rPr>
          <w:rFonts w:cstheme="minorHAnsi"/>
          <w:sz w:val="24"/>
          <w:szCs w:val="24"/>
        </w:rPr>
      </w:pPr>
      <w:r w:rsidRPr="0001660E">
        <w:rPr>
          <w:rFonts w:cstheme="minorHAnsi"/>
          <w:sz w:val="24"/>
          <w:szCs w:val="24"/>
        </w:rPr>
        <w:t>Reflective markers were attached to various anatomical landmarks, and marker clusters were attached to the thighs, shanks, and feet of both legs (</w:t>
      </w:r>
      <w:r w:rsidRPr="00D5415D">
        <w:rPr>
          <w:rFonts w:cstheme="minorHAnsi"/>
          <w:sz w:val="24"/>
          <w:szCs w:val="24"/>
        </w:rPr>
        <w:t>Figure 1</w:t>
      </w:r>
      <w:r w:rsidRPr="0001660E">
        <w:rPr>
          <w:rFonts w:cstheme="minorHAnsi"/>
          <w:sz w:val="24"/>
          <w:szCs w:val="24"/>
        </w:rPr>
        <w:t>). Specifically, markers were attached to the cervical vertebrae, acromion process, anterior superior iliac spine, posterior superior iliac spine, iliac crest, greater trochanter, femoral lateral epicondyle, femoral medial epicondyle, fibula head, tibia tuberosity, medial malleolus, lateral malleolus, calcaneal tuberosity, styloid process of fifth metatarsal bone, head of fifth metatarsal bone, head of first metatarsal bone.</w:t>
      </w:r>
    </w:p>
    <w:p w14:paraId="35FAD9DC" w14:textId="77777777" w:rsidR="00A9020C" w:rsidRDefault="0001660E" w:rsidP="00A9020C">
      <w:pPr>
        <w:pStyle w:val="NoSpacing"/>
      </w:pPr>
      <w:r w:rsidRPr="0001660E">
        <w:rPr>
          <w:noProof/>
        </w:rPr>
        <w:drawing>
          <wp:inline distT="0" distB="0" distL="0" distR="0" wp14:anchorId="67D9C8C6" wp14:editId="2A01784D">
            <wp:extent cx="2190115" cy="1233170"/>
            <wp:effectExtent l="0" t="0" r="635" b="5080"/>
            <wp:docPr id="6" name="Picture 6" descr="Figure 1.">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ure 1.">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90115" cy="1233170"/>
                    </a:xfrm>
                    <a:prstGeom prst="rect">
                      <a:avLst/>
                    </a:prstGeom>
                    <a:noFill/>
                    <a:ln>
                      <a:noFill/>
                    </a:ln>
                  </pic:spPr>
                </pic:pic>
              </a:graphicData>
            </a:graphic>
          </wp:inline>
        </w:drawing>
      </w:r>
    </w:p>
    <w:p w14:paraId="4FFF45B6" w14:textId="1A906FF5" w:rsidR="0001660E" w:rsidRDefault="0001660E" w:rsidP="00A9020C">
      <w:pPr>
        <w:pStyle w:val="NoSpacing"/>
      </w:pPr>
      <w:r w:rsidRPr="00D5415D">
        <w:rPr>
          <w:rFonts w:cstheme="minorHAnsi"/>
          <w:b/>
          <w:bCs/>
          <w:sz w:val="24"/>
          <w:szCs w:val="24"/>
        </w:rPr>
        <w:t>Figure 1.: </w:t>
      </w:r>
      <w:r w:rsidR="00A9020C">
        <w:rPr>
          <w:rStyle w:val="Hyperlink"/>
          <w:rFonts w:cstheme="minorHAnsi"/>
          <w:b/>
          <w:bCs/>
          <w:sz w:val="24"/>
          <w:szCs w:val="24"/>
        </w:rPr>
        <w:t xml:space="preserve"> </w:t>
      </w:r>
      <w:r w:rsidRPr="0001660E">
        <w:t>Illustration of the marker set and isometric pulls set-up during the low (left), mid (middle), and high (right) testing positions. Low (left) and high bar (right) positions were variation from the mid bar position (middle – a posture matches the second pull of the clean).</w:t>
      </w:r>
    </w:p>
    <w:p w14:paraId="03D7950B" w14:textId="77777777" w:rsidR="00A9020C" w:rsidRPr="0001660E" w:rsidRDefault="00A9020C" w:rsidP="0001660E">
      <w:pPr>
        <w:rPr>
          <w:rFonts w:cstheme="minorHAnsi"/>
          <w:sz w:val="24"/>
          <w:szCs w:val="24"/>
        </w:rPr>
      </w:pPr>
    </w:p>
    <w:p w14:paraId="0F22329C" w14:textId="3CD713E0" w:rsidR="0001660E" w:rsidRPr="0001660E" w:rsidRDefault="0001660E" w:rsidP="0001660E">
      <w:pPr>
        <w:rPr>
          <w:rFonts w:cstheme="minorHAnsi"/>
          <w:sz w:val="24"/>
          <w:szCs w:val="24"/>
        </w:rPr>
      </w:pPr>
      <w:r w:rsidRPr="0001660E">
        <w:rPr>
          <w:rFonts w:cstheme="minorHAnsi"/>
          <w:sz w:val="24"/>
          <w:szCs w:val="24"/>
        </w:rPr>
        <w:t>Each player performed a standardized dynamic warm-up that consisted of simple callisthenic exercises and several submaximal and maximal jumping tasks. For the isometric pull testing, each subject performed 3 repetitions of each pull at 3 different bar positions (</w:t>
      </w:r>
      <w:r w:rsidRPr="00D5415D">
        <w:rPr>
          <w:rFonts w:cstheme="minorHAnsi"/>
          <w:sz w:val="24"/>
          <w:szCs w:val="24"/>
        </w:rPr>
        <w:t>Figure 1</w:t>
      </w:r>
      <w:r w:rsidRPr="0001660E">
        <w:rPr>
          <w:rFonts w:cstheme="minorHAnsi"/>
          <w:sz w:val="24"/>
          <w:szCs w:val="24"/>
        </w:rPr>
        <w:t xml:space="preserve">), which were presented in a random order. Only joint angles during the </w:t>
      </w:r>
      <w:proofErr w:type="spellStart"/>
      <w:r w:rsidRPr="0001660E">
        <w:rPr>
          <w:rFonts w:cstheme="minorHAnsi"/>
          <w:sz w:val="24"/>
          <w:szCs w:val="24"/>
        </w:rPr>
        <w:t>mid bar</w:t>
      </w:r>
      <w:proofErr w:type="spellEnd"/>
      <w:r w:rsidRPr="0001660E">
        <w:rPr>
          <w:rFonts w:cstheme="minorHAnsi"/>
          <w:sz w:val="24"/>
          <w:szCs w:val="24"/>
        </w:rPr>
        <w:t xml:space="preserve"> position were standardized across players. For the IMTP position, a goniometer was used to position players such that their knee and hip angles were approximately 135° and 145°, respectively (</w:t>
      </w:r>
      <w:r w:rsidRPr="0001660E">
        <w:rPr>
          <w:rFonts w:cstheme="minorHAnsi"/>
          <w:sz w:val="24"/>
          <w:szCs w:val="24"/>
          <w:vertAlign w:val="superscript"/>
        </w:rPr>
        <w:t>18</w:t>
      </w:r>
      <w:r w:rsidRPr="0001660E">
        <w:rPr>
          <w:rFonts w:cstheme="minorHAnsi"/>
          <w:sz w:val="24"/>
          <w:szCs w:val="24"/>
        </w:rPr>
        <w:t>). During the low bar position, the bar was lowered so that it was positioned just above the knee joint (i.e., patella). During the high bar position, the bar was raised so that it was positioned close to the crease of the hip joint. At each position, subjects first performed 2 submaximal efforts and then 3 maximal efforts. During each maximal effort, subjects were instructed to pull on the bar as hard as possible for at least 3 seconds and received strong verbal encouragement.</w:t>
      </w:r>
    </w:p>
    <w:p w14:paraId="2DFC35D5" w14:textId="77777777" w:rsidR="0001660E" w:rsidRPr="0001660E" w:rsidRDefault="0001660E" w:rsidP="00A9020C">
      <w:pPr>
        <w:pStyle w:val="Heading2"/>
      </w:pPr>
      <w:r w:rsidRPr="0001660E">
        <w:t>Data Analysis</w:t>
      </w:r>
    </w:p>
    <w:p w14:paraId="3FA9F7D5" w14:textId="77777777" w:rsidR="0001660E" w:rsidRPr="0001660E" w:rsidRDefault="0001660E" w:rsidP="0001660E">
      <w:pPr>
        <w:rPr>
          <w:rFonts w:cstheme="minorHAnsi"/>
          <w:sz w:val="24"/>
          <w:szCs w:val="24"/>
        </w:rPr>
      </w:pPr>
      <w:r w:rsidRPr="0001660E">
        <w:rPr>
          <w:rFonts w:cstheme="minorHAnsi"/>
          <w:sz w:val="24"/>
          <w:szCs w:val="24"/>
        </w:rPr>
        <w:t>Kinematic data were collected with a 14-camera motion capture system (Vicon 612; Vicon, Los Angeles, CA) at 100 Hz. Kinetic data were recorded with 2 portable force plates (Kistler, Winterthur, Switzerland) at 1,000 Hz. The portable force plates were placed on an IMTP rack (Kairos Strength, Murphy, NC). Motion capture and force plate data were synchronously collected with a commercial software system (Vicon Nexus 1.8.2; Vicon, Los Angeles, CA). All data were exported as.c3d files and processed with Visual 3D software (C-Motion, Inc, Rockville, MD).</w:t>
      </w:r>
    </w:p>
    <w:p w14:paraId="76957CD8" w14:textId="2416E73B" w:rsidR="0001660E" w:rsidRPr="0001660E" w:rsidRDefault="0001660E" w:rsidP="0001660E">
      <w:pPr>
        <w:rPr>
          <w:rFonts w:cstheme="minorHAnsi"/>
          <w:sz w:val="24"/>
          <w:szCs w:val="24"/>
        </w:rPr>
      </w:pPr>
      <w:r w:rsidRPr="0001660E">
        <w:rPr>
          <w:rFonts w:cstheme="minorHAnsi"/>
          <w:sz w:val="24"/>
          <w:szCs w:val="24"/>
        </w:rPr>
        <w:t>Kinematic and kinetic data were filtered with a fourth-order low-pass Butterworth filter at a cutoff frequency of 8 Hz, which was determined based on a residual analysis of the NJM data. The filtered data were used as input to a custom biomechanical model that consisted of trunk, pelvis, thigh, shank, and foot segments. A static trial was used to define segment coordinate systems based on anatomical markers of the proximal and distal ends of each respective segment. Joint angles during the static trial were defined as 0° at the ankle and 180° at the knee and hip joint. A standard inverse dynamic analysis was then used to combine kinematic, kinetic, and anthropometric data to calculate the internal NJMs at the ankle, knee, and hip joint (</w:t>
      </w:r>
      <w:r w:rsidRPr="00D5415D">
        <w:rPr>
          <w:rFonts w:cstheme="minorHAnsi"/>
          <w:sz w:val="24"/>
          <w:szCs w:val="24"/>
        </w:rPr>
        <w:t>Figure 2</w:t>
      </w:r>
      <w:r w:rsidRPr="0001660E">
        <w:rPr>
          <w:rFonts w:cstheme="minorHAnsi"/>
          <w:sz w:val="24"/>
          <w:szCs w:val="24"/>
        </w:rPr>
        <w:t>).</w:t>
      </w:r>
    </w:p>
    <w:p w14:paraId="21011D16" w14:textId="77777777" w:rsidR="00A9020C" w:rsidRDefault="0001660E" w:rsidP="00A9020C">
      <w:pPr>
        <w:pStyle w:val="NoSpacing"/>
      </w:pPr>
      <w:r w:rsidRPr="0001660E">
        <w:rPr>
          <w:noProof/>
        </w:rPr>
        <w:drawing>
          <wp:inline distT="0" distB="0" distL="0" distR="0" wp14:anchorId="28F833D7" wp14:editId="0E49FD60">
            <wp:extent cx="2190115" cy="680720"/>
            <wp:effectExtent l="0" t="0" r="635" b="5080"/>
            <wp:docPr id="5" name="Picture 5" descr="Figure 2.">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ure 2.">
                      <a:hlinkClick r:id="rId10"/>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90115" cy="680720"/>
                    </a:xfrm>
                    <a:prstGeom prst="rect">
                      <a:avLst/>
                    </a:prstGeom>
                    <a:noFill/>
                    <a:ln>
                      <a:noFill/>
                    </a:ln>
                  </pic:spPr>
                </pic:pic>
              </a:graphicData>
            </a:graphic>
          </wp:inline>
        </w:drawing>
      </w:r>
    </w:p>
    <w:p w14:paraId="3046F3D7" w14:textId="0475A9D9" w:rsidR="0001660E" w:rsidRDefault="0001660E" w:rsidP="00A9020C">
      <w:pPr>
        <w:pStyle w:val="NoSpacing"/>
      </w:pPr>
      <w:r w:rsidRPr="00D5415D">
        <w:rPr>
          <w:rFonts w:cstheme="minorHAnsi"/>
          <w:b/>
          <w:bCs/>
          <w:sz w:val="24"/>
          <w:szCs w:val="24"/>
        </w:rPr>
        <w:t>Figure 2.: </w:t>
      </w:r>
      <w:r w:rsidR="00A9020C">
        <w:rPr>
          <w:rStyle w:val="Hyperlink"/>
          <w:rFonts w:cstheme="minorHAnsi"/>
          <w:b/>
          <w:bCs/>
          <w:sz w:val="24"/>
          <w:szCs w:val="24"/>
        </w:rPr>
        <w:t xml:space="preserve"> </w:t>
      </w:r>
      <w:r w:rsidRPr="0001660E">
        <w:t>Ankle (left), knee (middle), and hip (right) net joint moments [NJMs (N·m·</w:t>
      </w:r>
      <w:proofErr w:type="gramStart"/>
      <w:r w:rsidRPr="0001660E">
        <w:t>kg</w:t>
      </w:r>
      <w:r w:rsidRPr="0001660E">
        <w:rPr>
          <w:vertAlign w:val="superscript"/>
        </w:rPr>
        <w:t>−1</w:t>
      </w:r>
      <w:proofErr w:type="gramEnd"/>
      <w:r w:rsidRPr="0001660E">
        <w:t>)] from one subject during isometric pulls at the 3 different bar positions (solid line = low; dotted line = mid; and dashed line = high).</w:t>
      </w:r>
    </w:p>
    <w:p w14:paraId="3991603D" w14:textId="77777777" w:rsidR="00A9020C" w:rsidRPr="0001660E" w:rsidRDefault="00A9020C" w:rsidP="0001660E">
      <w:pPr>
        <w:rPr>
          <w:rFonts w:cstheme="minorHAnsi"/>
          <w:sz w:val="24"/>
          <w:szCs w:val="24"/>
        </w:rPr>
      </w:pPr>
    </w:p>
    <w:p w14:paraId="2D054371" w14:textId="77777777" w:rsidR="0001660E" w:rsidRPr="0001660E" w:rsidRDefault="0001660E" w:rsidP="0001660E">
      <w:pPr>
        <w:rPr>
          <w:rFonts w:cstheme="minorHAnsi"/>
          <w:sz w:val="24"/>
          <w:szCs w:val="24"/>
        </w:rPr>
      </w:pPr>
      <w:r w:rsidRPr="0001660E">
        <w:rPr>
          <w:rFonts w:cstheme="minorHAnsi"/>
          <w:sz w:val="24"/>
          <w:szCs w:val="24"/>
        </w:rPr>
        <w:t>The peak gross GRFs (i.e., including body weight) and peak NJMs were extracted from the pull phase, where the onset was defined based on a threshold of the baseline mean plus 5 SDs (</w:t>
      </w:r>
      <w:r w:rsidRPr="0001660E">
        <w:rPr>
          <w:rFonts w:cstheme="minorHAnsi"/>
          <w:sz w:val="24"/>
          <w:szCs w:val="24"/>
          <w:vertAlign w:val="superscript"/>
        </w:rPr>
        <w:t>8,12</w:t>
      </w:r>
      <w:r w:rsidRPr="0001660E">
        <w:rPr>
          <w:rFonts w:cstheme="minorHAnsi"/>
          <w:sz w:val="24"/>
          <w:szCs w:val="24"/>
        </w:rPr>
        <w:t>). The ankle, knee, and hip joint angles at the time of peak NJMs were also extracted for analysis. The joint angles were combined with a regression model to calculate the maximum possible NJMs of the ankle, knee, and hip extensor muscles based on the moment-angle curves for each of these muscle groups (</w:t>
      </w:r>
      <w:r w:rsidRPr="0001660E">
        <w:rPr>
          <w:rFonts w:cstheme="minorHAnsi"/>
          <w:sz w:val="24"/>
          <w:szCs w:val="24"/>
          <w:vertAlign w:val="superscript"/>
        </w:rPr>
        <w:t>1</w:t>
      </w:r>
      <w:r w:rsidRPr="0001660E">
        <w:rPr>
          <w:rFonts w:cstheme="minorHAnsi"/>
          <w:sz w:val="24"/>
          <w:szCs w:val="24"/>
        </w:rPr>
        <w:t>). The regression-based estimates of the maximum possible NJMs were scaled to the height and mass of each player (</w:t>
      </w:r>
      <w:r w:rsidRPr="0001660E">
        <w:rPr>
          <w:rFonts w:cstheme="minorHAnsi"/>
          <w:sz w:val="24"/>
          <w:szCs w:val="24"/>
          <w:vertAlign w:val="superscript"/>
        </w:rPr>
        <w:t>1</w:t>
      </w:r>
      <w:r w:rsidRPr="0001660E">
        <w:rPr>
          <w:rFonts w:cstheme="minorHAnsi"/>
          <w:sz w:val="24"/>
          <w:szCs w:val="24"/>
        </w:rPr>
        <w:t>). Given that the pulling tasks were all isometric assessments, the joint angular velocities within the regression model were set to zero. Relative muscular effort was then calculated as the ratio between the inverse dynamics NJMs and the maximum possible NJMs. Although all dependent variables were calculated for each leg individually, the data from the left and right leg were averaged for statistical analysis. Moreover, data were averaged across each of the 3 trials at each of the 3 respective pull positions. The peak NJMs and peak GRFs were normalized to body mass (e.g., N·m·</w:t>
      </w:r>
      <w:proofErr w:type="gramStart"/>
      <w:r w:rsidRPr="0001660E">
        <w:rPr>
          <w:rFonts w:cstheme="minorHAnsi"/>
          <w:sz w:val="24"/>
          <w:szCs w:val="24"/>
        </w:rPr>
        <w:t>kg</w:t>
      </w:r>
      <w:r w:rsidRPr="0001660E">
        <w:rPr>
          <w:rFonts w:cstheme="minorHAnsi"/>
          <w:sz w:val="24"/>
          <w:szCs w:val="24"/>
          <w:vertAlign w:val="superscript"/>
        </w:rPr>
        <w:t>−1</w:t>
      </w:r>
      <w:proofErr w:type="gramEnd"/>
      <w:r w:rsidRPr="0001660E">
        <w:rPr>
          <w:rFonts w:cstheme="minorHAnsi"/>
          <w:sz w:val="24"/>
          <w:szCs w:val="24"/>
        </w:rPr>
        <w:t>).</w:t>
      </w:r>
    </w:p>
    <w:p w14:paraId="3DF912B4" w14:textId="77777777" w:rsidR="0001660E" w:rsidRPr="0001660E" w:rsidRDefault="0001660E" w:rsidP="00A9020C">
      <w:pPr>
        <w:pStyle w:val="Heading2"/>
      </w:pPr>
      <w:r w:rsidRPr="0001660E">
        <w:t>Statistical Analyses</w:t>
      </w:r>
    </w:p>
    <w:p w14:paraId="174F5644" w14:textId="749994C0" w:rsidR="0001660E" w:rsidRPr="0001660E" w:rsidRDefault="0001660E" w:rsidP="0001660E">
      <w:pPr>
        <w:rPr>
          <w:rFonts w:cstheme="minorHAnsi"/>
          <w:sz w:val="24"/>
          <w:szCs w:val="24"/>
        </w:rPr>
      </w:pPr>
      <w:r w:rsidRPr="0001660E">
        <w:rPr>
          <w:rFonts w:cstheme="minorHAnsi"/>
          <w:sz w:val="24"/>
          <w:szCs w:val="24"/>
        </w:rPr>
        <w:t>Within-session reliability of each dependent variable was assessed by calculating the intraclass correlation coefficients (ICCs) and the associated 95% confidence intervals (</w:t>
      </w:r>
      <w:r w:rsidRPr="00D5415D">
        <w:rPr>
          <w:rFonts w:cstheme="minorHAnsi"/>
          <w:sz w:val="24"/>
          <w:szCs w:val="24"/>
        </w:rPr>
        <w:t>Table 1</w:t>
      </w:r>
      <w:r w:rsidRPr="0001660E">
        <w:rPr>
          <w:rFonts w:cstheme="minorHAnsi"/>
          <w:sz w:val="24"/>
          <w:szCs w:val="24"/>
        </w:rPr>
        <w:t>) (</w:t>
      </w:r>
      <w:r w:rsidRPr="0001660E">
        <w:rPr>
          <w:rFonts w:cstheme="minorHAnsi"/>
          <w:sz w:val="24"/>
          <w:szCs w:val="24"/>
          <w:vertAlign w:val="superscript"/>
        </w:rPr>
        <w:t>2,16,22,24</w:t>
      </w:r>
      <w:r w:rsidRPr="0001660E">
        <w:rPr>
          <w:rFonts w:cstheme="minorHAnsi"/>
          <w:sz w:val="24"/>
          <w:szCs w:val="24"/>
        </w:rPr>
        <w:t>). Intraclass correlation coefficient data were interpreted as poor (&lt;0.5), moderate (0.5 to &lt;0.75), good (0.75 to &lt;0.90), and excellent (≥0.90) (</w:t>
      </w:r>
      <w:r w:rsidRPr="0001660E">
        <w:rPr>
          <w:rFonts w:cstheme="minorHAnsi"/>
          <w:sz w:val="24"/>
          <w:szCs w:val="24"/>
          <w:vertAlign w:val="superscript"/>
        </w:rPr>
        <w:t>24</w:t>
      </w:r>
      <w:r w:rsidRPr="0001660E">
        <w:rPr>
          <w:rFonts w:cstheme="minorHAnsi"/>
          <w:sz w:val="24"/>
          <w:szCs w:val="24"/>
        </w:rPr>
        <w:t>). Coefficients of variation data were also calculated (</w:t>
      </w:r>
      <w:r w:rsidRPr="00D5415D">
        <w:rPr>
          <w:rFonts w:cstheme="minorHAnsi"/>
          <w:sz w:val="24"/>
          <w:szCs w:val="24"/>
        </w:rPr>
        <w:t>Table 2</w:t>
      </w:r>
      <w:r w:rsidRPr="0001660E">
        <w:rPr>
          <w:rFonts w:cstheme="minorHAnsi"/>
          <w:sz w:val="24"/>
          <w:szCs w:val="24"/>
        </w:rPr>
        <w:t>) and interpreted as either good (&lt;5%), moderate (5% to &lt;10%), or poor (&gt;10%) (</w:t>
      </w:r>
      <w:r w:rsidRPr="0001660E">
        <w:rPr>
          <w:rFonts w:cstheme="minorHAnsi"/>
          <w:sz w:val="24"/>
          <w:szCs w:val="24"/>
          <w:vertAlign w:val="superscript"/>
        </w:rPr>
        <w:t>16</w:t>
      </w:r>
      <w:r w:rsidRPr="0001660E">
        <w:rPr>
          <w:rFonts w:cstheme="minorHAnsi"/>
          <w:sz w:val="24"/>
          <w:szCs w:val="24"/>
        </w:rPr>
        <w:t>). Three separate 2-way analyses of variance (ANOVA) were performed to investigate the effects of bar position (low, mid, and high) and joint (ankle, knee, and hip) on the NJMs, RME, and angles. The effects of bar position on GRF were investigated with a 1-way analysis of variance. Bar position and joint were treated as repeated measures. Post-hoc comparisons were made with paired </w:t>
      </w:r>
      <w:r w:rsidRPr="0001660E">
        <w:rPr>
          <w:rFonts w:cstheme="minorHAnsi"/>
          <w:i/>
          <w:iCs/>
          <w:sz w:val="24"/>
          <w:szCs w:val="24"/>
        </w:rPr>
        <w:t>t</w:t>
      </w:r>
      <w:r w:rsidRPr="0001660E">
        <w:rPr>
          <w:rFonts w:cstheme="minorHAnsi"/>
          <w:sz w:val="24"/>
          <w:szCs w:val="24"/>
        </w:rPr>
        <w:t>-tests. Significant differences in means of pair-wise comparisons are supplement with 95% confidence intervals and Hedges </w:t>
      </w:r>
      <w:r w:rsidRPr="0001660E">
        <w:rPr>
          <w:rFonts w:cstheme="minorHAnsi"/>
          <w:i/>
          <w:iCs/>
          <w:sz w:val="24"/>
          <w:szCs w:val="24"/>
        </w:rPr>
        <w:t>g</w:t>
      </w:r>
      <w:r w:rsidRPr="0001660E">
        <w:rPr>
          <w:rFonts w:cstheme="minorHAnsi"/>
          <w:sz w:val="24"/>
          <w:szCs w:val="24"/>
        </w:rPr>
        <w:t> effect sizes, which were interpreted as either small = 0.20–0.49, moderate = 0.50–0.79, and large ≥0.80, respectively (</w:t>
      </w:r>
      <w:r w:rsidRPr="0001660E">
        <w:rPr>
          <w:rFonts w:cstheme="minorHAnsi"/>
          <w:sz w:val="24"/>
          <w:szCs w:val="24"/>
          <w:vertAlign w:val="superscript"/>
        </w:rPr>
        <w:t>21,25</w:t>
      </w:r>
      <w:r w:rsidRPr="0001660E">
        <w:rPr>
          <w:rFonts w:cstheme="minorHAnsi"/>
          <w:sz w:val="24"/>
          <w:szCs w:val="24"/>
        </w:rPr>
        <w:t xml:space="preserve">). The level of statistical significance for the ANOVA was set to an α-level of 0.05. The α-level was adjusted with Bonferroni corrections in the case of multiple comparisons (e.g., among all 3 </w:t>
      </w:r>
      <w:proofErr w:type="gramStart"/>
      <w:r w:rsidRPr="0001660E">
        <w:rPr>
          <w:rFonts w:cstheme="minorHAnsi"/>
          <w:sz w:val="24"/>
          <w:szCs w:val="24"/>
        </w:rPr>
        <w:t>joints;</w:t>
      </w:r>
      <w:proofErr w:type="gramEnd"/>
      <w:r w:rsidRPr="0001660E">
        <w:rPr>
          <w:rFonts w:cstheme="minorHAnsi"/>
          <w:sz w:val="24"/>
          <w:szCs w:val="24"/>
        </w:rPr>
        <w:t xml:space="preserve"> α-level = 0.017). All statistical comparisons were performed in SPSS 26.0 (IBM Corp, Armonk, NY).</w:t>
      </w:r>
    </w:p>
    <w:p w14:paraId="59AD1E22" w14:textId="77777777" w:rsidR="0001660E" w:rsidRPr="0001660E" w:rsidRDefault="0001660E" w:rsidP="0001660E">
      <w:pPr>
        <w:rPr>
          <w:rFonts w:cstheme="minorHAnsi"/>
          <w:sz w:val="24"/>
          <w:szCs w:val="24"/>
        </w:rPr>
      </w:pPr>
      <w:r w:rsidRPr="0001660E">
        <w:rPr>
          <w:rFonts w:cstheme="minorHAnsi"/>
          <w:sz w:val="24"/>
          <w:szCs w:val="24"/>
        </w:rPr>
        <w:t>Table 1 - Within-session reliability [intraclass correlation coefficient (ICC {95% CI})] of the peak net joint moments (NJMs), relative muscle effort (RME), joint angle, and peak ground reaction forces (GRFs) across the 3 different bar positions (low, mid, and high).</w:t>
      </w:r>
    </w:p>
    <w:tbl>
      <w:tblPr>
        <w:tblStyle w:val="TableGrid"/>
        <w:tblW w:w="0" w:type="auto"/>
        <w:tblLook w:val="04A0" w:firstRow="1" w:lastRow="0" w:firstColumn="1" w:lastColumn="0" w:noHBand="0" w:noVBand="1"/>
      </w:tblPr>
      <w:tblGrid>
        <w:gridCol w:w="1144"/>
        <w:gridCol w:w="963"/>
        <w:gridCol w:w="1932"/>
        <w:gridCol w:w="2001"/>
        <w:gridCol w:w="1812"/>
      </w:tblGrid>
      <w:tr w:rsidR="008E41BF" w:rsidRPr="0001660E" w14:paraId="7B13EB8C" w14:textId="77777777" w:rsidTr="005512D3">
        <w:tc>
          <w:tcPr>
            <w:tcW w:w="0" w:type="auto"/>
            <w:hideMark/>
          </w:tcPr>
          <w:p w14:paraId="2C9ABF18" w14:textId="77777777" w:rsidR="008E41BF" w:rsidRPr="0001660E" w:rsidRDefault="008E41BF" w:rsidP="0001660E">
            <w:pPr>
              <w:rPr>
                <w:rFonts w:cstheme="minorHAnsi"/>
                <w:b/>
                <w:bCs/>
                <w:sz w:val="24"/>
                <w:szCs w:val="24"/>
              </w:rPr>
            </w:pPr>
            <w:r w:rsidRPr="0001660E">
              <w:rPr>
                <w:rFonts w:cstheme="minorHAnsi"/>
                <w:b/>
                <w:bCs/>
                <w:sz w:val="24"/>
                <w:szCs w:val="24"/>
              </w:rPr>
              <w:t>Variables</w:t>
            </w:r>
          </w:p>
        </w:tc>
        <w:tc>
          <w:tcPr>
            <w:tcW w:w="0" w:type="auto"/>
          </w:tcPr>
          <w:p w14:paraId="6169D75D" w14:textId="66B0EDAC" w:rsidR="008E41BF" w:rsidRPr="0001660E" w:rsidRDefault="008E41BF" w:rsidP="0001660E">
            <w:pPr>
              <w:rPr>
                <w:rFonts w:cstheme="minorHAnsi"/>
                <w:b/>
                <w:bCs/>
                <w:sz w:val="24"/>
                <w:szCs w:val="24"/>
              </w:rPr>
            </w:pPr>
          </w:p>
        </w:tc>
        <w:tc>
          <w:tcPr>
            <w:tcW w:w="1932" w:type="dxa"/>
            <w:hideMark/>
          </w:tcPr>
          <w:p w14:paraId="05AB62CA" w14:textId="77777777" w:rsidR="008E41BF" w:rsidRPr="0001660E" w:rsidRDefault="008E41BF" w:rsidP="0001660E">
            <w:pPr>
              <w:rPr>
                <w:rFonts w:cstheme="minorHAnsi"/>
                <w:b/>
                <w:bCs/>
                <w:sz w:val="24"/>
                <w:szCs w:val="24"/>
              </w:rPr>
            </w:pPr>
            <w:r w:rsidRPr="0001660E">
              <w:rPr>
                <w:rFonts w:cstheme="minorHAnsi"/>
                <w:b/>
                <w:bCs/>
                <w:sz w:val="24"/>
                <w:szCs w:val="24"/>
              </w:rPr>
              <w:t>Bar position</w:t>
            </w:r>
          </w:p>
        </w:tc>
        <w:tc>
          <w:tcPr>
            <w:tcW w:w="2001" w:type="dxa"/>
          </w:tcPr>
          <w:p w14:paraId="1AF99EC6" w14:textId="77777777" w:rsidR="008E41BF" w:rsidRPr="0001660E" w:rsidRDefault="008E41BF" w:rsidP="0001660E">
            <w:pPr>
              <w:rPr>
                <w:rFonts w:cstheme="minorHAnsi"/>
                <w:b/>
                <w:bCs/>
                <w:sz w:val="24"/>
                <w:szCs w:val="24"/>
              </w:rPr>
            </w:pPr>
          </w:p>
        </w:tc>
        <w:tc>
          <w:tcPr>
            <w:tcW w:w="0" w:type="auto"/>
          </w:tcPr>
          <w:p w14:paraId="347802E5" w14:textId="088C33C9" w:rsidR="008E41BF" w:rsidRPr="0001660E" w:rsidRDefault="008E41BF" w:rsidP="0001660E">
            <w:pPr>
              <w:rPr>
                <w:rFonts w:cstheme="minorHAnsi"/>
                <w:b/>
                <w:bCs/>
                <w:sz w:val="24"/>
                <w:szCs w:val="24"/>
              </w:rPr>
            </w:pPr>
          </w:p>
        </w:tc>
      </w:tr>
      <w:tr w:rsidR="008E41BF" w:rsidRPr="0001660E" w14:paraId="3C75EA79" w14:textId="77777777" w:rsidTr="005D1E52">
        <w:tc>
          <w:tcPr>
            <w:tcW w:w="0" w:type="auto"/>
            <w:hideMark/>
          </w:tcPr>
          <w:p w14:paraId="571AB897" w14:textId="77777777" w:rsidR="008E41BF" w:rsidRPr="0001660E" w:rsidRDefault="008E41BF" w:rsidP="0001660E">
            <w:pPr>
              <w:rPr>
                <w:rFonts w:cstheme="minorHAnsi"/>
                <w:b/>
                <w:bCs/>
                <w:sz w:val="24"/>
                <w:szCs w:val="24"/>
              </w:rPr>
            </w:pPr>
          </w:p>
        </w:tc>
        <w:tc>
          <w:tcPr>
            <w:tcW w:w="0" w:type="auto"/>
          </w:tcPr>
          <w:p w14:paraId="46404A54" w14:textId="734271F5" w:rsidR="008E41BF" w:rsidRPr="0001660E" w:rsidRDefault="008E41BF" w:rsidP="0001660E">
            <w:pPr>
              <w:rPr>
                <w:rFonts w:cstheme="minorHAnsi"/>
                <w:b/>
                <w:bCs/>
                <w:sz w:val="24"/>
                <w:szCs w:val="24"/>
              </w:rPr>
            </w:pPr>
          </w:p>
        </w:tc>
        <w:tc>
          <w:tcPr>
            <w:tcW w:w="0" w:type="auto"/>
            <w:hideMark/>
          </w:tcPr>
          <w:p w14:paraId="2B7044B8" w14:textId="77777777" w:rsidR="008E41BF" w:rsidRPr="0001660E" w:rsidRDefault="008E41BF" w:rsidP="0001660E">
            <w:pPr>
              <w:rPr>
                <w:rFonts w:cstheme="minorHAnsi"/>
                <w:b/>
                <w:bCs/>
                <w:sz w:val="24"/>
                <w:szCs w:val="24"/>
              </w:rPr>
            </w:pPr>
            <w:r w:rsidRPr="0001660E">
              <w:rPr>
                <w:rFonts w:cstheme="minorHAnsi"/>
                <w:b/>
                <w:bCs/>
                <w:sz w:val="24"/>
                <w:szCs w:val="24"/>
              </w:rPr>
              <w:t>Low</w:t>
            </w:r>
          </w:p>
        </w:tc>
        <w:tc>
          <w:tcPr>
            <w:tcW w:w="0" w:type="auto"/>
            <w:hideMark/>
          </w:tcPr>
          <w:p w14:paraId="0D091645" w14:textId="77777777" w:rsidR="008E41BF" w:rsidRPr="0001660E" w:rsidRDefault="008E41BF" w:rsidP="0001660E">
            <w:pPr>
              <w:rPr>
                <w:rFonts w:cstheme="minorHAnsi"/>
                <w:b/>
                <w:bCs/>
                <w:sz w:val="24"/>
                <w:szCs w:val="24"/>
              </w:rPr>
            </w:pPr>
            <w:r w:rsidRPr="0001660E">
              <w:rPr>
                <w:rFonts w:cstheme="minorHAnsi"/>
                <w:b/>
                <w:bCs/>
                <w:sz w:val="24"/>
                <w:szCs w:val="24"/>
              </w:rPr>
              <w:t>Mid</w:t>
            </w:r>
          </w:p>
        </w:tc>
        <w:tc>
          <w:tcPr>
            <w:tcW w:w="0" w:type="auto"/>
            <w:hideMark/>
          </w:tcPr>
          <w:p w14:paraId="30A81D39" w14:textId="77777777" w:rsidR="008E41BF" w:rsidRPr="0001660E" w:rsidRDefault="008E41BF" w:rsidP="0001660E">
            <w:pPr>
              <w:rPr>
                <w:rFonts w:cstheme="minorHAnsi"/>
                <w:b/>
                <w:bCs/>
                <w:sz w:val="24"/>
                <w:szCs w:val="24"/>
              </w:rPr>
            </w:pPr>
            <w:r w:rsidRPr="0001660E">
              <w:rPr>
                <w:rFonts w:cstheme="minorHAnsi"/>
                <w:b/>
                <w:bCs/>
                <w:sz w:val="24"/>
                <w:szCs w:val="24"/>
              </w:rPr>
              <w:t>High</w:t>
            </w:r>
          </w:p>
        </w:tc>
      </w:tr>
      <w:tr w:rsidR="0001660E" w:rsidRPr="0001660E" w14:paraId="27C7F467" w14:textId="77777777" w:rsidTr="00A9020C">
        <w:tc>
          <w:tcPr>
            <w:tcW w:w="0" w:type="auto"/>
            <w:hideMark/>
          </w:tcPr>
          <w:p w14:paraId="12B10AD6" w14:textId="77777777" w:rsidR="0001660E" w:rsidRPr="0001660E" w:rsidRDefault="0001660E" w:rsidP="0001660E">
            <w:pPr>
              <w:rPr>
                <w:rFonts w:cstheme="minorHAnsi"/>
                <w:sz w:val="24"/>
                <w:szCs w:val="24"/>
              </w:rPr>
            </w:pPr>
            <w:r w:rsidRPr="0001660E">
              <w:rPr>
                <w:rFonts w:cstheme="minorHAnsi"/>
                <w:sz w:val="24"/>
                <w:szCs w:val="24"/>
              </w:rPr>
              <w:t>NJMs</w:t>
            </w:r>
          </w:p>
        </w:tc>
        <w:tc>
          <w:tcPr>
            <w:tcW w:w="0" w:type="auto"/>
            <w:hideMark/>
          </w:tcPr>
          <w:p w14:paraId="2CF97648" w14:textId="77777777" w:rsidR="0001660E" w:rsidRPr="0001660E" w:rsidRDefault="0001660E" w:rsidP="0001660E">
            <w:pPr>
              <w:rPr>
                <w:rFonts w:cstheme="minorHAnsi"/>
                <w:sz w:val="24"/>
                <w:szCs w:val="24"/>
              </w:rPr>
            </w:pPr>
            <w:r w:rsidRPr="0001660E">
              <w:rPr>
                <w:rFonts w:cstheme="minorHAnsi"/>
                <w:sz w:val="24"/>
                <w:szCs w:val="24"/>
              </w:rPr>
              <w:t>Ankle</w:t>
            </w:r>
          </w:p>
        </w:tc>
        <w:tc>
          <w:tcPr>
            <w:tcW w:w="0" w:type="auto"/>
            <w:hideMark/>
          </w:tcPr>
          <w:p w14:paraId="793B6705" w14:textId="77777777" w:rsidR="0001660E" w:rsidRPr="0001660E" w:rsidRDefault="0001660E" w:rsidP="0001660E">
            <w:pPr>
              <w:rPr>
                <w:rFonts w:cstheme="minorHAnsi"/>
                <w:sz w:val="24"/>
                <w:szCs w:val="24"/>
              </w:rPr>
            </w:pPr>
            <w:r w:rsidRPr="0001660E">
              <w:rPr>
                <w:rFonts w:cstheme="minorHAnsi"/>
                <w:sz w:val="24"/>
                <w:szCs w:val="24"/>
              </w:rPr>
              <w:t>0.81 (−0.24–0.99)</w:t>
            </w:r>
          </w:p>
        </w:tc>
        <w:tc>
          <w:tcPr>
            <w:tcW w:w="0" w:type="auto"/>
            <w:hideMark/>
          </w:tcPr>
          <w:p w14:paraId="76EC13DD" w14:textId="77777777" w:rsidR="0001660E" w:rsidRPr="0001660E" w:rsidRDefault="0001660E" w:rsidP="0001660E">
            <w:pPr>
              <w:rPr>
                <w:rFonts w:cstheme="minorHAnsi"/>
                <w:sz w:val="24"/>
                <w:szCs w:val="24"/>
              </w:rPr>
            </w:pPr>
            <w:r w:rsidRPr="0001660E">
              <w:rPr>
                <w:rFonts w:cstheme="minorHAnsi"/>
                <w:sz w:val="24"/>
                <w:szCs w:val="24"/>
              </w:rPr>
              <w:t>0.83 (0.12–0.98)</w:t>
            </w:r>
          </w:p>
        </w:tc>
        <w:tc>
          <w:tcPr>
            <w:tcW w:w="0" w:type="auto"/>
            <w:hideMark/>
          </w:tcPr>
          <w:p w14:paraId="59C2F899" w14:textId="77777777" w:rsidR="0001660E" w:rsidRPr="0001660E" w:rsidRDefault="0001660E" w:rsidP="0001660E">
            <w:pPr>
              <w:rPr>
                <w:rFonts w:cstheme="minorHAnsi"/>
                <w:sz w:val="24"/>
                <w:szCs w:val="24"/>
              </w:rPr>
            </w:pPr>
            <w:r w:rsidRPr="0001660E">
              <w:rPr>
                <w:rFonts w:cstheme="minorHAnsi"/>
                <w:sz w:val="24"/>
                <w:szCs w:val="24"/>
              </w:rPr>
              <w:t>0.96 (0.81–0.99)</w:t>
            </w:r>
          </w:p>
        </w:tc>
      </w:tr>
      <w:tr w:rsidR="0001660E" w:rsidRPr="0001660E" w14:paraId="35ADC50B" w14:textId="77777777" w:rsidTr="00A9020C">
        <w:tc>
          <w:tcPr>
            <w:tcW w:w="0" w:type="auto"/>
            <w:hideMark/>
          </w:tcPr>
          <w:p w14:paraId="3CF7DFB2" w14:textId="77777777" w:rsidR="0001660E" w:rsidRPr="0001660E" w:rsidRDefault="0001660E" w:rsidP="0001660E">
            <w:pPr>
              <w:rPr>
                <w:rFonts w:cstheme="minorHAnsi"/>
                <w:sz w:val="24"/>
                <w:szCs w:val="24"/>
              </w:rPr>
            </w:pPr>
          </w:p>
        </w:tc>
        <w:tc>
          <w:tcPr>
            <w:tcW w:w="0" w:type="auto"/>
            <w:hideMark/>
          </w:tcPr>
          <w:p w14:paraId="0C4D860F" w14:textId="77777777" w:rsidR="0001660E" w:rsidRPr="0001660E" w:rsidRDefault="0001660E" w:rsidP="0001660E">
            <w:pPr>
              <w:rPr>
                <w:rFonts w:cstheme="minorHAnsi"/>
                <w:sz w:val="24"/>
                <w:szCs w:val="24"/>
              </w:rPr>
            </w:pPr>
            <w:r w:rsidRPr="0001660E">
              <w:rPr>
                <w:rFonts w:cstheme="minorHAnsi"/>
                <w:sz w:val="24"/>
                <w:szCs w:val="24"/>
              </w:rPr>
              <w:t>Knee</w:t>
            </w:r>
          </w:p>
        </w:tc>
        <w:tc>
          <w:tcPr>
            <w:tcW w:w="0" w:type="auto"/>
            <w:hideMark/>
          </w:tcPr>
          <w:p w14:paraId="151CB17D" w14:textId="77777777" w:rsidR="0001660E" w:rsidRPr="0001660E" w:rsidRDefault="0001660E" w:rsidP="0001660E">
            <w:pPr>
              <w:rPr>
                <w:rFonts w:cstheme="minorHAnsi"/>
                <w:sz w:val="24"/>
                <w:szCs w:val="24"/>
              </w:rPr>
            </w:pPr>
            <w:r w:rsidRPr="0001660E">
              <w:rPr>
                <w:rFonts w:cstheme="minorHAnsi"/>
                <w:sz w:val="24"/>
                <w:szCs w:val="24"/>
              </w:rPr>
              <w:t>0.76 (−0.56–0.98)</w:t>
            </w:r>
          </w:p>
        </w:tc>
        <w:tc>
          <w:tcPr>
            <w:tcW w:w="0" w:type="auto"/>
            <w:hideMark/>
          </w:tcPr>
          <w:p w14:paraId="08D1B931" w14:textId="77777777" w:rsidR="0001660E" w:rsidRPr="0001660E" w:rsidRDefault="0001660E" w:rsidP="0001660E">
            <w:pPr>
              <w:rPr>
                <w:rFonts w:cstheme="minorHAnsi"/>
                <w:sz w:val="24"/>
                <w:szCs w:val="24"/>
              </w:rPr>
            </w:pPr>
            <w:r w:rsidRPr="0001660E">
              <w:rPr>
                <w:rFonts w:cstheme="minorHAnsi"/>
                <w:sz w:val="24"/>
                <w:szCs w:val="24"/>
              </w:rPr>
              <w:t>0.95 (0.77–0.99)</w:t>
            </w:r>
          </w:p>
        </w:tc>
        <w:tc>
          <w:tcPr>
            <w:tcW w:w="0" w:type="auto"/>
            <w:hideMark/>
          </w:tcPr>
          <w:p w14:paraId="70BA49CA" w14:textId="77777777" w:rsidR="0001660E" w:rsidRPr="0001660E" w:rsidRDefault="0001660E" w:rsidP="0001660E">
            <w:pPr>
              <w:rPr>
                <w:rFonts w:cstheme="minorHAnsi"/>
                <w:sz w:val="24"/>
                <w:szCs w:val="24"/>
              </w:rPr>
            </w:pPr>
            <w:r w:rsidRPr="0001660E">
              <w:rPr>
                <w:rFonts w:cstheme="minorHAnsi"/>
                <w:sz w:val="24"/>
                <w:szCs w:val="24"/>
              </w:rPr>
              <w:t>0.98 (0.93–1.00)</w:t>
            </w:r>
          </w:p>
        </w:tc>
      </w:tr>
      <w:tr w:rsidR="0001660E" w:rsidRPr="0001660E" w14:paraId="0900D244" w14:textId="77777777" w:rsidTr="00A9020C">
        <w:tc>
          <w:tcPr>
            <w:tcW w:w="0" w:type="auto"/>
            <w:hideMark/>
          </w:tcPr>
          <w:p w14:paraId="666CF7CF" w14:textId="77777777" w:rsidR="0001660E" w:rsidRPr="0001660E" w:rsidRDefault="0001660E" w:rsidP="0001660E">
            <w:pPr>
              <w:rPr>
                <w:rFonts w:cstheme="minorHAnsi"/>
                <w:sz w:val="24"/>
                <w:szCs w:val="24"/>
              </w:rPr>
            </w:pPr>
          </w:p>
        </w:tc>
        <w:tc>
          <w:tcPr>
            <w:tcW w:w="0" w:type="auto"/>
            <w:hideMark/>
          </w:tcPr>
          <w:p w14:paraId="7D6B9E9B" w14:textId="77777777" w:rsidR="0001660E" w:rsidRPr="0001660E" w:rsidRDefault="0001660E" w:rsidP="0001660E">
            <w:pPr>
              <w:rPr>
                <w:rFonts w:cstheme="minorHAnsi"/>
                <w:sz w:val="24"/>
                <w:szCs w:val="24"/>
              </w:rPr>
            </w:pPr>
            <w:r w:rsidRPr="0001660E">
              <w:rPr>
                <w:rFonts w:cstheme="minorHAnsi"/>
                <w:sz w:val="24"/>
                <w:szCs w:val="24"/>
              </w:rPr>
              <w:t>Hip</w:t>
            </w:r>
          </w:p>
        </w:tc>
        <w:tc>
          <w:tcPr>
            <w:tcW w:w="0" w:type="auto"/>
            <w:hideMark/>
          </w:tcPr>
          <w:p w14:paraId="24B09B6B" w14:textId="77777777" w:rsidR="0001660E" w:rsidRPr="0001660E" w:rsidRDefault="0001660E" w:rsidP="0001660E">
            <w:pPr>
              <w:rPr>
                <w:rFonts w:cstheme="minorHAnsi"/>
                <w:sz w:val="24"/>
                <w:szCs w:val="24"/>
              </w:rPr>
            </w:pPr>
            <w:r w:rsidRPr="0001660E">
              <w:rPr>
                <w:rFonts w:cstheme="minorHAnsi"/>
                <w:sz w:val="24"/>
                <w:szCs w:val="24"/>
              </w:rPr>
              <w:t>0.95 (0.69–1.00)</w:t>
            </w:r>
          </w:p>
        </w:tc>
        <w:tc>
          <w:tcPr>
            <w:tcW w:w="0" w:type="auto"/>
            <w:hideMark/>
          </w:tcPr>
          <w:p w14:paraId="26471C22" w14:textId="77777777" w:rsidR="0001660E" w:rsidRPr="0001660E" w:rsidRDefault="0001660E" w:rsidP="0001660E">
            <w:pPr>
              <w:rPr>
                <w:rFonts w:cstheme="minorHAnsi"/>
                <w:sz w:val="24"/>
                <w:szCs w:val="24"/>
              </w:rPr>
            </w:pPr>
            <w:r w:rsidRPr="0001660E">
              <w:rPr>
                <w:rFonts w:cstheme="minorHAnsi"/>
                <w:sz w:val="24"/>
                <w:szCs w:val="24"/>
              </w:rPr>
              <w:t>0.96 (0.81–1.00)</w:t>
            </w:r>
          </w:p>
        </w:tc>
        <w:tc>
          <w:tcPr>
            <w:tcW w:w="0" w:type="auto"/>
            <w:hideMark/>
          </w:tcPr>
          <w:p w14:paraId="110F0A0A" w14:textId="77777777" w:rsidR="0001660E" w:rsidRPr="0001660E" w:rsidRDefault="0001660E" w:rsidP="0001660E">
            <w:pPr>
              <w:rPr>
                <w:rFonts w:cstheme="minorHAnsi"/>
                <w:sz w:val="24"/>
                <w:szCs w:val="24"/>
              </w:rPr>
            </w:pPr>
            <w:r w:rsidRPr="0001660E">
              <w:rPr>
                <w:rFonts w:cstheme="minorHAnsi"/>
                <w:sz w:val="24"/>
                <w:szCs w:val="24"/>
              </w:rPr>
              <w:t>0.89 (0.55–0.98)</w:t>
            </w:r>
          </w:p>
        </w:tc>
      </w:tr>
      <w:tr w:rsidR="0001660E" w:rsidRPr="0001660E" w14:paraId="7FD2624F" w14:textId="77777777" w:rsidTr="00A9020C">
        <w:tc>
          <w:tcPr>
            <w:tcW w:w="0" w:type="auto"/>
            <w:hideMark/>
          </w:tcPr>
          <w:p w14:paraId="7F8F29C1" w14:textId="77777777" w:rsidR="0001660E" w:rsidRPr="0001660E" w:rsidRDefault="0001660E" w:rsidP="0001660E">
            <w:pPr>
              <w:rPr>
                <w:rFonts w:cstheme="minorHAnsi"/>
                <w:sz w:val="24"/>
                <w:szCs w:val="24"/>
              </w:rPr>
            </w:pPr>
            <w:r w:rsidRPr="0001660E">
              <w:rPr>
                <w:rFonts w:cstheme="minorHAnsi"/>
                <w:sz w:val="24"/>
                <w:szCs w:val="24"/>
              </w:rPr>
              <w:t>RME</w:t>
            </w:r>
          </w:p>
        </w:tc>
        <w:tc>
          <w:tcPr>
            <w:tcW w:w="0" w:type="auto"/>
            <w:hideMark/>
          </w:tcPr>
          <w:p w14:paraId="3241D404" w14:textId="77777777" w:rsidR="0001660E" w:rsidRPr="0001660E" w:rsidRDefault="0001660E" w:rsidP="0001660E">
            <w:pPr>
              <w:rPr>
                <w:rFonts w:cstheme="minorHAnsi"/>
                <w:sz w:val="24"/>
                <w:szCs w:val="24"/>
              </w:rPr>
            </w:pPr>
            <w:r w:rsidRPr="0001660E">
              <w:rPr>
                <w:rFonts w:cstheme="minorHAnsi"/>
                <w:sz w:val="24"/>
                <w:szCs w:val="24"/>
              </w:rPr>
              <w:t>Ankle</w:t>
            </w:r>
          </w:p>
        </w:tc>
        <w:tc>
          <w:tcPr>
            <w:tcW w:w="0" w:type="auto"/>
            <w:hideMark/>
          </w:tcPr>
          <w:p w14:paraId="226F5D85" w14:textId="77777777" w:rsidR="0001660E" w:rsidRPr="0001660E" w:rsidRDefault="0001660E" w:rsidP="0001660E">
            <w:pPr>
              <w:rPr>
                <w:rFonts w:cstheme="minorHAnsi"/>
                <w:sz w:val="24"/>
                <w:szCs w:val="24"/>
              </w:rPr>
            </w:pPr>
            <w:r w:rsidRPr="0001660E">
              <w:rPr>
                <w:rFonts w:cstheme="minorHAnsi"/>
                <w:sz w:val="24"/>
                <w:szCs w:val="24"/>
              </w:rPr>
              <w:t>0.62 (−1.49–0.97)</w:t>
            </w:r>
          </w:p>
        </w:tc>
        <w:tc>
          <w:tcPr>
            <w:tcW w:w="0" w:type="auto"/>
            <w:hideMark/>
          </w:tcPr>
          <w:p w14:paraId="25637668" w14:textId="77777777" w:rsidR="0001660E" w:rsidRPr="0001660E" w:rsidRDefault="0001660E" w:rsidP="0001660E">
            <w:pPr>
              <w:rPr>
                <w:rFonts w:cstheme="minorHAnsi"/>
                <w:sz w:val="24"/>
                <w:szCs w:val="24"/>
              </w:rPr>
            </w:pPr>
            <w:r w:rsidRPr="0001660E">
              <w:rPr>
                <w:rFonts w:cstheme="minorHAnsi"/>
                <w:sz w:val="24"/>
                <w:szCs w:val="24"/>
              </w:rPr>
              <w:t>0.79 (−0.08–0.98)</w:t>
            </w:r>
          </w:p>
        </w:tc>
        <w:tc>
          <w:tcPr>
            <w:tcW w:w="0" w:type="auto"/>
            <w:hideMark/>
          </w:tcPr>
          <w:p w14:paraId="73C24B5F" w14:textId="77777777" w:rsidR="0001660E" w:rsidRPr="0001660E" w:rsidRDefault="0001660E" w:rsidP="0001660E">
            <w:pPr>
              <w:rPr>
                <w:rFonts w:cstheme="minorHAnsi"/>
                <w:sz w:val="24"/>
                <w:szCs w:val="24"/>
              </w:rPr>
            </w:pPr>
            <w:r w:rsidRPr="0001660E">
              <w:rPr>
                <w:rFonts w:cstheme="minorHAnsi"/>
                <w:sz w:val="24"/>
                <w:szCs w:val="24"/>
              </w:rPr>
              <w:t>0.96 (0.82–0.99)</w:t>
            </w:r>
          </w:p>
        </w:tc>
      </w:tr>
      <w:tr w:rsidR="0001660E" w:rsidRPr="0001660E" w14:paraId="2CAEE3C7" w14:textId="77777777" w:rsidTr="00A9020C">
        <w:tc>
          <w:tcPr>
            <w:tcW w:w="0" w:type="auto"/>
            <w:hideMark/>
          </w:tcPr>
          <w:p w14:paraId="451278FE" w14:textId="77777777" w:rsidR="0001660E" w:rsidRPr="0001660E" w:rsidRDefault="0001660E" w:rsidP="0001660E">
            <w:pPr>
              <w:rPr>
                <w:rFonts w:cstheme="minorHAnsi"/>
                <w:sz w:val="24"/>
                <w:szCs w:val="24"/>
              </w:rPr>
            </w:pPr>
          </w:p>
        </w:tc>
        <w:tc>
          <w:tcPr>
            <w:tcW w:w="0" w:type="auto"/>
            <w:hideMark/>
          </w:tcPr>
          <w:p w14:paraId="70B891B2" w14:textId="77777777" w:rsidR="0001660E" w:rsidRPr="0001660E" w:rsidRDefault="0001660E" w:rsidP="0001660E">
            <w:pPr>
              <w:rPr>
                <w:rFonts w:cstheme="minorHAnsi"/>
                <w:sz w:val="24"/>
                <w:szCs w:val="24"/>
              </w:rPr>
            </w:pPr>
            <w:r w:rsidRPr="0001660E">
              <w:rPr>
                <w:rFonts w:cstheme="minorHAnsi"/>
                <w:sz w:val="24"/>
                <w:szCs w:val="24"/>
              </w:rPr>
              <w:t>Knee</w:t>
            </w:r>
          </w:p>
        </w:tc>
        <w:tc>
          <w:tcPr>
            <w:tcW w:w="0" w:type="auto"/>
            <w:hideMark/>
          </w:tcPr>
          <w:p w14:paraId="73BA494E" w14:textId="77777777" w:rsidR="0001660E" w:rsidRPr="0001660E" w:rsidRDefault="0001660E" w:rsidP="0001660E">
            <w:pPr>
              <w:rPr>
                <w:rFonts w:cstheme="minorHAnsi"/>
                <w:sz w:val="24"/>
                <w:szCs w:val="24"/>
              </w:rPr>
            </w:pPr>
            <w:r w:rsidRPr="0001660E">
              <w:rPr>
                <w:rFonts w:cstheme="minorHAnsi"/>
                <w:sz w:val="24"/>
                <w:szCs w:val="24"/>
              </w:rPr>
              <w:t>0.60 (−1.63–0.97)</w:t>
            </w:r>
          </w:p>
        </w:tc>
        <w:tc>
          <w:tcPr>
            <w:tcW w:w="0" w:type="auto"/>
            <w:hideMark/>
          </w:tcPr>
          <w:p w14:paraId="4C9B280D" w14:textId="77777777" w:rsidR="0001660E" w:rsidRPr="0001660E" w:rsidRDefault="0001660E" w:rsidP="0001660E">
            <w:pPr>
              <w:rPr>
                <w:rFonts w:cstheme="minorHAnsi"/>
                <w:sz w:val="24"/>
                <w:szCs w:val="24"/>
              </w:rPr>
            </w:pPr>
            <w:r w:rsidRPr="0001660E">
              <w:rPr>
                <w:rFonts w:cstheme="minorHAnsi"/>
                <w:sz w:val="24"/>
                <w:szCs w:val="24"/>
              </w:rPr>
              <w:t>0.97 (0.82–1.00)</w:t>
            </w:r>
          </w:p>
        </w:tc>
        <w:tc>
          <w:tcPr>
            <w:tcW w:w="0" w:type="auto"/>
            <w:hideMark/>
          </w:tcPr>
          <w:p w14:paraId="775C5828" w14:textId="77777777" w:rsidR="0001660E" w:rsidRPr="0001660E" w:rsidRDefault="0001660E" w:rsidP="0001660E">
            <w:pPr>
              <w:rPr>
                <w:rFonts w:cstheme="minorHAnsi"/>
                <w:sz w:val="24"/>
                <w:szCs w:val="24"/>
              </w:rPr>
            </w:pPr>
            <w:r w:rsidRPr="0001660E">
              <w:rPr>
                <w:rFonts w:cstheme="minorHAnsi"/>
                <w:sz w:val="24"/>
                <w:szCs w:val="24"/>
              </w:rPr>
              <w:t>0.99 (0.94–1.00)</w:t>
            </w:r>
          </w:p>
        </w:tc>
      </w:tr>
      <w:tr w:rsidR="0001660E" w:rsidRPr="0001660E" w14:paraId="1E587F58" w14:textId="77777777" w:rsidTr="00A9020C">
        <w:tc>
          <w:tcPr>
            <w:tcW w:w="0" w:type="auto"/>
            <w:hideMark/>
          </w:tcPr>
          <w:p w14:paraId="4C651CD6" w14:textId="77777777" w:rsidR="0001660E" w:rsidRPr="0001660E" w:rsidRDefault="0001660E" w:rsidP="0001660E">
            <w:pPr>
              <w:rPr>
                <w:rFonts w:cstheme="minorHAnsi"/>
                <w:sz w:val="24"/>
                <w:szCs w:val="24"/>
              </w:rPr>
            </w:pPr>
          </w:p>
        </w:tc>
        <w:tc>
          <w:tcPr>
            <w:tcW w:w="0" w:type="auto"/>
            <w:hideMark/>
          </w:tcPr>
          <w:p w14:paraId="5E102BE3" w14:textId="77777777" w:rsidR="0001660E" w:rsidRPr="0001660E" w:rsidRDefault="0001660E" w:rsidP="0001660E">
            <w:pPr>
              <w:rPr>
                <w:rFonts w:cstheme="minorHAnsi"/>
                <w:sz w:val="24"/>
                <w:szCs w:val="24"/>
              </w:rPr>
            </w:pPr>
            <w:r w:rsidRPr="0001660E">
              <w:rPr>
                <w:rFonts w:cstheme="minorHAnsi"/>
                <w:sz w:val="24"/>
                <w:szCs w:val="24"/>
              </w:rPr>
              <w:t>Hip</w:t>
            </w:r>
          </w:p>
        </w:tc>
        <w:tc>
          <w:tcPr>
            <w:tcW w:w="0" w:type="auto"/>
            <w:hideMark/>
          </w:tcPr>
          <w:p w14:paraId="2D707DC1" w14:textId="77777777" w:rsidR="0001660E" w:rsidRPr="0001660E" w:rsidRDefault="0001660E" w:rsidP="0001660E">
            <w:pPr>
              <w:rPr>
                <w:rFonts w:cstheme="minorHAnsi"/>
                <w:sz w:val="24"/>
                <w:szCs w:val="24"/>
              </w:rPr>
            </w:pPr>
            <w:r w:rsidRPr="0001660E">
              <w:rPr>
                <w:rFonts w:cstheme="minorHAnsi"/>
                <w:sz w:val="24"/>
                <w:szCs w:val="24"/>
              </w:rPr>
              <w:t>0.96 (0.74–1.00)</w:t>
            </w:r>
          </w:p>
        </w:tc>
        <w:tc>
          <w:tcPr>
            <w:tcW w:w="0" w:type="auto"/>
            <w:hideMark/>
          </w:tcPr>
          <w:p w14:paraId="4F952A3B" w14:textId="77777777" w:rsidR="0001660E" w:rsidRPr="0001660E" w:rsidRDefault="0001660E" w:rsidP="0001660E">
            <w:pPr>
              <w:rPr>
                <w:rFonts w:cstheme="minorHAnsi"/>
                <w:sz w:val="24"/>
                <w:szCs w:val="24"/>
              </w:rPr>
            </w:pPr>
            <w:r w:rsidRPr="0001660E">
              <w:rPr>
                <w:rFonts w:cstheme="minorHAnsi"/>
                <w:sz w:val="24"/>
                <w:szCs w:val="24"/>
              </w:rPr>
              <w:t>0.96 (0.81–1.00)</w:t>
            </w:r>
          </w:p>
        </w:tc>
        <w:tc>
          <w:tcPr>
            <w:tcW w:w="0" w:type="auto"/>
            <w:hideMark/>
          </w:tcPr>
          <w:p w14:paraId="28820076" w14:textId="77777777" w:rsidR="0001660E" w:rsidRPr="0001660E" w:rsidRDefault="0001660E" w:rsidP="0001660E">
            <w:pPr>
              <w:rPr>
                <w:rFonts w:cstheme="minorHAnsi"/>
                <w:sz w:val="24"/>
                <w:szCs w:val="24"/>
              </w:rPr>
            </w:pPr>
            <w:r w:rsidRPr="0001660E">
              <w:rPr>
                <w:rFonts w:cstheme="minorHAnsi"/>
                <w:sz w:val="24"/>
                <w:szCs w:val="24"/>
              </w:rPr>
              <w:t>0.89 (0.54–0.98)</w:t>
            </w:r>
          </w:p>
        </w:tc>
      </w:tr>
      <w:tr w:rsidR="0001660E" w:rsidRPr="0001660E" w14:paraId="3A729E9D" w14:textId="77777777" w:rsidTr="00A9020C">
        <w:tc>
          <w:tcPr>
            <w:tcW w:w="0" w:type="auto"/>
            <w:hideMark/>
          </w:tcPr>
          <w:p w14:paraId="441A0997" w14:textId="77777777" w:rsidR="0001660E" w:rsidRPr="0001660E" w:rsidRDefault="0001660E" w:rsidP="0001660E">
            <w:pPr>
              <w:rPr>
                <w:rFonts w:cstheme="minorHAnsi"/>
                <w:sz w:val="24"/>
                <w:szCs w:val="24"/>
              </w:rPr>
            </w:pPr>
            <w:r w:rsidRPr="0001660E">
              <w:rPr>
                <w:rFonts w:cstheme="minorHAnsi"/>
                <w:sz w:val="24"/>
                <w:szCs w:val="24"/>
              </w:rPr>
              <w:t>Angle</w:t>
            </w:r>
          </w:p>
        </w:tc>
        <w:tc>
          <w:tcPr>
            <w:tcW w:w="0" w:type="auto"/>
            <w:hideMark/>
          </w:tcPr>
          <w:p w14:paraId="35EECFA8" w14:textId="77777777" w:rsidR="0001660E" w:rsidRPr="0001660E" w:rsidRDefault="0001660E" w:rsidP="0001660E">
            <w:pPr>
              <w:rPr>
                <w:rFonts w:cstheme="minorHAnsi"/>
                <w:sz w:val="24"/>
                <w:szCs w:val="24"/>
              </w:rPr>
            </w:pPr>
            <w:r w:rsidRPr="0001660E">
              <w:rPr>
                <w:rFonts w:cstheme="minorHAnsi"/>
                <w:sz w:val="24"/>
                <w:szCs w:val="24"/>
              </w:rPr>
              <w:t>Ankle</w:t>
            </w:r>
          </w:p>
        </w:tc>
        <w:tc>
          <w:tcPr>
            <w:tcW w:w="0" w:type="auto"/>
            <w:hideMark/>
          </w:tcPr>
          <w:p w14:paraId="25A125CB" w14:textId="77777777" w:rsidR="0001660E" w:rsidRPr="0001660E" w:rsidRDefault="0001660E" w:rsidP="0001660E">
            <w:pPr>
              <w:rPr>
                <w:rFonts w:cstheme="minorHAnsi"/>
                <w:sz w:val="24"/>
                <w:szCs w:val="24"/>
              </w:rPr>
            </w:pPr>
            <w:r w:rsidRPr="0001660E">
              <w:rPr>
                <w:rFonts w:cstheme="minorHAnsi"/>
                <w:sz w:val="24"/>
                <w:szCs w:val="24"/>
              </w:rPr>
              <w:t>0.99 (0.92–1.00)</w:t>
            </w:r>
          </w:p>
        </w:tc>
        <w:tc>
          <w:tcPr>
            <w:tcW w:w="0" w:type="auto"/>
            <w:hideMark/>
          </w:tcPr>
          <w:p w14:paraId="32339458" w14:textId="77777777" w:rsidR="0001660E" w:rsidRPr="0001660E" w:rsidRDefault="0001660E" w:rsidP="0001660E">
            <w:pPr>
              <w:rPr>
                <w:rFonts w:cstheme="minorHAnsi"/>
                <w:sz w:val="24"/>
                <w:szCs w:val="24"/>
              </w:rPr>
            </w:pPr>
            <w:r w:rsidRPr="0001660E">
              <w:rPr>
                <w:rFonts w:cstheme="minorHAnsi"/>
                <w:sz w:val="24"/>
                <w:szCs w:val="24"/>
              </w:rPr>
              <w:t>0.99 (0.94–1.00)</w:t>
            </w:r>
          </w:p>
        </w:tc>
        <w:tc>
          <w:tcPr>
            <w:tcW w:w="0" w:type="auto"/>
            <w:hideMark/>
          </w:tcPr>
          <w:p w14:paraId="7FCEC543" w14:textId="77777777" w:rsidR="0001660E" w:rsidRPr="0001660E" w:rsidRDefault="0001660E" w:rsidP="0001660E">
            <w:pPr>
              <w:rPr>
                <w:rFonts w:cstheme="minorHAnsi"/>
                <w:sz w:val="24"/>
                <w:szCs w:val="24"/>
              </w:rPr>
            </w:pPr>
            <w:r w:rsidRPr="0001660E">
              <w:rPr>
                <w:rFonts w:cstheme="minorHAnsi"/>
                <w:sz w:val="24"/>
                <w:szCs w:val="24"/>
              </w:rPr>
              <w:t>0.98 (0.94–1.00)</w:t>
            </w:r>
          </w:p>
        </w:tc>
      </w:tr>
      <w:tr w:rsidR="0001660E" w:rsidRPr="0001660E" w14:paraId="48EEEF27" w14:textId="77777777" w:rsidTr="00A9020C">
        <w:tc>
          <w:tcPr>
            <w:tcW w:w="0" w:type="auto"/>
            <w:hideMark/>
          </w:tcPr>
          <w:p w14:paraId="5A3BCFDD" w14:textId="77777777" w:rsidR="0001660E" w:rsidRPr="0001660E" w:rsidRDefault="0001660E" w:rsidP="0001660E">
            <w:pPr>
              <w:rPr>
                <w:rFonts w:cstheme="minorHAnsi"/>
                <w:sz w:val="24"/>
                <w:szCs w:val="24"/>
              </w:rPr>
            </w:pPr>
          </w:p>
        </w:tc>
        <w:tc>
          <w:tcPr>
            <w:tcW w:w="0" w:type="auto"/>
            <w:hideMark/>
          </w:tcPr>
          <w:p w14:paraId="43A24187" w14:textId="77777777" w:rsidR="0001660E" w:rsidRPr="0001660E" w:rsidRDefault="0001660E" w:rsidP="0001660E">
            <w:pPr>
              <w:rPr>
                <w:rFonts w:cstheme="minorHAnsi"/>
                <w:sz w:val="24"/>
                <w:szCs w:val="24"/>
              </w:rPr>
            </w:pPr>
            <w:r w:rsidRPr="0001660E">
              <w:rPr>
                <w:rFonts w:cstheme="minorHAnsi"/>
                <w:sz w:val="24"/>
                <w:szCs w:val="24"/>
              </w:rPr>
              <w:t>Knee</w:t>
            </w:r>
          </w:p>
        </w:tc>
        <w:tc>
          <w:tcPr>
            <w:tcW w:w="0" w:type="auto"/>
            <w:hideMark/>
          </w:tcPr>
          <w:p w14:paraId="42B8B5A1" w14:textId="77777777" w:rsidR="0001660E" w:rsidRPr="0001660E" w:rsidRDefault="0001660E" w:rsidP="0001660E">
            <w:pPr>
              <w:rPr>
                <w:rFonts w:cstheme="minorHAnsi"/>
                <w:sz w:val="24"/>
                <w:szCs w:val="24"/>
              </w:rPr>
            </w:pPr>
            <w:r w:rsidRPr="0001660E">
              <w:rPr>
                <w:rFonts w:cstheme="minorHAnsi"/>
                <w:sz w:val="24"/>
                <w:szCs w:val="24"/>
              </w:rPr>
              <w:t>0.95 (0.77–0.99)</w:t>
            </w:r>
          </w:p>
        </w:tc>
        <w:tc>
          <w:tcPr>
            <w:tcW w:w="0" w:type="auto"/>
            <w:hideMark/>
          </w:tcPr>
          <w:p w14:paraId="431CB64F" w14:textId="77777777" w:rsidR="0001660E" w:rsidRPr="0001660E" w:rsidRDefault="0001660E" w:rsidP="0001660E">
            <w:pPr>
              <w:rPr>
                <w:rFonts w:cstheme="minorHAnsi"/>
                <w:sz w:val="24"/>
                <w:szCs w:val="24"/>
              </w:rPr>
            </w:pPr>
            <w:r w:rsidRPr="0001660E">
              <w:rPr>
                <w:rFonts w:cstheme="minorHAnsi"/>
                <w:sz w:val="24"/>
                <w:szCs w:val="24"/>
              </w:rPr>
              <w:t>0.98 (0.91–1.00)</w:t>
            </w:r>
          </w:p>
        </w:tc>
        <w:tc>
          <w:tcPr>
            <w:tcW w:w="0" w:type="auto"/>
            <w:hideMark/>
          </w:tcPr>
          <w:p w14:paraId="3F8ABFDA" w14:textId="77777777" w:rsidR="0001660E" w:rsidRPr="0001660E" w:rsidRDefault="0001660E" w:rsidP="0001660E">
            <w:pPr>
              <w:rPr>
                <w:rFonts w:cstheme="minorHAnsi"/>
                <w:sz w:val="24"/>
                <w:szCs w:val="24"/>
              </w:rPr>
            </w:pPr>
            <w:r w:rsidRPr="0001660E">
              <w:rPr>
                <w:rFonts w:cstheme="minorHAnsi"/>
                <w:sz w:val="24"/>
                <w:szCs w:val="24"/>
              </w:rPr>
              <w:t>0.99 (0.97–1.00)</w:t>
            </w:r>
          </w:p>
        </w:tc>
      </w:tr>
      <w:tr w:rsidR="0001660E" w:rsidRPr="0001660E" w14:paraId="4D0F4FCC" w14:textId="77777777" w:rsidTr="00A9020C">
        <w:tc>
          <w:tcPr>
            <w:tcW w:w="0" w:type="auto"/>
            <w:hideMark/>
          </w:tcPr>
          <w:p w14:paraId="115986A9" w14:textId="77777777" w:rsidR="0001660E" w:rsidRPr="0001660E" w:rsidRDefault="0001660E" w:rsidP="0001660E">
            <w:pPr>
              <w:rPr>
                <w:rFonts w:cstheme="minorHAnsi"/>
                <w:sz w:val="24"/>
                <w:szCs w:val="24"/>
              </w:rPr>
            </w:pPr>
          </w:p>
        </w:tc>
        <w:tc>
          <w:tcPr>
            <w:tcW w:w="0" w:type="auto"/>
            <w:hideMark/>
          </w:tcPr>
          <w:p w14:paraId="328FAC8E" w14:textId="77777777" w:rsidR="0001660E" w:rsidRPr="0001660E" w:rsidRDefault="0001660E" w:rsidP="0001660E">
            <w:pPr>
              <w:rPr>
                <w:rFonts w:cstheme="minorHAnsi"/>
                <w:sz w:val="24"/>
                <w:szCs w:val="24"/>
              </w:rPr>
            </w:pPr>
            <w:r w:rsidRPr="0001660E">
              <w:rPr>
                <w:rFonts w:cstheme="minorHAnsi"/>
                <w:sz w:val="24"/>
                <w:szCs w:val="24"/>
              </w:rPr>
              <w:t>Hip</w:t>
            </w:r>
          </w:p>
        </w:tc>
        <w:tc>
          <w:tcPr>
            <w:tcW w:w="0" w:type="auto"/>
            <w:hideMark/>
          </w:tcPr>
          <w:p w14:paraId="4CDB8F0A" w14:textId="77777777" w:rsidR="0001660E" w:rsidRPr="0001660E" w:rsidRDefault="0001660E" w:rsidP="0001660E">
            <w:pPr>
              <w:rPr>
                <w:rFonts w:cstheme="minorHAnsi"/>
                <w:sz w:val="24"/>
                <w:szCs w:val="24"/>
              </w:rPr>
            </w:pPr>
            <w:r w:rsidRPr="0001660E">
              <w:rPr>
                <w:rFonts w:cstheme="minorHAnsi"/>
                <w:sz w:val="24"/>
                <w:szCs w:val="24"/>
              </w:rPr>
              <w:t>0.94 (0.71–0.99)</w:t>
            </w:r>
          </w:p>
        </w:tc>
        <w:tc>
          <w:tcPr>
            <w:tcW w:w="0" w:type="auto"/>
            <w:hideMark/>
          </w:tcPr>
          <w:p w14:paraId="1E0B491A" w14:textId="77777777" w:rsidR="0001660E" w:rsidRPr="0001660E" w:rsidRDefault="0001660E" w:rsidP="0001660E">
            <w:pPr>
              <w:rPr>
                <w:rFonts w:cstheme="minorHAnsi"/>
                <w:sz w:val="24"/>
                <w:szCs w:val="24"/>
              </w:rPr>
            </w:pPr>
            <w:r w:rsidRPr="0001660E">
              <w:rPr>
                <w:rFonts w:cstheme="minorHAnsi"/>
                <w:sz w:val="24"/>
                <w:szCs w:val="24"/>
              </w:rPr>
              <w:t>0.98 (0.91–1.00)</w:t>
            </w:r>
          </w:p>
        </w:tc>
        <w:tc>
          <w:tcPr>
            <w:tcW w:w="0" w:type="auto"/>
            <w:hideMark/>
          </w:tcPr>
          <w:p w14:paraId="32003573" w14:textId="77777777" w:rsidR="0001660E" w:rsidRPr="0001660E" w:rsidRDefault="0001660E" w:rsidP="0001660E">
            <w:pPr>
              <w:rPr>
                <w:rFonts w:cstheme="minorHAnsi"/>
                <w:sz w:val="24"/>
                <w:szCs w:val="24"/>
              </w:rPr>
            </w:pPr>
            <w:r w:rsidRPr="0001660E">
              <w:rPr>
                <w:rFonts w:cstheme="minorHAnsi"/>
                <w:sz w:val="24"/>
                <w:szCs w:val="24"/>
              </w:rPr>
              <w:t>0.89 (0.61–0.98)</w:t>
            </w:r>
          </w:p>
        </w:tc>
      </w:tr>
      <w:tr w:rsidR="0001660E" w:rsidRPr="0001660E" w14:paraId="50688F9E" w14:textId="77777777" w:rsidTr="00A9020C">
        <w:tc>
          <w:tcPr>
            <w:tcW w:w="0" w:type="auto"/>
            <w:hideMark/>
          </w:tcPr>
          <w:p w14:paraId="5F7528D6" w14:textId="77777777" w:rsidR="0001660E" w:rsidRPr="0001660E" w:rsidRDefault="0001660E" w:rsidP="0001660E">
            <w:pPr>
              <w:rPr>
                <w:rFonts w:cstheme="minorHAnsi"/>
                <w:sz w:val="24"/>
                <w:szCs w:val="24"/>
              </w:rPr>
            </w:pPr>
            <w:r w:rsidRPr="0001660E">
              <w:rPr>
                <w:rFonts w:cstheme="minorHAnsi"/>
                <w:sz w:val="24"/>
                <w:szCs w:val="24"/>
              </w:rPr>
              <w:t>GRFs</w:t>
            </w:r>
          </w:p>
        </w:tc>
        <w:tc>
          <w:tcPr>
            <w:tcW w:w="0" w:type="auto"/>
            <w:hideMark/>
          </w:tcPr>
          <w:p w14:paraId="2CAC90E1" w14:textId="77777777" w:rsidR="0001660E" w:rsidRPr="0001660E" w:rsidRDefault="0001660E" w:rsidP="0001660E">
            <w:pPr>
              <w:rPr>
                <w:rFonts w:cstheme="minorHAnsi"/>
                <w:sz w:val="24"/>
                <w:szCs w:val="24"/>
              </w:rPr>
            </w:pPr>
            <w:r w:rsidRPr="0001660E">
              <w:rPr>
                <w:rFonts w:cstheme="minorHAnsi"/>
                <w:sz w:val="24"/>
                <w:szCs w:val="24"/>
              </w:rPr>
              <w:t>Vertical</w:t>
            </w:r>
          </w:p>
        </w:tc>
        <w:tc>
          <w:tcPr>
            <w:tcW w:w="0" w:type="auto"/>
            <w:hideMark/>
          </w:tcPr>
          <w:p w14:paraId="733EDA3B" w14:textId="77777777" w:rsidR="0001660E" w:rsidRPr="0001660E" w:rsidRDefault="0001660E" w:rsidP="0001660E">
            <w:pPr>
              <w:rPr>
                <w:rFonts w:cstheme="minorHAnsi"/>
                <w:sz w:val="24"/>
                <w:szCs w:val="24"/>
              </w:rPr>
            </w:pPr>
            <w:r w:rsidRPr="0001660E">
              <w:rPr>
                <w:rFonts w:cstheme="minorHAnsi"/>
                <w:sz w:val="24"/>
                <w:szCs w:val="24"/>
              </w:rPr>
              <w:t>0.94 (0.68–0.99)</w:t>
            </w:r>
          </w:p>
        </w:tc>
        <w:tc>
          <w:tcPr>
            <w:tcW w:w="0" w:type="auto"/>
            <w:hideMark/>
          </w:tcPr>
          <w:p w14:paraId="4D47091C" w14:textId="77777777" w:rsidR="0001660E" w:rsidRPr="0001660E" w:rsidRDefault="0001660E" w:rsidP="0001660E">
            <w:pPr>
              <w:rPr>
                <w:rFonts w:cstheme="minorHAnsi"/>
                <w:sz w:val="24"/>
                <w:szCs w:val="24"/>
              </w:rPr>
            </w:pPr>
            <w:r w:rsidRPr="0001660E">
              <w:rPr>
                <w:rFonts w:cstheme="minorHAnsi"/>
                <w:sz w:val="24"/>
                <w:szCs w:val="24"/>
              </w:rPr>
              <w:t>0.91 (0.62–0.99)</w:t>
            </w:r>
          </w:p>
        </w:tc>
        <w:tc>
          <w:tcPr>
            <w:tcW w:w="0" w:type="auto"/>
            <w:hideMark/>
          </w:tcPr>
          <w:p w14:paraId="393564CB" w14:textId="77777777" w:rsidR="0001660E" w:rsidRPr="0001660E" w:rsidRDefault="0001660E" w:rsidP="0001660E">
            <w:pPr>
              <w:rPr>
                <w:rFonts w:cstheme="minorHAnsi"/>
                <w:sz w:val="24"/>
                <w:szCs w:val="24"/>
              </w:rPr>
            </w:pPr>
            <w:r w:rsidRPr="0001660E">
              <w:rPr>
                <w:rFonts w:cstheme="minorHAnsi"/>
                <w:sz w:val="24"/>
                <w:szCs w:val="24"/>
              </w:rPr>
              <w:t>0.77 (0.13–0.96)</w:t>
            </w:r>
          </w:p>
        </w:tc>
      </w:tr>
    </w:tbl>
    <w:p w14:paraId="565A925D" w14:textId="77777777" w:rsidR="0001660E" w:rsidRPr="0001660E" w:rsidRDefault="0001660E" w:rsidP="0001660E">
      <w:pPr>
        <w:rPr>
          <w:rFonts w:cstheme="minorHAnsi"/>
          <w:sz w:val="24"/>
          <w:szCs w:val="24"/>
        </w:rPr>
      </w:pPr>
    </w:p>
    <w:p w14:paraId="6BADDE30" w14:textId="77777777" w:rsidR="0001660E" w:rsidRPr="0001660E" w:rsidRDefault="0001660E" w:rsidP="0001660E">
      <w:pPr>
        <w:rPr>
          <w:rFonts w:cstheme="minorHAnsi"/>
          <w:sz w:val="24"/>
          <w:szCs w:val="24"/>
        </w:rPr>
      </w:pPr>
      <w:r w:rsidRPr="0001660E">
        <w:rPr>
          <w:rFonts w:cstheme="minorHAnsi"/>
          <w:sz w:val="24"/>
          <w:szCs w:val="24"/>
        </w:rPr>
        <w:t>Table 2 - Coefficient of variation (CV) and 95% confidence intervals (CIs) of the peak net joint moments (NJMs), relative muscle effort (RME), joint angle, and peak ground reaction forces (GRFs) across the 3 different bar positions (low, mid, and high).</w:t>
      </w:r>
    </w:p>
    <w:tbl>
      <w:tblPr>
        <w:tblStyle w:val="TableGrid"/>
        <w:tblW w:w="0" w:type="auto"/>
        <w:tblLook w:val="04A0" w:firstRow="1" w:lastRow="0" w:firstColumn="1" w:lastColumn="0" w:noHBand="0" w:noVBand="1"/>
      </w:tblPr>
      <w:tblGrid>
        <w:gridCol w:w="1144"/>
        <w:gridCol w:w="963"/>
        <w:gridCol w:w="1812"/>
        <w:gridCol w:w="1812"/>
        <w:gridCol w:w="1812"/>
      </w:tblGrid>
      <w:tr w:rsidR="008E41BF" w:rsidRPr="0001660E" w14:paraId="7BD26A2F" w14:textId="77777777" w:rsidTr="00DE2EDE">
        <w:tc>
          <w:tcPr>
            <w:tcW w:w="0" w:type="auto"/>
            <w:hideMark/>
          </w:tcPr>
          <w:p w14:paraId="5683780E" w14:textId="77777777" w:rsidR="008E41BF" w:rsidRPr="0001660E" w:rsidRDefault="008E41BF" w:rsidP="0001660E">
            <w:pPr>
              <w:rPr>
                <w:rFonts w:cstheme="minorHAnsi"/>
                <w:b/>
                <w:bCs/>
                <w:sz w:val="24"/>
                <w:szCs w:val="24"/>
              </w:rPr>
            </w:pPr>
            <w:r w:rsidRPr="0001660E">
              <w:rPr>
                <w:rFonts w:cstheme="minorHAnsi"/>
                <w:b/>
                <w:bCs/>
                <w:sz w:val="24"/>
                <w:szCs w:val="24"/>
              </w:rPr>
              <w:t>Variables</w:t>
            </w:r>
          </w:p>
        </w:tc>
        <w:tc>
          <w:tcPr>
            <w:tcW w:w="0" w:type="auto"/>
          </w:tcPr>
          <w:p w14:paraId="0831C091" w14:textId="4A09014B" w:rsidR="008E41BF" w:rsidRPr="0001660E" w:rsidRDefault="008E41BF" w:rsidP="0001660E">
            <w:pPr>
              <w:rPr>
                <w:rFonts w:cstheme="minorHAnsi"/>
                <w:b/>
                <w:bCs/>
                <w:sz w:val="24"/>
                <w:szCs w:val="24"/>
              </w:rPr>
            </w:pPr>
          </w:p>
        </w:tc>
        <w:tc>
          <w:tcPr>
            <w:tcW w:w="0" w:type="auto"/>
            <w:hideMark/>
          </w:tcPr>
          <w:p w14:paraId="22EBA30D" w14:textId="77777777" w:rsidR="008E41BF" w:rsidRPr="0001660E" w:rsidRDefault="008E41BF" w:rsidP="0001660E">
            <w:pPr>
              <w:rPr>
                <w:rFonts w:cstheme="minorHAnsi"/>
                <w:b/>
                <w:bCs/>
                <w:sz w:val="24"/>
                <w:szCs w:val="24"/>
              </w:rPr>
            </w:pPr>
            <w:r w:rsidRPr="0001660E">
              <w:rPr>
                <w:rFonts w:cstheme="minorHAnsi"/>
                <w:b/>
                <w:bCs/>
                <w:sz w:val="24"/>
                <w:szCs w:val="24"/>
              </w:rPr>
              <w:t>Bar position</w:t>
            </w:r>
          </w:p>
        </w:tc>
        <w:tc>
          <w:tcPr>
            <w:tcW w:w="0" w:type="auto"/>
          </w:tcPr>
          <w:p w14:paraId="44DAE298" w14:textId="77777777" w:rsidR="008E41BF" w:rsidRPr="0001660E" w:rsidRDefault="008E41BF" w:rsidP="0001660E">
            <w:pPr>
              <w:rPr>
                <w:rFonts w:cstheme="minorHAnsi"/>
                <w:b/>
                <w:bCs/>
                <w:sz w:val="24"/>
                <w:szCs w:val="24"/>
              </w:rPr>
            </w:pPr>
          </w:p>
        </w:tc>
        <w:tc>
          <w:tcPr>
            <w:tcW w:w="0" w:type="auto"/>
          </w:tcPr>
          <w:p w14:paraId="77B52827" w14:textId="3F25A9B0" w:rsidR="008E41BF" w:rsidRPr="0001660E" w:rsidRDefault="008E41BF" w:rsidP="0001660E">
            <w:pPr>
              <w:rPr>
                <w:rFonts w:cstheme="minorHAnsi"/>
                <w:b/>
                <w:bCs/>
                <w:sz w:val="24"/>
                <w:szCs w:val="24"/>
              </w:rPr>
            </w:pPr>
          </w:p>
        </w:tc>
      </w:tr>
      <w:tr w:rsidR="008E41BF" w:rsidRPr="0001660E" w14:paraId="3A592CA4" w14:textId="77777777" w:rsidTr="006D3FB4">
        <w:tc>
          <w:tcPr>
            <w:tcW w:w="0" w:type="auto"/>
            <w:hideMark/>
          </w:tcPr>
          <w:p w14:paraId="5190A949" w14:textId="77777777" w:rsidR="008E41BF" w:rsidRPr="0001660E" w:rsidRDefault="008E41BF" w:rsidP="0001660E">
            <w:pPr>
              <w:rPr>
                <w:rFonts w:cstheme="minorHAnsi"/>
                <w:b/>
                <w:bCs/>
                <w:sz w:val="24"/>
                <w:szCs w:val="24"/>
              </w:rPr>
            </w:pPr>
          </w:p>
        </w:tc>
        <w:tc>
          <w:tcPr>
            <w:tcW w:w="0" w:type="auto"/>
          </w:tcPr>
          <w:p w14:paraId="52407D64" w14:textId="1ECA4A4A" w:rsidR="008E41BF" w:rsidRPr="0001660E" w:rsidRDefault="008E41BF" w:rsidP="0001660E">
            <w:pPr>
              <w:rPr>
                <w:rFonts w:cstheme="minorHAnsi"/>
                <w:b/>
                <w:bCs/>
                <w:sz w:val="24"/>
                <w:szCs w:val="24"/>
              </w:rPr>
            </w:pPr>
          </w:p>
        </w:tc>
        <w:tc>
          <w:tcPr>
            <w:tcW w:w="0" w:type="auto"/>
            <w:hideMark/>
          </w:tcPr>
          <w:p w14:paraId="0F1749F6" w14:textId="77777777" w:rsidR="008E41BF" w:rsidRPr="0001660E" w:rsidRDefault="008E41BF" w:rsidP="0001660E">
            <w:pPr>
              <w:rPr>
                <w:rFonts w:cstheme="minorHAnsi"/>
                <w:b/>
                <w:bCs/>
                <w:sz w:val="24"/>
                <w:szCs w:val="24"/>
              </w:rPr>
            </w:pPr>
            <w:r w:rsidRPr="0001660E">
              <w:rPr>
                <w:rFonts w:cstheme="minorHAnsi"/>
                <w:b/>
                <w:bCs/>
                <w:sz w:val="24"/>
                <w:szCs w:val="24"/>
              </w:rPr>
              <w:t>Low</w:t>
            </w:r>
          </w:p>
        </w:tc>
        <w:tc>
          <w:tcPr>
            <w:tcW w:w="0" w:type="auto"/>
            <w:hideMark/>
          </w:tcPr>
          <w:p w14:paraId="0B7D13AC" w14:textId="77777777" w:rsidR="008E41BF" w:rsidRPr="0001660E" w:rsidRDefault="008E41BF" w:rsidP="0001660E">
            <w:pPr>
              <w:rPr>
                <w:rFonts w:cstheme="minorHAnsi"/>
                <w:b/>
                <w:bCs/>
                <w:sz w:val="24"/>
                <w:szCs w:val="24"/>
              </w:rPr>
            </w:pPr>
            <w:r w:rsidRPr="0001660E">
              <w:rPr>
                <w:rFonts w:cstheme="minorHAnsi"/>
                <w:b/>
                <w:bCs/>
                <w:sz w:val="24"/>
                <w:szCs w:val="24"/>
              </w:rPr>
              <w:t>Mid</w:t>
            </w:r>
          </w:p>
        </w:tc>
        <w:tc>
          <w:tcPr>
            <w:tcW w:w="0" w:type="auto"/>
            <w:hideMark/>
          </w:tcPr>
          <w:p w14:paraId="586874E4" w14:textId="77777777" w:rsidR="008E41BF" w:rsidRPr="0001660E" w:rsidRDefault="008E41BF" w:rsidP="0001660E">
            <w:pPr>
              <w:rPr>
                <w:rFonts w:cstheme="minorHAnsi"/>
                <w:b/>
                <w:bCs/>
                <w:sz w:val="24"/>
                <w:szCs w:val="24"/>
              </w:rPr>
            </w:pPr>
            <w:r w:rsidRPr="0001660E">
              <w:rPr>
                <w:rFonts w:cstheme="minorHAnsi"/>
                <w:b/>
                <w:bCs/>
                <w:sz w:val="24"/>
                <w:szCs w:val="24"/>
              </w:rPr>
              <w:t>High</w:t>
            </w:r>
          </w:p>
        </w:tc>
      </w:tr>
      <w:tr w:rsidR="0001660E" w:rsidRPr="0001660E" w14:paraId="1DFC2306" w14:textId="77777777" w:rsidTr="00A9020C">
        <w:tc>
          <w:tcPr>
            <w:tcW w:w="0" w:type="auto"/>
            <w:hideMark/>
          </w:tcPr>
          <w:p w14:paraId="0A1252F1" w14:textId="77777777" w:rsidR="0001660E" w:rsidRPr="0001660E" w:rsidRDefault="0001660E" w:rsidP="0001660E">
            <w:pPr>
              <w:rPr>
                <w:rFonts w:cstheme="minorHAnsi"/>
                <w:sz w:val="24"/>
                <w:szCs w:val="24"/>
              </w:rPr>
            </w:pPr>
            <w:r w:rsidRPr="0001660E">
              <w:rPr>
                <w:rFonts w:cstheme="minorHAnsi"/>
                <w:sz w:val="24"/>
                <w:szCs w:val="24"/>
              </w:rPr>
              <w:t>NJMs</w:t>
            </w:r>
          </w:p>
        </w:tc>
        <w:tc>
          <w:tcPr>
            <w:tcW w:w="0" w:type="auto"/>
            <w:hideMark/>
          </w:tcPr>
          <w:p w14:paraId="7C04A656" w14:textId="77777777" w:rsidR="0001660E" w:rsidRPr="0001660E" w:rsidRDefault="0001660E" w:rsidP="0001660E">
            <w:pPr>
              <w:rPr>
                <w:rFonts w:cstheme="minorHAnsi"/>
                <w:sz w:val="24"/>
                <w:szCs w:val="24"/>
              </w:rPr>
            </w:pPr>
            <w:r w:rsidRPr="0001660E">
              <w:rPr>
                <w:rFonts w:cstheme="minorHAnsi"/>
                <w:sz w:val="24"/>
                <w:szCs w:val="24"/>
              </w:rPr>
              <w:t>Ankle</w:t>
            </w:r>
          </w:p>
        </w:tc>
        <w:tc>
          <w:tcPr>
            <w:tcW w:w="0" w:type="auto"/>
            <w:hideMark/>
          </w:tcPr>
          <w:p w14:paraId="596E39AF" w14:textId="77777777" w:rsidR="0001660E" w:rsidRPr="0001660E" w:rsidRDefault="0001660E" w:rsidP="0001660E">
            <w:pPr>
              <w:rPr>
                <w:rFonts w:cstheme="minorHAnsi"/>
                <w:sz w:val="24"/>
                <w:szCs w:val="24"/>
              </w:rPr>
            </w:pPr>
            <w:r w:rsidRPr="0001660E">
              <w:rPr>
                <w:rFonts w:cstheme="minorHAnsi"/>
                <w:sz w:val="24"/>
                <w:szCs w:val="24"/>
              </w:rPr>
              <w:t>0.15 (0.10–0.34)</w:t>
            </w:r>
          </w:p>
        </w:tc>
        <w:tc>
          <w:tcPr>
            <w:tcW w:w="0" w:type="auto"/>
            <w:hideMark/>
          </w:tcPr>
          <w:p w14:paraId="74A7E5EF" w14:textId="77777777" w:rsidR="0001660E" w:rsidRPr="0001660E" w:rsidRDefault="0001660E" w:rsidP="0001660E">
            <w:pPr>
              <w:rPr>
                <w:rFonts w:cstheme="minorHAnsi"/>
                <w:sz w:val="24"/>
                <w:szCs w:val="24"/>
              </w:rPr>
            </w:pPr>
            <w:r w:rsidRPr="0001660E">
              <w:rPr>
                <w:rFonts w:cstheme="minorHAnsi"/>
                <w:sz w:val="24"/>
                <w:szCs w:val="24"/>
              </w:rPr>
              <w:t>0.26 (0.16–0.62)</w:t>
            </w:r>
          </w:p>
        </w:tc>
        <w:tc>
          <w:tcPr>
            <w:tcW w:w="0" w:type="auto"/>
            <w:hideMark/>
          </w:tcPr>
          <w:p w14:paraId="682CE939" w14:textId="77777777" w:rsidR="0001660E" w:rsidRPr="0001660E" w:rsidRDefault="0001660E" w:rsidP="0001660E">
            <w:pPr>
              <w:rPr>
                <w:rFonts w:cstheme="minorHAnsi"/>
                <w:sz w:val="24"/>
                <w:szCs w:val="24"/>
              </w:rPr>
            </w:pPr>
            <w:r w:rsidRPr="0001660E">
              <w:rPr>
                <w:rFonts w:cstheme="minorHAnsi"/>
                <w:sz w:val="24"/>
                <w:szCs w:val="24"/>
              </w:rPr>
              <w:t>0.33 (0.21–0.85)</w:t>
            </w:r>
          </w:p>
        </w:tc>
      </w:tr>
      <w:tr w:rsidR="0001660E" w:rsidRPr="0001660E" w14:paraId="61C93BA2" w14:textId="77777777" w:rsidTr="00A9020C">
        <w:tc>
          <w:tcPr>
            <w:tcW w:w="0" w:type="auto"/>
            <w:hideMark/>
          </w:tcPr>
          <w:p w14:paraId="6CD8658F" w14:textId="77777777" w:rsidR="0001660E" w:rsidRPr="0001660E" w:rsidRDefault="0001660E" w:rsidP="0001660E">
            <w:pPr>
              <w:rPr>
                <w:rFonts w:cstheme="minorHAnsi"/>
                <w:sz w:val="24"/>
                <w:szCs w:val="24"/>
              </w:rPr>
            </w:pPr>
          </w:p>
        </w:tc>
        <w:tc>
          <w:tcPr>
            <w:tcW w:w="0" w:type="auto"/>
            <w:hideMark/>
          </w:tcPr>
          <w:p w14:paraId="44BD0A9F" w14:textId="77777777" w:rsidR="0001660E" w:rsidRPr="0001660E" w:rsidRDefault="0001660E" w:rsidP="0001660E">
            <w:pPr>
              <w:rPr>
                <w:rFonts w:cstheme="minorHAnsi"/>
                <w:sz w:val="24"/>
                <w:szCs w:val="24"/>
              </w:rPr>
            </w:pPr>
            <w:r w:rsidRPr="0001660E">
              <w:rPr>
                <w:rFonts w:cstheme="minorHAnsi"/>
                <w:sz w:val="24"/>
                <w:szCs w:val="24"/>
              </w:rPr>
              <w:t>Knee</w:t>
            </w:r>
          </w:p>
        </w:tc>
        <w:tc>
          <w:tcPr>
            <w:tcW w:w="0" w:type="auto"/>
            <w:hideMark/>
          </w:tcPr>
          <w:p w14:paraId="234D505A" w14:textId="77777777" w:rsidR="0001660E" w:rsidRPr="0001660E" w:rsidRDefault="0001660E" w:rsidP="0001660E">
            <w:pPr>
              <w:rPr>
                <w:rFonts w:cstheme="minorHAnsi"/>
                <w:sz w:val="24"/>
                <w:szCs w:val="24"/>
              </w:rPr>
            </w:pPr>
            <w:r w:rsidRPr="0001660E">
              <w:rPr>
                <w:rFonts w:cstheme="minorHAnsi"/>
                <w:sz w:val="24"/>
                <w:szCs w:val="24"/>
              </w:rPr>
              <w:t>0.19 (0.12–0.43)</w:t>
            </w:r>
          </w:p>
        </w:tc>
        <w:tc>
          <w:tcPr>
            <w:tcW w:w="0" w:type="auto"/>
            <w:hideMark/>
          </w:tcPr>
          <w:p w14:paraId="68105752" w14:textId="77777777" w:rsidR="0001660E" w:rsidRPr="0001660E" w:rsidRDefault="0001660E" w:rsidP="0001660E">
            <w:pPr>
              <w:rPr>
                <w:rFonts w:cstheme="minorHAnsi"/>
                <w:sz w:val="24"/>
                <w:szCs w:val="24"/>
              </w:rPr>
            </w:pPr>
            <w:r w:rsidRPr="0001660E">
              <w:rPr>
                <w:rFonts w:cstheme="minorHAnsi"/>
                <w:sz w:val="24"/>
                <w:szCs w:val="24"/>
              </w:rPr>
              <w:t>0.35 (0.22–0.92)</w:t>
            </w:r>
          </w:p>
        </w:tc>
        <w:tc>
          <w:tcPr>
            <w:tcW w:w="0" w:type="auto"/>
            <w:hideMark/>
          </w:tcPr>
          <w:p w14:paraId="55F2E1B2" w14:textId="77777777" w:rsidR="0001660E" w:rsidRPr="0001660E" w:rsidRDefault="0001660E" w:rsidP="0001660E">
            <w:pPr>
              <w:rPr>
                <w:rFonts w:cstheme="minorHAnsi"/>
                <w:sz w:val="24"/>
                <w:szCs w:val="24"/>
              </w:rPr>
            </w:pPr>
            <w:r w:rsidRPr="0001660E">
              <w:rPr>
                <w:rFonts w:cstheme="minorHAnsi"/>
                <w:sz w:val="24"/>
                <w:szCs w:val="24"/>
              </w:rPr>
              <w:t>0.35 (0.22–0.91)</w:t>
            </w:r>
          </w:p>
        </w:tc>
      </w:tr>
      <w:tr w:rsidR="0001660E" w:rsidRPr="0001660E" w14:paraId="52B82566" w14:textId="77777777" w:rsidTr="00A9020C">
        <w:tc>
          <w:tcPr>
            <w:tcW w:w="0" w:type="auto"/>
            <w:hideMark/>
          </w:tcPr>
          <w:p w14:paraId="0001AB1E" w14:textId="77777777" w:rsidR="0001660E" w:rsidRPr="0001660E" w:rsidRDefault="0001660E" w:rsidP="0001660E">
            <w:pPr>
              <w:rPr>
                <w:rFonts w:cstheme="minorHAnsi"/>
                <w:sz w:val="24"/>
                <w:szCs w:val="24"/>
              </w:rPr>
            </w:pPr>
          </w:p>
        </w:tc>
        <w:tc>
          <w:tcPr>
            <w:tcW w:w="0" w:type="auto"/>
            <w:hideMark/>
          </w:tcPr>
          <w:p w14:paraId="5B0E5BA3" w14:textId="77777777" w:rsidR="0001660E" w:rsidRPr="0001660E" w:rsidRDefault="0001660E" w:rsidP="0001660E">
            <w:pPr>
              <w:rPr>
                <w:rFonts w:cstheme="minorHAnsi"/>
                <w:sz w:val="24"/>
                <w:szCs w:val="24"/>
              </w:rPr>
            </w:pPr>
            <w:r w:rsidRPr="0001660E">
              <w:rPr>
                <w:rFonts w:cstheme="minorHAnsi"/>
                <w:sz w:val="24"/>
                <w:szCs w:val="24"/>
              </w:rPr>
              <w:t>Hip</w:t>
            </w:r>
          </w:p>
        </w:tc>
        <w:tc>
          <w:tcPr>
            <w:tcW w:w="0" w:type="auto"/>
            <w:hideMark/>
          </w:tcPr>
          <w:p w14:paraId="50DE6FD4" w14:textId="77777777" w:rsidR="0001660E" w:rsidRPr="0001660E" w:rsidRDefault="0001660E" w:rsidP="0001660E">
            <w:pPr>
              <w:rPr>
                <w:rFonts w:cstheme="minorHAnsi"/>
                <w:sz w:val="24"/>
                <w:szCs w:val="24"/>
              </w:rPr>
            </w:pPr>
            <w:r w:rsidRPr="0001660E">
              <w:rPr>
                <w:rFonts w:cstheme="minorHAnsi"/>
                <w:sz w:val="24"/>
                <w:szCs w:val="24"/>
              </w:rPr>
              <w:t>0.16 (0.10–0.37)</w:t>
            </w:r>
          </w:p>
        </w:tc>
        <w:tc>
          <w:tcPr>
            <w:tcW w:w="0" w:type="auto"/>
            <w:hideMark/>
          </w:tcPr>
          <w:p w14:paraId="00750A23" w14:textId="77777777" w:rsidR="0001660E" w:rsidRPr="0001660E" w:rsidRDefault="0001660E" w:rsidP="0001660E">
            <w:pPr>
              <w:rPr>
                <w:rFonts w:cstheme="minorHAnsi"/>
                <w:sz w:val="24"/>
                <w:szCs w:val="24"/>
              </w:rPr>
            </w:pPr>
            <w:r w:rsidRPr="0001660E">
              <w:rPr>
                <w:rFonts w:cstheme="minorHAnsi"/>
                <w:sz w:val="24"/>
                <w:szCs w:val="24"/>
              </w:rPr>
              <w:t>0.29 (0.18–0.70)</w:t>
            </w:r>
          </w:p>
        </w:tc>
        <w:tc>
          <w:tcPr>
            <w:tcW w:w="0" w:type="auto"/>
            <w:hideMark/>
          </w:tcPr>
          <w:p w14:paraId="25128655" w14:textId="77777777" w:rsidR="0001660E" w:rsidRPr="0001660E" w:rsidRDefault="0001660E" w:rsidP="0001660E">
            <w:pPr>
              <w:rPr>
                <w:rFonts w:cstheme="minorHAnsi"/>
                <w:sz w:val="24"/>
                <w:szCs w:val="24"/>
              </w:rPr>
            </w:pPr>
            <w:r w:rsidRPr="0001660E">
              <w:rPr>
                <w:rFonts w:cstheme="minorHAnsi"/>
                <w:sz w:val="24"/>
                <w:szCs w:val="24"/>
              </w:rPr>
              <w:t>0.42 (0.26–1.17)</w:t>
            </w:r>
          </w:p>
        </w:tc>
      </w:tr>
      <w:tr w:rsidR="0001660E" w:rsidRPr="0001660E" w14:paraId="3FF6D083" w14:textId="77777777" w:rsidTr="00A9020C">
        <w:tc>
          <w:tcPr>
            <w:tcW w:w="0" w:type="auto"/>
            <w:hideMark/>
          </w:tcPr>
          <w:p w14:paraId="7D7F9A12" w14:textId="77777777" w:rsidR="0001660E" w:rsidRPr="0001660E" w:rsidRDefault="0001660E" w:rsidP="0001660E">
            <w:pPr>
              <w:rPr>
                <w:rFonts w:cstheme="minorHAnsi"/>
                <w:sz w:val="24"/>
                <w:szCs w:val="24"/>
              </w:rPr>
            </w:pPr>
            <w:r w:rsidRPr="0001660E">
              <w:rPr>
                <w:rFonts w:cstheme="minorHAnsi"/>
                <w:sz w:val="24"/>
                <w:szCs w:val="24"/>
              </w:rPr>
              <w:t>RME</w:t>
            </w:r>
          </w:p>
        </w:tc>
        <w:tc>
          <w:tcPr>
            <w:tcW w:w="0" w:type="auto"/>
            <w:hideMark/>
          </w:tcPr>
          <w:p w14:paraId="2346AF29" w14:textId="77777777" w:rsidR="0001660E" w:rsidRPr="0001660E" w:rsidRDefault="0001660E" w:rsidP="0001660E">
            <w:pPr>
              <w:rPr>
                <w:rFonts w:cstheme="minorHAnsi"/>
                <w:sz w:val="24"/>
                <w:szCs w:val="24"/>
              </w:rPr>
            </w:pPr>
            <w:r w:rsidRPr="0001660E">
              <w:rPr>
                <w:rFonts w:cstheme="minorHAnsi"/>
                <w:sz w:val="24"/>
                <w:szCs w:val="24"/>
              </w:rPr>
              <w:t>Ankle</w:t>
            </w:r>
          </w:p>
        </w:tc>
        <w:tc>
          <w:tcPr>
            <w:tcW w:w="0" w:type="auto"/>
            <w:hideMark/>
          </w:tcPr>
          <w:p w14:paraId="69BA6CDE" w14:textId="77777777" w:rsidR="0001660E" w:rsidRPr="0001660E" w:rsidRDefault="0001660E" w:rsidP="0001660E">
            <w:pPr>
              <w:rPr>
                <w:rFonts w:cstheme="minorHAnsi"/>
                <w:sz w:val="24"/>
                <w:szCs w:val="24"/>
              </w:rPr>
            </w:pPr>
            <w:r w:rsidRPr="0001660E">
              <w:rPr>
                <w:rFonts w:cstheme="minorHAnsi"/>
                <w:sz w:val="24"/>
                <w:szCs w:val="24"/>
              </w:rPr>
              <w:t>0.12 (0.08–0.27)</w:t>
            </w:r>
          </w:p>
        </w:tc>
        <w:tc>
          <w:tcPr>
            <w:tcW w:w="0" w:type="auto"/>
            <w:hideMark/>
          </w:tcPr>
          <w:p w14:paraId="2FEF6A99" w14:textId="77777777" w:rsidR="0001660E" w:rsidRPr="0001660E" w:rsidRDefault="0001660E" w:rsidP="0001660E">
            <w:pPr>
              <w:rPr>
                <w:rFonts w:cstheme="minorHAnsi"/>
                <w:sz w:val="24"/>
                <w:szCs w:val="24"/>
              </w:rPr>
            </w:pPr>
            <w:r w:rsidRPr="0001660E">
              <w:rPr>
                <w:rFonts w:cstheme="minorHAnsi"/>
                <w:sz w:val="24"/>
                <w:szCs w:val="24"/>
              </w:rPr>
              <w:t>0.27 (0.17–0.64)</w:t>
            </w:r>
          </w:p>
        </w:tc>
        <w:tc>
          <w:tcPr>
            <w:tcW w:w="0" w:type="auto"/>
            <w:hideMark/>
          </w:tcPr>
          <w:p w14:paraId="0ED94348" w14:textId="77777777" w:rsidR="0001660E" w:rsidRPr="0001660E" w:rsidRDefault="0001660E" w:rsidP="0001660E">
            <w:pPr>
              <w:rPr>
                <w:rFonts w:cstheme="minorHAnsi"/>
                <w:sz w:val="24"/>
                <w:szCs w:val="24"/>
              </w:rPr>
            </w:pPr>
            <w:r w:rsidRPr="0001660E">
              <w:rPr>
                <w:rFonts w:cstheme="minorHAnsi"/>
                <w:sz w:val="24"/>
                <w:szCs w:val="24"/>
              </w:rPr>
              <w:t>0.33 (0.21–0.85)</w:t>
            </w:r>
          </w:p>
        </w:tc>
      </w:tr>
      <w:tr w:rsidR="0001660E" w:rsidRPr="0001660E" w14:paraId="1CFEC3FB" w14:textId="77777777" w:rsidTr="00A9020C">
        <w:tc>
          <w:tcPr>
            <w:tcW w:w="0" w:type="auto"/>
            <w:hideMark/>
          </w:tcPr>
          <w:p w14:paraId="7AAA03A2" w14:textId="77777777" w:rsidR="0001660E" w:rsidRPr="0001660E" w:rsidRDefault="0001660E" w:rsidP="0001660E">
            <w:pPr>
              <w:rPr>
                <w:rFonts w:cstheme="minorHAnsi"/>
                <w:sz w:val="24"/>
                <w:szCs w:val="24"/>
              </w:rPr>
            </w:pPr>
          </w:p>
        </w:tc>
        <w:tc>
          <w:tcPr>
            <w:tcW w:w="0" w:type="auto"/>
            <w:hideMark/>
          </w:tcPr>
          <w:p w14:paraId="675A5A15" w14:textId="77777777" w:rsidR="0001660E" w:rsidRPr="0001660E" w:rsidRDefault="0001660E" w:rsidP="0001660E">
            <w:pPr>
              <w:rPr>
                <w:rFonts w:cstheme="minorHAnsi"/>
                <w:sz w:val="24"/>
                <w:szCs w:val="24"/>
              </w:rPr>
            </w:pPr>
            <w:r w:rsidRPr="0001660E">
              <w:rPr>
                <w:rFonts w:cstheme="minorHAnsi"/>
                <w:sz w:val="24"/>
                <w:szCs w:val="24"/>
              </w:rPr>
              <w:t>Knee</w:t>
            </w:r>
          </w:p>
        </w:tc>
        <w:tc>
          <w:tcPr>
            <w:tcW w:w="0" w:type="auto"/>
            <w:hideMark/>
          </w:tcPr>
          <w:p w14:paraId="103EB7C4" w14:textId="77777777" w:rsidR="0001660E" w:rsidRPr="0001660E" w:rsidRDefault="0001660E" w:rsidP="0001660E">
            <w:pPr>
              <w:rPr>
                <w:rFonts w:cstheme="minorHAnsi"/>
                <w:sz w:val="24"/>
                <w:szCs w:val="24"/>
              </w:rPr>
            </w:pPr>
            <w:r w:rsidRPr="0001660E">
              <w:rPr>
                <w:rFonts w:cstheme="minorHAnsi"/>
                <w:sz w:val="24"/>
                <w:szCs w:val="24"/>
              </w:rPr>
              <w:t>0.11 (0.07–0.24)</w:t>
            </w:r>
          </w:p>
        </w:tc>
        <w:tc>
          <w:tcPr>
            <w:tcW w:w="0" w:type="auto"/>
            <w:hideMark/>
          </w:tcPr>
          <w:p w14:paraId="511C8F67" w14:textId="77777777" w:rsidR="0001660E" w:rsidRPr="0001660E" w:rsidRDefault="0001660E" w:rsidP="0001660E">
            <w:pPr>
              <w:rPr>
                <w:rFonts w:cstheme="minorHAnsi"/>
                <w:sz w:val="24"/>
                <w:szCs w:val="24"/>
              </w:rPr>
            </w:pPr>
            <w:r w:rsidRPr="0001660E">
              <w:rPr>
                <w:rFonts w:cstheme="minorHAnsi"/>
                <w:sz w:val="24"/>
                <w:szCs w:val="24"/>
              </w:rPr>
              <w:t>0.29 (0.18–0.71)</w:t>
            </w:r>
          </w:p>
        </w:tc>
        <w:tc>
          <w:tcPr>
            <w:tcW w:w="0" w:type="auto"/>
            <w:hideMark/>
          </w:tcPr>
          <w:p w14:paraId="4FB63AE8" w14:textId="77777777" w:rsidR="0001660E" w:rsidRPr="0001660E" w:rsidRDefault="0001660E" w:rsidP="0001660E">
            <w:pPr>
              <w:rPr>
                <w:rFonts w:cstheme="minorHAnsi"/>
                <w:sz w:val="24"/>
                <w:szCs w:val="24"/>
              </w:rPr>
            </w:pPr>
            <w:r w:rsidRPr="0001660E">
              <w:rPr>
                <w:rFonts w:cstheme="minorHAnsi"/>
                <w:sz w:val="24"/>
                <w:szCs w:val="24"/>
              </w:rPr>
              <w:t>0.27 (0.17–0.66)</w:t>
            </w:r>
          </w:p>
        </w:tc>
      </w:tr>
      <w:tr w:rsidR="0001660E" w:rsidRPr="0001660E" w14:paraId="12F9F49D" w14:textId="77777777" w:rsidTr="00A9020C">
        <w:tc>
          <w:tcPr>
            <w:tcW w:w="0" w:type="auto"/>
            <w:hideMark/>
          </w:tcPr>
          <w:p w14:paraId="74B124A9" w14:textId="77777777" w:rsidR="0001660E" w:rsidRPr="0001660E" w:rsidRDefault="0001660E" w:rsidP="0001660E">
            <w:pPr>
              <w:rPr>
                <w:rFonts w:cstheme="minorHAnsi"/>
                <w:sz w:val="24"/>
                <w:szCs w:val="24"/>
              </w:rPr>
            </w:pPr>
          </w:p>
        </w:tc>
        <w:tc>
          <w:tcPr>
            <w:tcW w:w="0" w:type="auto"/>
            <w:hideMark/>
          </w:tcPr>
          <w:p w14:paraId="4AD8553D" w14:textId="77777777" w:rsidR="0001660E" w:rsidRPr="0001660E" w:rsidRDefault="0001660E" w:rsidP="0001660E">
            <w:pPr>
              <w:rPr>
                <w:rFonts w:cstheme="minorHAnsi"/>
                <w:sz w:val="24"/>
                <w:szCs w:val="24"/>
              </w:rPr>
            </w:pPr>
            <w:r w:rsidRPr="0001660E">
              <w:rPr>
                <w:rFonts w:cstheme="minorHAnsi"/>
                <w:sz w:val="24"/>
                <w:szCs w:val="24"/>
              </w:rPr>
              <w:t>Hip</w:t>
            </w:r>
          </w:p>
        </w:tc>
        <w:tc>
          <w:tcPr>
            <w:tcW w:w="0" w:type="auto"/>
            <w:hideMark/>
          </w:tcPr>
          <w:p w14:paraId="684AEA16" w14:textId="77777777" w:rsidR="0001660E" w:rsidRPr="0001660E" w:rsidRDefault="0001660E" w:rsidP="0001660E">
            <w:pPr>
              <w:rPr>
                <w:rFonts w:cstheme="minorHAnsi"/>
                <w:sz w:val="24"/>
                <w:szCs w:val="24"/>
              </w:rPr>
            </w:pPr>
            <w:r w:rsidRPr="0001660E">
              <w:rPr>
                <w:rFonts w:cstheme="minorHAnsi"/>
                <w:sz w:val="24"/>
                <w:szCs w:val="24"/>
              </w:rPr>
              <w:t>0.18 (0.12–0.42)</w:t>
            </w:r>
          </w:p>
        </w:tc>
        <w:tc>
          <w:tcPr>
            <w:tcW w:w="0" w:type="auto"/>
            <w:hideMark/>
          </w:tcPr>
          <w:p w14:paraId="1D034189" w14:textId="77777777" w:rsidR="0001660E" w:rsidRPr="0001660E" w:rsidRDefault="0001660E" w:rsidP="0001660E">
            <w:pPr>
              <w:rPr>
                <w:rFonts w:cstheme="minorHAnsi"/>
                <w:sz w:val="24"/>
                <w:szCs w:val="24"/>
              </w:rPr>
            </w:pPr>
            <w:r w:rsidRPr="0001660E">
              <w:rPr>
                <w:rFonts w:cstheme="minorHAnsi"/>
                <w:sz w:val="24"/>
                <w:szCs w:val="24"/>
              </w:rPr>
              <w:t>0.29 (0.18–0.70)</w:t>
            </w:r>
          </w:p>
        </w:tc>
        <w:tc>
          <w:tcPr>
            <w:tcW w:w="0" w:type="auto"/>
            <w:hideMark/>
          </w:tcPr>
          <w:p w14:paraId="20F5DBB2" w14:textId="77777777" w:rsidR="0001660E" w:rsidRPr="0001660E" w:rsidRDefault="0001660E" w:rsidP="0001660E">
            <w:pPr>
              <w:rPr>
                <w:rFonts w:cstheme="minorHAnsi"/>
                <w:sz w:val="24"/>
                <w:szCs w:val="24"/>
              </w:rPr>
            </w:pPr>
            <w:r w:rsidRPr="0001660E">
              <w:rPr>
                <w:rFonts w:cstheme="minorHAnsi"/>
                <w:sz w:val="24"/>
                <w:szCs w:val="24"/>
              </w:rPr>
              <w:t>0.40 (0.25–1.10)</w:t>
            </w:r>
          </w:p>
        </w:tc>
      </w:tr>
      <w:tr w:rsidR="0001660E" w:rsidRPr="0001660E" w14:paraId="1F276E0A" w14:textId="77777777" w:rsidTr="00A9020C">
        <w:tc>
          <w:tcPr>
            <w:tcW w:w="0" w:type="auto"/>
            <w:hideMark/>
          </w:tcPr>
          <w:p w14:paraId="1A29E050" w14:textId="77777777" w:rsidR="0001660E" w:rsidRPr="0001660E" w:rsidRDefault="0001660E" w:rsidP="0001660E">
            <w:pPr>
              <w:rPr>
                <w:rFonts w:cstheme="minorHAnsi"/>
                <w:sz w:val="24"/>
                <w:szCs w:val="24"/>
              </w:rPr>
            </w:pPr>
            <w:r w:rsidRPr="0001660E">
              <w:rPr>
                <w:rFonts w:cstheme="minorHAnsi"/>
                <w:sz w:val="24"/>
                <w:szCs w:val="24"/>
              </w:rPr>
              <w:t>Angle</w:t>
            </w:r>
          </w:p>
        </w:tc>
        <w:tc>
          <w:tcPr>
            <w:tcW w:w="0" w:type="auto"/>
            <w:hideMark/>
          </w:tcPr>
          <w:p w14:paraId="538F1628" w14:textId="77777777" w:rsidR="0001660E" w:rsidRPr="0001660E" w:rsidRDefault="0001660E" w:rsidP="0001660E">
            <w:pPr>
              <w:rPr>
                <w:rFonts w:cstheme="minorHAnsi"/>
                <w:sz w:val="24"/>
                <w:szCs w:val="24"/>
              </w:rPr>
            </w:pPr>
            <w:r w:rsidRPr="0001660E">
              <w:rPr>
                <w:rFonts w:cstheme="minorHAnsi"/>
                <w:sz w:val="24"/>
                <w:szCs w:val="24"/>
              </w:rPr>
              <w:t>Ankle</w:t>
            </w:r>
          </w:p>
        </w:tc>
        <w:tc>
          <w:tcPr>
            <w:tcW w:w="0" w:type="auto"/>
            <w:hideMark/>
          </w:tcPr>
          <w:p w14:paraId="3351E61B" w14:textId="77777777" w:rsidR="0001660E" w:rsidRPr="0001660E" w:rsidRDefault="0001660E" w:rsidP="0001660E">
            <w:pPr>
              <w:rPr>
                <w:rFonts w:cstheme="minorHAnsi"/>
                <w:sz w:val="24"/>
                <w:szCs w:val="24"/>
              </w:rPr>
            </w:pPr>
            <w:r w:rsidRPr="0001660E">
              <w:rPr>
                <w:rFonts w:cstheme="minorHAnsi"/>
                <w:sz w:val="24"/>
                <w:szCs w:val="24"/>
              </w:rPr>
              <w:t>0.46 (0.29–1.19)</w:t>
            </w:r>
          </w:p>
        </w:tc>
        <w:tc>
          <w:tcPr>
            <w:tcW w:w="0" w:type="auto"/>
            <w:hideMark/>
          </w:tcPr>
          <w:p w14:paraId="67F57106" w14:textId="77777777" w:rsidR="0001660E" w:rsidRPr="0001660E" w:rsidRDefault="0001660E" w:rsidP="0001660E">
            <w:pPr>
              <w:rPr>
                <w:rFonts w:cstheme="minorHAnsi"/>
                <w:sz w:val="24"/>
                <w:szCs w:val="24"/>
              </w:rPr>
            </w:pPr>
            <w:r w:rsidRPr="0001660E">
              <w:rPr>
                <w:rFonts w:cstheme="minorHAnsi"/>
                <w:sz w:val="24"/>
                <w:szCs w:val="24"/>
              </w:rPr>
              <w:t>0.56 (0.34–1.62)</w:t>
            </w:r>
          </w:p>
        </w:tc>
        <w:tc>
          <w:tcPr>
            <w:tcW w:w="0" w:type="auto"/>
            <w:hideMark/>
          </w:tcPr>
          <w:p w14:paraId="4DFDDD81" w14:textId="77777777" w:rsidR="0001660E" w:rsidRPr="0001660E" w:rsidRDefault="0001660E" w:rsidP="0001660E">
            <w:pPr>
              <w:rPr>
                <w:rFonts w:cstheme="minorHAnsi"/>
                <w:sz w:val="24"/>
                <w:szCs w:val="24"/>
              </w:rPr>
            </w:pPr>
            <w:r w:rsidRPr="0001660E">
              <w:rPr>
                <w:rFonts w:cstheme="minorHAnsi"/>
                <w:sz w:val="24"/>
                <w:szCs w:val="24"/>
              </w:rPr>
              <w:t>0.90 (0.50–5.24)</w:t>
            </w:r>
          </w:p>
        </w:tc>
      </w:tr>
      <w:tr w:rsidR="0001660E" w:rsidRPr="0001660E" w14:paraId="62FF24E6" w14:textId="77777777" w:rsidTr="00A9020C">
        <w:tc>
          <w:tcPr>
            <w:tcW w:w="0" w:type="auto"/>
            <w:hideMark/>
          </w:tcPr>
          <w:p w14:paraId="46B536BF" w14:textId="77777777" w:rsidR="0001660E" w:rsidRPr="0001660E" w:rsidRDefault="0001660E" w:rsidP="0001660E">
            <w:pPr>
              <w:rPr>
                <w:rFonts w:cstheme="minorHAnsi"/>
                <w:sz w:val="24"/>
                <w:szCs w:val="24"/>
              </w:rPr>
            </w:pPr>
          </w:p>
        </w:tc>
        <w:tc>
          <w:tcPr>
            <w:tcW w:w="0" w:type="auto"/>
            <w:hideMark/>
          </w:tcPr>
          <w:p w14:paraId="3102114F" w14:textId="77777777" w:rsidR="0001660E" w:rsidRPr="0001660E" w:rsidRDefault="0001660E" w:rsidP="0001660E">
            <w:pPr>
              <w:rPr>
                <w:rFonts w:cstheme="minorHAnsi"/>
                <w:sz w:val="24"/>
                <w:szCs w:val="24"/>
              </w:rPr>
            </w:pPr>
            <w:r w:rsidRPr="0001660E">
              <w:rPr>
                <w:rFonts w:cstheme="minorHAnsi"/>
                <w:sz w:val="24"/>
                <w:szCs w:val="24"/>
              </w:rPr>
              <w:t>Knee</w:t>
            </w:r>
          </w:p>
        </w:tc>
        <w:tc>
          <w:tcPr>
            <w:tcW w:w="0" w:type="auto"/>
            <w:hideMark/>
          </w:tcPr>
          <w:p w14:paraId="375EC7F6" w14:textId="77777777" w:rsidR="0001660E" w:rsidRPr="0001660E" w:rsidRDefault="0001660E" w:rsidP="0001660E">
            <w:pPr>
              <w:rPr>
                <w:rFonts w:cstheme="minorHAnsi"/>
                <w:sz w:val="24"/>
                <w:szCs w:val="24"/>
              </w:rPr>
            </w:pPr>
            <w:r w:rsidRPr="0001660E">
              <w:rPr>
                <w:rFonts w:cstheme="minorHAnsi"/>
                <w:sz w:val="24"/>
                <w:szCs w:val="24"/>
              </w:rPr>
              <w:t>0.21 (0.14–0.44)</w:t>
            </w:r>
          </w:p>
        </w:tc>
        <w:tc>
          <w:tcPr>
            <w:tcW w:w="0" w:type="auto"/>
            <w:hideMark/>
          </w:tcPr>
          <w:p w14:paraId="4A29EE0D" w14:textId="77777777" w:rsidR="0001660E" w:rsidRPr="0001660E" w:rsidRDefault="0001660E" w:rsidP="0001660E">
            <w:pPr>
              <w:rPr>
                <w:rFonts w:cstheme="minorHAnsi"/>
                <w:sz w:val="24"/>
                <w:szCs w:val="24"/>
              </w:rPr>
            </w:pPr>
            <w:r w:rsidRPr="0001660E">
              <w:rPr>
                <w:rFonts w:cstheme="minorHAnsi"/>
                <w:sz w:val="24"/>
                <w:szCs w:val="24"/>
              </w:rPr>
              <w:t>0.26 (0.17–0.57)</w:t>
            </w:r>
          </w:p>
        </w:tc>
        <w:tc>
          <w:tcPr>
            <w:tcW w:w="0" w:type="auto"/>
            <w:hideMark/>
          </w:tcPr>
          <w:p w14:paraId="459E3FB7" w14:textId="77777777" w:rsidR="0001660E" w:rsidRPr="0001660E" w:rsidRDefault="0001660E" w:rsidP="0001660E">
            <w:pPr>
              <w:rPr>
                <w:rFonts w:cstheme="minorHAnsi"/>
                <w:sz w:val="24"/>
                <w:szCs w:val="24"/>
              </w:rPr>
            </w:pPr>
            <w:r w:rsidRPr="0001660E">
              <w:rPr>
                <w:rFonts w:cstheme="minorHAnsi"/>
                <w:sz w:val="24"/>
                <w:szCs w:val="24"/>
              </w:rPr>
              <w:t>0.47 (0.30–1.24)</w:t>
            </w:r>
          </w:p>
        </w:tc>
      </w:tr>
      <w:tr w:rsidR="0001660E" w:rsidRPr="0001660E" w14:paraId="0F017271" w14:textId="77777777" w:rsidTr="00A9020C">
        <w:tc>
          <w:tcPr>
            <w:tcW w:w="0" w:type="auto"/>
            <w:hideMark/>
          </w:tcPr>
          <w:p w14:paraId="71376817" w14:textId="77777777" w:rsidR="0001660E" w:rsidRPr="0001660E" w:rsidRDefault="0001660E" w:rsidP="0001660E">
            <w:pPr>
              <w:rPr>
                <w:rFonts w:cstheme="minorHAnsi"/>
                <w:sz w:val="24"/>
                <w:szCs w:val="24"/>
              </w:rPr>
            </w:pPr>
          </w:p>
        </w:tc>
        <w:tc>
          <w:tcPr>
            <w:tcW w:w="0" w:type="auto"/>
            <w:hideMark/>
          </w:tcPr>
          <w:p w14:paraId="75A120B4" w14:textId="77777777" w:rsidR="0001660E" w:rsidRPr="0001660E" w:rsidRDefault="0001660E" w:rsidP="0001660E">
            <w:pPr>
              <w:rPr>
                <w:rFonts w:cstheme="minorHAnsi"/>
                <w:sz w:val="24"/>
                <w:szCs w:val="24"/>
              </w:rPr>
            </w:pPr>
            <w:r w:rsidRPr="0001660E">
              <w:rPr>
                <w:rFonts w:cstheme="minorHAnsi"/>
                <w:sz w:val="24"/>
                <w:szCs w:val="24"/>
              </w:rPr>
              <w:t>Hip</w:t>
            </w:r>
          </w:p>
        </w:tc>
        <w:tc>
          <w:tcPr>
            <w:tcW w:w="0" w:type="auto"/>
            <w:hideMark/>
          </w:tcPr>
          <w:p w14:paraId="41709E63" w14:textId="77777777" w:rsidR="0001660E" w:rsidRPr="0001660E" w:rsidRDefault="0001660E" w:rsidP="0001660E">
            <w:pPr>
              <w:rPr>
                <w:rFonts w:cstheme="minorHAnsi"/>
                <w:sz w:val="24"/>
                <w:szCs w:val="24"/>
              </w:rPr>
            </w:pPr>
            <w:r w:rsidRPr="0001660E">
              <w:rPr>
                <w:rFonts w:cstheme="minorHAnsi"/>
                <w:sz w:val="24"/>
                <w:szCs w:val="24"/>
              </w:rPr>
              <w:t>0.11 (0.07–0.22)</w:t>
            </w:r>
          </w:p>
        </w:tc>
        <w:tc>
          <w:tcPr>
            <w:tcW w:w="0" w:type="auto"/>
            <w:hideMark/>
          </w:tcPr>
          <w:p w14:paraId="187925B1" w14:textId="77777777" w:rsidR="0001660E" w:rsidRPr="0001660E" w:rsidRDefault="0001660E" w:rsidP="0001660E">
            <w:pPr>
              <w:rPr>
                <w:rFonts w:cstheme="minorHAnsi"/>
                <w:sz w:val="24"/>
                <w:szCs w:val="24"/>
              </w:rPr>
            </w:pPr>
            <w:r w:rsidRPr="0001660E">
              <w:rPr>
                <w:rFonts w:cstheme="minorHAnsi"/>
                <w:sz w:val="24"/>
                <w:szCs w:val="24"/>
              </w:rPr>
              <w:t>0.40 (0.25–0.97)</w:t>
            </w:r>
          </w:p>
        </w:tc>
        <w:tc>
          <w:tcPr>
            <w:tcW w:w="0" w:type="auto"/>
            <w:hideMark/>
          </w:tcPr>
          <w:p w14:paraId="7AA7B616" w14:textId="77777777" w:rsidR="0001660E" w:rsidRPr="0001660E" w:rsidRDefault="0001660E" w:rsidP="0001660E">
            <w:pPr>
              <w:rPr>
                <w:rFonts w:cstheme="minorHAnsi"/>
                <w:sz w:val="24"/>
                <w:szCs w:val="24"/>
              </w:rPr>
            </w:pPr>
            <w:r w:rsidRPr="0001660E">
              <w:rPr>
                <w:rFonts w:cstheme="minorHAnsi"/>
                <w:sz w:val="24"/>
                <w:szCs w:val="24"/>
              </w:rPr>
              <w:t>0.60 (0.37–1.85)</w:t>
            </w:r>
          </w:p>
        </w:tc>
      </w:tr>
      <w:tr w:rsidR="0001660E" w:rsidRPr="0001660E" w14:paraId="788F9AC3" w14:textId="77777777" w:rsidTr="00A9020C">
        <w:tc>
          <w:tcPr>
            <w:tcW w:w="0" w:type="auto"/>
            <w:hideMark/>
          </w:tcPr>
          <w:p w14:paraId="459003AF" w14:textId="77777777" w:rsidR="0001660E" w:rsidRPr="0001660E" w:rsidRDefault="0001660E" w:rsidP="0001660E">
            <w:pPr>
              <w:rPr>
                <w:rFonts w:cstheme="minorHAnsi"/>
                <w:sz w:val="24"/>
                <w:szCs w:val="24"/>
              </w:rPr>
            </w:pPr>
            <w:r w:rsidRPr="0001660E">
              <w:rPr>
                <w:rFonts w:cstheme="minorHAnsi"/>
                <w:sz w:val="24"/>
                <w:szCs w:val="24"/>
              </w:rPr>
              <w:t>GRFs</w:t>
            </w:r>
          </w:p>
        </w:tc>
        <w:tc>
          <w:tcPr>
            <w:tcW w:w="0" w:type="auto"/>
            <w:hideMark/>
          </w:tcPr>
          <w:p w14:paraId="40EA37FA" w14:textId="77777777" w:rsidR="0001660E" w:rsidRPr="0001660E" w:rsidRDefault="0001660E" w:rsidP="0001660E">
            <w:pPr>
              <w:rPr>
                <w:rFonts w:cstheme="minorHAnsi"/>
                <w:sz w:val="24"/>
                <w:szCs w:val="24"/>
              </w:rPr>
            </w:pPr>
            <w:r w:rsidRPr="0001660E">
              <w:rPr>
                <w:rFonts w:cstheme="minorHAnsi"/>
                <w:sz w:val="24"/>
                <w:szCs w:val="24"/>
              </w:rPr>
              <w:t>Vertical</w:t>
            </w:r>
          </w:p>
        </w:tc>
        <w:tc>
          <w:tcPr>
            <w:tcW w:w="0" w:type="auto"/>
            <w:hideMark/>
          </w:tcPr>
          <w:p w14:paraId="74723EC5" w14:textId="77777777" w:rsidR="0001660E" w:rsidRPr="0001660E" w:rsidRDefault="0001660E" w:rsidP="0001660E">
            <w:pPr>
              <w:rPr>
                <w:rFonts w:cstheme="minorHAnsi"/>
                <w:sz w:val="24"/>
                <w:szCs w:val="24"/>
              </w:rPr>
            </w:pPr>
            <w:r w:rsidRPr="0001660E">
              <w:rPr>
                <w:rFonts w:cstheme="minorHAnsi"/>
                <w:sz w:val="24"/>
                <w:szCs w:val="24"/>
              </w:rPr>
              <w:t>0.07 (0.05–0.15)</w:t>
            </w:r>
          </w:p>
        </w:tc>
        <w:tc>
          <w:tcPr>
            <w:tcW w:w="0" w:type="auto"/>
            <w:hideMark/>
          </w:tcPr>
          <w:p w14:paraId="5DDEFA4F" w14:textId="77777777" w:rsidR="0001660E" w:rsidRPr="0001660E" w:rsidRDefault="0001660E" w:rsidP="0001660E">
            <w:pPr>
              <w:rPr>
                <w:rFonts w:cstheme="minorHAnsi"/>
                <w:sz w:val="24"/>
                <w:szCs w:val="24"/>
              </w:rPr>
            </w:pPr>
            <w:r w:rsidRPr="0001660E">
              <w:rPr>
                <w:rFonts w:cstheme="minorHAnsi"/>
                <w:sz w:val="24"/>
                <w:szCs w:val="24"/>
              </w:rPr>
              <w:t>0.05 (0.03–0.11)</w:t>
            </w:r>
          </w:p>
        </w:tc>
        <w:tc>
          <w:tcPr>
            <w:tcW w:w="0" w:type="auto"/>
            <w:hideMark/>
          </w:tcPr>
          <w:p w14:paraId="4E359485" w14:textId="77777777" w:rsidR="0001660E" w:rsidRPr="0001660E" w:rsidRDefault="0001660E" w:rsidP="0001660E">
            <w:pPr>
              <w:rPr>
                <w:rFonts w:cstheme="minorHAnsi"/>
                <w:sz w:val="24"/>
                <w:szCs w:val="24"/>
              </w:rPr>
            </w:pPr>
            <w:r w:rsidRPr="0001660E">
              <w:rPr>
                <w:rFonts w:cstheme="minorHAnsi"/>
                <w:sz w:val="24"/>
                <w:szCs w:val="24"/>
              </w:rPr>
              <w:t>0.08 (0.05–0.16)</w:t>
            </w:r>
          </w:p>
        </w:tc>
      </w:tr>
    </w:tbl>
    <w:p w14:paraId="383132FC" w14:textId="77777777" w:rsidR="0001660E" w:rsidRPr="0001660E" w:rsidRDefault="0001660E" w:rsidP="0001660E">
      <w:pPr>
        <w:rPr>
          <w:rFonts w:cstheme="minorHAnsi"/>
          <w:sz w:val="24"/>
          <w:szCs w:val="24"/>
        </w:rPr>
      </w:pPr>
      <w:r w:rsidRPr="0001660E">
        <w:rPr>
          <w:rFonts w:cstheme="minorHAnsi"/>
          <w:sz w:val="24"/>
          <w:szCs w:val="24"/>
        </w:rPr>
        <w:br/>
      </w:r>
    </w:p>
    <w:p w14:paraId="527DC909" w14:textId="77777777" w:rsidR="0001660E" w:rsidRPr="0001660E" w:rsidRDefault="0001660E" w:rsidP="00A9020C">
      <w:pPr>
        <w:pStyle w:val="Heading1"/>
      </w:pPr>
      <w:r w:rsidRPr="0001660E">
        <w:t>Results</w:t>
      </w:r>
    </w:p>
    <w:p w14:paraId="3E962FCB" w14:textId="77777777" w:rsidR="0001660E" w:rsidRPr="0001660E" w:rsidRDefault="0001660E" w:rsidP="00A9020C">
      <w:pPr>
        <w:pStyle w:val="Heading2"/>
      </w:pPr>
      <w:r w:rsidRPr="0001660E">
        <w:t>Net Joint Moments</w:t>
      </w:r>
    </w:p>
    <w:p w14:paraId="22B44A33" w14:textId="2B6D4EAD" w:rsidR="0001660E" w:rsidRPr="0001660E" w:rsidRDefault="0001660E" w:rsidP="0001660E">
      <w:pPr>
        <w:rPr>
          <w:rFonts w:cstheme="minorHAnsi"/>
          <w:sz w:val="24"/>
          <w:szCs w:val="24"/>
        </w:rPr>
      </w:pPr>
      <w:r w:rsidRPr="0001660E">
        <w:rPr>
          <w:rFonts w:cstheme="minorHAnsi"/>
          <w:sz w:val="24"/>
          <w:szCs w:val="24"/>
        </w:rPr>
        <w:t>The statistical analysis indicated a significant interaction effect (</w:t>
      </w:r>
      <w:r w:rsidRPr="0001660E">
        <w:rPr>
          <w:rFonts w:cstheme="minorHAnsi"/>
          <w:i/>
          <w:iCs/>
          <w:sz w:val="24"/>
          <w:szCs w:val="24"/>
        </w:rPr>
        <w:t>p</w:t>
      </w:r>
      <w:r w:rsidRPr="0001660E">
        <w:rPr>
          <w:rFonts w:cstheme="minorHAnsi"/>
          <w:sz w:val="24"/>
          <w:szCs w:val="24"/>
        </w:rPr>
        <w:t> = 0.001; η</w:t>
      </w:r>
      <w:r w:rsidRPr="0001660E">
        <w:rPr>
          <w:rFonts w:cstheme="minorHAnsi"/>
          <w:sz w:val="24"/>
          <w:szCs w:val="24"/>
          <w:vertAlign w:val="superscript"/>
        </w:rPr>
        <w:t>2</w:t>
      </w:r>
      <w:r w:rsidRPr="0001660E">
        <w:rPr>
          <w:rFonts w:cstheme="minorHAnsi"/>
          <w:sz w:val="24"/>
          <w:szCs w:val="24"/>
        </w:rPr>
        <w:t> = 0.877) between joint and position on NJMs. Post-hoc tests indicated that pair-wise comparisons between the hip and ankle (</w:t>
      </w:r>
      <w:r w:rsidRPr="0001660E">
        <w:rPr>
          <w:rFonts w:cstheme="minorHAnsi"/>
          <w:i/>
          <w:iCs/>
          <w:sz w:val="24"/>
          <w:szCs w:val="24"/>
        </w:rPr>
        <w:t>difference</w:t>
      </w:r>
      <w:r w:rsidRPr="0001660E">
        <w:rPr>
          <w:rFonts w:cstheme="minorHAnsi"/>
          <w:sz w:val="24"/>
          <w:szCs w:val="24"/>
        </w:rPr>
        <w:t> = 1.43 (1.07–1.80); </w:t>
      </w:r>
      <w:r w:rsidRPr="0001660E">
        <w:rPr>
          <w:rFonts w:cstheme="minorHAnsi"/>
          <w:i/>
          <w:iCs/>
          <w:sz w:val="24"/>
          <w:szCs w:val="24"/>
        </w:rPr>
        <w:t>p</w:t>
      </w:r>
      <w:r w:rsidRPr="0001660E">
        <w:rPr>
          <w:rFonts w:cstheme="minorHAnsi"/>
          <w:sz w:val="24"/>
          <w:szCs w:val="24"/>
        </w:rPr>
        <w:t> = 0.001; </w:t>
      </w:r>
      <w:r w:rsidRPr="0001660E">
        <w:rPr>
          <w:rFonts w:cstheme="minorHAnsi"/>
          <w:i/>
          <w:iCs/>
          <w:sz w:val="24"/>
          <w:szCs w:val="24"/>
        </w:rPr>
        <w:t>g</w:t>
      </w:r>
      <w:r w:rsidRPr="0001660E">
        <w:rPr>
          <w:rFonts w:cstheme="minorHAnsi"/>
          <w:sz w:val="24"/>
          <w:szCs w:val="24"/>
        </w:rPr>
        <w:t> = 4.02), and the hip and knee (</w:t>
      </w:r>
      <w:r w:rsidRPr="0001660E">
        <w:rPr>
          <w:rFonts w:cstheme="minorHAnsi"/>
          <w:i/>
          <w:iCs/>
          <w:sz w:val="24"/>
          <w:szCs w:val="24"/>
        </w:rPr>
        <w:t>difference</w:t>
      </w:r>
      <w:r w:rsidRPr="0001660E">
        <w:rPr>
          <w:rFonts w:cstheme="minorHAnsi"/>
          <w:sz w:val="24"/>
          <w:szCs w:val="24"/>
        </w:rPr>
        <w:t> = 1.58 (1.26–1.91); </w:t>
      </w:r>
      <w:r w:rsidRPr="0001660E">
        <w:rPr>
          <w:rFonts w:cstheme="minorHAnsi"/>
          <w:i/>
          <w:iCs/>
          <w:sz w:val="24"/>
          <w:szCs w:val="24"/>
        </w:rPr>
        <w:t>p</w:t>
      </w:r>
      <w:r w:rsidRPr="0001660E">
        <w:rPr>
          <w:rFonts w:cstheme="minorHAnsi"/>
          <w:sz w:val="24"/>
          <w:szCs w:val="24"/>
        </w:rPr>
        <w:t> = 0.001; </w:t>
      </w:r>
      <w:r w:rsidRPr="0001660E">
        <w:rPr>
          <w:rFonts w:cstheme="minorHAnsi"/>
          <w:i/>
          <w:iCs/>
          <w:sz w:val="24"/>
          <w:szCs w:val="24"/>
        </w:rPr>
        <w:t>g</w:t>
      </w:r>
      <w:r w:rsidRPr="0001660E">
        <w:rPr>
          <w:rFonts w:cstheme="minorHAnsi"/>
          <w:sz w:val="24"/>
          <w:szCs w:val="24"/>
        </w:rPr>
        <w:t> = 4.41), NJMs differed in the low bar position (</w:t>
      </w:r>
      <w:r w:rsidRPr="00D5415D">
        <w:rPr>
          <w:rFonts w:cstheme="minorHAnsi"/>
          <w:sz w:val="24"/>
          <w:szCs w:val="24"/>
        </w:rPr>
        <w:t>Figure 3</w:t>
      </w:r>
      <w:r w:rsidRPr="0001660E">
        <w:rPr>
          <w:rFonts w:cstheme="minorHAnsi"/>
          <w:sz w:val="24"/>
          <w:szCs w:val="24"/>
        </w:rPr>
        <w:t>). In addition, pair-wise comparisons across bar position indicated that knee NJMs were greater in the mid than high position (</w:t>
      </w:r>
      <w:r w:rsidRPr="0001660E">
        <w:rPr>
          <w:rFonts w:cstheme="minorHAnsi"/>
          <w:i/>
          <w:iCs/>
          <w:sz w:val="24"/>
          <w:szCs w:val="24"/>
        </w:rPr>
        <w:t>difference</w:t>
      </w:r>
      <w:r w:rsidRPr="0001660E">
        <w:rPr>
          <w:rFonts w:cstheme="minorHAnsi"/>
          <w:sz w:val="24"/>
          <w:szCs w:val="24"/>
        </w:rPr>
        <w:t> = 0.46 (0.20–0.71); </w:t>
      </w:r>
      <w:r w:rsidRPr="0001660E">
        <w:rPr>
          <w:rFonts w:cstheme="minorHAnsi"/>
          <w:i/>
          <w:iCs/>
          <w:sz w:val="24"/>
          <w:szCs w:val="24"/>
        </w:rPr>
        <w:t>p</w:t>
      </w:r>
      <w:r w:rsidRPr="0001660E">
        <w:rPr>
          <w:rFonts w:cstheme="minorHAnsi"/>
          <w:sz w:val="24"/>
          <w:szCs w:val="24"/>
        </w:rPr>
        <w:t> = 0.005; </w:t>
      </w:r>
      <w:r w:rsidRPr="0001660E">
        <w:rPr>
          <w:rFonts w:cstheme="minorHAnsi"/>
          <w:i/>
          <w:iCs/>
          <w:sz w:val="24"/>
          <w:szCs w:val="24"/>
        </w:rPr>
        <w:t>g</w:t>
      </w:r>
      <w:r w:rsidRPr="0001660E">
        <w:rPr>
          <w:rFonts w:cstheme="minorHAnsi"/>
          <w:sz w:val="24"/>
          <w:szCs w:val="24"/>
        </w:rPr>
        <w:t> = 1.01), and hip NJM differed across all pair-wise comparisons of bar position (low vs. mid: </w:t>
      </w:r>
      <w:r w:rsidRPr="0001660E">
        <w:rPr>
          <w:rFonts w:cstheme="minorHAnsi"/>
          <w:i/>
          <w:iCs/>
          <w:sz w:val="24"/>
          <w:szCs w:val="24"/>
        </w:rPr>
        <w:t>difference</w:t>
      </w:r>
      <w:r w:rsidRPr="0001660E">
        <w:rPr>
          <w:rFonts w:cstheme="minorHAnsi"/>
          <w:sz w:val="24"/>
          <w:szCs w:val="24"/>
        </w:rPr>
        <w:t> = 1.49 (1.16–1.82); </w:t>
      </w:r>
      <w:r w:rsidRPr="0001660E">
        <w:rPr>
          <w:rFonts w:cstheme="minorHAnsi"/>
          <w:i/>
          <w:iCs/>
          <w:sz w:val="24"/>
          <w:szCs w:val="24"/>
        </w:rPr>
        <w:t>p</w:t>
      </w:r>
      <w:r w:rsidRPr="0001660E">
        <w:rPr>
          <w:rFonts w:cstheme="minorHAnsi"/>
          <w:sz w:val="24"/>
          <w:szCs w:val="24"/>
        </w:rPr>
        <w:t> = 0.001; </w:t>
      </w:r>
      <w:r w:rsidRPr="0001660E">
        <w:rPr>
          <w:rFonts w:cstheme="minorHAnsi"/>
          <w:i/>
          <w:iCs/>
          <w:sz w:val="24"/>
          <w:szCs w:val="24"/>
        </w:rPr>
        <w:t>g</w:t>
      </w:r>
      <w:r w:rsidRPr="0001660E">
        <w:rPr>
          <w:rFonts w:cstheme="minorHAnsi"/>
          <w:sz w:val="24"/>
          <w:szCs w:val="24"/>
        </w:rPr>
        <w:t> = 3.67, low vs. high: </w:t>
      </w:r>
      <w:r w:rsidRPr="0001660E">
        <w:rPr>
          <w:rFonts w:cstheme="minorHAnsi"/>
          <w:i/>
          <w:iCs/>
          <w:sz w:val="24"/>
          <w:szCs w:val="24"/>
        </w:rPr>
        <w:t>difference</w:t>
      </w:r>
      <w:r w:rsidRPr="0001660E">
        <w:rPr>
          <w:rFonts w:cstheme="minorHAnsi"/>
          <w:sz w:val="24"/>
          <w:szCs w:val="24"/>
        </w:rPr>
        <w:t> = 1.90 (1.59–2.22); </w:t>
      </w:r>
      <w:r w:rsidRPr="0001660E">
        <w:rPr>
          <w:rFonts w:cstheme="minorHAnsi"/>
          <w:i/>
          <w:iCs/>
          <w:sz w:val="24"/>
          <w:szCs w:val="24"/>
        </w:rPr>
        <w:t>p</w:t>
      </w:r>
      <w:r w:rsidRPr="0001660E">
        <w:rPr>
          <w:rFonts w:cstheme="minorHAnsi"/>
          <w:sz w:val="24"/>
          <w:szCs w:val="24"/>
        </w:rPr>
        <w:t> = 0.001; </w:t>
      </w:r>
      <w:r w:rsidRPr="0001660E">
        <w:rPr>
          <w:rFonts w:cstheme="minorHAnsi"/>
          <w:i/>
          <w:iCs/>
          <w:sz w:val="24"/>
          <w:szCs w:val="24"/>
        </w:rPr>
        <w:t>g</w:t>
      </w:r>
      <w:r w:rsidRPr="0001660E">
        <w:rPr>
          <w:rFonts w:cstheme="minorHAnsi"/>
          <w:sz w:val="24"/>
          <w:szCs w:val="24"/>
        </w:rPr>
        <w:t> = 4.90, mid vs. high: </w:t>
      </w:r>
      <w:r w:rsidRPr="0001660E">
        <w:rPr>
          <w:rFonts w:cstheme="minorHAnsi"/>
          <w:i/>
          <w:iCs/>
          <w:sz w:val="24"/>
          <w:szCs w:val="24"/>
        </w:rPr>
        <w:t>difference</w:t>
      </w:r>
      <w:r w:rsidRPr="0001660E">
        <w:rPr>
          <w:rFonts w:cstheme="minorHAnsi"/>
          <w:sz w:val="24"/>
          <w:szCs w:val="24"/>
        </w:rPr>
        <w:t> = 0.42 (0.21–0.62); </w:t>
      </w:r>
      <w:r w:rsidRPr="0001660E">
        <w:rPr>
          <w:rFonts w:cstheme="minorHAnsi"/>
          <w:i/>
          <w:iCs/>
          <w:sz w:val="24"/>
          <w:szCs w:val="24"/>
        </w:rPr>
        <w:t>p</w:t>
      </w:r>
      <w:r w:rsidRPr="0001660E">
        <w:rPr>
          <w:rFonts w:cstheme="minorHAnsi"/>
          <w:sz w:val="24"/>
          <w:szCs w:val="24"/>
        </w:rPr>
        <w:t> = 0.002; </w:t>
      </w:r>
      <w:r w:rsidRPr="0001660E">
        <w:rPr>
          <w:rFonts w:cstheme="minorHAnsi"/>
          <w:i/>
          <w:iCs/>
          <w:sz w:val="24"/>
          <w:szCs w:val="24"/>
        </w:rPr>
        <w:t>g</w:t>
      </w:r>
      <w:r w:rsidRPr="0001660E">
        <w:rPr>
          <w:rFonts w:cstheme="minorHAnsi"/>
          <w:sz w:val="24"/>
          <w:szCs w:val="24"/>
        </w:rPr>
        <w:t> = 1.34). Ankle NJMs did not change with bar position.</w:t>
      </w:r>
    </w:p>
    <w:p w14:paraId="66411D58" w14:textId="77777777" w:rsidR="00A9020C" w:rsidRDefault="0001660E" w:rsidP="00A9020C">
      <w:pPr>
        <w:pStyle w:val="NoSpacing"/>
      </w:pPr>
      <w:r w:rsidRPr="0001660E">
        <w:rPr>
          <w:noProof/>
        </w:rPr>
        <w:drawing>
          <wp:inline distT="0" distB="0" distL="0" distR="0" wp14:anchorId="54E9913A" wp14:editId="758D6787">
            <wp:extent cx="2190115" cy="2179955"/>
            <wp:effectExtent l="0" t="0" r="635" b="0"/>
            <wp:docPr id="4" name="Picture 4" descr="Figure 3.">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ure 3.">
                      <a:hlinkClick r:id="rId10"/>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190115" cy="2179955"/>
                    </a:xfrm>
                    <a:prstGeom prst="rect">
                      <a:avLst/>
                    </a:prstGeom>
                    <a:noFill/>
                    <a:ln>
                      <a:noFill/>
                    </a:ln>
                  </pic:spPr>
                </pic:pic>
              </a:graphicData>
            </a:graphic>
          </wp:inline>
        </w:drawing>
      </w:r>
    </w:p>
    <w:p w14:paraId="0BEF6DA5" w14:textId="21E71B2B" w:rsidR="0001660E" w:rsidRDefault="0001660E" w:rsidP="00A9020C">
      <w:pPr>
        <w:pStyle w:val="NoSpacing"/>
      </w:pPr>
      <w:r w:rsidRPr="00D5415D">
        <w:rPr>
          <w:rFonts w:cstheme="minorHAnsi"/>
          <w:b/>
          <w:bCs/>
          <w:sz w:val="24"/>
          <w:szCs w:val="24"/>
        </w:rPr>
        <w:t>Figure 3.: </w:t>
      </w:r>
      <w:r w:rsidRPr="0001660E">
        <w:t>Mean ± </w:t>
      </w:r>
      <w:r w:rsidRPr="0001660E">
        <w:rPr>
          <w:i/>
          <w:iCs/>
        </w:rPr>
        <w:t>SD</w:t>
      </w:r>
      <w:r w:rsidRPr="0001660E">
        <w:t> peak ankle, knee, and hip net joint moments (NJMs: N·m·</w:t>
      </w:r>
      <w:proofErr w:type="gramStart"/>
      <w:r w:rsidRPr="0001660E">
        <w:t>kg</w:t>
      </w:r>
      <w:r w:rsidRPr="0001660E">
        <w:rPr>
          <w:vertAlign w:val="superscript"/>
        </w:rPr>
        <w:t>−1</w:t>
      </w:r>
      <w:proofErr w:type="gramEnd"/>
      <w:r w:rsidRPr="0001660E">
        <w:t>) for all subjects during isometric pulls at 3 different bar positions (circle = low; square = mid; and triangle = high). Note: for statistical comparisons, solid lines are used to indicate differences because of bar position, whereas dotted lines are used to indicate differences between joints. *Significance </w:t>
      </w:r>
      <w:r w:rsidRPr="0001660E">
        <w:rPr>
          <w:i/>
          <w:iCs/>
        </w:rPr>
        <w:t>p</w:t>
      </w:r>
      <w:r w:rsidRPr="0001660E">
        <w:t> &lt; 0.017.</w:t>
      </w:r>
    </w:p>
    <w:p w14:paraId="481C1AEF" w14:textId="77777777" w:rsidR="00A9020C" w:rsidRPr="0001660E" w:rsidRDefault="00A9020C" w:rsidP="0001660E">
      <w:pPr>
        <w:rPr>
          <w:rFonts w:cstheme="minorHAnsi"/>
          <w:sz w:val="24"/>
          <w:szCs w:val="24"/>
        </w:rPr>
      </w:pPr>
    </w:p>
    <w:p w14:paraId="7B4DFFAC" w14:textId="77777777" w:rsidR="0001660E" w:rsidRPr="0001660E" w:rsidRDefault="0001660E" w:rsidP="003525B2">
      <w:pPr>
        <w:pStyle w:val="Heading2"/>
      </w:pPr>
      <w:r w:rsidRPr="0001660E">
        <w:t>Relative Muscular Effort</w:t>
      </w:r>
    </w:p>
    <w:p w14:paraId="7A56542E" w14:textId="248FC00A" w:rsidR="0001660E" w:rsidRPr="0001660E" w:rsidRDefault="0001660E" w:rsidP="0001660E">
      <w:pPr>
        <w:rPr>
          <w:rFonts w:cstheme="minorHAnsi"/>
          <w:sz w:val="24"/>
          <w:szCs w:val="24"/>
        </w:rPr>
      </w:pPr>
      <w:r w:rsidRPr="0001660E">
        <w:rPr>
          <w:rFonts w:cstheme="minorHAnsi"/>
          <w:sz w:val="24"/>
          <w:szCs w:val="24"/>
        </w:rPr>
        <w:t>The statistical analysis indicated a significant interaction effect (</w:t>
      </w:r>
      <w:r w:rsidRPr="0001660E">
        <w:rPr>
          <w:rFonts w:cstheme="minorHAnsi"/>
          <w:i/>
          <w:iCs/>
          <w:sz w:val="24"/>
          <w:szCs w:val="24"/>
        </w:rPr>
        <w:t>p</w:t>
      </w:r>
      <w:r w:rsidRPr="0001660E">
        <w:rPr>
          <w:rFonts w:cstheme="minorHAnsi"/>
          <w:sz w:val="24"/>
          <w:szCs w:val="24"/>
        </w:rPr>
        <w:t> = 0.001; η</w:t>
      </w:r>
      <w:r w:rsidRPr="0001660E">
        <w:rPr>
          <w:rFonts w:cstheme="minorHAnsi"/>
          <w:sz w:val="24"/>
          <w:szCs w:val="24"/>
          <w:vertAlign w:val="superscript"/>
        </w:rPr>
        <w:t>2</w:t>
      </w:r>
      <w:r w:rsidRPr="0001660E">
        <w:rPr>
          <w:rFonts w:cstheme="minorHAnsi"/>
          <w:sz w:val="24"/>
          <w:szCs w:val="24"/>
        </w:rPr>
        <w:t> = 0.740) between joint and position on RME. Post-hoc tests indicated that in the low bar position knee, RME was lower than ankle (</w:t>
      </w:r>
      <w:r w:rsidRPr="0001660E">
        <w:rPr>
          <w:rFonts w:cstheme="minorHAnsi"/>
          <w:i/>
          <w:iCs/>
          <w:sz w:val="24"/>
          <w:szCs w:val="24"/>
        </w:rPr>
        <w:t>difference</w:t>
      </w:r>
      <w:r w:rsidRPr="0001660E">
        <w:rPr>
          <w:rFonts w:cstheme="minorHAnsi"/>
          <w:sz w:val="24"/>
          <w:szCs w:val="24"/>
        </w:rPr>
        <w:t> = 0.24 (0.16–0.31); </w:t>
      </w:r>
      <w:r w:rsidRPr="0001660E">
        <w:rPr>
          <w:rFonts w:cstheme="minorHAnsi"/>
          <w:i/>
          <w:iCs/>
          <w:sz w:val="24"/>
          <w:szCs w:val="24"/>
        </w:rPr>
        <w:t>p</w:t>
      </w:r>
      <w:r w:rsidRPr="0001660E">
        <w:rPr>
          <w:rFonts w:cstheme="minorHAnsi"/>
          <w:sz w:val="24"/>
          <w:szCs w:val="24"/>
        </w:rPr>
        <w:t> = 0.001; </w:t>
      </w:r>
      <w:r w:rsidRPr="0001660E">
        <w:rPr>
          <w:rFonts w:cstheme="minorHAnsi"/>
          <w:i/>
          <w:iCs/>
          <w:sz w:val="24"/>
          <w:szCs w:val="24"/>
        </w:rPr>
        <w:t>g</w:t>
      </w:r>
      <w:r w:rsidRPr="0001660E">
        <w:rPr>
          <w:rFonts w:cstheme="minorHAnsi"/>
          <w:sz w:val="24"/>
          <w:szCs w:val="24"/>
        </w:rPr>
        <w:t> = 3.49) and hip (</w:t>
      </w:r>
      <w:r w:rsidRPr="0001660E">
        <w:rPr>
          <w:rFonts w:cstheme="minorHAnsi"/>
          <w:i/>
          <w:iCs/>
          <w:sz w:val="24"/>
          <w:szCs w:val="24"/>
        </w:rPr>
        <w:t>difference</w:t>
      </w:r>
      <w:r w:rsidRPr="0001660E">
        <w:rPr>
          <w:rFonts w:cstheme="minorHAnsi"/>
          <w:sz w:val="24"/>
          <w:szCs w:val="24"/>
        </w:rPr>
        <w:t> = 0.41 (0.29–0.53); </w:t>
      </w:r>
      <w:r w:rsidRPr="0001660E">
        <w:rPr>
          <w:rFonts w:cstheme="minorHAnsi"/>
          <w:i/>
          <w:iCs/>
          <w:sz w:val="24"/>
          <w:szCs w:val="24"/>
        </w:rPr>
        <w:t>p</w:t>
      </w:r>
      <w:r w:rsidRPr="0001660E">
        <w:rPr>
          <w:rFonts w:cstheme="minorHAnsi"/>
          <w:sz w:val="24"/>
          <w:szCs w:val="24"/>
        </w:rPr>
        <w:t> = 0.001; </w:t>
      </w:r>
      <w:r w:rsidRPr="0001660E">
        <w:rPr>
          <w:rFonts w:cstheme="minorHAnsi"/>
          <w:i/>
          <w:iCs/>
          <w:sz w:val="24"/>
          <w:szCs w:val="24"/>
        </w:rPr>
        <w:t>g</w:t>
      </w:r>
      <w:r w:rsidRPr="0001660E">
        <w:rPr>
          <w:rFonts w:cstheme="minorHAnsi"/>
          <w:sz w:val="24"/>
          <w:szCs w:val="24"/>
        </w:rPr>
        <w:t> = 3.37) RME. In the mid position, hip RME was less than knee (</w:t>
      </w:r>
      <w:r w:rsidRPr="0001660E">
        <w:rPr>
          <w:rFonts w:cstheme="minorHAnsi"/>
          <w:i/>
          <w:iCs/>
          <w:sz w:val="24"/>
          <w:szCs w:val="24"/>
        </w:rPr>
        <w:t>difference</w:t>
      </w:r>
      <w:r w:rsidRPr="0001660E">
        <w:rPr>
          <w:rFonts w:cstheme="minorHAnsi"/>
          <w:sz w:val="24"/>
          <w:szCs w:val="24"/>
        </w:rPr>
        <w:t> = 0.21 (0.06–0.36); </w:t>
      </w:r>
      <w:r w:rsidRPr="0001660E">
        <w:rPr>
          <w:rFonts w:cstheme="minorHAnsi"/>
          <w:i/>
          <w:iCs/>
          <w:sz w:val="24"/>
          <w:szCs w:val="24"/>
        </w:rPr>
        <w:t>p</w:t>
      </w:r>
      <w:r w:rsidRPr="0001660E">
        <w:rPr>
          <w:rFonts w:cstheme="minorHAnsi"/>
          <w:sz w:val="24"/>
          <w:szCs w:val="24"/>
        </w:rPr>
        <w:t> = 0.014; </w:t>
      </w:r>
      <w:r w:rsidRPr="0001660E">
        <w:rPr>
          <w:rFonts w:cstheme="minorHAnsi"/>
          <w:i/>
          <w:iCs/>
          <w:sz w:val="24"/>
          <w:szCs w:val="24"/>
        </w:rPr>
        <w:t>g</w:t>
      </w:r>
      <w:r w:rsidRPr="0001660E">
        <w:rPr>
          <w:rFonts w:cstheme="minorHAnsi"/>
          <w:sz w:val="24"/>
          <w:szCs w:val="24"/>
        </w:rPr>
        <w:t> = 1.26) RME. In the high position, hip RME was less than ankle (</w:t>
      </w:r>
      <w:r w:rsidRPr="0001660E">
        <w:rPr>
          <w:rFonts w:cstheme="minorHAnsi"/>
          <w:i/>
          <w:iCs/>
          <w:sz w:val="24"/>
          <w:szCs w:val="24"/>
        </w:rPr>
        <w:t>difference</w:t>
      </w:r>
      <w:r w:rsidRPr="0001660E">
        <w:rPr>
          <w:rFonts w:cstheme="minorHAnsi"/>
          <w:sz w:val="24"/>
          <w:szCs w:val="24"/>
        </w:rPr>
        <w:t> = 0.40 (0.14–0.66); </w:t>
      </w:r>
      <w:r w:rsidRPr="0001660E">
        <w:rPr>
          <w:rFonts w:cstheme="minorHAnsi"/>
          <w:i/>
          <w:iCs/>
          <w:sz w:val="24"/>
          <w:szCs w:val="24"/>
        </w:rPr>
        <w:t>p</w:t>
      </w:r>
      <w:r w:rsidRPr="0001660E">
        <w:rPr>
          <w:rFonts w:cstheme="minorHAnsi"/>
          <w:sz w:val="24"/>
          <w:szCs w:val="24"/>
        </w:rPr>
        <w:t> = 0.010; </w:t>
      </w:r>
      <w:r w:rsidRPr="0001660E">
        <w:rPr>
          <w:rFonts w:cstheme="minorHAnsi"/>
          <w:i/>
          <w:iCs/>
          <w:sz w:val="24"/>
          <w:szCs w:val="24"/>
        </w:rPr>
        <w:t>g</w:t>
      </w:r>
      <w:r w:rsidRPr="0001660E">
        <w:rPr>
          <w:rFonts w:cstheme="minorHAnsi"/>
          <w:sz w:val="24"/>
          <w:szCs w:val="24"/>
        </w:rPr>
        <w:t> = 2.07) and knee (</w:t>
      </w:r>
      <w:r w:rsidRPr="0001660E">
        <w:rPr>
          <w:rFonts w:cstheme="minorHAnsi"/>
          <w:i/>
          <w:iCs/>
          <w:sz w:val="24"/>
          <w:szCs w:val="24"/>
        </w:rPr>
        <w:t>difference</w:t>
      </w:r>
      <w:r w:rsidRPr="0001660E">
        <w:rPr>
          <w:rFonts w:cstheme="minorHAnsi"/>
          <w:sz w:val="24"/>
          <w:szCs w:val="24"/>
        </w:rPr>
        <w:t> = 0.25 (0.12–0.38); </w:t>
      </w:r>
      <w:r w:rsidRPr="0001660E">
        <w:rPr>
          <w:rFonts w:cstheme="minorHAnsi"/>
          <w:i/>
          <w:iCs/>
          <w:sz w:val="24"/>
          <w:szCs w:val="24"/>
        </w:rPr>
        <w:t>p</w:t>
      </w:r>
      <w:r w:rsidRPr="0001660E">
        <w:rPr>
          <w:rFonts w:cstheme="minorHAnsi"/>
          <w:sz w:val="24"/>
          <w:szCs w:val="24"/>
        </w:rPr>
        <w:t> = 0.003; </w:t>
      </w:r>
      <w:r w:rsidRPr="0001660E">
        <w:rPr>
          <w:rFonts w:cstheme="minorHAnsi"/>
          <w:i/>
          <w:iCs/>
          <w:sz w:val="24"/>
          <w:szCs w:val="24"/>
        </w:rPr>
        <w:t>g</w:t>
      </w:r>
      <w:r w:rsidRPr="0001660E">
        <w:rPr>
          <w:rFonts w:cstheme="minorHAnsi"/>
          <w:sz w:val="24"/>
          <w:szCs w:val="24"/>
        </w:rPr>
        <w:t> = 1.84) RME (</w:t>
      </w:r>
      <w:r w:rsidRPr="00D5415D">
        <w:rPr>
          <w:rFonts w:cstheme="minorHAnsi"/>
          <w:sz w:val="24"/>
          <w:szCs w:val="24"/>
        </w:rPr>
        <w:t>Figure 4</w:t>
      </w:r>
      <w:r w:rsidRPr="0001660E">
        <w:rPr>
          <w:rFonts w:cstheme="minorHAnsi"/>
          <w:sz w:val="24"/>
          <w:szCs w:val="24"/>
        </w:rPr>
        <w:t>). In addition, pair-wise comparisons across bar position indicated that knee RME was smaller (</w:t>
      </w:r>
      <w:r w:rsidRPr="0001660E">
        <w:rPr>
          <w:rFonts w:cstheme="minorHAnsi"/>
          <w:i/>
          <w:iCs/>
          <w:sz w:val="24"/>
          <w:szCs w:val="24"/>
        </w:rPr>
        <w:t>difference</w:t>
      </w:r>
      <w:r w:rsidRPr="0001660E">
        <w:rPr>
          <w:rFonts w:cstheme="minorHAnsi"/>
          <w:sz w:val="24"/>
          <w:szCs w:val="24"/>
        </w:rPr>
        <w:t> = 0.22 (0.08–0.35); </w:t>
      </w:r>
      <w:r w:rsidRPr="0001660E">
        <w:rPr>
          <w:rFonts w:cstheme="minorHAnsi"/>
          <w:i/>
          <w:iCs/>
          <w:sz w:val="24"/>
          <w:szCs w:val="24"/>
        </w:rPr>
        <w:t>p</w:t>
      </w:r>
      <w:r w:rsidRPr="0001660E">
        <w:rPr>
          <w:rFonts w:cstheme="minorHAnsi"/>
          <w:sz w:val="24"/>
          <w:szCs w:val="24"/>
        </w:rPr>
        <w:t> = 0.008; </w:t>
      </w:r>
      <w:r w:rsidRPr="0001660E">
        <w:rPr>
          <w:rFonts w:cstheme="minorHAnsi"/>
          <w:i/>
          <w:iCs/>
          <w:sz w:val="24"/>
          <w:szCs w:val="24"/>
        </w:rPr>
        <w:t>g</w:t>
      </w:r>
      <w:r w:rsidRPr="0001660E">
        <w:rPr>
          <w:rFonts w:cstheme="minorHAnsi"/>
          <w:sz w:val="24"/>
          <w:szCs w:val="24"/>
        </w:rPr>
        <w:t> = 1.51) in the low than the mid bar positions, and hip RME differed across all bar positions (low vs. mid: </w:t>
      </w:r>
      <w:r w:rsidRPr="0001660E">
        <w:rPr>
          <w:rFonts w:cstheme="minorHAnsi"/>
          <w:i/>
          <w:iCs/>
          <w:sz w:val="24"/>
          <w:szCs w:val="24"/>
        </w:rPr>
        <w:t>difference</w:t>
      </w:r>
      <w:r w:rsidRPr="0001660E">
        <w:rPr>
          <w:rFonts w:cstheme="minorHAnsi"/>
          <w:sz w:val="24"/>
          <w:szCs w:val="24"/>
        </w:rPr>
        <w:t> = 0.40 (0.31–0.49); </w:t>
      </w:r>
      <w:r w:rsidRPr="0001660E">
        <w:rPr>
          <w:rFonts w:cstheme="minorHAnsi"/>
          <w:i/>
          <w:iCs/>
          <w:sz w:val="24"/>
          <w:szCs w:val="24"/>
        </w:rPr>
        <w:t>p</w:t>
      </w:r>
      <w:r w:rsidRPr="0001660E">
        <w:rPr>
          <w:rFonts w:cstheme="minorHAnsi"/>
          <w:sz w:val="24"/>
          <w:szCs w:val="24"/>
        </w:rPr>
        <w:t> = 0.001; </w:t>
      </w:r>
      <w:r w:rsidRPr="0001660E">
        <w:rPr>
          <w:rFonts w:cstheme="minorHAnsi"/>
          <w:i/>
          <w:iCs/>
          <w:sz w:val="24"/>
          <w:szCs w:val="24"/>
        </w:rPr>
        <w:t>g</w:t>
      </w:r>
      <w:r w:rsidRPr="0001660E">
        <w:rPr>
          <w:rFonts w:cstheme="minorHAnsi"/>
          <w:sz w:val="24"/>
          <w:szCs w:val="24"/>
        </w:rPr>
        <w:t> = 2.73, low vs. high: </w:t>
      </w:r>
      <w:r w:rsidRPr="0001660E">
        <w:rPr>
          <w:rFonts w:cstheme="minorHAnsi"/>
          <w:i/>
          <w:iCs/>
          <w:sz w:val="24"/>
          <w:szCs w:val="24"/>
        </w:rPr>
        <w:t>difference</w:t>
      </w:r>
      <w:r w:rsidRPr="0001660E">
        <w:rPr>
          <w:rFonts w:cstheme="minorHAnsi"/>
          <w:sz w:val="24"/>
          <w:szCs w:val="24"/>
        </w:rPr>
        <w:t> = 0.54 (0.43–0.65); </w:t>
      </w:r>
      <w:r w:rsidRPr="0001660E">
        <w:rPr>
          <w:rFonts w:cstheme="minorHAnsi"/>
          <w:i/>
          <w:iCs/>
          <w:sz w:val="24"/>
          <w:szCs w:val="24"/>
        </w:rPr>
        <w:t>p</w:t>
      </w:r>
      <w:r w:rsidRPr="0001660E">
        <w:rPr>
          <w:rFonts w:cstheme="minorHAnsi"/>
          <w:sz w:val="24"/>
          <w:szCs w:val="24"/>
        </w:rPr>
        <w:t> = 0.001; </w:t>
      </w:r>
      <w:r w:rsidRPr="0001660E">
        <w:rPr>
          <w:rFonts w:cstheme="minorHAnsi"/>
          <w:i/>
          <w:iCs/>
          <w:sz w:val="24"/>
          <w:szCs w:val="24"/>
        </w:rPr>
        <w:t>g</w:t>
      </w:r>
      <w:r w:rsidRPr="0001660E">
        <w:rPr>
          <w:rFonts w:cstheme="minorHAnsi"/>
          <w:sz w:val="24"/>
          <w:szCs w:val="24"/>
        </w:rPr>
        <w:t> = 3.84, mid vs. high: </w:t>
      </w:r>
      <w:r w:rsidRPr="0001660E">
        <w:rPr>
          <w:rFonts w:cstheme="minorHAnsi"/>
          <w:i/>
          <w:iCs/>
          <w:sz w:val="24"/>
          <w:szCs w:val="24"/>
        </w:rPr>
        <w:t>difference</w:t>
      </w:r>
      <w:r w:rsidRPr="0001660E">
        <w:rPr>
          <w:rFonts w:cstheme="minorHAnsi"/>
          <w:sz w:val="24"/>
          <w:szCs w:val="24"/>
        </w:rPr>
        <w:t> = 0.14 (0.06–0.22); </w:t>
      </w:r>
      <w:r w:rsidRPr="0001660E">
        <w:rPr>
          <w:rFonts w:cstheme="minorHAnsi"/>
          <w:i/>
          <w:iCs/>
          <w:sz w:val="24"/>
          <w:szCs w:val="24"/>
        </w:rPr>
        <w:t>p</w:t>
      </w:r>
      <w:r w:rsidRPr="0001660E">
        <w:rPr>
          <w:rFonts w:cstheme="minorHAnsi"/>
          <w:sz w:val="24"/>
          <w:szCs w:val="24"/>
        </w:rPr>
        <w:t> = 0.005; </w:t>
      </w:r>
      <w:r w:rsidRPr="0001660E">
        <w:rPr>
          <w:rFonts w:cstheme="minorHAnsi"/>
          <w:i/>
          <w:iCs/>
          <w:sz w:val="24"/>
          <w:szCs w:val="24"/>
        </w:rPr>
        <w:t>g</w:t>
      </w:r>
      <w:r w:rsidRPr="0001660E">
        <w:rPr>
          <w:rFonts w:cstheme="minorHAnsi"/>
          <w:sz w:val="24"/>
          <w:szCs w:val="24"/>
        </w:rPr>
        <w:t> = 1.18).</w:t>
      </w:r>
    </w:p>
    <w:p w14:paraId="1A2C9BAA" w14:textId="77777777" w:rsidR="003525B2" w:rsidRDefault="0001660E" w:rsidP="003525B2">
      <w:pPr>
        <w:pStyle w:val="NoSpacing"/>
      </w:pPr>
      <w:r w:rsidRPr="0001660E">
        <w:rPr>
          <w:noProof/>
        </w:rPr>
        <w:drawing>
          <wp:inline distT="0" distB="0" distL="0" distR="0" wp14:anchorId="1F753AE9" wp14:editId="237D5E14">
            <wp:extent cx="2190115" cy="2073275"/>
            <wp:effectExtent l="0" t="0" r="635" b="3175"/>
            <wp:docPr id="3" name="Picture 3" descr="Figure 4.">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gure 4.">
                      <a:hlinkClick r:id="rId10"/>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190115" cy="2073275"/>
                    </a:xfrm>
                    <a:prstGeom prst="rect">
                      <a:avLst/>
                    </a:prstGeom>
                    <a:noFill/>
                    <a:ln>
                      <a:noFill/>
                    </a:ln>
                  </pic:spPr>
                </pic:pic>
              </a:graphicData>
            </a:graphic>
          </wp:inline>
        </w:drawing>
      </w:r>
    </w:p>
    <w:p w14:paraId="5913C184" w14:textId="002406B9" w:rsidR="0001660E" w:rsidRDefault="0001660E" w:rsidP="003525B2">
      <w:pPr>
        <w:pStyle w:val="NoSpacing"/>
      </w:pPr>
      <w:r w:rsidRPr="00D5415D">
        <w:rPr>
          <w:rFonts w:cstheme="minorHAnsi"/>
          <w:b/>
          <w:bCs/>
          <w:sz w:val="24"/>
          <w:szCs w:val="24"/>
        </w:rPr>
        <w:t>Figure 4.: </w:t>
      </w:r>
      <w:r w:rsidRPr="0001660E">
        <w:t>Mean ± </w:t>
      </w:r>
      <w:r w:rsidRPr="0001660E">
        <w:rPr>
          <w:i/>
          <w:iCs/>
        </w:rPr>
        <w:t>SD</w:t>
      </w:r>
      <w:r w:rsidRPr="0001660E">
        <w:t> ankle, knee, and hip relative muscular effort (RME: %) for all subjects during isometric pulls at 3 different bar positions (circle = low; square = mid; and triangle = high). Note: for statistical comparisons, solid lines are used to indicate differences because of bar position, whereas dotted lines are used to indicate differences between joints. *Significance </w:t>
      </w:r>
      <w:r w:rsidRPr="0001660E">
        <w:rPr>
          <w:i/>
          <w:iCs/>
        </w:rPr>
        <w:t>p</w:t>
      </w:r>
      <w:r w:rsidRPr="0001660E">
        <w:t> &lt; 0.017.</w:t>
      </w:r>
    </w:p>
    <w:p w14:paraId="0DBBB04F" w14:textId="77777777" w:rsidR="003525B2" w:rsidRPr="0001660E" w:rsidRDefault="003525B2" w:rsidP="0001660E">
      <w:pPr>
        <w:rPr>
          <w:rFonts w:cstheme="minorHAnsi"/>
          <w:sz w:val="24"/>
          <w:szCs w:val="24"/>
        </w:rPr>
      </w:pPr>
    </w:p>
    <w:p w14:paraId="65F3C1B6" w14:textId="77777777" w:rsidR="0001660E" w:rsidRPr="0001660E" w:rsidRDefault="0001660E" w:rsidP="003525B2">
      <w:pPr>
        <w:pStyle w:val="Heading2"/>
      </w:pPr>
      <w:r w:rsidRPr="0001660E">
        <w:t>Ground Reaction Force</w:t>
      </w:r>
    </w:p>
    <w:p w14:paraId="535B5E60" w14:textId="2F7EB871" w:rsidR="0001660E" w:rsidRPr="0001660E" w:rsidRDefault="0001660E" w:rsidP="0001660E">
      <w:pPr>
        <w:rPr>
          <w:rFonts w:cstheme="minorHAnsi"/>
          <w:sz w:val="24"/>
          <w:szCs w:val="24"/>
        </w:rPr>
      </w:pPr>
      <w:r w:rsidRPr="0001660E">
        <w:rPr>
          <w:rFonts w:cstheme="minorHAnsi"/>
          <w:sz w:val="24"/>
          <w:szCs w:val="24"/>
        </w:rPr>
        <w:t>The statistical analysis indicated a significant main effect (</w:t>
      </w:r>
      <w:r w:rsidRPr="0001660E">
        <w:rPr>
          <w:rFonts w:cstheme="minorHAnsi"/>
          <w:i/>
          <w:iCs/>
          <w:sz w:val="24"/>
          <w:szCs w:val="24"/>
        </w:rPr>
        <w:t>p</w:t>
      </w:r>
      <w:r w:rsidRPr="0001660E">
        <w:rPr>
          <w:rFonts w:cstheme="minorHAnsi"/>
          <w:sz w:val="24"/>
          <w:szCs w:val="24"/>
        </w:rPr>
        <w:t> = 0.002; η</w:t>
      </w:r>
      <w:r w:rsidRPr="0001660E">
        <w:rPr>
          <w:rFonts w:cstheme="minorHAnsi"/>
          <w:sz w:val="24"/>
          <w:szCs w:val="24"/>
          <w:vertAlign w:val="superscript"/>
        </w:rPr>
        <w:t>2</w:t>
      </w:r>
      <w:r w:rsidRPr="0001660E">
        <w:rPr>
          <w:rFonts w:cstheme="minorHAnsi"/>
          <w:sz w:val="24"/>
          <w:szCs w:val="24"/>
        </w:rPr>
        <w:t> = 0.599) of bar position on peak vertical GRF (</w:t>
      </w:r>
      <w:r w:rsidRPr="00D5415D">
        <w:rPr>
          <w:rFonts w:cstheme="minorHAnsi"/>
          <w:sz w:val="24"/>
          <w:szCs w:val="24"/>
        </w:rPr>
        <w:t>Figure 5</w:t>
      </w:r>
      <w:r w:rsidRPr="0001660E">
        <w:rPr>
          <w:rFonts w:cstheme="minorHAnsi"/>
          <w:sz w:val="24"/>
          <w:szCs w:val="24"/>
        </w:rPr>
        <w:t>). Post-hoc tests indicated that GRFs were significantly greater (</w:t>
      </w:r>
      <w:r w:rsidRPr="0001660E">
        <w:rPr>
          <w:rFonts w:cstheme="minorHAnsi"/>
          <w:i/>
          <w:iCs/>
          <w:sz w:val="24"/>
          <w:szCs w:val="24"/>
        </w:rPr>
        <w:t>difference</w:t>
      </w:r>
      <w:r w:rsidRPr="0001660E">
        <w:rPr>
          <w:rFonts w:cstheme="minorHAnsi"/>
          <w:sz w:val="24"/>
          <w:szCs w:val="24"/>
        </w:rPr>
        <w:t> = 2.52 (1.10–3.95); </w:t>
      </w:r>
      <w:r w:rsidRPr="0001660E">
        <w:rPr>
          <w:rFonts w:cstheme="minorHAnsi"/>
          <w:i/>
          <w:iCs/>
          <w:sz w:val="24"/>
          <w:szCs w:val="24"/>
        </w:rPr>
        <w:t>p</w:t>
      </w:r>
      <w:r w:rsidRPr="0001660E">
        <w:rPr>
          <w:rFonts w:cstheme="minorHAnsi"/>
          <w:sz w:val="24"/>
          <w:szCs w:val="24"/>
        </w:rPr>
        <w:t> = 0.004; </w:t>
      </w:r>
      <w:r w:rsidRPr="0001660E">
        <w:rPr>
          <w:rFonts w:cstheme="minorHAnsi"/>
          <w:i/>
          <w:iCs/>
          <w:sz w:val="24"/>
          <w:szCs w:val="24"/>
        </w:rPr>
        <w:t>g</w:t>
      </w:r>
      <w:r w:rsidRPr="0001660E">
        <w:rPr>
          <w:rFonts w:cstheme="minorHAnsi"/>
          <w:sz w:val="24"/>
          <w:szCs w:val="24"/>
        </w:rPr>
        <w:t> = 1.27) in the mid bar position than the high bar position (</w:t>
      </w:r>
      <w:r w:rsidRPr="00D5415D">
        <w:rPr>
          <w:rFonts w:cstheme="minorHAnsi"/>
          <w:sz w:val="24"/>
          <w:szCs w:val="24"/>
        </w:rPr>
        <w:t>Figure 5</w:t>
      </w:r>
      <w:r w:rsidRPr="0001660E">
        <w:rPr>
          <w:rFonts w:cstheme="minorHAnsi"/>
          <w:sz w:val="24"/>
          <w:szCs w:val="24"/>
        </w:rPr>
        <w:t>).</w:t>
      </w:r>
    </w:p>
    <w:p w14:paraId="486C97D3" w14:textId="77777777" w:rsidR="003525B2" w:rsidRDefault="0001660E" w:rsidP="003525B2">
      <w:pPr>
        <w:pStyle w:val="NoSpacing"/>
      </w:pPr>
      <w:r w:rsidRPr="0001660E">
        <w:rPr>
          <w:noProof/>
        </w:rPr>
        <w:drawing>
          <wp:inline distT="0" distB="0" distL="0" distR="0" wp14:anchorId="6F61B224" wp14:editId="3228E816">
            <wp:extent cx="2190115" cy="2137410"/>
            <wp:effectExtent l="0" t="0" r="635" b="0"/>
            <wp:docPr id="2" name="Picture 2" descr="Figure 5.">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igure 5.">
                      <a:hlinkClick r:id="rId10"/>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190115" cy="2137410"/>
                    </a:xfrm>
                    <a:prstGeom prst="rect">
                      <a:avLst/>
                    </a:prstGeom>
                    <a:noFill/>
                    <a:ln>
                      <a:noFill/>
                    </a:ln>
                  </pic:spPr>
                </pic:pic>
              </a:graphicData>
            </a:graphic>
          </wp:inline>
        </w:drawing>
      </w:r>
    </w:p>
    <w:p w14:paraId="06EFC57A" w14:textId="3D14EA4B" w:rsidR="0001660E" w:rsidRDefault="0001660E" w:rsidP="003525B2">
      <w:pPr>
        <w:pStyle w:val="NoSpacing"/>
      </w:pPr>
      <w:r w:rsidRPr="00D5415D">
        <w:rPr>
          <w:rFonts w:cstheme="minorHAnsi"/>
          <w:b/>
          <w:bCs/>
          <w:sz w:val="24"/>
          <w:szCs w:val="24"/>
        </w:rPr>
        <w:t>Figure 5.: </w:t>
      </w:r>
      <w:r w:rsidRPr="0001660E">
        <w:t>Mean ± </w:t>
      </w:r>
      <w:r w:rsidRPr="0001660E">
        <w:rPr>
          <w:i/>
          <w:iCs/>
        </w:rPr>
        <w:t>SD</w:t>
      </w:r>
      <w:r w:rsidRPr="0001660E">
        <w:t> peak ground reaction force (GRF: N·</w:t>
      </w:r>
      <w:proofErr w:type="gramStart"/>
      <w:r w:rsidRPr="0001660E">
        <w:t>kg</w:t>
      </w:r>
      <w:r w:rsidRPr="0001660E">
        <w:rPr>
          <w:vertAlign w:val="superscript"/>
        </w:rPr>
        <w:t>−1</w:t>
      </w:r>
      <w:proofErr w:type="gramEnd"/>
      <w:r w:rsidRPr="0001660E">
        <w:t>) for all subjects during isometric pulls at 3 different bar positions (circle = low; square = mid; and triangle = high). Note: for statistical comparisons, solid lines are used to indicate differences because of bar position. *Significance </w:t>
      </w:r>
      <w:r w:rsidRPr="0001660E">
        <w:rPr>
          <w:i/>
          <w:iCs/>
        </w:rPr>
        <w:t>p</w:t>
      </w:r>
      <w:r w:rsidRPr="0001660E">
        <w:t> &lt; 0.017.</w:t>
      </w:r>
    </w:p>
    <w:p w14:paraId="7CAE5EAB" w14:textId="77777777" w:rsidR="003525B2" w:rsidRPr="0001660E" w:rsidRDefault="003525B2" w:rsidP="0001660E">
      <w:pPr>
        <w:rPr>
          <w:rFonts w:cstheme="minorHAnsi"/>
          <w:sz w:val="24"/>
          <w:szCs w:val="24"/>
        </w:rPr>
      </w:pPr>
    </w:p>
    <w:p w14:paraId="37778EE5" w14:textId="77777777" w:rsidR="0001660E" w:rsidRPr="0001660E" w:rsidRDefault="0001660E" w:rsidP="003525B2">
      <w:pPr>
        <w:pStyle w:val="Heading2"/>
      </w:pPr>
      <w:r w:rsidRPr="0001660E">
        <w:t>Joint Angle</w:t>
      </w:r>
    </w:p>
    <w:p w14:paraId="00B1BC2A" w14:textId="1BF745DB" w:rsidR="0001660E" w:rsidRPr="0001660E" w:rsidRDefault="0001660E" w:rsidP="0001660E">
      <w:pPr>
        <w:rPr>
          <w:rFonts w:cstheme="minorHAnsi"/>
          <w:sz w:val="24"/>
          <w:szCs w:val="24"/>
        </w:rPr>
      </w:pPr>
      <w:r w:rsidRPr="0001660E">
        <w:rPr>
          <w:rFonts w:cstheme="minorHAnsi"/>
          <w:sz w:val="24"/>
          <w:szCs w:val="24"/>
        </w:rPr>
        <w:t>The statistical analysis indicated a significant interaction effect (</w:t>
      </w:r>
      <w:r w:rsidRPr="0001660E">
        <w:rPr>
          <w:rFonts w:cstheme="minorHAnsi"/>
          <w:i/>
          <w:iCs/>
          <w:sz w:val="24"/>
          <w:szCs w:val="24"/>
        </w:rPr>
        <w:t>p</w:t>
      </w:r>
      <w:r w:rsidRPr="0001660E">
        <w:rPr>
          <w:rFonts w:cstheme="minorHAnsi"/>
          <w:sz w:val="24"/>
          <w:szCs w:val="24"/>
        </w:rPr>
        <w:t> = 0.001; η</w:t>
      </w:r>
      <w:r w:rsidRPr="0001660E">
        <w:rPr>
          <w:rFonts w:cstheme="minorHAnsi"/>
          <w:sz w:val="24"/>
          <w:szCs w:val="24"/>
          <w:vertAlign w:val="superscript"/>
        </w:rPr>
        <w:t>2</w:t>
      </w:r>
      <w:r w:rsidRPr="0001660E">
        <w:rPr>
          <w:rFonts w:cstheme="minorHAnsi"/>
          <w:sz w:val="24"/>
          <w:szCs w:val="24"/>
        </w:rPr>
        <w:t> = 0.905) between joint and position on lower-body angles. Post-hoc tests indicated that ankle angles in the mid bar position were significantly greater (</w:t>
      </w:r>
      <w:r w:rsidRPr="0001660E">
        <w:rPr>
          <w:rFonts w:cstheme="minorHAnsi"/>
          <w:i/>
          <w:iCs/>
          <w:sz w:val="24"/>
          <w:szCs w:val="24"/>
        </w:rPr>
        <w:t>difference</w:t>
      </w:r>
      <w:r w:rsidRPr="0001660E">
        <w:rPr>
          <w:rFonts w:cstheme="minorHAnsi"/>
          <w:sz w:val="24"/>
          <w:szCs w:val="24"/>
        </w:rPr>
        <w:t> = 6.46 (3.57–9.35); </w:t>
      </w:r>
      <w:r w:rsidRPr="0001660E">
        <w:rPr>
          <w:rFonts w:cstheme="minorHAnsi"/>
          <w:i/>
          <w:iCs/>
          <w:sz w:val="24"/>
          <w:szCs w:val="24"/>
        </w:rPr>
        <w:t>p</w:t>
      </w:r>
      <w:r w:rsidRPr="0001660E">
        <w:rPr>
          <w:rFonts w:cstheme="minorHAnsi"/>
          <w:sz w:val="24"/>
          <w:szCs w:val="24"/>
        </w:rPr>
        <w:t> = 0.001; </w:t>
      </w:r>
      <w:r w:rsidRPr="0001660E">
        <w:rPr>
          <w:rFonts w:cstheme="minorHAnsi"/>
          <w:i/>
          <w:iCs/>
          <w:sz w:val="24"/>
          <w:szCs w:val="24"/>
        </w:rPr>
        <w:t>g</w:t>
      </w:r>
      <w:r w:rsidRPr="0001660E">
        <w:rPr>
          <w:rFonts w:cstheme="minorHAnsi"/>
          <w:sz w:val="24"/>
          <w:szCs w:val="24"/>
        </w:rPr>
        <w:t> = 0.66) than in the high bar position (</w:t>
      </w:r>
      <w:r w:rsidRPr="00D5415D">
        <w:rPr>
          <w:rFonts w:cstheme="minorHAnsi"/>
          <w:sz w:val="24"/>
          <w:szCs w:val="24"/>
        </w:rPr>
        <w:t>Figure 6</w:t>
      </w:r>
      <w:r w:rsidRPr="0001660E">
        <w:rPr>
          <w:rFonts w:cstheme="minorHAnsi"/>
          <w:sz w:val="24"/>
          <w:szCs w:val="24"/>
        </w:rPr>
        <w:t>). In addition, post-hoc tests also indicated that all pair-wise comparisons for hip angles differed significantly such that joint angles progressively increased from the low to mid (</w:t>
      </w:r>
      <w:r w:rsidRPr="0001660E">
        <w:rPr>
          <w:rFonts w:cstheme="minorHAnsi"/>
          <w:i/>
          <w:iCs/>
          <w:sz w:val="24"/>
          <w:szCs w:val="24"/>
        </w:rPr>
        <w:t>difference</w:t>
      </w:r>
      <w:r w:rsidRPr="0001660E">
        <w:rPr>
          <w:rFonts w:cstheme="minorHAnsi"/>
          <w:sz w:val="24"/>
          <w:szCs w:val="24"/>
        </w:rPr>
        <w:t> = 32.01 (25.57–38.44); </w:t>
      </w:r>
      <w:r w:rsidRPr="0001660E">
        <w:rPr>
          <w:rFonts w:cstheme="minorHAnsi"/>
          <w:i/>
          <w:iCs/>
          <w:sz w:val="24"/>
          <w:szCs w:val="24"/>
        </w:rPr>
        <w:t>p</w:t>
      </w:r>
      <w:r w:rsidRPr="0001660E">
        <w:rPr>
          <w:rFonts w:cstheme="minorHAnsi"/>
          <w:sz w:val="24"/>
          <w:szCs w:val="24"/>
        </w:rPr>
        <w:t> = 0.001; </w:t>
      </w:r>
      <w:r w:rsidRPr="0001660E">
        <w:rPr>
          <w:rFonts w:cstheme="minorHAnsi"/>
          <w:i/>
          <w:iCs/>
          <w:sz w:val="24"/>
          <w:szCs w:val="24"/>
        </w:rPr>
        <w:t>g</w:t>
      </w:r>
      <w:r w:rsidRPr="0001660E">
        <w:rPr>
          <w:rFonts w:cstheme="minorHAnsi"/>
          <w:sz w:val="24"/>
          <w:szCs w:val="24"/>
        </w:rPr>
        <w:t> = 3.26) and mid to high (</w:t>
      </w:r>
      <w:r w:rsidRPr="0001660E">
        <w:rPr>
          <w:rFonts w:cstheme="minorHAnsi"/>
          <w:i/>
          <w:iCs/>
          <w:sz w:val="24"/>
          <w:szCs w:val="24"/>
        </w:rPr>
        <w:t>difference</w:t>
      </w:r>
      <w:r w:rsidRPr="0001660E">
        <w:rPr>
          <w:rFonts w:cstheme="minorHAnsi"/>
          <w:sz w:val="24"/>
          <w:szCs w:val="24"/>
        </w:rPr>
        <w:t> = 9.68 (6.76–12.60); </w:t>
      </w:r>
      <w:r w:rsidRPr="0001660E">
        <w:rPr>
          <w:rFonts w:cstheme="minorHAnsi"/>
          <w:i/>
          <w:iCs/>
          <w:sz w:val="24"/>
          <w:szCs w:val="24"/>
        </w:rPr>
        <w:t>p</w:t>
      </w:r>
      <w:r w:rsidRPr="0001660E">
        <w:rPr>
          <w:rFonts w:cstheme="minorHAnsi"/>
          <w:sz w:val="24"/>
          <w:szCs w:val="24"/>
        </w:rPr>
        <w:t> = 0.001; </w:t>
      </w:r>
      <w:r w:rsidRPr="0001660E">
        <w:rPr>
          <w:rFonts w:cstheme="minorHAnsi"/>
          <w:i/>
          <w:iCs/>
          <w:sz w:val="24"/>
          <w:szCs w:val="24"/>
        </w:rPr>
        <w:t>g</w:t>
      </w:r>
      <w:r w:rsidRPr="0001660E">
        <w:rPr>
          <w:rFonts w:cstheme="minorHAnsi"/>
          <w:sz w:val="24"/>
          <w:szCs w:val="24"/>
        </w:rPr>
        <w:t> = 0.83) bar positions and that all pair-wise comparisons for knee angles differed significantly such that joint angles progressively increased from the low to mid (</w:t>
      </w:r>
      <w:r w:rsidRPr="0001660E">
        <w:rPr>
          <w:rFonts w:cstheme="minorHAnsi"/>
          <w:i/>
          <w:iCs/>
          <w:sz w:val="24"/>
          <w:szCs w:val="24"/>
        </w:rPr>
        <w:t>difference</w:t>
      </w:r>
      <w:r w:rsidRPr="0001660E">
        <w:rPr>
          <w:rFonts w:cstheme="minorHAnsi"/>
          <w:sz w:val="24"/>
          <w:szCs w:val="24"/>
        </w:rPr>
        <w:t> = 10.54 (6.80–14.28); </w:t>
      </w:r>
      <w:r w:rsidRPr="0001660E">
        <w:rPr>
          <w:rFonts w:cstheme="minorHAnsi"/>
          <w:i/>
          <w:iCs/>
          <w:sz w:val="24"/>
          <w:szCs w:val="24"/>
        </w:rPr>
        <w:t>p</w:t>
      </w:r>
      <w:r w:rsidRPr="0001660E">
        <w:rPr>
          <w:rFonts w:cstheme="minorHAnsi"/>
          <w:sz w:val="24"/>
          <w:szCs w:val="24"/>
        </w:rPr>
        <w:t> = 0.001; </w:t>
      </w:r>
      <w:r w:rsidRPr="0001660E">
        <w:rPr>
          <w:rFonts w:cstheme="minorHAnsi"/>
          <w:i/>
          <w:iCs/>
          <w:sz w:val="24"/>
          <w:szCs w:val="24"/>
        </w:rPr>
        <w:t>g</w:t>
      </w:r>
      <w:r w:rsidRPr="0001660E">
        <w:rPr>
          <w:rFonts w:cstheme="minorHAnsi"/>
          <w:sz w:val="24"/>
          <w:szCs w:val="24"/>
        </w:rPr>
        <w:t> = 0.83) and mid to high (</w:t>
      </w:r>
      <w:r w:rsidRPr="0001660E">
        <w:rPr>
          <w:rFonts w:cstheme="minorHAnsi"/>
          <w:i/>
          <w:iCs/>
          <w:sz w:val="24"/>
          <w:szCs w:val="24"/>
        </w:rPr>
        <w:t>difference</w:t>
      </w:r>
      <w:r w:rsidRPr="0001660E">
        <w:rPr>
          <w:rFonts w:cstheme="minorHAnsi"/>
          <w:sz w:val="24"/>
          <w:szCs w:val="24"/>
        </w:rPr>
        <w:t> = 14.77 (9.09–20.44); </w:t>
      </w:r>
      <w:r w:rsidRPr="0001660E">
        <w:rPr>
          <w:rFonts w:cstheme="minorHAnsi"/>
          <w:i/>
          <w:iCs/>
          <w:sz w:val="24"/>
          <w:szCs w:val="24"/>
        </w:rPr>
        <w:t>p</w:t>
      </w:r>
      <w:r w:rsidRPr="0001660E">
        <w:rPr>
          <w:rFonts w:cstheme="minorHAnsi"/>
          <w:sz w:val="24"/>
          <w:szCs w:val="24"/>
        </w:rPr>
        <w:t> = 0.001; </w:t>
      </w:r>
      <w:r w:rsidRPr="0001660E">
        <w:rPr>
          <w:rFonts w:cstheme="minorHAnsi"/>
          <w:i/>
          <w:iCs/>
          <w:sz w:val="24"/>
          <w:szCs w:val="24"/>
        </w:rPr>
        <w:t>g</w:t>
      </w:r>
      <w:r w:rsidRPr="0001660E">
        <w:rPr>
          <w:rFonts w:cstheme="minorHAnsi"/>
          <w:sz w:val="24"/>
          <w:szCs w:val="24"/>
        </w:rPr>
        <w:t> = 1.05) bar positions.</w:t>
      </w:r>
    </w:p>
    <w:p w14:paraId="1DF03FCD" w14:textId="77777777" w:rsidR="003525B2" w:rsidRDefault="0001660E" w:rsidP="003525B2">
      <w:pPr>
        <w:pStyle w:val="NoSpacing"/>
      </w:pPr>
      <w:r w:rsidRPr="0001660E">
        <w:rPr>
          <w:noProof/>
        </w:rPr>
        <w:drawing>
          <wp:inline distT="0" distB="0" distL="0" distR="0" wp14:anchorId="11FC0372" wp14:editId="51C48C66">
            <wp:extent cx="2190115" cy="2084070"/>
            <wp:effectExtent l="0" t="0" r="635" b="0"/>
            <wp:docPr id="1" name="Picture 1" descr="Figure 6.">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igure 6.">
                      <a:hlinkClick r:id="rId10"/>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190115" cy="2084070"/>
                    </a:xfrm>
                    <a:prstGeom prst="rect">
                      <a:avLst/>
                    </a:prstGeom>
                    <a:noFill/>
                    <a:ln>
                      <a:noFill/>
                    </a:ln>
                  </pic:spPr>
                </pic:pic>
              </a:graphicData>
            </a:graphic>
          </wp:inline>
        </w:drawing>
      </w:r>
    </w:p>
    <w:p w14:paraId="49FF2143" w14:textId="7D9A9247" w:rsidR="0001660E" w:rsidRDefault="0001660E" w:rsidP="003525B2">
      <w:pPr>
        <w:pStyle w:val="NoSpacing"/>
      </w:pPr>
      <w:r w:rsidRPr="00D5415D">
        <w:rPr>
          <w:rFonts w:cstheme="minorHAnsi"/>
          <w:b/>
          <w:bCs/>
          <w:sz w:val="24"/>
          <w:szCs w:val="24"/>
        </w:rPr>
        <w:t>Figure 6.: </w:t>
      </w:r>
      <w:r w:rsidRPr="0001660E">
        <w:t>Mean ± </w:t>
      </w:r>
      <w:r w:rsidRPr="0001660E">
        <w:rPr>
          <w:i/>
          <w:iCs/>
        </w:rPr>
        <w:t>SD</w:t>
      </w:r>
      <w:r w:rsidRPr="0001660E">
        <w:t> ankle, knee, and hip joint angles (°) for all subjects during isometric pulls at 3 different bar positions (circle = low; square = mid; and triangle = high). Note: for statistical comparisons, solid lines are used to indicate differences because of bar position, whereas dotted lines are used to indicate differences between joints. *Significance </w:t>
      </w:r>
      <w:r w:rsidRPr="0001660E">
        <w:rPr>
          <w:i/>
          <w:iCs/>
        </w:rPr>
        <w:t>p</w:t>
      </w:r>
      <w:r w:rsidRPr="0001660E">
        <w:t> &lt; 0.017.</w:t>
      </w:r>
    </w:p>
    <w:p w14:paraId="27693428" w14:textId="77777777" w:rsidR="003525B2" w:rsidRPr="0001660E" w:rsidRDefault="003525B2" w:rsidP="0001660E">
      <w:pPr>
        <w:rPr>
          <w:rFonts w:cstheme="minorHAnsi"/>
          <w:sz w:val="24"/>
          <w:szCs w:val="24"/>
        </w:rPr>
      </w:pPr>
    </w:p>
    <w:p w14:paraId="5BABEF0A" w14:textId="77777777" w:rsidR="0001660E" w:rsidRPr="0001660E" w:rsidRDefault="0001660E" w:rsidP="003525B2">
      <w:pPr>
        <w:pStyle w:val="Heading1"/>
      </w:pPr>
      <w:r w:rsidRPr="0001660E">
        <w:t>Discussion</w:t>
      </w:r>
    </w:p>
    <w:p w14:paraId="6DFE3B74" w14:textId="77777777" w:rsidR="0001660E" w:rsidRPr="0001660E" w:rsidRDefault="0001660E" w:rsidP="0001660E">
      <w:pPr>
        <w:rPr>
          <w:rFonts w:cstheme="minorHAnsi"/>
          <w:sz w:val="24"/>
          <w:szCs w:val="24"/>
        </w:rPr>
      </w:pPr>
      <w:r w:rsidRPr="0001660E">
        <w:rPr>
          <w:rFonts w:cstheme="minorHAnsi"/>
          <w:sz w:val="24"/>
          <w:szCs w:val="24"/>
        </w:rPr>
        <w:t xml:space="preserve">The purpose of this study was to study influence of bar position on ankle, knee, and hip biomechanics and GRFs during different isometric pulls. The results indicated that bar position significantly influences GRFs as well as peak hip and knee NJMs and RME. Peak GRFs were significantly greater in the mid bar position than the high bar </w:t>
      </w:r>
      <w:proofErr w:type="gramStart"/>
      <w:r w:rsidRPr="0001660E">
        <w:rPr>
          <w:rFonts w:cstheme="minorHAnsi"/>
          <w:sz w:val="24"/>
          <w:szCs w:val="24"/>
        </w:rPr>
        <w:t>position, but</w:t>
      </w:r>
      <w:proofErr w:type="gramEnd"/>
      <w:r w:rsidRPr="0001660E">
        <w:rPr>
          <w:rFonts w:cstheme="minorHAnsi"/>
          <w:sz w:val="24"/>
          <w:szCs w:val="24"/>
        </w:rPr>
        <w:t xml:space="preserve"> did not differ between the low and mid bar position. Notably, hip NJMs differed from knee and ankle NJMs in the low bar position but were similar in the mid and high bar positions. Furthermore, the low bar position was associated with large hip and small knee RME, whereas the reverse was true for the mid bar position. Collectively, these results suggest that the low bar position is associated with larger hip NJMs and RME, whereas the mid bar position is characterized by larger knee and ankle RME despite similar NJMs. The interpretation of these findings has significant practical implications for the interpretation of isometric pulling data and its use in assessing and monitoring neuromuscular function of the lower body.</w:t>
      </w:r>
    </w:p>
    <w:p w14:paraId="4D3BD5C3" w14:textId="77777777" w:rsidR="0001660E" w:rsidRPr="0001660E" w:rsidRDefault="0001660E" w:rsidP="0001660E">
      <w:pPr>
        <w:rPr>
          <w:rFonts w:cstheme="minorHAnsi"/>
          <w:sz w:val="24"/>
          <w:szCs w:val="24"/>
        </w:rPr>
      </w:pPr>
      <w:r w:rsidRPr="0001660E">
        <w:rPr>
          <w:rFonts w:cstheme="minorHAnsi"/>
          <w:sz w:val="24"/>
          <w:szCs w:val="24"/>
        </w:rPr>
        <w:t xml:space="preserve">A primary finding of the current study was that bar position significantly influenced peak NJMs at the hip, knee, and ankle joints. More specifically, in the low bar position, the NJMs were largest at the hip, whereas in the mid and high bar positions, NJMs were generally more similar. Another finding was that hip NJMs were markedly influenced by bar position such that they differed across all positions. By contrast, although knee NJMs were greater in the mid bar position than in the high bar position, knee and ankle NJMs did not change much across bar positions. Although no previous study investigated the effects of manipulating body or bar position on </w:t>
      </w:r>
      <w:proofErr w:type="gramStart"/>
      <w:r w:rsidRPr="0001660E">
        <w:rPr>
          <w:rFonts w:cstheme="minorHAnsi"/>
          <w:sz w:val="24"/>
          <w:szCs w:val="24"/>
        </w:rPr>
        <w:t>joint-level</w:t>
      </w:r>
      <w:proofErr w:type="gramEnd"/>
      <w:r w:rsidRPr="0001660E">
        <w:rPr>
          <w:rFonts w:cstheme="minorHAnsi"/>
          <w:sz w:val="24"/>
          <w:szCs w:val="24"/>
        </w:rPr>
        <w:t xml:space="preserve"> demands during the isometric pulls, several studies showed that such manipulations were associated with changes in the production of peak GRFs. For example, Guppy et al. (</w:t>
      </w:r>
      <w:r w:rsidRPr="0001660E">
        <w:rPr>
          <w:rFonts w:cstheme="minorHAnsi"/>
          <w:sz w:val="24"/>
          <w:szCs w:val="24"/>
          <w:vertAlign w:val="superscript"/>
        </w:rPr>
        <w:t>17</w:t>
      </w:r>
      <w:r w:rsidRPr="0001660E">
        <w:rPr>
          <w:rFonts w:cstheme="minorHAnsi"/>
          <w:sz w:val="24"/>
          <w:szCs w:val="24"/>
        </w:rPr>
        <w:t>) found that an upright torso with the bar in the second pull position enabled subjects to produce the greatest IMTP GRF among 4 different testing positions. Similarly, Beckham et al. (</w:t>
      </w:r>
      <w:r w:rsidRPr="0001660E">
        <w:rPr>
          <w:rFonts w:cstheme="minorHAnsi"/>
          <w:sz w:val="24"/>
          <w:szCs w:val="24"/>
          <w:vertAlign w:val="superscript"/>
        </w:rPr>
        <w:t>4</w:t>
      </w:r>
      <w:r w:rsidRPr="0001660E">
        <w:rPr>
          <w:rFonts w:cstheme="minorHAnsi"/>
          <w:sz w:val="24"/>
          <w:szCs w:val="24"/>
        </w:rPr>
        <w:t xml:space="preserve">) found subjects produced greater IMTP GRF with hip angles set to 145° than set to 125°. Although in the current study we varied bar position rather than joint angles, the mid bar position was characterized by hip (155°) and knee (135°) joint angles that were </w:t>
      </w:r>
      <w:proofErr w:type="gramStart"/>
      <w:r w:rsidRPr="0001660E">
        <w:rPr>
          <w:rFonts w:cstheme="minorHAnsi"/>
          <w:sz w:val="24"/>
          <w:szCs w:val="24"/>
        </w:rPr>
        <w:t>similar to</w:t>
      </w:r>
      <w:proofErr w:type="gramEnd"/>
      <w:r w:rsidRPr="0001660E">
        <w:rPr>
          <w:rFonts w:cstheme="minorHAnsi"/>
          <w:sz w:val="24"/>
          <w:szCs w:val="24"/>
        </w:rPr>
        <w:t xml:space="preserve"> body positions reported to be more favorable for maximizing GRFs (</w:t>
      </w:r>
      <w:r w:rsidRPr="0001660E">
        <w:rPr>
          <w:rFonts w:cstheme="minorHAnsi"/>
          <w:sz w:val="24"/>
          <w:szCs w:val="24"/>
          <w:vertAlign w:val="superscript"/>
        </w:rPr>
        <w:t>4,17</w:t>
      </w:r>
      <w:r w:rsidRPr="0001660E">
        <w:rPr>
          <w:rFonts w:cstheme="minorHAnsi"/>
          <w:sz w:val="24"/>
          <w:szCs w:val="24"/>
        </w:rPr>
        <w:t>). The GRF results of the current study partially agree with previous observations in that subjects produced greater GRFs in the mid than the high bar position, although no differences existed between the low and mid bar position. It should be noted that the GRF differences between mid and high bar positions were accompanied by differences in knee and hip NJM. However, although GRFs did not differ between the low and mid bar positions, hip NJMs still differed significantly. These divergent findings underscore that peak GRF magnitudes during the IMTP do not necessarily reflect maximal NJMs, and that GRFs are the result of joint-specific contributions and position-dependent functional trade-offs.</w:t>
      </w:r>
    </w:p>
    <w:p w14:paraId="0B84872A" w14:textId="77777777" w:rsidR="0001660E" w:rsidRPr="0001660E" w:rsidRDefault="0001660E" w:rsidP="0001660E">
      <w:pPr>
        <w:rPr>
          <w:rFonts w:cstheme="minorHAnsi"/>
          <w:sz w:val="24"/>
          <w:szCs w:val="24"/>
        </w:rPr>
      </w:pPr>
      <w:r w:rsidRPr="0001660E">
        <w:rPr>
          <w:rFonts w:cstheme="minorHAnsi"/>
          <w:sz w:val="24"/>
          <w:szCs w:val="24"/>
        </w:rPr>
        <w:t>To further investigate the influence of bar position on lower-body biomechanics, the current study used a simple musculoskeletal model to estimate the maximal possible NJMs from regression-based moment-angle curves and combined this information with the inverse dynamics calculated NJMs during the isometric pulls into joint-specific estimates of RME (</w:t>
      </w:r>
      <w:r w:rsidRPr="0001660E">
        <w:rPr>
          <w:rFonts w:cstheme="minorHAnsi"/>
          <w:sz w:val="24"/>
          <w:szCs w:val="24"/>
          <w:vertAlign w:val="superscript"/>
        </w:rPr>
        <w:t>1</w:t>
      </w:r>
      <w:r w:rsidRPr="0001660E">
        <w:rPr>
          <w:rFonts w:cstheme="minorHAnsi"/>
          <w:sz w:val="24"/>
          <w:szCs w:val="24"/>
        </w:rPr>
        <w:t xml:space="preserve">). The findings of the current study indicated that hip, knee, and ankle RME differed significantly across bar positions. Specifically, the low bar position was associated with large hip and small knee RME values, whereas the mid and high bar positions were associated with large knee and small hip RME values. By contrast, ankle RME remained relatively constant across bar positions. These results suggest that performing the isometric pulls with the bar in the low bar position is associated with greater functional relative demand from the hip extensor muscles because these muscles operate closer to their maximum moment-generating capacity. In turn, the results suggest that knee extensor and ankle </w:t>
      </w:r>
      <w:proofErr w:type="spellStart"/>
      <w:r w:rsidRPr="0001660E">
        <w:rPr>
          <w:rFonts w:cstheme="minorHAnsi"/>
          <w:sz w:val="24"/>
          <w:szCs w:val="24"/>
        </w:rPr>
        <w:t>plantarflexor</w:t>
      </w:r>
      <w:proofErr w:type="spellEnd"/>
      <w:r w:rsidRPr="0001660E">
        <w:rPr>
          <w:rFonts w:cstheme="minorHAnsi"/>
          <w:sz w:val="24"/>
          <w:szCs w:val="24"/>
        </w:rPr>
        <w:t xml:space="preserve"> muscles operate closer to their maximum capacity during the mid and high bar positions. It is interesting to note that although none of the NJMs in the mid and high bar positions differed between joints, the RME of the hip extensors varied significantly between all bar positions and was lowest in the high bar position. Taken together, the RME results indicate that the performing isometric pulls with the bar in the mid position (i.e., knee at 135° and hip at 155°), which aligns with the literature-based recommendations for the IMTP, should be considered a test of knee extensor and ankle </w:t>
      </w:r>
      <w:proofErr w:type="spellStart"/>
      <w:r w:rsidRPr="0001660E">
        <w:rPr>
          <w:rFonts w:cstheme="minorHAnsi"/>
          <w:sz w:val="24"/>
          <w:szCs w:val="24"/>
        </w:rPr>
        <w:t>plantarflexor</w:t>
      </w:r>
      <w:proofErr w:type="spellEnd"/>
      <w:r w:rsidRPr="0001660E">
        <w:rPr>
          <w:rFonts w:cstheme="minorHAnsi"/>
          <w:sz w:val="24"/>
          <w:szCs w:val="24"/>
        </w:rPr>
        <w:t xml:space="preserve"> strength because these muscle groups are operating closer to their relative maximum capacity and thus seem to contribute most to the GRFs. Because neither the mid or high position elicit large NJMs or RME at the hip, a corollary is that performing the isometric pulls with the bar in these positions provides an assessment of only knee and ankle extension </w:t>
      </w:r>
      <w:proofErr w:type="gramStart"/>
      <w:r w:rsidRPr="0001660E">
        <w:rPr>
          <w:rFonts w:cstheme="minorHAnsi"/>
          <w:sz w:val="24"/>
          <w:szCs w:val="24"/>
        </w:rPr>
        <w:t>strength</w:t>
      </w:r>
      <w:proofErr w:type="gramEnd"/>
      <w:r w:rsidRPr="0001660E">
        <w:rPr>
          <w:rFonts w:cstheme="minorHAnsi"/>
          <w:sz w:val="24"/>
          <w:szCs w:val="24"/>
        </w:rPr>
        <w:t xml:space="preserve"> but not total or lower-body strength as often purported (</w:t>
      </w:r>
      <w:r w:rsidRPr="0001660E">
        <w:rPr>
          <w:rFonts w:cstheme="minorHAnsi"/>
          <w:sz w:val="24"/>
          <w:szCs w:val="24"/>
          <w:vertAlign w:val="superscript"/>
        </w:rPr>
        <w:t>10</w:t>
      </w:r>
      <w:r w:rsidRPr="0001660E">
        <w:rPr>
          <w:rFonts w:cstheme="minorHAnsi"/>
          <w:sz w:val="24"/>
          <w:szCs w:val="24"/>
        </w:rPr>
        <w:t>). Because the IMTP is used in assessing and monitoring maximum force producing capacity of the lower body, the practical implications of these findings suggest that the maximal GRFs generated during the IMTP reflect joint-specific strength, which depends on bar position and posture, rather than general lower-body strength as sometimes purported (</w:t>
      </w:r>
      <w:r w:rsidRPr="0001660E">
        <w:rPr>
          <w:rFonts w:cstheme="minorHAnsi"/>
          <w:sz w:val="24"/>
          <w:szCs w:val="24"/>
          <w:vertAlign w:val="superscript"/>
        </w:rPr>
        <w:t>10</w:t>
      </w:r>
      <w:r w:rsidRPr="0001660E">
        <w:rPr>
          <w:rFonts w:cstheme="minorHAnsi"/>
          <w:sz w:val="24"/>
          <w:szCs w:val="24"/>
        </w:rPr>
        <w:t>). Furthermore, the notion that IMTP performance provides information about joint-specific strength may be relevant when interpreting the presence or lack of cross-sectional correlations between the peak GRFs generated during the IMTP and performance in other functional activities (e.g., vertical jumping or change-of-direction tasks). The same notion should also be kept in mind when interpreting training-related changes in peak IMTP GRF and whether those changes explain improvements in functional activities, which in turn may be determined by, or subject to, joint-specific contributors.</w:t>
      </w:r>
    </w:p>
    <w:p w14:paraId="76420A41" w14:textId="77777777" w:rsidR="0001660E" w:rsidRPr="0001660E" w:rsidRDefault="0001660E" w:rsidP="0001660E">
      <w:pPr>
        <w:rPr>
          <w:rFonts w:cstheme="minorHAnsi"/>
          <w:sz w:val="24"/>
          <w:szCs w:val="24"/>
        </w:rPr>
      </w:pPr>
      <w:r w:rsidRPr="0001660E">
        <w:rPr>
          <w:rFonts w:cstheme="minorHAnsi"/>
          <w:sz w:val="24"/>
          <w:szCs w:val="24"/>
        </w:rPr>
        <w:t xml:space="preserve">This study is not without limitations, and the interpretations of the current results should be considered </w:t>
      </w:r>
      <w:proofErr w:type="gramStart"/>
      <w:r w:rsidRPr="0001660E">
        <w:rPr>
          <w:rFonts w:cstheme="minorHAnsi"/>
          <w:sz w:val="24"/>
          <w:szCs w:val="24"/>
        </w:rPr>
        <w:t>in light of</w:t>
      </w:r>
      <w:proofErr w:type="gramEnd"/>
      <w:r w:rsidRPr="0001660E">
        <w:rPr>
          <w:rFonts w:cstheme="minorHAnsi"/>
          <w:sz w:val="24"/>
          <w:szCs w:val="24"/>
        </w:rPr>
        <w:t xml:space="preserve"> these. First, NJMs represent the sum of moments generated by the muscle forces of all agonists and antagonists that cross the respective specific joint. This implies that individual muscle forces or the effects of </w:t>
      </w:r>
      <w:proofErr w:type="spellStart"/>
      <w:r w:rsidRPr="0001660E">
        <w:rPr>
          <w:rFonts w:cstheme="minorHAnsi"/>
          <w:sz w:val="24"/>
          <w:szCs w:val="24"/>
        </w:rPr>
        <w:t>cocontraction</w:t>
      </w:r>
      <w:proofErr w:type="spellEnd"/>
      <w:r w:rsidRPr="0001660E">
        <w:rPr>
          <w:rFonts w:cstheme="minorHAnsi"/>
          <w:sz w:val="24"/>
          <w:szCs w:val="24"/>
        </w:rPr>
        <w:t xml:space="preserve"> were not considered, which likely means that the NJMs underestimate the absolute magnitudes of muscular contributions during isometric pulls. Second, the maximum possible NJMs in the RME equation was calculated from moment-angle curves that were derived from isokinetic dynamometry and reported in previous studies. Although the moment-angle data and maximal NJM estimates were scaled by each player's body mass and height, it is possible that the reported RME values may not entirely represent the true RME of each of the extensor muscle groups, which may affect the joint-based comparison of RME. However, this limitation would not affect the bar position-based results because any errors in scaling maximum NJMs based on the regression equations would be consistent across bar positions. To address these limitations, future studies should therefore use more sophisticated musculoskeletal and computational models to further investigate how joint level, or even muscle level, biomechanics change based on bar position during isometric pulls. Finally, the results and interpretations of the current study were based on a sample size of 8 subjects, which could be considered small, and may inadvertently affect the results. In addition to considering the level of statistical significance, researchers and practitioners should therefore also consider the effect size of the statistical comparisons because these were adjusted for small sample sizes.</w:t>
      </w:r>
    </w:p>
    <w:p w14:paraId="5E906210" w14:textId="77777777" w:rsidR="0001660E" w:rsidRPr="0001660E" w:rsidRDefault="0001660E" w:rsidP="003525B2">
      <w:pPr>
        <w:pStyle w:val="Heading1"/>
        <w:ind w:left="720"/>
      </w:pPr>
      <w:r w:rsidRPr="0001660E">
        <w:t>Practical Applications</w:t>
      </w:r>
    </w:p>
    <w:p w14:paraId="640EE2CA" w14:textId="77777777" w:rsidR="0001660E" w:rsidRPr="0001660E" w:rsidRDefault="0001660E" w:rsidP="003525B2">
      <w:pPr>
        <w:ind w:left="720"/>
        <w:rPr>
          <w:rFonts w:cstheme="minorHAnsi"/>
          <w:sz w:val="24"/>
          <w:szCs w:val="24"/>
        </w:rPr>
      </w:pPr>
      <w:r w:rsidRPr="0001660E">
        <w:rPr>
          <w:rFonts w:cstheme="minorHAnsi"/>
          <w:sz w:val="24"/>
          <w:szCs w:val="24"/>
        </w:rPr>
        <w:t>The current study showed that bar position affects the peak NJM and RME at lower-body joints. Researchers and practitioners may want to consider that using different bar positions during isometric pull testing changes the relative functional demands and respective contributions from the lower-body extensor muscle groups. Specifically, the low bar position was associated with large hip and small knee joint effort, whereas the reverse was true for the mid bar positions. Moreover, because joint-level biomechanics differed between the low and mid bar positions, whereas the GRFs did not, the joint-specific demands and contributions to peak isometric pulling forces likely reflected a trade-off between hip dominance and knee dominance in the low and mid bar position, respectively. Practitioners should therefore be mindful of this trade-off when interpreting isometric pull data and using it to assess and monitor maximal force-producing capacity of the lower body. Similarly, researchers should be mindful of this trade-off when interpreting correlations or training-related changes in GRF performance in relation to performance of other strength and conditioning tasks.</w:t>
      </w:r>
    </w:p>
    <w:p w14:paraId="2A1F5D90" w14:textId="77777777" w:rsidR="0001660E" w:rsidRPr="0001660E" w:rsidRDefault="0001660E" w:rsidP="003525B2">
      <w:pPr>
        <w:pStyle w:val="Heading1"/>
      </w:pPr>
      <w:r w:rsidRPr="0001660E">
        <w:t>Acknowledgments</w:t>
      </w:r>
    </w:p>
    <w:p w14:paraId="105532A9" w14:textId="77777777" w:rsidR="0001660E" w:rsidRPr="0001660E" w:rsidRDefault="0001660E" w:rsidP="0001660E">
      <w:pPr>
        <w:rPr>
          <w:rFonts w:cstheme="minorHAnsi"/>
          <w:sz w:val="24"/>
          <w:szCs w:val="24"/>
        </w:rPr>
      </w:pPr>
      <w:r w:rsidRPr="0001660E">
        <w:rPr>
          <w:rFonts w:cstheme="minorHAnsi"/>
          <w:sz w:val="24"/>
          <w:szCs w:val="24"/>
        </w:rPr>
        <w:t>The authors have no conflicts of interest to disclose. The authors thank the Sports Performance staff and Women's lacrosse team at Marquette University for their help with this project.</w:t>
      </w:r>
    </w:p>
    <w:p w14:paraId="42CCE254" w14:textId="77777777" w:rsidR="0001660E" w:rsidRPr="0001660E" w:rsidRDefault="0001660E" w:rsidP="003525B2">
      <w:pPr>
        <w:pStyle w:val="Heading1"/>
      </w:pPr>
      <w:r w:rsidRPr="0001660E">
        <w:t>References</w:t>
      </w:r>
    </w:p>
    <w:p w14:paraId="49137A65" w14:textId="77777777" w:rsidR="0001660E" w:rsidRPr="0001660E" w:rsidRDefault="0001660E" w:rsidP="00D5415D">
      <w:pPr>
        <w:spacing w:after="0"/>
        <w:ind w:left="720" w:hanging="720"/>
        <w:rPr>
          <w:rFonts w:cstheme="minorHAnsi"/>
          <w:sz w:val="24"/>
          <w:szCs w:val="24"/>
        </w:rPr>
      </w:pPr>
      <w:r w:rsidRPr="0001660E">
        <w:rPr>
          <w:rFonts w:cstheme="minorHAnsi"/>
          <w:sz w:val="24"/>
          <w:szCs w:val="24"/>
        </w:rPr>
        <w:t xml:space="preserve">1. Anderson DE, Madigan ML, Nussbaum MA. Maximum voluntary joint torque as a function of joint angle and angular velocity: Model development and application to the lower limb. J </w:t>
      </w:r>
      <w:proofErr w:type="spellStart"/>
      <w:r w:rsidRPr="0001660E">
        <w:rPr>
          <w:rFonts w:cstheme="minorHAnsi"/>
          <w:sz w:val="24"/>
          <w:szCs w:val="24"/>
        </w:rPr>
        <w:t>Biomech</w:t>
      </w:r>
      <w:proofErr w:type="spellEnd"/>
      <w:r w:rsidRPr="0001660E">
        <w:rPr>
          <w:rFonts w:cstheme="minorHAnsi"/>
          <w:sz w:val="24"/>
          <w:szCs w:val="24"/>
        </w:rPr>
        <w:t xml:space="preserve"> 40: 3105–3113, 2007.</w:t>
      </w:r>
    </w:p>
    <w:p w14:paraId="2C289A3C" w14:textId="77777777" w:rsidR="0001660E" w:rsidRPr="0001660E" w:rsidRDefault="0001660E" w:rsidP="00D5415D">
      <w:pPr>
        <w:spacing w:after="0"/>
        <w:ind w:left="720" w:hanging="720"/>
        <w:rPr>
          <w:rFonts w:cstheme="minorHAnsi"/>
          <w:sz w:val="24"/>
          <w:szCs w:val="24"/>
        </w:rPr>
      </w:pPr>
      <w:r w:rsidRPr="0001660E">
        <w:rPr>
          <w:rFonts w:cstheme="minorHAnsi"/>
          <w:sz w:val="24"/>
          <w:szCs w:val="24"/>
        </w:rPr>
        <w:t>2. Atkinson G, Nevill AM. Statistical methods for assessing measurement error (reliability) in variables relevant to sports medicine. Sports Med 26: 217–238, 1998.</w:t>
      </w:r>
    </w:p>
    <w:p w14:paraId="70C69D60" w14:textId="77777777" w:rsidR="0001660E" w:rsidRPr="0001660E" w:rsidRDefault="0001660E" w:rsidP="00D5415D">
      <w:pPr>
        <w:spacing w:after="0"/>
        <w:ind w:left="720" w:hanging="720"/>
        <w:rPr>
          <w:rFonts w:cstheme="minorHAnsi"/>
          <w:sz w:val="24"/>
          <w:szCs w:val="24"/>
        </w:rPr>
      </w:pPr>
      <w:r w:rsidRPr="0001660E">
        <w:rPr>
          <w:rFonts w:cstheme="minorHAnsi"/>
          <w:sz w:val="24"/>
          <w:szCs w:val="24"/>
        </w:rPr>
        <w:t>3. Beckham G, Mizuguchi S, Carter C, et al. Relationships of isometric mid-thigh pull variables to weightlifting performance. J Sports Med Phys Fitness 53: 573–581, 2013.</w:t>
      </w:r>
    </w:p>
    <w:p w14:paraId="305B9235" w14:textId="77777777" w:rsidR="0001660E" w:rsidRPr="0001660E" w:rsidRDefault="0001660E" w:rsidP="00D5415D">
      <w:pPr>
        <w:spacing w:after="0"/>
        <w:ind w:left="720" w:hanging="720"/>
        <w:rPr>
          <w:rFonts w:cstheme="minorHAnsi"/>
          <w:sz w:val="24"/>
          <w:szCs w:val="24"/>
        </w:rPr>
      </w:pPr>
      <w:r w:rsidRPr="0001660E">
        <w:rPr>
          <w:rFonts w:cstheme="minorHAnsi"/>
          <w:sz w:val="24"/>
          <w:szCs w:val="24"/>
        </w:rPr>
        <w:t>4. Beckham GK, Sato K, Santana HAP, Mizuguchi S, Haff GG, Stone MH. Effect of body position on force production during the isometric midthigh pull. J Strength Cond Res 32: 48–56, 2018.</w:t>
      </w:r>
    </w:p>
    <w:p w14:paraId="5A800236" w14:textId="77777777" w:rsidR="0001660E" w:rsidRPr="0001660E" w:rsidRDefault="0001660E" w:rsidP="00D5415D">
      <w:pPr>
        <w:spacing w:after="0"/>
        <w:ind w:left="720" w:hanging="720"/>
        <w:rPr>
          <w:rFonts w:cstheme="minorHAnsi"/>
          <w:sz w:val="24"/>
          <w:szCs w:val="24"/>
        </w:rPr>
      </w:pPr>
      <w:r w:rsidRPr="0001660E">
        <w:rPr>
          <w:rFonts w:cstheme="minorHAnsi"/>
          <w:sz w:val="24"/>
          <w:szCs w:val="24"/>
        </w:rPr>
        <w:t xml:space="preserve">5. Brady CJ, Harrison AJ, Comyns TM. A review of the reliability of biomechanical variables produced during the isometric mid-thigh pull and isometric squat and the reporting of normative data. Sports </w:t>
      </w:r>
      <w:proofErr w:type="spellStart"/>
      <w:r w:rsidRPr="0001660E">
        <w:rPr>
          <w:rFonts w:cstheme="minorHAnsi"/>
          <w:sz w:val="24"/>
          <w:szCs w:val="24"/>
        </w:rPr>
        <w:t>Biomech</w:t>
      </w:r>
      <w:proofErr w:type="spellEnd"/>
      <w:r w:rsidRPr="0001660E">
        <w:rPr>
          <w:rFonts w:cstheme="minorHAnsi"/>
          <w:sz w:val="24"/>
          <w:szCs w:val="24"/>
        </w:rPr>
        <w:t xml:space="preserve"> 19:1–25, 2020.</w:t>
      </w:r>
    </w:p>
    <w:p w14:paraId="1AD41740" w14:textId="77777777" w:rsidR="0001660E" w:rsidRPr="0001660E" w:rsidRDefault="0001660E" w:rsidP="00D5415D">
      <w:pPr>
        <w:spacing w:after="0"/>
        <w:ind w:left="720" w:hanging="720"/>
        <w:rPr>
          <w:rFonts w:cstheme="minorHAnsi"/>
          <w:sz w:val="24"/>
          <w:szCs w:val="24"/>
        </w:rPr>
      </w:pPr>
      <w:r w:rsidRPr="0001660E">
        <w:rPr>
          <w:rFonts w:cstheme="minorHAnsi"/>
          <w:sz w:val="24"/>
          <w:szCs w:val="24"/>
        </w:rPr>
        <w:t>6. </w:t>
      </w:r>
      <w:proofErr w:type="spellStart"/>
      <w:r w:rsidRPr="0001660E">
        <w:rPr>
          <w:rFonts w:cstheme="minorHAnsi"/>
          <w:sz w:val="24"/>
          <w:szCs w:val="24"/>
        </w:rPr>
        <w:t>Bryanton</w:t>
      </w:r>
      <w:proofErr w:type="spellEnd"/>
      <w:r w:rsidRPr="0001660E">
        <w:rPr>
          <w:rFonts w:cstheme="minorHAnsi"/>
          <w:sz w:val="24"/>
          <w:szCs w:val="24"/>
        </w:rPr>
        <w:t xml:space="preserve"> MA, Kennedy MD, Carey JP, Chiu LZ. Effect of squat depth and barbell load on relative muscular effort in squatting. J Strength Cond Res 26: 2820–2828, 2012.</w:t>
      </w:r>
    </w:p>
    <w:p w14:paraId="0AA88E21" w14:textId="77777777" w:rsidR="0001660E" w:rsidRPr="0001660E" w:rsidRDefault="0001660E" w:rsidP="00D5415D">
      <w:pPr>
        <w:spacing w:after="0"/>
        <w:ind w:left="720" w:hanging="720"/>
        <w:rPr>
          <w:rFonts w:cstheme="minorHAnsi"/>
          <w:sz w:val="24"/>
          <w:szCs w:val="24"/>
        </w:rPr>
      </w:pPr>
      <w:r w:rsidRPr="0001660E">
        <w:rPr>
          <w:rFonts w:cstheme="minorHAnsi"/>
          <w:sz w:val="24"/>
          <w:szCs w:val="24"/>
        </w:rPr>
        <w:t>7. Chiu LZF. Biomechanical methods to quantify muscle effort during resistance exercise. J Strength Cond Res 32: 502–513, 2018.</w:t>
      </w:r>
    </w:p>
    <w:p w14:paraId="4F362148" w14:textId="77777777" w:rsidR="0001660E" w:rsidRPr="0001660E" w:rsidRDefault="0001660E" w:rsidP="00D5415D">
      <w:pPr>
        <w:spacing w:after="0"/>
        <w:ind w:left="720" w:hanging="720"/>
        <w:rPr>
          <w:rFonts w:cstheme="minorHAnsi"/>
          <w:sz w:val="24"/>
          <w:szCs w:val="24"/>
        </w:rPr>
      </w:pPr>
      <w:r w:rsidRPr="0001660E">
        <w:rPr>
          <w:rFonts w:cstheme="minorHAnsi"/>
          <w:sz w:val="24"/>
          <w:szCs w:val="24"/>
        </w:rPr>
        <w:t>8. Comfort P, Dos' Santos T, Beckham GK, et al. Standardization and methodological considerations for the isometric midthigh pull. Strength Cond J 41: 57–79, 2019.</w:t>
      </w:r>
    </w:p>
    <w:p w14:paraId="5C2CDBD2" w14:textId="77777777" w:rsidR="0001660E" w:rsidRPr="0001660E" w:rsidRDefault="0001660E" w:rsidP="00D5415D">
      <w:pPr>
        <w:spacing w:after="0"/>
        <w:ind w:left="720" w:hanging="720"/>
        <w:rPr>
          <w:rFonts w:cstheme="minorHAnsi"/>
          <w:sz w:val="24"/>
          <w:szCs w:val="24"/>
        </w:rPr>
      </w:pPr>
      <w:r w:rsidRPr="0001660E">
        <w:rPr>
          <w:rFonts w:cstheme="minorHAnsi"/>
          <w:sz w:val="24"/>
          <w:szCs w:val="24"/>
        </w:rPr>
        <w:t xml:space="preserve">9. Comfort P, Jones PA, McMahon JJ, et al. Effect of knee and trunk angle on kinetic variables during the isometric midthigh pull: Test–retest reliability. Int J Sports </w:t>
      </w:r>
      <w:proofErr w:type="spellStart"/>
      <w:r w:rsidRPr="0001660E">
        <w:rPr>
          <w:rFonts w:cstheme="minorHAnsi"/>
          <w:sz w:val="24"/>
          <w:szCs w:val="24"/>
        </w:rPr>
        <w:t>Physiol</w:t>
      </w:r>
      <w:proofErr w:type="spellEnd"/>
      <w:r w:rsidRPr="0001660E">
        <w:rPr>
          <w:rFonts w:cstheme="minorHAnsi"/>
          <w:sz w:val="24"/>
          <w:szCs w:val="24"/>
        </w:rPr>
        <w:t xml:space="preserve"> 10: 58–63, 2015.</w:t>
      </w:r>
    </w:p>
    <w:p w14:paraId="731B7FAE" w14:textId="77777777" w:rsidR="0001660E" w:rsidRPr="0001660E" w:rsidRDefault="0001660E" w:rsidP="00D5415D">
      <w:pPr>
        <w:spacing w:after="0"/>
        <w:ind w:left="720" w:hanging="720"/>
        <w:rPr>
          <w:rFonts w:cstheme="minorHAnsi"/>
          <w:sz w:val="24"/>
          <w:szCs w:val="24"/>
        </w:rPr>
      </w:pPr>
      <w:r w:rsidRPr="0001660E">
        <w:rPr>
          <w:rFonts w:cstheme="minorHAnsi"/>
          <w:sz w:val="24"/>
          <w:szCs w:val="24"/>
        </w:rPr>
        <w:t>10. De Witt JK, English KL, Crowell JB, et al. Isometric midthigh pull reliability and relationship to deadlift one repetition maximum. J Strength Cond Res 32: 528–533, 2018.</w:t>
      </w:r>
    </w:p>
    <w:p w14:paraId="19FFD26A" w14:textId="77777777" w:rsidR="0001660E" w:rsidRPr="0001660E" w:rsidRDefault="0001660E" w:rsidP="00D5415D">
      <w:pPr>
        <w:spacing w:after="0"/>
        <w:ind w:left="720" w:hanging="720"/>
        <w:rPr>
          <w:rFonts w:cstheme="minorHAnsi"/>
          <w:sz w:val="24"/>
          <w:szCs w:val="24"/>
        </w:rPr>
      </w:pPr>
      <w:r w:rsidRPr="0001660E">
        <w:rPr>
          <w:rFonts w:cstheme="minorHAnsi"/>
          <w:sz w:val="24"/>
          <w:szCs w:val="24"/>
        </w:rPr>
        <w:t xml:space="preserve">11. Dobbin N, </w:t>
      </w:r>
      <w:proofErr w:type="spellStart"/>
      <w:r w:rsidRPr="0001660E">
        <w:rPr>
          <w:rFonts w:cstheme="minorHAnsi"/>
          <w:sz w:val="24"/>
          <w:szCs w:val="24"/>
        </w:rPr>
        <w:t>Hunwicks</w:t>
      </w:r>
      <w:proofErr w:type="spellEnd"/>
      <w:r w:rsidRPr="0001660E">
        <w:rPr>
          <w:rFonts w:cstheme="minorHAnsi"/>
          <w:sz w:val="24"/>
          <w:szCs w:val="24"/>
        </w:rPr>
        <w:t xml:space="preserve"> R, Jones B, et al. Criterion and construct validity of an isometric midthigh-pull dynamometer for assessing whole-body strength in professional rugby league players. Int J Sports </w:t>
      </w:r>
      <w:proofErr w:type="spellStart"/>
      <w:r w:rsidRPr="0001660E">
        <w:rPr>
          <w:rFonts w:cstheme="minorHAnsi"/>
          <w:sz w:val="24"/>
          <w:szCs w:val="24"/>
        </w:rPr>
        <w:t>Physiol</w:t>
      </w:r>
      <w:proofErr w:type="spellEnd"/>
      <w:r w:rsidRPr="0001660E">
        <w:rPr>
          <w:rFonts w:cstheme="minorHAnsi"/>
          <w:sz w:val="24"/>
          <w:szCs w:val="24"/>
        </w:rPr>
        <w:t xml:space="preserve"> 13: 235–239, 2018.</w:t>
      </w:r>
    </w:p>
    <w:p w14:paraId="29958CD7" w14:textId="77777777" w:rsidR="0001660E" w:rsidRPr="0001660E" w:rsidRDefault="0001660E" w:rsidP="00D5415D">
      <w:pPr>
        <w:spacing w:after="0"/>
        <w:ind w:left="720" w:hanging="720"/>
        <w:rPr>
          <w:rFonts w:cstheme="minorHAnsi"/>
          <w:sz w:val="24"/>
          <w:szCs w:val="24"/>
        </w:rPr>
      </w:pPr>
      <w:r w:rsidRPr="0001660E">
        <w:rPr>
          <w:rFonts w:cstheme="minorHAnsi"/>
          <w:sz w:val="24"/>
          <w:szCs w:val="24"/>
        </w:rPr>
        <w:t>12. Dos' Santos T, Jones PA, Comfort P, et al. Effect of different onset thresholds on isometric midthigh pull force-time variables. J Strength Cond Res 31: 3463–3473, 2017.</w:t>
      </w:r>
    </w:p>
    <w:p w14:paraId="70C69C8E" w14:textId="77777777" w:rsidR="0001660E" w:rsidRPr="0001660E" w:rsidRDefault="0001660E" w:rsidP="00D5415D">
      <w:pPr>
        <w:spacing w:after="0"/>
        <w:ind w:left="720" w:hanging="720"/>
        <w:rPr>
          <w:rFonts w:cstheme="minorHAnsi"/>
          <w:sz w:val="24"/>
          <w:szCs w:val="24"/>
        </w:rPr>
      </w:pPr>
      <w:r w:rsidRPr="0001660E">
        <w:rPr>
          <w:rFonts w:cstheme="minorHAnsi"/>
          <w:sz w:val="24"/>
          <w:szCs w:val="24"/>
        </w:rPr>
        <w:t>13. Dos' Santos T, Thomas C, Comfort P, et al. Between-session reliability of isometric midthigh pull kinetics and maximal power clean performance in male youth soccer players. J Strength Cond Res 32: 3364–3372, 2018.</w:t>
      </w:r>
    </w:p>
    <w:p w14:paraId="4FF0AEBA" w14:textId="557D431B" w:rsidR="0001660E" w:rsidRPr="0001660E" w:rsidRDefault="0001660E" w:rsidP="00D5415D">
      <w:pPr>
        <w:spacing w:after="0"/>
        <w:ind w:left="720" w:hanging="720"/>
        <w:rPr>
          <w:rFonts w:cstheme="minorHAnsi"/>
          <w:sz w:val="24"/>
          <w:szCs w:val="24"/>
        </w:rPr>
      </w:pPr>
      <w:r w:rsidRPr="0001660E">
        <w:rPr>
          <w:rFonts w:cstheme="minorHAnsi"/>
          <w:sz w:val="24"/>
          <w:szCs w:val="24"/>
        </w:rPr>
        <w:t xml:space="preserve">14. Dos' Santos T, Thomas C, Jones PA, et al. The effect of hip joint angle on isometric midthigh </w:t>
      </w:r>
      <w:proofErr w:type="gramStart"/>
      <w:r w:rsidRPr="0001660E">
        <w:rPr>
          <w:rFonts w:cstheme="minorHAnsi"/>
          <w:sz w:val="24"/>
          <w:szCs w:val="24"/>
        </w:rPr>
        <w:t>pull</w:t>
      </w:r>
      <w:proofErr w:type="gramEnd"/>
      <w:r w:rsidRPr="0001660E">
        <w:rPr>
          <w:rFonts w:cstheme="minorHAnsi"/>
          <w:sz w:val="24"/>
          <w:szCs w:val="24"/>
        </w:rPr>
        <w:t xml:space="preserve"> kinetics. J Strength Cond Res 31: 2748–2757, 2017.</w:t>
      </w:r>
    </w:p>
    <w:p w14:paraId="5F6BEBA9" w14:textId="77777777" w:rsidR="0001660E" w:rsidRPr="0001660E" w:rsidRDefault="0001660E" w:rsidP="00D5415D">
      <w:pPr>
        <w:spacing w:after="0"/>
        <w:ind w:left="720" w:hanging="720"/>
        <w:rPr>
          <w:rFonts w:cstheme="minorHAnsi"/>
          <w:sz w:val="24"/>
          <w:szCs w:val="24"/>
        </w:rPr>
      </w:pPr>
      <w:r w:rsidRPr="0001660E">
        <w:rPr>
          <w:rFonts w:cstheme="minorHAnsi"/>
          <w:sz w:val="24"/>
          <w:szCs w:val="24"/>
        </w:rPr>
        <w:t>15. </w:t>
      </w:r>
      <w:proofErr w:type="spellStart"/>
      <w:r w:rsidRPr="0001660E">
        <w:rPr>
          <w:rFonts w:cstheme="minorHAnsi"/>
          <w:sz w:val="24"/>
          <w:szCs w:val="24"/>
        </w:rPr>
        <w:t>Dos'Santos</w:t>
      </w:r>
      <w:proofErr w:type="spellEnd"/>
      <w:r w:rsidRPr="0001660E">
        <w:rPr>
          <w:rFonts w:cstheme="minorHAnsi"/>
          <w:sz w:val="24"/>
          <w:szCs w:val="24"/>
        </w:rPr>
        <w:t xml:space="preserve"> T, Thomas C, Comfort P, et al. Relationships between isometric force-time characteristics and dynamic performance. Sports 5: 68, 2017.</w:t>
      </w:r>
    </w:p>
    <w:p w14:paraId="13EA5CC9" w14:textId="77777777" w:rsidR="0001660E" w:rsidRPr="0001660E" w:rsidRDefault="0001660E" w:rsidP="00D5415D">
      <w:pPr>
        <w:spacing w:after="0"/>
        <w:ind w:left="720" w:hanging="720"/>
        <w:rPr>
          <w:rFonts w:cstheme="minorHAnsi"/>
          <w:sz w:val="24"/>
          <w:szCs w:val="24"/>
        </w:rPr>
      </w:pPr>
      <w:r w:rsidRPr="0001660E">
        <w:rPr>
          <w:rFonts w:cstheme="minorHAnsi"/>
          <w:sz w:val="24"/>
          <w:szCs w:val="24"/>
        </w:rPr>
        <w:t xml:space="preserve">16. Duthie G, </w:t>
      </w:r>
      <w:proofErr w:type="spellStart"/>
      <w:r w:rsidRPr="0001660E">
        <w:rPr>
          <w:rFonts w:cstheme="minorHAnsi"/>
          <w:sz w:val="24"/>
          <w:szCs w:val="24"/>
        </w:rPr>
        <w:t>Pyne</w:t>
      </w:r>
      <w:proofErr w:type="spellEnd"/>
      <w:r w:rsidRPr="0001660E">
        <w:rPr>
          <w:rFonts w:cstheme="minorHAnsi"/>
          <w:sz w:val="24"/>
          <w:szCs w:val="24"/>
        </w:rPr>
        <w:t xml:space="preserve"> D, Hooper S. The reliability of </w:t>
      </w:r>
      <w:proofErr w:type="gramStart"/>
      <w:r w:rsidRPr="0001660E">
        <w:rPr>
          <w:rFonts w:cstheme="minorHAnsi"/>
          <w:sz w:val="24"/>
          <w:szCs w:val="24"/>
        </w:rPr>
        <w:t>video based</w:t>
      </w:r>
      <w:proofErr w:type="gramEnd"/>
      <w:r w:rsidRPr="0001660E">
        <w:rPr>
          <w:rFonts w:cstheme="minorHAnsi"/>
          <w:sz w:val="24"/>
          <w:szCs w:val="24"/>
        </w:rPr>
        <w:t xml:space="preserve"> time motion analysis. J Hum Mov Stud 44: 259–272, 2003.</w:t>
      </w:r>
    </w:p>
    <w:p w14:paraId="22FBF1F9" w14:textId="77777777" w:rsidR="0001660E" w:rsidRPr="0001660E" w:rsidRDefault="0001660E" w:rsidP="00D5415D">
      <w:pPr>
        <w:spacing w:after="0"/>
        <w:ind w:left="720" w:hanging="720"/>
        <w:rPr>
          <w:rFonts w:cstheme="minorHAnsi"/>
          <w:sz w:val="24"/>
          <w:szCs w:val="24"/>
        </w:rPr>
      </w:pPr>
      <w:r w:rsidRPr="0001660E">
        <w:rPr>
          <w:rFonts w:cstheme="minorHAnsi"/>
          <w:sz w:val="24"/>
          <w:szCs w:val="24"/>
        </w:rPr>
        <w:t>17. Guppy SN, Brady CJ, Kotani Y, et al. Effect of altering body posture and barbell position on the within-session reliability and magnitude of force-time curve characteristics in the isometric midthigh pull. J Strength Cond Res 33: 3252–3262, 2019.</w:t>
      </w:r>
    </w:p>
    <w:p w14:paraId="336231C7" w14:textId="77777777" w:rsidR="0001660E" w:rsidRPr="0001660E" w:rsidRDefault="0001660E" w:rsidP="00D5415D">
      <w:pPr>
        <w:spacing w:after="0"/>
        <w:ind w:left="720" w:hanging="720"/>
        <w:rPr>
          <w:rFonts w:cstheme="minorHAnsi"/>
          <w:sz w:val="24"/>
          <w:szCs w:val="24"/>
        </w:rPr>
      </w:pPr>
      <w:r w:rsidRPr="0001660E">
        <w:rPr>
          <w:rFonts w:cstheme="minorHAnsi"/>
          <w:sz w:val="24"/>
          <w:szCs w:val="24"/>
        </w:rPr>
        <w:t>18. Haff GG, Carlock JM, Hartman MJ, et al. Force-time curve characteristics of dynamic and isometric muscle actions of elite women Olympic weightlifters. J Strength Cond Res 19: 741–748, 2005.</w:t>
      </w:r>
    </w:p>
    <w:p w14:paraId="066EE1DF" w14:textId="77777777" w:rsidR="0001660E" w:rsidRPr="0001660E" w:rsidRDefault="0001660E" w:rsidP="00D5415D">
      <w:pPr>
        <w:spacing w:after="0"/>
        <w:ind w:left="720" w:hanging="720"/>
        <w:rPr>
          <w:rFonts w:cstheme="minorHAnsi"/>
          <w:sz w:val="24"/>
          <w:szCs w:val="24"/>
        </w:rPr>
      </w:pPr>
      <w:r w:rsidRPr="0001660E">
        <w:rPr>
          <w:rFonts w:cstheme="minorHAnsi"/>
          <w:sz w:val="24"/>
          <w:szCs w:val="24"/>
        </w:rPr>
        <w:t>19. Haff GG, Ruben RP, Lider J, Twine C, Cormie P. A comparison of methods for determining the rate of force development during isometric midthigh clean pulls. J Strength Cond Res 29: 386–395, 2015.</w:t>
      </w:r>
    </w:p>
    <w:p w14:paraId="2E75ADF9" w14:textId="77777777" w:rsidR="0001660E" w:rsidRPr="0001660E" w:rsidRDefault="0001660E" w:rsidP="00D5415D">
      <w:pPr>
        <w:spacing w:after="0"/>
        <w:ind w:left="720" w:hanging="720"/>
        <w:rPr>
          <w:rFonts w:cstheme="minorHAnsi"/>
          <w:sz w:val="24"/>
          <w:szCs w:val="24"/>
        </w:rPr>
      </w:pPr>
      <w:r w:rsidRPr="0001660E">
        <w:rPr>
          <w:rFonts w:cstheme="minorHAnsi"/>
          <w:sz w:val="24"/>
          <w:szCs w:val="24"/>
        </w:rPr>
        <w:t>20. Hahn D. Lower extremity extension force and electromyography properties as a function of knee angle and their relation to joint torques: Implications for strength diagnostics. J Strength Cond Res 25: 1622–1631, 2011.</w:t>
      </w:r>
    </w:p>
    <w:p w14:paraId="39B95E12" w14:textId="77777777" w:rsidR="0001660E" w:rsidRPr="0001660E" w:rsidRDefault="0001660E" w:rsidP="00D5415D">
      <w:pPr>
        <w:spacing w:after="0"/>
        <w:ind w:left="720" w:hanging="720"/>
        <w:rPr>
          <w:rFonts w:cstheme="minorHAnsi"/>
          <w:sz w:val="24"/>
          <w:szCs w:val="24"/>
        </w:rPr>
      </w:pPr>
      <w:r w:rsidRPr="0001660E">
        <w:rPr>
          <w:rFonts w:cstheme="minorHAnsi"/>
          <w:sz w:val="24"/>
          <w:szCs w:val="24"/>
        </w:rPr>
        <w:t>21. Hedges LV. Parametric estimation of effect size. In: Estimation of a single-effect size: Parametric and non-parametric methods. Stat Methods Meta-Analysis, 1985. pp. 128.</w:t>
      </w:r>
    </w:p>
    <w:p w14:paraId="0C40B303" w14:textId="77777777" w:rsidR="0001660E" w:rsidRPr="0001660E" w:rsidRDefault="0001660E" w:rsidP="00D5415D">
      <w:pPr>
        <w:spacing w:after="0"/>
        <w:ind w:left="720" w:hanging="720"/>
        <w:rPr>
          <w:rFonts w:cstheme="minorHAnsi"/>
          <w:sz w:val="24"/>
          <w:szCs w:val="24"/>
        </w:rPr>
      </w:pPr>
      <w:r w:rsidRPr="0001660E">
        <w:rPr>
          <w:rFonts w:cstheme="minorHAnsi"/>
          <w:sz w:val="24"/>
          <w:szCs w:val="24"/>
        </w:rPr>
        <w:t>22. Hopkins WG. Measures of reliability in sports medicine and science. Sports Med 30: 1–15, 2000.</w:t>
      </w:r>
    </w:p>
    <w:p w14:paraId="39F2466C" w14:textId="77777777" w:rsidR="0001660E" w:rsidRPr="0001660E" w:rsidRDefault="0001660E" w:rsidP="00D5415D">
      <w:pPr>
        <w:spacing w:after="0"/>
        <w:ind w:left="720" w:hanging="720"/>
        <w:rPr>
          <w:rFonts w:cstheme="minorHAnsi"/>
          <w:sz w:val="24"/>
          <w:szCs w:val="24"/>
        </w:rPr>
      </w:pPr>
      <w:r w:rsidRPr="0001660E">
        <w:rPr>
          <w:rFonts w:cstheme="minorHAnsi"/>
          <w:sz w:val="24"/>
          <w:szCs w:val="24"/>
        </w:rPr>
        <w:t>23. </w:t>
      </w:r>
      <w:proofErr w:type="spellStart"/>
      <w:r w:rsidRPr="0001660E">
        <w:rPr>
          <w:rFonts w:cstheme="minorHAnsi"/>
          <w:sz w:val="24"/>
          <w:szCs w:val="24"/>
        </w:rPr>
        <w:t>Kawamori</w:t>
      </w:r>
      <w:proofErr w:type="spellEnd"/>
      <w:r w:rsidRPr="0001660E">
        <w:rPr>
          <w:rFonts w:cstheme="minorHAnsi"/>
          <w:sz w:val="24"/>
          <w:szCs w:val="24"/>
        </w:rPr>
        <w:t xml:space="preserve"> N, Rossi SJ, Justice BD, et al. Peak </w:t>
      </w:r>
      <w:proofErr w:type="gramStart"/>
      <w:r w:rsidRPr="0001660E">
        <w:rPr>
          <w:rFonts w:cstheme="minorHAnsi"/>
          <w:sz w:val="24"/>
          <w:szCs w:val="24"/>
        </w:rPr>
        <w:t>force</w:t>
      </w:r>
      <w:proofErr w:type="gramEnd"/>
      <w:r w:rsidRPr="0001660E">
        <w:rPr>
          <w:rFonts w:cstheme="minorHAnsi"/>
          <w:sz w:val="24"/>
          <w:szCs w:val="24"/>
        </w:rPr>
        <w:t xml:space="preserve"> and rate of force development during isometric and dynamic mid-thigh clean pulls performed at various intensities. J Strength Cond Res 20: 483–491, 2006.</w:t>
      </w:r>
    </w:p>
    <w:p w14:paraId="32026C81" w14:textId="77777777" w:rsidR="0001660E" w:rsidRPr="0001660E" w:rsidRDefault="0001660E" w:rsidP="00D5415D">
      <w:pPr>
        <w:spacing w:after="0"/>
        <w:ind w:left="720" w:hanging="720"/>
        <w:rPr>
          <w:rFonts w:cstheme="minorHAnsi"/>
          <w:sz w:val="24"/>
          <w:szCs w:val="24"/>
        </w:rPr>
      </w:pPr>
      <w:r w:rsidRPr="0001660E">
        <w:rPr>
          <w:rFonts w:cstheme="minorHAnsi"/>
          <w:sz w:val="24"/>
          <w:szCs w:val="24"/>
        </w:rPr>
        <w:t xml:space="preserve">24. Koo TK, Li MY. A guideline of selecting and reporting intraclass correlation coefficients for reliability research. J </w:t>
      </w:r>
      <w:proofErr w:type="spellStart"/>
      <w:r w:rsidRPr="0001660E">
        <w:rPr>
          <w:rFonts w:cstheme="minorHAnsi"/>
          <w:sz w:val="24"/>
          <w:szCs w:val="24"/>
        </w:rPr>
        <w:t>Chiropr</w:t>
      </w:r>
      <w:proofErr w:type="spellEnd"/>
      <w:r w:rsidRPr="0001660E">
        <w:rPr>
          <w:rFonts w:cstheme="minorHAnsi"/>
          <w:sz w:val="24"/>
          <w:szCs w:val="24"/>
        </w:rPr>
        <w:t xml:space="preserve"> Med 15: 155–163, 2016.</w:t>
      </w:r>
    </w:p>
    <w:p w14:paraId="6EED6C3F" w14:textId="77777777" w:rsidR="0001660E" w:rsidRPr="0001660E" w:rsidRDefault="0001660E" w:rsidP="00D5415D">
      <w:pPr>
        <w:spacing w:after="0"/>
        <w:ind w:left="720" w:hanging="720"/>
        <w:rPr>
          <w:rFonts w:cstheme="minorHAnsi"/>
          <w:sz w:val="24"/>
          <w:szCs w:val="24"/>
        </w:rPr>
      </w:pPr>
      <w:r w:rsidRPr="0001660E">
        <w:rPr>
          <w:rFonts w:cstheme="minorHAnsi"/>
          <w:sz w:val="24"/>
          <w:szCs w:val="24"/>
        </w:rPr>
        <w:t>25. </w:t>
      </w:r>
      <w:proofErr w:type="spellStart"/>
      <w:r w:rsidRPr="0001660E">
        <w:rPr>
          <w:rFonts w:cstheme="minorHAnsi"/>
          <w:sz w:val="24"/>
          <w:szCs w:val="24"/>
        </w:rPr>
        <w:t>Lakens</w:t>
      </w:r>
      <w:proofErr w:type="spellEnd"/>
      <w:r w:rsidRPr="0001660E">
        <w:rPr>
          <w:rFonts w:cstheme="minorHAnsi"/>
          <w:sz w:val="24"/>
          <w:szCs w:val="24"/>
        </w:rPr>
        <w:t xml:space="preserve"> D. Calculating and reporting effect sizes to facilitate cumulative science: A practical primer for t-tests and ANOVAs. Front Psychol 4: 863, 2013.</w:t>
      </w:r>
    </w:p>
    <w:p w14:paraId="1F71ADE9" w14:textId="77777777" w:rsidR="0001660E" w:rsidRPr="0001660E" w:rsidRDefault="0001660E" w:rsidP="00D5415D">
      <w:pPr>
        <w:spacing w:after="0"/>
        <w:ind w:left="720" w:hanging="720"/>
        <w:rPr>
          <w:rFonts w:cstheme="minorHAnsi"/>
          <w:sz w:val="24"/>
          <w:szCs w:val="24"/>
        </w:rPr>
      </w:pPr>
      <w:r w:rsidRPr="0001660E">
        <w:rPr>
          <w:rFonts w:cstheme="minorHAnsi"/>
          <w:sz w:val="24"/>
          <w:szCs w:val="24"/>
        </w:rPr>
        <w:t xml:space="preserve">26. Nuzzo JL, McBride JM, Cormie P, McCaulley GO. Relationship between countermovement jump performance and </w:t>
      </w:r>
      <w:proofErr w:type="spellStart"/>
      <w:r w:rsidRPr="0001660E">
        <w:rPr>
          <w:rFonts w:cstheme="minorHAnsi"/>
          <w:sz w:val="24"/>
          <w:szCs w:val="24"/>
        </w:rPr>
        <w:t>multijoint</w:t>
      </w:r>
      <w:proofErr w:type="spellEnd"/>
      <w:r w:rsidRPr="0001660E">
        <w:rPr>
          <w:rFonts w:cstheme="minorHAnsi"/>
          <w:sz w:val="24"/>
          <w:szCs w:val="24"/>
        </w:rPr>
        <w:t xml:space="preserve"> isometric and dynamic tests of strength. J Strength Cond Res 22: 699–707, 2008.</w:t>
      </w:r>
    </w:p>
    <w:p w14:paraId="7FBE73F3" w14:textId="77777777" w:rsidR="0001660E" w:rsidRPr="0001660E" w:rsidRDefault="0001660E" w:rsidP="00D5415D">
      <w:pPr>
        <w:spacing w:after="0"/>
        <w:ind w:left="720" w:hanging="720"/>
        <w:rPr>
          <w:rFonts w:cstheme="minorHAnsi"/>
          <w:sz w:val="24"/>
          <w:szCs w:val="24"/>
        </w:rPr>
      </w:pPr>
      <w:r w:rsidRPr="0001660E">
        <w:rPr>
          <w:rFonts w:cstheme="minorHAnsi"/>
          <w:sz w:val="24"/>
          <w:szCs w:val="24"/>
        </w:rPr>
        <w:t>27. Stone MH, Sanborn K, O'Bryant HS, et al. Maximum strength-power-performance relationships in collegiate throwers. J Strength Cond Res 17: 739–745, 2003.</w:t>
      </w:r>
    </w:p>
    <w:p w14:paraId="3100A040" w14:textId="2365021A" w:rsidR="0001660E" w:rsidRPr="0001660E" w:rsidRDefault="0001660E" w:rsidP="00D5415D">
      <w:pPr>
        <w:spacing w:after="0"/>
        <w:ind w:left="720" w:hanging="720"/>
        <w:rPr>
          <w:rFonts w:cstheme="minorHAnsi"/>
          <w:sz w:val="24"/>
          <w:szCs w:val="24"/>
        </w:rPr>
      </w:pPr>
      <w:r w:rsidRPr="0001660E">
        <w:rPr>
          <w:rFonts w:cstheme="minorHAnsi"/>
          <w:sz w:val="24"/>
          <w:szCs w:val="24"/>
        </w:rPr>
        <w:t>28. Townsend JR, Bender D, Vantrease WC, et al. Isometric midthigh pull performance is associated with athletic performance and sprinting kinetics in Division I men and women's basketball players. J Strength Cond Res 33: 2665–2673, 2019.</w:t>
      </w:r>
    </w:p>
    <w:p w14:paraId="00107A51" w14:textId="77777777" w:rsidR="0001660E" w:rsidRPr="0001660E" w:rsidRDefault="0001660E" w:rsidP="00D5415D">
      <w:pPr>
        <w:spacing w:after="0"/>
        <w:ind w:left="720" w:hanging="720"/>
        <w:rPr>
          <w:rFonts w:cstheme="minorHAnsi"/>
          <w:sz w:val="24"/>
          <w:szCs w:val="24"/>
        </w:rPr>
      </w:pPr>
      <w:r w:rsidRPr="0001660E">
        <w:rPr>
          <w:rFonts w:cstheme="minorHAnsi"/>
          <w:sz w:val="24"/>
          <w:szCs w:val="24"/>
        </w:rPr>
        <w:t>29. West DJ, Owen NJ, Jones MR, et al. Relationships between force–time characteristics of the isometric midthigh pull and dynamic performance in professional rugby league players. J Strength Cond Res 25: 3070–3075, 2011.</w:t>
      </w:r>
    </w:p>
    <w:p w14:paraId="36D66B89" w14:textId="77777777" w:rsidR="000976FB" w:rsidRPr="000976FB" w:rsidRDefault="000976FB" w:rsidP="000976FB"/>
    <w:sectPr w:rsidR="000976FB" w:rsidRPr="000976FB"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0197C"/>
    <w:multiLevelType w:val="multilevel"/>
    <w:tmpl w:val="B13CBD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F00290"/>
    <w:multiLevelType w:val="multilevel"/>
    <w:tmpl w:val="06123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89865EE"/>
    <w:multiLevelType w:val="multilevel"/>
    <w:tmpl w:val="4CB2D0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9341855"/>
    <w:multiLevelType w:val="multilevel"/>
    <w:tmpl w:val="6554B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98253B6"/>
    <w:multiLevelType w:val="multilevel"/>
    <w:tmpl w:val="821C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F0360B4"/>
    <w:multiLevelType w:val="multilevel"/>
    <w:tmpl w:val="5DD41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260522C"/>
    <w:multiLevelType w:val="multilevel"/>
    <w:tmpl w:val="34AC3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321251C"/>
    <w:multiLevelType w:val="multilevel"/>
    <w:tmpl w:val="C24EA8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4F008E2"/>
    <w:multiLevelType w:val="multilevel"/>
    <w:tmpl w:val="D8FAA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6CD0A0C"/>
    <w:multiLevelType w:val="multilevel"/>
    <w:tmpl w:val="21C4B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76E3389"/>
    <w:multiLevelType w:val="multilevel"/>
    <w:tmpl w:val="85A21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9692D5A"/>
    <w:multiLevelType w:val="multilevel"/>
    <w:tmpl w:val="14321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A3258AD"/>
    <w:multiLevelType w:val="multilevel"/>
    <w:tmpl w:val="3BF825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A6157F3"/>
    <w:multiLevelType w:val="multilevel"/>
    <w:tmpl w:val="8A52D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B5606A5"/>
    <w:multiLevelType w:val="multilevel"/>
    <w:tmpl w:val="28B40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035030B"/>
    <w:multiLevelType w:val="multilevel"/>
    <w:tmpl w:val="D414C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5505E37"/>
    <w:multiLevelType w:val="multilevel"/>
    <w:tmpl w:val="77B25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6B25634"/>
    <w:multiLevelType w:val="multilevel"/>
    <w:tmpl w:val="B25AD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9BD15E7"/>
    <w:multiLevelType w:val="multilevel"/>
    <w:tmpl w:val="031E0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DB859BE"/>
    <w:multiLevelType w:val="multilevel"/>
    <w:tmpl w:val="3B9AD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E9A30A6"/>
    <w:multiLevelType w:val="multilevel"/>
    <w:tmpl w:val="37505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5613FAE"/>
    <w:multiLevelType w:val="multilevel"/>
    <w:tmpl w:val="71E0F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5EB6EE3"/>
    <w:multiLevelType w:val="multilevel"/>
    <w:tmpl w:val="A36E28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14C79FC"/>
    <w:multiLevelType w:val="multilevel"/>
    <w:tmpl w:val="1C10D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49B5A8E"/>
    <w:multiLevelType w:val="multilevel"/>
    <w:tmpl w:val="94ECA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549729B"/>
    <w:multiLevelType w:val="multilevel"/>
    <w:tmpl w:val="D3423F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9750D3F"/>
    <w:multiLevelType w:val="multilevel"/>
    <w:tmpl w:val="A6CEA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37A60A7"/>
    <w:multiLevelType w:val="multilevel"/>
    <w:tmpl w:val="587CE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467608B"/>
    <w:multiLevelType w:val="multilevel"/>
    <w:tmpl w:val="EB582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4F81002"/>
    <w:multiLevelType w:val="multilevel"/>
    <w:tmpl w:val="9F04E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7EA0C8B"/>
    <w:multiLevelType w:val="multilevel"/>
    <w:tmpl w:val="D8EC6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6"/>
  </w:num>
  <w:num w:numId="4">
    <w:abstractNumId w:val="7"/>
  </w:num>
  <w:num w:numId="5">
    <w:abstractNumId w:val="25"/>
  </w:num>
  <w:num w:numId="6">
    <w:abstractNumId w:val="38"/>
  </w:num>
  <w:num w:numId="7">
    <w:abstractNumId w:val="4"/>
  </w:num>
  <w:num w:numId="8">
    <w:abstractNumId w:val="23"/>
  </w:num>
  <w:num w:numId="9">
    <w:abstractNumId w:val="13"/>
  </w:num>
  <w:num w:numId="10">
    <w:abstractNumId w:val="6"/>
  </w:num>
  <w:num w:numId="11">
    <w:abstractNumId w:val="34"/>
  </w:num>
  <w:num w:numId="12">
    <w:abstractNumId w:val="44"/>
  </w:num>
  <w:num w:numId="13">
    <w:abstractNumId w:val="16"/>
  </w:num>
  <w:num w:numId="14">
    <w:abstractNumId w:val="11"/>
  </w:num>
  <w:num w:numId="15">
    <w:abstractNumId w:val="35"/>
  </w:num>
  <w:num w:numId="16">
    <w:abstractNumId w:val="12"/>
  </w:num>
  <w:num w:numId="17">
    <w:abstractNumId w:val="9"/>
  </w:num>
  <w:num w:numId="18">
    <w:abstractNumId w:val="20"/>
  </w:num>
  <w:num w:numId="19">
    <w:abstractNumId w:val="21"/>
  </w:num>
  <w:num w:numId="20">
    <w:abstractNumId w:val="8"/>
  </w:num>
  <w:num w:numId="21">
    <w:abstractNumId w:val="19"/>
  </w:num>
  <w:num w:numId="22">
    <w:abstractNumId w:val="43"/>
  </w:num>
  <w:num w:numId="23">
    <w:abstractNumId w:val="41"/>
  </w:num>
  <w:num w:numId="24">
    <w:abstractNumId w:val="45"/>
  </w:num>
  <w:num w:numId="25">
    <w:abstractNumId w:val="29"/>
  </w:num>
  <w:num w:numId="26">
    <w:abstractNumId w:val="39"/>
  </w:num>
  <w:num w:numId="27">
    <w:abstractNumId w:val="0"/>
  </w:num>
  <w:num w:numId="28">
    <w:abstractNumId w:val="31"/>
  </w:num>
  <w:num w:numId="29">
    <w:abstractNumId w:val="24"/>
  </w:num>
  <w:num w:numId="30">
    <w:abstractNumId w:val="3"/>
  </w:num>
  <w:num w:numId="31">
    <w:abstractNumId w:val="27"/>
  </w:num>
  <w:num w:numId="32">
    <w:abstractNumId w:val="42"/>
  </w:num>
  <w:num w:numId="33">
    <w:abstractNumId w:val="1"/>
  </w:num>
  <w:num w:numId="34">
    <w:abstractNumId w:val="40"/>
  </w:num>
  <w:num w:numId="35">
    <w:abstractNumId w:val="28"/>
  </w:num>
  <w:num w:numId="36">
    <w:abstractNumId w:val="37"/>
  </w:num>
  <w:num w:numId="37">
    <w:abstractNumId w:val="18"/>
  </w:num>
  <w:num w:numId="38">
    <w:abstractNumId w:val="10"/>
  </w:num>
  <w:num w:numId="39">
    <w:abstractNumId w:val="26"/>
  </w:num>
  <w:num w:numId="40">
    <w:abstractNumId w:val="14"/>
  </w:num>
  <w:num w:numId="41">
    <w:abstractNumId w:val="17"/>
  </w:num>
  <w:num w:numId="42">
    <w:abstractNumId w:val="22"/>
  </w:num>
  <w:num w:numId="43">
    <w:abstractNumId w:val="15"/>
  </w:num>
  <w:num w:numId="44">
    <w:abstractNumId w:val="32"/>
  </w:num>
  <w:num w:numId="45">
    <w:abstractNumId w:val="30"/>
  </w:num>
  <w:num w:numId="46">
    <w:abstractNumId w:val="33"/>
  </w:num>
  <w:num w:numId="47">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readOnly" w:formatting="1" w:enforcement="1" w:cryptProviderType="rsaAES" w:cryptAlgorithmClass="hash" w:cryptAlgorithmType="typeAny" w:cryptAlgorithmSid="14" w:cryptSpinCount="100000" w:hash="BOIr80KvQan9+CLwyODlvxXeEo4AmhzhtFsWYKa0gbSNPXOQkX1VWLVzSuI88HS4u/0/E7zWjoXtdcwYTUJNHQ==" w:salt="/icxeia5rffc4AtVciEb/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1660E"/>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6C17"/>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42BD"/>
    <w:rsid w:val="000976FB"/>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0F7FB1"/>
    <w:rsid w:val="00101A98"/>
    <w:rsid w:val="00104CE6"/>
    <w:rsid w:val="00107EA8"/>
    <w:rsid w:val="00114114"/>
    <w:rsid w:val="00117F89"/>
    <w:rsid w:val="00120313"/>
    <w:rsid w:val="00121209"/>
    <w:rsid w:val="001233A5"/>
    <w:rsid w:val="00123BC0"/>
    <w:rsid w:val="00123E80"/>
    <w:rsid w:val="00126F90"/>
    <w:rsid w:val="0013073E"/>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27A69"/>
    <w:rsid w:val="00331737"/>
    <w:rsid w:val="0033243D"/>
    <w:rsid w:val="0033652E"/>
    <w:rsid w:val="00340617"/>
    <w:rsid w:val="00340B13"/>
    <w:rsid w:val="00340CDB"/>
    <w:rsid w:val="003427C6"/>
    <w:rsid w:val="00343472"/>
    <w:rsid w:val="003455AA"/>
    <w:rsid w:val="00347634"/>
    <w:rsid w:val="00351E90"/>
    <w:rsid w:val="003525B2"/>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1DFB"/>
    <w:rsid w:val="003E6CFF"/>
    <w:rsid w:val="004010E3"/>
    <w:rsid w:val="004055B8"/>
    <w:rsid w:val="004061C0"/>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E7D07"/>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0BCF"/>
    <w:rsid w:val="00682333"/>
    <w:rsid w:val="00683D68"/>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D95"/>
    <w:rsid w:val="007246B0"/>
    <w:rsid w:val="007258CB"/>
    <w:rsid w:val="00726119"/>
    <w:rsid w:val="00730E29"/>
    <w:rsid w:val="00732FF6"/>
    <w:rsid w:val="00735393"/>
    <w:rsid w:val="00745E32"/>
    <w:rsid w:val="007466F7"/>
    <w:rsid w:val="00747ABA"/>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C679F"/>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25D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28AF"/>
    <w:rsid w:val="008A6C51"/>
    <w:rsid w:val="008B15CF"/>
    <w:rsid w:val="008B2242"/>
    <w:rsid w:val="008B4AD1"/>
    <w:rsid w:val="008B6D93"/>
    <w:rsid w:val="008B7AF1"/>
    <w:rsid w:val="008C3543"/>
    <w:rsid w:val="008D0690"/>
    <w:rsid w:val="008D0F0D"/>
    <w:rsid w:val="008D0FF2"/>
    <w:rsid w:val="008D14D6"/>
    <w:rsid w:val="008D1D7F"/>
    <w:rsid w:val="008D3526"/>
    <w:rsid w:val="008E41BF"/>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02BA"/>
    <w:rsid w:val="00A007FF"/>
    <w:rsid w:val="00A01B8D"/>
    <w:rsid w:val="00A02637"/>
    <w:rsid w:val="00A034AE"/>
    <w:rsid w:val="00A035F5"/>
    <w:rsid w:val="00A11F34"/>
    <w:rsid w:val="00A1350A"/>
    <w:rsid w:val="00A167B8"/>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020C"/>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875E0"/>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07B5"/>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C62C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5415D"/>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76A3B"/>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4F3E"/>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62A6"/>
  </w:style>
  <w:style w:type="paragraph" w:styleId="Heading1">
    <w:name w:val="heading 1"/>
    <w:basedOn w:val="Normal"/>
    <w:next w:val="Normal"/>
    <w:link w:val="Heading1Char"/>
    <w:uiPriority w:val="9"/>
    <w:qFormat/>
    <w:rsid w:val="00D162A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162A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162A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162A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162A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162A6"/>
    <w:pPr>
      <w:keepNext/>
      <w:keepLines/>
      <w:spacing w:before="40" w:after="0"/>
      <w:outlineLvl w:val="5"/>
    </w:pPr>
  </w:style>
  <w:style w:type="paragraph" w:styleId="Heading7">
    <w:name w:val="heading 7"/>
    <w:basedOn w:val="Normal"/>
    <w:next w:val="Normal"/>
    <w:link w:val="Heading7Char"/>
    <w:uiPriority w:val="9"/>
    <w:semiHidden/>
    <w:unhideWhenUsed/>
    <w:qFormat/>
    <w:rsid w:val="00D162A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162A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162A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62A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162A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162A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162A6"/>
    <w:rPr>
      <w:i/>
      <w:iCs/>
    </w:rPr>
  </w:style>
  <w:style w:type="character" w:customStyle="1" w:styleId="Heading5Char">
    <w:name w:val="Heading 5 Char"/>
    <w:basedOn w:val="DefaultParagraphFont"/>
    <w:link w:val="Heading5"/>
    <w:uiPriority w:val="9"/>
    <w:semiHidden/>
    <w:rsid w:val="00D162A6"/>
    <w:rPr>
      <w:color w:val="404040" w:themeColor="text1" w:themeTint="BF"/>
    </w:rPr>
  </w:style>
  <w:style w:type="character" w:customStyle="1" w:styleId="Heading6Char">
    <w:name w:val="Heading 6 Char"/>
    <w:basedOn w:val="DefaultParagraphFont"/>
    <w:link w:val="Heading6"/>
    <w:uiPriority w:val="9"/>
    <w:semiHidden/>
    <w:rsid w:val="00D162A6"/>
  </w:style>
  <w:style w:type="character" w:customStyle="1" w:styleId="Heading7Char">
    <w:name w:val="Heading 7 Char"/>
    <w:basedOn w:val="DefaultParagraphFont"/>
    <w:link w:val="Heading7"/>
    <w:uiPriority w:val="9"/>
    <w:semiHidden/>
    <w:rsid w:val="00D162A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162A6"/>
    <w:rPr>
      <w:color w:val="262626" w:themeColor="text1" w:themeTint="D9"/>
      <w:sz w:val="21"/>
      <w:szCs w:val="21"/>
    </w:rPr>
  </w:style>
  <w:style w:type="character" w:customStyle="1" w:styleId="Heading9Char">
    <w:name w:val="Heading 9 Char"/>
    <w:basedOn w:val="DefaultParagraphFont"/>
    <w:link w:val="Heading9"/>
    <w:uiPriority w:val="9"/>
    <w:semiHidden/>
    <w:rsid w:val="00D162A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162A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162A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162A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162A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162A6"/>
    <w:rPr>
      <w:color w:val="5A5A5A" w:themeColor="text1" w:themeTint="A5"/>
      <w:spacing w:val="15"/>
    </w:rPr>
  </w:style>
  <w:style w:type="character" w:styleId="Strong">
    <w:name w:val="Strong"/>
    <w:basedOn w:val="DefaultParagraphFont"/>
    <w:uiPriority w:val="22"/>
    <w:qFormat/>
    <w:rsid w:val="00D162A6"/>
    <w:rPr>
      <w:b/>
      <w:bCs/>
      <w:color w:val="auto"/>
    </w:rPr>
  </w:style>
  <w:style w:type="character" w:styleId="Emphasis">
    <w:name w:val="Emphasis"/>
    <w:basedOn w:val="DefaultParagraphFont"/>
    <w:uiPriority w:val="20"/>
    <w:qFormat/>
    <w:rsid w:val="00D162A6"/>
    <w:rPr>
      <w:i/>
      <w:iCs/>
      <w:color w:val="auto"/>
    </w:rPr>
  </w:style>
  <w:style w:type="paragraph" w:styleId="NoSpacing">
    <w:name w:val="No Spacing"/>
    <w:uiPriority w:val="1"/>
    <w:qFormat/>
    <w:rsid w:val="00D162A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162A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162A6"/>
    <w:rPr>
      <w:i/>
      <w:iCs/>
      <w:color w:val="404040" w:themeColor="text1" w:themeTint="BF"/>
    </w:rPr>
  </w:style>
  <w:style w:type="paragraph" w:styleId="IntenseQuote">
    <w:name w:val="Intense Quote"/>
    <w:basedOn w:val="Normal"/>
    <w:next w:val="Normal"/>
    <w:link w:val="IntenseQuoteChar"/>
    <w:uiPriority w:val="30"/>
    <w:qFormat/>
    <w:rsid w:val="00D162A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162A6"/>
    <w:rPr>
      <w:i/>
      <w:iCs/>
      <w:color w:val="404040" w:themeColor="text1" w:themeTint="BF"/>
    </w:rPr>
  </w:style>
  <w:style w:type="character" w:styleId="SubtleEmphasis">
    <w:name w:val="Subtle Emphasis"/>
    <w:basedOn w:val="DefaultParagraphFont"/>
    <w:uiPriority w:val="19"/>
    <w:qFormat/>
    <w:rsid w:val="00D162A6"/>
    <w:rPr>
      <w:i/>
      <w:iCs/>
      <w:color w:val="404040" w:themeColor="text1" w:themeTint="BF"/>
    </w:rPr>
  </w:style>
  <w:style w:type="character" w:styleId="IntenseEmphasis">
    <w:name w:val="Intense Emphasis"/>
    <w:basedOn w:val="DefaultParagraphFont"/>
    <w:uiPriority w:val="21"/>
    <w:qFormat/>
    <w:rsid w:val="00D162A6"/>
    <w:rPr>
      <w:b/>
      <w:bCs/>
      <w:i/>
      <w:iCs/>
      <w:color w:val="auto"/>
    </w:rPr>
  </w:style>
  <w:style w:type="character" w:styleId="SubtleReference">
    <w:name w:val="Subtle Reference"/>
    <w:basedOn w:val="DefaultParagraphFont"/>
    <w:uiPriority w:val="31"/>
    <w:qFormat/>
    <w:rsid w:val="00D162A6"/>
    <w:rPr>
      <w:smallCaps/>
      <w:color w:val="404040" w:themeColor="text1" w:themeTint="BF"/>
    </w:rPr>
  </w:style>
  <w:style w:type="character" w:styleId="IntenseReference">
    <w:name w:val="Intense Reference"/>
    <w:basedOn w:val="DefaultParagraphFont"/>
    <w:uiPriority w:val="32"/>
    <w:qFormat/>
    <w:rsid w:val="00D162A6"/>
    <w:rPr>
      <w:b/>
      <w:bCs/>
      <w:smallCaps/>
      <w:color w:val="404040" w:themeColor="text1" w:themeTint="BF"/>
      <w:spacing w:val="5"/>
    </w:rPr>
  </w:style>
  <w:style w:type="character" w:styleId="BookTitle">
    <w:name w:val="Book Title"/>
    <w:basedOn w:val="DefaultParagraphFont"/>
    <w:uiPriority w:val="33"/>
    <w:qFormat/>
    <w:rsid w:val="00D162A6"/>
    <w:rPr>
      <w:b/>
      <w:bCs/>
      <w:i/>
      <w:iCs/>
      <w:spacing w:val="5"/>
    </w:rPr>
  </w:style>
  <w:style w:type="paragraph" w:styleId="TOCHeading">
    <w:name w:val="TOC Heading"/>
    <w:basedOn w:val="Heading1"/>
    <w:next w:val="Normal"/>
    <w:uiPriority w:val="39"/>
    <w:semiHidden/>
    <w:unhideWhenUsed/>
    <w:qFormat/>
    <w:rsid w:val="00D162A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customStyle="1" w:styleId="html-italic">
    <w:name w:val="html-italic"/>
    <w:basedOn w:val="DefaultParagraphFont"/>
    <w:rsid w:val="000976FB"/>
  </w:style>
  <w:style w:type="paragraph" w:customStyle="1" w:styleId="html-x">
    <w:name w:val="html-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x">
    <w:name w:val="html-x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503122">
      <w:bodyDiv w:val="1"/>
      <w:marLeft w:val="0"/>
      <w:marRight w:val="0"/>
      <w:marTop w:val="0"/>
      <w:marBottom w:val="0"/>
      <w:divBdr>
        <w:top w:val="none" w:sz="0" w:space="0" w:color="auto"/>
        <w:left w:val="none" w:sz="0" w:space="0" w:color="auto"/>
        <w:bottom w:val="none" w:sz="0" w:space="0" w:color="auto"/>
        <w:right w:val="none" w:sz="0" w:space="0" w:color="auto"/>
      </w:divBdr>
      <w:divsChild>
        <w:div w:id="1591427665">
          <w:marLeft w:val="0"/>
          <w:marRight w:val="0"/>
          <w:marTop w:val="0"/>
          <w:marBottom w:val="0"/>
          <w:divBdr>
            <w:top w:val="none" w:sz="0" w:space="0" w:color="auto"/>
            <w:left w:val="none" w:sz="0" w:space="0" w:color="auto"/>
            <w:bottom w:val="none" w:sz="0" w:space="0" w:color="auto"/>
            <w:right w:val="none" w:sz="0" w:space="0" w:color="auto"/>
          </w:divBdr>
          <w:divsChild>
            <w:div w:id="687944630">
              <w:marLeft w:val="0"/>
              <w:marRight w:val="0"/>
              <w:marTop w:val="0"/>
              <w:marBottom w:val="0"/>
              <w:divBdr>
                <w:top w:val="none" w:sz="0" w:space="0" w:color="auto"/>
                <w:left w:val="none" w:sz="0" w:space="0" w:color="auto"/>
                <w:bottom w:val="none" w:sz="0" w:space="0" w:color="auto"/>
                <w:right w:val="none" w:sz="0" w:space="0" w:color="auto"/>
              </w:divBdr>
            </w:div>
          </w:divsChild>
        </w:div>
        <w:div w:id="310254504">
          <w:marLeft w:val="0"/>
          <w:marRight w:val="0"/>
          <w:marTop w:val="0"/>
          <w:marBottom w:val="0"/>
          <w:divBdr>
            <w:top w:val="none" w:sz="0" w:space="0" w:color="auto"/>
            <w:left w:val="none" w:sz="0" w:space="0" w:color="auto"/>
            <w:bottom w:val="none" w:sz="0" w:space="0" w:color="auto"/>
            <w:right w:val="none" w:sz="0" w:space="0" w:color="auto"/>
          </w:divBdr>
          <w:divsChild>
            <w:div w:id="1181965796">
              <w:marLeft w:val="0"/>
              <w:marRight w:val="0"/>
              <w:marTop w:val="0"/>
              <w:marBottom w:val="0"/>
              <w:divBdr>
                <w:top w:val="none" w:sz="0" w:space="0" w:color="auto"/>
                <w:left w:val="none" w:sz="0" w:space="0" w:color="auto"/>
                <w:bottom w:val="none" w:sz="0" w:space="0" w:color="auto"/>
                <w:right w:val="none" w:sz="0" w:space="0" w:color="auto"/>
              </w:divBdr>
            </w:div>
            <w:div w:id="555316760">
              <w:marLeft w:val="0"/>
              <w:marRight w:val="0"/>
              <w:marTop w:val="0"/>
              <w:marBottom w:val="0"/>
              <w:divBdr>
                <w:top w:val="none" w:sz="0" w:space="0" w:color="auto"/>
                <w:left w:val="none" w:sz="0" w:space="0" w:color="auto"/>
                <w:bottom w:val="none" w:sz="0" w:space="0" w:color="auto"/>
                <w:right w:val="none" w:sz="0" w:space="0" w:color="auto"/>
              </w:divBdr>
            </w:div>
            <w:div w:id="1702824592">
              <w:marLeft w:val="0"/>
              <w:marRight w:val="0"/>
              <w:marTop w:val="0"/>
              <w:marBottom w:val="0"/>
              <w:divBdr>
                <w:top w:val="none" w:sz="0" w:space="0" w:color="auto"/>
                <w:left w:val="none" w:sz="0" w:space="0" w:color="auto"/>
                <w:bottom w:val="none" w:sz="0" w:space="0" w:color="auto"/>
                <w:right w:val="none" w:sz="0" w:space="0" w:color="auto"/>
              </w:divBdr>
              <w:divsChild>
                <w:div w:id="1869483518">
                  <w:marLeft w:val="0"/>
                  <w:marRight w:val="0"/>
                  <w:marTop w:val="0"/>
                  <w:marBottom w:val="0"/>
                  <w:divBdr>
                    <w:top w:val="none" w:sz="0" w:space="0" w:color="auto"/>
                    <w:left w:val="none" w:sz="0" w:space="0" w:color="auto"/>
                    <w:bottom w:val="none" w:sz="0" w:space="0" w:color="auto"/>
                    <w:right w:val="none" w:sz="0" w:space="0" w:color="auto"/>
                  </w:divBdr>
                  <w:divsChild>
                    <w:div w:id="1784838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59784">
              <w:marLeft w:val="0"/>
              <w:marRight w:val="0"/>
              <w:marTop w:val="0"/>
              <w:marBottom w:val="0"/>
              <w:divBdr>
                <w:top w:val="none" w:sz="0" w:space="0" w:color="auto"/>
                <w:left w:val="none" w:sz="0" w:space="0" w:color="auto"/>
                <w:bottom w:val="none" w:sz="0" w:space="0" w:color="auto"/>
                <w:right w:val="none" w:sz="0" w:space="0" w:color="auto"/>
              </w:divBdr>
              <w:divsChild>
                <w:div w:id="392896782">
                  <w:marLeft w:val="0"/>
                  <w:marRight w:val="0"/>
                  <w:marTop w:val="0"/>
                  <w:marBottom w:val="0"/>
                  <w:divBdr>
                    <w:top w:val="none" w:sz="0" w:space="0" w:color="auto"/>
                    <w:left w:val="none" w:sz="0" w:space="0" w:color="auto"/>
                    <w:bottom w:val="none" w:sz="0" w:space="0" w:color="auto"/>
                    <w:right w:val="none" w:sz="0" w:space="0" w:color="auto"/>
                  </w:divBdr>
                  <w:divsChild>
                    <w:div w:id="44585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5990">
              <w:marLeft w:val="0"/>
              <w:marRight w:val="0"/>
              <w:marTop w:val="0"/>
              <w:marBottom w:val="0"/>
              <w:divBdr>
                <w:top w:val="none" w:sz="0" w:space="0" w:color="auto"/>
                <w:left w:val="none" w:sz="0" w:space="0" w:color="auto"/>
                <w:bottom w:val="none" w:sz="0" w:space="0" w:color="auto"/>
                <w:right w:val="none" w:sz="0" w:space="0" w:color="auto"/>
              </w:divBdr>
            </w:div>
            <w:div w:id="1081103377">
              <w:marLeft w:val="0"/>
              <w:marRight w:val="0"/>
              <w:marTop w:val="0"/>
              <w:marBottom w:val="0"/>
              <w:divBdr>
                <w:top w:val="none" w:sz="0" w:space="0" w:color="auto"/>
                <w:left w:val="none" w:sz="0" w:space="0" w:color="auto"/>
                <w:bottom w:val="none" w:sz="0" w:space="0" w:color="auto"/>
                <w:right w:val="none" w:sz="0" w:space="0" w:color="auto"/>
              </w:divBdr>
            </w:div>
            <w:div w:id="693846287">
              <w:marLeft w:val="0"/>
              <w:marRight w:val="0"/>
              <w:marTop w:val="0"/>
              <w:marBottom w:val="0"/>
              <w:divBdr>
                <w:top w:val="none" w:sz="0" w:space="0" w:color="auto"/>
                <w:left w:val="none" w:sz="0" w:space="0" w:color="auto"/>
                <w:bottom w:val="none" w:sz="0" w:space="0" w:color="auto"/>
                <w:right w:val="none" w:sz="0" w:space="0" w:color="auto"/>
              </w:divBdr>
            </w:div>
            <w:div w:id="1935435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208022">
      <w:bodyDiv w:val="1"/>
      <w:marLeft w:val="0"/>
      <w:marRight w:val="0"/>
      <w:marTop w:val="0"/>
      <w:marBottom w:val="0"/>
      <w:divBdr>
        <w:top w:val="none" w:sz="0" w:space="0" w:color="auto"/>
        <w:left w:val="none" w:sz="0" w:space="0" w:color="auto"/>
        <w:bottom w:val="none" w:sz="0" w:space="0" w:color="auto"/>
        <w:right w:val="none" w:sz="0" w:space="0" w:color="auto"/>
      </w:divBdr>
      <w:divsChild>
        <w:div w:id="545486501">
          <w:marLeft w:val="0"/>
          <w:marRight w:val="0"/>
          <w:marTop w:val="0"/>
          <w:marBottom w:val="0"/>
          <w:divBdr>
            <w:top w:val="none" w:sz="0" w:space="0" w:color="auto"/>
            <w:left w:val="none" w:sz="0" w:space="0" w:color="auto"/>
            <w:bottom w:val="none" w:sz="0" w:space="0" w:color="auto"/>
            <w:right w:val="none" w:sz="0" w:space="0" w:color="auto"/>
          </w:divBdr>
          <w:divsChild>
            <w:div w:id="546798998">
              <w:marLeft w:val="0"/>
              <w:marRight w:val="0"/>
              <w:marTop w:val="0"/>
              <w:marBottom w:val="0"/>
              <w:divBdr>
                <w:top w:val="none" w:sz="0" w:space="0" w:color="auto"/>
                <w:left w:val="none" w:sz="0" w:space="0" w:color="auto"/>
                <w:bottom w:val="single" w:sz="12" w:space="0" w:color="006699"/>
                <w:right w:val="none" w:sz="0" w:space="0" w:color="auto"/>
              </w:divBdr>
              <w:divsChild>
                <w:div w:id="2010519261">
                  <w:marLeft w:val="0"/>
                  <w:marRight w:val="0"/>
                  <w:marTop w:val="0"/>
                  <w:marBottom w:val="0"/>
                  <w:divBdr>
                    <w:top w:val="none" w:sz="0" w:space="0" w:color="auto"/>
                    <w:left w:val="none" w:sz="0" w:space="0" w:color="auto"/>
                    <w:bottom w:val="none" w:sz="0" w:space="0" w:color="auto"/>
                    <w:right w:val="none" w:sz="0" w:space="0" w:color="auto"/>
                  </w:divBdr>
                  <w:divsChild>
                    <w:div w:id="259334786">
                      <w:marLeft w:val="0"/>
                      <w:marRight w:val="0"/>
                      <w:marTop w:val="0"/>
                      <w:marBottom w:val="0"/>
                      <w:divBdr>
                        <w:top w:val="none" w:sz="0" w:space="0" w:color="auto"/>
                        <w:left w:val="none" w:sz="0" w:space="0" w:color="auto"/>
                        <w:bottom w:val="none" w:sz="0" w:space="0" w:color="auto"/>
                        <w:right w:val="none" w:sz="0" w:space="0" w:color="auto"/>
                      </w:divBdr>
                      <w:divsChild>
                        <w:div w:id="1235167472">
                          <w:marLeft w:val="0"/>
                          <w:marRight w:val="0"/>
                          <w:marTop w:val="0"/>
                          <w:marBottom w:val="0"/>
                          <w:divBdr>
                            <w:top w:val="none" w:sz="0" w:space="0" w:color="auto"/>
                            <w:left w:val="none" w:sz="0" w:space="0" w:color="auto"/>
                            <w:bottom w:val="none" w:sz="0" w:space="0" w:color="auto"/>
                            <w:right w:val="none" w:sz="0" w:space="0" w:color="auto"/>
                          </w:divBdr>
                          <w:divsChild>
                            <w:div w:id="4626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021720">
                  <w:marLeft w:val="0"/>
                  <w:marRight w:val="0"/>
                  <w:marTop w:val="0"/>
                  <w:marBottom w:val="0"/>
                  <w:divBdr>
                    <w:top w:val="none" w:sz="0" w:space="0" w:color="auto"/>
                    <w:left w:val="none" w:sz="0" w:space="0" w:color="auto"/>
                    <w:bottom w:val="none" w:sz="0" w:space="0" w:color="auto"/>
                    <w:right w:val="none" w:sz="0" w:space="0" w:color="auto"/>
                  </w:divBdr>
                </w:div>
                <w:div w:id="324747069">
                  <w:marLeft w:val="0"/>
                  <w:marRight w:val="0"/>
                  <w:marTop w:val="0"/>
                  <w:marBottom w:val="0"/>
                  <w:divBdr>
                    <w:top w:val="none" w:sz="0" w:space="0" w:color="auto"/>
                    <w:left w:val="none" w:sz="0" w:space="0" w:color="auto"/>
                    <w:bottom w:val="none" w:sz="0" w:space="0" w:color="auto"/>
                    <w:right w:val="none" w:sz="0" w:space="0" w:color="auto"/>
                  </w:divBdr>
                  <w:divsChild>
                    <w:div w:id="647250106">
                      <w:marLeft w:val="0"/>
                      <w:marRight w:val="0"/>
                      <w:marTop w:val="0"/>
                      <w:marBottom w:val="0"/>
                      <w:divBdr>
                        <w:top w:val="none" w:sz="0" w:space="0" w:color="auto"/>
                        <w:left w:val="none" w:sz="0" w:space="0" w:color="auto"/>
                        <w:bottom w:val="none" w:sz="0" w:space="0" w:color="auto"/>
                        <w:right w:val="none" w:sz="0" w:space="0" w:color="auto"/>
                      </w:divBdr>
                      <w:divsChild>
                        <w:div w:id="960066432">
                          <w:marLeft w:val="0"/>
                          <w:marRight w:val="0"/>
                          <w:marTop w:val="0"/>
                          <w:marBottom w:val="0"/>
                          <w:divBdr>
                            <w:top w:val="none" w:sz="0" w:space="0" w:color="auto"/>
                            <w:left w:val="none" w:sz="0" w:space="0" w:color="auto"/>
                            <w:bottom w:val="none" w:sz="0" w:space="0" w:color="auto"/>
                            <w:right w:val="none" w:sz="0" w:space="0" w:color="auto"/>
                          </w:divBdr>
                        </w:div>
                        <w:div w:id="857887109">
                          <w:marLeft w:val="0"/>
                          <w:marRight w:val="0"/>
                          <w:marTop w:val="0"/>
                          <w:marBottom w:val="0"/>
                          <w:divBdr>
                            <w:top w:val="none" w:sz="0" w:space="0" w:color="auto"/>
                            <w:left w:val="none" w:sz="0" w:space="0" w:color="auto"/>
                            <w:bottom w:val="none" w:sz="0" w:space="0" w:color="auto"/>
                            <w:right w:val="none" w:sz="0" w:space="0" w:color="auto"/>
                          </w:divBdr>
                        </w:div>
                        <w:div w:id="1754816926">
                          <w:marLeft w:val="0"/>
                          <w:marRight w:val="0"/>
                          <w:marTop w:val="0"/>
                          <w:marBottom w:val="0"/>
                          <w:divBdr>
                            <w:top w:val="none" w:sz="0" w:space="0" w:color="auto"/>
                            <w:left w:val="none" w:sz="0" w:space="0" w:color="auto"/>
                            <w:bottom w:val="none" w:sz="0" w:space="0" w:color="auto"/>
                            <w:right w:val="none" w:sz="0" w:space="0" w:color="auto"/>
                          </w:divBdr>
                          <w:divsChild>
                            <w:div w:id="1961261387">
                              <w:marLeft w:val="0"/>
                              <w:marRight w:val="0"/>
                              <w:marTop w:val="0"/>
                              <w:marBottom w:val="0"/>
                              <w:divBdr>
                                <w:top w:val="none" w:sz="0" w:space="0" w:color="auto"/>
                                <w:left w:val="none" w:sz="0" w:space="0" w:color="auto"/>
                                <w:bottom w:val="none" w:sz="0" w:space="0" w:color="auto"/>
                                <w:right w:val="none" w:sz="0" w:space="0" w:color="auto"/>
                              </w:divBdr>
                            </w:div>
                          </w:divsChild>
                        </w:div>
                        <w:div w:id="84957601">
                          <w:marLeft w:val="0"/>
                          <w:marRight w:val="0"/>
                          <w:marTop w:val="0"/>
                          <w:marBottom w:val="0"/>
                          <w:divBdr>
                            <w:top w:val="none" w:sz="0" w:space="0" w:color="auto"/>
                            <w:left w:val="none" w:sz="0" w:space="0" w:color="auto"/>
                            <w:bottom w:val="none" w:sz="0" w:space="0" w:color="auto"/>
                            <w:right w:val="none" w:sz="0" w:space="0" w:color="auto"/>
                          </w:divBdr>
                          <w:divsChild>
                            <w:div w:id="4889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4565">
                      <w:marLeft w:val="0"/>
                      <w:marRight w:val="0"/>
                      <w:marTop w:val="0"/>
                      <w:marBottom w:val="0"/>
                      <w:divBdr>
                        <w:top w:val="none" w:sz="0" w:space="0" w:color="auto"/>
                        <w:left w:val="none" w:sz="0" w:space="0" w:color="auto"/>
                        <w:bottom w:val="none" w:sz="0" w:space="0" w:color="auto"/>
                        <w:right w:val="none" w:sz="0" w:space="0" w:color="auto"/>
                      </w:divBdr>
                      <w:divsChild>
                        <w:div w:id="1007096842">
                          <w:marLeft w:val="0"/>
                          <w:marRight w:val="0"/>
                          <w:marTop w:val="0"/>
                          <w:marBottom w:val="0"/>
                          <w:divBdr>
                            <w:top w:val="none" w:sz="0" w:space="0" w:color="auto"/>
                            <w:left w:val="none" w:sz="0" w:space="0" w:color="auto"/>
                            <w:bottom w:val="none" w:sz="0" w:space="0" w:color="auto"/>
                            <w:right w:val="none" w:sz="0" w:space="0" w:color="auto"/>
                          </w:divBdr>
                        </w:div>
                        <w:div w:id="1536886343">
                          <w:marLeft w:val="0"/>
                          <w:marRight w:val="0"/>
                          <w:marTop w:val="0"/>
                          <w:marBottom w:val="0"/>
                          <w:divBdr>
                            <w:top w:val="none" w:sz="0" w:space="0" w:color="auto"/>
                            <w:left w:val="none" w:sz="0" w:space="0" w:color="auto"/>
                            <w:bottom w:val="none" w:sz="0" w:space="0" w:color="auto"/>
                            <w:right w:val="none" w:sz="0" w:space="0" w:color="auto"/>
                          </w:divBdr>
                        </w:div>
                        <w:div w:id="1855730572">
                          <w:marLeft w:val="0"/>
                          <w:marRight w:val="0"/>
                          <w:marTop w:val="0"/>
                          <w:marBottom w:val="0"/>
                          <w:divBdr>
                            <w:top w:val="none" w:sz="0" w:space="0" w:color="auto"/>
                            <w:left w:val="none" w:sz="0" w:space="0" w:color="auto"/>
                            <w:bottom w:val="none" w:sz="0" w:space="0" w:color="auto"/>
                            <w:right w:val="none" w:sz="0" w:space="0" w:color="auto"/>
                          </w:divBdr>
                        </w:div>
                        <w:div w:id="5664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651232">
          <w:marLeft w:val="0"/>
          <w:marRight w:val="0"/>
          <w:marTop w:val="0"/>
          <w:marBottom w:val="0"/>
          <w:divBdr>
            <w:top w:val="none" w:sz="0" w:space="0" w:color="auto"/>
            <w:left w:val="none" w:sz="0" w:space="0" w:color="auto"/>
            <w:bottom w:val="single" w:sz="6" w:space="0" w:color="333333"/>
            <w:right w:val="none" w:sz="0" w:space="0" w:color="auto"/>
          </w:divBdr>
          <w:divsChild>
            <w:div w:id="2057853521">
              <w:marLeft w:val="0"/>
              <w:marRight w:val="0"/>
              <w:marTop w:val="0"/>
              <w:marBottom w:val="0"/>
              <w:divBdr>
                <w:top w:val="none" w:sz="0" w:space="0" w:color="auto"/>
                <w:left w:val="none" w:sz="0" w:space="0" w:color="auto"/>
                <w:bottom w:val="none" w:sz="0" w:space="0" w:color="auto"/>
                <w:right w:val="none" w:sz="0" w:space="0" w:color="auto"/>
              </w:divBdr>
              <w:divsChild>
                <w:div w:id="2137672839">
                  <w:marLeft w:val="0"/>
                  <w:marRight w:val="0"/>
                  <w:marTop w:val="0"/>
                  <w:marBottom w:val="0"/>
                  <w:divBdr>
                    <w:top w:val="none" w:sz="0" w:space="0" w:color="auto"/>
                    <w:left w:val="none" w:sz="0" w:space="0" w:color="auto"/>
                    <w:bottom w:val="none" w:sz="0" w:space="0" w:color="auto"/>
                    <w:right w:val="none" w:sz="0" w:space="0" w:color="auto"/>
                  </w:divBdr>
                  <w:divsChild>
                    <w:div w:id="310982510">
                      <w:marLeft w:val="0"/>
                      <w:marRight w:val="0"/>
                      <w:marTop w:val="0"/>
                      <w:marBottom w:val="0"/>
                      <w:divBdr>
                        <w:top w:val="none" w:sz="0" w:space="0" w:color="auto"/>
                        <w:left w:val="none" w:sz="0" w:space="0" w:color="auto"/>
                        <w:bottom w:val="none" w:sz="0" w:space="0" w:color="auto"/>
                        <w:right w:val="none" w:sz="0" w:space="0" w:color="auto"/>
                      </w:divBdr>
                      <w:divsChild>
                        <w:div w:id="1178958060">
                          <w:marLeft w:val="0"/>
                          <w:marRight w:val="0"/>
                          <w:marTop w:val="0"/>
                          <w:marBottom w:val="0"/>
                          <w:divBdr>
                            <w:top w:val="none" w:sz="0" w:space="0" w:color="auto"/>
                            <w:left w:val="none" w:sz="0" w:space="0" w:color="auto"/>
                            <w:bottom w:val="dotted" w:sz="6" w:space="0" w:color="FEA957"/>
                            <w:right w:val="none" w:sz="0" w:space="0" w:color="auto"/>
                          </w:divBdr>
                          <w:divsChild>
                            <w:div w:id="182982896">
                              <w:marLeft w:val="0"/>
                              <w:marRight w:val="0"/>
                              <w:marTop w:val="0"/>
                              <w:marBottom w:val="0"/>
                              <w:divBdr>
                                <w:top w:val="none" w:sz="0" w:space="0" w:color="auto"/>
                                <w:left w:val="none" w:sz="0" w:space="0" w:color="auto"/>
                                <w:bottom w:val="none" w:sz="0" w:space="0" w:color="auto"/>
                                <w:right w:val="none" w:sz="0" w:space="0" w:color="auto"/>
                              </w:divBdr>
                              <w:divsChild>
                                <w:div w:id="1788546177">
                                  <w:marLeft w:val="0"/>
                                  <w:marRight w:val="0"/>
                                  <w:marTop w:val="0"/>
                                  <w:marBottom w:val="450"/>
                                  <w:divBdr>
                                    <w:top w:val="none" w:sz="0" w:space="0" w:color="auto"/>
                                    <w:left w:val="none" w:sz="0" w:space="0" w:color="auto"/>
                                    <w:bottom w:val="none" w:sz="0" w:space="0" w:color="auto"/>
                                    <w:right w:val="none" w:sz="0" w:space="0" w:color="auto"/>
                                  </w:divBdr>
                                  <w:divsChild>
                                    <w:div w:id="245118439">
                                      <w:marLeft w:val="0"/>
                                      <w:marRight w:val="0"/>
                                      <w:marTop w:val="0"/>
                                      <w:marBottom w:val="375"/>
                                      <w:divBdr>
                                        <w:top w:val="none" w:sz="0" w:space="0" w:color="auto"/>
                                        <w:left w:val="none" w:sz="0" w:space="0" w:color="auto"/>
                                        <w:bottom w:val="none" w:sz="0" w:space="0" w:color="auto"/>
                                        <w:right w:val="none" w:sz="0" w:space="0" w:color="auto"/>
                                      </w:divBdr>
                                      <w:divsChild>
                                        <w:div w:id="113733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694">
                                  <w:marLeft w:val="0"/>
                                  <w:marRight w:val="0"/>
                                  <w:marTop w:val="0"/>
                                  <w:marBottom w:val="450"/>
                                  <w:divBdr>
                                    <w:top w:val="none" w:sz="0" w:space="0" w:color="auto"/>
                                    <w:left w:val="none" w:sz="0" w:space="0" w:color="auto"/>
                                    <w:bottom w:val="none" w:sz="0" w:space="0" w:color="auto"/>
                                    <w:right w:val="none" w:sz="0" w:space="0" w:color="auto"/>
                                  </w:divBdr>
                                  <w:divsChild>
                                    <w:div w:id="1884488417">
                                      <w:marLeft w:val="0"/>
                                      <w:marRight w:val="0"/>
                                      <w:marTop w:val="0"/>
                                      <w:marBottom w:val="375"/>
                                      <w:divBdr>
                                        <w:top w:val="none" w:sz="0" w:space="0" w:color="auto"/>
                                        <w:left w:val="none" w:sz="0" w:space="0" w:color="auto"/>
                                        <w:bottom w:val="none" w:sz="0" w:space="0" w:color="auto"/>
                                        <w:right w:val="none" w:sz="0" w:space="0" w:color="auto"/>
                                      </w:divBdr>
                                      <w:divsChild>
                                        <w:div w:id="910896317">
                                          <w:marLeft w:val="0"/>
                                          <w:marRight w:val="0"/>
                                          <w:marTop w:val="0"/>
                                          <w:marBottom w:val="0"/>
                                          <w:divBdr>
                                            <w:top w:val="none" w:sz="0" w:space="0" w:color="auto"/>
                                            <w:left w:val="none" w:sz="0" w:space="0" w:color="auto"/>
                                            <w:bottom w:val="none" w:sz="0" w:space="0" w:color="auto"/>
                                            <w:right w:val="none" w:sz="0" w:space="0" w:color="auto"/>
                                          </w:divBdr>
                                        </w:div>
                                      </w:divsChild>
                                    </w:div>
                                    <w:div w:id="2138717438">
                                      <w:marLeft w:val="0"/>
                                      <w:marRight w:val="0"/>
                                      <w:marTop w:val="0"/>
                                      <w:marBottom w:val="0"/>
                                      <w:divBdr>
                                        <w:top w:val="none" w:sz="0" w:space="0" w:color="auto"/>
                                        <w:left w:val="none" w:sz="0" w:space="0" w:color="auto"/>
                                        <w:bottom w:val="none" w:sz="0" w:space="0" w:color="auto"/>
                                        <w:right w:val="none" w:sz="0" w:space="0" w:color="auto"/>
                                      </w:divBdr>
                                    </w:div>
                                    <w:div w:id="1669944509">
                                      <w:marLeft w:val="0"/>
                                      <w:marRight w:val="0"/>
                                      <w:marTop w:val="0"/>
                                      <w:marBottom w:val="0"/>
                                      <w:divBdr>
                                        <w:top w:val="none" w:sz="0" w:space="0" w:color="auto"/>
                                        <w:left w:val="none" w:sz="0" w:space="0" w:color="auto"/>
                                        <w:bottom w:val="none" w:sz="0" w:space="0" w:color="auto"/>
                                        <w:right w:val="none" w:sz="0" w:space="0" w:color="auto"/>
                                      </w:divBdr>
                                      <w:divsChild>
                                        <w:div w:id="1605575473">
                                          <w:marLeft w:val="0"/>
                                          <w:marRight w:val="0"/>
                                          <w:marTop w:val="240"/>
                                          <w:marBottom w:val="480"/>
                                          <w:divBdr>
                                            <w:top w:val="none" w:sz="0" w:space="0" w:color="auto"/>
                                            <w:left w:val="none" w:sz="0" w:space="0" w:color="auto"/>
                                            <w:bottom w:val="none" w:sz="0" w:space="0" w:color="auto"/>
                                            <w:right w:val="none" w:sz="0" w:space="0" w:color="auto"/>
                                          </w:divBdr>
                                          <w:divsChild>
                                            <w:div w:id="451824623">
                                              <w:marLeft w:val="0"/>
                                              <w:marRight w:val="0"/>
                                              <w:marTop w:val="0"/>
                                              <w:marBottom w:val="0"/>
                                              <w:divBdr>
                                                <w:top w:val="single" w:sz="6" w:space="0" w:color="C6C6C6"/>
                                                <w:left w:val="single" w:sz="6" w:space="0" w:color="C6C6C6"/>
                                                <w:bottom w:val="single" w:sz="6" w:space="0" w:color="C6C6C6"/>
                                                <w:right w:val="single" w:sz="6" w:space="0" w:color="C6C6C6"/>
                                              </w:divBdr>
                                            </w:div>
                                            <w:div w:id="778066032">
                                              <w:marLeft w:val="0"/>
                                              <w:marRight w:val="0"/>
                                              <w:marTop w:val="0"/>
                                              <w:marBottom w:val="0"/>
                                              <w:divBdr>
                                                <w:top w:val="none" w:sz="0" w:space="0" w:color="auto"/>
                                                <w:left w:val="none" w:sz="0" w:space="0" w:color="auto"/>
                                                <w:bottom w:val="dotted" w:sz="6" w:space="6" w:color="999999"/>
                                                <w:right w:val="none" w:sz="0" w:space="0" w:color="auto"/>
                                              </w:divBdr>
                                            </w:div>
                                          </w:divsChild>
                                        </w:div>
                                        <w:div w:id="319500627">
                                          <w:marLeft w:val="0"/>
                                          <w:marRight w:val="0"/>
                                          <w:marTop w:val="240"/>
                                          <w:marBottom w:val="480"/>
                                          <w:divBdr>
                                            <w:top w:val="none" w:sz="0" w:space="0" w:color="auto"/>
                                            <w:left w:val="none" w:sz="0" w:space="0" w:color="auto"/>
                                            <w:bottom w:val="none" w:sz="0" w:space="0" w:color="auto"/>
                                            <w:right w:val="none" w:sz="0" w:space="0" w:color="auto"/>
                                          </w:divBdr>
                                          <w:divsChild>
                                            <w:div w:id="1168906487">
                                              <w:marLeft w:val="0"/>
                                              <w:marRight w:val="0"/>
                                              <w:marTop w:val="0"/>
                                              <w:marBottom w:val="0"/>
                                              <w:divBdr>
                                                <w:top w:val="none" w:sz="0" w:space="0" w:color="auto"/>
                                                <w:left w:val="none" w:sz="0" w:space="0" w:color="auto"/>
                                                <w:bottom w:val="dotted" w:sz="6" w:space="6" w:color="999999"/>
                                                <w:right w:val="none" w:sz="0" w:space="0" w:color="auto"/>
                                              </w:divBdr>
                                            </w:div>
                                            <w:div w:id="144993432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73707608">
                                          <w:marLeft w:val="0"/>
                                          <w:marRight w:val="0"/>
                                          <w:marTop w:val="240"/>
                                          <w:marBottom w:val="480"/>
                                          <w:divBdr>
                                            <w:top w:val="none" w:sz="0" w:space="0" w:color="auto"/>
                                            <w:left w:val="none" w:sz="0" w:space="0" w:color="auto"/>
                                            <w:bottom w:val="none" w:sz="0" w:space="0" w:color="auto"/>
                                            <w:right w:val="none" w:sz="0" w:space="0" w:color="auto"/>
                                          </w:divBdr>
                                          <w:divsChild>
                                            <w:div w:id="644043331">
                                              <w:marLeft w:val="0"/>
                                              <w:marRight w:val="0"/>
                                              <w:marTop w:val="0"/>
                                              <w:marBottom w:val="0"/>
                                              <w:divBdr>
                                                <w:top w:val="single" w:sz="6" w:space="0" w:color="C6C6C6"/>
                                                <w:left w:val="single" w:sz="6" w:space="0" w:color="C6C6C6"/>
                                                <w:bottom w:val="single" w:sz="6" w:space="0" w:color="C6C6C6"/>
                                                <w:right w:val="single" w:sz="6" w:space="0" w:color="C6C6C6"/>
                                              </w:divBdr>
                                            </w:div>
                                            <w:div w:id="19477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41393967">
                                  <w:marLeft w:val="0"/>
                                  <w:marRight w:val="0"/>
                                  <w:marTop w:val="0"/>
                                  <w:marBottom w:val="450"/>
                                  <w:divBdr>
                                    <w:top w:val="none" w:sz="0" w:space="0" w:color="auto"/>
                                    <w:left w:val="none" w:sz="0" w:space="0" w:color="auto"/>
                                    <w:bottom w:val="none" w:sz="0" w:space="0" w:color="auto"/>
                                    <w:right w:val="none" w:sz="0" w:space="0" w:color="auto"/>
                                  </w:divBdr>
                                  <w:divsChild>
                                    <w:div w:id="1086417363">
                                      <w:marLeft w:val="0"/>
                                      <w:marRight w:val="0"/>
                                      <w:marTop w:val="0"/>
                                      <w:marBottom w:val="375"/>
                                      <w:divBdr>
                                        <w:top w:val="none" w:sz="0" w:space="0" w:color="auto"/>
                                        <w:left w:val="none" w:sz="0" w:space="0" w:color="auto"/>
                                        <w:bottom w:val="none" w:sz="0" w:space="0" w:color="auto"/>
                                        <w:right w:val="none" w:sz="0" w:space="0" w:color="auto"/>
                                      </w:divBdr>
                                      <w:divsChild>
                                        <w:div w:id="1866216126">
                                          <w:marLeft w:val="0"/>
                                          <w:marRight w:val="0"/>
                                          <w:marTop w:val="0"/>
                                          <w:marBottom w:val="0"/>
                                          <w:divBdr>
                                            <w:top w:val="none" w:sz="0" w:space="0" w:color="auto"/>
                                            <w:left w:val="none" w:sz="0" w:space="0" w:color="auto"/>
                                            <w:bottom w:val="none" w:sz="0" w:space="0" w:color="auto"/>
                                            <w:right w:val="none" w:sz="0" w:space="0" w:color="auto"/>
                                          </w:divBdr>
                                        </w:div>
                                      </w:divsChild>
                                    </w:div>
                                    <w:div w:id="1024021126">
                                      <w:marLeft w:val="0"/>
                                      <w:marRight w:val="0"/>
                                      <w:marTop w:val="240"/>
                                      <w:marBottom w:val="480"/>
                                      <w:divBdr>
                                        <w:top w:val="none" w:sz="0" w:space="0" w:color="auto"/>
                                        <w:left w:val="none" w:sz="0" w:space="0" w:color="auto"/>
                                        <w:bottom w:val="none" w:sz="0" w:space="0" w:color="auto"/>
                                        <w:right w:val="none" w:sz="0" w:space="0" w:color="auto"/>
                                      </w:divBdr>
                                      <w:divsChild>
                                        <w:div w:id="927469281">
                                          <w:marLeft w:val="0"/>
                                          <w:marRight w:val="0"/>
                                          <w:marTop w:val="0"/>
                                          <w:marBottom w:val="0"/>
                                          <w:divBdr>
                                            <w:top w:val="single" w:sz="6" w:space="0" w:color="C6C6C6"/>
                                            <w:left w:val="single" w:sz="6" w:space="0" w:color="C6C6C6"/>
                                            <w:bottom w:val="single" w:sz="6" w:space="0" w:color="C6C6C6"/>
                                            <w:right w:val="single" w:sz="6" w:space="0" w:color="C6C6C6"/>
                                          </w:divBdr>
                                        </w:div>
                                        <w:div w:id="1714648414">
                                          <w:marLeft w:val="0"/>
                                          <w:marRight w:val="0"/>
                                          <w:marTop w:val="0"/>
                                          <w:marBottom w:val="0"/>
                                          <w:divBdr>
                                            <w:top w:val="none" w:sz="0" w:space="0" w:color="auto"/>
                                            <w:left w:val="none" w:sz="0" w:space="0" w:color="auto"/>
                                            <w:bottom w:val="dotted" w:sz="6" w:space="6" w:color="999999"/>
                                            <w:right w:val="none" w:sz="0" w:space="0" w:color="auto"/>
                                          </w:divBdr>
                                        </w:div>
                                      </w:divsChild>
                                    </w:div>
                                    <w:div w:id="452283511">
                                      <w:marLeft w:val="0"/>
                                      <w:marRight w:val="0"/>
                                      <w:marTop w:val="240"/>
                                      <w:marBottom w:val="480"/>
                                      <w:divBdr>
                                        <w:top w:val="none" w:sz="0" w:space="0" w:color="auto"/>
                                        <w:left w:val="none" w:sz="0" w:space="0" w:color="auto"/>
                                        <w:bottom w:val="none" w:sz="0" w:space="0" w:color="auto"/>
                                        <w:right w:val="none" w:sz="0" w:space="0" w:color="auto"/>
                                      </w:divBdr>
                                      <w:divsChild>
                                        <w:div w:id="918559706">
                                          <w:marLeft w:val="0"/>
                                          <w:marRight w:val="0"/>
                                          <w:marTop w:val="0"/>
                                          <w:marBottom w:val="0"/>
                                          <w:divBdr>
                                            <w:top w:val="single" w:sz="6" w:space="0" w:color="C6C6C6"/>
                                            <w:left w:val="single" w:sz="6" w:space="0" w:color="C6C6C6"/>
                                            <w:bottom w:val="single" w:sz="6" w:space="0" w:color="C6C6C6"/>
                                            <w:right w:val="single" w:sz="6" w:space="0" w:color="C6C6C6"/>
                                          </w:divBdr>
                                        </w:div>
                                        <w:div w:id="344137934">
                                          <w:marLeft w:val="0"/>
                                          <w:marRight w:val="0"/>
                                          <w:marTop w:val="0"/>
                                          <w:marBottom w:val="0"/>
                                          <w:divBdr>
                                            <w:top w:val="none" w:sz="0" w:space="0" w:color="auto"/>
                                            <w:left w:val="none" w:sz="0" w:space="0" w:color="auto"/>
                                            <w:bottom w:val="dotted" w:sz="6" w:space="6" w:color="999999"/>
                                            <w:right w:val="none" w:sz="0" w:space="0" w:color="auto"/>
                                          </w:divBdr>
                                        </w:div>
                                      </w:divsChild>
                                    </w:div>
                                    <w:div w:id="1584727739">
                                      <w:marLeft w:val="0"/>
                                      <w:marRight w:val="0"/>
                                      <w:marTop w:val="240"/>
                                      <w:marBottom w:val="480"/>
                                      <w:divBdr>
                                        <w:top w:val="none" w:sz="0" w:space="0" w:color="auto"/>
                                        <w:left w:val="none" w:sz="0" w:space="0" w:color="auto"/>
                                        <w:bottom w:val="none" w:sz="0" w:space="0" w:color="auto"/>
                                        <w:right w:val="none" w:sz="0" w:space="0" w:color="auto"/>
                                      </w:divBdr>
                                      <w:divsChild>
                                        <w:div w:id="2128965760">
                                          <w:marLeft w:val="0"/>
                                          <w:marRight w:val="0"/>
                                          <w:marTop w:val="0"/>
                                          <w:marBottom w:val="0"/>
                                          <w:divBdr>
                                            <w:top w:val="single" w:sz="6" w:space="0" w:color="C6C6C6"/>
                                            <w:left w:val="single" w:sz="6" w:space="0" w:color="C6C6C6"/>
                                            <w:bottom w:val="single" w:sz="6" w:space="0" w:color="C6C6C6"/>
                                            <w:right w:val="single" w:sz="6" w:space="0" w:color="C6C6C6"/>
                                          </w:divBdr>
                                        </w:div>
                                        <w:div w:id="43456803">
                                          <w:marLeft w:val="0"/>
                                          <w:marRight w:val="0"/>
                                          <w:marTop w:val="0"/>
                                          <w:marBottom w:val="0"/>
                                          <w:divBdr>
                                            <w:top w:val="none" w:sz="0" w:space="0" w:color="auto"/>
                                            <w:left w:val="none" w:sz="0" w:space="0" w:color="auto"/>
                                            <w:bottom w:val="dotted" w:sz="6" w:space="6" w:color="999999"/>
                                            <w:right w:val="none" w:sz="0" w:space="0" w:color="auto"/>
                                          </w:divBdr>
                                        </w:div>
                                      </w:divsChild>
                                    </w:div>
                                    <w:div w:id="1071463719">
                                      <w:marLeft w:val="0"/>
                                      <w:marRight w:val="0"/>
                                      <w:marTop w:val="240"/>
                                      <w:marBottom w:val="240"/>
                                      <w:divBdr>
                                        <w:top w:val="none" w:sz="0" w:space="0" w:color="auto"/>
                                        <w:left w:val="none" w:sz="0" w:space="0" w:color="auto"/>
                                        <w:bottom w:val="none" w:sz="0" w:space="0" w:color="auto"/>
                                        <w:right w:val="none" w:sz="0" w:space="0" w:color="auto"/>
                                      </w:divBdr>
                                    </w:div>
                                    <w:div w:id="450440507">
                                      <w:marLeft w:val="0"/>
                                      <w:marRight w:val="0"/>
                                      <w:marTop w:val="240"/>
                                      <w:marBottom w:val="240"/>
                                      <w:divBdr>
                                        <w:top w:val="none" w:sz="0" w:space="0" w:color="auto"/>
                                        <w:left w:val="none" w:sz="0" w:space="0" w:color="auto"/>
                                        <w:bottom w:val="none" w:sz="0" w:space="0" w:color="auto"/>
                                        <w:right w:val="none" w:sz="0" w:space="0" w:color="auto"/>
                                      </w:divBdr>
                                    </w:div>
                                    <w:div w:id="916862320">
                                      <w:marLeft w:val="0"/>
                                      <w:marRight w:val="0"/>
                                      <w:marTop w:val="240"/>
                                      <w:marBottom w:val="240"/>
                                      <w:divBdr>
                                        <w:top w:val="none" w:sz="0" w:space="0" w:color="auto"/>
                                        <w:left w:val="none" w:sz="0" w:space="0" w:color="auto"/>
                                        <w:bottom w:val="none" w:sz="0" w:space="0" w:color="auto"/>
                                        <w:right w:val="none" w:sz="0" w:space="0" w:color="auto"/>
                                      </w:divBdr>
                                    </w:div>
                                    <w:div w:id="493104964">
                                      <w:marLeft w:val="0"/>
                                      <w:marRight w:val="0"/>
                                      <w:marTop w:val="240"/>
                                      <w:marBottom w:val="240"/>
                                      <w:divBdr>
                                        <w:top w:val="none" w:sz="0" w:space="0" w:color="auto"/>
                                        <w:left w:val="none" w:sz="0" w:space="0" w:color="auto"/>
                                        <w:bottom w:val="none" w:sz="0" w:space="0" w:color="auto"/>
                                        <w:right w:val="none" w:sz="0" w:space="0" w:color="auto"/>
                                      </w:divBdr>
                                    </w:div>
                                    <w:div w:id="1776443415">
                                      <w:marLeft w:val="0"/>
                                      <w:marRight w:val="0"/>
                                      <w:marTop w:val="240"/>
                                      <w:marBottom w:val="240"/>
                                      <w:divBdr>
                                        <w:top w:val="none" w:sz="0" w:space="0" w:color="auto"/>
                                        <w:left w:val="none" w:sz="0" w:space="0" w:color="auto"/>
                                        <w:bottom w:val="none" w:sz="0" w:space="0" w:color="auto"/>
                                        <w:right w:val="none" w:sz="0" w:space="0" w:color="auto"/>
                                      </w:divBdr>
                                    </w:div>
                                    <w:div w:id="1697538789">
                                      <w:marLeft w:val="0"/>
                                      <w:marRight w:val="0"/>
                                      <w:marTop w:val="240"/>
                                      <w:marBottom w:val="240"/>
                                      <w:divBdr>
                                        <w:top w:val="none" w:sz="0" w:space="0" w:color="auto"/>
                                        <w:left w:val="none" w:sz="0" w:space="0" w:color="auto"/>
                                        <w:bottom w:val="none" w:sz="0" w:space="0" w:color="auto"/>
                                        <w:right w:val="none" w:sz="0" w:space="0" w:color="auto"/>
                                      </w:divBdr>
                                    </w:div>
                                    <w:div w:id="2012677966">
                                      <w:marLeft w:val="0"/>
                                      <w:marRight w:val="0"/>
                                      <w:marTop w:val="240"/>
                                      <w:marBottom w:val="480"/>
                                      <w:divBdr>
                                        <w:top w:val="none" w:sz="0" w:space="0" w:color="auto"/>
                                        <w:left w:val="none" w:sz="0" w:space="0" w:color="auto"/>
                                        <w:bottom w:val="none" w:sz="0" w:space="0" w:color="auto"/>
                                        <w:right w:val="none" w:sz="0" w:space="0" w:color="auto"/>
                                      </w:divBdr>
                                      <w:divsChild>
                                        <w:div w:id="460853295">
                                          <w:marLeft w:val="0"/>
                                          <w:marRight w:val="0"/>
                                          <w:marTop w:val="0"/>
                                          <w:marBottom w:val="0"/>
                                          <w:divBdr>
                                            <w:top w:val="none" w:sz="0" w:space="0" w:color="auto"/>
                                            <w:left w:val="none" w:sz="0" w:space="0" w:color="auto"/>
                                            <w:bottom w:val="dotted" w:sz="6" w:space="6" w:color="999999"/>
                                            <w:right w:val="none" w:sz="0" w:space="0" w:color="auto"/>
                                          </w:divBdr>
                                        </w:div>
                                        <w:div w:id="10308339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52781188">
                                      <w:marLeft w:val="0"/>
                                      <w:marRight w:val="0"/>
                                      <w:marTop w:val="240"/>
                                      <w:marBottom w:val="240"/>
                                      <w:divBdr>
                                        <w:top w:val="none" w:sz="0" w:space="0" w:color="auto"/>
                                        <w:left w:val="none" w:sz="0" w:space="0" w:color="auto"/>
                                        <w:bottom w:val="none" w:sz="0" w:space="0" w:color="auto"/>
                                        <w:right w:val="none" w:sz="0" w:space="0" w:color="auto"/>
                                      </w:divBdr>
                                    </w:div>
                                  </w:divsChild>
                                </w:div>
                                <w:div w:id="1952397221">
                                  <w:marLeft w:val="0"/>
                                  <w:marRight w:val="0"/>
                                  <w:marTop w:val="0"/>
                                  <w:marBottom w:val="450"/>
                                  <w:divBdr>
                                    <w:top w:val="none" w:sz="0" w:space="0" w:color="auto"/>
                                    <w:left w:val="none" w:sz="0" w:space="0" w:color="auto"/>
                                    <w:bottom w:val="none" w:sz="0" w:space="0" w:color="auto"/>
                                    <w:right w:val="none" w:sz="0" w:space="0" w:color="auto"/>
                                  </w:divBdr>
                                  <w:divsChild>
                                    <w:div w:id="1368067939">
                                      <w:marLeft w:val="0"/>
                                      <w:marRight w:val="0"/>
                                      <w:marTop w:val="0"/>
                                      <w:marBottom w:val="375"/>
                                      <w:divBdr>
                                        <w:top w:val="none" w:sz="0" w:space="0" w:color="auto"/>
                                        <w:left w:val="none" w:sz="0" w:space="0" w:color="auto"/>
                                        <w:bottom w:val="none" w:sz="0" w:space="0" w:color="auto"/>
                                        <w:right w:val="none" w:sz="0" w:space="0" w:color="auto"/>
                                      </w:divBdr>
                                      <w:divsChild>
                                        <w:div w:id="929316180">
                                          <w:marLeft w:val="0"/>
                                          <w:marRight w:val="0"/>
                                          <w:marTop w:val="0"/>
                                          <w:marBottom w:val="0"/>
                                          <w:divBdr>
                                            <w:top w:val="none" w:sz="0" w:space="0" w:color="auto"/>
                                            <w:left w:val="none" w:sz="0" w:space="0" w:color="auto"/>
                                            <w:bottom w:val="none" w:sz="0" w:space="0" w:color="auto"/>
                                            <w:right w:val="none" w:sz="0" w:space="0" w:color="auto"/>
                                          </w:divBdr>
                                        </w:div>
                                      </w:divsChild>
                                    </w:div>
                                    <w:div w:id="1829323086">
                                      <w:marLeft w:val="0"/>
                                      <w:marRight w:val="0"/>
                                      <w:marTop w:val="240"/>
                                      <w:marBottom w:val="480"/>
                                      <w:divBdr>
                                        <w:top w:val="none" w:sz="0" w:space="0" w:color="auto"/>
                                        <w:left w:val="none" w:sz="0" w:space="0" w:color="auto"/>
                                        <w:bottom w:val="none" w:sz="0" w:space="0" w:color="auto"/>
                                        <w:right w:val="none" w:sz="0" w:space="0" w:color="auto"/>
                                      </w:divBdr>
                                      <w:divsChild>
                                        <w:div w:id="499544583">
                                          <w:marLeft w:val="0"/>
                                          <w:marRight w:val="0"/>
                                          <w:marTop w:val="0"/>
                                          <w:marBottom w:val="0"/>
                                          <w:divBdr>
                                            <w:top w:val="single" w:sz="6" w:space="0" w:color="C6C6C6"/>
                                            <w:left w:val="single" w:sz="6" w:space="0" w:color="C6C6C6"/>
                                            <w:bottom w:val="single" w:sz="6" w:space="0" w:color="C6C6C6"/>
                                            <w:right w:val="single" w:sz="6" w:space="0" w:color="C6C6C6"/>
                                          </w:divBdr>
                                        </w:div>
                                        <w:div w:id="272589216">
                                          <w:marLeft w:val="0"/>
                                          <w:marRight w:val="0"/>
                                          <w:marTop w:val="0"/>
                                          <w:marBottom w:val="0"/>
                                          <w:divBdr>
                                            <w:top w:val="none" w:sz="0" w:space="0" w:color="auto"/>
                                            <w:left w:val="none" w:sz="0" w:space="0" w:color="auto"/>
                                            <w:bottom w:val="dotted" w:sz="6" w:space="6" w:color="999999"/>
                                            <w:right w:val="none" w:sz="0" w:space="0" w:color="auto"/>
                                          </w:divBdr>
                                        </w:div>
                                      </w:divsChild>
                                    </w:div>
                                    <w:div w:id="1722510206">
                                      <w:marLeft w:val="0"/>
                                      <w:marRight w:val="0"/>
                                      <w:marTop w:val="240"/>
                                      <w:marBottom w:val="240"/>
                                      <w:divBdr>
                                        <w:top w:val="none" w:sz="0" w:space="0" w:color="auto"/>
                                        <w:left w:val="none" w:sz="0" w:space="0" w:color="auto"/>
                                        <w:bottom w:val="none" w:sz="0" w:space="0" w:color="auto"/>
                                        <w:right w:val="none" w:sz="0" w:space="0" w:color="auto"/>
                                      </w:divBdr>
                                    </w:div>
                                    <w:div w:id="959921333">
                                      <w:marLeft w:val="0"/>
                                      <w:marRight w:val="0"/>
                                      <w:marTop w:val="240"/>
                                      <w:marBottom w:val="480"/>
                                      <w:divBdr>
                                        <w:top w:val="none" w:sz="0" w:space="0" w:color="auto"/>
                                        <w:left w:val="none" w:sz="0" w:space="0" w:color="auto"/>
                                        <w:bottom w:val="none" w:sz="0" w:space="0" w:color="auto"/>
                                        <w:right w:val="none" w:sz="0" w:space="0" w:color="auto"/>
                                      </w:divBdr>
                                      <w:divsChild>
                                        <w:div w:id="1315379270">
                                          <w:marLeft w:val="0"/>
                                          <w:marRight w:val="0"/>
                                          <w:marTop w:val="0"/>
                                          <w:marBottom w:val="0"/>
                                          <w:divBdr>
                                            <w:top w:val="single" w:sz="6" w:space="0" w:color="C6C6C6"/>
                                            <w:left w:val="single" w:sz="6" w:space="0" w:color="C6C6C6"/>
                                            <w:bottom w:val="single" w:sz="6" w:space="0" w:color="C6C6C6"/>
                                            <w:right w:val="single" w:sz="6" w:space="0" w:color="C6C6C6"/>
                                          </w:divBdr>
                                        </w:div>
                                        <w:div w:id="860751467">
                                          <w:marLeft w:val="0"/>
                                          <w:marRight w:val="0"/>
                                          <w:marTop w:val="0"/>
                                          <w:marBottom w:val="0"/>
                                          <w:divBdr>
                                            <w:top w:val="none" w:sz="0" w:space="0" w:color="auto"/>
                                            <w:left w:val="none" w:sz="0" w:space="0" w:color="auto"/>
                                            <w:bottom w:val="dotted" w:sz="6" w:space="6" w:color="999999"/>
                                            <w:right w:val="none" w:sz="0" w:space="0" w:color="auto"/>
                                          </w:divBdr>
                                        </w:div>
                                      </w:divsChild>
                                    </w:div>
                                    <w:div w:id="640502015">
                                      <w:marLeft w:val="0"/>
                                      <w:marRight w:val="0"/>
                                      <w:marTop w:val="240"/>
                                      <w:marBottom w:val="480"/>
                                      <w:divBdr>
                                        <w:top w:val="none" w:sz="0" w:space="0" w:color="auto"/>
                                        <w:left w:val="none" w:sz="0" w:space="0" w:color="auto"/>
                                        <w:bottom w:val="none" w:sz="0" w:space="0" w:color="auto"/>
                                        <w:right w:val="none" w:sz="0" w:space="0" w:color="auto"/>
                                      </w:divBdr>
                                      <w:divsChild>
                                        <w:div w:id="234751507">
                                          <w:marLeft w:val="0"/>
                                          <w:marRight w:val="0"/>
                                          <w:marTop w:val="0"/>
                                          <w:marBottom w:val="0"/>
                                          <w:divBdr>
                                            <w:top w:val="single" w:sz="6" w:space="0" w:color="C6C6C6"/>
                                            <w:left w:val="single" w:sz="6" w:space="0" w:color="C6C6C6"/>
                                            <w:bottom w:val="single" w:sz="6" w:space="0" w:color="C6C6C6"/>
                                            <w:right w:val="single" w:sz="6" w:space="0" w:color="C6C6C6"/>
                                          </w:divBdr>
                                        </w:div>
                                        <w:div w:id="4131703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33363866">
                                  <w:marLeft w:val="0"/>
                                  <w:marRight w:val="0"/>
                                  <w:marTop w:val="0"/>
                                  <w:marBottom w:val="450"/>
                                  <w:divBdr>
                                    <w:top w:val="none" w:sz="0" w:space="0" w:color="auto"/>
                                    <w:left w:val="none" w:sz="0" w:space="0" w:color="auto"/>
                                    <w:bottom w:val="none" w:sz="0" w:space="0" w:color="auto"/>
                                    <w:right w:val="none" w:sz="0" w:space="0" w:color="auto"/>
                                  </w:divBdr>
                                  <w:divsChild>
                                    <w:div w:id="1127238035">
                                      <w:marLeft w:val="0"/>
                                      <w:marRight w:val="0"/>
                                      <w:marTop w:val="0"/>
                                      <w:marBottom w:val="375"/>
                                      <w:divBdr>
                                        <w:top w:val="none" w:sz="0" w:space="0" w:color="auto"/>
                                        <w:left w:val="none" w:sz="0" w:space="0" w:color="auto"/>
                                        <w:bottom w:val="none" w:sz="0" w:space="0" w:color="auto"/>
                                        <w:right w:val="none" w:sz="0" w:space="0" w:color="auto"/>
                                      </w:divBdr>
                                      <w:divsChild>
                                        <w:div w:id="10938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661079133">
      <w:bodyDiv w:val="1"/>
      <w:marLeft w:val="0"/>
      <w:marRight w:val="0"/>
      <w:marTop w:val="0"/>
      <w:marBottom w:val="0"/>
      <w:divBdr>
        <w:top w:val="none" w:sz="0" w:space="0" w:color="auto"/>
        <w:left w:val="none" w:sz="0" w:space="0" w:color="auto"/>
        <w:bottom w:val="none" w:sz="0" w:space="0" w:color="auto"/>
        <w:right w:val="none" w:sz="0" w:space="0" w:color="auto"/>
      </w:divBdr>
      <w:divsChild>
        <w:div w:id="1732269716">
          <w:marLeft w:val="0"/>
          <w:marRight w:val="0"/>
          <w:marTop w:val="0"/>
          <w:marBottom w:val="0"/>
          <w:divBdr>
            <w:top w:val="none" w:sz="0" w:space="0" w:color="auto"/>
            <w:left w:val="none" w:sz="0" w:space="0" w:color="auto"/>
            <w:bottom w:val="none" w:sz="0" w:space="0" w:color="auto"/>
            <w:right w:val="none" w:sz="0" w:space="0" w:color="auto"/>
          </w:divBdr>
          <w:divsChild>
            <w:div w:id="291836565">
              <w:marLeft w:val="0"/>
              <w:marRight w:val="0"/>
              <w:marTop w:val="0"/>
              <w:marBottom w:val="0"/>
              <w:divBdr>
                <w:top w:val="none" w:sz="0" w:space="0" w:color="auto"/>
                <w:left w:val="none" w:sz="0" w:space="0" w:color="auto"/>
                <w:bottom w:val="none" w:sz="0" w:space="0" w:color="auto"/>
                <w:right w:val="none" w:sz="0" w:space="0" w:color="auto"/>
              </w:divBdr>
            </w:div>
          </w:divsChild>
        </w:div>
        <w:div w:id="448624660">
          <w:marLeft w:val="0"/>
          <w:marRight w:val="0"/>
          <w:marTop w:val="0"/>
          <w:marBottom w:val="0"/>
          <w:divBdr>
            <w:top w:val="none" w:sz="0" w:space="0" w:color="auto"/>
            <w:left w:val="none" w:sz="0" w:space="0" w:color="auto"/>
            <w:bottom w:val="none" w:sz="0" w:space="0" w:color="auto"/>
            <w:right w:val="none" w:sz="0" w:space="0" w:color="auto"/>
          </w:divBdr>
          <w:divsChild>
            <w:div w:id="1717116500">
              <w:marLeft w:val="0"/>
              <w:marRight w:val="0"/>
              <w:marTop w:val="0"/>
              <w:marBottom w:val="0"/>
              <w:divBdr>
                <w:top w:val="none" w:sz="0" w:space="0" w:color="auto"/>
                <w:left w:val="none" w:sz="0" w:space="0" w:color="auto"/>
                <w:bottom w:val="none" w:sz="0" w:space="0" w:color="auto"/>
                <w:right w:val="none" w:sz="0" w:space="0" w:color="auto"/>
              </w:divBdr>
            </w:div>
          </w:divsChild>
        </w:div>
        <w:div w:id="394551539">
          <w:marLeft w:val="0"/>
          <w:marRight w:val="0"/>
          <w:marTop w:val="0"/>
          <w:marBottom w:val="0"/>
          <w:divBdr>
            <w:top w:val="none" w:sz="0" w:space="0" w:color="auto"/>
            <w:left w:val="none" w:sz="0" w:space="0" w:color="auto"/>
            <w:bottom w:val="none" w:sz="0" w:space="0" w:color="auto"/>
            <w:right w:val="none" w:sz="0" w:space="0" w:color="auto"/>
          </w:divBdr>
          <w:divsChild>
            <w:div w:id="2140026004">
              <w:marLeft w:val="0"/>
              <w:marRight w:val="0"/>
              <w:marTop w:val="0"/>
              <w:marBottom w:val="0"/>
              <w:divBdr>
                <w:top w:val="none" w:sz="0" w:space="0" w:color="auto"/>
                <w:left w:val="none" w:sz="0" w:space="0" w:color="auto"/>
                <w:bottom w:val="none" w:sz="0" w:space="0" w:color="auto"/>
                <w:right w:val="none" w:sz="0" w:space="0" w:color="auto"/>
              </w:divBdr>
              <w:divsChild>
                <w:div w:id="1941914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301732">
          <w:marLeft w:val="0"/>
          <w:marRight w:val="0"/>
          <w:marTop w:val="0"/>
          <w:marBottom w:val="0"/>
          <w:divBdr>
            <w:top w:val="none" w:sz="0" w:space="0" w:color="auto"/>
            <w:left w:val="none" w:sz="0" w:space="0" w:color="auto"/>
            <w:bottom w:val="none" w:sz="0" w:space="0" w:color="auto"/>
            <w:right w:val="none" w:sz="0" w:space="0" w:color="auto"/>
          </w:divBdr>
          <w:divsChild>
            <w:div w:id="1748843459">
              <w:marLeft w:val="0"/>
              <w:marRight w:val="0"/>
              <w:marTop w:val="0"/>
              <w:marBottom w:val="0"/>
              <w:divBdr>
                <w:top w:val="none" w:sz="0" w:space="0" w:color="auto"/>
                <w:left w:val="none" w:sz="0" w:space="0" w:color="auto"/>
                <w:bottom w:val="none" w:sz="0" w:space="0" w:color="auto"/>
                <w:right w:val="none" w:sz="0" w:space="0" w:color="auto"/>
              </w:divBdr>
            </w:div>
          </w:divsChild>
        </w:div>
        <w:div w:id="363555754">
          <w:marLeft w:val="0"/>
          <w:marRight w:val="0"/>
          <w:marTop w:val="0"/>
          <w:marBottom w:val="0"/>
          <w:divBdr>
            <w:top w:val="none" w:sz="0" w:space="0" w:color="auto"/>
            <w:left w:val="none" w:sz="0" w:space="0" w:color="auto"/>
            <w:bottom w:val="none" w:sz="0" w:space="0" w:color="auto"/>
            <w:right w:val="none" w:sz="0" w:space="0" w:color="auto"/>
          </w:divBdr>
          <w:divsChild>
            <w:div w:id="1030256655">
              <w:marLeft w:val="0"/>
              <w:marRight w:val="0"/>
              <w:marTop w:val="0"/>
              <w:marBottom w:val="0"/>
              <w:divBdr>
                <w:top w:val="none" w:sz="0" w:space="0" w:color="auto"/>
                <w:left w:val="none" w:sz="0" w:space="0" w:color="auto"/>
                <w:bottom w:val="none" w:sz="0" w:space="0" w:color="auto"/>
                <w:right w:val="none" w:sz="0" w:space="0" w:color="auto"/>
              </w:divBdr>
            </w:div>
          </w:divsChild>
        </w:div>
        <w:div w:id="524253378">
          <w:marLeft w:val="0"/>
          <w:marRight w:val="0"/>
          <w:marTop w:val="0"/>
          <w:marBottom w:val="0"/>
          <w:divBdr>
            <w:top w:val="none" w:sz="0" w:space="0" w:color="auto"/>
            <w:left w:val="none" w:sz="0" w:space="0" w:color="auto"/>
            <w:bottom w:val="none" w:sz="0" w:space="0" w:color="auto"/>
            <w:right w:val="none" w:sz="0" w:space="0" w:color="auto"/>
          </w:divBdr>
          <w:divsChild>
            <w:div w:id="341401330">
              <w:marLeft w:val="0"/>
              <w:marRight w:val="0"/>
              <w:marTop w:val="0"/>
              <w:marBottom w:val="0"/>
              <w:divBdr>
                <w:top w:val="none" w:sz="0" w:space="0" w:color="auto"/>
                <w:left w:val="none" w:sz="0" w:space="0" w:color="auto"/>
                <w:bottom w:val="none" w:sz="0" w:space="0" w:color="auto"/>
                <w:right w:val="none" w:sz="0" w:space="0" w:color="auto"/>
              </w:divBdr>
            </w:div>
          </w:divsChild>
        </w:div>
        <w:div w:id="1331640550">
          <w:marLeft w:val="0"/>
          <w:marRight w:val="0"/>
          <w:marTop w:val="0"/>
          <w:marBottom w:val="0"/>
          <w:divBdr>
            <w:top w:val="none" w:sz="0" w:space="0" w:color="auto"/>
            <w:left w:val="none" w:sz="0" w:space="0" w:color="auto"/>
            <w:bottom w:val="none" w:sz="0" w:space="0" w:color="auto"/>
            <w:right w:val="none" w:sz="0" w:space="0" w:color="auto"/>
          </w:divBdr>
          <w:divsChild>
            <w:div w:id="327682681">
              <w:marLeft w:val="0"/>
              <w:marRight w:val="0"/>
              <w:marTop w:val="0"/>
              <w:marBottom w:val="0"/>
              <w:divBdr>
                <w:top w:val="none" w:sz="0" w:space="0" w:color="auto"/>
                <w:left w:val="none" w:sz="0" w:space="0" w:color="auto"/>
                <w:bottom w:val="none" w:sz="0" w:space="0" w:color="auto"/>
                <w:right w:val="none" w:sz="0" w:space="0" w:color="auto"/>
              </w:divBdr>
            </w:div>
          </w:divsChild>
        </w:div>
        <w:div w:id="1258059197">
          <w:marLeft w:val="0"/>
          <w:marRight w:val="0"/>
          <w:marTop w:val="0"/>
          <w:marBottom w:val="0"/>
          <w:divBdr>
            <w:top w:val="none" w:sz="0" w:space="0" w:color="auto"/>
            <w:left w:val="none" w:sz="0" w:space="0" w:color="auto"/>
            <w:bottom w:val="none" w:sz="0" w:space="0" w:color="auto"/>
            <w:right w:val="none" w:sz="0" w:space="0" w:color="auto"/>
          </w:divBdr>
          <w:divsChild>
            <w:div w:id="762649237">
              <w:marLeft w:val="0"/>
              <w:marRight w:val="0"/>
              <w:marTop w:val="0"/>
              <w:marBottom w:val="0"/>
              <w:divBdr>
                <w:top w:val="none" w:sz="0" w:space="0" w:color="auto"/>
                <w:left w:val="none" w:sz="0" w:space="0" w:color="auto"/>
                <w:bottom w:val="none" w:sz="0" w:space="0" w:color="auto"/>
                <w:right w:val="none" w:sz="0" w:space="0" w:color="auto"/>
              </w:divBdr>
            </w:div>
          </w:divsChild>
        </w:div>
        <w:div w:id="1043478097">
          <w:marLeft w:val="0"/>
          <w:marRight w:val="0"/>
          <w:marTop w:val="0"/>
          <w:marBottom w:val="0"/>
          <w:divBdr>
            <w:top w:val="none" w:sz="0" w:space="0" w:color="auto"/>
            <w:left w:val="none" w:sz="0" w:space="0" w:color="auto"/>
            <w:bottom w:val="none" w:sz="0" w:space="0" w:color="auto"/>
            <w:right w:val="none" w:sz="0" w:space="0" w:color="auto"/>
          </w:divBdr>
          <w:divsChild>
            <w:div w:id="9571314">
              <w:marLeft w:val="0"/>
              <w:marRight w:val="0"/>
              <w:marTop w:val="0"/>
              <w:marBottom w:val="0"/>
              <w:divBdr>
                <w:top w:val="none" w:sz="0" w:space="0" w:color="auto"/>
                <w:left w:val="none" w:sz="0" w:space="0" w:color="auto"/>
                <w:bottom w:val="none" w:sz="0" w:space="0" w:color="auto"/>
                <w:right w:val="none" w:sz="0" w:space="0" w:color="auto"/>
              </w:divBdr>
            </w:div>
          </w:divsChild>
        </w:div>
        <w:div w:id="1403602837">
          <w:marLeft w:val="0"/>
          <w:marRight w:val="0"/>
          <w:marTop w:val="0"/>
          <w:marBottom w:val="0"/>
          <w:divBdr>
            <w:top w:val="none" w:sz="0" w:space="0" w:color="auto"/>
            <w:left w:val="none" w:sz="0" w:space="0" w:color="auto"/>
            <w:bottom w:val="none" w:sz="0" w:space="0" w:color="auto"/>
            <w:right w:val="none" w:sz="0" w:space="0" w:color="auto"/>
          </w:divBdr>
          <w:divsChild>
            <w:div w:id="931204272">
              <w:marLeft w:val="0"/>
              <w:marRight w:val="0"/>
              <w:marTop w:val="0"/>
              <w:marBottom w:val="0"/>
              <w:divBdr>
                <w:top w:val="none" w:sz="0" w:space="0" w:color="auto"/>
                <w:left w:val="none" w:sz="0" w:space="0" w:color="auto"/>
                <w:bottom w:val="none" w:sz="0" w:space="0" w:color="auto"/>
                <w:right w:val="none" w:sz="0" w:space="0" w:color="auto"/>
              </w:divBdr>
            </w:div>
          </w:divsChild>
        </w:div>
        <w:div w:id="1835416060">
          <w:marLeft w:val="0"/>
          <w:marRight w:val="0"/>
          <w:marTop w:val="0"/>
          <w:marBottom w:val="0"/>
          <w:divBdr>
            <w:top w:val="none" w:sz="0" w:space="0" w:color="auto"/>
            <w:left w:val="none" w:sz="0" w:space="0" w:color="auto"/>
            <w:bottom w:val="none" w:sz="0" w:space="0" w:color="auto"/>
            <w:right w:val="none" w:sz="0" w:space="0" w:color="auto"/>
          </w:divBdr>
          <w:divsChild>
            <w:div w:id="871575578">
              <w:marLeft w:val="0"/>
              <w:marRight w:val="0"/>
              <w:marTop w:val="0"/>
              <w:marBottom w:val="0"/>
              <w:divBdr>
                <w:top w:val="none" w:sz="0" w:space="0" w:color="auto"/>
                <w:left w:val="none" w:sz="0" w:space="0" w:color="auto"/>
                <w:bottom w:val="none" w:sz="0" w:space="0" w:color="auto"/>
                <w:right w:val="none" w:sz="0" w:space="0" w:color="auto"/>
              </w:divBdr>
            </w:div>
          </w:divsChild>
        </w:div>
        <w:div w:id="2076928169">
          <w:marLeft w:val="0"/>
          <w:marRight w:val="0"/>
          <w:marTop w:val="0"/>
          <w:marBottom w:val="0"/>
          <w:divBdr>
            <w:top w:val="none" w:sz="0" w:space="0" w:color="auto"/>
            <w:left w:val="none" w:sz="0" w:space="0" w:color="auto"/>
            <w:bottom w:val="none" w:sz="0" w:space="0" w:color="auto"/>
            <w:right w:val="none" w:sz="0" w:space="0" w:color="auto"/>
          </w:divBdr>
          <w:divsChild>
            <w:div w:id="826169323">
              <w:marLeft w:val="0"/>
              <w:marRight w:val="0"/>
              <w:marTop w:val="0"/>
              <w:marBottom w:val="0"/>
              <w:divBdr>
                <w:top w:val="none" w:sz="0" w:space="0" w:color="auto"/>
                <w:left w:val="none" w:sz="0" w:space="0" w:color="auto"/>
                <w:bottom w:val="none" w:sz="0" w:space="0" w:color="auto"/>
                <w:right w:val="none" w:sz="0" w:space="0" w:color="auto"/>
              </w:divBdr>
            </w:div>
          </w:divsChild>
        </w:div>
        <w:div w:id="1931549334">
          <w:marLeft w:val="0"/>
          <w:marRight w:val="0"/>
          <w:marTop w:val="0"/>
          <w:marBottom w:val="0"/>
          <w:divBdr>
            <w:top w:val="none" w:sz="0" w:space="0" w:color="auto"/>
            <w:left w:val="none" w:sz="0" w:space="0" w:color="auto"/>
            <w:bottom w:val="none" w:sz="0" w:space="0" w:color="auto"/>
            <w:right w:val="none" w:sz="0" w:space="0" w:color="auto"/>
          </w:divBdr>
          <w:divsChild>
            <w:div w:id="927689328">
              <w:marLeft w:val="0"/>
              <w:marRight w:val="0"/>
              <w:marTop w:val="0"/>
              <w:marBottom w:val="0"/>
              <w:divBdr>
                <w:top w:val="none" w:sz="0" w:space="0" w:color="auto"/>
                <w:left w:val="none" w:sz="0" w:space="0" w:color="auto"/>
                <w:bottom w:val="none" w:sz="0" w:space="0" w:color="auto"/>
                <w:right w:val="none" w:sz="0" w:space="0" w:color="auto"/>
              </w:divBdr>
            </w:div>
          </w:divsChild>
        </w:div>
        <w:div w:id="1579827398">
          <w:marLeft w:val="0"/>
          <w:marRight w:val="0"/>
          <w:marTop w:val="0"/>
          <w:marBottom w:val="0"/>
          <w:divBdr>
            <w:top w:val="none" w:sz="0" w:space="0" w:color="auto"/>
            <w:left w:val="none" w:sz="0" w:space="0" w:color="auto"/>
            <w:bottom w:val="none" w:sz="0" w:space="0" w:color="auto"/>
            <w:right w:val="none" w:sz="0" w:space="0" w:color="auto"/>
          </w:divBdr>
          <w:divsChild>
            <w:div w:id="985548897">
              <w:marLeft w:val="0"/>
              <w:marRight w:val="0"/>
              <w:marTop w:val="0"/>
              <w:marBottom w:val="0"/>
              <w:divBdr>
                <w:top w:val="none" w:sz="0" w:space="0" w:color="auto"/>
                <w:left w:val="none" w:sz="0" w:space="0" w:color="auto"/>
                <w:bottom w:val="none" w:sz="0" w:space="0" w:color="auto"/>
                <w:right w:val="none" w:sz="0" w:space="0" w:color="auto"/>
              </w:divBdr>
            </w:div>
          </w:divsChild>
        </w:div>
        <w:div w:id="824395974">
          <w:marLeft w:val="0"/>
          <w:marRight w:val="0"/>
          <w:marTop w:val="0"/>
          <w:marBottom w:val="0"/>
          <w:divBdr>
            <w:top w:val="none" w:sz="0" w:space="0" w:color="auto"/>
            <w:left w:val="none" w:sz="0" w:space="0" w:color="auto"/>
            <w:bottom w:val="none" w:sz="0" w:space="0" w:color="auto"/>
            <w:right w:val="none" w:sz="0" w:space="0" w:color="auto"/>
          </w:divBdr>
          <w:divsChild>
            <w:div w:id="855967032">
              <w:marLeft w:val="0"/>
              <w:marRight w:val="0"/>
              <w:marTop w:val="0"/>
              <w:marBottom w:val="0"/>
              <w:divBdr>
                <w:top w:val="none" w:sz="0" w:space="0" w:color="auto"/>
                <w:left w:val="none" w:sz="0" w:space="0" w:color="auto"/>
                <w:bottom w:val="none" w:sz="0" w:space="0" w:color="auto"/>
                <w:right w:val="none" w:sz="0" w:space="0" w:color="auto"/>
              </w:divBdr>
            </w:div>
          </w:divsChild>
        </w:div>
        <w:div w:id="449595986">
          <w:marLeft w:val="0"/>
          <w:marRight w:val="0"/>
          <w:marTop w:val="0"/>
          <w:marBottom w:val="0"/>
          <w:divBdr>
            <w:top w:val="none" w:sz="0" w:space="0" w:color="auto"/>
            <w:left w:val="none" w:sz="0" w:space="0" w:color="auto"/>
            <w:bottom w:val="none" w:sz="0" w:space="0" w:color="auto"/>
            <w:right w:val="none" w:sz="0" w:space="0" w:color="auto"/>
          </w:divBdr>
          <w:divsChild>
            <w:div w:id="974218948">
              <w:marLeft w:val="0"/>
              <w:marRight w:val="0"/>
              <w:marTop w:val="0"/>
              <w:marBottom w:val="0"/>
              <w:divBdr>
                <w:top w:val="none" w:sz="0" w:space="0" w:color="auto"/>
                <w:left w:val="none" w:sz="0" w:space="0" w:color="auto"/>
                <w:bottom w:val="none" w:sz="0" w:space="0" w:color="auto"/>
                <w:right w:val="none" w:sz="0" w:space="0" w:color="auto"/>
              </w:divBdr>
            </w:div>
          </w:divsChild>
        </w:div>
        <w:div w:id="1150682121">
          <w:marLeft w:val="0"/>
          <w:marRight w:val="0"/>
          <w:marTop w:val="0"/>
          <w:marBottom w:val="0"/>
          <w:divBdr>
            <w:top w:val="none" w:sz="0" w:space="0" w:color="auto"/>
            <w:left w:val="none" w:sz="0" w:space="0" w:color="auto"/>
            <w:bottom w:val="none" w:sz="0" w:space="0" w:color="auto"/>
            <w:right w:val="none" w:sz="0" w:space="0" w:color="auto"/>
          </w:divBdr>
          <w:divsChild>
            <w:div w:id="1033967513">
              <w:marLeft w:val="0"/>
              <w:marRight w:val="0"/>
              <w:marTop w:val="0"/>
              <w:marBottom w:val="0"/>
              <w:divBdr>
                <w:top w:val="none" w:sz="0" w:space="0" w:color="auto"/>
                <w:left w:val="none" w:sz="0" w:space="0" w:color="auto"/>
                <w:bottom w:val="none" w:sz="0" w:space="0" w:color="auto"/>
                <w:right w:val="none" w:sz="0" w:space="0" w:color="auto"/>
              </w:divBdr>
            </w:div>
          </w:divsChild>
        </w:div>
        <w:div w:id="1159274513">
          <w:marLeft w:val="0"/>
          <w:marRight w:val="0"/>
          <w:marTop w:val="0"/>
          <w:marBottom w:val="0"/>
          <w:divBdr>
            <w:top w:val="none" w:sz="0" w:space="0" w:color="auto"/>
            <w:left w:val="none" w:sz="0" w:space="0" w:color="auto"/>
            <w:bottom w:val="none" w:sz="0" w:space="0" w:color="auto"/>
            <w:right w:val="none" w:sz="0" w:space="0" w:color="auto"/>
          </w:divBdr>
          <w:divsChild>
            <w:div w:id="1032153527">
              <w:marLeft w:val="0"/>
              <w:marRight w:val="0"/>
              <w:marTop w:val="0"/>
              <w:marBottom w:val="0"/>
              <w:divBdr>
                <w:top w:val="none" w:sz="0" w:space="0" w:color="auto"/>
                <w:left w:val="none" w:sz="0" w:space="0" w:color="auto"/>
                <w:bottom w:val="none" w:sz="0" w:space="0" w:color="auto"/>
                <w:right w:val="none" w:sz="0" w:space="0" w:color="auto"/>
              </w:divBdr>
            </w:div>
          </w:divsChild>
        </w:div>
        <w:div w:id="348718384">
          <w:marLeft w:val="0"/>
          <w:marRight w:val="0"/>
          <w:marTop w:val="0"/>
          <w:marBottom w:val="0"/>
          <w:divBdr>
            <w:top w:val="none" w:sz="0" w:space="0" w:color="auto"/>
            <w:left w:val="none" w:sz="0" w:space="0" w:color="auto"/>
            <w:bottom w:val="none" w:sz="0" w:space="0" w:color="auto"/>
            <w:right w:val="none" w:sz="0" w:space="0" w:color="auto"/>
          </w:divBdr>
          <w:divsChild>
            <w:div w:id="2077896721">
              <w:marLeft w:val="0"/>
              <w:marRight w:val="0"/>
              <w:marTop w:val="0"/>
              <w:marBottom w:val="0"/>
              <w:divBdr>
                <w:top w:val="none" w:sz="0" w:space="0" w:color="auto"/>
                <w:left w:val="none" w:sz="0" w:space="0" w:color="auto"/>
                <w:bottom w:val="none" w:sz="0" w:space="0" w:color="auto"/>
                <w:right w:val="none" w:sz="0" w:space="0" w:color="auto"/>
              </w:divBdr>
            </w:div>
          </w:divsChild>
        </w:div>
        <w:div w:id="348915587">
          <w:marLeft w:val="0"/>
          <w:marRight w:val="0"/>
          <w:marTop w:val="0"/>
          <w:marBottom w:val="0"/>
          <w:divBdr>
            <w:top w:val="none" w:sz="0" w:space="0" w:color="auto"/>
            <w:left w:val="none" w:sz="0" w:space="0" w:color="auto"/>
            <w:bottom w:val="none" w:sz="0" w:space="0" w:color="auto"/>
            <w:right w:val="none" w:sz="0" w:space="0" w:color="auto"/>
          </w:divBdr>
          <w:divsChild>
            <w:div w:id="1738551904">
              <w:marLeft w:val="0"/>
              <w:marRight w:val="0"/>
              <w:marTop w:val="0"/>
              <w:marBottom w:val="0"/>
              <w:divBdr>
                <w:top w:val="none" w:sz="0" w:space="0" w:color="auto"/>
                <w:left w:val="none" w:sz="0" w:space="0" w:color="auto"/>
                <w:bottom w:val="none" w:sz="0" w:space="0" w:color="auto"/>
                <w:right w:val="none" w:sz="0" w:space="0" w:color="auto"/>
              </w:divBdr>
            </w:div>
          </w:divsChild>
        </w:div>
        <w:div w:id="92096879">
          <w:marLeft w:val="0"/>
          <w:marRight w:val="0"/>
          <w:marTop w:val="0"/>
          <w:marBottom w:val="0"/>
          <w:divBdr>
            <w:top w:val="none" w:sz="0" w:space="0" w:color="auto"/>
            <w:left w:val="none" w:sz="0" w:space="0" w:color="auto"/>
            <w:bottom w:val="none" w:sz="0" w:space="0" w:color="auto"/>
            <w:right w:val="none" w:sz="0" w:space="0" w:color="auto"/>
          </w:divBdr>
          <w:divsChild>
            <w:div w:id="292297366">
              <w:marLeft w:val="0"/>
              <w:marRight w:val="0"/>
              <w:marTop w:val="0"/>
              <w:marBottom w:val="0"/>
              <w:divBdr>
                <w:top w:val="none" w:sz="0" w:space="0" w:color="auto"/>
                <w:left w:val="none" w:sz="0" w:space="0" w:color="auto"/>
                <w:bottom w:val="none" w:sz="0" w:space="0" w:color="auto"/>
                <w:right w:val="none" w:sz="0" w:space="0" w:color="auto"/>
              </w:divBdr>
            </w:div>
          </w:divsChild>
        </w:div>
        <w:div w:id="1910118773">
          <w:marLeft w:val="0"/>
          <w:marRight w:val="0"/>
          <w:marTop w:val="0"/>
          <w:marBottom w:val="0"/>
          <w:divBdr>
            <w:top w:val="none" w:sz="0" w:space="0" w:color="auto"/>
            <w:left w:val="none" w:sz="0" w:space="0" w:color="auto"/>
            <w:bottom w:val="none" w:sz="0" w:space="0" w:color="auto"/>
            <w:right w:val="none" w:sz="0" w:space="0" w:color="auto"/>
          </w:divBdr>
          <w:divsChild>
            <w:div w:id="57166566">
              <w:marLeft w:val="0"/>
              <w:marRight w:val="0"/>
              <w:marTop w:val="0"/>
              <w:marBottom w:val="0"/>
              <w:divBdr>
                <w:top w:val="none" w:sz="0" w:space="0" w:color="auto"/>
                <w:left w:val="none" w:sz="0" w:space="0" w:color="auto"/>
                <w:bottom w:val="none" w:sz="0" w:space="0" w:color="auto"/>
                <w:right w:val="none" w:sz="0" w:space="0" w:color="auto"/>
              </w:divBdr>
            </w:div>
          </w:divsChild>
        </w:div>
        <w:div w:id="1271813781">
          <w:marLeft w:val="0"/>
          <w:marRight w:val="0"/>
          <w:marTop w:val="0"/>
          <w:marBottom w:val="0"/>
          <w:divBdr>
            <w:top w:val="none" w:sz="0" w:space="0" w:color="auto"/>
            <w:left w:val="none" w:sz="0" w:space="0" w:color="auto"/>
            <w:bottom w:val="none" w:sz="0" w:space="0" w:color="auto"/>
            <w:right w:val="none" w:sz="0" w:space="0" w:color="auto"/>
          </w:divBdr>
          <w:divsChild>
            <w:div w:id="1241983821">
              <w:marLeft w:val="0"/>
              <w:marRight w:val="0"/>
              <w:marTop w:val="0"/>
              <w:marBottom w:val="0"/>
              <w:divBdr>
                <w:top w:val="none" w:sz="0" w:space="0" w:color="auto"/>
                <w:left w:val="none" w:sz="0" w:space="0" w:color="auto"/>
                <w:bottom w:val="none" w:sz="0" w:space="0" w:color="auto"/>
                <w:right w:val="none" w:sz="0" w:space="0" w:color="auto"/>
              </w:divBdr>
            </w:div>
          </w:divsChild>
        </w:div>
        <w:div w:id="234318103">
          <w:marLeft w:val="0"/>
          <w:marRight w:val="0"/>
          <w:marTop w:val="0"/>
          <w:marBottom w:val="0"/>
          <w:divBdr>
            <w:top w:val="none" w:sz="0" w:space="0" w:color="auto"/>
            <w:left w:val="none" w:sz="0" w:space="0" w:color="auto"/>
            <w:bottom w:val="none" w:sz="0" w:space="0" w:color="auto"/>
            <w:right w:val="none" w:sz="0" w:space="0" w:color="auto"/>
          </w:divBdr>
          <w:divsChild>
            <w:div w:id="1263101322">
              <w:marLeft w:val="0"/>
              <w:marRight w:val="0"/>
              <w:marTop w:val="0"/>
              <w:marBottom w:val="0"/>
              <w:divBdr>
                <w:top w:val="none" w:sz="0" w:space="0" w:color="auto"/>
                <w:left w:val="none" w:sz="0" w:space="0" w:color="auto"/>
                <w:bottom w:val="none" w:sz="0" w:space="0" w:color="auto"/>
                <w:right w:val="none" w:sz="0" w:space="0" w:color="auto"/>
              </w:divBdr>
            </w:div>
          </w:divsChild>
        </w:div>
        <w:div w:id="1996641708">
          <w:marLeft w:val="0"/>
          <w:marRight w:val="0"/>
          <w:marTop w:val="0"/>
          <w:marBottom w:val="0"/>
          <w:divBdr>
            <w:top w:val="none" w:sz="0" w:space="0" w:color="auto"/>
            <w:left w:val="none" w:sz="0" w:space="0" w:color="auto"/>
            <w:bottom w:val="none" w:sz="0" w:space="0" w:color="auto"/>
            <w:right w:val="none" w:sz="0" w:space="0" w:color="auto"/>
          </w:divBdr>
          <w:divsChild>
            <w:div w:id="1494567831">
              <w:marLeft w:val="0"/>
              <w:marRight w:val="0"/>
              <w:marTop w:val="0"/>
              <w:marBottom w:val="0"/>
              <w:divBdr>
                <w:top w:val="none" w:sz="0" w:space="0" w:color="auto"/>
                <w:left w:val="none" w:sz="0" w:space="0" w:color="auto"/>
                <w:bottom w:val="none" w:sz="0" w:space="0" w:color="auto"/>
                <w:right w:val="none" w:sz="0" w:space="0" w:color="auto"/>
              </w:divBdr>
            </w:div>
          </w:divsChild>
        </w:div>
        <w:div w:id="1778284224">
          <w:marLeft w:val="0"/>
          <w:marRight w:val="0"/>
          <w:marTop w:val="0"/>
          <w:marBottom w:val="0"/>
          <w:divBdr>
            <w:top w:val="none" w:sz="0" w:space="0" w:color="auto"/>
            <w:left w:val="none" w:sz="0" w:space="0" w:color="auto"/>
            <w:bottom w:val="none" w:sz="0" w:space="0" w:color="auto"/>
            <w:right w:val="none" w:sz="0" w:space="0" w:color="auto"/>
          </w:divBdr>
          <w:divsChild>
            <w:div w:id="349648839">
              <w:marLeft w:val="0"/>
              <w:marRight w:val="0"/>
              <w:marTop w:val="0"/>
              <w:marBottom w:val="0"/>
              <w:divBdr>
                <w:top w:val="none" w:sz="0" w:space="0" w:color="auto"/>
                <w:left w:val="none" w:sz="0" w:space="0" w:color="auto"/>
                <w:bottom w:val="none" w:sz="0" w:space="0" w:color="auto"/>
                <w:right w:val="none" w:sz="0" w:space="0" w:color="auto"/>
              </w:divBdr>
            </w:div>
          </w:divsChild>
        </w:div>
        <w:div w:id="834733469">
          <w:marLeft w:val="0"/>
          <w:marRight w:val="0"/>
          <w:marTop w:val="0"/>
          <w:marBottom w:val="0"/>
          <w:divBdr>
            <w:top w:val="none" w:sz="0" w:space="0" w:color="auto"/>
            <w:left w:val="none" w:sz="0" w:space="0" w:color="auto"/>
            <w:bottom w:val="none" w:sz="0" w:space="0" w:color="auto"/>
            <w:right w:val="none" w:sz="0" w:space="0" w:color="auto"/>
          </w:divBdr>
          <w:divsChild>
            <w:div w:id="2061204990">
              <w:marLeft w:val="0"/>
              <w:marRight w:val="0"/>
              <w:marTop w:val="0"/>
              <w:marBottom w:val="0"/>
              <w:divBdr>
                <w:top w:val="none" w:sz="0" w:space="0" w:color="auto"/>
                <w:left w:val="none" w:sz="0" w:space="0" w:color="auto"/>
                <w:bottom w:val="none" w:sz="0" w:space="0" w:color="auto"/>
                <w:right w:val="none" w:sz="0" w:space="0" w:color="auto"/>
              </w:divBdr>
            </w:div>
          </w:divsChild>
        </w:div>
        <w:div w:id="1322198869">
          <w:marLeft w:val="0"/>
          <w:marRight w:val="0"/>
          <w:marTop w:val="0"/>
          <w:marBottom w:val="0"/>
          <w:divBdr>
            <w:top w:val="none" w:sz="0" w:space="0" w:color="auto"/>
            <w:left w:val="none" w:sz="0" w:space="0" w:color="auto"/>
            <w:bottom w:val="none" w:sz="0" w:space="0" w:color="auto"/>
            <w:right w:val="none" w:sz="0" w:space="0" w:color="auto"/>
          </w:divBdr>
          <w:divsChild>
            <w:div w:id="849370581">
              <w:marLeft w:val="0"/>
              <w:marRight w:val="0"/>
              <w:marTop w:val="0"/>
              <w:marBottom w:val="0"/>
              <w:divBdr>
                <w:top w:val="none" w:sz="0" w:space="0" w:color="auto"/>
                <w:left w:val="none" w:sz="0" w:space="0" w:color="auto"/>
                <w:bottom w:val="none" w:sz="0" w:space="0" w:color="auto"/>
                <w:right w:val="none" w:sz="0" w:space="0" w:color="auto"/>
              </w:divBdr>
            </w:div>
          </w:divsChild>
        </w:div>
        <w:div w:id="349256449">
          <w:marLeft w:val="0"/>
          <w:marRight w:val="0"/>
          <w:marTop w:val="0"/>
          <w:marBottom w:val="0"/>
          <w:divBdr>
            <w:top w:val="none" w:sz="0" w:space="0" w:color="auto"/>
            <w:left w:val="none" w:sz="0" w:space="0" w:color="auto"/>
            <w:bottom w:val="none" w:sz="0" w:space="0" w:color="auto"/>
            <w:right w:val="none" w:sz="0" w:space="0" w:color="auto"/>
          </w:divBdr>
          <w:divsChild>
            <w:div w:id="2059042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835073645">
      <w:bodyDiv w:val="1"/>
      <w:marLeft w:val="0"/>
      <w:marRight w:val="0"/>
      <w:marTop w:val="0"/>
      <w:marBottom w:val="0"/>
      <w:divBdr>
        <w:top w:val="none" w:sz="0" w:space="0" w:color="auto"/>
        <w:left w:val="none" w:sz="0" w:space="0" w:color="auto"/>
        <w:bottom w:val="none" w:sz="0" w:space="0" w:color="auto"/>
        <w:right w:val="none" w:sz="0" w:space="0" w:color="auto"/>
      </w:divBdr>
      <w:divsChild>
        <w:div w:id="1257708741">
          <w:marLeft w:val="0"/>
          <w:marRight w:val="0"/>
          <w:marTop w:val="0"/>
          <w:marBottom w:val="0"/>
          <w:divBdr>
            <w:top w:val="none" w:sz="0" w:space="0" w:color="auto"/>
            <w:left w:val="none" w:sz="0" w:space="0" w:color="auto"/>
            <w:bottom w:val="none" w:sz="0" w:space="0" w:color="auto"/>
            <w:right w:val="none" w:sz="0" w:space="0" w:color="auto"/>
          </w:divBdr>
          <w:divsChild>
            <w:div w:id="1111586719">
              <w:marLeft w:val="0"/>
              <w:marRight w:val="0"/>
              <w:marTop w:val="0"/>
              <w:marBottom w:val="0"/>
              <w:divBdr>
                <w:top w:val="none" w:sz="0" w:space="0" w:color="auto"/>
                <w:left w:val="none" w:sz="0" w:space="0" w:color="auto"/>
                <w:bottom w:val="none" w:sz="0" w:space="0" w:color="auto"/>
                <w:right w:val="none" w:sz="0" w:space="0" w:color="auto"/>
              </w:divBdr>
              <w:divsChild>
                <w:div w:id="375937192">
                  <w:marLeft w:val="0"/>
                  <w:marRight w:val="0"/>
                  <w:marTop w:val="0"/>
                  <w:marBottom w:val="0"/>
                  <w:divBdr>
                    <w:top w:val="none" w:sz="0" w:space="0" w:color="auto"/>
                    <w:left w:val="none" w:sz="0" w:space="0" w:color="auto"/>
                    <w:bottom w:val="none" w:sz="0" w:space="0" w:color="auto"/>
                    <w:right w:val="none" w:sz="0" w:space="0" w:color="auto"/>
                  </w:divBdr>
                </w:div>
                <w:div w:id="1231383664">
                  <w:marLeft w:val="0"/>
                  <w:marRight w:val="0"/>
                  <w:marTop w:val="0"/>
                  <w:marBottom w:val="0"/>
                  <w:divBdr>
                    <w:top w:val="none" w:sz="0" w:space="0" w:color="auto"/>
                    <w:left w:val="none" w:sz="0" w:space="0" w:color="auto"/>
                    <w:bottom w:val="none" w:sz="0" w:space="0" w:color="auto"/>
                    <w:right w:val="none" w:sz="0" w:space="0" w:color="auto"/>
                  </w:divBdr>
                </w:div>
                <w:div w:id="6702573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66180203">
          <w:marLeft w:val="0"/>
          <w:marRight w:val="0"/>
          <w:marTop w:val="0"/>
          <w:marBottom w:val="0"/>
          <w:divBdr>
            <w:top w:val="none" w:sz="0" w:space="0" w:color="auto"/>
            <w:left w:val="none" w:sz="0" w:space="0" w:color="auto"/>
            <w:bottom w:val="none" w:sz="0" w:space="0" w:color="auto"/>
            <w:right w:val="none" w:sz="0" w:space="0" w:color="auto"/>
          </w:divBdr>
          <w:divsChild>
            <w:div w:id="1951937598">
              <w:marLeft w:val="0"/>
              <w:marRight w:val="0"/>
              <w:marTop w:val="360"/>
              <w:marBottom w:val="0"/>
              <w:divBdr>
                <w:top w:val="none" w:sz="0" w:space="0" w:color="auto"/>
                <w:left w:val="none" w:sz="0" w:space="0" w:color="auto"/>
                <w:bottom w:val="none" w:sz="0" w:space="0" w:color="auto"/>
                <w:right w:val="none" w:sz="0" w:space="0" w:color="auto"/>
              </w:divBdr>
              <w:divsChild>
                <w:div w:id="1096444169">
                  <w:marLeft w:val="0"/>
                  <w:marRight w:val="0"/>
                  <w:marTop w:val="0"/>
                  <w:marBottom w:val="0"/>
                  <w:divBdr>
                    <w:top w:val="none" w:sz="0" w:space="0" w:color="auto"/>
                    <w:left w:val="none" w:sz="0" w:space="0" w:color="auto"/>
                    <w:bottom w:val="none" w:sz="0" w:space="0" w:color="auto"/>
                    <w:right w:val="none" w:sz="0" w:space="0" w:color="auto"/>
                  </w:divBdr>
                </w:div>
                <w:div w:id="846794647">
                  <w:marLeft w:val="0"/>
                  <w:marRight w:val="0"/>
                  <w:marTop w:val="0"/>
                  <w:marBottom w:val="0"/>
                  <w:divBdr>
                    <w:top w:val="none" w:sz="0" w:space="0" w:color="auto"/>
                    <w:left w:val="none" w:sz="0" w:space="0" w:color="auto"/>
                    <w:bottom w:val="none" w:sz="0" w:space="0" w:color="auto"/>
                    <w:right w:val="none" w:sz="0" w:space="0" w:color="auto"/>
                  </w:divBdr>
                </w:div>
                <w:div w:id="451170492">
                  <w:marLeft w:val="0"/>
                  <w:marRight w:val="0"/>
                  <w:marTop w:val="0"/>
                  <w:marBottom w:val="0"/>
                  <w:divBdr>
                    <w:top w:val="none" w:sz="0" w:space="0" w:color="auto"/>
                    <w:left w:val="none" w:sz="0" w:space="0" w:color="auto"/>
                    <w:bottom w:val="none" w:sz="0" w:space="0" w:color="auto"/>
                    <w:right w:val="none" w:sz="0" w:space="0" w:color="auto"/>
                  </w:divBdr>
                </w:div>
                <w:div w:id="1864126857">
                  <w:marLeft w:val="0"/>
                  <w:marRight w:val="0"/>
                  <w:marTop w:val="0"/>
                  <w:marBottom w:val="0"/>
                  <w:divBdr>
                    <w:top w:val="none" w:sz="0" w:space="0" w:color="auto"/>
                    <w:left w:val="none" w:sz="0" w:space="0" w:color="auto"/>
                    <w:bottom w:val="none" w:sz="0" w:space="0" w:color="auto"/>
                    <w:right w:val="none" w:sz="0" w:space="0" w:color="auto"/>
                  </w:divBdr>
                </w:div>
                <w:div w:id="290983490">
                  <w:marLeft w:val="0"/>
                  <w:marRight w:val="0"/>
                  <w:marTop w:val="0"/>
                  <w:marBottom w:val="0"/>
                  <w:divBdr>
                    <w:top w:val="none" w:sz="0" w:space="0" w:color="auto"/>
                    <w:left w:val="none" w:sz="0" w:space="0" w:color="auto"/>
                    <w:bottom w:val="none" w:sz="0" w:space="0" w:color="auto"/>
                    <w:right w:val="none" w:sz="0" w:space="0" w:color="auto"/>
                  </w:divBdr>
                </w:div>
                <w:div w:id="336155349">
                  <w:marLeft w:val="0"/>
                  <w:marRight w:val="0"/>
                  <w:marTop w:val="0"/>
                  <w:marBottom w:val="0"/>
                  <w:divBdr>
                    <w:top w:val="none" w:sz="0" w:space="0" w:color="auto"/>
                    <w:left w:val="none" w:sz="0" w:space="0" w:color="auto"/>
                    <w:bottom w:val="none" w:sz="0" w:space="0" w:color="auto"/>
                    <w:right w:val="none" w:sz="0" w:space="0" w:color="auto"/>
                  </w:divBdr>
                </w:div>
                <w:div w:id="1731883219">
                  <w:marLeft w:val="0"/>
                  <w:marRight w:val="0"/>
                  <w:marTop w:val="240"/>
                  <w:marBottom w:val="240"/>
                  <w:divBdr>
                    <w:top w:val="none" w:sz="0" w:space="0" w:color="auto"/>
                    <w:left w:val="none" w:sz="0" w:space="0" w:color="auto"/>
                    <w:bottom w:val="none" w:sz="0" w:space="0" w:color="auto"/>
                    <w:right w:val="none" w:sz="0" w:space="0" w:color="auto"/>
                  </w:divBdr>
                  <w:divsChild>
                    <w:div w:id="1698581979">
                      <w:marLeft w:val="104"/>
                      <w:marRight w:val="207"/>
                      <w:marTop w:val="240"/>
                      <w:marBottom w:val="240"/>
                      <w:divBdr>
                        <w:top w:val="none" w:sz="0" w:space="0" w:color="auto"/>
                        <w:left w:val="none" w:sz="0" w:space="0" w:color="auto"/>
                        <w:bottom w:val="none" w:sz="0" w:space="0" w:color="auto"/>
                        <w:right w:val="none" w:sz="0" w:space="0" w:color="auto"/>
                      </w:divBdr>
                      <w:divsChild>
                        <w:div w:id="139627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05274">
                  <w:marLeft w:val="0"/>
                  <w:marRight w:val="0"/>
                  <w:marTop w:val="0"/>
                  <w:marBottom w:val="0"/>
                  <w:divBdr>
                    <w:top w:val="none" w:sz="0" w:space="0" w:color="auto"/>
                    <w:left w:val="none" w:sz="0" w:space="0" w:color="auto"/>
                    <w:bottom w:val="none" w:sz="0" w:space="0" w:color="auto"/>
                    <w:right w:val="none" w:sz="0" w:space="0" w:color="auto"/>
                  </w:divBdr>
                </w:div>
                <w:div w:id="2317719">
                  <w:marLeft w:val="0"/>
                  <w:marRight w:val="0"/>
                  <w:marTop w:val="0"/>
                  <w:marBottom w:val="0"/>
                  <w:divBdr>
                    <w:top w:val="none" w:sz="0" w:space="0" w:color="auto"/>
                    <w:left w:val="none" w:sz="0" w:space="0" w:color="auto"/>
                    <w:bottom w:val="none" w:sz="0" w:space="0" w:color="auto"/>
                    <w:right w:val="none" w:sz="0" w:space="0" w:color="auto"/>
                  </w:divBdr>
                </w:div>
                <w:div w:id="409695064">
                  <w:marLeft w:val="0"/>
                  <w:marRight w:val="0"/>
                  <w:marTop w:val="0"/>
                  <w:marBottom w:val="0"/>
                  <w:divBdr>
                    <w:top w:val="none" w:sz="0" w:space="0" w:color="auto"/>
                    <w:left w:val="none" w:sz="0" w:space="0" w:color="auto"/>
                    <w:bottom w:val="none" w:sz="0" w:space="0" w:color="auto"/>
                    <w:right w:val="none" w:sz="0" w:space="0" w:color="auto"/>
                  </w:divBdr>
                </w:div>
                <w:div w:id="314340198">
                  <w:marLeft w:val="0"/>
                  <w:marRight w:val="0"/>
                  <w:marTop w:val="0"/>
                  <w:marBottom w:val="0"/>
                  <w:divBdr>
                    <w:top w:val="none" w:sz="0" w:space="0" w:color="auto"/>
                    <w:left w:val="none" w:sz="0" w:space="0" w:color="auto"/>
                    <w:bottom w:val="none" w:sz="0" w:space="0" w:color="auto"/>
                    <w:right w:val="none" w:sz="0" w:space="0" w:color="auto"/>
                  </w:divBdr>
                </w:div>
                <w:div w:id="1778909203">
                  <w:marLeft w:val="0"/>
                  <w:marRight w:val="0"/>
                  <w:marTop w:val="240"/>
                  <w:marBottom w:val="240"/>
                  <w:divBdr>
                    <w:top w:val="none" w:sz="0" w:space="0" w:color="auto"/>
                    <w:left w:val="none" w:sz="0" w:space="0" w:color="auto"/>
                    <w:bottom w:val="none" w:sz="0" w:space="0" w:color="auto"/>
                    <w:right w:val="none" w:sz="0" w:space="0" w:color="auto"/>
                  </w:divBdr>
                  <w:divsChild>
                    <w:div w:id="1366829465">
                      <w:marLeft w:val="104"/>
                      <w:marRight w:val="207"/>
                      <w:marTop w:val="240"/>
                      <w:marBottom w:val="240"/>
                      <w:divBdr>
                        <w:top w:val="none" w:sz="0" w:space="0" w:color="auto"/>
                        <w:left w:val="none" w:sz="0" w:space="0" w:color="auto"/>
                        <w:bottom w:val="none" w:sz="0" w:space="0" w:color="auto"/>
                        <w:right w:val="none" w:sz="0" w:space="0" w:color="auto"/>
                      </w:divBdr>
                      <w:divsChild>
                        <w:div w:id="11891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297422">
                  <w:marLeft w:val="0"/>
                  <w:marRight w:val="0"/>
                  <w:marTop w:val="0"/>
                  <w:marBottom w:val="0"/>
                  <w:divBdr>
                    <w:top w:val="none" w:sz="0" w:space="0" w:color="auto"/>
                    <w:left w:val="none" w:sz="0" w:space="0" w:color="auto"/>
                    <w:bottom w:val="none" w:sz="0" w:space="0" w:color="auto"/>
                    <w:right w:val="none" w:sz="0" w:space="0" w:color="auto"/>
                  </w:divBdr>
                </w:div>
                <w:div w:id="2026128490">
                  <w:marLeft w:val="0"/>
                  <w:marRight w:val="0"/>
                  <w:marTop w:val="0"/>
                  <w:marBottom w:val="0"/>
                  <w:divBdr>
                    <w:top w:val="none" w:sz="0" w:space="0" w:color="auto"/>
                    <w:left w:val="none" w:sz="0" w:space="0" w:color="auto"/>
                    <w:bottom w:val="none" w:sz="0" w:space="0" w:color="auto"/>
                    <w:right w:val="none" w:sz="0" w:space="0" w:color="auto"/>
                  </w:divBdr>
                </w:div>
                <w:div w:id="808323627">
                  <w:marLeft w:val="0"/>
                  <w:marRight w:val="0"/>
                  <w:marTop w:val="240"/>
                  <w:marBottom w:val="240"/>
                  <w:divBdr>
                    <w:top w:val="none" w:sz="0" w:space="0" w:color="auto"/>
                    <w:left w:val="none" w:sz="0" w:space="0" w:color="auto"/>
                    <w:bottom w:val="none" w:sz="0" w:space="0" w:color="auto"/>
                    <w:right w:val="none" w:sz="0" w:space="0" w:color="auto"/>
                  </w:divBdr>
                  <w:divsChild>
                    <w:div w:id="1929804336">
                      <w:marLeft w:val="104"/>
                      <w:marRight w:val="207"/>
                      <w:marTop w:val="240"/>
                      <w:marBottom w:val="240"/>
                      <w:divBdr>
                        <w:top w:val="none" w:sz="0" w:space="0" w:color="auto"/>
                        <w:left w:val="none" w:sz="0" w:space="0" w:color="auto"/>
                        <w:bottom w:val="none" w:sz="0" w:space="0" w:color="auto"/>
                        <w:right w:val="none" w:sz="0" w:space="0" w:color="auto"/>
                      </w:divBdr>
                      <w:divsChild>
                        <w:div w:id="10362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700415">
                  <w:marLeft w:val="0"/>
                  <w:marRight w:val="0"/>
                  <w:marTop w:val="0"/>
                  <w:marBottom w:val="0"/>
                  <w:divBdr>
                    <w:top w:val="none" w:sz="0" w:space="0" w:color="auto"/>
                    <w:left w:val="none" w:sz="0" w:space="0" w:color="auto"/>
                    <w:bottom w:val="none" w:sz="0" w:space="0" w:color="auto"/>
                    <w:right w:val="none" w:sz="0" w:space="0" w:color="auto"/>
                  </w:divBdr>
                </w:div>
                <w:div w:id="486169710">
                  <w:marLeft w:val="0"/>
                  <w:marRight w:val="0"/>
                  <w:marTop w:val="240"/>
                  <w:marBottom w:val="240"/>
                  <w:divBdr>
                    <w:top w:val="none" w:sz="0" w:space="0" w:color="auto"/>
                    <w:left w:val="none" w:sz="0" w:space="0" w:color="auto"/>
                    <w:bottom w:val="none" w:sz="0" w:space="0" w:color="auto"/>
                    <w:right w:val="none" w:sz="0" w:space="0" w:color="auto"/>
                  </w:divBdr>
                  <w:divsChild>
                    <w:div w:id="119609913">
                      <w:marLeft w:val="104"/>
                      <w:marRight w:val="207"/>
                      <w:marTop w:val="240"/>
                      <w:marBottom w:val="240"/>
                      <w:divBdr>
                        <w:top w:val="none" w:sz="0" w:space="0" w:color="auto"/>
                        <w:left w:val="none" w:sz="0" w:space="0" w:color="auto"/>
                        <w:bottom w:val="none" w:sz="0" w:space="0" w:color="auto"/>
                        <w:right w:val="none" w:sz="0" w:space="0" w:color="auto"/>
                      </w:divBdr>
                      <w:divsChild>
                        <w:div w:id="15519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51258">
                  <w:marLeft w:val="0"/>
                  <w:marRight w:val="0"/>
                  <w:marTop w:val="0"/>
                  <w:marBottom w:val="0"/>
                  <w:divBdr>
                    <w:top w:val="none" w:sz="0" w:space="0" w:color="auto"/>
                    <w:left w:val="none" w:sz="0" w:space="0" w:color="auto"/>
                    <w:bottom w:val="none" w:sz="0" w:space="0" w:color="auto"/>
                    <w:right w:val="none" w:sz="0" w:space="0" w:color="auto"/>
                  </w:divBdr>
                </w:div>
                <w:div w:id="1548300457">
                  <w:marLeft w:val="0"/>
                  <w:marRight w:val="0"/>
                  <w:marTop w:val="0"/>
                  <w:marBottom w:val="0"/>
                  <w:divBdr>
                    <w:top w:val="none" w:sz="0" w:space="0" w:color="auto"/>
                    <w:left w:val="none" w:sz="0" w:space="0" w:color="auto"/>
                    <w:bottom w:val="none" w:sz="0" w:space="0" w:color="auto"/>
                    <w:right w:val="none" w:sz="0" w:space="0" w:color="auto"/>
                  </w:divBdr>
                </w:div>
                <w:div w:id="1200313915">
                  <w:marLeft w:val="0"/>
                  <w:marRight w:val="0"/>
                  <w:marTop w:val="0"/>
                  <w:marBottom w:val="0"/>
                  <w:divBdr>
                    <w:top w:val="none" w:sz="0" w:space="0" w:color="auto"/>
                    <w:left w:val="none" w:sz="0" w:space="0" w:color="auto"/>
                    <w:bottom w:val="none" w:sz="0" w:space="0" w:color="auto"/>
                    <w:right w:val="none" w:sz="0" w:space="0" w:color="auto"/>
                  </w:divBdr>
                </w:div>
                <w:div w:id="815296061">
                  <w:marLeft w:val="0"/>
                  <w:marRight w:val="0"/>
                  <w:marTop w:val="0"/>
                  <w:marBottom w:val="0"/>
                  <w:divBdr>
                    <w:top w:val="none" w:sz="0" w:space="0" w:color="auto"/>
                    <w:left w:val="none" w:sz="0" w:space="0" w:color="auto"/>
                    <w:bottom w:val="none" w:sz="0" w:space="0" w:color="auto"/>
                    <w:right w:val="none" w:sz="0" w:space="0" w:color="auto"/>
                  </w:divBdr>
                </w:div>
                <w:div w:id="829442536">
                  <w:marLeft w:val="0"/>
                  <w:marRight w:val="0"/>
                  <w:marTop w:val="0"/>
                  <w:marBottom w:val="0"/>
                  <w:divBdr>
                    <w:top w:val="none" w:sz="0" w:space="0" w:color="auto"/>
                    <w:left w:val="none" w:sz="0" w:space="0" w:color="auto"/>
                    <w:bottom w:val="none" w:sz="0" w:space="0" w:color="auto"/>
                    <w:right w:val="none" w:sz="0" w:space="0" w:color="auto"/>
                  </w:divBdr>
                </w:div>
              </w:divsChild>
            </w:div>
            <w:div w:id="845290910">
              <w:marLeft w:val="0"/>
              <w:marRight w:val="0"/>
              <w:marTop w:val="0"/>
              <w:marBottom w:val="0"/>
              <w:divBdr>
                <w:top w:val="none" w:sz="0" w:space="0" w:color="auto"/>
                <w:left w:val="none" w:sz="0" w:space="0" w:color="auto"/>
                <w:bottom w:val="none" w:sz="0" w:space="0" w:color="auto"/>
                <w:right w:val="none" w:sz="0" w:space="0" w:color="auto"/>
              </w:divBdr>
              <w:divsChild>
                <w:div w:id="1085493396">
                  <w:marLeft w:val="0"/>
                  <w:marRight w:val="0"/>
                  <w:marTop w:val="0"/>
                  <w:marBottom w:val="0"/>
                  <w:divBdr>
                    <w:top w:val="none" w:sz="0" w:space="0" w:color="auto"/>
                    <w:left w:val="none" w:sz="0" w:space="0" w:color="auto"/>
                    <w:bottom w:val="none" w:sz="0" w:space="0" w:color="auto"/>
                    <w:right w:val="none" w:sz="0" w:space="0" w:color="auto"/>
                  </w:divBdr>
                </w:div>
                <w:div w:id="1665088908">
                  <w:marLeft w:val="0"/>
                  <w:marRight w:val="0"/>
                  <w:marTop w:val="0"/>
                  <w:marBottom w:val="0"/>
                  <w:divBdr>
                    <w:top w:val="none" w:sz="0" w:space="0" w:color="auto"/>
                    <w:left w:val="none" w:sz="0" w:space="0" w:color="auto"/>
                    <w:bottom w:val="none" w:sz="0" w:space="0" w:color="auto"/>
                    <w:right w:val="none" w:sz="0" w:space="0" w:color="auto"/>
                  </w:divBdr>
                </w:div>
                <w:div w:id="1099521528">
                  <w:marLeft w:val="0"/>
                  <w:marRight w:val="0"/>
                  <w:marTop w:val="0"/>
                  <w:marBottom w:val="0"/>
                  <w:divBdr>
                    <w:top w:val="none" w:sz="0" w:space="0" w:color="auto"/>
                    <w:left w:val="none" w:sz="0" w:space="0" w:color="auto"/>
                    <w:bottom w:val="none" w:sz="0" w:space="0" w:color="auto"/>
                    <w:right w:val="none" w:sz="0" w:space="0" w:color="auto"/>
                  </w:divBdr>
                </w:div>
                <w:div w:id="647561976">
                  <w:marLeft w:val="0"/>
                  <w:marRight w:val="0"/>
                  <w:marTop w:val="0"/>
                  <w:marBottom w:val="0"/>
                  <w:divBdr>
                    <w:top w:val="none" w:sz="0" w:space="0" w:color="auto"/>
                    <w:left w:val="none" w:sz="0" w:space="0" w:color="auto"/>
                    <w:bottom w:val="none" w:sz="0" w:space="0" w:color="auto"/>
                    <w:right w:val="none" w:sz="0" w:space="0" w:color="auto"/>
                  </w:divBdr>
                </w:div>
                <w:div w:id="2060665048">
                  <w:marLeft w:val="0"/>
                  <w:marRight w:val="0"/>
                  <w:marTop w:val="0"/>
                  <w:marBottom w:val="0"/>
                  <w:divBdr>
                    <w:top w:val="none" w:sz="0" w:space="0" w:color="auto"/>
                    <w:left w:val="none" w:sz="0" w:space="0" w:color="auto"/>
                    <w:bottom w:val="none" w:sz="0" w:space="0" w:color="auto"/>
                    <w:right w:val="none" w:sz="0" w:space="0" w:color="auto"/>
                  </w:divBdr>
                </w:div>
                <w:div w:id="915358867">
                  <w:marLeft w:val="0"/>
                  <w:marRight w:val="0"/>
                  <w:marTop w:val="0"/>
                  <w:marBottom w:val="0"/>
                  <w:divBdr>
                    <w:top w:val="none" w:sz="0" w:space="0" w:color="auto"/>
                    <w:left w:val="none" w:sz="0" w:space="0" w:color="auto"/>
                    <w:bottom w:val="none" w:sz="0" w:space="0" w:color="auto"/>
                    <w:right w:val="none" w:sz="0" w:space="0" w:color="auto"/>
                  </w:divBdr>
                </w:div>
                <w:div w:id="1184443877">
                  <w:marLeft w:val="0"/>
                  <w:marRight w:val="0"/>
                  <w:marTop w:val="0"/>
                  <w:marBottom w:val="0"/>
                  <w:divBdr>
                    <w:top w:val="none" w:sz="0" w:space="0" w:color="auto"/>
                    <w:left w:val="none" w:sz="0" w:space="0" w:color="auto"/>
                    <w:bottom w:val="none" w:sz="0" w:space="0" w:color="auto"/>
                    <w:right w:val="none" w:sz="0" w:space="0" w:color="auto"/>
                  </w:divBdr>
                </w:div>
                <w:div w:id="16692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043361">
      <w:bodyDiv w:val="1"/>
      <w:marLeft w:val="0"/>
      <w:marRight w:val="0"/>
      <w:marTop w:val="0"/>
      <w:marBottom w:val="0"/>
      <w:divBdr>
        <w:top w:val="none" w:sz="0" w:space="0" w:color="auto"/>
        <w:left w:val="none" w:sz="0" w:space="0" w:color="auto"/>
        <w:bottom w:val="none" w:sz="0" w:space="0" w:color="auto"/>
        <w:right w:val="none" w:sz="0" w:space="0" w:color="auto"/>
      </w:divBdr>
      <w:divsChild>
        <w:div w:id="2133863383">
          <w:marLeft w:val="0"/>
          <w:marRight w:val="0"/>
          <w:marTop w:val="0"/>
          <w:marBottom w:val="0"/>
          <w:divBdr>
            <w:top w:val="none" w:sz="0" w:space="0" w:color="auto"/>
            <w:left w:val="none" w:sz="0" w:space="0" w:color="auto"/>
            <w:bottom w:val="single" w:sz="6" w:space="12" w:color="DDDDDD"/>
            <w:right w:val="none" w:sz="0" w:space="0" w:color="auto"/>
          </w:divBdr>
          <w:divsChild>
            <w:div w:id="1067338924">
              <w:marLeft w:val="0"/>
              <w:marRight w:val="0"/>
              <w:marTop w:val="0"/>
              <w:marBottom w:val="0"/>
              <w:divBdr>
                <w:top w:val="none" w:sz="0" w:space="0" w:color="auto"/>
                <w:left w:val="none" w:sz="0" w:space="0" w:color="auto"/>
                <w:bottom w:val="none" w:sz="0" w:space="0" w:color="auto"/>
                <w:right w:val="none" w:sz="0" w:space="0" w:color="auto"/>
              </w:divBdr>
              <w:divsChild>
                <w:div w:id="2011372968">
                  <w:marLeft w:val="0"/>
                  <w:marRight w:val="0"/>
                  <w:marTop w:val="0"/>
                  <w:marBottom w:val="0"/>
                  <w:divBdr>
                    <w:top w:val="none" w:sz="0" w:space="0" w:color="auto"/>
                    <w:left w:val="none" w:sz="0" w:space="0" w:color="auto"/>
                    <w:bottom w:val="none" w:sz="0" w:space="0" w:color="auto"/>
                    <w:right w:val="none" w:sz="0" w:space="0" w:color="auto"/>
                  </w:divBdr>
                  <w:divsChild>
                    <w:div w:id="203464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98657">
          <w:marLeft w:val="0"/>
          <w:marRight w:val="0"/>
          <w:marTop w:val="0"/>
          <w:marBottom w:val="0"/>
          <w:divBdr>
            <w:top w:val="none" w:sz="0" w:space="0" w:color="auto"/>
            <w:left w:val="none" w:sz="0" w:space="0" w:color="auto"/>
            <w:bottom w:val="single" w:sz="6" w:space="12" w:color="DDDDDD"/>
            <w:right w:val="none" w:sz="0" w:space="0" w:color="auto"/>
          </w:divBdr>
          <w:divsChild>
            <w:div w:id="742262916">
              <w:marLeft w:val="0"/>
              <w:marRight w:val="0"/>
              <w:marTop w:val="0"/>
              <w:marBottom w:val="0"/>
              <w:divBdr>
                <w:top w:val="none" w:sz="0" w:space="0" w:color="auto"/>
                <w:left w:val="none" w:sz="0" w:space="0" w:color="auto"/>
                <w:bottom w:val="none" w:sz="0" w:space="0" w:color="auto"/>
                <w:right w:val="none" w:sz="0" w:space="0" w:color="auto"/>
              </w:divBdr>
              <w:divsChild>
                <w:div w:id="621614249">
                  <w:marLeft w:val="0"/>
                  <w:marRight w:val="0"/>
                  <w:marTop w:val="0"/>
                  <w:marBottom w:val="0"/>
                  <w:divBdr>
                    <w:top w:val="none" w:sz="0" w:space="0" w:color="auto"/>
                    <w:left w:val="none" w:sz="0" w:space="0" w:color="auto"/>
                    <w:bottom w:val="none" w:sz="0" w:space="0" w:color="auto"/>
                    <w:right w:val="none" w:sz="0" w:space="0" w:color="auto"/>
                  </w:divBdr>
                  <w:divsChild>
                    <w:div w:id="16266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95323">
          <w:marLeft w:val="0"/>
          <w:marRight w:val="0"/>
          <w:marTop w:val="0"/>
          <w:marBottom w:val="0"/>
          <w:divBdr>
            <w:top w:val="none" w:sz="0" w:space="0" w:color="auto"/>
            <w:left w:val="none" w:sz="0" w:space="0" w:color="auto"/>
            <w:bottom w:val="single" w:sz="6" w:space="12" w:color="DDDDDD"/>
            <w:right w:val="none" w:sz="0" w:space="0" w:color="auto"/>
          </w:divBdr>
          <w:divsChild>
            <w:div w:id="1543444034">
              <w:marLeft w:val="0"/>
              <w:marRight w:val="0"/>
              <w:marTop w:val="0"/>
              <w:marBottom w:val="0"/>
              <w:divBdr>
                <w:top w:val="none" w:sz="0" w:space="0" w:color="auto"/>
                <w:left w:val="none" w:sz="0" w:space="0" w:color="auto"/>
                <w:bottom w:val="none" w:sz="0" w:space="0" w:color="auto"/>
                <w:right w:val="none" w:sz="0" w:space="0" w:color="auto"/>
              </w:divBdr>
              <w:divsChild>
                <w:div w:id="1225720241">
                  <w:marLeft w:val="0"/>
                  <w:marRight w:val="0"/>
                  <w:marTop w:val="0"/>
                  <w:marBottom w:val="0"/>
                  <w:divBdr>
                    <w:top w:val="none" w:sz="0" w:space="0" w:color="auto"/>
                    <w:left w:val="none" w:sz="0" w:space="0" w:color="auto"/>
                    <w:bottom w:val="none" w:sz="0" w:space="0" w:color="auto"/>
                    <w:right w:val="none" w:sz="0" w:space="0" w:color="auto"/>
                  </w:divBdr>
                  <w:divsChild>
                    <w:div w:id="6963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2116">
          <w:marLeft w:val="0"/>
          <w:marRight w:val="0"/>
          <w:marTop w:val="0"/>
          <w:marBottom w:val="0"/>
          <w:divBdr>
            <w:top w:val="none" w:sz="0" w:space="0" w:color="auto"/>
            <w:left w:val="none" w:sz="0" w:space="0" w:color="auto"/>
            <w:bottom w:val="single" w:sz="6" w:space="12" w:color="DDDDDD"/>
            <w:right w:val="none" w:sz="0" w:space="0" w:color="auto"/>
          </w:divBdr>
          <w:divsChild>
            <w:div w:id="894659074">
              <w:marLeft w:val="0"/>
              <w:marRight w:val="0"/>
              <w:marTop w:val="0"/>
              <w:marBottom w:val="0"/>
              <w:divBdr>
                <w:top w:val="none" w:sz="0" w:space="0" w:color="auto"/>
                <w:left w:val="none" w:sz="0" w:space="0" w:color="auto"/>
                <w:bottom w:val="none" w:sz="0" w:space="0" w:color="auto"/>
                <w:right w:val="none" w:sz="0" w:space="0" w:color="auto"/>
              </w:divBdr>
              <w:divsChild>
                <w:div w:id="671957945">
                  <w:marLeft w:val="0"/>
                  <w:marRight w:val="0"/>
                  <w:marTop w:val="0"/>
                  <w:marBottom w:val="0"/>
                  <w:divBdr>
                    <w:top w:val="none" w:sz="0" w:space="0" w:color="auto"/>
                    <w:left w:val="none" w:sz="0" w:space="0" w:color="auto"/>
                    <w:bottom w:val="none" w:sz="0" w:space="0" w:color="auto"/>
                    <w:right w:val="none" w:sz="0" w:space="0" w:color="auto"/>
                  </w:divBdr>
                  <w:divsChild>
                    <w:div w:id="8450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5552">
          <w:marLeft w:val="0"/>
          <w:marRight w:val="0"/>
          <w:marTop w:val="0"/>
          <w:marBottom w:val="0"/>
          <w:divBdr>
            <w:top w:val="none" w:sz="0" w:space="0" w:color="auto"/>
            <w:left w:val="none" w:sz="0" w:space="0" w:color="auto"/>
            <w:bottom w:val="single" w:sz="6" w:space="12" w:color="DDDDDD"/>
            <w:right w:val="none" w:sz="0" w:space="0" w:color="auto"/>
          </w:divBdr>
          <w:divsChild>
            <w:div w:id="1813011960">
              <w:marLeft w:val="0"/>
              <w:marRight w:val="0"/>
              <w:marTop w:val="0"/>
              <w:marBottom w:val="0"/>
              <w:divBdr>
                <w:top w:val="none" w:sz="0" w:space="0" w:color="auto"/>
                <w:left w:val="none" w:sz="0" w:space="0" w:color="auto"/>
                <w:bottom w:val="none" w:sz="0" w:space="0" w:color="auto"/>
                <w:right w:val="none" w:sz="0" w:space="0" w:color="auto"/>
              </w:divBdr>
              <w:divsChild>
                <w:div w:id="1674986020">
                  <w:marLeft w:val="0"/>
                  <w:marRight w:val="0"/>
                  <w:marTop w:val="0"/>
                  <w:marBottom w:val="0"/>
                  <w:divBdr>
                    <w:top w:val="none" w:sz="0" w:space="0" w:color="auto"/>
                    <w:left w:val="none" w:sz="0" w:space="0" w:color="auto"/>
                    <w:bottom w:val="none" w:sz="0" w:space="0" w:color="auto"/>
                    <w:right w:val="none" w:sz="0" w:space="0" w:color="auto"/>
                  </w:divBdr>
                  <w:divsChild>
                    <w:div w:id="270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2108">
          <w:marLeft w:val="0"/>
          <w:marRight w:val="0"/>
          <w:marTop w:val="0"/>
          <w:marBottom w:val="0"/>
          <w:divBdr>
            <w:top w:val="none" w:sz="0" w:space="0" w:color="auto"/>
            <w:left w:val="none" w:sz="0" w:space="0" w:color="auto"/>
            <w:bottom w:val="single" w:sz="6" w:space="12" w:color="DDDDDD"/>
            <w:right w:val="none" w:sz="0" w:space="0" w:color="auto"/>
          </w:divBdr>
          <w:divsChild>
            <w:div w:id="56171088">
              <w:marLeft w:val="0"/>
              <w:marRight w:val="0"/>
              <w:marTop w:val="0"/>
              <w:marBottom w:val="0"/>
              <w:divBdr>
                <w:top w:val="none" w:sz="0" w:space="0" w:color="auto"/>
                <w:left w:val="none" w:sz="0" w:space="0" w:color="auto"/>
                <w:bottom w:val="none" w:sz="0" w:space="0" w:color="auto"/>
                <w:right w:val="none" w:sz="0" w:space="0" w:color="auto"/>
              </w:divBdr>
              <w:divsChild>
                <w:div w:id="1292394606">
                  <w:marLeft w:val="0"/>
                  <w:marRight w:val="0"/>
                  <w:marTop w:val="0"/>
                  <w:marBottom w:val="0"/>
                  <w:divBdr>
                    <w:top w:val="none" w:sz="0" w:space="0" w:color="auto"/>
                    <w:left w:val="none" w:sz="0" w:space="0" w:color="auto"/>
                    <w:bottom w:val="none" w:sz="0" w:space="0" w:color="auto"/>
                    <w:right w:val="none" w:sz="0" w:space="0" w:color="auto"/>
                  </w:divBdr>
                  <w:divsChild>
                    <w:div w:id="1093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0304">
          <w:marLeft w:val="0"/>
          <w:marRight w:val="0"/>
          <w:marTop w:val="0"/>
          <w:marBottom w:val="0"/>
          <w:divBdr>
            <w:top w:val="none" w:sz="0" w:space="0" w:color="auto"/>
            <w:left w:val="none" w:sz="0" w:space="0" w:color="auto"/>
            <w:bottom w:val="single" w:sz="6" w:space="12" w:color="DDDDDD"/>
            <w:right w:val="none" w:sz="0" w:space="0" w:color="auto"/>
          </w:divBdr>
          <w:divsChild>
            <w:div w:id="2044553426">
              <w:marLeft w:val="0"/>
              <w:marRight w:val="0"/>
              <w:marTop w:val="0"/>
              <w:marBottom w:val="0"/>
              <w:divBdr>
                <w:top w:val="none" w:sz="0" w:space="0" w:color="auto"/>
                <w:left w:val="none" w:sz="0" w:space="0" w:color="auto"/>
                <w:bottom w:val="none" w:sz="0" w:space="0" w:color="auto"/>
                <w:right w:val="none" w:sz="0" w:space="0" w:color="auto"/>
              </w:divBdr>
              <w:divsChild>
                <w:div w:id="478691803">
                  <w:marLeft w:val="0"/>
                  <w:marRight w:val="0"/>
                  <w:marTop w:val="0"/>
                  <w:marBottom w:val="0"/>
                  <w:divBdr>
                    <w:top w:val="none" w:sz="0" w:space="0" w:color="auto"/>
                    <w:left w:val="none" w:sz="0" w:space="0" w:color="auto"/>
                    <w:bottom w:val="none" w:sz="0" w:space="0" w:color="auto"/>
                    <w:right w:val="none" w:sz="0" w:space="0" w:color="auto"/>
                  </w:divBdr>
                  <w:divsChild>
                    <w:div w:id="19035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5614">
          <w:marLeft w:val="0"/>
          <w:marRight w:val="0"/>
          <w:marTop w:val="0"/>
          <w:marBottom w:val="0"/>
          <w:divBdr>
            <w:top w:val="none" w:sz="0" w:space="0" w:color="auto"/>
            <w:left w:val="none" w:sz="0" w:space="0" w:color="auto"/>
            <w:bottom w:val="single" w:sz="6" w:space="12" w:color="DDDDDD"/>
            <w:right w:val="none" w:sz="0" w:space="0" w:color="auto"/>
          </w:divBdr>
          <w:divsChild>
            <w:div w:id="1925257858">
              <w:marLeft w:val="0"/>
              <w:marRight w:val="0"/>
              <w:marTop w:val="0"/>
              <w:marBottom w:val="0"/>
              <w:divBdr>
                <w:top w:val="none" w:sz="0" w:space="0" w:color="auto"/>
                <w:left w:val="none" w:sz="0" w:space="0" w:color="auto"/>
                <w:bottom w:val="none" w:sz="0" w:space="0" w:color="auto"/>
                <w:right w:val="none" w:sz="0" w:space="0" w:color="auto"/>
              </w:divBdr>
              <w:divsChild>
                <w:div w:id="872301399">
                  <w:marLeft w:val="0"/>
                  <w:marRight w:val="0"/>
                  <w:marTop w:val="0"/>
                  <w:marBottom w:val="0"/>
                  <w:divBdr>
                    <w:top w:val="none" w:sz="0" w:space="0" w:color="auto"/>
                    <w:left w:val="none" w:sz="0" w:space="0" w:color="auto"/>
                    <w:bottom w:val="none" w:sz="0" w:space="0" w:color="auto"/>
                    <w:right w:val="none" w:sz="0" w:space="0" w:color="auto"/>
                  </w:divBdr>
                  <w:divsChild>
                    <w:div w:id="11253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7749">
          <w:marLeft w:val="0"/>
          <w:marRight w:val="0"/>
          <w:marTop w:val="0"/>
          <w:marBottom w:val="0"/>
          <w:divBdr>
            <w:top w:val="none" w:sz="0" w:space="0" w:color="auto"/>
            <w:left w:val="none" w:sz="0" w:space="0" w:color="auto"/>
            <w:bottom w:val="single" w:sz="6" w:space="12" w:color="DDDDDD"/>
            <w:right w:val="none" w:sz="0" w:space="0" w:color="auto"/>
          </w:divBdr>
          <w:divsChild>
            <w:div w:id="460344327">
              <w:marLeft w:val="0"/>
              <w:marRight w:val="0"/>
              <w:marTop w:val="0"/>
              <w:marBottom w:val="0"/>
              <w:divBdr>
                <w:top w:val="none" w:sz="0" w:space="0" w:color="auto"/>
                <w:left w:val="none" w:sz="0" w:space="0" w:color="auto"/>
                <w:bottom w:val="none" w:sz="0" w:space="0" w:color="auto"/>
                <w:right w:val="none" w:sz="0" w:space="0" w:color="auto"/>
              </w:divBdr>
              <w:divsChild>
                <w:div w:id="1997805043">
                  <w:marLeft w:val="0"/>
                  <w:marRight w:val="0"/>
                  <w:marTop w:val="0"/>
                  <w:marBottom w:val="0"/>
                  <w:divBdr>
                    <w:top w:val="none" w:sz="0" w:space="0" w:color="auto"/>
                    <w:left w:val="none" w:sz="0" w:space="0" w:color="auto"/>
                    <w:bottom w:val="none" w:sz="0" w:space="0" w:color="auto"/>
                    <w:right w:val="none" w:sz="0" w:space="0" w:color="auto"/>
                  </w:divBdr>
                  <w:divsChild>
                    <w:div w:id="27664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4347">
          <w:marLeft w:val="0"/>
          <w:marRight w:val="0"/>
          <w:marTop w:val="0"/>
          <w:marBottom w:val="0"/>
          <w:divBdr>
            <w:top w:val="none" w:sz="0" w:space="0" w:color="auto"/>
            <w:left w:val="none" w:sz="0" w:space="0" w:color="auto"/>
            <w:bottom w:val="single" w:sz="6" w:space="12" w:color="DDDDDD"/>
            <w:right w:val="none" w:sz="0" w:space="0" w:color="auto"/>
          </w:divBdr>
          <w:divsChild>
            <w:div w:id="184906869">
              <w:marLeft w:val="0"/>
              <w:marRight w:val="0"/>
              <w:marTop w:val="0"/>
              <w:marBottom w:val="0"/>
              <w:divBdr>
                <w:top w:val="none" w:sz="0" w:space="0" w:color="auto"/>
                <w:left w:val="none" w:sz="0" w:space="0" w:color="auto"/>
                <w:bottom w:val="none" w:sz="0" w:space="0" w:color="auto"/>
                <w:right w:val="none" w:sz="0" w:space="0" w:color="auto"/>
              </w:divBdr>
              <w:divsChild>
                <w:div w:id="2825995">
                  <w:marLeft w:val="0"/>
                  <w:marRight w:val="0"/>
                  <w:marTop w:val="0"/>
                  <w:marBottom w:val="0"/>
                  <w:divBdr>
                    <w:top w:val="none" w:sz="0" w:space="0" w:color="auto"/>
                    <w:left w:val="none" w:sz="0" w:space="0" w:color="auto"/>
                    <w:bottom w:val="none" w:sz="0" w:space="0" w:color="auto"/>
                    <w:right w:val="none" w:sz="0" w:space="0" w:color="auto"/>
                  </w:divBdr>
                  <w:divsChild>
                    <w:div w:id="5968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86779">
          <w:marLeft w:val="0"/>
          <w:marRight w:val="0"/>
          <w:marTop w:val="0"/>
          <w:marBottom w:val="0"/>
          <w:divBdr>
            <w:top w:val="none" w:sz="0" w:space="0" w:color="auto"/>
            <w:left w:val="none" w:sz="0" w:space="0" w:color="auto"/>
            <w:bottom w:val="single" w:sz="6" w:space="12" w:color="DDDDDD"/>
            <w:right w:val="none" w:sz="0" w:space="0" w:color="auto"/>
          </w:divBdr>
          <w:divsChild>
            <w:div w:id="93021466">
              <w:marLeft w:val="0"/>
              <w:marRight w:val="0"/>
              <w:marTop w:val="0"/>
              <w:marBottom w:val="0"/>
              <w:divBdr>
                <w:top w:val="none" w:sz="0" w:space="0" w:color="auto"/>
                <w:left w:val="none" w:sz="0" w:space="0" w:color="auto"/>
                <w:bottom w:val="none" w:sz="0" w:space="0" w:color="auto"/>
                <w:right w:val="none" w:sz="0" w:space="0" w:color="auto"/>
              </w:divBdr>
              <w:divsChild>
                <w:div w:id="1464159161">
                  <w:marLeft w:val="0"/>
                  <w:marRight w:val="0"/>
                  <w:marTop w:val="0"/>
                  <w:marBottom w:val="0"/>
                  <w:divBdr>
                    <w:top w:val="none" w:sz="0" w:space="0" w:color="auto"/>
                    <w:left w:val="none" w:sz="0" w:space="0" w:color="auto"/>
                    <w:bottom w:val="none" w:sz="0" w:space="0" w:color="auto"/>
                    <w:right w:val="none" w:sz="0" w:space="0" w:color="auto"/>
                  </w:divBdr>
                  <w:divsChild>
                    <w:div w:id="7820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475">
          <w:marLeft w:val="0"/>
          <w:marRight w:val="0"/>
          <w:marTop w:val="0"/>
          <w:marBottom w:val="0"/>
          <w:divBdr>
            <w:top w:val="none" w:sz="0" w:space="0" w:color="auto"/>
            <w:left w:val="none" w:sz="0" w:space="0" w:color="auto"/>
            <w:bottom w:val="single" w:sz="6" w:space="12" w:color="DDDDDD"/>
            <w:right w:val="none" w:sz="0" w:space="0" w:color="auto"/>
          </w:divBdr>
          <w:divsChild>
            <w:div w:id="413745558">
              <w:marLeft w:val="0"/>
              <w:marRight w:val="0"/>
              <w:marTop w:val="0"/>
              <w:marBottom w:val="0"/>
              <w:divBdr>
                <w:top w:val="none" w:sz="0" w:space="0" w:color="auto"/>
                <w:left w:val="none" w:sz="0" w:space="0" w:color="auto"/>
                <w:bottom w:val="none" w:sz="0" w:space="0" w:color="auto"/>
                <w:right w:val="none" w:sz="0" w:space="0" w:color="auto"/>
              </w:divBdr>
              <w:divsChild>
                <w:div w:id="1013990442">
                  <w:marLeft w:val="0"/>
                  <w:marRight w:val="0"/>
                  <w:marTop w:val="0"/>
                  <w:marBottom w:val="0"/>
                  <w:divBdr>
                    <w:top w:val="none" w:sz="0" w:space="0" w:color="auto"/>
                    <w:left w:val="none" w:sz="0" w:space="0" w:color="auto"/>
                    <w:bottom w:val="none" w:sz="0" w:space="0" w:color="auto"/>
                    <w:right w:val="none" w:sz="0" w:space="0" w:color="auto"/>
                  </w:divBdr>
                  <w:divsChild>
                    <w:div w:id="19805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6420">
          <w:marLeft w:val="0"/>
          <w:marRight w:val="0"/>
          <w:marTop w:val="0"/>
          <w:marBottom w:val="0"/>
          <w:divBdr>
            <w:top w:val="none" w:sz="0" w:space="0" w:color="auto"/>
            <w:left w:val="none" w:sz="0" w:space="0" w:color="auto"/>
            <w:bottom w:val="single" w:sz="6" w:space="12" w:color="DDDDDD"/>
            <w:right w:val="none" w:sz="0" w:space="0" w:color="auto"/>
          </w:divBdr>
          <w:divsChild>
            <w:div w:id="1068722703">
              <w:marLeft w:val="0"/>
              <w:marRight w:val="0"/>
              <w:marTop w:val="0"/>
              <w:marBottom w:val="0"/>
              <w:divBdr>
                <w:top w:val="none" w:sz="0" w:space="0" w:color="auto"/>
                <w:left w:val="none" w:sz="0" w:space="0" w:color="auto"/>
                <w:bottom w:val="none" w:sz="0" w:space="0" w:color="auto"/>
                <w:right w:val="none" w:sz="0" w:space="0" w:color="auto"/>
              </w:divBdr>
              <w:divsChild>
                <w:div w:id="1391424305">
                  <w:marLeft w:val="0"/>
                  <w:marRight w:val="0"/>
                  <w:marTop w:val="0"/>
                  <w:marBottom w:val="0"/>
                  <w:divBdr>
                    <w:top w:val="none" w:sz="0" w:space="0" w:color="auto"/>
                    <w:left w:val="none" w:sz="0" w:space="0" w:color="auto"/>
                    <w:bottom w:val="none" w:sz="0" w:space="0" w:color="auto"/>
                    <w:right w:val="none" w:sz="0" w:space="0" w:color="auto"/>
                  </w:divBdr>
                  <w:divsChild>
                    <w:div w:id="2148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781">
          <w:marLeft w:val="0"/>
          <w:marRight w:val="0"/>
          <w:marTop w:val="0"/>
          <w:marBottom w:val="0"/>
          <w:divBdr>
            <w:top w:val="none" w:sz="0" w:space="0" w:color="auto"/>
            <w:left w:val="none" w:sz="0" w:space="0" w:color="auto"/>
            <w:bottom w:val="single" w:sz="6" w:space="12" w:color="DDDDDD"/>
            <w:right w:val="none" w:sz="0" w:space="0" w:color="auto"/>
          </w:divBdr>
          <w:divsChild>
            <w:div w:id="792602663">
              <w:marLeft w:val="0"/>
              <w:marRight w:val="0"/>
              <w:marTop w:val="0"/>
              <w:marBottom w:val="0"/>
              <w:divBdr>
                <w:top w:val="none" w:sz="0" w:space="0" w:color="auto"/>
                <w:left w:val="none" w:sz="0" w:space="0" w:color="auto"/>
                <w:bottom w:val="none" w:sz="0" w:space="0" w:color="auto"/>
                <w:right w:val="none" w:sz="0" w:space="0" w:color="auto"/>
              </w:divBdr>
              <w:divsChild>
                <w:div w:id="623581524">
                  <w:marLeft w:val="0"/>
                  <w:marRight w:val="0"/>
                  <w:marTop w:val="0"/>
                  <w:marBottom w:val="0"/>
                  <w:divBdr>
                    <w:top w:val="none" w:sz="0" w:space="0" w:color="auto"/>
                    <w:left w:val="none" w:sz="0" w:space="0" w:color="auto"/>
                    <w:bottom w:val="none" w:sz="0" w:space="0" w:color="auto"/>
                    <w:right w:val="none" w:sz="0" w:space="0" w:color="auto"/>
                  </w:divBdr>
                  <w:divsChild>
                    <w:div w:id="14249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43608">
          <w:marLeft w:val="0"/>
          <w:marRight w:val="0"/>
          <w:marTop w:val="0"/>
          <w:marBottom w:val="0"/>
          <w:divBdr>
            <w:top w:val="none" w:sz="0" w:space="0" w:color="auto"/>
            <w:left w:val="none" w:sz="0" w:space="0" w:color="auto"/>
            <w:bottom w:val="single" w:sz="6" w:space="12" w:color="DDDDDD"/>
            <w:right w:val="none" w:sz="0" w:space="0" w:color="auto"/>
          </w:divBdr>
          <w:divsChild>
            <w:div w:id="372072716">
              <w:marLeft w:val="0"/>
              <w:marRight w:val="0"/>
              <w:marTop w:val="0"/>
              <w:marBottom w:val="0"/>
              <w:divBdr>
                <w:top w:val="none" w:sz="0" w:space="0" w:color="auto"/>
                <w:left w:val="none" w:sz="0" w:space="0" w:color="auto"/>
                <w:bottom w:val="none" w:sz="0" w:space="0" w:color="auto"/>
                <w:right w:val="none" w:sz="0" w:space="0" w:color="auto"/>
              </w:divBdr>
              <w:divsChild>
                <w:div w:id="1413117350">
                  <w:marLeft w:val="0"/>
                  <w:marRight w:val="0"/>
                  <w:marTop w:val="0"/>
                  <w:marBottom w:val="0"/>
                  <w:divBdr>
                    <w:top w:val="none" w:sz="0" w:space="0" w:color="auto"/>
                    <w:left w:val="none" w:sz="0" w:space="0" w:color="auto"/>
                    <w:bottom w:val="none" w:sz="0" w:space="0" w:color="auto"/>
                    <w:right w:val="none" w:sz="0" w:space="0" w:color="auto"/>
                  </w:divBdr>
                  <w:divsChild>
                    <w:div w:id="7689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023">
          <w:marLeft w:val="0"/>
          <w:marRight w:val="0"/>
          <w:marTop w:val="0"/>
          <w:marBottom w:val="0"/>
          <w:divBdr>
            <w:top w:val="none" w:sz="0" w:space="0" w:color="auto"/>
            <w:left w:val="none" w:sz="0" w:space="0" w:color="auto"/>
            <w:bottom w:val="single" w:sz="6" w:space="12" w:color="DDDDDD"/>
            <w:right w:val="none" w:sz="0" w:space="0" w:color="auto"/>
          </w:divBdr>
          <w:divsChild>
            <w:div w:id="1747680915">
              <w:marLeft w:val="0"/>
              <w:marRight w:val="0"/>
              <w:marTop w:val="0"/>
              <w:marBottom w:val="0"/>
              <w:divBdr>
                <w:top w:val="none" w:sz="0" w:space="0" w:color="auto"/>
                <w:left w:val="none" w:sz="0" w:space="0" w:color="auto"/>
                <w:bottom w:val="none" w:sz="0" w:space="0" w:color="auto"/>
                <w:right w:val="none" w:sz="0" w:space="0" w:color="auto"/>
              </w:divBdr>
              <w:divsChild>
                <w:div w:id="244919966">
                  <w:marLeft w:val="0"/>
                  <w:marRight w:val="0"/>
                  <w:marTop w:val="0"/>
                  <w:marBottom w:val="0"/>
                  <w:divBdr>
                    <w:top w:val="none" w:sz="0" w:space="0" w:color="auto"/>
                    <w:left w:val="none" w:sz="0" w:space="0" w:color="auto"/>
                    <w:bottom w:val="none" w:sz="0" w:space="0" w:color="auto"/>
                    <w:right w:val="none" w:sz="0" w:space="0" w:color="auto"/>
                  </w:divBdr>
                  <w:divsChild>
                    <w:div w:id="1824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2570">
          <w:marLeft w:val="0"/>
          <w:marRight w:val="0"/>
          <w:marTop w:val="0"/>
          <w:marBottom w:val="0"/>
          <w:divBdr>
            <w:top w:val="none" w:sz="0" w:space="0" w:color="auto"/>
            <w:left w:val="none" w:sz="0" w:space="0" w:color="auto"/>
            <w:bottom w:val="single" w:sz="6" w:space="12" w:color="DDDDDD"/>
            <w:right w:val="none" w:sz="0" w:space="0" w:color="auto"/>
          </w:divBdr>
          <w:divsChild>
            <w:div w:id="2133668834">
              <w:marLeft w:val="0"/>
              <w:marRight w:val="0"/>
              <w:marTop w:val="0"/>
              <w:marBottom w:val="0"/>
              <w:divBdr>
                <w:top w:val="none" w:sz="0" w:space="0" w:color="auto"/>
                <w:left w:val="none" w:sz="0" w:space="0" w:color="auto"/>
                <w:bottom w:val="none" w:sz="0" w:space="0" w:color="auto"/>
                <w:right w:val="none" w:sz="0" w:space="0" w:color="auto"/>
              </w:divBdr>
              <w:divsChild>
                <w:div w:id="1954745818">
                  <w:marLeft w:val="0"/>
                  <w:marRight w:val="0"/>
                  <w:marTop w:val="0"/>
                  <w:marBottom w:val="0"/>
                  <w:divBdr>
                    <w:top w:val="none" w:sz="0" w:space="0" w:color="auto"/>
                    <w:left w:val="none" w:sz="0" w:space="0" w:color="auto"/>
                    <w:bottom w:val="none" w:sz="0" w:space="0" w:color="auto"/>
                    <w:right w:val="none" w:sz="0" w:space="0" w:color="auto"/>
                  </w:divBdr>
                  <w:divsChild>
                    <w:div w:id="18609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860913">
          <w:marLeft w:val="0"/>
          <w:marRight w:val="0"/>
          <w:marTop w:val="0"/>
          <w:marBottom w:val="0"/>
          <w:divBdr>
            <w:top w:val="none" w:sz="0" w:space="0" w:color="auto"/>
            <w:left w:val="none" w:sz="0" w:space="0" w:color="auto"/>
            <w:bottom w:val="single" w:sz="6" w:space="12" w:color="DDDDDD"/>
            <w:right w:val="none" w:sz="0" w:space="0" w:color="auto"/>
          </w:divBdr>
          <w:divsChild>
            <w:div w:id="1204555829">
              <w:marLeft w:val="0"/>
              <w:marRight w:val="0"/>
              <w:marTop w:val="0"/>
              <w:marBottom w:val="0"/>
              <w:divBdr>
                <w:top w:val="none" w:sz="0" w:space="0" w:color="auto"/>
                <w:left w:val="none" w:sz="0" w:space="0" w:color="auto"/>
                <w:bottom w:val="none" w:sz="0" w:space="0" w:color="auto"/>
                <w:right w:val="none" w:sz="0" w:space="0" w:color="auto"/>
              </w:divBdr>
              <w:divsChild>
                <w:div w:id="685134065">
                  <w:marLeft w:val="0"/>
                  <w:marRight w:val="0"/>
                  <w:marTop w:val="0"/>
                  <w:marBottom w:val="0"/>
                  <w:divBdr>
                    <w:top w:val="none" w:sz="0" w:space="0" w:color="auto"/>
                    <w:left w:val="none" w:sz="0" w:space="0" w:color="auto"/>
                    <w:bottom w:val="none" w:sz="0" w:space="0" w:color="auto"/>
                    <w:right w:val="none" w:sz="0" w:space="0" w:color="auto"/>
                  </w:divBdr>
                  <w:divsChild>
                    <w:div w:id="12250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3459">
          <w:marLeft w:val="0"/>
          <w:marRight w:val="0"/>
          <w:marTop w:val="0"/>
          <w:marBottom w:val="0"/>
          <w:divBdr>
            <w:top w:val="none" w:sz="0" w:space="0" w:color="auto"/>
            <w:left w:val="none" w:sz="0" w:space="0" w:color="auto"/>
            <w:bottom w:val="single" w:sz="6" w:space="12" w:color="DDDDDD"/>
            <w:right w:val="none" w:sz="0" w:space="0" w:color="auto"/>
          </w:divBdr>
          <w:divsChild>
            <w:div w:id="706872381">
              <w:marLeft w:val="0"/>
              <w:marRight w:val="0"/>
              <w:marTop w:val="0"/>
              <w:marBottom w:val="0"/>
              <w:divBdr>
                <w:top w:val="none" w:sz="0" w:space="0" w:color="auto"/>
                <w:left w:val="none" w:sz="0" w:space="0" w:color="auto"/>
                <w:bottom w:val="none" w:sz="0" w:space="0" w:color="auto"/>
                <w:right w:val="none" w:sz="0" w:space="0" w:color="auto"/>
              </w:divBdr>
              <w:divsChild>
                <w:div w:id="1994019343">
                  <w:marLeft w:val="0"/>
                  <w:marRight w:val="0"/>
                  <w:marTop w:val="0"/>
                  <w:marBottom w:val="0"/>
                  <w:divBdr>
                    <w:top w:val="none" w:sz="0" w:space="0" w:color="auto"/>
                    <w:left w:val="none" w:sz="0" w:space="0" w:color="auto"/>
                    <w:bottom w:val="none" w:sz="0" w:space="0" w:color="auto"/>
                    <w:right w:val="none" w:sz="0" w:space="0" w:color="auto"/>
                  </w:divBdr>
                  <w:divsChild>
                    <w:div w:id="5049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87375">
          <w:marLeft w:val="0"/>
          <w:marRight w:val="0"/>
          <w:marTop w:val="0"/>
          <w:marBottom w:val="0"/>
          <w:divBdr>
            <w:top w:val="none" w:sz="0" w:space="0" w:color="auto"/>
            <w:left w:val="none" w:sz="0" w:space="0" w:color="auto"/>
            <w:bottom w:val="single" w:sz="6" w:space="12" w:color="DDDDDD"/>
            <w:right w:val="none" w:sz="0" w:space="0" w:color="auto"/>
          </w:divBdr>
          <w:divsChild>
            <w:div w:id="215313317">
              <w:marLeft w:val="0"/>
              <w:marRight w:val="0"/>
              <w:marTop w:val="0"/>
              <w:marBottom w:val="0"/>
              <w:divBdr>
                <w:top w:val="none" w:sz="0" w:space="0" w:color="auto"/>
                <w:left w:val="none" w:sz="0" w:space="0" w:color="auto"/>
                <w:bottom w:val="none" w:sz="0" w:space="0" w:color="auto"/>
                <w:right w:val="none" w:sz="0" w:space="0" w:color="auto"/>
              </w:divBdr>
              <w:divsChild>
                <w:div w:id="220752623">
                  <w:marLeft w:val="0"/>
                  <w:marRight w:val="0"/>
                  <w:marTop w:val="0"/>
                  <w:marBottom w:val="0"/>
                  <w:divBdr>
                    <w:top w:val="none" w:sz="0" w:space="0" w:color="auto"/>
                    <w:left w:val="none" w:sz="0" w:space="0" w:color="auto"/>
                    <w:bottom w:val="none" w:sz="0" w:space="0" w:color="auto"/>
                    <w:right w:val="none" w:sz="0" w:space="0" w:color="auto"/>
                  </w:divBdr>
                  <w:divsChild>
                    <w:div w:id="16664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72969">
          <w:marLeft w:val="0"/>
          <w:marRight w:val="0"/>
          <w:marTop w:val="0"/>
          <w:marBottom w:val="0"/>
          <w:divBdr>
            <w:top w:val="none" w:sz="0" w:space="0" w:color="auto"/>
            <w:left w:val="none" w:sz="0" w:space="0" w:color="auto"/>
            <w:bottom w:val="single" w:sz="6" w:space="12" w:color="DDDDDD"/>
            <w:right w:val="none" w:sz="0" w:space="0" w:color="auto"/>
          </w:divBdr>
          <w:divsChild>
            <w:div w:id="90856867">
              <w:marLeft w:val="0"/>
              <w:marRight w:val="0"/>
              <w:marTop w:val="0"/>
              <w:marBottom w:val="0"/>
              <w:divBdr>
                <w:top w:val="none" w:sz="0" w:space="0" w:color="auto"/>
                <w:left w:val="none" w:sz="0" w:space="0" w:color="auto"/>
                <w:bottom w:val="none" w:sz="0" w:space="0" w:color="auto"/>
                <w:right w:val="none" w:sz="0" w:space="0" w:color="auto"/>
              </w:divBdr>
              <w:divsChild>
                <w:div w:id="1022365443">
                  <w:marLeft w:val="0"/>
                  <w:marRight w:val="0"/>
                  <w:marTop w:val="0"/>
                  <w:marBottom w:val="0"/>
                  <w:divBdr>
                    <w:top w:val="none" w:sz="0" w:space="0" w:color="auto"/>
                    <w:left w:val="none" w:sz="0" w:space="0" w:color="auto"/>
                    <w:bottom w:val="none" w:sz="0" w:space="0" w:color="auto"/>
                    <w:right w:val="none" w:sz="0" w:space="0" w:color="auto"/>
                  </w:divBdr>
                  <w:divsChild>
                    <w:div w:id="18735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79381">
          <w:marLeft w:val="0"/>
          <w:marRight w:val="0"/>
          <w:marTop w:val="0"/>
          <w:marBottom w:val="0"/>
          <w:divBdr>
            <w:top w:val="none" w:sz="0" w:space="0" w:color="auto"/>
            <w:left w:val="none" w:sz="0" w:space="0" w:color="auto"/>
            <w:bottom w:val="none" w:sz="0" w:space="0" w:color="auto"/>
            <w:right w:val="none" w:sz="0" w:space="0" w:color="auto"/>
          </w:divBdr>
          <w:divsChild>
            <w:div w:id="1313177416">
              <w:marLeft w:val="0"/>
              <w:marRight w:val="0"/>
              <w:marTop w:val="0"/>
              <w:marBottom w:val="0"/>
              <w:divBdr>
                <w:top w:val="none" w:sz="0" w:space="0" w:color="auto"/>
                <w:left w:val="none" w:sz="0" w:space="0" w:color="auto"/>
                <w:bottom w:val="none" w:sz="0" w:space="0" w:color="auto"/>
                <w:right w:val="none" w:sz="0" w:space="0" w:color="auto"/>
              </w:divBdr>
              <w:divsChild>
                <w:div w:id="721294563">
                  <w:marLeft w:val="0"/>
                  <w:marRight w:val="0"/>
                  <w:marTop w:val="0"/>
                  <w:marBottom w:val="0"/>
                  <w:divBdr>
                    <w:top w:val="none" w:sz="0" w:space="0" w:color="auto"/>
                    <w:left w:val="none" w:sz="0" w:space="0" w:color="auto"/>
                    <w:bottom w:val="none" w:sz="0" w:space="0" w:color="auto"/>
                    <w:right w:val="none" w:sz="0" w:space="0" w:color="auto"/>
                  </w:divBdr>
                  <w:divsChild>
                    <w:div w:id="16629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388189977">
      <w:bodyDiv w:val="1"/>
      <w:marLeft w:val="0"/>
      <w:marRight w:val="0"/>
      <w:marTop w:val="0"/>
      <w:marBottom w:val="0"/>
      <w:divBdr>
        <w:top w:val="none" w:sz="0" w:space="0" w:color="auto"/>
        <w:left w:val="none" w:sz="0" w:space="0" w:color="auto"/>
        <w:bottom w:val="none" w:sz="0" w:space="0" w:color="auto"/>
        <w:right w:val="none" w:sz="0" w:space="0" w:color="auto"/>
      </w:divBdr>
    </w:div>
    <w:div w:id="1594970938">
      <w:bodyDiv w:val="1"/>
      <w:marLeft w:val="0"/>
      <w:marRight w:val="0"/>
      <w:marTop w:val="0"/>
      <w:marBottom w:val="0"/>
      <w:divBdr>
        <w:top w:val="none" w:sz="0" w:space="0" w:color="auto"/>
        <w:left w:val="none" w:sz="0" w:space="0" w:color="auto"/>
        <w:bottom w:val="none" w:sz="0" w:space="0" w:color="auto"/>
        <w:right w:val="none" w:sz="0" w:space="0" w:color="auto"/>
      </w:divBdr>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519/JSC.0000000000004017" TargetMode="External"/><Relationship Id="rId13" Type="http://schemas.openxmlformats.org/officeDocument/2006/relationships/image" Target="media/image3.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6.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5" Type="http://schemas.openxmlformats.org/officeDocument/2006/relationships/styles" Target="styles.xml"/><Relationship Id="rId15" Type="http://schemas.openxmlformats.org/officeDocument/2006/relationships/image" Target="media/image5.jpeg"/><Relationship Id="rId10" Type="http://schemas.openxmlformats.org/officeDocument/2006/relationships/hyperlink" Target="javascript:void(0)"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13</Pages>
  <Words>5607</Words>
  <Characters>31962</Characters>
  <Application>Microsoft Office Word</Application>
  <DocSecurity>8</DocSecurity>
  <Lines>266</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17</cp:revision>
  <dcterms:created xsi:type="dcterms:W3CDTF">2022-01-12T19:34:00Z</dcterms:created>
  <dcterms:modified xsi:type="dcterms:W3CDTF">2022-01-21T17:31:00Z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