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516A8" w14:textId="4F6B5E77" w:rsidR="00C822E7" w:rsidRDefault="00F819A3" w:rsidP="00C822E7">
      <w:pPr>
        <w:rPr>
          <w:rFonts w:cstheme="minorHAnsi"/>
          <w:sz w:val="24"/>
          <w:szCs w:val="24"/>
        </w:rPr>
      </w:pPr>
      <w:bookmarkStart w:id="0" w:name="_Hlk510431162"/>
      <w:bookmarkStart w:id="1" w:name="_GoBack"/>
      <w:bookmarkEnd w:id="1"/>
      <w:r>
        <w:rPr>
          <w:rFonts w:cstheme="minorHAnsi"/>
          <w:i/>
          <w:sz w:val="24"/>
          <w:szCs w:val="24"/>
          <w:lang w:val="fr-FR"/>
        </w:rPr>
        <w:t xml:space="preserve">Internet Journal </w:t>
      </w:r>
      <w:r w:rsidR="005F112D">
        <w:rPr>
          <w:rFonts w:cstheme="minorHAnsi"/>
          <w:i/>
          <w:sz w:val="24"/>
          <w:szCs w:val="24"/>
          <w:lang w:val="fr-FR"/>
        </w:rPr>
        <w:t xml:space="preserve">of </w:t>
      </w:r>
      <w:proofErr w:type="spellStart"/>
      <w:r w:rsidR="005F112D">
        <w:rPr>
          <w:rFonts w:cstheme="minorHAnsi"/>
          <w:i/>
          <w:sz w:val="24"/>
          <w:szCs w:val="24"/>
          <w:lang w:val="fr-FR"/>
        </w:rPr>
        <w:t>Medical</w:t>
      </w:r>
      <w:proofErr w:type="spellEnd"/>
      <w:r w:rsidR="005F112D">
        <w:rPr>
          <w:rFonts w:cstheme="minorHAnsi"/>
          <w:i/>
          <w:sz w:val="24"/>
          <w:szCs w:val="24"/>
          <w:lang w:val="fr-FR"/>
        </w:rPr>
        <w:t xml:space="preserve"> Update</w:t>
      </w:r>
      <w:r w:rsidR="00C822E7" w:rsidRPr="00C04F25">
        <w:rPr>
          <w:rFonts w:cstheme="minorHAnsi"/>
          <w:sz w:val="24"/>
          <w:szCs w:val="24"/>
          <w:lang w:val="fr-FR"/>
        </w:rPr>
        <w:t xml:space="preserve">, Vol. </w:t>
      </w:r>
      <w:r w:rsidR="005F112D">
        <w:rPr>
          <w:rFonts w:cstheme="minorHAnsi"/>
          <w:sz w:val="24"/>
          <w:szCs w:val="24"/>
          <w:lang w:val="fr-FR"/>
        </w:rPr>
        <w:t>3</w:t>
      </w:r>
      <w:r w:rsidR="00C822E7" w:rsidRPr="00C04F25">
        <w:rPr>
          <w:rFonts w:cstheme="minorHAnsi"/>
          <w:sz w:val="24"/>
          <w:szCs w:val="24"/>
          <w:lang w:val="fr-FR"/>
        </w:rPr>
        <w:t xml:space="preserve">, No. </w:t>
      </w:r>
      <w:r w:rsidR="005F112D">
        <w:rPr>
          <w:rFonts w:cstheme="minorHAnsi"/>
          <w:sz w:val="24"/>
          <w:szCs w:val="24"/>
          <w:lang w:val="fr-FR"/>
        </w:rPr>
        <w:t>2</w:t>
      </w:r>
      <w:r w:rsidR="00C822E7" w:rsidRPr="00C04F25">
        <w:rPr>
          <w:rFonts w:cstheme="minorHAnsi"/>
          <w:sz w:val="24"/>
          <w:szCs w:val="24"/>
          <w:lang w:val="fr-FR"/>
        </w:rPr>
        <w:t xml:space="preserve"> (</w:t>
      </w:r>
      <w:r w:rsidR="005F112D">
        <w:rPr>
          <w:rFonts w:cstheme="minorHAnsi"/>
          <w:sz w:val="24"/>
          <w:szCs w:val="24"/>
          <w:lang w:val="fr-FR"/>
        </w:rPr>
        <w:t>2008</w:t>
      </w:r>
      <w:proofErr w:type="gramStart"/>
      <w:r w:rsidR="00C822E7" w:rsidRPr="00C04F25">
        <w:rPr>
          <w:rFonts w:cstheme="minorHAnsi"/>
          <w:sz w:val="24"/>
          <w:szCs w:val="24"/>
          <w:lang w:val="fr-FR"/>
        </w:rPr>
        <w:t>):</w:t>
      </w:r>
      <w:proofErr w:type="gramEnd"/>
      <w:r w:rsidR="00C822E7" w:rsidRPr="00C04F25">
        <w:rPr>
          <w:rFonts w:cstheme="minorHAnsi"/>
          <w:sz w:val="24"/>
          <w:szCs w:val="24"/>
          <w:lang w:val="fr-FR"/>
        </w:rPr>
        <w:t xml:space="preserve"> </w:t>
      </w:r>
      <w:r w:rsidR="005F112D">
        <w:rPr>
          <w:rFonts w:cstheme="minorHAnsi"/>
          <w:sz w:val="24"/>
          <w:szCs w:val="24"/>
          <w:lang w:val="fr-FR"/>
        </w:rPr>
        <w:t>22-28</w:t>
      </w:r>
      <w:r w:rsidR="00C822E7" w:rsidRPr="00C04F25">
        <w:rPr>
          <w:rFonts w:cstheme="minorHAnsi"/>
          <w:sz w:val="24"/>
          <w:szCs w:val="24"/>
          <w:lang w:val="fr-FR"/>
        </w:rPr>
        <w:t xml:space="preserve">. </w:t>
      </w:r>
      <w:hyperlink r:id="rId8" w:history="1">
        <w:r w:rsidR="00C61863">
          <w:rPr>
            <w:rFonts w:cstheme="minorHAnsi"/>
            <w:color w:val="0563C1" w:themeColor="hyperlink"/>
            <w:sz w:val="24"/>
            <w:szCs w:val="24"/>
            <w:u w:val="single"/>
            <w:lang w:val="fr-FR"/>
          </w:rPr>
          <w:t xml:space="preserve">Publisher </w:t>
        </w:r>
        <w:proofErr w:type="spellStart"/>
        <w:r w:rsidR="00C61863">
          <w:rPr>
            <w:rFonts w:cstheme="minorHAnsi"/>
            <w:color w:val="0563C1" w:themeColor="hyperlink"/>
            <w:sz w:val="24"/>
            <w:szCs w:val="24"/>
            <w:u w:val="single"/>
            <w:lang w:val="fr-FR"/>
          </w:rPr>
          <w:t>link</w:t>
        </w:r>
        <w:proofErr w:type="spellEnd"/>
      </w:hyperlink>
      <w:r w:rsidR="00C822E7" w:rsidRPr="00C04F25">
        <w:rPr>
          <w:rFonts w:cstheme="minorHAnsi"/>
          <w:sz w:val="24"/>
          <w:szCs w:val="24"/>
          <w:lang w:val="fr-FR"/>
        </w:rPr>
        <w:t xml:space="preserve">. </w:t>
      </w:r>
      <w:r w:rsidR="00C822E7" w:rsidRPr="00C04F25">
        <w:rPr>
          <w:rFonts w:cstheme="minorHAnsi"/>
          <w:sz w:val="24"/>
          <w:szCs w:val="24"/>
        </w:rPr>
        <w:t xml:space="preserve">This article is © </w:t>
      </w:r>
      <w:r w:rsidR="00C61863">
        <w:rPr>
          <w:rFonts w:cstheme="minorHAnsi"/>
          <w:sz w:val="24"/>
          <w:szCs w:val="24"/>
        </w:rPr>
        <w:t>AKS Publications</w:t>
      </w:r>
      <w:r w:rsidR="00C822E7" w:rsidRPr="00C04F25">
        <w:rPr>
          <w:rFonts w:cstheme="minorHAnsi"/>
          <w:sz w:val="24"/>
          <w:szCs w:val="24"/>
        </w:rPr>
        <w:t xml:space="preserve"> and permission has been granted for this version to appear in </w:t>
      </w:r>
      <w:hyperlink r:id="rId9" w:history="1">
        <w:proofErr w:type="spellStart"/>
        <w:r w:rsidR="00C822E7" w:rsidRPr="00C04F25">
          <w:rPr>
            <w:rFonts w:cstheme="minorHAnsi"/>
            <w:color w:val="0563C1" w:themeColor="hyperlink"/>
            <w:sz w:val="24"/>
            <w:szCs w:val="24"/>
            <w:u w:val="single"/>
          </w:rPr>
          <w:t>e-Publications@Marquette</w:t>
        </w:r>
        <w:proofErr w:type="spellEnd"/>
      </w:hyperlink>
      <w:r w:rsidR="00C822E7" w:rsidRPr="00C04F25">
        <w:rPr>
          <w:rFonts w:cstheme="minorHAnsi"/>
          <w:sz w:val="24"/>
          <w:szCs w:val="24"/>
        </w:rPr>
        <w:t xml:space="preserve">. </w:t>
      </w:r>
      <w:r w:rsidR="00C61863">
        <w:rPr>
          <w:rFonts w:cstheme="minorHAnsi"/>
          <w:sz w:val="24"/>
          <w:szCs w:val="24"/>
        </w:rPr>
        <w:t>AKS Publications</w:t>
      </w:r>
      <w:r w:rsidR="00C822E7" w:rsidRPr="00C04F25">
        <w:rPr>
          <w:rFonts w:cstheme="minorHAnsi"/>
          <w:sz w:val="24"/>
          <w:szCs w:val="24"/>
        </w:rPr>
        <w:t xml:space="preserve"> does not grant permission for this article to be further copied/distributed or hosted elsewhere without the express permission from </w:t>
      </w:r>
      <w:r w:rsidR="00C61863">
        <w:rPr>
          <w:rFonts w:cstheme="minorHAnsi"/>
          <w:sz w:val="24"/>
          <w:szCs w:val="24"/>
        </w:rPr>
        <w:t>AKS Publications</w:t>
      </w:r>
      <w:r w:rsidR="00C822E7" w:rsidRPr="00C04F25">
        <w:rPr>
          <w:rFonts w:cstheme="minorHAnsi"/>
          <w:sz w:val="24"/>
          <w:szCs w:val="24"/>
        </w:rPr>
        <w:t xml:space="preserve">. </w:t>
      </w:r>
    </w:p>
    <w:p w14:paraId="65F5E38A" w14:textId="589BA4A8" w:rsidR="00F47ECB" w:rsidRDefault="00F47ECB" w:rsidP="00C822E7">
      <w:pPr>
        <w:rPr>
          <w:rFonts w:cstheme="minorHAnsi"/>
          <w:sz w:val="24"/>
          <w:szCs w:val="24"/>
        </w:rPr>
      </w:pPr>
    </w:p>
    <w:p w14:paraId="6608A8F4" w14:textId="5F90A141" w:rsidR="00F47ECB" w:rsidRDefault="006816B5" w:rsidP="00F47ECB">
      <w:pPr>
        <w:pStyle w:val="Title"/>
      </w:pPr>
      <w:r w:rsidRPr="00F47ECB">
        <w:t>Gender Determination Using Fingertip Features</w:t>
      </w:r>
    </w:p>
    <w:p w14:paraId="609C9D6D" w14:textId="73505176" w:rsidR="00F47ECB" w:rsidRDefault="00F47ECB" w:rsidP="00F47ECB"/>
    <w:p w14:paraId="430A4D6F" w14:textId="7D1314E2" w:rsidR="00F47ECB" w:rsidRPr="00635867" w:rsidRDefault="00CD2D8D" w:rsidP="008D151B">
      <w:pPr>
        <w:pStyle w:val="NoSpacing"/>
        <w:rPr>
          <w:sz w:val="32"/>
          <w:szCs w:val="24"/>
        </w:rPr>
      </w:pPr>
      <w:r w:rsidRPr="00635867">
        <w:rPr>
          <w:sz w:val="32"/>
          <w:szCs w:val="24"/>
        </w:rPr>
        <w:t>Mark L. Nagurka</w:t>
      </w:r>
    </w:p>
    <w:p w14:paraId="05A5037F" w14:textId="21F926FD" w:rsidR="00F47ECB" w:rsidRPr="008D151B" w:rsidRDefault="00F47ECB" w:rsidP="008D151B">
      <w:pPr>
        <w:pStyle w:val="NoSpacing"/>
        <w:rPr>
          <w:sz w:val="24"/>
          <w:szCs w:val="24"/>
        </w:rPr>
      </w:pPr>
      <w:r w:rsidRPr="008D151B">
        <w:rPr>
          <w:sz w:val="24"/>
          <w:szCs w:val="24"/>
        </w:rPr>
        <w:t>Department</w:t>
      </w:r>
      <w:r w:rsidR="00CD2D8D" w:rsidRPr="008D151B">
        <w:rPr>
          <w:sz w:val="24"/>
          <w:szCs w:val="24"/>
        </w:rPr>
        <w:t xml:space="preserve"> of Mechanical Engineering</w:t>
      </w:r>
      <w:r w:rsidRPr="008D151B">
        <w:rPr>
          <w:sz w:val="24"/>
          <w:szCs w:val="24"/>
        </w:rPr>
        <w:t xml:space="preserve">, </w:t>
      </w:r>
      <w:r w:rsidR="00734951" w:rsidRPr="008D151B">
        <w:rPr>
          <w:sz w:val="24"/>
          <w:szCs w:val="24"/>
        </w:rPr>
        <w:t>Marquette</w:t>
      </w:r>
      <w:r w:rsidRPr="008D151B">
        <w:rPr>
          <w:sz w:val="24"/>
          <w:szCs w:val="24"/>
        </w:rPr>
        <w:t xml:space="preserve"> University</w:t>
      </w:r>
      <w:r w:rsidR="00635867">
        <w:rPr>
          <w:sz w:val="24"/>
          <w:szCs w:val="24"/>
        </w:rPr>
        <w:t xml:space="preserve">, </w:t>
      </w:r>
      <w:r w:rsidR="00734951" w:rsidRPr="008D151B">
        <w:rPr>
          <w:sz w:val="24"/>
          <w:szCs w:val="24"/>
        </w:rPr>
        <w:t>Milwaukee, WI</w:t>
      </w:r>
    </w:p>
    <w:p w14:paraId="7B3C4A14" w14:textId="083FA186" w:rsidR="00CD2D8D" w:rsidRPr="00635867" w:rsidRDefault="00D42B4E" w:rsidP="008D151B">
      <w:pPr>
        <w:pStyle w:val="NoSpacing"/>
        <w:rPr>
          <w:sz w:val="32"/>
          <w:szCs w:val="24"/>
        </w:rPr>
      </w:pPr>
      <w:r w:rsidRPr="00635867">
        <w:rPr>
          <w:sz w:val="32"/>
          <w:szCs w:val="24"/>
        </w:rPr>
        <w:t>Jen</w:t>
      </w:r>
      <w:r w:rsidR="00FF6654" w:rsidRPr="00635867">
        <w:rPr>
          <w:sz w:val="32"/>
          <w:szCs w:val="24"/>
        </w:rPr>
        <w:t>-Feng Wang</w:t>
      </w:r>
    </w:p>
    <w:p w14:paraId="4A320024" w14:textId="5217AC8B" w:rsidR="00CD2D8D" w:rsidRPr="008D151B" w:rsidRDefault="00FF6654" w:rsidP="008D151B">
      <w:pPr>
        <w:pStyle w:val="NoSpacing"/>
        <w:rPr>
          <w:sz w:val="24"/>
          <w:szCs w:val="24"/>
        </w:rPr>
      </w:pPr>
      <w:bookmarkStart w:id="2" w:name="_Hlk2245393"/>
      <w:r w:rsidRPr="008D151B">
        <w:rPr>
          <w:sz w:val="24"/>
          <w:szCs w:val="24"/>
        </w:rPr>
        <w:t>Department of Mechanical and Electromechanical Engineering</w:t>
      </w:r>
      <w:r w:rsidR="00CD2D8D" w:rsidRPr="008D151B">
        <w:rPr>
          <w:sz w:val="24"/>
          <w:szCs w:val="24"/>
        </w:rPr>
        <w:t xml:space="preserve">, </w:t>
      </w:r>
      <w:r w:rsidRPr="008D151B">
        <w:rPr>
          <w:sz w:val="24"/>
          <w:szCs w:val="24"/>
        </w:rPr>
        <w:t>National Sun-</w:t>
      </w:r>
      <w:proofErr w:type="spellStart"/>
      <w:r w:rsidRPr="008D151B">
        <w:rPr>
          <w:sz w:val="24"/>
          <w:szCs w:val="24"/>
        </w:rPr>
        <w:t>Yat</w:t>
      </w:r>
      <w:proofErr w:type="spellEnd"/>
      <w:r w:rsidRPr="008D151B">
        <w:rPr>
          <w:sz w:val="24"/>
          <w:szCs w:val="24"/>
        </w:rPr>
        <w:t xml:space="preserve"> Sen University</w:t>
      </w:r>
      <w:r w:rsidR="00635867">
        <w:rPr>
          <w:sz w:val="24"/>
          <w:szCs w:val="24"/>
        </w:rPr>
        <w:t xml:space="preserve">, </w:t>
      </w:r>
      <w:r w:rsidR="001B7152" w:rsidRPr="008D151B">
        <w:rPr>
          <w:sz w:val="24"/>
          <w:szCs w:val="24"/>
        </w:rPr>
        <w:t>Kaohsiung, Taiwan</w:t>
      </w:r>
    </w:p>
    <w:bookmarkEnd w:id="2"/>
    <w:p w14:paraId="47E209D3" w14:textId="5431F02E" w:rsidR="00CD2D8D" w:rsidRPr="00635867" w:rsidRDefault="00700D57" w:rsidP="008D151B">
      <w:pPr>
        <w:pStyle w:val="NoSpacing"/>
        <w:rPr>
          <w:sz w:val="32"/>
          <w:szCs w:val="24"/>
        </w:rPr>
      </w:pPr>
      <w:r w:rsidRPr="00635867">
        <w:rPr>
          <w:sz w:val="32"/>
          <w:szCs w:val="24"/>
        </w:rPr>
        <w:t>Chen-Liang Lin</w:t>
      </w:r>
    </w:p>
    <w:p w14:paraId="4A76D3C4" w14:textId="187A28FB" w:rsidR="00457DF4" w:rsidRPr="008D151B" w:rsidRDefault="00457DF4" w:rsidP="008D151B">
      <w:pPr>
        <w:pStyle w:val="NoSpacing"/>
        <w:rPr>
          <w:sz w:val="24"/>
          <w:szCs w:val="24"/>
        </w:rPr>
      </w:pPr>
      <w:bookmarkStart w:id="3" w:name="_Hlk2245592"/>
      <w:r w:rsidRPr="008D151B">
        <w:rPr>
          <w:sz w:val="24"/>
          <w:szCs w:val="24"/>
        </w:rPr>
        <w:t>Department of Mechanical and Electromechanical Engineering, National Sun-</w:t>
      </w:r>
      <w:proofErr w:type="spellStart"/>
      <w:r w:rsidRPr="008D151B">
        <w:rPr>
          <w:sz w:val="24"/>
          <w:szCs w:val="24"/>
        </w:rPr>
        <w:t>Yat</w:t>
      </w:r>
      <w:proofErr w:type="spellEnd"/>
      <w:r w:rsidRPr="008D151B">
        <w:rPr>
          <w:sz w:val="24"/>
          <w:szCs w:val="24"/>
        </w:rPr>
        <w:t xml:space="preserve"> Sen University</w:t>
      </w:r>
      <w:r w:rsidR="006642B4">
        <w:rPr>
          <w:sz w:val="24"/>
          <w:szCs w:val="24"/>
        </w:rPr>
        <w:t xml:space="preserve">, </w:t>
      </w:r>
      <w:r w:rsidRPr="008D151B">
        <w:rPr>
          <w:sz w:val="24"/>
          <w:szCs w:val="24"/>
        </w:rPr>
        <w:t>Kaohsiung, Taiwan</w:t>
      </w:r>
    </w:p>
    <w:bookmarkEnd w:id="3"/>
    <w:p w14:paraId="59D9DDEF" w14:textId="4A9968F6" w:rsidR="00CD2D8D" w:rsidRPr="00635867" w:rsidRDefault="00A71714" w:rsidP="008D151B">
      <w:pPr>
        <w:pStyle w:val="NoSpacing"/>
        <w:rPr>
          <w:sz w:val="32"/>
          <w:szCs w:val="24"/>
        </w:rPr>
      </w:pPr>
      <w:r w:rsidRPr="00635867">
        <w:rPr>
          <w:sz w:val="32"/>
          <w:szCs w:val="24"/>
        </w:rPr>
        <w:t>Yung-</w:t>
      </w:r>
      <w:r w:rsidR="00DB453D" w:rsidRPr="00635867">
        <w:rPr>
          <w:sz w:val="32"/>
          <w:szCs w:val="24"/>
        </w:rPr>
        <w:t>Hsien Chang</w:t>
      </w:r>
    </w:p>
    <w:p w14:paraId="013B452F" w14:textId="650333A8" w:rsidR="00CD2D8D" w:rsidRPr="008D151B" w:rsidRDefault="00DB453D" w:rsidP="008D151B">
      <w:pPr>
        <w:pStyle w:val="NoSpacing"/>
        <w:rPr>
          <w:sz w:val="24"/>
          <w:szCs w:val="24"/>
        </w:rPr>
      </w:pPr>
      <w:r w:rsidRPr="008D151B">
        <w:rPr>
          <w:sz w:val="24"/>
          <w:szCs w:val="24"/>
        </w:rPr>
        <w:t>China Medical College Hospital</w:t>
      </w:r>
      <w:r w:rsidR="006642B4">
        <w:rPr>
          <w:sz w:val="24"/>
          <w:szCs w:val="24"/>
        </w:rPr>
        <w:t xml:space="preserve">, </w:t>
      </w:r>
      <w:r w:rsidRPr="008D151B">
        <w:rPr>
          <w:sz w:val="24"/>
          <w:szCs w:val="24"/>
        </w:rPr>
        <w:t>Taichung, Taiwan</w:t>
      </w:r>
    </w:p>
    <w:p w14:paraId="2490D13D" w14:textId="352BBA2F" w:rsidR="00CD2D8D" w:rsidRPr="00635867" w:rsidRDefault="00204109" w:rsidP="008D151B">
      <w:pPr>
        <w:pStyle w:val="NoSpacing"/>
        <w:rPr>
          <w:sz w:val="32"/>
          <w:szCs w:val="24"/>
        </w:rPr>
      </w:pPr>
      <w:r w:rsidRPr="00635867">
        <w:rPr>
          <w:sz w:val="32"/>
          <w:szCs w:val="24"/>
        </w:rPr>
        <w:t>Chen-Wen Yen</w:t>
      </w:r>
    </w:p>
    <w:p w14:paraId="6E7F4BEE" w14:textId="01594A2B" w:rsidR="00CD2D8D" w:rsidRPr="008D151B" w:rsidRDefault="00204109" w:rsidP="008D151B">
      <w:pPr>
        <w:pStyle w:val="NoSpacing"/>
        <w:rPr>
          <w:sz w:val="24"/>
          <w:szCs w:val="24"/>
        </w:rPr>
      </w:pPr>
      <w:r w:rsidRPr="008D151B">
        <w:rPr>
          <w:sz w:val="24"/>
          <w:szCs w:val="24"/>
        </w:rPr>
        <w:t>Department of Mechanical and Electromechanical Engineering, National Sun-</w:t>
      </w:r>
      <w:proofErr w:type="spellStart"/>
      <w:r w:rsidRPr="008D151B">
        <w:rPr>
          <w:sz w:val="24"/>
          <w:szCs w:val="24"/>
        </w:rPr>
        <w:t>Yat</w:t>
      </w:r>
      <w:proofErr w:type="spellEnd"/>
      <w:r w:rsidRPr="008D151B">
        <w:rPr>
          <w:sz w:val="24"/>
          <w:szCs w:val="24"/>
        </w:rPr>
        <w:t xml:space="preserve"> Sen University</w:t>
      </w:r>
      <w:r w:rsidR="006642B4">
        <w:rPr>
          <w:sz w:val="24"/>
          <w:szCs w:val="24"/>
        </w:rPr>
        <w:t xml:space="preserve">, </w:t>
      </w:r>
      <w:r w:rsidRPr="008D151B">
        <w:rPr>
          <w:sz w:val="24"/>
          <w:szCs w:val="24"/>
        </w:rPr>
        <w:t>Kaohsiung, Taiwan</w:t>
      </w:r>
    </w:p>
    <w:p w14:paraId="7310C341" w14:textId="428921CA" w:rsidR="00CD2D8D" w:rsidRPr="00635867" w:rsidRDefault="00823FFC" w:rsidP="008D151B">
      <w:pPr>
        <w:pStyle w:val="NoSpacing"/>
        <w:rPr>
          <w:sz w:val="32"/>
          <w:szCs w:val="24"/>
        </w:rPr>
      </w:pPr>
      <w:proofErr w:type="spellStart"/>
      <w:r w:rsidRPr="00635867">
        <w:rPr>
          <w:sz w:val="32"/>
          <w:szCs w:val="24"/>
        </w:rPr>
        <w:t>Chinson</w:t>
      </w:r>
      <w:proofErr w:type="spellEnd"/>
      <w:r w:rsidRPr="00635867">
        <w:rPr>
          <w:sz w:val="32"/>
          <w:szCs w:val="24"/>
        </w:rPr>
        <w:t xml:space="preserve"> Yeh</w:t>
      </w:r>
    </w:p>
    <w:p w14:paraId="55608665" w14:textId="48533915" w:rsidR="00CD2D8D" w:rsidRPr="008D151B" w:rsidRDefault="00823FFC" w:rsidP="008D151B">
      <w:pPr>
        <w:pStyle w:val="NoSpacing"/>
        <w:rPr>
          <w:sz w:val="24"/>
          <w:szCs w:val="24"/>
        </w:rPr>
      </w:pPr>
      <w:r w:rsidRPr="008D151B">
        <w:rPr>
          <w:sz w:val="24"/>
          <w:szCs w:val="24"/>
        </w:rPr>
        <w:t>Department of Mechanical and Electromechanical Engineering, National Sun-</w:t>
      </w:r>
      <w:proofErr w:type="spellStart"/>
      <w:r w:rsidRPr="008D151B">
        <w:rPr>
          <w:sz w:val="24"/>
          <w:szCs w:val="24"/>
        </w:rPr>
        <w:t>Yat</w:t>
      </w:r>
      <w:proofErr w:type="spellEnd"/>
      <w:r w:rsidRPr="008D151B">
        <w:rPr>
          <w:sz w:val="24"/>
          <w:szCs w:val="24"/>
        </w:rPr>
        <w:t xml:space="preserve"> Sen University</w:t>
      </w:r>
      <w:r w:rsidR="006642B4">
        <w:rPr>
          <w:sz w:val="24"/>
          <w:szCs w:val="24"/>
        </w:rPr>
        <w:t xml:space="preserve">, </w:t>
      </w:r>
      <w:r w:rsidRPr="008D151B">
        <w:rPr>
          <w:sz w:val="24"/>
          <w:szCs w:val="24"/>
        </w:rPr>
        <w:t>Kaohsiung, Taiwan</w:t>
      </w:r>
    </w:p>
    <w:bookmarkEnd w:id="0"/>
    <w:p w14:paraId="0D541377" w14:textId="6A17F74D" w:rsidR="00C822E7" w:rsidRPr="00704262" w:rsidRDefault="00345DD5" w:rsidP="00704262">
      <w:pPr>
        <w:pStyle w:val="Heading1"/>
        <w:rPr>
          <w:rFonts w:eastAsia="Times New Roman"/>
          <w:color w:val="auto"/>
        </w:rPr>
      </w:pPr>
      <w:r w:rsidRPr="00704262">
        <w:rPr>
          <w:rFonts w:eastAsia="Times New Roman"/>
          <w:color w:val="auto"/>
        </w:rPr>
        <w:t>Abstract</w:t>
      </w:r>
    </w:p>
    <w:p w14:paraId="6D7B6B5C" w14:textId="77777777" w:rsidR="00C822E7" w:rsidRPr="00C822E7" w:rsidRDefault="00C822E7" w:rsidP="00326412">
      <w:pPr>
        <w:shd w:val="clear" w:color="auto" w:fill="FFFFFF" w:themeFill="background1"/>
        <w:spacing w:before="100" w:beforeAutospacing="1" w:after="100" w:afterAutospacing="1" w:line="240" w:lineRule="auto"/>
        <w:rPr>
          <w:rFonts w:eastAsia="Times New Roman" w:cstheme="minorHAnsi"/>
          <w:bCs/>
          <w:color w:val="000000"/>
        </w:rPr>
      </w:pPr>
      <w:r w:rsidRPr="00C822E7">
        <w:rPr>
          <w:rFonts w:eastAsia="Times New Roman" w:cstheme="minorHAnsi"/>
          <w:bCs/>
          <w:color w:val="000000"/>
        </w:rPr>
        <w:t>Several previous studies have investigated the gender difference of the fingerprint features. However, regarding to the statistical significance of such differences, inconsistent results have been obtained. To resolve this problem and to develop a method for gender determination, this work proposes and tests three fingertip features for gender determination. Fingerprints were obtained from 115 normal healthy adults comprised of 57 male and 58 female volunteers. All persons were born in Taiwan and were of Han nationality. The age range was18-35 years. The features of this study are ridge count, ridge density, and finger size, all three of which can easily be determined by counting and calculation. Experimental results show that the tested ridge density features alone are not very effective for gender determination. However, the proposed ridge count and finger size features of left little fingers are useful, achieving a classification accuracy of 75% (P-value&lt;0.001) and 79% (P-value&lt;0.001), respectively. The best classification result of 86% accuracy is obtained by using ridge count and finger size features together. This paper closes with a discussion of possible future research directions.</w:t>
      </w:r>
    </w:p>
    <w:p w14:paraId="32D28BEE" w14:textId="0C83C959" w:rsidR="00C822E7" w:rsidRPr="00C822E7" w:rsidRDefault="00345DD5" w:rsidP="00326412">
      <w:pPr>
        <w:shd w:val="clear" w:color="auto" w:fill="FFFFFF" w:themeFill="background1"/>
        <w:spacing w:before="100" w:beforeAutospacing="1" w:after="100" w:afterAutospacing="1" w:line="240" w:lineRule="auto"/>
        <w:rPr>
          <w:rFonts w:eastAsia="Times New Roman" w:cstheme="minorHAnsi"/>
          <w:b/>
          <w:bCs/>
          <w:color w:val="000000"/>
        </w:rPr>
      </w:pPr>
      <w:r w:rsidRPr="00C822E7">
        <w:rPr>
          <w:rStyle w:val="Heading1Char"/>
          <w:color w:val="auto"/>
        </w:rPr>
        <w:t>Keywords</w:t>
      </w:r>
      <w:r w:rsidR="00C822E7" w:rsidRPr="00C822E7">
        <w:rPr>
          <w:rStyle w:val="Heading1Char"/>
          <w:color w:val="auto"/>
        </w:rPr>
        <w:t>:</w:t>
      </w:r>
      <w:r w:rsidR="00C822E7" w:rsidRPr="00C822E7">
        <w:rPr>
          <w:rFonts w:eastAsia="Times New Roman" w:cstheme="minorHAnsi"/>
          <w:bCs/>
        </w:rPr>
        <w:t> </w:t>
      </w:r>
      <w:r w:rsidR="00C822E7" w:rsidRPr="00C822E7">
        <w:rPr>
          <w:rFonts w:eastAsia="Times New Roman" w:cstheme="minorHAnsi"/>
          <w:bCs/>
          <w:color w:val="000000"/>
        </w:rPr>
        <w:t>Gender determination; Fingerprint; Dermatoglyphic; Sex determination</w:t>
      </w:r>
    </w:p>
    <w:p w14:paraId="524EE554" w14:textId="080DBFD4" w:rsidR="00C822E7" w:rsidRPr="00704262" w:rsidRDefault="00345DD5" w:rsidP="00704262">
      <w:pPr>
        <w:pStyle w:val="Heading1"/>
        <w:rPr>
          <w:rFonts w:eastAsia="Times New Roman"/>
          <w:color w:val="auto"/>
        </w:rPr>
      </w:pPr>
      <w:r w:rsidRPr="00704262">
        <w:rPr>
          <w:rFonts w:eastAsia="Times New Roman"/>
          <w:color w:val="auto"/>
        </w:rPr>
        <w:lastRenderedPageBreak/>
        <w:t>Introduction</w:t>
      </w:r>
    </w:p>
    <w:p w14:paraId="37C0A660" w14:textId="48678FD1"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Many human body features have been used to estimate sex/gender. Some of recent examples include foot print ratio,</w:t>
      </w:r>
      <w:r w:rsidRPr="00345DD5">
        <w:rPr>
          <w:rFonts w:eastAsia="Times New Roman" w:cstheme="minorHAnsi"/>
          <w:b/>
          <w:bCs/>
          <w:color w:val="000000"/>
          <w:vertAlign w:val="superscript"/>
        </w:rPr>
        <w:t>1</w:t>
      </w:r>
      <w:r w:rsidRPr="00C822E7">
        <w:rPr>
          <w:rFonts w:eastAsia="Times New Roman" w:cstheme="minorHAnsi"/>
          <w:color w:val="000000"/>
        </w:rPr>
        <w:t> metatarsals,</w:t>
      </w:r>
      <w:r w:rsidRPr="00345DD5">
        <w:rPr>
          <w:rFonts w:eastAsia="Times New Roman" w:cstheme="minorHAnsi"/>
          <w:b/>
          <w:bCs/>
          <w:color w:val="000000"/>
          <w:vertAlign w:val="superscript"/>
        </w:rPr>
        <w:t>2</w:t>
      </w:r>
      <w:r w:rsidRPr="00C822E7">
        <w:rPr>
          <w:rFonts w:eastAsia="Times New Roman" w:cstheme="minorHAnsi"/>
          <w:color w:val="000000"/>
        </w:rPr>
        <w:t> humerus,</w:t>
      </w:r>
      <w:r w:rsidRPr="00345DD5">
        <w:rPr>
          <w:rFonts w:eastAsia="Times New Roman" w:cstheme="minorHAnsi"/>
          <w:b/>
          <w:bCs/>
          <w:color w:val="000000"/>
          <w:vertAlign w:val="superscript"/>
        </w:rPr>
        <w:t>3</w:t>
      </w:r>
      <w:r w:rsidRPr="00C822E7">
        <w:rPr>
          <w:rFonts w:eastAsia="Times New Roman" w:cstheme="minorHAnsi"/>
          <w:b/>
          <w:bCs/>
          <w:color w:val="000000"/>
        </w:rPr>
        <w:t> </w:t>
      </w:r>
      <w:r w:rsidRPr="00C822E7">
        <w:rPr>
          <w:rFonts w:eastAsia="Times New Roman" w:cstheme="minorHAnsi"/>
          <w:color w:val="000000"/>
        </w:rPr>
        <w:t>long bones of the arm,</w:t>
      </w:r>
      <w:r w:rsidRPr="00345DD5">
        <w:rPr>
          <w:rFonts w:eastAsia="Times New Roman" w:cstheme="minorHAnsi"/>
          <w:b/>
          <w:bCs/>
          <w:color w:val="000000"/>
          <w:vertAlign w:val="superscript"/>
        </w:rPr>
        <w:t>4</w:t>
      </w:r>
      <w:r w:rsidRPr="00C822E7">
        <w:rPr>
          <w:rFonts w:eastAsia="Times New Roman" w:cstheme="minorHAnsi"/>
          <w:color w:val="000000"/>
        </w:rPr>
        <w:t> foot shape,</w:t>
      </w:r>
      <w:r w:rsidRPr="00345DD5">
        <w:rPr>
          <w:rFonts w:eastAsia="Times New Roman" w:cstheme="minorHAnsi"/>
          <w:b/>
          <w:bCs/>
          <w:color w:val="000000"/>
          <w:vertAlign w:val="superscript"/>
        </w:rPr>
        <w:t>5</w:t>
      </w:r>
      <w:r w:rsidRPr="00C822E7">
        <w:rPr>
          <w:rFonts w:eastAsia="Times New Roman" w:cstheme="minorHAnsi"/>
          <w:color w:val="000000"/>
        </w:rPr>
        <w:t> femoral head,</w:t>
      </w:r>
      <w:r w:rsidRPr="00345DD5">
        <w:rPr>
          <w:rFonts w:eastAsia="Times New Roman" w:cstheme="minorHAnsi"/>
          <w:b/>
          <w:bCs/>
          <w:color w:val="000000"/>
          <w:vertAlign w:val="superscript"/>
        </w:rPr>
        <w:t>6</w:t>
      </w:r>
      <w:r w:rsidRPr="00C822E7">
        <w:rPr>
          <w:rFonts w:eastAsia="Times New Roman" w:cstheme="minorHAnsi"/>
          <w:color w:val="000000"/>
        </w:rPr>
        <w:t> foot and shoe dimensions,</w:t>
      </w:r>
      <w:r w:rsidRPr="00345DD5">
        <w:rPr>
          <w:rFonts w:eastAsia="Times New Roman" w:cstheme="minorHAnsi"/>
          <w:b/>
          <w:bCs/>
          <w:color w:val="000000"/>
          <w:vertAlign w:val="superscript"/>
        </w:rPr>
        <w:t>7</w:t>
      </w:r>
      <w:r w:rsidRPr="00C822E7">
        <w:rPr>
          <w:rFonts w:eastAsia="Times New Roman" w:cstheme="minorHAnsi"/>
          <w:color w:val="000000"/>
        </w:rPr>
        <w:t> patella,</w:t>
      </w:r>
      <w:r w:rsidRPr="00345DD5">
        <w:rPr>
          <w:rFonts w:eastAsia="Times New Roman" w:cstheme="minorHAnsi"/>
          <w:b/>
          <w:bCs/>
          <w:color w:val="000000"/>
          <w:vertAlign w:val="superscript"/>
        </w:rPr>
        <w:t>8</w:t>
      </w:r>
      <w:r w:rsidRPr="00C822E7">
        <w:rPr>
          <w:rFonts w:eastAsia="Times New Roman" w:cstheme="minorHAnsi"/>
          <w:color w:val="000000"/>
        </w:rPr>
        <w:t> teeth,</w:t>
      </w:r>
      <w:r w:rsidRPr="00345DD5">
        <w:rPr>
          <w:rFonts w:eastAsia="Times New Roman" w:cstheme="minorHAnsi"/>
          <w:b/>
          <w:bCs/>
          <w:color w:val="000000"/>
          <w:vertAlign w:val="superscript"/>
        </w:rPr>
        <w:t>9</w:t>
      </w:r>
      <w:r w:rsidRPr="00C822E7">
        <w:rPr>
          <w:rFonts w:eastAsia="Times New Roman" w:cstheme="minorHAnsi"/>
          <w:color w:val="000000"/>
        </w:rPr>
        <w:t> and radial and ulnar bone lengths.</w:t>
      </w:r>
      <w:r w:rsidRPr="00345DD5">
        <w:rPr>
          <w:rFonts w:eastAsia="Times New Roman" w:cstheme="minorHAnsi"/>
          <w:b/>
          <w:bCs/>
          <w:color w:val="000000"/>
          <w:vertAlign w:val="superscript"/>
        </w:rPr>
        <w:t>10</w:t>
      </w:r>
      <w:r w:rsidRPr="00345DD5">
        <w:rPr>
          <w:rFonts w:eastAsia="Times New Roman" w:cstheme="minorHAnsi"/>
          <w:color w:val="000000"/>
          <w:vertAlign w:val="superscript"/>
        </w:rPr>
        <w:t> </w:t>
      </w:r>
      <w:r w:rsidRPr="00C822E7">
        <w:rPr>
          <w:rFonts w:eastAsia="Times New Roman" w:cstheme="minorHAnsi"/>
          <w:color w:val="000000"/>
        </w:rPr>
        <w:t>Due to their uniqueness and immutability, fingerprints are also one of the most commonly employed biometric features.</w:t>
      </w:r>
      <w:r w:rsidRPr="00345DD5">
        <w:rPr>
          <w:rFonts w:eastAsia="Times New Roman" w:cstheme="minorHAnsi"/>
          <w:b/>
          <w:bCs/>
          <w:color w:val="000000"/>
          <w:vertAlign w:val="superscript"/>
        </w:rPr>
        <w:t>11</w:t>
      </w:r>
      <w:r w:rsidRPr="00C822E7">
        <w:rPr>
          <w:rFonts w:eastAsia="Times New Roman" w:cstheme="minorHAnsi"/>
          <w:color w:val="000000"/>
        </w:rPr>
        <w:t xml:space="preserve"> Fingerprints have become increasingly popular for personal identification and verification in applications including banking security and physical access control. Despite many </w:t>
      </w:r>
      <w:proofErr w:type="gramStart"/>
      <w:r w:rsidRPr="00C822E7">
        <w:rPr>
          <w:rFonts w:eastAsia="Times New Roman" w:cstheme="minorHAnsi"/>
          <w:color w:val="000000"/>
        </w:rPr>
        <w:t>well developed</w:t>
      </w:r>
      <w:proofErr w:type="gramEnd"/>
      <w:r w:rsidRPr="00C822E7">
        <w:rPr>
          <w:rFonts w:eastAsia="Times New Roman" w:cstheme="minorHAnsi"/>
          <w:color w:val="000000"/>
        </w:rPr>
        <w:t xml:space="preserve"> fingerprint matching techniques and a wide range of biometric applications, a reliable fingerprint based gender determination method does not seem to be available.</w:t>
      </w:r>
    </w:p>
    <w:p w14:paraId="74BB8910" w14:textId="1B533EB6"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Although it has been found that males tend to have more ridge counts than females,</w:t>
      </w:r>
      <w:r w:rsidRPr="00345DD5">
        <w:rPr>
          <w:rFonts w:eastAsia="Times New Roman" w:cstheme="minorHAnsi"/>
          <w:b/>
          <w:bCs/>
          <w:color w:val="000000"/>
          <w:vertAlign w:val="superscript"/>
        </w:rPr>
        <w:t>12-15</w:t>
      </w:r>
      <w:r w:rsidRPr="00C822E7">
        <w:rPr>
          <w:rFonts w:eastAsia="Times New Roman" w:cstheme="minorHAnsi"/>
          <w:color w:val="000000"/>
        </w:rPr>
        <w:t> inconsistent results have been obtained with regard to the statistical significance of this sex difference.</w:t>
      </w:r>
      <w:r w:rsidRPr="00345DD5">
        <w:rPr>
          <w:rFonts w:eastAsia="Times New Roman" w:cstheme="minorHAnsi"/>
          <w:b/>
          <w:bCs/>
          <w:color w:val="000000"/>
          <w:vertAlign w:val="superscript"/>
        </w:rPr>
        <w:t>16-18</w:t>
      </w:r>
      <w:r w:rsidRPr="00C822E7">
        <w:rPr>
          <w:rFonts w:eastAsia="Times New Roman" w:cstheme="minorHAnsi"/>
          <w:color w:val="000000"/>
        </w:rPr>
        <w:t> It has also been shown that women tend to have a higher ridge density (ridge counts divided by the size of the corresponding fingertip area) than men but the sex determination accuracy of this feature does not seem to be very satisfactory.</w:t>
      </w:r>
      <w:r w:rsidRPr="00345DD5">
        <w:rPr>
          <w:rFonts w:eastAsia="Times New Roman" w:cstheme="minorHAnsi"/>
          <w:b/>
          <w:bCs/>
          <w:color w:val="000000"/>
          <w:vertAlign w:val="superscript"/>
        </w:rPr>
        <w:t>19</w:t>
      </w:r>
    </w:p>
    <w:p w14:paraId="598622FF"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The size of the fingertip has a strong relationship to the values of ridge counts and ridge density. If males have more ridge counts and smaller ridge densities than females, then the finger size difference between males and females should be more significant than the features of ridge count and ridge density.</w:t>
      </w:r>
    </w:p>
    <w:p w14:paraId="09F977F7"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This work introduces and investigates gender determination methods based on finger related features. To achieve this goal, a new ridge count criterion is proposed that accounts for more ridges than the conventional approach. In addition, instead of comparing the total ridge count of the hands, ridge count on a finger-to-finger basis is explored. Finally, the potential of finger size for sex discrimination is investigated. Experimental results demonstrate the effectiveness of the proposed features for gender determination.</w:t>
      </w:r>
    </w:p>
    <w:p w14:paraId="427C04B7" w14:textId="72F6D6B3" w:rsidR="00C822E7" w:rsidRPr="00550361" w:rsidRDefault="00345DD5" w:rsidP="00550361">
      <w:pPr>
        <w:pStyle w:val="Heading1"/>
        <w:rPr>
          <w:rFonts w:eastAsia="Times New Roman"/>
          <w:color w:val="auto"/>
        </w:rPr>
      </w:pPr>
      <w:r w:rsidRPr="00550361">
        <w:rPr>
          <w:rFonts w:eastAsia="Times New Roman"/>
          <w:color w:val="auto"/>
        </w:rPr>
        <w:t>Material and Method</w:t>
      </w:r>
    </w:p>
    <w:p w14:paraId="2ACDACFC"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In this work, fingertip images were obtained from 115 normal healthy adults comprised of 57 male and 58 female volunteers. All persons were born in Taiwan and were of Han nationality. The age range was18-35 years.</w:t>
      </w:r>
    </w:p>
    <w:p w14:paraId="2F72047B" w14:textId="7C2D4854"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Traditionally, fingerprints have been extracted by creating an inked impression of the fingertip on paper. However, this acquisition procedure is sensitive to environmental factors and skin condition.</w:t>
      </w:r>
      <w:r w:rsidRPr="00345DD5">
        <w:rPr>
          <w:rFonts w:eastAsia="Times New Roman" w:cstheme="minorHAnsi"/>
          <w:b/>
          <w:bCs/>
          <w:color w:val="000000"/>
          <w:vertAlign w:val="superscript"/>
        </w:rPr>
        <w:t>20</w:t>
      </w:r>
      <w:r w:rsidRPr="00C822E7">
        <w:rPr>
          <w:rFonts w:eastAsia="Times New Roman" w:cstheme="minorHAnsi"/>
          <w:color w:val="000000"/>
        </w:rPr>
        <w:t> Since many fingerprint images acquired this way are of poor quality, this work relies on fingertip images captured using a digital camera (Canon G3, resolution 2272 ´ 1702 pixels). </w:t>
      </w:r>
      <w:r w:rsidRPr="00C822E7">
        <w:rPr>
          <w:rFonts w:eastAsia="Times New Roman" w:cstheme="minorHAnsi"/>
          <w:b/>
          <w:bCs/>
          <w:color w:val="000000"/>
        </w:rPr>
        <w:t>Figure 1</w:t>
      </w:r>
      <w:r w:rsidRPr="00C822E7">
        <w:rPr>
          <w:rFonts w:eastAsia="Times New Roman" w:cstheme="minorHAnsi"/>
          <w:color w:val="000000"/>
        </w:rPr>
        <w:t> gives an example of such an image. (Based on our experience, taking pictures of thumbs is much more time consuming than other fingers. As such, this work has not studied images from thumbs.)</w:t>
      </w:r>
    </w:p>
    <w:tbl>
      <w:tblPr>
        <w:tblStyle w:val="TableGridLight"/>
        <w:tblW w:w="4000" w:type="pct"/>
        <w:tblLook w:val="04A0" w:firstRow="1" w:lastRow="0" w:firstColumn="1" w:lastColumn="0" w:noHBand="0" w:noVBand="1"/>
      </w:tblPr>
      <w:tblGrid>
        <w:gridCol w:w="8056"/>
      </w:tblGrid>
      <w:tr w:rsidR="00C822E7" w:rsidRPr="00C822E7" w14:paraId="04482B1D" w14:textId="77777777" w:rsidTr="00625C49">
        <w:tc>
          <w:tcPr>
            <w:tcW w:w="0" w:type="auto"/>
            <w:hideMark/>
          </w:tcPr>
          <w:p w14:paraId="4422C0B8" w14:textId="10D8B0AE" w:rsidR="00C822E7" w:rsidRPr="00C822E7" w:rsidRDefault="00C822E7" w:rsidP="00326412">
            <w:pPr>
              <w:shd w:val="clear" w:color="auto" w:fill="FFFFFF" w:themeFill="background1"/>
              <w:jc w:val="center"/>
              <w:rPr>
                <w:rFonts w:eastAsia="Times New Roman" w:cstheme="minorHAnsi"/>
              </w:rPr>
            </w:pPr>
            <w:r w:rsidRPr="00704262">
              <w:rPr>
                <w:rFonts w:eastAsia="Times New Roman" w:cstheme="minorHAnsi"/>
                <w:noProof/>
              </w:rPr>
              <w:drawing>
                <wp:inline distT="0" distB="0" distL="0" distR="0" wp14:anchorId="6374ED5D" wp14:editId="7414C86F">
                  <wp:extent cx="2743200" cy="1883664"/>
                  <wp:effectExtent l="0" t="0" r="0" b="2540"/>
                  <wp:docPr id="6" name="Picture 6" descr="Figure 1: Triradial and core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kspublication.com/paper04_jul-dec2008/Figur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tc>
      </w:tr>
      <w:tr w:rsidR="00C822E7" w:rsidRPr="00C822E7" w14:paraId="31472593" w14:textId="77777777" w:rsidTr="00625C49">
        <w:tc>
          <w:tcPr>
            <w:tcW w:w="0" w:type="auto"/>
            <w:hideMark/>
          </w:tcPr>
          <w:p w14:paraId="5FAAA9F6" w14:textId="77777777" w:rsidR="00C822E7" w:rsidRPr="00C822E7" w:rsidRDefault="00C822E7" w:rsidP="00326412">
            <w:pPr>
              <w:shd w:val="clear" w:color="auto" w:fill="FFFFFF" w:themeFill="background1"/>
              <w:spacing w:line="270" w:lineRule="atLeast"/>
              <w:jc w:val="center"/>
              <w:textAlignment w:val="baseline"/>
              <w:rPr>
                <w:rFonts w:eastAsia="Times New Roman" w:cstheme="minorHAnsi"/>
                <w:color w:val="000000"/>
              </w:rPr>
            </w:pPr>
            <w:r w:rsidRPr="00C822E7">
              <w:rPr>
                <w:rFonts w:eastAsia="Times New Roman" w:cstheme="minorHAnsi"/>
                <w:b/>
                <w:bCs/>
                <w:color w:val="000000"/>
              </w:rPr>
              <w:t>Figure 1: Triradial and core points</w:t>
            </w:r>
          </w:p>
        </w:tc>
      </w:tr>
    </w:tbl>
    <w:p w14:paraId="11793EC3"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lastRenderedPageBreak/>
        <w:t xml:space="preserve">Ridge count is traditionally defined as the number of ridges intersected by a line between the triradial points (also called the delta point) and the core point. The core is the topmost point of the innermost curving ridge and the </w:t>
      </w:r>
      <w:proofErr w:type="spellStart"/>
      <w:r w:rsidRPr="00C822E7">
        <w:rPr>
          <w:rFonts w:eastAsia="Times New Roman" w:cstheme="minorHAnsi"/>
          <w:color w:val="000000"/>
        </w:rPr>
        <w:t>triradius</w:t>
      </w:r>
      <w:proofErr w:type="spellEnd"/>
      <w:r w:rsidRPr="00C822E7">
        <w:rPr>
          <w:rFonts w:eastAsia="Times New Roman" w:cstheme="minorHAnsi"/>
          <w:color w:val="000000"/>
        </w:rPr>
        <w:t xml:space="preserve"> is defined as the meeting place of three dermal lines that make angles of approximately 120° with one another, as shown in </w:t>
      </w:r>
      <w:r w:rsidRPr="00C822E7">
        <w:rPr>
          <w:rFonts w:eastAsia="Times New Roman" w:cstheme="minorHAnsi"/>
          <w:b/>
          <w:bCs/>
          <w:color w:val="000000"/>
        </w:rPr>
        <w:t>Figure 2</w:t>
      </w:r>
      <w:r w:rsidRPr="00C822E7">
        <w:rPr>
          <w:rFonts w:eastAsia="Times New Roman" w:cstheme="minorHAnsi"/>
          <w:color w:val="000000"/>
        </w:rPr>
        <w:t>.</w:t>
      </w:r>
    </w:p>
    <w:tbl>
      <w:tblPr>
        <w:tblStyle w:val="TableGridLight"/>
        <w:tblW w:w="4000" w:type="pct"/>
        <w:tblLook w:val="04A0" w:firstRow="1" w:lastRow="0" w:firstColumn="1" w:lastColumn="0" w:noHBand="0" w:noVBand="1"/>
      </w:tblPr>
      <w:tblGrid>
        <w:gridCol w:w="8056"/>
      </w:tblGrid>
      <w:tr w:rsidR="00C822E7" w:rsidRPr="00C822E7" w14:paraId="328C59FB" w14:textId="77777777" w:rsidTr="00625C49">
        <w:tc>
          <w:tcPr>
            <w:tcW w:w="0" w:type="auto"/>
            <w:hideMark/>
          </w:tcPr>
          <w:p w14:paraId="736987D1" w14:textId="4247E5C2" w:rsidR="00C822E7" w:rsidRPr="00C822E7" w:rsidRDefault="00C822E7" w:rsidP="00326412">
            <w:pPr>
              <w:shd w:val="clear" w:color="auto" w:fill="FFFFFF" w:themeFill="background1"/>
              <w:jc w:val="center"/>
              <w:rPr>
                <w:rFonts w:eastAsia="Times New Roman" w:cstheme="minorHAnsi"/>
              </w:rPr>
            </w:pPr>
            <w:r w:rsidRPr="00704262">
              <w:rPr>
                <w:rFonts w:eastAsia="Times New Roman" w:cstheme="minorHAnsi"/>
                <w:noProof/>
              </w:rPr>
              <w:drawing>
                <wp:inline distT="0" distB="0" distL="0" distR="0" wp14:anchorId="17C30266" wp14:editId="640CAB51">
                  <wp:extent cx="3476625" cy="2382132"/>
                  <wp:effectExtent l="0" t="0" r="0" b="0"/>
                  <wp:docPr id="5" name="Picture 5" descr="Figure 2: The line of 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akspublication.com/paper04_jul-dec2008/Figure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18529" cy="2410844"/>
                          </a:xfrm>
                          <a:prstGeom prst="rect">
                            <a:avLst/>
                          </a:prstGeom>
                          <a:noFill/>
                          <a:ln>
                            <a:noFill/>
                          </a:ln>
                        </pic:spPr>
                      </pic:pic>
                    </a:graphicData>
                  </a:graphic>
                </wp:inline>
              </w:drawing>
            </w:r>
          </w:p>
        </w:tc>
      </w:tr>
      <w:tr w:rsidR="00C822E7" w:rsidRPr="00C822E7" w14:paraId="2FDF8940" w14:textId="77777777" w:rsidTr="00625C49">
        <w:tc>
          <w:tcPr>
            <w:tcW w:w="0" w:type="auto"/>
            <w:hideMark/>
          </w:tcPr>
          <w:p w14:paraId="4D64D22B" w14:textId="77777777" w:rsidR="00C822E7" w:rsidRPr="00C822E7" w:rsidRDefault="00C822E7" w:rsidP="00326412">
            <w:pPr>
              <w:shd w:val="clear" w:color="auto" w:fill="FFFFFF" w:themeFill="background1"/>
              <w:jc w:val="center"/>
              <w:textAlignment w:val="baseline"/>
              <w:rPr>
                <w:rFonts w:eastAsia="Times New Roman" w:cstheme="minorHAnsi"/>
              </w:rPr>
            </w:pPr>
            <w:r w:rsidRPr="00C822E7">
              <w:rPr>
                <w:rFonts w:eastAsia="Times New Roman" w:cstheme="minorHAnsi"/>
                <w:b/>
                <w:bCs/>
                <w:color w:val="000000"/>
              </w:rPr>
              <w:t>Figure 2: The line of interest</w:t>
            </w:r>
          </w:p>
        </w:tc>
      </w:tr>
    </w:tbl>
    <w:p w14:paraId="2DA1169F"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This ridge count measure has several weaknesses. First, some fingers have no triradial points and other fingers may have more than one. Second, due to the randomness of the locations of the core and triradial points and the fact that the line that joins these two points only covers a small portion of the fingertip, it is questionable whether the traditional ridge count measure can reliably represent the overall ridge count of the finger. To remedy these problems, the ridge count feature used in this work is determined by the following procedure:</w:t>
      </w:r>
    </w:p>
    <w:p w14:paraId="17ED9859"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From the image captured by the digital camera, segment the finger by finding the skin-color region of the image.</w:t>
      </w:r>
    </w:p>
    <w:p w14:paraId="10FA45DB"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Based on the boundary of the segmented finger region, determine a symmetrical axis for the finger.</w:t>
      </w:r>
    </w:p>
    <w:p w14:paraId="6C56ACE3"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Draw a line passing through the core point that is perpendicular to the symmetrical axis determined in the previous step.</w:t>
      </w:r>
    </w:p>
    <w:p w14:paraId="5433617F"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Determine the line segment of interest by first finding the intersection of the line drawn in the previous step and the segmented finger region obtained in step 1.</w:t>
      </w:r>
    </w:p>
    <w:p w14:paraId="523027AB"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Shorten the line segment of interest by removing 5% of its length from both ends of the line since in such regions the finger surface often varies rapidly, making accurate ridge counting rather difficult.</w:t>
      </w:r>
    </w:p>
    <w:p w14:paraId="1C6E9F7E"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Determine the ridge count by counting the number of ridges along the line segment from the previous step.</w:t>
      </w:r>
    </w:p>
    <w:p w14:paraId="5AE96C7A" w14:textId="77777777" w:rsidR="00C822E7" w:rsidRPr="00C822E7" w:rsidRDefault="00C822E7" w:rsidP="00326412">
      <w:pPr>
        <w:numPr>
          <w:ilvl w:val="0"/>
          <w:numId w:val="1"/>
        </w:num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Determine the length of the line segment of interest. Note that this work uses this length to characterize the size of the finger.</w:t>
      </w:r>
    </w:p>
    <w:p w14:paraId="47F37E01" w14:textId="77777777" w:rsidR="00C822E7" w:rsidRPr="00C822E7" w:rsidRDefault="00C822E7" w:rsidP="00326412">
      <w:pPr>
        <w:shd w:val="clear" w:color="auto" w:fill="FFFFFF" w:themeFill="background1"/>
        <w:spacing w:before="100" w:beforeAutospacing="1" w:after="100" w:afterAutospacing="1" w:line="240" w:lineRule="auto"/>
        <w:rPr>
          <w:rFonts w:eastAsia="Times New Roman" w:cstheme="minorHAnsi"/>
          <w:color w:val="000000"/>
        </w:rPr>
      </w:pPr>
      <w:proofErr w:type="gramStart"/>
      <w:r w:rsidRPr="00C822E7">
        <w:rPr>
          <w:rFonts w:eastAsia="Times New Roman" w:cstheme="minorHAnsi"/>
          <w:color w:val="000000"/>
        </w:rPr>
        <w:t>With the exception of</w:t>
      </w:r>
      <w:proofErr w:type="gramEnd"/>
      <w:r w:rsidRPr="00C822E7">
        <w:rPr>
          <w:rFonts w:eastAsia="Times New Roman" w:cstheme="minorHAnsi"/>
          <w:color w:val="000000"/>
        </w:rPr>
        <w:t xml:space="preserve"> core point detection and ridge number counting, the procedure can be executed automatically using a computer program. The line segment employed in this work, as shown in </w:t>
      </w:r>
      <w:r w:rsidRPr="00C822E7">
        <w:rPr>
          <w:rFonts w:eastAsia="Times New Roman" w:cstheme="minorHAnsi"/>
          <w:b/>
          <w:bCs/>
          <w:color w:val="000000"/>
        </w:rPr>
        <w:t>Figure 2</w:t>
      </w:r>
      <w:r w:rsidRPr="00C822E7">
        <w:rPr>
          <w:rFonts w:eastAsia="Times New Roman" w:cstheme="minorHAnsi"/>
          <w:color w:val="000000"/>
        </w:rPr>
        <w:t>, intersects the entire finger. Consequently, the number of ridges obtained by the proposed approach is considerably larger than that found conventionally. It is posited that the proposed ridge count measure can characterize the ridge count of the entire finger and offers a more meaningful metric.</w:t>
      </w:r>
    </w:p>
    <w:p w14:paraId="6335C59A" w14:textId="70B34F15" w:rsidR="00C822E7" w:rsidRPr="00550361" w:rsidRDefault="00C53A16" w:rsidP="00550361">
      <w:pPr>
        <w:pStyle w:val="Heading1"/>
        <w:rPr>
          <w:rFonts w:eastAsia="Times New Roman"/>
          <w:color w:val="auto"/>
        </w:rPr>
      </w:pPr>
      <w:r w:rsidRPr="00550361">
        <w:rPr>
          <w:rFonts w:eastAsia="Times New Roman"/>
          <w:color w:val="auto"/>
        </w:rPr>
        <w:lastRenderedPageBreak/>
        <w:t>Results</w:t>
      </w:r>
    </w:p>
    <w:p w14:paraId="20EA8B99" w14:textId="37920458"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The proposed features were tested by performing a series of gender discrimination experiments. With the multilayered perceptron (MLP) as the classifier,</w:t>
      </w:r>
      <w:r w:rsidRPr="00C53A16">
        <w:rPr>
          <w:rFonts w:eastAsia="Times New Roman" w:cstheme="minorHAnsi"/>
          <w:b/>
          <w:bCs/>
          <w:color w:val="000000"/>
          <w:vertAlign w:val="superscript"/>
        </w:rPr>
        <w:t>21</w:t>
      </w:r>
      <w:r w:rsidRPr="00C822E7">
        <w:rPr>
          <w:rFonts w:eastAsia="Times New Roman" w:cstheme="minorHAnsi"/>
          <w:color w:val="000000"/>
        </w:rPr>
        <w:t> the dataset was divided into training, validation and testing subsets with an 8:1:1 ratio. The training subset is used to adjust the connection weights of the MLP, the validation subset is used by the early-stop technique to avoid overfitting, and the testing subset is used to characterize the generalization accuracy of the MLP. For the sake of reliability, the training process was repeated 1000 times using randomly partitioned training, validation and testing subsets. The sample mean and standard deviation values of the testing subset classification accuracy are reported.</w:t>
      </w:r>
    </w:p>
    <w:p w14:paraId="60FA4093"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In presenting the experimental results, the index, middle, ring and little fingers of the right and left hands are represented by </w:t>
      </w:r>
      <w:r w:rsidRPr="00C822E7">
        <w:rPr>
          <w:rFonts w:eastAsia="Times New Roman" w:cstheme="minorHAnsi"/>
          <w:i/>
          <w:iCs/>
          <w:color w:val="000000"/>
        </w:rPr>
        <w:t>R</w:t>
      </w:r>
      <w:r w:rsidRPr="00C822E7">
        <w:rPr>
          <w:rFonts w:eastAsia="Times New Roman" w:cstheme="minorHAnsi"/>
          <w:i/>
          <w:iCs/>
          <w:color w:val="000000"/>
          <w:vertAlign w:val="subscript"/>
        </w:rPr>
        <w:t>2</w:t>
      </w:r>
      <w:r w:rsidRPr="00C822E7">
        <w:rPr>
          <w:rFonts w:eastAsia="Times New Roman" w:cstheme="minorHAnsi"/>
          <w:i/>
          <w:iCs/>
          <w:color w:val="000000"/>
        </w:rPr>
        <w:t>, R</w:t>
      </w:r>
      <w:r w:rsidRPr="00C822E7">
        <w:rPr>
          <w:rFonts w:eastAsia="Times New Roman" w:cstheme="minorHAnsi"/>
          <w:i/>
          <w:iCs/>
          <w:color w:val="000000"/>
          <w:vertAlign w:val="subscript"/>
        </w:rPr>
        <w:t>3</w:t>
      </w:r>
      <w:r w:rsidRPr="00C822E7">
        <w:rPr>
          <w:rFonts w:eastAsia="Times New Roman" w:cstheme="minorHAnsi"/>
          <w:i/>
          <w:iCs/>
          <w:color w:val="000000"/>
        </w:rPr>
        <w:t>, R</w:t>
      </w:r>
      <w:r w:rsidRPr="00C822E7">
        <w:rPr>
          <w:rFonts w:eastAsia="Times New Roman" w:cstheme="minorHAnsi"/>
          <w:i/>
          <w:iCs/>
          <w:color w:val="000000"/>
          <w:vertAlign w:val="subscript"/>
        </w:rPr>
        <w:t>4</w:t>
      </w:r>
      <w:r w:rsidRPr="00C822E7">
        <w:rPr>
          <w:rFonts w:eastAsia="Times New Roman" w:cstheme="minorHAnsi"/>
          <w:i/>
          <w:iCs/>
          <w:color w:val="000000"/>
        </w:rPr>
        <w:t>, R</w:t>
      </w:r>
      <w:r w:rsidRPr="00C822E7">
        <w:rPr>
          <w:rFonts w:eastAsia="Times New Roman" w:cstheme="minorHAnsi"/>
          <w:i/>
          <w:iCs/>
          <w:color w:val="000000"/>
          <w:vertAlign w:val="subscript"/>
        </w:rPr>
        <w:t>5</w:t>
      </w:r>
      <w:r w:rsidRPr="00C822E7">
        <w:rPr>
          <w:rFonts w:eastAsia="Times New Roman" w:cstheme="minorHAnsi"/>
          <w:i/>
          <w:iCs/>
          <w:color w:val="000000"/>
        </w:rPr>
        <w:t>, L</w:t>
      </w:r>
      <w:r w:rsidRPr="00C822E7">
        <w:rPr>
          <w:rFonts w:eastAsia="Times New Roman" w:cstheme="minorHAnsi"/>
          <w:i/>
          <w:iCs/>
          <w:color w:val="000000"/>
          <w:vertAlign w:val="subscript"/>
        </w:rPr>
        <w:t>2</w:t>
      </w:r>
      <w:r w:rsidRPr="00C822E7">
        <w:rPr>
          <w:rFonts w:eastAsia="Times New Roman" w:cstheme="minorHAnsi"/>
          <w:i/>
          <w:iCs/>
          <w:color w:val="000000"/>
        </w:rPr>
        <w:t>, L</w:t>
      </w:r>
      <w:r w:rsidRPr="00C822E7">
        <w:rPr>
          <w:rFonts w:eastAsia="Times New Roman" w:cstheme="minorHAnsi"/>
          <w:i/>
          <w:iCs/>
          <w:color w:val="000000"/>
          <w:vertAlign w:val="subscript"/>
        </w:rPr>
        <w:t>3</w:t>
      </w:r>
      <w:r w:rsidRPr="00C822E7">
        <w:rPr>
          <w:rFonts w:eastAsia="Times New Roman" w:cstheme="minorHAnsi"/>
          <w:i/>
          <w:iCs/>
          <w:color w:val="000000"/>
        </w:rPr>
        <w:t>, L</w:t>
      </w:r>
      <w:r w:rsidRPr="00C822E7">
        <w:rPr>
          <w:rFonts w:eastAsia="Times New Roman" w:cstheme="minorHAnsi"/>
          <w:i/>
          <w:iCs/>
          <w:color w:val="000000"/>
          <w:vertAlign w:val="subscript"/>
        </w:rPr>
        <w:t>4</w:t>
      </w:r>
      <w:r w:rsidRPr="00C822E7">
        <w:rPr>
          <w:rFonts w:eastAsia="Times New Roman" w:cstheme="minorHAnsi"/>
          <w:i/>
          <w:iCs/>
          <w:color w:val="000000"/>
        </w:rPr>
        <w:t> and L</w:t>
      </w:r>
      <w:r w:rsidRPr="00C822E7">
        <w:rPr>
          <w:rFonts w:eastAsia="Times New Roman" w:cstheme="minorHAnsi"/>
          <w:i/>
          <w:iCs/>
          <w:color w:val="000000"/>
          <w:vertAlign w:val="subscript"/>
        </w:rPr>
        <w:t>5</w:t>
      </w:r>
      <w:r w:rsidRPr="00C822E7">
        <w:rPr>
          <w:rFonts w:eastAsia="Times New Roman" w:cstheme="minorHAnsi"/>
          <w:i/>
          <w:iCs/>
          <w:color w:val="000000"/>
        </w:rPr>
        <w:t>,</w:t>
      </w:r>
      <w:r w:rsidRPr="00C822E7">
        <w:rPr>
          <w:rFonts w:eastAsia="Times New Roman" w:cstheme="minorHAnsi"/>
          <w:color w:val="000000"/>
        </w:rPr>
        <w:t> respectively. Symbols </w:t>
      </w:r>
      <w:proofErr w:type="spellStart"/>
      <w:r w:rsidRPr="00C822E7">
        <w:rPr>
          <w:rFonts w:eastAsia="Times New Roman" w:cstheme="minorHAnsi"/>
          <w:i/>
          <w:iCs/>
          <w:color w:val="000000"/>
        </w:rPr>
        <w:t>m</w:t>
      </w:r>
      <w:r w:rsidRPr="00C822E7">
        <w:rPr>
          <w:rFonts w:eastAsia="Times New Roman" w:cstheme="minorHAnsi"/>
          <w:i/>
          <w:iCs/>
          <w:color w:val="000000"/>
          <w:vertAlign w:val="subscript"/>
        </w:rPr>
        <w:t>R</w:t>
      </w:r>
      <w:proofErr w:type="spellEnd"/>
      <w:r w:rsidRPr="00C822E7">
        <w:rPr>
          <w:rFonts w:eastAsia="Times New Roman" w:cstheme="minorHAnsi"/>
          <w:i/>
          <w:iCs/>
          <w:color w:val="000000"/>
        </w:rPr>
        <w:t>, m</w:t>
      </w:r>
      <w:r w:rsidRPr="00C822E7">
        <w:rPr>
          <w:rFonts w:eastAsia="Times New Roman" w:cstheme="minorHAnsi"/>
          <w:i/>
          <w:iCs/>
          <w:color w:val="000000"/>
          <w:vertAlign w:val="subscript"/>
        </w:rPr>
        <w:t>L</w:t>
      </w:r>
      <w:r w:rsidRPr="00C822E7">
        <w:rPr>
          <w:rFonts w:eastAsia="Times New Roman" w:cstheme="minorHAnsi"/>
          <w:i/>
          <w:iCs/>
          <w:color w:val="000000"/>
        </w:rPr>
        <w:t xml:space="preserve"> and </w:t>
      </w:r>
      <w:proofErr w:type="spellStart"/>
      <w:r w:rsidRPr="00C822E7">
        <w:rPr>
          <w:rFonts w:eastAsia="Times New Roman" w:cstheme="minorHAnsi"/>
          <w:i/>
          <w:iCs/>
          <w:color w:val="000000"/>
        </w:rPr>
        <w:t>m</w:t>
      </w:r>
      <w:r w:rsidRPr="00C822E7">
        <w:rPr>
          <w:rFonts w:eastAsia="Times New Roman" w:cstheme="minorHAnsi"/>
          <w:i/>
          <w:iCs/>
          <w:color w:val="000000"/>
          <w:vertAlign w:val="subscript"/>
        </w:rPr>
        <w:t>B</w:t>
      </w:r>
      <w:proofErr w:type="spellEnd"/>
      <w:r w:rsidRPr="00C822E7">
        <w:rPr>
          <w:rFonts w:eastAsia="Times New Roman" w:cstheme="minorHAnsi"/>
          <w:color w:val="000000"/>
        </w:rPr>
        <w:t> are used to signify the average of these fingers for right, left and both hands, respectively. In specific, they can be calculated by the following equations:</w:t>
      </w:r>
    </w:p>
    <w:p w14:paraId="7B8C38FE" w14:textId="77777777" w:rsidR="00C822E7" w:rsidRPr="00C822E7" w:rsidRDefault="00C822E7" w:rsidP="00326412">
      <w:pPr>
        <w:shd w:val="clear" w:color="auto" w:fill="FFFFFF" w:themeFill="background1"/>
        <w:spacing w:before="100" w:beforeAutospacing="1" w:after="100" w:afterAutospacing="1" w:line="270" w:lineRule="atLeast"/>
        <w:jc w:val="center"/>
        <w:rPr>
          <w:rFonts w:eastAsia="Times New Roman" w:cstheme="minorHAnsi"/>
          <w:color w:val="000000"/>
        </w:rPr>
      </w:pPr>
      <w:proofErr w:type="spellStart"/>
      <w:r w:rsidRPr="00C822E7">
        <w:rPr>
          <w:rFonts w:eastAsia="Times New Roman" w:cstheme="minorHAnsi"/>
          <w:i/>
          <w:iCs/>
          <w:color w:val="000000"/>
        </w:rPr>
        <w:t>m</w:t>
      </w:r>
      <w:r w:rsidRPr="00C822E7">
        <w:rPr>
          <w:rFonts w:eastAsia="Times New Roman" w:cstheme="minorHAnsi"/>
          <w:i/>
          <w:iCs/>
          <w:color w:val="000000"/>
          <w:vertAlign w:val="subscript"/>
        </w:rPr>
        <w:t>R</w:t>
      </w:r>
      <w:proofErr w:type="spellEnd"/>
      <w:r w:rsidRPr="00C822E7">
        <w:rPr>
          <w:rFonts w:eastAsia="Times New Roman" w:cstheme="minorHAnsi"/>
          <w:i/>
          <w:iCs/>
          <w:color w:val="000000"/>
        </w:rPr>
        <w:t> = ¼ (R</w:t>
      </w:r>
      <w:r w:rsidRPr="00C822E7">
        <w:rPr>
          <w:rFonts w:eastAsia="Times New Roman" w:cstheme="minorHAnsi"/>
          <w:i/>
          <w:iCs/>
          <w:color w:val="000000"/>
          <w:vertAlign w:val="subscript"/>
        </w:rPr>
        <w:t>2</w:t>
      </w:r>
      <w:r w:rsidRPr="00C822E7">
        <w:rPr>
          <w:rFonts w:eastAsia="Times New Roman" w:cstheme="minorHAnsi"/>
          <w:i/>
          <w:iCs/>
          <w:color w:val="000000"/>
        </w:rPr>
        <w:t> + R</w:t>
      </w:r>
      <w:r w:rsidRPr="00C822E7">
        <w:rPr>
          <w:rFonts w:eastAsia="Times New Roman" w:cstheme="minorHAnsi"/>
          <w:i/>
          <w:iCs/>
          <w:color w:val="000000"/>
          <w:vertAlign w:val="subscript"/>
        </w:rPr>
        <w:t>3</w:t>
      </w:r>
      <w:r w:rsidRPr="00C822E7">
        <w:rPr>
          <w:rFonts w:eastAsia="Times New Roman" w:cstheme="minorHAnsi"/>
          <w:i/>
          <w:iCs/>
          <w:color w:val="000000"/>
        </w:rPr>
        <w:t> + R</w:t>
      </w:r>
      <w:r w:rsidRPr="00C822E7">
        <w:rPr>
          <w:rFonts w:eastAsia="Times New Roman" w:cstheme="minorHAnsi"/>
          <w:i/>
          <w:iCs/>
          <w:color w:val="000000"/>
          <w:vertAlign w:val="subscript"/>
        </w:rPr>
        <w:t>4</w:t>
      </w:r>
      <w:r w:rsidRPr="00C822E7">
        <w:rPr>
          <w:rFonts w:eastAsia="Times New Roman" w:cstheme="minorHAnsi"/>
          <w:i/>
          <w:iCs/>
          <w:color w:val="000000"/>
        </w:rPr>
        <w:t> + R</w:t>
      </w:r>
      <w:r w:rsidRPr="00C822E7">
        <w:rPr>
          <w:rFonts w:eastAsia="Times New Roman" w:cstheme="minorHAnsi"/>
          <w:i/>
          <w:iCs/>
          <w:color w:val="000000"/>
          <w:vertAlign w:val="subscript"/>
        </w:rPr>
        <w:t>5</w:t>
      </w:r>
      <w:r w:rsidRPr="00C822E7">
        <w:rPr>
          <w:rFonts w:eastAsia="Times New Roman" w:cstheme="minorHAnsi"/>
          <w:i/>
          <w:iCs/>
          <w:color w:val="000000"/>
        </w:rPr>
        <w:t>)</w:t>
      </w:r>
      <w:r w:rsidRPr="00C822E7">
        <w:rPr>
          <w:rFonts w:eastAsia="Times New Roman" w:cstheme="minorHAnsi"/>
          <w:color w:val="000000"/>
        </w:rPr>
        <w:br/>
      </w:r>
      <w:r w:rsidRPr="00C822E7">
        <w:rPr>
          <w:rFonts w:eastAsia="Times New Roman" w:cstheme="minorHAnsi"/>
          <w:i/>
          <w:iCs/>
          <w:color w:val="000000"/>
        </w:rPr>
        <w:t>m</w:t>
      </w:r>
      <w:r w:rsidRPr="00C822E7">
        <w:rPr>
          <w:rFonts w:eastAsia="Times New Roman" w:cstheme="minorHAnsi"/>
          <w:i/>
          <w:iCs/>
          <w:color w:val="000000"/>
          <w:vertAlign w:val="subscript"/>
        </w:rPr>
        <w:t>L</w:t>
      </w:r>
      <w:r w:rsidRPr="00C822E7">
        <w:rPr>
          <w:rFonts w:eastAsia="Times New Roman" w:cstheme="minorHAnsi"/>
          <w:i/>
          <w:iCs/>
          <w:color w:val="000000"/>
        </w:rPr>
        <w:t> = ¼ (L</w:t>
      </w:r>
      <w:r w:rsidRPr="00C822E7">
        <w:rPr>
          <w:rFonts w:eastAsia="Times New Roman" w:cstheme="minorHAnsi"/>
          <w:i/>
          <w:iCs/>
          <w:color w:val="000000"/>
          <w:vertAlign w:val="subscript"/>
        </w:rPr>
        <w:t>2</w:t>
      </w:r>
      <w:r w:rsidRPr="00C822E7">
        <w:rPr>
          <w:rFonts w:eastAsia="Times New Roman" w:cstheme="minorHAnsi"/>
          <w:i/>
          <w:iCs/>
          <w:color w:val="000000"/>
        </w:rPr>
        <w:t> + L</w:t>
      </w:r>
      <w:r w:rsidRPr="00C822E7">
        <w:rPr>
          <w:rFonts w:eastAsia="Times New Roman" w:cstheme="minorHAnsi"/>
          <w:i/>
          <w:iCs/>
          <w:color w:val="000000"/>
          <w:vertAlign w:val="subscript"/>
        </w:rPr>
        <w:t>3</w:t>
      </w:r>
      <w:r w:rsidRPr="00C822E7">
        <w:rPr>
          <w:rFonts w:eastAsia="Times New Roman" w:cstheme="minorHAnsi"/>
          <w:i/>
          <w:iCs/>
          <w:color w:val="000000"/>
        </w:rPr>
        <w:t> + L</w:t>
      </w:r>
      <w:r w:rsidRPr="00C822E7">
        <w:rPr>
          <w:rFonts w:eastAsia="Times New Roman" w:cstheme="minorHAnsi"/>
          <w:i/>
          <w:iCs/>
          <w:color w:val="000000"/>
          <w:vertAlign w:val="subscript"/>
        </w:rPr>
        <w:t>4</w:t>
      </w:r>
      <w:r w:rsidRPr="00C822E7">
        <w:rPr>
          <w:rFonts w:eastAsia="Times New Roman" w:cstheme="minorHAnsi"/>
          <w:i/>
          <w:iCs/>
          <w:color w:val="000000"/>
        </w:rPr>
        <w:t> + L</w:t>
      </w:r>
      <w:r w:rsidRPr="00C822E7">
        <w:rPr>
          <w:rFonts w:eastAsia="Times New Roman" w:cstheme="minorHAnsi"/>
          <w:i/>
          <w:iCs/>
          <w:color w:val="000000"/>
          <w:vertAlign w:val="subscript"/>
        </w:rPr>
        <w:t>5</w:t>
      </w:r>
      <w:r w:rsidRPr="00C822E7">
        <w:rPr>
          <w:rFonts w:eastAsia="Times New Roman" w:cstheme="minorHAnsi"/>
          <w:i/>
          <w:iCs/>
          <w:color w:val="000000"/>
        </w:rPr>
        <w:t>)</w:t>
      </w:r>
      <w:r w:rsidRPr="00C822E7">
        <w:rPr>
          <w:rFonts w:eastAsia="Times New Roman" w:cstheme="minorHAnsi"/>
          <w:color w:val="000000"/>
        </w:rPr>
        <w:br/>
      </w:r>
      <w:proofErr w:type="spellStart"/>
      <w:r w:rsidRPr="00C822E7">
        <w:rPr>
          <w:rFonts w:eastAsia="Times New Roman" w:cstheme="minorHAnsi"/>
          <w:i/>
          <w:iCs/>
          <w:color w:val="000000"/>
        </w:rPr>
        <w:t>m</w:t>
      </w:r>
      <w:r w:rsidRPr="00C822E7">
        <w:rPr>
          <w:rFonts w:eastAsia="Times New Roman" w:cstheme="minorHAnsi"/>
          <w:i/>
          <w:iCs/>
          <w:color w:val="000000"/>
          <w:vertAlign w:val="subscript"/>
        </w:rPr>
        <w:t>B</w:t>
      </w:r>
      <w:proofErr w:type="spellEnd"/>
      <w:r w:rsidRPr="00C822E7">
        <w:rPr>
          <w:rFonts w:eastAsia="Times New Roman" w:cstheme="minorHAnsi"/>
          <w:i/>
          <w:iCs/>
          <w:color w:val="000000"/>
        </w:rPr>
        <w:t> = ½ (</w:t>
      </w:r>
      <w:proofErr w:type="spellStart"/>
      <w:r w:rsidRPr="00C822E7">
        <w:rPr>
          <w:rFonts w:eastAsia="Times New Roman" w:cstheme="minorHAnsi"/>
          <w:i/>
          <w:iCs/>
          <w:color w:val="000000"/>
        </w:rPr>
        <w:t>m</w:t>
      </w:r>
      <w:r w:rsidRPr="00C822E7">
        <w:rPr>
          <w:rFonts w:eastAsia="Times New Roman" w:cstheme="minorHAnsi"/>
          <w:i/>
          <w:iCs/>
          <w:color w:val="000000"/>
          <w:vertAlign w:val="subscript"/>
        </w:rPr>
        <w:t>R</w:t>
      </w:r>
      <w:proofErr w:type="spellEnd"/>
      <w:r w:rsidRPr="00C822E7">
        <w:rPr>
          <w:rFonts w:eastAsia="Times New Roman" w:cstheme="minorHAnsi"/>
          <w:i/>
          <w:iCs/>
          <w:color w:val="000000"/>
        </w:rPr>
        <w:t> + m</w:t>
      </w:r>
      <w:r w:rsidRPr="00C822E7">
        <w:rPr>
          <w:rFonts w:eastAsia="Times New Roman" w:cstheme="minorHAnsi"/>
          <w:i/>
          <w:iCs/>
          <w:color w:val="000000"/>
          <w:vertAlign w:val="subscript"/>
        </w:rPr>
        <w:t>L</w:t>
      </w:r>
      <w:r w:rsidRPr="00C822E7">
        <w:rPr>
          <w:rFonts w:eastAsia="Times New Roman" w:cstheme="minorHAnsi"/>
          <w:i/>
          <w:iCs/>
          <w:color w:val="000000"/>
        </w:rPr>
        <w:t>)</w:t>
      </w:r>
    </w:p>
    <w:p w14:paraId="4D735033" w14:textId="77777777"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The first part of the experiment tests the effectiveness of separate features, i.e., ridge count, ridge density, and finger size for gender determination. The results are summarized in </w:t>
      </w:r>
      <w:r w:rsidRPr="00C822E7">
        <w:rPr>
          <w:rFonts w:eastAsia="Times New Roman" w:cstheme="minorHAnsi"/>
          <w:b/>
          <w:bCs/>
          <w:color w:val="000000"/>
        </w:rPr>
        <w:t>Tables 1, 2 </w:t>
      </w:r>
      <w:r w:rsidRPr="00C822E7">
        <w:rPr>
          <w:rFonts w:eastAsia="Times New Roman" w:cstheme="minorHAnsi"/>
          <w:color w:val="000000"/>
        </w:rPr>
        <w:t>and </w:t>
      </w:r>
      <w:r w:rsidRPr="00C822E7">
        <w:rPr>
          <w:rFonts w:eastAsia="Times New Roman" w:cstheme="minorHAnsi"/>
          <w:b/>
          <w:bCs/>
          <w:color w:val="000000"/>
        </w:rPr>
        <w:t>3</w:t>
      </w:r>
      <w:r w:rsidRPr="00C822E7">
        <w:rPr>
          <w:rFonts w:eastAsia="Times New Roman" w:cstheme="minorHAnsi"/>
          <w:color w:val="000000"/>
        </w:rPr>
        <w:t>.</w:t>
      </w:r>
    </w:p>
    <w:tbl>
      <w:tblPr>
        <w:tblStyle w:val="TableGridLight"/>
        <w:tblW w:w="4000" w:type="pct"/>
        <w:tblLook w:val="04A0" w:firstRow="1" w:lastRow="0" w:firstColumn="1" w:lastColumn="0" w:noHBand="0" w:noVBand="1"/>
        <w:tblCaption w:val="Table 1: Summary of results for ridge counts"/>
        <w:tblDescription w:val="Table 1: Summary of results for ridge counts"/>
      </w:tblPr>
      <w:tblGrid>
        <w:gridCol w:w="8136"/>
      </w:tblGrid>
      <w:tr w:rsidR="003722F3" w:rsidRPr="00C822E7" w14:paraId="1D7E81F6" w14:textId="77777777" w:rsidTr="00625C49">
        <w:tc>
          <w:tcPr>
            <w:tcW w:w="0" w:type="auto"/>
            <w:hideMark/>
          </w:tcPr>
          <w:p w14:paraId="5BD88BF8" w14:textId="77777777" w:rsidR="00C822E7" w:rsidRPr="00C822E7" w:rsidRDefault="00C822E7" w:rsidP="00326412">
            <w:pPr>
              <w:shd w:val="clear" w:color="auto" w:fill="FFFFFF" w:themeFill="background1"/>
              <w:jc w:val="center"/>
              <w:rPr>
                <w:rFonts w:eastAsia="Times New Roman" w:cstheme="minorHAnsi"/>
              </w:rPr>
            </w:pPr>
            <w:r w:rsidRPr="00C822E7">
              <w:rPr>
                <w:rFonts w:eastAsia="Times New Roman" w:cstheme="minorHAnsi"/>
                <w:b/>
                <w:bCs/>
                <w:color w:val="000000"/>
              </w:rPr>
              <w:t>Table 1: Summary of results for ridge counts</w:t>
            </w:r>
          </w:p>
        </w:tc>
      </w:tr>
      <w:tr w:rsidR="003722F3" w:rsidRPr="00C822E7" w14:paraId="26916CF3" w14:textId="77777777" w:rsidTr="00625C49">
        <w:tc>
          <w:tcPr>
            <w:tcW w:w="0" w:type="auto"/>
            <w:hideMark/>
          </w:tcPr>
          <w:p w14:paraId="194C7E2E" w14:textId="7F87BEBB" w:rsidR="00C822E7" w:rsidRPr="00C822E7" w:rsidRDefault="00C822E7" w:rsidP="00326412">
            <w:pPr>
              <w:shd w:val="clear" w:color="auto" w:fill="FFFFFF" w:themeFill="background1"/>
              <w:jc w:val="center"/>
              <w:rPr>
                <w:rFonts w:eastAsia="Times New Roman" w:cstheme="minorHAnsi"/>
              </w:rPr>
            </w:pPr>
            <w:r w:rsidRPr="00704262">
              <w:rPr>
                <w:rFonts w:eastAsia="Times New Roman" w:cstheme="minorHAnsi"/>
                <w:noProof/>
              </w:rPr>
              <w:drawing>
                <wp:inline distT="0" distB="0" distL="0" distR="0" wp14:anchorId="2F3FAEF7" wp14:editId="777730BE">
                  <wp:extent cx="5029200" cy="3520440"/>
                  <wp:effectExtent l="0" t="0" r="0" b="3810"/>
                  <wp:docPr id="4" name="Picture 4" descr="Table 1: Summary of results for ridge cou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kspublication.com/paper04_jul-dec2008/tabl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3520440"/>
                          </a:xfrm>
                          <a:prstGeom prst="rect">
                            <a:avLst/>
                          </a:prstGeom>
                          <a:noFill/>
                          <a:ln>
                            <a:noFill/>
                          </a:ln>
                        </pic:spPr>
                      </pic:pic>
                    </a:graphicData>
                  </a:graphic>
                </wp:inline>
              </w:drawing>
            </w:r>
          </w:p>
        </w:tc>
      </w:tr>
    </w:tbl>
    <w:p w14:paraId="340D6FA2" w14:textId="77777777" w:rsidR="00C822E7" w:rsidRPr="00C822E7" w:rsidRDefault="00C822E7" w:rsidP="00326412">
      <w:pPr>
        <w:shd w:val="clear" w:color="auto" w:fill="FFFFFF" w:themeFill="background1"/>
        <w:spacing w:after="0" w:line="240" w:lineRule="auto"/>
        <w:rPr>
          <w:rFonts w:eastAsia="Times New Roman" w:cstheme="minorHAnsi"/>
          <w:vanish/>
          <w:color w:val="000000"/>
        </w:rPr>
      </w:pPr>
    </w:p>
    <w:p w14:paraId="20446BA8" w14:textId="77777777" w:rsidR="00625C49" w:rsidRDefault="00625C49">
      <w:r>
        <w:br w:type="page"/>
      </w:r>
    </w:p>
    <w:tbl>
      <w:tblPr>
        <w:tblStyle w:val="TableGridLight"/>
        <w:tblW w:w="4040" w:type="pct"/>
        <w:tblLook w:val="04A0" w:firstRow="1" w:lastRow="0" w:firstColumn="1" w:lastColumn="0" w:noHBand="0" w:noVBand="1"/>
        <w:tblCaption w:val="Table 2: Summary of results for ridge density (counts/mm)"/>
        <w:tblDescription w:val="Table 2: Summary of results for ridge density (counts/mm)"/>
      </w:tblPr>
      <w:tblGrid>
        <w:gridCol w:w="8137"/>
      </w:tblGrid>
      <w:tr w:rsidR="003722F3" w:rsidRPr="00C822E7" w14:paraId="13E34A7C" w14:textId="77777777" w:rsidTr="00625C49">
        <w:tc>
          <w:tcPr>
            <w:tcW w:w="0" w:type="auto"/>
            <w:hideMark/>
          </w:tcPr>
          <w:p w14:paraId="02806D07" w14:textId="5943FCC1" w:rsidR="00C822E7" w:rsidRPr="00C822E7" w:rsidRDefault="00C822E7" w:rsidP="00326412">
            <w:pPr>
              <w:shd w:val="clear" w:color="auto" w:fill="FFFFFF" w:themeFill="background1"/>
              <w:jc w:val="center"/>
              <w:rPr>
                <w:rFonts w:eastAsia="Times New Roman" w:cstheme="minorHAnsi"/>
              </w:rPr>
            </w:pPr>
            <w:r w:rsidRPr="00C822E7">
              <w:rPr>
                <w:rFonts w:eastAsia="Times New Roman" w:cstheme="minorHAnsi"/>
                <w:b/>
                <w:bCs/>
                <w:color w:val="000000"/>
              </w:rPr>
              <w:lastRenderedPageBreak/>
              <w:t>Table 2: Summary of results for ridge density (counts/mm)</w:t>
            </w:r>
          </w:p>
        </w:tc>
      </w:tr>
      <w:tr w:rsidR="003722F3" w:rsidRPr="00C822E7" w14:paraId="3E6CFB04" w14:textId="77777777" w:rsidTr="00625C49">
        <w:tc>
          <w:tcPr>
            <w:tcW w:w="0" w:type="auto"/>
            <w:hideMark/>
          </w:tcPr>
          <w:p w14:paraId="11AD3F95" w14:textId="75CAE23D" w:rsidR="00C822E7" w:rsidRPr="00C822E7" w:rsidRDefault="00C822E7" w:rsidP="00326412">
            <w:pPr>
              <w:shd w:val="clear" w:color="auto" w:fill="FFFFFF" w:themeFill="background1"/>
              <w:jc w:val="center"/>
              <w:rPr>
                <w:rFonts w:eastAsia="Times New Roman" w:cstheme="minorHAnsi"/>
              </w:rPr>
            </w:pPr>
            <w:r w:rsidRPr="00704262">
              <w:rPr>
                <w:rFonts w:eastAsia="Times New Roman" w:cstheme="minorHAnsi"/>
                <w:noProof/>
              </w:rPr>
              <w:drawing>
                <wp:inline distT="0" distB="0" distL="0" distR="0" wp14:anchorId="3927FE24" wp14:editId="6A569848">
                  <wp:extent cx="5029200" cy="3502152"/>
                  <wp:effectExtent l="0" t="0" r="0" b="3175"/>
                  <wp:docPr id="3" name="Picture 3" descr="Table 2: Summary of results for ridge density (counts/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akspublication.com/paper04_jul-dec2008/Table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9200" cy="3502152"/>
                          </a:xfrm>
                          <a:prstGeom prst="rect">
                            <a:avLst/>
                          </a:prstGeom>
                          <a:noFill/>
                          <a:ln>
                            <a:noFill/>
                          </a:ln>
                        </pic:spPr>
                      </pic:pic>
                    </a:graphicData>
                  </a:graphic>
                </wp:inline>
              </w:drawing>
            </w:r>
          </w:p>
        </w:tc>
      </w:tr>
    </w:tbl>
    <w:p w14:paraId="75E691A8" w14:textId="77777777" w:rsidR="00C822E7" w:rsidRPr="00C822E7" w:rsidRDefault="00C822E7" w:rsidP="00326412">
      <w:pPr>
        <w:shd w:val="clear" w:color="auto" w:fill="FFFFFF" w:themeFill="background1"/>
        <w:spacing w:after="0" w:line="240" w:lineRule="auto"/>
        <w:rPr>
          <w:rFonts w:eastAsia="Times New Roman" w:cstheme="minorHAnsi"/>
          <w:vanish/>
          <w:color w:val="000000"/>
        </w:rPr>
      </w:pPr>
    </w:p>
    <w:tbl>
      <w:tblPr>
        <w:tblStyle w:val="TableGridLight"/>
        <w:tblW w:w="4000" w:type="pct"/>
        <w:tblLook w:val="04A0" w:firstRow="1" w:lastRow="0" w:firstColumn="1" w:lastColumn="0" w:noHBand="0" w:noVBand="1"/>
        <w:tblCaption w:val="Table 3: Summary of results for finger size (mm2)"/>
        <w:tblDescription w:val="Table 3: Summary of results for finger size (mm2)"/>
      </w:tblPr>
      <w:tblGrid>
        <w:gridCol w:w="8136"/>
      </w:tblGrid>
      <w:tr w:rsidR="00C822E7" w:rsidRPr="00C822E7" w14:paraId="19A08509" w14:textId="77777777" w:rsidTr="00625C49">
        <w:tc>
          <w:tcPr>
            <w:tcW w:w="0" w:type="auto"/>
            <w:hideMark/>
          </w:tcPr>
          <w:p w14:paraId="296EC5A1" w14:textId="22247B02" w:rsidR="00C822E7" w:rsidRPr="00C822E7" w:rsidRDefault="00C822E7" w:rsidP="00326412">
            <w:pPr>
              <w:shd w:val="clear" w:color="auto" w:fill="FFFFFF" w:themeFill="background1"/>
              <w:jc w:val="center"/>
              <w:rPr>
                <w:rFonts w:eastAsia="Times New Roman" w:cstheme="minorHAnsi"/>
              </w:rPr>
            </w:pPr>
            <w:r w:rsidRPr="00C822E7">
              <w:rPr>
                <w:rFonts w:eastAsia="Times New Roman" w:cstheme="minorHAnsi"/>
                <w:b/>
                <w:bCs/>
                <w:color w:val="000000"/>
              </w:rPr>
              <w:t>Table 3: Summary of results for finger size (mm2)</w:t>
            </w:r>
          </w:p>
        </w:tc>
      </w:tr>
      <w:tr w:rsidR="00C822E7" w:rsidRPr="00C822E7" w14:paraId="64503702" w14:textId="77777777" w:rsidTr="00625C49">
        <w:tc>
          <w:tcPr>
            <w:tcW w:w="0" w:type="auto"/>
            <w:hideMark/>
          </w:tcPr>
          <w:p w14:paraId="3E1C720D" w14:textId="139821B9" w:rsidR="00C822E7" w:rsidRPr="00C822E7" w:rsidRDefault="00C822E7" w:rsidP="00326412">
            <w:pPr>
              <w:shd w:val="clear" w:color="auto" w:fill="FFFFFF" w:themeFill="background1"/>
              <w:jc w:val="center"/>
              <w:rPr>
                <w:rFonts w:eastAsia="Times New Roman" w:cstheme="minorHAnsi"/>
              </w:rPr>
            </w:pPr>
            <w:r w:rsidRPr="00704262">
              <w:rPr>
                <w:rFonts w:eastAsia="Times New Roman" w:cstheme="minorHAnsi"/>
                <w:noProof/>
              </w:rPr>
              <w:drawing>
                <wp:inline distT="0" distB="0" distL="0" distR="0" wp14:anchorId="4E4D7EB3" wp14:editId="79819DA8">
                  <wp:extent cx="5029200" cy="3813048"/>
                  <wp:effectExtent l="0" t="0" r="0" b="0"/>
                  <wp:docPr id="2" name="Picture 2" descr="Table 3: Summary of results for finger size (m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akspublication.com/paper04_jul-dec2008/table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3813048"/>
                          </a:xfrm>
                          <a:prstGeom prst="rect">
                            <a:avLst/>
                          </a:prstGeom>
                          <a:noFill/>
                          <a:ln>
                            <a:noFill/>
                          </a:ln>
                        </pic:spPr>
                      </pic:pic>
                    </a:graphicData>
                  </a:graphic>
                </wp:inline>
              </w:drawing>
            </w:r>
          </w:p>
        </w:tc>
      </w:tr>
    </w:tbl>
    <w:p w14:paraId="0D35F05A" w14:textId="4B5935E5" w:rsidR="00B60303"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 xml:space="preserve">Comparing the results of these three tables indicates that the finger size feature gives the best results. </w:t>
      </w:r>
      <w:proofErr w:type="gramStart"/>
      <w:r w:rsidRPr="00C822E7">
        <w:rPr>
          <w:rFonts w:eastAsia="Times New Roman" w:cstheme="minorHAnsi"/>
          <w:color w:val="000000"/>
        </w:rPr>
        <w:t>In particular, as</w:t>
      </w:r>
      <w:proofErr w:type="gramEnd"/>
      <w:r w:rsidRPr="00C822E7">
        <w:rPr>
          <w:rFonts w:eastAsia="Times New Roman" w:cstheme="minorHAnsi"/>
          <w:color w:val="000000"/>
        </w:rPr>
        <w:t xml:space="preserve"> demonstrated by </w:t>
      </w:r>
      <w:r w:rsidRPr="00C822E7">
        <w:rPr>
          <w:rFonts w:eastAsia="Times New Roman" w:cstheme="minorHAnsi"/>
          <w:b/>
          <w:bCs/>
          <w:color w:val="000000"/>
        </w:rPr>
        <w:t>Table 3</w:t>
      </w:r>
      <w:r w:rsidRPr="00C822E7">
        <w:rPr>
          <w:rFonts w:eastAsia="Times New Roman" w:cstheme="minorHAnsi"/>
          <w:color w:val="000000"/>
        </w:rPr>
        <w:t>, all of the tested finger size features achieve statistical significance (P &lt; 0.001, two-sided t-test) and the best classification accuracy is about 79%. In addition, as shown by </w:t>
      </w:r>
      <w:r w:rsidRPr="00C822E7">
        <w:rPr>
          <w:rFonts w:eastAsia="Times New Roman" w:cstheme="minorHAnsi"/>
          <w:b/>
          <w:bCs/>
          <w:color w:val="000000"/>
        </w:rPr>
        <w:t>Table 1</w:t>
      </w:r>
      <w:r w:rsidRPr="00C822E7">
        <w:rPr>
          <w:rFonts w:eastAsia="Times New Roman" w:cstheme="minorHAnsi"/>
          <w:color w:val="000000"/>
        </w:rPr>
        <w:t xml:space="preserve">, the tested ridge count features all yield statistically significant results. However, their classification accuracy is </w:t>
      </w:r>
      <w:r w:rsidRPr="00C822E7">
        <w:rPr>
          <w:rFonts w:eastAsia="Times New Roman" w:cstheme="minorHAnsi"/>
          <w:color w:val="000000"/>
        </w:rPr>
        <w:lastRenderedPageBreak/>
        <w:t>inferior to that of the finger size feature. As shown by </w:t>
      </w:r>
      <w:r w:rsidRPr="00C822E7">
        <w:rPr>
          <w:rFonts w:eastAsia="Times New Roman" w:cstheme="minorHAnsi"/>
          <w:b/>
          <w:bCs/>
          <w:color w:val="000000"/>
        </w:rPr>
        <w:t>Table 2</w:t>
      </w:r>
      <w:r w:rsidRPr="00C822E7">
        <w:rPr>
          <w:rFonts w:eastAsia="Times New Roman" w:cstheme="minorHAnsi"/>
          <w:color w:val="000000"/>
        </w:rPr>
        <w:t>, none of the tested ridge density features achieve statistical significance and the best classification accuracy is only about 55%. </w:t>
      </w:r>
    </w:p>
    <w:p w14:paraId="6C2E2F47" w14:textId="69525FA5" w:rsidR="00C822E7" w:rsidRPr="00C822E7" w:rsidRDefault="00C822E7" w:rsidP="00326412">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The second part of the experiment investigates the potential of improving the classification accuracy by combining features. Specifically, the first feature set consists of ridge count and finger size features. As shown by </w:t>
      </w:r>
      <w:r w:rsidRPr="00C822E7">
        <w:rPr>
          <w:rFonts w:eastAsia="Times New Roman" w:cstheme="minorHAnsi"/>
          <w:b/>
          <w:bCs/>
          <w:color w:val="000000"/>
        </w:rPr>
        <w:t>Table 4</w:t>
      </w:r>
      <w:r w:rsidRPr="00C822E7">
        <w:rPr>
          <w:rFonts w:eastAsia="Times New Roman" w:cstheme="minorHAnsi"/>
          <w:color w:val="000000"/>
        </w:rPr>
        <w:t>, this feature set improves the classification accuracy in contrast to the results obtained by the finger size features alone. The best classification accuracy of almost 86% is generated from the little finger of the left hand. By including the ridge density, the second feature set employs all three features and its classification results are summarized in the last column of </w:t>
      </w:r>
      <w:r w:rsidRPr="00C822E7">
        <w:rPr>
          <w:rFonts w:eastAsia="Times New Roman" w:cstheme="minorHAnsi"/>
          <w:b/>
          <w:bCs/>
          <w:color w:val="000000"/>
        </w:rPr>
        <w:t>Table 4</w:t>
      </w:r>
      <w:r w:rsidRPr="00C822E7">
        <w:rPr>
          <w:rFonts w:eastAsia="Times New Roman" w:cstheme="minorHAnsi"/>
          <w:color w:val="000000"/>
        </w:rPr>
        <w:t>. It shows that the addition of the ridge density feature does not improve the effective classification accuracy. This can be explained by the poor performance of the ridge density features for gender determination.</w:t>
      </w:r>
    </w:p>
    <w:tbl>
      <w:tblPr>
        <w:tblStyle w:val="TableGridLight"/>
        <w:tblW w:w="4000" w:type="pct"/>
        <w:tblLook w:val="04A0" w:firstRow="1" w:lastRow="0" w:firstColumn="1" w:lastColumn="0" w:noHBand="0" w:noVBand="1"/>
        <w:tblCaption w:val="Table 4: Classification accuracy by using multiple features"/>
        <w:tblDescription w:val="Table 4: Classification accuracy by using multiple features"/>
      </w:tblPr>
      <w:tblGrid>
        <w:gridCol w:w="8056"/>
      </w:tblGrid>
      <w:tr w:rsidR="00C822E7" w:rsidRPr="00C822E7" w14:paraId="0D8CB66C" w14:textId="77777777" w:rsidTr="00625C49">
        <w:tc>
          <w:tcPr>
            <w:tcW w:w="0" w:type="auto"/>
            <w:hideMark/>
          </w:tcPr>
          <w:p w14:paraId="42D8ADB4" w14:textId="5E7B7AC4" w:rsidR="00C822E7" w:rsidRPr="00C822E7" w:rsidRDefault="00C822E7" w:rsidP="00C822E7">
            <w:pPr>
              <w:spacing w:line="270" w:lineRule="atLeast"/>
              <w:jc w:val="center"/>
              <w:rPr>
                <w:rFonts w:eastAsia="Times New Roman" w:cstheme="minorHAnsi"/>
                <w:color w:val="000000"/>
              </w:rPr>
            </w:pPr>
            <w:r w:rsidRPr="00C822E7">
              <w:rPr>
                <w:rFonts w:eastAsia="Times New Roman" w:cstheme="minorHAnsi"/>
                <w:b/>
                <w:bCs/>
                <w:color w:val="000000"/>
              </w:rPr>
              <w:t>Table 4: Classification accuracy by using multiple features</w:t>
            </w:r>
          </w:p>
        </w:tc>
      </w:tr>
      <w:tr w:rsidR="00C822E7" w:rsidRPr="00C822E7" w14:paraId="10DC9755" w14:textId="77777777" w:rsidTr="00625C49">
        <w:tc>
          <w:tcPr>
            <w:tcW w:w="0" w:type="auto"/>
            <w:hideMark/>
          </w:tcPr>
          <w:p w14:paraId="6A3F1384" w14:textId="3E000DFC" w:rsidR="00C822E7" w:rsidRPr="00C822E7" w:rsidRDefault="00C822E7" w:rsidP="00C822E7">
            <w:pPr>
              <w:jc w:val="center"/>
              <w:rPr>
                <w:rFonts w:eastAsia="Times New Roman" w:cstheme="minorHAnsi"/>
              </w:rPr>
            </w:pPr>
            <w:r w:rsidRPr="00704262">
              <w:rPr>
                <w:rFonts w:eastAsia="Times New Roman" w:cstheme="minorHAnsi"/>
                <w:noProof/>
              </w:rPr>
              <w:drawing>
                <wp:inline distT="0" distB="0" distL="0" distR="0" wp14:anchorId="0E0267C8" wp14:editId="1FF7FB8C">
                  <wp:extent cx="4695825" cy="5153025"/>
                  <wp:effectExtent l="0" t="0" r="9525" b="9525"/>
                  <wp:docPr id="1" name="Picture 1" descr="Table 4: Classification accuracy by using multiple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akspublication.com/paper04_jul-dec2008/table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5825" cy="5153025"/>
                          </a:xfrm>
                          <a:prstGeom prst="rect">
                            <a:avLst/>
                          </a:prstGeom>
                          <a:noFill/>
                          <a:ln>
                            <a:noFill/>
                          </a:ln>
                        </pic:spPr>
                      </pic:pic>
                    </a:graphicData>
                  </a:graphic>
                </wp:inline>
              </w:drawing>
            </w:r>
          </w:p>
        </w:tc>
      </w:tr>
    </w:tbl>
    <w:p w14:paraId="79A64C53" w14:textId="7F11C26D" w:rsidR="00C822E7" w:rsidRPr="00B60303" w:rsidRDefault="00D92471" w:rsidP="00B60303">
      <w:pPr>
        <w:pStyle w:val="Heading1"/>
        <w:rPr>
          <w:rFonts w:eastAsia="Times New Roman"/>
          <w:color w:val="auto"/>
        </w:rPr>
      </w:pPr>
      <w:r w:rsidRPr="00B60303">
        <w:rPr>
          <w:rFonts w:eastAsia="Times New Roman"/>
          <w:color w:val="auto"/>
        </w:rPr>
        <w:t>Discussion and Conclusion</w:t>
      </w:r>
    </w:p>
    <w:p w14:paraId="7BCB120C" w14:textId="77777777" w:rsidR="00C822E7" w:rsidRPr="00C822E7" w:rsidRDefault="00C822E7" w:rsidP="00C822E7">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 xml:space="preserve">This work proposes the use of three fingertip features for gender determination. Compared with conventional methods, the proposed approach has several distinct properties. First, since the traditional inked impressions are sensitive to factors such as skin condition, in this work finger images are captured using a digital camera. </w:t>
      </w:r>
      <w:r w:rsidRPr="00C822E7">
        <w:rPr>
          <w:rFonts w:eastAsia="Times New Roman" w:cstheme="minorHAnsi"/>
          <w:color w:val="000000"/>
        </w:rPr>
        <w:lastRenderedPageBreak/>
        <w:t>Second, compared with the conventional ridge count measure obtained by inspecting a small portion of the fingertip, the ridge count feature proposed here is obtained from a line segment that intersects the entire fingertip. Third, the possibility of using the finger size as a feature for gender differentiation is investigated. To the best of our knowledge, this has not been studied previously.</w:t>
      </w:r>
    </w:p>
    <w:p w14:paraId="388046FA" w14:textId="11B08EC5" w:rsidR="00C822E7" w:rsidRPr="00C822E7" w:rsidRDefault="00C822E7" w:rsidP="00C822E7">
      <w:pPr>
        <w:shd w:val="clear" w:color="auto" w:fill="FFFFFF" w:themeFill="background1"/>
        <w:spacing w:before="100" w:beforeAutospacing="1" w:after="100" w:afterAutospacing="1" w:line="270" w:lineRule="atLeast"/>
        <w:rPr>
          <w:rFonts w:eastAsia="Times New Roman" w:cstheme="minorHAnsi"/>
          <w:color w:val="000000"/>
        </w:rPr>
      </w:pPr>
      <w:r w:rsidRPr="00C822E7">
        <w:rPr>
          <w:rFonts w:eastAsia="Times New Roman" w:cstheme="minorHAnsi"/>
          <w:color w:val="000000"/>
        </w:rPr>
        <w:t>The experimental results clearly demonstrate the potential of the proposed features for gender determination. However, several issues require further study. First, among the three tested features, finger size provides the best classification accuracy. However, unlike the permanence of ridge count, finger size may change with time. Therefore, future work is needed to investigate the age effect on finger size. Second, the effectiveness of the proposed approach for different populations also requires further investigation, as gender determination may be a population specific phenomenon.</w:t>
      </w:r>
      <w:r w:rsidRPr="002C560D">
        <w:rPr>
          <w:rFonts w:eastAsia="Times New Roman" w:cstheme="minorHAnsi"/>
          <w:b/>
          <w:bCs/>
          <w:color w:val="000000"/>
          <w:vertAlign w:val="superscript"/>
        </w:rPr>
        <w:t>22</w:t>
      </w:r>
      <w:r w:rsidRPr="00C822E7">
        <w:rPr>
          <w:rFonts w:eastAsia="Times New Roman" w:cstheme="minorHAnsi"/>
          <w:color w:val="000000"/>
        </w:rPr>
        <w:t> Third, although some previous studies have a higher finger ridge count on their right hand than on their left,</w:t>
      </w:r>
      <w:r w:rsidRPr="002C560D">
        <w:rPr>
          <w:rFonts w:eastAsia="Times New Roman" w:cstheme="minorHAnsi"/>
          <w:b/>
          <w:bCs/>
          <w:color w:val="000000"/>
          <w:vertAlign w:val="superscript"/>
        </w:rPr>
        <w:t>23,24</w:t>
      </w:r>
      <w:r w:rsidRPr="00C822E7">
        <w:rPr>
          <w:rFonts w:eastAsia="Times New Roman" w:cstheme="minorHAnsi"/>
          <w:color w:val="000000"/>
        </w:rPr>
        <w:t xml:space="preserve"> our experimental results did not support this finding. </w:t>
      </w:r>
      <w:proofErr w:type="gramStart"/>
      <w:r w:rsidRPr="00C822E7">
        <w:rPr>
          <w:rFonts w:eastAsia="Times New Roman" w:cstheme="minorHAnsi"/>
          <w:color w:val="000000"/>
        </w:rPr>
        <w:t>In particular, as</w:t>
      </w:r>
      <w:proofErr w:type="gramEnd"/>
      <w:r w:rsidRPr="00C822E7">
        <w:rPr>
          <w:rFonts w:eastAsia="Times New Roman" w:cstheme="minorHAnsi"/>
          <w:color w:val="000000"/>
        </w:rPr>
        <w:t xml:space="preserve"> shown in </w:t>
      </w:r>
      <w:r w:rsidRPr="00C822E7">
        <w:rPr>
          <w:rFonts w:eastAsia="Times New Roman" w:cstheme="minorHAnsi"/>
          <w:b/>
          <w:bCs/>
          <w:color w:val="000000"/>
        </w:rPr>
        <w:t>Table 1</w:t>
      </w:r>
      <w:r w:rsidRPr="00C822E7">
        <w:rPr>
          <w:rFonts w:eastAsia="Times New Roman" w:cstheme="minorHAnsi"/>
          <w:color w:val="000000"/>
        </w:rPr>
        <w:t>, for males, the mean ridge count for the left and right hands were 39.73 ± 2.63 and 39.41 ± 2.73 (P-value = 0.525), respectively. For females, the mean ridge counts for the left and right hands were 36.80 ± 2.88 and 35.97 ± 2.62 (P-value = 0.110), respectively. It is not clear whether this inconsistency is caused by the new ridge count measure employed or by the difference between the tested populations. In closing, the proposed methods look promising for gender determination. More extensive experiments are planned.</w:t>
      </w:r>
    </w:p>
    <w:p w14:paraId="2C2FBEF6" w14:textId="216FF1CE" w:rsidR="00C822E7" w:rsidRPr="00B60303" w:rsidRDefault="002C560D" w:rsidP="00B60303">
      <w:pPr>
        <w:pStyle w:val="Heading1"/>
        <w:rPr>
          <w:rFonts w:eastAsia="Times New Roman"/>
          <w:color w:val="auto"/>
        </w:rPr>
      </w:pPr>
      <w:r w:rsidRPr="00B60303">
        <w:rPr>
          <w:rFonts w:eastAsia="Times New Roman"/>
          <w:color w:val="auto"/>
        </w:rPr>
        <w:t>References</w:t>
      </w:r>
    </w:p>
    <w:p w14:paraId="3EBDAA8D"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Rao NG, </w:t>
      </w:r>
      <w:proofErr w:type="spellStart"/>
      <w:r w:rsidRPr="00C822E7">
        <w:rPr>
          <w:rFonts w:eastAsia="Times New Roman" w:cstheme="minorHAnsi"/>
          <w:color w:val="000000"/>
        </w:rPr>
        <w:t>Kotian</w:t>
      </w:r>
      <w:proofErr w:type="spellEnd"/>
      <w:r w:rsidRPr="00C822E7">
        <w:rPr>
          <w:rFonts w:eastAsia="Times New Roman" w:cstheme="minorHAnsi"/>
          <w:color w:val="000000"/>
        </w:rPr>
        <w:t xml:space="preserve"> MS. Foot print ratio (FPR) - a clue for establishing sex identity. </w:t>
      </w:r>
      <w:r w:rsidRPr="00C822E7">
        <w:rPr>
          <w:rFonts w:eastAsia="Times New Roman" w:cstheme="minorHAnsi"/>
          <w:i/>
          <w:iCs/>
          <w:color w:val="000000"/>
        </w:rPr>
        <w:t xml:space="preserve">J Indian </w:t>
      </w:r>
      <w:proofErr w:type="spellStart"/>
      <w:r w:rsidRPr="00C822E7">
        <w:rPr>
          <w:rFonts w:eastAsia="Times New Roman" w:cstheme="minorHAnsi"/>
          <w:i/>
          <w:iCs/>
          <w:color w:val="000000"/>
        </w:rPr>
        <w:t>Acad</w:t>
      </w:r>
      <w:proofErr w:type="spellEnd"/>
      <w:r w:rsidRPr="00C822E7">
        <w:rPr>
          <w:rFonts w:eastAsia="Times New Roman" w:cstheme="minorHAnsi"/>
          <w:i/>
          <w:iCs/>
          <w:color w:val="000000"/>
        </w:rPr>
        <w:t xml:space="preserve"> Forensic Med</w:t>
      </w:r>
      <w:r w:rsidRPr="00C822E7">
        <w:rPr>
          <w:rFonts w:eastAsia="Times New Roman" w:cstheme="minorHAnsi"/>
          <w:color w:val="000000"/>
        </w:rPr>
        <w:t>. 1990;2(2):51-6.</w:t>
      </w:r>
    </w:p>
    <w:p w14:paraId="0D44AC22"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Robling</w:t>
      </w:r>
      <w:proofErr w:type="spellEnd"/>
      <w:r w:rsidRPr="00C822E7">
        <w:rPr>
          <w:rFonts w:eastAsia="Times New Roman" w:cstheme="minorHAnsi"/>
          <w:color w:val="000000"/>
        </w:rPr>
        <w:t xml:space="preserve"> AG, </w:t>
      </w:r>
      <w:proofErr w:type="spellStart"/>
      <w:r w:rsidRPr="00C822E7">
        <w:rPr>
          <w:rFonts w:eastAsia="Times New Roman" w:cstheme="minorHAnsi"/>
          <w:color w:val="000000"/>
        </w:rPr>
        <w:t>Ubelaker</w:t>
      </w:r>
      <w:proofErr w:type="spellEnd"/>
      <w:r w:rsidRPr="00C822E7">
        <w:rPr>
          <w:rFonts w:eastAsia="Times New Roman" w:cstheme="minorHAnsi"/>
          <w:color w:val="000000"/>
        </w:rPr>
        <w:t xml:space="preserve"> DH. Sex estimation from the metatarsals. </w:t>
      </w:r>
      <w:r w:rsidRPr="00C822E7">
        <w:rPr>
          <w:rFonts w:eastAsia="Times New Roman" w:cstheme="minorHAnsi"/>
          <w:i/>
          <w:iCs/>
          <w:color w:val="000000"/>
        </w:rPr>
        <w:t>J Forensic Sci</w:t>
      </w:r>
      <w:r w:rsidRPr="00C822E7">
        <w:rPr>
          <w:rFonts w:eastAsia="Times New Roman" w:cstheme="minorHAnsi"/>
          <w:color w:val="000000"/>
        </w:rPr>
        <w:t>. 1997 Nov;42(6):1062-9.</w:t>
      </w:r>
    </w:p>
    <w:p w14:paraId="1E8C3DB7"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Işcan</w:t>
      </w:r>
      <w:proofErr w:type="spellEnd"/>
      <w:r w:rsidRPr="00C822E7">
        <w:rPr>
          <w:rFonts w:eastAsia="Times New Roman" w:cstheme="minorHAnsi"/>
          <w:color w:val="000000"/>
        </w:rPr>
        <w:t xml:space="preserve"> MY, Loth SR, King CA, et al. Sexual dimorphism in the </w:t>
      </w:r>
      <w:proofErr w:type="spellStart"/>
      <w:r w:rsidRPr="00C822E7">
        <w:rPr>
          <w:rFonts w:eastAsia="Times New Roman" w:cstheme="minorHAnsi"/>
          <w:color w:val="000000"/>
        </w:rPr>
        <w:t>humerus</w:t>
      </w:r>
      <w:proofErr w:type="spellEnd"/>
      <w:r w:rsidRPr="00C822E7">
        <w:rPr>
          <w:rFonts w:eastAsia="Times New Roman" w:cstheme="minorHAnsi"/>
          <w:color w:val="000000"/>
        </w:rPr>
        <w:t>: a comparative analysis of Chinese, Japanese and Thais. </w:t>
      </w:r>
      <w:r w:rsidRPr="00C822E7">
        <w:rPr>
          <w:rFonts w:eastAsia="Times New Roman" w:cstheme="minorHAnsi"/>
          <w:i/>
          <w:iCs/>
          <w:color w:val="000000"/>
        </w:rPr>
        <w:t>Forensic Sci Int</w:t>
      </w:r>
      <w:r w:rsidRPr="00C822E7">
        <w:rPr>
          <w:rFonts w:eastAsia="Times New Roman" w:cstheme="minorHAnsi"/>
          <w:color w:val="000000"/>
        </w:rPr>
        <w:t>. 1998 Nov 30;98(1-2):17-29.</w:t>
      </w:r>
    </w:p>
    <w:p w14:paraId="05285326"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Mall G, </w:t>
      </w:r>
      <w:proofErr w:type="spellStart"/>
      <w:r w:rsidRPr="00C822E7">
        <w:rPr>
          <w:rFonts w:eastAsia="Times New Roman" w:cstheme="minorHAnsi"/>
          <w:color w:val="000000"/>
        </w:rPr>
        <w:t>Hubig</w:t>
      </w:r>
      <w:proofErr w:type="spellEnd"/>
      <w:r w:rsidRPr="00C822E7">
        <w:rPr>
          <w:rFonts w:eastAsia="Times New Roman" w:cstheme="minorHAnsi"/>
          <w:color w:val="000000"/>
        </w:rPr>
        <w:t xml:space="preserve"> M, </w:t>
      </w:r>
      <w:proofErr w:type="spellStart"/>
      <w:r w:rsidRPr="00C822E7">
        <w:rPr>
          <w:rFonts w:eastAsia="Times New Roman" w:cstheme="minorHAnsi"/>
          <w:color w:val="000000"/>
        </w:rPr>
        <w:t>Büttner</w:t>
      </w:r>
      <w:proofErr w:type="spellEnd"/>
      <w:r w:rsidRPr="00C822E7">
        <w:rPr>
          <w:rFonts w:eastAsia="Times New Roman" w:cstheme="minorHAnsi"/>
          <w:color w:val="000000"/>
        </w:rPr>
        <w:t xml:space="preserve"> A, et al. Sex determination and estimation of stature from the long bones of the arm. </w:t>
      </w:r>
      <w:r w:rsidRPr="00C822E7">
        <w:rPr>
          <w:rFonts w:eastAsia="Times New Roman" w:cstheme="minorHAnsi"/>
          <w:i/>
          <w:iCs/>
          <w:color w:val="000000"/>
        </w:rPr>
        <w:t>Forensic Sci Int</w:t>
      </w:r>
      <w:r w:rsidRPr="00C822E7">
        <w:rPr>
          <w:rFonts w:eastAsia="Times New Roman" w:cstheme="minorHAnsi"/>
          <w:color w:val="000000"/>
        </w:rPr>
        <w:t>. 2001 Mar 1;117(1-2):23-30.</w:t>
      </w:r>
    </w:p>
    <w:p w14:paraId="770A9F16"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Wunderlich RE, Cavanagh PR. Gender differences in adult foot shape: implications for shoe design. </w:t>
      </w:r>
      <w:r w:rsidRPr="00C822E7">
        <w:rPr>
          <w:rFonts w:eastAsia="Times New Roman" w:cstheme="minorHAnsi"/>
          <w:i/>
          <w:iCs/>
          <w:color w:val="000000"/>
        </w:rPr>
        <w:t xml:space="preserve">Med Sci Sports </w:t>
      </w:r>
      <w:proofErr w:type="spellStart"/>
      <w:r w:rsidRPr="00C822E7">
        <w:rPr>
          <w:rFonts w:eastAsia="Times New Roman" w:cstheme="minorHAnsi"/>
          <w:i/>
          <w:iCs/>
          <w:color w:val="000000"/>
        </w:rPr>
        <w:t>Exerc</w:t>
      </w:r>
      <w:proofErr w:type="spellEnd"/>
      <w:r w:rsidRPr="00C822E7">
        <w:rPr>
          <w:rFonts w:eastAsia="Times New Roman" w:cstheme="minorHAnsi"/>
          <w:color w:val="000000"/>
        </w:rPr>
        <w:t>. 2001 Apr;33(4):605-11.</w:t>
      </w:r>
    </w:p>
    <w:p w14:paraId="6D85F75D"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Purkait</w:t>
      </w:r>
      <w:proofErr w:type="spellEnd"/>
      <w:r w:rsidRPr="00C822E7">
        <w:rPr>
          <w:rFonts w:eastAsia="Times New Roman" w:cstheme="minorHAnsi"/>
          <w:color w:val="000000"/>
        </w:rPr>
        <w:t xml:space="preserve"> R. Sex determination from femoral head measurements: a new approach. </w:t>
      </w:r>
      <w:r w:rsidRPr="00C822E7">
        <w:rPr>
          <w:rFonts w:eastAsia="Times New Roman" w:cstheme="minorHAnsi"/>
          <w:i/>
          <w:iCs/>
          <w:color w:val="000000"/>
        </w:rPr>
        <w:t>Leg Med (Tokyo)</w:t>
      </w:r>
      <w:r w:rsidRPr="00C822E7">
        <w:rPr>
          <w:rFonts w:eastAsia="Times New Roman" w:cstheme="minorHAnsi"/>
          <w:color w:val="000000"/>
        </w:rPr>
        <w:t>. 2003 Mar;5 Suppl 1:S347-50.</w:t>
      </w:r>
    </w:p>
    <w:p w14:paraId="476FAC09"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Ozden</w:t>
      </w:r>
      <w:proofErr w:type="spellEnd"/>
      <w:r w:rsidRPr="00C822E7">
        <w:rPr>
          <w:rFonts w:eastAsia="Times New Roman" w:cstheme="minorHAnsi"/>
          <w:color w:val="000000"/>
        </w:rPr>
        <w:t xml:space="preserve"> H, </w:t>
      </w:r>
      <w:proofErr w:type="spellStart"/>
      <w:r w:rsidRPr="00C822E7">
        <w:rPr>
          <w:rFonts w:eastAsia="Times New Roman" w:cstheme="minorHAnsi"/>
          <w:color w:val="000000"/>
        </w:rPr>
        <w:t>Balci</w:t>
      </w:r>
      <w:proofErr w:type="spellEnd"/>
      <w:r w:rsidRPr="00C822E7">
        <w:rPr>
          <w:rFonts w:eastAsia="Times New Roman" w:cstheme="minorHAnsi"/>
          <w:color w:val="000000"/>
        </w:rPr>
        <w:t xml:space="preserve"> Y, </w:t>
      </w:r>
      <w:proofErr w:type="spellStart"/>
      <w:r w:rsidRPr="00C822E7">
        <w:rPr>
          <w:rFonts w:eastAsia="Times New Roman" w:cstheme="minorHAnsi"/>
          <w:color w:val="000000"/>
        </w:rPr>
        <w:t>Demirustu</w:t>
      </w:r>
      <w:proofErr w:type="spellEnd"/>
      <w:r w:rsidRPr="00C822E7">
        <w:rPr>
          <w:rFonts w:eastAsia="Times New Roman" w:cstheme="minorHAnsi"/>
          <w:color w:val="000000"/>
        </w:rPr>
        <w:t xml:space="preserve"> C, et al. Stature and sex estimate using foot and shoe dimensions. </w:t>
      </w:r>
      <w:r w:rsidRPr="00C822E7">
        <w:rPr>
          <w:rFonts w:eastAsia="Times New Roman" w:cstheme="minorHAnsi"/>
          <w:i/>
          <w:iCs/>
          <w:color w:val="000000"/>
        </w:rPr>
        <w:t>Forensic Sci Int</w:t>
      </w:r>
      <w:r w:rsidRPr="00C822E7">
        <w:rPr>
          <w:rFonts w:eastAsia="Times New Roman" w:cstheme="minorHAnsi"/>
          <w:color w:val="000000"/>
        </w:rPr>
        <w:t>. 2005 Jan 29;147(2-3):181-4.</w:t>
      </w:r>
    </w:p>
    <w:p w14:paraId="2227BBD9"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Kemkes-Grottenthaler</w:t>
      </w:r>
      <w:proofErr w:type="spellEnd"/>
      <w:r w:rsidRPr="00C822E7">
        <w:rPr>
          <w:rFonts w:eastAsia="Times New Roman" w:cstheme="minorHAnsi"/>
          <w:color w:val="000000"/>
        </w:rPr>
        <w:t xml:space="preserve"> A. Sex determination by discriminant analysis: an evaluation of the reliability of patella measurements. </w:t>
      </w:r>
      <w:r w:rsidRPr="00C822E7">
        <w:rPr>
          <w:rFonts w:eastAsia="Times New Roman" w:cstheme="minorHAnsi"/>
          <w:i/>
          <w:iCs/>
          <w:color w:val="000000"/>
        </w:rPr>
        <w:t>Forensic Sci Int</w:t>
      </w:r>
      <w:r w:rsidRPr="00C822E7">
        <w:rPr>
          <w:rFonts w:eastAsia="Times New Roman" w:cstheme="minorHAnsi"/>
          <w:color w:val="000000"/>
        </w:rPr>
        <w:t>. 2005 Jan 29;147(2-3):129-33.</w:t>
      </w:r>
    </w:p>
    <w:p w14:paraId="695E40DB"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Schwartz GT, Dean MC. Sexual dimorphism in modern human permanent teeth. </w:t>
      </w:r>
      <w:r w:rsidRPr="00C822E7">
        <w:rPr>
          <w:rFonts w:eastAsia="Times New Roman" w:cstheme="minorHAnsi"/>
          <w:i/>
          <w:iCs/>
          <w:color w:val="000000"/>
        </w:rPr>
        <w:t xml:space="preserve">Am J Phys </w:t>
      </w:r>
      <w:proofErr w:type="spellStart"/>
      <w:r w:rsidRPr="00C822E7">
        <w:rPr>
          <w:rFonts w:eastAsia="Times New Roman" w:cstheme="minorHAnsi"/>
          <w:i/>
          <w:iCs/>
          <w:color w:val="000000"/>
        </w:rPr>
        <w:t>Anthropol</w:t>
      </w:r>
      <w:proofErr w:type="spellEnd"/>
      <w:r w:rsidRPr="00C822E7">
        <w:rPr>
          <w:rFonts w:eastAsia="Times New Roman" w:cstheme="minorHAnsi"/>
          <w:color w:val="000000"/>
        </w:rPr>
        <w:t>. 2005 Oct;128(2):312-7.</w:t>
      </w:r>
    </w:p>
    <w:p w14:paraId="5FEB0745"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Celbis</w:t>
      </w:r>
      <w:proofErr w:type="spellEnd"/>
      <w:r w:rsidRPr="00C822E7">
        <w:rPr>
          <w:rFonts w:eastAsia="Times New Roman" w:cstheme="minorHAnsi"/>
          <w:color w:val="000000"/>
        </w:rPr>
        <w:t xml:space="preserve"> O, </w:t>
      </w:r>
      <w:proofErr w:type="spellStart"/>
      <w:r w:rsidRPr="00C822E7">
        <w:rPr>
          <w:rFonts w:eastAsia="Times New Roman" w:cstheme="minorHAnsi"/>
          <w:color w:val="000000"/>
        </w:rPr>
        <w:t>Agritmis</w:t>
      </w:r>
      <w:proofErr w:type="spellEnd"/>
      <w:r w:rsidRPr="00C822E7">
        <w:rPr>
          <w:rFonts w:eastAsia="Times New Roman" w:cstheme="minorHAnsi"/>
          <w:color w:val="000000"/>
        </w:rPr>
        <w:t xml:space="preserve"> H. Estimation of stature and determination of sex from radial and ulnar bone lengths in a Turkish corpse sample. </w:t>
      </w:r>
      <w:r w:rsidRPr="00C822E7">
        <w:rPr>
          <w:rFonts w:eastAsia="Times New Roman" w:cstheme="minorHAnsi"/>
          <w:i/>
          <w:iCs/>
          <w:color w:val="000000"/>
        </w:rPr>
        <w:t>Forensic Sci Int</w:t>
      </w:r>
      <w:r w:rsidRPr="00C822E7">
        <w:rPr>
          <w:rFonts w:eastAsia="Times New Roman" w:cstheme="minorHAnsi"/>
          <w:color w:val="000000"/>
        </w:rPr>
        <w:t>. 2006 May 10;158(2-3):135-9.</w:t>
      </w:r>
    </w:p>
    <w:p w14:paraId="5682C99E"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Jain AK, Hong L, </w:t>
      </w:r>
      <w:proofErr w:type="spellStart"/>
      <w:r w:rsidRPr="00C822E7">
        <w:rPr>
          <w:rFonts w:eastAsia="Times New Roman" w:cstheme="minorHAnsi"/>
          <w:color w:val="000000"/>
        </w:rPr>
        <w:t>Pankanti</w:t>
      </w:r>
      <w:proofErr w:type="spellEnd"/>
      <w:r w:rsidRPr="00C822E7">
        <w:rPr>
          <w:rFonts w:eastAsia="Times New Roman" w:cstheme="minorHAnsi"/>
          <w:color w:val="000000"/>
        </w:rPr>
        <w:t xml:space="preserve"> S, et al. An identity-authentication system by using fingerprints. </w:t>
      </w:r>
      <w:r w:rsidRPr="00C822E7">
        <w:rPr>
          <w:rFonts w:eastAsia="Times New Roman" w:cstheme="minorHAnsi"/>
          <w:i/>
          <w:iCs/>
          <w:color w:val="000000"/>
        </w:rPr>
        <w:t>Proc IEEE</w:t>
      </w:r>
      <w:r w:rsidRPr="00C822E7">
        <w:rPr>
          <w:rFonts w:eastAsia="Times New Roman" w:cstheme="minorHAnsi"/>
          <w:color w:val="000000"/>
        </w:rPr>
        <w:t>. 1997;85:1365-88.</w:t>
      </w:r>
    </w:p>
    <w:p w14:paraId="727D8D49"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Holt SB. The genetics of dermal ridges. Springfield, Ill.: Charles Thomas; 1968.</w:t>
      </w:r>
    </w:p>
    <w:p w14:paraId="55A21005"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Rostron</w:t>
      </w:r>
      <w:proofErr w:type="spellEnd"/>
      <w:r w:rsidRPr="00C822E7">
        <w:rPr>
          <w:rFonts w:eastAsia="Times New Roman" w:cstheme="minorHAnsi"/>
          <w:color w:val="000000"/>
        </w:rPr>
        <w:t xml:space="preserve"> J, </w:t>
      </w:r>
      <w:proofErr w:type="spellStart"/>
      <w:r w:rsidRPr="00C822E7">
        <w:rPr>
          <w:rFonts w:eastAsia="Times New Roman" w:cstheme="minorHAnsi"/>
          <w:color w:val="000000"/>
        </w:rPr>
        <w:t>Mittwoch</w:t>
      </w:r>
      <w:proofErr w:type="spellEnd"/>
      <w:r w:rsidRPr="00C822E7">
        <w:rPr>
          <w:rFonts w:eastAsia="Times New Roman" w:cstheme="minorHAnsi"/>
          <w:color w:val="000000"/>
        </w:rPr>
        <w:t xml:space="preserve"> U. Sex and lateral asymmetry of the finger ridge-count. </w:t>
      </w:r>
      <w:r w:rsidRPr="00C822E7">
        <w:rPr>
          <w:rFonts w:eastAsia="Times New Roman" w:cstheme="minorHAnsi"/>
          <w:i/>
          <w:iCs/>
          <w:color w:val="000000"/>
        </w:rPr>
        <w:t>Ann Hum Biol</w:t>
      </w:r>
      <w:r w:rsidRPr="00C822E7">
        <w:rPr>
          <w:rFonts w:eastAsia="Times New Roman" w:cstheme="minorHAnsi"/>
          <w:color w:val="000000"/>
        </w:rPr>
        <w:t>. 1977 Jul;4(4):375-7.</w:t>
      </w:r>
    </w:p>
    <w:p w14:paraId="454D7C3D"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Mustanski</w:t>
      </w:r>
      <w:proofErr w:type="spellEnd"/>
      <w:r w:rsidRPr="00C822E7">
        <w:rPr>
          <w:rFonts w:eastAsia="Times New Roman" w:cstheme="minorHAnsi"/>
          <w:color w:val="000000"/>
        </w:rPr>
        <w:t xml:space="preserve"> BS., Bailey JM, </w:t>
      </w:r>
      <w:proofErr w:type="spellStart"/>
      <w:r w:rsidRPr="00C822E7">
        <w:rPr>
          <w:rFonts w:eastAsia="Times New Roman" w:cstheme="minorHAnsi"/>
          <w:color w:val="000000"/>
        </w:rPr>
        <w:t>Kaspar</w:t>
      </w:r>
      <w:proofErr w:type="spellEnd"/>
      <w:r w:rsidRPr="00C822E7">
        <w:rPr>
          <w:rFonts w:eastAsia="Times New Roman" w:cstheme="minorHAnsi"/>
          <w:color w:val="000000"/>
        </w:rPr>
        <w:t xml:space="preserve"> S. Dermatoglyphics, handedness, sex, and sexual orientation. </w:t>
      </w:r>
      <w:r w:rsidRPr="00C822E7">
        <w:rPr>
          <w:rFonts w:eastAsia="Times New Roman" w:cstheme="minorHAnsi"/>
          <w:i/>
          <w:iCs/>
          <w:color w:val="000000"/>
        </w:rPr>
        <w:t xml:space="preserve">Arch Sex </w:t>
      </w:r>
      <w:proofErr w:type="spellStart"/>
      <w:r w:rsidRPr="00C822E7">
        <w:rPr>
          <w:rFonts w:eastAsia="Times New Roman" w:cstheme="minorHAnsi"/>
          <w:i/>
          <w:iCs/>
          <w:color w:val="000000"/>
        </w:rPr>
        <w:t>Behav</w:t>
      </w:r>
      <w:proofErr w:type="spellEnd"/>
      <w:r w:rsidRPr="00C822E7">
        <w:rPr>
          <w:rFonts w:eastAsia="Times New Roman" w:cstheme="minorHAnsi"/>
          <w:color w:val="000000"/>
        </w:rPr>
        <w:t>. 2002 Feb;31(1):113-22.</w:t>
      </w:r>
    </w:p>
    <w:p w14:paraId="48A403A1"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van </w:t>
      </w:r>
      <w:proofErr w:type="spellStart"/>
      <w:r w:rsidRPr="00C822E7">
        <w:rPr>
          <w:rFonts w:eastAsia="Times New Roman" w:cstheme="minorHAnsi"/>
          <w:color w:val="000000"/>
        </w:rPr>
        <w:t>Oel</w:t>
      </w:r>
      <w:proofErr w:type="spellEnd"/>
      <w:r w:rsidRPr="00C822E7">
        <w:rPr>
          <w:rFonts w:eastAsia="Times New Roman" w:cstheme="minorHAnsi"/>
          <w:color w:val="000000"/>
        </w:rPr>
        <w:t xml:space="preserve"> CJ, </w:t>
      </w:r>
      <w:proofErr w:type="spellStart"/>
      <w:r w:rsidRPr="00C822E7">
        <w:rPr>
          <w:rFonts w:eastAsia="Times New Roman" w:cstheme="minorHAnsi"/>
          <w:color w:val="000000"/>
        </w:rPr>
        <w:t>Baaré</w:t>
      </w:r>
      <w:proofErr w:type="spellEnd"/>
      <w:r w:rsidRPr="00C822E7">
        <w:rPr>
          <w:rFonts w:eastAsia="Times New Roman" w:cstheme="minorHAnsi"/>
          <w:color w:val="000000"/>
        </w:rPr>
        <w:t xml:space="preserve"> WFC, </w:t>
      </w:r>
      <w:proofErr w:type="spellStart"/>
      <w:r w:rsidRPr="00C822E7">
        <w:rPr>
          <w:rFonts w:eastAsia="Times New Roman" w:cstheme="minorHAnsi"/>
          <w:color w:val="000000"/>
        </w:rPr>
        <w:t>Hulshoff</w:t>
      </w:r>
      <w:proofErr w:type="spellEnd"/>
      <w:r w:rsidRPr="00C822E7">
        <w:rPr>
          <w:rFonts w:eastAsia="Times New Roman" w:cstheme="minorHAnsi"/>
          <w:color w:val="000000"/>
        </w:rPr>
        <w:t xml:space="preserve"> Pol HE, et al. Differentiating between low and high susceptibility to schizophrenia in twins: the significance of dermatoglyphic indices in relation to other determinants of brain development. </w:t>
      </w:r>
      <w:proofErr w:type="spellStart"/>
      <w:r w:rsidRPr="00C822E7">
        <w:rPr>
          <w:rFonts w:eastAsia="Times New Roman" w:cstheme="minorHAnsi"/>
          <w:i/>
          <w:iCs/>
          <w:color w:val="000000"/>
        </w:rPr>
        <w:t>Schizophr</w:t>
      </w:r>
      <w:proofErr w:type="spellEnd"/>
      <w:r w:rsidRPr="00C822E7">
        <w:rPr>
          <w:rFonts w:eastAsia="Times New Roman" w:cstheme="minorHAnsi"/>
          <w:i/>
          <w:iCs/>
          <w:color w:val="000000"/>
        </w:rPr>
        <w:t xml:space="preserve"> Res</w:t>
      </w:r>
      <w:r w:rsidRPr="00C822E7">
        <w:rPr>
          <w:rFonts w:eastAsia="Times New Roman" w:cstheme="minorHAnsi"/>
          <w:color w:val="000000"/>
        </w:rPr>
        <w:t>. 2001 Dec 1;52(3):181-93.</w:t>
      </w:r>
    </w:p>
    <w:p w14:paraId="572C1EAA"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lastRenderedPageBreak/>
        <w:t>Saha</w:t>
      </w:r>
      <w:proofErr w:type="spellEnd"/>
      <w:r w:rsidRPr="00C822E7">
        <w:rPr>
          <w:rFonts w:eastAsia="Times New Roman" w:cstheme="minorHAnsi"/>
          <w:color w:val="000000"/>
        </w:rPr>
        <w:t xml:space="preserve"> S, Loesch D, Chant D, et al. Directional and fluctuating asymmetry in finger and a-b ridge counts in psychosis: a case-control study. </w:t>
      </w:r>
      <w:r w:rsidRPr="00C822E7">
        <w:rPr>
          <w:rFonts w:eastAsia="Times New Roman" w:cstheme="minorHAnsi"/>
          <w:i/>
          <w:iCs/>
          <w:color w:val="000000"/>
        </w:rPr>
        <w:t>BMC Psychiatry</w:t>
      </w:r>
      <w:r w:rsidRPr="00C822E7">
        <w:rPr>
          <w:rFonts w:eastAsia="Times New Roman" w:cstheme="minorHAnsi"/>
          <w:color w:val="000000"/>
        </w:rPr>
        <w:t>. 2003 Mar 23;3:3.</w:t>
      </w:r>
    </w:p>
    <w:p w14:paraId="52A13E2B"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Dittmar M. Finger ridge-count asymmetry and diversity in Andean Indians and interpopulation comparisons. </w:t>
      </w:r>
      <w:r w:rsidRPr="00C822E7">
        <w:rPr>
          <w:rFonts w:eastAsia="Times New Roman" w:cstheme="minorHAnsi"/>
          <w:i/>
          <w:iCs/>
          <w:color w:val="000000"/>
        </w:rPr>
        <w:t xml:space="preserve">Am J Phys </w:t>
      </w:r>
      <w:proofErr w:type="spellStart"/>
      <w:r w:rsidRPr="00C822E7">
        <w:rPr>
          <w:rFonts w:eastAsia="Times New Roman" w:cstheme="minorHAnsi"/>
          <w:i/>
          <w:iCs/>
          <w:color w:val="000000"/>
        </w:rPr>
        <w:t>Anthropol</w:t>
      </w:r>
      <w:proofErr w:type="spellEnd"/>
      <w:r w:rsidRPr="00C822E7">
        <w:rPr>
          <w:rFonts w:eastAsia="Times New Roman" w:cstheme="minorHAnsi"/>
          <w:color w:val="000000"/>
        </w:rPr>
        <w:t>. 1998 Mar;105(3):377-93.</w:t>
      </w:r>
    </w:p>
    <w:p w14:paraId="0EDACC5E"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Slabbekoorn</w:t>
      </w:r>
      <w:proofErr w:type="spellEnd"/>
      <w:r w:rsidRPr="00C822E7">
        <w:rPr>
          <w:rFonts w:eastAsia="Times New Roman" w:cstheme="minorHAnsi"/>
          <w:color w:val="000000"/>
        </w:rPr>
        <w:t xml:space="preserve"> D, van </w:t>
      </w:r>
      <w:proofErr w:type="spellStart"/>
      <w:r w:rsidRPr="00C822E7">
        <w:rPr>
          <w:rFonts w:eastAsia="Times New Roman" w:cstheme="minorHAnsi"/>
          <w:color w:val="000000"/>
        </w:rPr>
        <w:t>Goozen</w:t>
      </w:r>
      <w:proofErr w:type="spellEnd"/>
      <w:r w:rsidRPr="00C822E7">
        <w:rPr>
          <w:rFonts w:eastAsia="Times New Roman" w:cstheme="minorHAnsi"/>
          <w:color w:val="000000"/>
        </w:rPr>
        <w:t xml:space="preserve"> SHM, Sanders G, et al. The dermatoglyphic characteristics of </w:t>
      </w:r>
      <w:proofErr w:type="gramStart"/>
      <w:r w:rsidRPr="00C822E7">
        <w:rPr>
          <w:rFonts w:eastAsia="Times New Roman" w:cstheme="minorHAnsi"/>
          <w:color w:val="000000"/>
        </w:rPr>
        <w:t>transsexuals:</w:t>
      </w:r>
      <w:proofErr w:type="gramEnd"/>
      <w:r w:rsidRPr="00C822E7">
        <w:rPr>
          <w:rFonts w:eastAsia="Times New Roman" w:cstheme="minorHAnsi"/>
          <w:color w:val="000000"/>
        </w:rPr>
        <w:t xml:space="preserve"> is there evidence for an organizing effect of sex hormones. </w:t>
      </w:r>
      <w:proofErr w:type="spellStart"/>
      <w:r w:rsidRPr="00C822E7">
        <w:rPr>
          <w:rFonts w:eastAsia="Times New Roman" w:cstheme="minorHAnsi"/>
          <w:i/>
          <w:iCs/>
          <w:color w:val="000000"/>
        </w:rPr>
        <w:t>Psychoneuroendocrinology</w:t>
      </w:r>
      <w:proofErr w:type="spellEnd"/>
      <w:r w:rsidRPr="00C822E7">
        <w:rPr>
          <w:rFonts w:eastAsia="Times New Roman" w:cstheme="minorHAnsi"/>
          <w:color w:val="000000"/>
        </w:rPr>
        <w:t>. 2000 May;25(4):365-75.</w:t>
      </w:r>
    </w:p>
    <w:p w14:paraId="7ADEF654"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Acree</w:t>
      </w:r>
      <w:proofErr w:type="spellEnd"/>
      <w:r w:rsidRPr="00C822E7">
        <w:rPr>
          <w:rFonts w:eastAsia="Times New Roman" w:cstheme="minorHAnsi"/>
          <w:color w:val="000000"/>
        </w:rPr>
        <w:t xml:space="preserve"> MA. Is there a gender difference in fingerprint ridge density? </w:t>
      </w:r>
      <w:r w:rsidRPr="00C822E7">
        <w:rPr>
          <w:rFonts w:eastAsia="Times New Roman" w:cstheme="minorHAnsi"/>
          <w:i/>
          <w:iCs/>
          <w:color w:val="000000"/>
        </w:rPr>
        <w:t>Forensic Sci Int</w:t>
      </w:r>
      <w:r w:rsidRPr="00C822E7">
        <w:rPr>
          <w:rFonts w:eastAsia="Times New Roman" w:cstheme="minorHAnsi"/>
          <w:color w:val="000000"/>
        </w:rPr>
        <w:t>. 1999 May 31;102(1):35-44.</w:t>
      </w:r>
    </w:p>
    <w:p w14:paraId="569CFFF5"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Jain LC, </w:t>
      </w:r>
      <w:proofErr w:type="spellStart"/>
      <w:r w:rsidRPr="00C822E7">
        <w:rPr>
          <w:rFonts w:eastAsia="Times New Roman" w:cstheme="minorHAnsi"/>
          <w:color w:val="000000"/>
        </w:rPr>
        <w:t>Halici</w:t>
      </w:r>
      <w:proofErr w:type="spellEnd"/>
      <w:r w:rsidRPr="00C822E7">
        <w:rPr>
          <w:rFonts w:eastAsia="Times New Roman" w:cstheme="minorHAnsi"/>
          <w:color w:val="000000"/>
        </w:rPr>
        <w:t xml:space="preserve"> U, Hayashi I, Lee SB, </w:t>
      </w:r>
      <w:proofErr w:type="spellStart"/>
      <w:r w:rsidRPr="00C822E7">
        <w:rPr>
          <w:rFonts w:eastAsia="Times New Roman" w:cstheme="minorHAnsi"/>
          <w:color w:val="000000"/>
        </w:rPr>
        <w:t>Tsutsui</w:t>
      </w:r>
      <w:proofErr w:type="spellEnd"/>
      <w:r w:rsidRPr="00C822E7">
        <w:rPr>
          <w:rFonts w:eastAsia="Times New Roman" w:cstheme="minorHAnsi"/>
          <w:color w:val="000000"/>
        </w:rPr>
        <w:t xml:space="preserve"> S. Intelligent Biometric Techniques in Fingerprint and Face Recognition. Boca Raton: CRC Press; 1999.</w:t>
      </w:r>
    </w:p>
    <w:p w14:paraId="60143531"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Haykin</w:t>
      </w:r>
      <w:proofErr w:type="spellEnd"/>
      <w:r w:rsidRPr="00C822E7">
        <w:rPr>
          <w:rFonts w:eastAsia="Times New Roman" w:cstheme="minorHAnsi"/>
          <w:color w:val="000000"/>
        </w:rPr>
        <w:t xml:space="preserve"> S. Neural network: a comprehensive foundation. Second ed. Upper Saddle River, New Jersey: Prentice Hall; 1999.</w:t>
      </w:r>
    </w:p>
    <w:p w14:paraId="024974D1"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proofErr w:type="spellStart"/>
      <w:r w:rsidRPr="00C822E7">
        <w:rPr>
          <w:rFonts w:eastAsia="Times New Roman" w:cstheme="minorHAnsi"/>
          <w:color w:val="000000"/>
        </w:rPr>
        <w:t>İşcan</w:t>
      </w:r>
      <w:proofErr w:type="spellEnd"/>
      <w:r w:rsidRPr="00C822E7">
        <w:rPr>
          <w:rFonts w:eastAsia="Times New Roman" w:cstheme="minorHAnsi"/>
          <w:color w:val="000000"/>
        </w:rPr>
        <w:t xml:space="preserve"> MY. Forensic anthropology of sex and body size. Forensic Sci Int. 2005 Jan 29;147 (2-3):107-12.</w:t>
      </w:r>
    </w:p>
    <w:p w14:paraId="57132B80" w14:textId="77777777"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 xml:space="preserve">Kimura D, Carson MW. Dermatoglyphic asymmetry: relation to sex, handedness and cognitive pattern. Pers </w:t>
      </w:r>
      <w:proofErr w:type="spellStart"/>
      <w:r w:rsidRPr="00C822E7">
        <w:rPr>
          <w:rFonts w:eastAsia="Times New Roman" w:cstheme="minorHAnsi"/>
          <w:color w:val="000000"/>
        </w:rPr>
        <w:t>Individ</w:t>
      </w:r>
      <w:proofErr w:type="spellEnd"/>
      <w:r w:rsidRPr="00C822E7">
        <w:rPr>
          <w:rFonts w:eastAsia="Times New Roman" w:cstheme="minorHAnsi"/>
          <w:color w:val="000000"/>
        </w:rPr>
        <w:t xml:space="preserve"> Differ. 1995 Oct;19(4):471–8.</w:t>
      </w:r>
    </w:p>
    <w:p w14:paraId="1578A279" w14:textId="651E3995" w:rsidR="00C822E7" w:rsidRPr="00C822E7" w:rsidRDefault="00C822E7" w:rsidP="00326412">
      <w:pPr>
        <w:numPr>
          <w:ilvl w:val="0"/>
          <w:numId w:val="2"/>
        </w:numPr>
        <w:shd w:val="clear" w:color="auto" w:fill="FFFFFF" w:themeFill="background1"/>
        <w:spacing w:before="100" w:beforeAutospacing="1" w:after="100" w:afterAutospacing="1" w:line="270" w:lineRule="atLeast"/>
        <w:ind w:hanging="720"/>
        <w:rPr>
          <w:rFonts w:eastAsia="Times New Roman" w:cstheme="minorHAnsi"/>
          <w:color w:val="000000"/>
        </w:rPr>
      </w:pPr>
      <w:r w:rsidRPr="00C822E7">
        <w:rPr>
          <w:rFonts w:eastAsia="Times New Roman" w:cstheme="minorHAnsi"/>
          <w:color w:val="000000"/>
        </w:rPr>
        <w:t>Green R, Young R. Fingerprint asymmetry in male and female transsexuals. </w:t>
      </w:r>
      <w:r w:rsidRPr="00C822E7">
        <w:rPr>
          <w:rFonts w:eastAsia="Times New Roman" w:cstheme="minorHAnsi"/>
          <w:i/>
          <w:iCs/>
          <w:color w:val="000000"/>
        </w:rPr>
        <w:t xml:space="preserve">Pers </w:t>
      </w:r>
      <w:proofErr w:type="spellStart"/>
      <w:r w:rsidRPr="00C822E7">
        <w:rPr>
          <w:rFonts w:eastAsia="Times New Roman" w:cstheme="minorHAnsi"/>
          <w:i/>
          <w:iCs/>
          <w:color w:val="000000"/>
        </w:rPr>
        <w:t>Individ</w:t>
      </w:r>
      <w:proofErr w:type="spellEnd"/>
      <w:r w:rsidRPr="00C822E7">
        <w:rPr>
          <w:rFonts w:eastAsia="Times New Roman" w:cstheme="minorHAnsi"/>
          <w:i/>
          <w:iCs/>
          <w:color w:val="000000"/>
        </w:rPr>
        <w:t xml:space="preserve"> Differ</w:t>
      </w:r>
      <w:r w:rsidRPr="00C822E7">
        <w:rPr>
          <w:rFonts w:eastAsia="Times New Roman" w:cstheme="minorHAnsi"/>
          <w:color w:val="000000"/>
        </w:rPr>
        <w:t>. 2000 Nov;29(5):933</w:t>
      </w:r>
      <w:r w:rsidR="00326412" w:rsidRPr="00704262">
        <w:rPr>
          <w:rFonts w:eastAsia="Times New Roman" w:cstheme="minorHAnsi"/>
          <w:color w:val="000000"/>
        </w:rPr>
        <w:t>-</w:t>
      </w:r>
      <w:r w:rsidRPr="00C822E7">
        <w:rPr>
          <w:rFonts w:eastAsia="Times New Roman" w:cstheme="minorHAnsi"/>
          <w:color w:val="000000"/>
        </w:rPr>
        <w:t>42.</w:t>
      </w:r>
    </w:p>
    <w:p w14:paraId="64C402D9" w14:textId="77777777" w:rsidR="00C822E7" w:rsidRPr="00704262" w:rsidRDefault="00C822E7" w:rsidP="00326412">
      <w:pPr>
        <w:shd w:val="clear" w:color="auto" w:fill="FFFFFF" w:themeFill="background1"/>
        <w:ind w:hanging="720"/>
        <w:rPr>
          <w:rFonts w:cstheme="minorHAnsi"/>
        </w:rPr>
      </w:pPr>
    </w:p>
    <w:sectPr w:rsidR="00C822E7" w:rsidRPr="00704262"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C5F1B"/>
    <w:multiLevelType w:val="multilevel"/>
    <w:tmpl w:val="A896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5E7397"/>
    <w:multiLevelType w:val="multilevel"/>
    <w:tmpl w:val="61B0F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m49oqVPpiFkUlcyLBdz/7qWrnytHutRzP+Fix/fAWAe2w0S7zqfGVPTzp1zk6V5nxjKkesm/lwLvFk5s/xOuhQ==" w:salt="poM3rCJHY/xko3EHjoM0t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2E7"/>
    <w:rsid w:val="000A2EF8"/>
    <w:rsid w:val="001B7152"/>
    <w:rsid w:val="001F476B"/>
    <w:rsid w:val="00204109"/>
    <w:rsid w:val="002C560D"/>
    <w:rsid w:val="00326412"/>
    <w:rsid w:val="00345DD5"/>
    <w:rsid w:val="003722F3"/>
    <w:rsid w:val="003B296F"/>
    <w:rsid w:val="0040613B"/>
    <w:rsid w:val="00424321"/>
    <w:rsid w:val="00457DF4"/>
    <w:rsid w:val="004C6C43"/>
    <w:rsid w:val="00550361"/>
    <w:rsid w:val="005D235C"/>
    <w:rsid w:val="005F112D"/>
    <w:rsid w:val="00621A1B"/>
    <w:rsid w:val="00625C49"/>
    <w:rsid w:val="00635867"/>
    <w:rsid w:val="006642B4"/>
    <w:rsid w:val="006816B5"/>
    <w:rsid w:val="00700D57"/>
    <w:rsid w:val="00704262"/>
    <w:rsid w:val="00734951"/>
    <w:rsid w:val="007B1A78"/>
    <w:rsid w:val="00823FFC"/>
    <w:rsid w:val="008422C0"/>
    <w:rsid w:val="008D151B"/>
    <w:rsid w:val="00A71714"/>
    <w:rsid w:val="00B60303"/>
    <w:rsid w:val="00C53A16"/>
    <w:rsid w:val="00C61863"/>
    <w:rsid w:val="00C822E7"/>
    <w:rsid w:val="00CD2D8D"/>
    <w:rsid w:val="00D052A9"/>
    <w:rsid w:val="00D42B4E"/>
    <w:rsid w:val="00D92471"/>
    <w:rsid w:val="00DB453D"/>
    <w:rsid w:val="00F40626"/>
    <w:rsid w:val="00F47ECB"/>
    <w:rsid w:val="00F819A3"/>
    <w:rsid w:val="00FF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1D950"/>
  <w15:chartTrackingRefBased/>
  <w15:docId w15:val="{325E18D9-6C6B-4828-8B33-273F26BF3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2E7"/>
    <w:rPr>
      <w:rFonts w:eastAsiaTheme="minorEastAsia"/>
    </w:rPr>
  </w:style>
  <w:style w:type="paragraph" w:styleId="Heading1">
    <w:name w:val="heading 1"/>
    <w:basedOn w:val="Normal"/>
    <w:next w:val="Normal"/>
    <w:link w:val="Heading1Char"/>
    <w:uiPriority w:val="9"/>
    <w:qFormat/>
    <w:rsid w:val="007042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22E7"/>
    <w:pPr>
      <w:autoSpaceDE w:val="0"/>
      <w:autoSpaceDN w:val="0"/>
      <w:adjustRightInd w:val="0"/>
    </w:pPr>
    <w:rPr>
      <w:rFonts w:ascii="Calibri" w:eastAsiaTheme="minorEastAsia" w:hAnsi="Calibri" w:cs="Calibri"/>
      <w:color w:val="000000"/>
      <w:sz w:val="24"/>
      <w:szCs w:val="24"/>
    </w:rPr>
  </w:style>
  <w:style w:type="paragraph" w:styleId="NormalWeb">
    <w:name w:val="Normal (Web)"/>
    <w:basedOn w:val="Normal"/>
    <w:uiPriority w:val="99"/>
    <w:semiHidden/>
    <w:unhideWhenUsed/>
    <w:rsid w:val="00C822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paragraph">
    <w:name w:val="abstractparagraph"/>
    <w:basedOn w:val="Normal"/>
    <w:rsid w:val="00C822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tractparagraph1">
    <w:name w:val="abstractparagraph1"/>
    <w:basedOn w:val="DefaultParagraphFont"/>
    <w:rsid w:val="00C822E7"/>
  </w:style>
  <w:style w:type="paragraph" w:customStyle="1" w:styleId="storyheading">
    <w:name w:val="storyheading"/>
    <w:basedOn w:val="Normal"/>
    <w:rsid w:val="00C822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paragraph">
    <w:name w:val="storyparagraph"/>
    <w:basedOn w:val="Normal"/>
    <w:rsid w:val="00C822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22E7"/>
    <w:rPr>
      <w:b/>
      <w:bCs/>
    </w:rPr>
  </w:style>
  <w:style w:type="character" w:customStyle="1" w:styleId="storyparagraph1">
    <w:name w:val="storyparagraph1"/>
    <w:basedOn w:val="DefaultParagraphFont"/>
    <w:rsid w:val="00C822E7"/>
  </w:style>
  <w:style w:type="character" w:styleId="Emphasis">
    <w:name w:val="Emphasis"/>
    <w:basedOn w:val="DefaultParagraphFont"/>
    <w:uiPriority w:val="20"/>
    <w:qFormat/>
    <w:rsid w:val="00C822E7"/>
    <w:rPr>
      <w:i/>
      <w:iCs/>
    </w:rPr>
  </w:style>
  <w:style w:type="character" w:customStyle="1" w:styleId="Heading1Char">
    <w:name w:val="Heading 1 Char"/>
    <w:basedOn w:val="DefaultParagraphFont"/>
    <w:link w:val="Heading1"/>
    <w:uiPriority w:val="9"/>
    <w:rsid w:val="0070426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47E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7ECB"/>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F81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A3"/>
    <w:rPr>
      <w:rFonts w:ascii="Segoe UI" w:eastAsiaTheme="minorEastAsia" w:hAnsi="Segoe UI" w:cs="Segoe UI"/>
      <w:sz w:val="18"/>
      <w:szCs w:val="18"/>
    </w:rPr>
  </w:style>
  <w:style w:type="paragraph" w:styleId="NoSpacing">
    <w:name w:val="No Spacing"/>
    <w:uiPriority w:val="1"/>
    <w:qFormat/>
    <w:rsid w:val="008D151B"/>
    <w:pPr>
      <w:spacing w:after="0" w:line="240" w:lineRule="auto"/>
    </w:pPr>
    <w:rPr>
      <w:rFonts w:eastAsiaTheme="minorEastAsia"/>
    </w:rPr>
  </w:style>
  <w:style w:type="table" w:styleId="TableGridLight">
    <w:name w:val="Grid Table Light"/>
    <w:basedOn w:val="TableNormal"/>
    <w:uiPriority w:val="40"/>
    <w:rsid w:val="00625C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61004">
      <w:bodyDiv w:val="1"/>
      <w:marLeft w:val="0"/>
      <w:marRight w:val="0"/>
      <w:marTop w:val="0"/>
      <w:marBottom w:val="0"/>
      <w:divBdr>
        <w:top w:val="none" w:sz="0" w:space="0" w:color="auto"/>
        <w:left w:val="none" w:sz="0" w:space="0" w:color="auto"/>
        <w:bottom w:val="none" w:sz="0" w:space="0" w:color="auto"/>
        <w:right w:val="none" w:sz="0" w:space="0" w:color="auto"/>
      </w:divBdr>
      <w:divsChild>
        <w:div w:id="389770601">
          <w:marLeft w:val="0"/>
          <w:marRight w:val="0"/>
          <w:marTop w:val="100"/>
          <w:marBottom w:val="100"/>
          <w:divBdr>
            <w:top w:val="none" w:sz="0" w:space="0" w:color="auto"/>
            <w:left w:val="none" w:sz="0" w:space="0" w:color="auto"/>
            <w:bottom w:val="none" w:sz="0" w:space="0" w:color="auto"/>
            <w:right w:val="none" w:sz="0" w:space="0" w:color="auto"/>
          </w:divBdr>
        </w:div>
        <w:div w:id="651258030">
          <w:marLeft w:val="0"/>
          <w:marRight w:val="0"/>
          <w:marTop w:val="0"/>
          <w:marBottom w:val="0"/>
          <w:divBdr>
            <w:top w:val="none" w:sz="0" w:space="0" w:color="auto"/>
            <w:left w:val="none" w:sz="0" w:space="0" w:color="auto"/>
            <w:bottom w:val="none" w:sz="0" w:space="0" w:color="auto"/>
            <w:right w:val="none" w:sz="0" w:space="0" w:color="auto"/>
          </w:divBdr>
          <w:divsChild>
            <w:div w:id="1453672357">
              <w:marLeft w:val="0"/>
              <w:marRight w:val="0"/>
              <w:marTop w:val="0"/>
              <w:marBottom w:val="0"/>
              <w:divBdr>
                <w:top w:val="none" w:sz="0" w:space="0" w:color="auto"/>
                <w:left w:val="none" w:sz="0" w:space="0" w:color="auto"/>
                <w:bottom w:val="none" w:sz="0" w:space="0" w:color="auto"/>
                <w:right w:val="none" w:sz="0" w:space="0" w:color="auto"/>
              </w:divBdr>
            </w:div>
            <w:div w:id="785084194">
              <w:marLeft w:val="0"/>
              <w:marRight w:val="0"/>
              <w:marTop w:val="0"/>
              <w:marBottom w:val="0"/>
              <w:divBdr>
                <w:top w:val="none" w:sz="0" w:space="0" w:color="auto"/>
                <w:left w:val="none" w:sz="0" w:space="0" w:color="auto"/>
                <w:bottom w:val="none" w:sz="0" w:space="0" w:color="auto"/>
                <w:right w:val="none" w:sz="0" w:space="0" w:color="auto"/>
              </w:divBdr>
            </w:div>
            <w:div w:id="221259602">
              <w:marLeft w:val="0"/>
              <w:marRight w:val="0"/>
              <w:marTop w:val="0"/>
              <w:marBottom w:val="0"/>
              <w:divBdr>
                <w:top w:val="none" w:sz="0" w:space="0" w:color="auto"/>
                <w:left w:val="none" w:sz="0" w:space="0" w:color="auto"/>
                <w:bottom w:val="none" w:sz="0" w:space="0" w:color="auto"/>
                <w:right w:val="none" w:sz="0" w:space="0" w:color="auto"/>
              </w:divBdr>
            </w:div>
            <w:div w:id="2034722058">
              <w:marLeft w:val="0"/>
              <w:marRight w:val="0"/>
              <w:marTop w:val="0"/>
              <w:marBottom w:val="0"/>
              <w:divBdr>
                <w:top w:val="none" w:sz="0" w:space="0" w:color="auto"/>
                <w:left w:val="none" w:sz="0" w:space="0" w:color="auto"/>
                <w:bottom w:val="none" w:sz="0" w:space="0" w:color="auto"/>
                <w:right w:val="none" w:sz="0" w:space="0" w:color="auto"/>
              </w:divBdr>
            </w:div>
            <w:div w:id="1188327541">
              <w:marLeft w:val="0"/>
              <w:marRight w:val="0"/>
              <w:marTop w:val="0"/>
              <w:marBottom w:val="0"/>
              <w:divBdr>
                <w:top w:val="none" w:sz="0" w:space="0" w:color="auto"/>
                <w:left w:val="none" w:sz="0" w:space="0" w:color="auto"/>
                <w:bottom w:val="none" w:sz="0" w:space="0" w:color="auto"/>
                <w:right w:val="none" w:sz="0" w:space="0" w:color="auto"/>
              </w:divBdr>
            </w:div>
            <w:div w:id="1548370352">
              <w:marLeft w:val="0"/>
              <w:marRight w:val="0"/>
              <w:marTop w:val="0"/>
              <w:marBottom w:val="0"/>
              <w:divBdr>
                <w:top w:val="none" w:sz="0" w:space="0" w:color="auto"/>
                <w:left w:val="none" w:sz="0" w:space="0" w:color="auto"/>
                <w:bottom w:val="none" w:sz="0" w:space="0" w:color="auto"/>
                <w:right w:val="none" w:sz="0" w:space="0" w:color="auto"/>
              </w:divBdr>
            </w:div>
            <w:div w:id="517692651">
              <w:marLeft w:val="0"/>
              <w:marRight w:val="0"/>
              <w:marTop w:val="0"/>
              <w:marBottom w:val="0"/>
              <w:divBdr>
                <w:top w:val="none" w:sz="0" w:space="0" w:color="auto"/>
                <w:left w:val="none" w:sz="0" w:space="0" w:color="auto"/>
                <w:bottom w:val="none" w:sz="0" w:space="0" w:color="auto"/>
                <w:right w:val="none" w:sz="0" w:space="0" w:color="auto"/>
              </w:divBdr>
            </w:div>
            <w:div w:id="14268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spublication.com/paper04_jul-dec2008.htm"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47411B-54F9-496E-9F89-A3A863FBB360}">
  <ds:schemaRefs>
    <ds:schemaRef ds:uri="http://schemas.microsoft.com/sharepoint/v3/contenttype/forms"/>
  </ds:schemaRefs>
</ds:datastoreItem>
</file>

<file path=customXml/itemProps2.xml><?xml version="1.0" encoding="utf-8"?>
<ds:datastoreItem xmlns:ds="http://schemas.openxmlformats.org/officeDocument/2006/customXml" ds:itemID="{90BDF005-AAB6-44AF-920E-EC39BB0F1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FD973-89FB-4F3C-9AEC-BEC0492D34FE}">
  <ds:schemaRefs>
    <ds:schemaRef ds:uri="http://purl.org/dc/elements/1.1/"/>
    <ds:schemaRef ds:uri="http://purl.org/dc/terms/"/>
    <ds:schemaRef ds:uri="455b151d-75b8-4438-a72d-e06b314124a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http://schemas.microsoft.com/office/infopath/2007/PartnerControls"/>
    <ds:schemaRef ds:uri="1dc5a16d-a9e1-4107-81af-b56e13c8526c"/>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2445</Words>
  <Characters>13943</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Brownlow, Liam</dc:creator>
  <cp:keywords/>
  <dc:description/>
  <cp:lastModifiedBy>Olson, Sharon</cp:lastModifiedBy>
  <cp:revision>20</cp:revision>
  <dcterms:created xsi:type="dcterms:W3CDTF">2019-02-28T18:03:00Z</dcterms:created>
  <dcterms:modified xsi:type="dcterms:W3CDTF">2019-03-26T14:11:00Z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