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26EF460" w:rsidR="000A7622" w:rsidRPr="00C04F25" w:rsidRDefault="00775EE7" w:rsidP="00D14423">
      <w:pPr>
        <w:autoSpaceDE w:val="0"/>
        <w:autoSpaceDN w:val="0"/>
        <w:adjustRightInd w:val="0"/>
        <w:rPr>
          <w:rFonts w:cstheme="minorHAnsi"/>
          <w:b/>
          <w:bCs/>
          <w:i/>
          <w:iCs/>
          <w:sz w:val="32"/>
          <w:szCs w:val="32"/>
        </w:rPr>
      </w:pPr>
      <w:r>
        <w:rPr>
          <w:rFonts w:cstheme="minorHAnsi"/>
          <w:b/>
          <w:bCs/>
          <w:i/>
          <w:iCs/>
          <w:sz w:val="32"/>
          <w:szCs w:val="32"/>
        </w:rPr>
        <w:t xml:space="preserve">Physical Therapy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334FAB1" w:rsidR="000A7622" w:rsidRDefault="000A7622" w:rsidP="00D14423">
      <w:pPr>
        <w:rPr>
          <w:rFonts w:cstheme="minorHAnsi"/>
          <w:sz w:val="24"/>
          <w:szCs w:val="24"/>
        </w:rPr>
      </w:pPr>
      <w:r w:rsidRPr="00C04F25">
        <w:rPr>
          <w:rFonts w:cstheme="minorHAnsi"/>
          <w:i/>
          <w:sz w:val="24"/>
          <w:szCs w:val="24"/>
          <w:lang w:val="fr-FR"/>
        </w:rPr>
        <w:t>Journal</w:t>
      </w:r>
      <w:r w:rsidR="004800B3">
        <w:rPr>
          <w:rFonts w:cstheme="minorHAnsi"/>
          <w:i/>
          <w:sz w:val="24"/>
          <w:szCs w:val="24"/>
          <w:lang w:val="fr-FR"/>
        </w:rPr>
        <w:t xml:space="preserve"> of </w:t>
      </w:r>
      <w:proofErr w:type="spellStart"/>
      <w:r w:rsidR="004800B3">
        <w:rPr>
          <w:rFonts w:cstheme="minorHAnsi"/>
          <w:i/>
          <w:sz w:val="24"/>
          <w:szCs w:val="24"/>
          <w:lang w:val="fr-FR"/>
        </w:rPr>
        <w:t>Orthopaedic</w:t>
      </w:r>
      <w:proofErr w:type="spellEnd"/>
      <w:r w:rsidR="004800B3">
        <w:rPr>
          <w:rFonts w:cstheme="minorHAnsi"/>
          <w:i/>
          <w:sz w:val="24"/>
          <w:szCs w:val="24"/>
          <w:lang w:val="fr-FR"/>
        </w:rPr>
        <w:t xml:space="preserve"> </w:t>
      </w:r>
      <w:proofErr w:type="spellStart"/>
      <w:r w:rsidR="004800B3">
        <w:rPr>
          <w:rFonts w:cstheme="minorHAnsi"/>
          <w:i/>
          <w:sz w:val="24"/>
          <w:szCs w:val="24"/>
          <w:lang w:val="fr-FR"/>
        </w:rPr>
        <w:t>Research</w:t>
      </w:r>
      <w:proofErr w:type="spellEnd"/>
      <w:r w:rsidRPr="00C04F25">
        <w:rPr>
          <w:rFonts w:cstheme="minorHAnsi"/>
          <w:sz w:val="24"/>
          <w:szCs w:val="24"/>
          <w:lang w:val="fr-FR"/>
        </w:rPr>
        <w:t xml:space="preserve">, Vol. </w:t>
      </w:r>
      <w:r w:rsidR="004800B3">
        <w:rPr>
          <w:rFonts w:cstheme="minorHAnsi"/>
          <w:sz w:val="24"/>
          <w:szCs w:val="24"/>
          <w:lang w:val="fr-FR"/>
        </w:rPr>
        <w:t>39</w:t>
      </w:r>
      <w:r w:rsidRPr="00C04F25">
        <w:rPr>
          <w:rFonts w:cstheme="minorHAnsi"/>
          <w:sz w:val="24"/>
          <w:szCs w:val="24"/>
          <w:lang w:val="fr-FR"/>
        </w:rPr>
        <w:t xml:space="preserve">, No. </w:t>
      </w:r>
      <w:r w:rsidR="004800B3">
        <w:rPr>
          <w:rFonts w:cstheme="minorHAnsi"/>
          <w:sz w:val="24"/>
          <w:szCs w:val="24"/>
          <w:lang w:val="fr-FR"/>
        </w:rPr>
        <w:t>7</w:t>
      </w:r>
      <w:r w:rsidRPr="00C04F25">
        <w:rPr>
          <w:rFonts w:cstheme="minorHAnsi"/>
          <w:sz w:val="24"/>
          <w:szCs w:val="24"/>
          <w:lang w:val="fr-FR"/>
        </w:rPr>
        <w:t xml:space="preserve"> (</w:t>
      </w:r>
      <w:r w:rsidR="00EF5FA0">
        <w:rPr>
          <w:rFonts w:cstheme="minorHAnsi"/>
          <w:sz w:val="24"/>
          <w:szCs w:val="24"/>
          <w:lang w:val="fr-FR"/>
        </w:rPr>
        <w:t>July 2021</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4800B3">
        <w:rPr>
          <w:rFonts w:cstheme="minorHAnsi"/>
          <w:sz w:val="24"/>
          <w:szCs w:val="24"/>
          <w:lang w:val="fr-FR"/>
        </w:rPr>
        <w:t>1523-1532</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EF5FA0">
        <w:rPr>
          <w:rFonts w:cstheme="minorHAnsi"/>
          <w:sz w:val="24"/>
          <w:szCs w:val="24"/>
        </w:rPr>
        <w:t>Wiley</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EF5FA0">
        <w:rPr>
          <w:rFonts w:cstheme="minorHAnsi"/>
          <w:sz w:val="24"/>
          <w:szCs w:val="24"/>
        </w:rPr>
        <w:t>Wiley</w:t>
      </w:r>
      <w:r w:rsidRPr="00C04F25">
        <w:rPr>
          <w:rFonts w:cstheme="minorHAnsi"/>
          <w:sz w:val="24"/>
          <w:szCs w:val="24"/>
        </w:rPr>
        <w:t xml:space="preserve"> does not grant permission for this article to be further copied/distributed or hosted elsewhere without the express permission from </w:t>
      </w:r>
      <w:r w:rsidR="00EF5FA0">
        <w:rPr>
          <w:rFonts w:cstheme="minorHAnsi"/>
          <w:sz w:val="24"/>
          <w:szCs w:val="24"/>
        </w:rPr>
        <w:t>Wiley</w:t>
      </w:r>
      <w:r w:rsidRPr="00C04F25">
        <w:rPr>
          <w:rFonts w:cstheme="minorHAnsi"/>
          <w:sz w:val="24"/>
          <w:szCs w:val="24"/>
        </w:rPr>
        <w:t xml:space="preserve">. </w:t>
      </w:r>
      <w:bookmarkEnd w:id="1"/>
    </w:p>
    <w:p w14:paraId="36D66B89" w14:textId="3595BB3B" w:rsidR="000976FB" w:rsidRDefault="000976FB" w:rsidP="000976FB"/>
    <w:p w14:paraId="4C3C9795" w14:textId="252127D0" w:rsidR="00211738" w:rsidRDefault="00211738" w:rsidP="00211738">
      <w:pPr>
        <w:pStyle w:val="Title"/>
      </w:pPr>
      <w:r w:rsidRPr="00211738">
        <w:t>Gait Mechanics are Influenced by Quadriceps Strength, Age, and Sex after Total Knee Arthroplasty</w:t>
      </w:r>
    </w:p>
    <w:p w14:paraId="519217A2" w14:textId="77777777" w:rsidR="00775EE7" w:rsidRDefault="00775EE7" w:rsidP="00211738"/>
    <w:p w14:paraId="00FEA614" w14:textId="77777777" w:rsidR="00803659" w:rsidRPr="00CB071C" w:rsidRDefault="00803659" w:rsidP="00CB071C">
      <w:pPr>
        <w:pStyle w:val="NoSpacing"/>
        <w:rPr>
          <w:sz w:val="32"/>
          <w:szCs w:val="32"/>
        </w:rPr>
      </w:pPr>
      <w:r w:rsidRPr="00CB071C">
        <w:rPr>
          <w:sz w:val="32"/>
          <w:szCs w:val="32"/>
        </w:rPr>
        <w:t>Jesse C. Christensen</w:t>
      </w:r>
    </w:p>
    <w:p w14:paraId="75FA021A" w14:textId="59616A76" w:rsidR="0091351B" w:rsidRPr="00CB071C" w:rsidRDefault="0091351B" w:rsidP="00CB071C">
      <w:pPr>
        <w:pStyle w:val="NoSpacing"/>
        <w:rPr>
          <w:sz w:val="24"/>
          <w:szCs w:val="24"/>
        </w:rPr>
      </w:pPr>
      <w:r w:rsidRPr="00CB071C">
        <w:rPr>
          <w:sz w:val="24"/>
          <w:szCs w:val="24"/>
        </w:rPr>
        <w:t>Department of Physical Medicine and Rehabilitation, Veterans Affairs Salt Lake City Health Care System, Salt Lake City, Utah</w:t>
      </w:r>
    </w:p>
    <w:p w14:paraId="66FB085E" w14:textId="6332F5AA" w:rsidR="00803659" w:rsidRPr="00CB071C" w:rsidRDefault="0091351B" w:rsidP="00CB071C">
      <w:pPr>
        <w:pStyle w:val="NoSpacing"/>
        <w:rPr>
          <w:sz w:val="24"/>
          <w:szCs w:val="24"/>
        </w:rPr>
      </w:pPr>
      <w:r w:rsidRPr="00CB071C">
        <w:rPr>
          <w:sz w:val="24"/>
          <w:szCs w:val="24"/>
        </w:rPr>
        <w:t>Department of Physical Therapy and Athletic Training, University of Utah, Salt Lake City, Utah</w:t>
      </w:r>
    </w:p>
    <w:p w14:paraId="30DBC9BB" w14:textId="77777777" w:rsidR="00803659" w:rsidRPr="00CB071C" w:rsidRDefault="00803659" w:rsidP="00CB071C">
      <w:pPr>
        <w:pStyle w:val="NoSpacing"/>
        <w:rPr>
          <w:sz w:val="32"/>
          <w:szCs w:val="32"/>
        </w:rPr>
      </w:pPr>
      <w:r w:rsidRPr="00CB071C">
        <w:rPr>
          <w:sz w:val="32"/>
          <w:szCs w:val="32"/>
        </w:rPr>
        <w:t xml:space="preserve">Jacob J. </w:t>
      </w:r>
      <w:proofErr w:type="spellStart"/>
      <w:r w:rsidRPr="00CB071C">
        <w:rPr>
          <w:sz w:val="32"/>
          <w:szCs w:val="32"/>
        </w:rPr>
        <w:t>Capin</w:t>
      </w:r>
      <w:proofErr w:type="spellEnd"/>
    </w:p>
    <w:p w14:paraId="2B93C1EA" w14:textId="0829DFB5" w:rsidR="00805CEC" w:rsidRPr="00CB071C" w:rsidRDefault="00805CEC" w:rsidP="00CB071C">
      <w:pPr>
        <w:pStyle w:val="NoSpacing"/>
        <w:rPr>
          <w:sz w:val="24"/>
          <w:szCs w:val="24"/>
        </w:rPr>
      </w:pPr>
      <w:r w:rsidRPr="00CB071C">
        <w:rPr>
          <w:sz w:val="24"/>
          <w:szCs w:val="24"/>
        </w:rPr>
        <w:t>Veterans Affairs Eastern Colorado Health Care System, Geriatric Research Education and Clinical Center, Aurora, Colorado</w:t>
      </w:r>
    </w:p>
    <w:p w14:paraId="1DFFB50A" w14:textId="62A02F36" w:rsidR="00803659" w:rsidRPr="00CB071C" w:rsidRDefault="00805CEC" w:rsidP="00CB071C">
      <w:pPr>
        <w:pStyle w:val="NoSpacing"/>
        <w:rPr>
          <w:sz w:val="24"/>
          <w:szCs w:val="24"/>
        </w:rPr>
      </w:pPr>
      <w:r w:rsidRPr="00CB071C">
        <w:rPr>
          <w:sz w:val="24"/>
          <w:szCs w:val="24"/>
        </w:rPr>
        <w:t>Department of Physical Medicine and Rehabilitation, University of Colorado, Aurora, Colorado</w:t>
      </w:r>
    </w:p>
    <w:p w14:paraId="536A3B64" w14:textId="77777777" w:rsidR="00803659" w:rsidRPr="00CB071C" w:rsidRDefault="00803659" w:rsidP="00CB071C">
      <w:pPr>
        <w:pStyle w:val="NoSpacing"/>
        <w:rPr>
          <w:sz w:val="32"/>
          <w:szCs w:val="32"/>
        </w:rPr>
      </w:pPr>
      <w:r w:rsidRPr="00CB071C">
        <w:rPr>
          <w:sz w:val="32"/>
          <w:szCs w:val="32"/>
        </w:rPr>
        <w:t>Lauren A. Hinrichs</w:t>
      </w:r>
    </w:p>
    <w:p w14:paraId="07E848EA" w14:textId="3F185978" w:rsidR="00803659" w:rsidRPr="00CB071C" w:rsidRDefault="00805CEC" w:rsidP="00CB071C">
      <w:pPr>
        <w:pStyle w:val="NoSpacing"/>
        <w:rPr>
          <w:sz w:val="24"/>
          <w:szCs w:val="24"/>
        </w:rPr>
      </w:pPr>
      <w:r w:rsidRPr="00CB071C">
        <w:rPr>
          <w:sz w:val="24"/>
          <w:szCs w:val="24"/>
        </w:rPr>
        <w:t>Department of Physical Medicine and Rehabilitation, University of Colorado, Aurora, Colorado</w:t>
      </w:r>
    </w:p>
    <w:p w14:paraId="76101C46" w14:textId="77777777" w:rsidR="00803659" w:rsidRPr="00CB071C" w:rsidRDefault="00803659" w:rsidP="00CB071C">
      <w:pPr>
        <w:pStyle w:val="NoSpacing"/>
        <w:rPr>
          <w:sz w:val="32"/>
          <w:szCs w:val="32"/>
        </w:rPr>
      </w:pPr>
      <w:proofErr w:type="spellStart"/>
      <w:r w:rsidRPr="00CB071C">
        <w:rPr>
          <w:sz w:val="32"/>
          <w:szCs w:val="32"/>
        </w:rPr>
        <w:t>Moiyad</w:t>
      </w:r>
      <w:proofErr w:type="spellEnd"/>
      <w:r w:rsidRPr="00CB071C">
        <w:rPr>
          <w:sz w:val="32"/>
          <w:szCs w:val="32"/>
        </w:rPr>
        <w:t xml:space="preserve"> </w:t>
      </w:r>
      <w:proofErr w:type="spellStart"/>
      <w:r w:rsidRPr="00CB071C">
        <w:rPr>
          <w:sz w:val="32"/>
          <w:szCs w:val="32"/>
        </w:rPr>
        <w:t>Aljehani</w:t>
      </w:r>
      <w:proofErr w:type="spellEnd"/>
    </w:p>
    <w:p w14:paraId="2DB513E4" w14:textId="6010F7EB" w:rsidR="00CE67F3" w:rsidRPr="00CB071C" w:rsidRDefault="00CE67F3" w:rsidP="00CB071C">
      <w:pPr>
        <w:pStyle w:val="NoSpacing"/>
        <w:rPr>
          <w:sz w:val="24"/>
          <w:szCs w:val="24"/>
        </w:rPr>
      </w:pPr>
      <w:r w:rsidRPr="00CB071C">
        <w:rPr>
          <w:sz w:val="24"/>
          <w:szCs w:val="24"/>
        </w:rPr>
        <w:t>Department of Physical Therapy, University of Delaware, Newark, Delaware</w:t>
      </w:r>
    </w:p>
    <w:p w14:paraId="66F2D56C" w14:textId="34C97383" w:rsidR="00803659" w:rsidRPr="00CB071C" w:rsidRDefault="00CE67F3" w:rsidP="00CB071C">
      <w:pPr>
        <w:pStyle w:val="NoSpacing"/>
        <w:rPr>
          <w:sz w:val="24"/>
          <w:szCs w:val="24"/>
        </w:rPr>
      </w:pPr>
      <w:r w:rsidRPr="00CB071C">
        <w:rPr>
          <w:sz w:val="24"/>
          <w:szCs w:val="24"/>
        </w:rPr>
        <w:t>Department of Physical Therapy, Umm Al-</w:t>
      </w:r>
      <w:proofErr w:type="spellStart"/>
      <w:r w:rsidRPr="00CB071C">
        <w:rPr>
          <w:sz w:val="24"/>
          <w:szCs w:val="24"/>
        </w:rPr>
        <w:t>Qura</w:t>
      </w:r>
      <w:proofErr w:type="spellEnd"/>
      <w:r w:rsidRPr="00CB071C">
        <w:rPr>
          <w:sz w:val="24"/>
          <w:szCs w:val="24"/>
        </w:rPr>
        <w:t xml:space="preserve"> University, Makkah, Saudi Arabia</w:t>
      </w:r>
    </w:p>
    <w:p w14:paraId="3A561371" w14:textId="77777777" w:rsidR="00803659" w:rsidRPr="00CB071C" w:rsidRDefault="00803659" w:rsidP="00CB071C">
      <w:pPr>
        <w:pStyle w:val="NoSpacing"/>
        <w:rPr>
          <w:sz w:val="32"/>
          <w:szCs w:val="32"/>
        </w:rPr>
      </w:pPr>
      <w:r w:rsidRPr="00CB071C">
        <w:rPr>
          <w:sz w:val="32"/>
          <w:szCs w:val="32"/>
        </w:rPr>
        <w:lastRenderedPageBreak/>
        <w:t>Jennifer E. Stevens-Lapsley</w:t>
      </w:r>
    </w:p>
    <w:p w14:paraId="63FF7585" w14:textId="7A233853" w:rsidR="00803659" w:rsidRPr="00CB071C" w:rsidRDefault="00CE67F3" w:rsidP="00CB071C">
      <w:pPr>
        <w:pStyle w:val="NoSpacing"/>
        <w:rPr>
          <w:sz w:val="24"/>
          <w:szCs w:val="24"/>
        </w:rPr>
      </w:pPr>
      <w:r w:rsidRPr="00CB071C">
        <w:rPr>
          <w:sz w:val="24"/>
          <w:szCs w:val="24"/>
        </w:rPr>
        <w:t>Department of Physical Medicine and Rehabilitation, University of Colorado, Aurora, Colorado</w:t>
      </w:r>
    </w:p>
    <w:p w14:paraId="35C556F1" w14:textId="133499DD" w:rsidR="00211738" w:rsidRPr="00CB071C" w:rsidRDefault="00803659" w:rsidP="00CB071C">
      <w:pPr>
        <w:pStyle w:val="NoSpacing"/>
        <w:rPr>
          <w:sz w:val="32"/>
          <w:szCs w:val="32"/>
        </w:rPr>
      </w:pPr>
      <w:r w:rsidRPr="00CB071C">
        <w:rPr>
          <w:sz w:val="32"/>
          <w:szCs w:val="32"/>
        </w:rPr>
        <w:t xml:space="preserve">Joseph A. </w:t>
      </w:r>
      <w:proofErr w:type="spellStart"/>
      <w:r w:rsidRPr="00CB071C">
        <w:rPr>
          <w:sz w:val="32"/>
          <w:szCs w:val="32"/>
        </w:rPr>
        <w:t>Zeni</w:t>
      </w:r>
      <w:proofErr w:type="spellEnd"/>
    </w:p>
    <w:p w14:paraId="403CF011" w14:textId="2E48CBA7" w:rsidR="00CB071C" w:rsidRPr="00CB071C" w:rsidRDefault="00CB071C" w:rsidP="00CB071C">
      <w:pPr>
        <w:pStyle w:val="NoSpacing"/>
        <w:rPr>
          <w:sz w:val="24"/>
          <w:szCs w:val="24"/>
        </w:rPr>
      </w:pPr>
      <w:r w:rsidRPr="00CB071C">
        <w:rPr>
          <w:sz w:val="24"/>
          <w:szCs w:val="24"/>
        </w:rPr>
        <w:t>Department of Physical Therapy, University of Delaware, Newark, Delaware</w:t>
      </w:r>
    </w:p>
    <w:p w14:paraId="76CA9478" w14:textId="32AFED35" w:rsidR="0091351B" w:rsidRPr="00CB071C" w:rsidRDefault="00CB071C" w:rsidP="00CB071C">
      <w:pPr>
        <w:pStyle w:val="NoSpacing"/>
        <w:rPr>
          <w:sz w:val="24"/>
          <w:szCs w:val="24"/>
        </w:rPr>
      </w:pPr>
      <w:r w:rsidRPr="00CB071C">
        <w:rPr>
          <w:sz w:val="24"/>
          <w:szCs w:val="24"/>
        </w:rPr>
        <w:t>Department of Rehabilitation and Movement Science, Doctor of Physical Therapy—North, School of Health Professions, Rutgers, The State University of New Jersey, Newark, New Jersey</w:t>
      </w:r>
    </w:p>
    <w:p w14:paraId="1FE37348" w14:textId="77777777" w:rsidR="00211738" w:rsidRPr="00211738" w:rsidRDefault="00211738" w:rsidP="00CB071C">
      <w:pPr>
        <w:pStyle w:val="Heading1"/>
      </w:pPr>
      <w:r w:rsidRPr="00211738">
        <w:t>Abstract</w:t>
      </w:r>
    </w:p>
    <w:p w14:paraId="73CA4707" w14:textId="30BF583E" w:rsidR="00211738" w:rsidRPr="00211738" w:rsidRDefault="00211738" w:rsidP="00211738">
      <w:r w:rsidRPr="00211738">
        <w:t>Although most patients are satisfied with outcomes after total knee arthroplasty (TKA), many retain preoperative altered gait mechanics. Identifying patient characteristics associated with gait mechanics will improve rehabilitation strategies and enhance our understanding of movement disorders. Therefore, the purpose of this study was to identify which patient characteristics are related to gait mechanics in the surgical limb during walking post-TKA. Patient characteristics included age, body mass, sex, quadriceps strength, self-reported function, and knee pain. General linear regression was used to compare patient characteristics associated with gait mechanics, after controlling for gait speed, functional capacity and time from surgery. We tested 191 patients cross-sectionally at 6–24 months after primary, unilateral TKA. Quadriceps weakness in the surgical limb was associated with less peak vertical ground reaction force (</w:t>
      </w:r>
      <w:proofErr w:type="spellStart"/>
      <w:r w:rsidRPr="00211738">
        <w:t>PvGRF</w:t>
      </w:r>
      <w:proofErr w:type="spellEnd"/>
      <w:r w:rsidRPr="00211738">
        <w:t xml:space="preserve">) </w:t>
      </w:r>
      <m:oMath>
        <m:r>
          <w:rPr>
            <w:rFonts w:ascii="Cambria Math" w:hAnsi="Cambria Math"/>
          </w:rPr>
          <m:t>(β = .245, p = .044)</m:t>
        </m:r>
      </m:oMath>
      <w:r w:rsidRPr="00211738">
        <w:t xml:space="preserve">, knee extension moment </w:t>
      </w:r>
      <m:oMath>
        <m:r>
          <w:rPr>
            <w:rFonts w:ascii="Cambria Math" w:hAnsi="Cambria Math"/>
          </w:rPr>
          <m:t>(β = .283, p = .049)</m:t>
        </m:r>
      </m:oMath>
      <w:r w:rsidRPr="00211738">
        <w:t xml:space="preserve">, and knee extension excursion </w:t>
      </w:r>
      <m:oMath>
        <m:r>
          <w:rPr>
            <w:rFonts w:ascii="Cambria Math" w:hAnsi="Cambria Math"/>
          </w:rPr>
          <m:t>(β = .298, p = .038)</m:t>
        </m:r>
      </m:oMath>
      <w:r w:rsidRPr="00211738">
        <w:t xml:space="preserve">. Older age </w:t>
      </w:r>
      <m:oMath>
        <m:r>
          <w:rPr>
            <w:rFonts w:ascii="Cambria Math" w:hAnsi="Cambria Math"/>
          </w:rPr>
          <m:t>(β = .168, p = .050)</m:t>
        </m:r>
      </m:oMath>
      <w:r w:rsidRPr="00211738">
        <w:t xml:space="preserve"> was associated with less PvGRF. Quadriceps strength in the nonsurgical limb </w:t>
      </w:r>
      <m:oMath>
        <m:r>
          <w:rPr>
            <w:rFonts w:ascii="Cambria Math" w:hAnsi="Cambria Math"/>
          </w:rPr>
          <m:t>(β = -.357, p = .021)</m:t>
        </m:r>
      </m:oMath>
      <w:r w:rsidRPr="00211738">
        <w:t xml:space="preserve"> was associated with greater knee extension excursion in the surgical limb. Females with TKA </w:t>
      </w:r>
      <m:oMath>
        <m:r>
          <w:rPr>
            <w:rFonts w:ascii="Cambria Math" w:hAnsi="Cambria Math"/>
          </w:rPr>
          <m:t>(β = -.276, p = .007)</m:t>
        </m:r>
      </m:oMath>
      <w:r w:rsidRPr="00211738">
        <w:t xml:space="preserve"> had less knee flexion excursion compared to males. Faster gait speed was also associated with greater PvGRF </w:t>
      </w:r>
      <m:oMath>
        <m:r>
          <w:rPr>
            <w:rFonts w:ascii="Cambria Math" w:hAnsi="Cambria Math"/>
          </w:rPr>
          <m:t>(β = .585, p &lt; .001)</m:t>
        </m:r>
      </m:oMath>
      <w:r w:rsidRPr="00211738">
        <w:t xml:space="preserve">, knee extensor moment </w:t>
      </w:r>
      <m:oMath>
        <m:r>
          <w:rPr>
            <w:rFonts w:ascii="Cambria Math" w:hAnsi="Cambria Math"/>
          </w:rPr>
          <m:t>(β = .481, p &lt; .001)</m:t>
        </m:r>
      </m:oMath>
      <w:r w:rsidRPr="00211738">
        <w:t xml:space="preserve">, and knee flexion excursion </w:t>
      </w:r>
      <m:oMath>
        <m:r>
          <w:rPr>
            <w:rFonts w:ascii="Cambria Math" w:hAnsi="Cambria Math"/>
          </w:rPr>
          <m:t>(β = .318, p &lt; .001)</m:t>
        </m:r>
      </m:oMath>
      <w:r w:rsidRPr="00211738">
        <w:t>. Statement of Clinical Significance: This study showed quadriceps weakness, slower gait speed, older age and being female were related to altered gait mechanics post-TKA. These findings will help clinicians better educate patients and develop targeted interventions for improving care in patients post-TKA.</w:t>
      </w:r>
    </w:p>
    <w:p w14:paraId="3213C863" w14:textId="77777777" w:rsidR="00211738" w:rsidRPr="00CB071C" w:rsidRDefault="00211738" w:rsidP="00CB071C">
      <w:pPr>
        <w:pStyle w:val="Heading1"/>
      </w:pPr>
      <w:r w:rsidRPr="00CB071C">
        <w:t>1 INTRODUCTION</w:t>
      </w:r>
    </w:p>
    <w:p w14:paraId="3BFB46B9" w14:textId="77777777" w:rsidR="00211738" w:rsidRPr="00211738" w:rsidRDefault="00211738" w:rsidP="00211738">
      <w:r w:rsidRPr="00211738">
        <w:t>Over 700,000 total knee arthroplasty (TKA) procedures are performed each year in the United States.</w:t>
      </w:r>
      <w:hyperlink r:id="rId10" w:anchor="jor24878-bib-0001" w:history="1">
        <w:r w:rsidRPr="00211738">
          <w:rPr>
            <w:rStyle w:val="Hyperlink"/>
            <w:vertAlign w:val="superscript"/>
          </w:rPr>
          <w:t>1</w:t>
        </w:r>
      </w:hyperlink>
      <w:r w:rsidRPr="00211738">
        <w:t> The number of TKA procedures performed annually is projected to be 1.26 million by 2030 and 2.60 million by 2060.</w:t>
      </w:r>
      <w:hyperlink r:id="rId11" w:anchor="jor24878-bib-0002" w:history="1">
        <w:r w:rsidRPr="00211738">
          <w:rPr>
            <w:rStyle w:val="Hyperlink"/>
            <w:vertAlign w:val="superscript"/>
          </w:rPr>
          <w:t>2</w:t>
        </w:r>
      </w:hyperlink>
      <w:r w:rsidRPr="00211738">
        <w:t> A successful outcome is traditionally based on radiographic alignment of the artificial joint,</w:t>
      </w:r>
      <w:hyperlink r:id="rId12" w:anchor="jor24878-bib-0003" w:history="1">
        <w:r w:rsidRPr="00211738">
          <w:rPr>
            <w:rStyle w:val="Hyperlink"/>
            <w:vertAlign w:val="superscript"/>
          </w:rPr>
          <w:t>3</w:t>
        </w:r>
      </w:hyperlink>
      <w:r w:rsidRPr="00211738">
        <w:t> pain resolution,</w:t>
      </w:r>
      <w:hyperlink r:id="rId13" w:anchor="jor24878-bib-0004" w:history="1">
        <w:r w:rsidRPr="00211738">
          <w:rPr>
            <w:rStyle w:val="Hyperlink"/>
            <w:vertAlign w:val="superscript"/>
          </w:rPr>
          <w:t>4</w:t>
        </w:r>
      </w:hyperlink>
      <w:r w:rsidRPr="00211738">
        <w:t> and self-reported physical function</w:t>
      </w:r>
      <w:hyperlink r:id="rId14" w:anchor="jor24878-bib-0005" w:history="1">
        <w:r w:rsidRPr="00211738">
          <w:rPr>
            <w:rStyle w:val="Hyperlink"/>
            <w:vertAlign w:val="superscript"/>
          </w:rPr>
          <w:t>5</w:t>
        </w:r>
      </w:hyperlink>
      <w:r w:rsidRPr="00211738">
        <w:t> after surgery. Restoring the ability to walk is also a primary goal post-TKA.</w:t>
      </w:r>
      <w:hyperlink r:id="rId15" w:anchor="jor24878-bib-0006" w:history="1">
        <w:r w:rsidRPr="00211738">
          <w:rPr>
            <w:rStyle w:val="Hyperlink"/>
            <w:vertAlign w:val="superscript"/>
          </w:rPr>
          <w:t>6</w:t>
        </w:r>
      </w:hyperlink>
      <w:r w:rsidRPr="00211738">
        <w:t> However, patients with TKA continue to demonstrate altered gait mechanics including reduced vertical ground reaction force, knee internal moments, and knee excursion between limbs, despite proper kinematic alignment and improved self-report outcomes.</w:t>
      </w:r>
      <w:hyperlink r:id="rId16" w:anchor="jor24878-bib-0007" w:history="1">
        <w:r w:rsidRPr="00211738">
          <w:rPr>
            <w:rStyle w:val="Hyperlink"/>
            <w:vertAlign w:val="superscript"/>
          </w:rPr>
          <w:t>7</w:t>
        </w:r>
      </w:hyperlink>
      <w:r w:rsidRPr="00211738">
        <w:rPr>
          <w:vertAlign w:val="superscript"/>
        </w:rPr>
        <w:t>-</w:t>
      </w:r>
      <w:hyperlink r:id="rId17" w:anchor="jor24878-bib-0009" w:history="1">
        <w:r w:rsidRPr="00211738">
          <w:rPr>
            <w:rStyle w:val="Hyperlink"/>
            <w:vertAlign w:val="superscript"/>
          </w:rPr>
          <w:t>9</w:t>
        </w:r>
      </w:hyperlink>
      <w:r w:rsidRPr="00211738">
        <w:t> Patients with TKA also walk more slowly and with reduced sagittal plane knee moments, less knee flexion excursion during initial contact, and less knee extension excursion during mid stance compared to healthy-matched peers.</w:t>
      </w:r>
      <w:hyperlink r:id="rId18" w:anchor="jor24878-bib-0006" w:history="1">
        <w:r w:rsidRPr="00211738">
          <w:rPr>
            <w:rStyle w:val="Hyperlink"/>
            <w:vertAlign w:val="superscript"/>
          </w:rPr>
          <w:t>6</w:t>
        </w:r>
      </w:hyperlink>
      <w:r w:rsidRPr="00211738">
        <w:rPr>
          <w:vertAlign w:val="superscript"/>
        </w:rPr>
        <w:t>, </w:t>
      </w:r>
      <w:hyperlink r:id="rId19" w:anchor="jor24878-bib-0008" w:history="1">
        <w:r w:rsidRPr="00211738">
          <w:rPr>
            <w:rStyle w:val="Hyperlink"/>
            <w:vertAlign w:val="superscript"/>
          </w:rPr>
          <w:t>8</w:t>
        </w:r>
      </w:hyperlink>
      <w:r w:rsidRPr="00211738">
        <w:t> Altered gait mechanics are associated with poorer functional performance,</w:t>
      </w:r>
      <w:hyperlink r:id="rId20" w:anchor="jor24878-bib-0010" w:history="1">
        <w:r w:rsidRPr="00211738">
          <w:rPr>
            <w:rStyle w:val="Hyperlink"/>
            <w:vertAlign w:val="superscript"/>
          </w:rPr>
          <w:t>10</w:t>
        </w:r>
      </w:hyperlink>
      <w:r w:rsidRPr="00211738">
        <w:t> lower satisfaction,</w:t>
      </w:r>
      <w:hyperlink r:id="rId21" w:anchor="jor24878-bib-0011" w:history="1">
        <w:r w:rsidRPr="00211738">
          <w:rPr>
            <w:rStyle w:val="Hyperlink"/>
            <w:vertAlign w:val="superscript"/>
          </w:rPr>
          <w:t>11</w:t>
        </w:r>
      </w:hyperlink>
      <w:r w:rsidRPr="00211738">
        <w:t> and increased knee osteoarthritis progression of the contralateral limb.</w:t>
      </w:r>
      <w:hyperlink r:id="rId22" w:anchor="jor24878-bib-0012" w:history="1">
        <w:r w:rsidRPr="00211738">
          <w:rPr>
            <w:rStyle w:val="Hyperlink"/>
            <w:vertAlign w:val="superscript"/>
          </w:rPr>
          <w:t>12</w:t>
        </w:r>
      </w:hyperlink>
      <w:r w:rsidRPr="00211738">
        <w:rPr>
          <w:vertAlign w:val="superscript"/>
        </w:rPr>
        <w:t>, </w:t>
      </w:r>
      <w:hyperlink r:id="rId23" w:anchor="jor24878-bib-0013" w:history="1">
        <w:r w:rsidRPr="00211738">
          <w:rPr>
            <w:rStyle w:val="Hyperlink"/>
            <w:vertAlign w:val="superscript"/>
          </w:rPr>
          <w:t>13</w:t>
        </w:r>
      </w:hyperlink>
      <w:r w:rsidRPr="00211738">
        <w:t> Identifying risk factors for altered mechanics or identifying patients who may benefit from targeted interventions are key areas for improving TKA rehabilitation. Currently, it is unclear why altered gait mechanics persist, despite patients reporting low residual knee pain</w:t>
      </w:r>
      <w:hyperlink r:id="rId24" w:anchor="jor24878-bib-0004" w:history="1">
        <w:r w:rsidRPr="00211738">
          <w:rPr>
            <w:rStyle w:val="Hyperlink"/>
            <w:vertAlign w:val="superscript"/>
          </w:rPr>
          <w:t>4</w:t>
        </w:r>
      </w:hyperlink>
      <w:r w:rsidRPr="00211738">
        <w:t> and high satisfaction</w:t>
      </w:r>
      <w:hyperlink r:id="rId25" w:anchor="jor24878-bib-0005" w:history="1">
        <w:r w:rsidRPr="00211738">
          <w:rPr>
            <w:rStyle w:val="Hyperlink"/>
            <w:vertAlign w:val="superscript"/>
          </w:rPr>
          <w:t>5</w:t>
        </w:r>
      </w:hyperlink>
      <w:r w:rsidRPr="00211738">
        <w:t> scores post-TKA.</w:t>
      </w:r>
    </w:p>
    <w:p w14:paraId="31D4E8FF" w14:textId="77777777" w:rsidR="00211738" w:rsidRPr="00211738" w:rsidRDefault="00211738" w:rsidP="00211738">
      <w:r w:rsidRPr="00211738">
        <w:t xml:space="preserve">Analyzing gait mechanics is typically quantified in movement science laboratories with camera-based motion capture systems with fixed force platforms, allowing for precise biomechanical measure in the surgical limb. Most clinicians, however, do not have access to these resources; thus, direct translation to clinical practice is limited. Evaluating the effect of various patient characteristics that clinicians can readily assess may provide new </w:t>
      </w:r>
      <w:r w:rsidRPr="00211738">
        <w:lastRenderedPageBreak/>
        <w:t>insight on improving gait mechanics recovery post-TKA. Patient characteristics such as older age,</w:t>
      </w:r>
      <w:hyperlink r:id="rId26" w:anchor="jor24878-bib-0014" w:history="1">
        <w:r w:rsidRPr="00211738">
          <w:rPr>
            <w:rStyle w:val="Hyperlink"/>
            <w:vertAlign w:val="superscript"/>
          </w:rPr>
          <w:t>14</w:t>
        </w:r>
      </w:hyperlink>
      <w:r w:rsidRPr="00211738">
        <w:t> greater body mass,</w:t>
      </w:r>
      <w:hyperlink r:id="rId27" w:anchor="jor24878-bib-0015" w:history="1">
        <w:r w:rsidRPr="00211738">
          <w:rPr>
            <w:rStyle w:val="Hyperlink"/>
            <w:vertAlign w:val="superscript"/>
          </w:rPr>
          <w:t>15</w:t>
        </w:r>
      </w:hyperlink>
      <w:r w:rsidRPr="00211738">
        <w:t> knee pain,</w:t>
      </w:r>
      <w:hyperlink r:id="rId28" w:anchor="jor24878-bib-0016" w:history="1">
        <w:r w:rsidRPr="00211738">
          <w:rPr>
            <w:rStyle w:val="Hyperlink"/>
            <w:vertAlign w:val="superscript"/>
          </w:rPr>
          <w:t>16</w:t>
        </w:r>
      </w:hyperlink>
      <w:r w:rsidRPr="00211738">
        <w:t> and muscle weakness</w:t>
      </w:r>
      <w:hyperlink r:id="rId29" w:anchor="jor24878-bib-0017" w:history="1">
        <w:r w:rsidRPr="00211738">
          <w:rPr>
            <w:rStyle w:val="Hyperlink"/>
            <w:vertAlign w:val="superscript"/>
          </w:rPr>
          <w:t>17</w:t>
        </w:r>
      </w:hyperlink>
      <w:r w:rsidRPr="00211738">
        <w:t> predict poorer gait mechanics in patients 6 months post-TKA. Men also retain altered gait mechanics after surgery, while women demonstrate improved movement patterns 6 months post-TKA.</w:t>
      </w:r>
      <w:hyperlink r:id="rId30" w:anchor="jor24878-bib-0018" w:history="1">
        <w:r w:rsidRPr="00211738">
          <w:rPr>
            <w:rStyle w:val="Hyperlink"/>
            <w:vertAlign w:val="superscript"/>
          </w:rPr>
          <w:t>18</w:t>
        </w:r>
      </w:hyperlink>
      <w:r w:rsidRPr="00211738">
        <w:t> Self-reported outcomes of function improve during the first 6–12 months post-TKA; however, altered gait mechanics persist despite improved perceived function.</w:t>
      </w:r>
      <w:hyperlink r:id="rId31" w:anchor="jor24878-bib-0019" w:history="1">
        <w:r w:rsidRPr="00211738">
          <w:rPr>
            <w:rStyle w:val="Hyperlink"/>
            <w:vertAlign w:val="superscript"/>
          </w:rPr>
          <w:t>19</w:t>
        </w:r>
      </w:hyperlink>
      <w:r w:rsidRPr="00211738">
        <w:t> Altered gait mechanics also appear to continue beyond the first 6 months and persist 24 months post-TKA.</w:t>
      </w:r>
      <w:hyperlink r:id="rId32" w:anchor="jor24878-bib-0008" w:history="1">
        <w:r w:rsidRPr="00211738">
          <w:rPr>
            <w:rStyle w:val="Hyperlink"/>
            <w:vertAlign w:val="superscript"/>
          </w:rPr>
          <w:t>8</w:t>
        </w:r>
      </w:hyperlink>
      <w:r w:rsidRPr="00211738">
        <w:t> However, it is unknown how these patient characteristics influence gait mechanics beyond the first 6 months following surgery. Given limited patient-provider follow-up is provided beyond 6 months post-TKA,</w:t>
      </w:r>
      <w:hyperlink r:id="rId33" w:anchor="jor24878-bib-0020" w:history="1">
        <w:r w:rsidRPr="00211738">
          <w:rPr>
            <w:rStyle w:val="Hyperlink"/>
            <w:vertAlign w:val="superscript"/>
          </w:rPr>
          <w:t>20</w:t>
        </w:r>
      </w:hyperlink>
      <w:r w:rsidRPr="00211738">
        <w:rPr>
          <w:vertAlign w:val="superscript"/>
        </w:rPr>
        <w:t>-</w:t>
      </w:r>
      <w:hyperlink r:id="rId34" w:anchor="jor24878-bib-0022" w:history="1">
        <w:r w:rsidRPr="00211738">
          <w:rPr>
            <w:rStyle w:val="Hyperlink"/>
            <w:vertAlign w:val="superscript"/>
          </w:rPr>
          <w:t>22</w:t>
        </w:r>
      </w:hyperlink>
      <w:r w:rsidRPr="00211738">
        <w:t> it is important to study how patient characteristics influence gait mechanics at later time points.</w:t>
      </w:r>
    </w:p>
    <w:p w14:paraId="4FFB448B" w14:textId="77777777" w:rsidR="00211738" w:rsidRPr="00211738" w:rsidRDefault="00211738" w:rsidP="00211738">
      <w:r w:rsidRPr="00211738">
        <w:t>Therefore, the purpose of this study was to cross-sectionally identify the relationships between patient characteristics and gait mechanics in the surgical limb during walking at 6–24 months following TKA. Patient characteristics were selected a priori based on demographic, self-reported, and functional performance metrics that influence postoperative recovery. We specifically targeted factors that may influence patient's volitional movement pattern (age, sex, body mass index, and knee pain) and common physical impairments known to persist post-TKA (quadriceps weakness and self-reported physical limitations). Our first hypothesis was that, after controlling for relevant confounders, age, body mass index, sex, quadriceps strength, self-reported function, and knee pain would predict peak vertical ground reaction force and knee moment kinetics in the surgical limb at 6–24 months following TKA. Our second hypothesis was that these patient characteristics would predict knee flexion and extension excursion in the surgical limb at 6–24 months following TKA. Identifying how patient characteristics influence gait mechanics may provide valuable information to improve functional performance and reduce risk of knee osteoarthritis progression of the contralateral limb. Providers can then identify those at risk and thereby allocate necessary education and develop targeted interventions focused on normalizing altered gait mechanics.</w:t>
      </w:r>
    </w:p>
    <w:p w14:paraId="75817464" w14:textId="77777777" w:rsidR="00211738" w:rsidRPr="00CB071C" w:rsidRDefault="00211738" w:rsidP="00CB071C">
      <w:pPr>
        <w:pStyle w:val="Heading1"/>
      </w:pPr>
      <w:r w:rsidRPr="00CB071C">
        <w:t>2 METHODS</w:t>
      </w:r>
    </w:p>
    <w:p w14:paraId="025B0FC0" w14:textId="77777777" w:rsidR="00211738" w:rsidRPr="00211738" w:rsidRDefault="00211738" w:rsidP="00CB071C">
      <w:pPr>
        <w:pStyle w:val="Heading2"/>
      </w:pPr>
      <w:r w:rsidRPr="00211738">
        <w:t>2.1 Level of evidence</w:t>
      </w:r>
    </w:p>
    <w:p w14:paraId="7A77F01E" w14:textId="77777777" w:rsidR="00211738" w:rsidRPr="00211738" w:rsidRDefault="00211738" w:rsidP="00211738">
      <w:r w:rsidRPr="00211738">
        <w:t>Cross-sectional study, level of evidence: 3.</w:t>
      </w:r>
    </w:p>
    <w:p w14:paraId="6643B804" w14:textId="77777777" w:rsidR="00211738" w:rsidRPr="00211738" w:rsidRDefault="00211738" w:rsidP="00CB071C">
      <w:pPr>
        <w:pStyle w:val="Heading2"/>
      </w:pPr>
      <w:r w:rsidRPr="00211738">
        <w:t>2.2 Participants</w:t>
      </w:r>
    </w:p>
    <w:p w14:paraId="4EF771CE" w14:textId="2A6B1038" w:rsidR="00211738" w:rsidRPr="00211738" w:rsidRDefault="00211738" w:rsidP="00211738">
      <w:r w:rsidRPr="00211738">
        <w:t>This was a cross-sectional correlational analysis of a large cohort study of patients who underwent unilateral TKA. Participants who underwent TKA at the Center for Advanced Joint Replacement were sent a letter informing them about the study. Interested participants contacted the research coordinators for more information and an initial telephone screening. Individuals who were interested in participating and met the eligibility criteria were scheduled for a functional testing, followed by a gait analysis on a separate day within the same week. Individuals who had (1) previous hip replacement; (2) planned to undergo a simultaneous, staged or future contralateral TKA; (3) contralateral knee pain of 5/10 or greater on the verbal analog pain rating scale</w:t>
      </w:r>
      <w:hyperlink r:id="rId35" w:anchor="jor24878-bib-0010" w:history="1">
        <w:r w:rsidRPr="00211738">
          <w:rPr>
            <w:rStyle w:val="Hyperlink"/>
            <w:vertAlign w:val="superscript"/>
          </w:rPr>
          <w:t>10</w:t>
        </w:r>
      </w:hyperlink>
      <w:r w:rsidRPr="00211738">
        <w:rPr>
          <w:vertAlign w:val="superscript"/>
        </w:rPr>
        <w:t>, </w:t>
      </w:r>
      <w:hyperlink r:id="rId36" w:anchor="jor24878-bib-0023" w:history="1">
        <w:r w:rsidRPr="00211738">
          <w:rPr>
            <w:rStyle w:val="Hyperlink"/>
            <w:vertAlign w:val="superscript"/>
          </w:rPr>
          <w:t>23</w:t>
        </w:r>
      </w:hyperlink>
      <w:r w:rsidRPr="00211738">
        <w:rPr>
          <w:vertAlign w:val="superscript"/>
        </w:rPr>
        <w:t>, </w:t>
      </w:r>
      <w:hyperlink r:id="rId37" w:anchor="jor24878-bib-0024" w:history="1">
        <w:r w:rsidRPr="00211738">
          <w:rPr>
            <w:rStyle w:val="Hyperlink"/>
            <w:vertAlign w:val="superscript"/>
          </w:rPr>
          <w:t>24</w:t>
        </w:r>
      </w:hyperlink>
      <w:r w:rsidRPr="00211738">
        <w:t>; (4) any neurological condition that impaired movement; (5) musculoskeletal conditions that affected walking ability; (6) decreased sensation in the feet; (7) the inability to ambulate unassisted &gt;5 ft; or (8) a body mass index &gt;50 kg/m</w:t>
      </w:r>
      <w:r w:rsidRPr="00211738">
        <w:rPr>
          <w:vertAlign w:val="superscript"/>
        </w:rPr>
        <w:t>2</w:t>
      </w:r>
      <w:r w:rsidRPr="00211738">
        <w:t> were excluded. All participants underwent tricompartmental cemented TKA using a medial parapatellar approach by one of six orthopedic surgeons between 2003 and 2013 at a single medical center (Newark, DE, USA). All participants completed a comprehensive clinical and gait analysis 6–24 months after unilateral TKA. All procedures were approved by the University of Delaware Institutional Review Board and all participants provided written, informed consent before participating in the study. A sample size calculation was conducted with an expected medium size effect and a two-sided alpha level of </w:t>
      </w:r>
      <m:oMath>
        <m:r>
          <w:rPr>
            <w:rFonts w:ascii="Cambria Math" w:hAnsi="Cambria Math"/>
          </w:rPr>
          <m:t>p ≤ .05</m:t>
        </m:r>
      </m:oMath>
      <w:r w:rsidRPr="00211738">
        <w:t>; approximately </w:t>
      </w:r>
      <m:oMath>
        <m:r>
          <w:rPr>
            <w:rFonts w:ascii="Cambria Math" w:hAnsi="Cambria Math"/>
          </w:rPr>
          <m:t>n = 141</m:t>
        </m:r>
      </m:oMath>
      <w:r w:rsidRPr="00211738">
        <w:t xml:space="preserve"> patients (Cohen's </w:t>
      </w:r>
      <m:oMath>
        <m:sSup>
          <m:sSupPr>
            <m:ctrlPr>
              <w:rPr>
                <w:rFonts w:ascii="Cambria Math" w:hAnsi="Cambria Math"/>
                <w:i/>
                <w:iCs/>
              </w:rPr>
            </m:ctrlPr>
          </m:sSupPr>
          <m:e>
            <m:r>
              <w:rPr>
                <w:rFonts w:ascii="Cambria Math" w:hAnsi="Cambria Math"/>
              </w:rPr>
              <m:t>f</m:t>
            </m:r>
          </m:e>
          <m:sup>
            <m:r>
              <w:rPr>
                <w:rFonts w:ascii="Cambria Math" w:hAnsi="Cambria Math"/>
                <w:vertAlign w:val="superscript"/>
              </w:rPr>
              <m:t>2</m:t>
            </m:r>
          </m:sup>
        </m:sSup>
        <m:r>
          <w:rPr>
            <w:rFonts w:ascii="Cambria Math" w:hAnsi="Cambria Math"/>
          </w:rPr>
          <m:t>  = 0.15</m:t>
        </m:r>
      </m:oMath>
      <w:r w:rsidRPr="00211738">
        <w:t>, medium effect) were needed to achieve 90% statistical power (G*Power).</w:t>
      </w:r>
      <w:hyperlink r:id="rId38" w:anchor="jor24878-bib-0025" w:history="1">
        <w:r w:rsidRPr="00211738">
          <w:rPr>
            <w:rStyle w:val="Hyperlink"/>
            <w:vertAlign w:val="superscript"/>
          </w:rPr>
          <w:t>25</w:t>
        </w:r>
      </w:hyperlink>
      <w:r w:rsidRPr="00211738">
        <w:t xml:space="preserve"> This estimated sample size exceeds the recommended 10 events per predictor variable in a </w:t>
      </w:r>
      <w:r w:rsidRPr="00211738">
        <w:lastRenderedPageBreak/>
        <w:t>regression model to avoid statistical overfitting, which implies risk of unreliable correlations due to having too many predictor variables for the available sample size.</w:t>
      </w:r>
      <w:hyperlink r:id="rId39" w:anchor="jor24878-bib-0026" w:history="1">
        <w:r w:rsidRPr="00211738">
          <w:rPr>
            <w:rStyle w:val="Hyperlink"/>
            <w:vertAlign w:val="superscript"/>
          </w:rPr>
          <w:t>26</w:t>
        </w:r>
      </w:hyperlink>
      <w:r w:rsidRPr="00211738">
        <w:rPr>
          <w:vertAlign w:val="superscript"/>
        </w:rPr>
        <w:t>, </w:t>
      </w:r>
      <w:hyperlink r:id="rId40" w:anchor="jor24878-bib-0027" w:history="1">
        <w:r w:rsidRPr="00211738">
          <w:rPr>
            <w:rStyle w:val="Hyperlink"/>
            <w:vertAlign w:val="superscript"/>
          </w:rPr>
          <w:t>27</w:t>
        </w:r>
      </w:hyperlink>
      <w:r w:rsidRPr="00211738">
        <w:t xml:space="preserve"> The obtained sample size </w:t>
      </w:r>
      <m:oMath>
        <m:r>
          <w:rPr>
            <w:rFonts w:ascii="Cambria Math" w:hAnsi="Cambria Math"/>
          </w:rPr>
          <m:t>(n = 191)</m:t>
        </m:r>
      </m:oMath>
      <w:r w:rsidRPr="00211738">
        <w:t xml:space="preserve"> was therefore acceptable for the analyses.</w:t>
      </w:r>
    </w:p>
    <w:p w14:paraId="05D5CB73" w14:textId="77777777" w:rsidR="00211738" w:rsidRPr="00211738" w:rsidRDefault="00211738" w:rsidP="00CB071C">
      <w:pPr>
        <w:pStyle w:val="Heading2"/>
      </w:pPr>
      <w:r w:rsidRPr="00211738">
        <w:t>2.3 Procedures</w:t>
      </w:r>
    </w:p>
    <w:p w14:paraId="75EAA58F" w14:textId="77777777" w:rsidR="00211738" w:rsidRPr="00211738" w:rsidRDefault="00211738" w:rsidP="00211738">
      <w:r w:rsidRPr="00211738">
        <w:t>All participants completed gait analysis testing of over-ground walking between 6 and 24 months after primary TKA, as described previously.</w:t>
      </w:r>
      <w:hyperlink r:id="rId41" w:anchor="jor24878-bib-0024" w:history="1">
        <w:r w:rsidRPr="00211738">
          <w:rPr>
            <w:rStyle w:val="Hyperlink"/>
            <w:vertAlign w:val="superscript"/>
          </w:rPr>
          <w:t>24</w:t>
        </w:r>
      </w:hyperlink>
      <w:r w:rsidRPr="00211738">
        <w:t> Pooling data from 6 to 24 months post-TKA was conducted because gait mechanics plateau around 3 months and the adopted movement strategy developed at that time remains consistent when compared to 12 and 36 months following surgery.</w:t>
      </w:r>
      <w:hyperlink r:id="rId42" w:anchor="jor24878-bib-0009" w:history="1">
        <w:r w:rsidRPr="00211738">
          <w:rPr>
            <w:rStyle w:val="Hyperlink"/>
            <w:vertAlign w:val="superscript"/>
          </w:rPr>
          <w:t>9</w:t>
        </w:r>
      </w:hyperlink>
      <w:r w:rsidRPr="00211738">
        <w:t> Before gait analysis, retroreflective markers were affixed to bony landmarks throughout the pelvis and bilateral lower limbs, including the iliac crests, greater trochanters, lateral femoral condyles, lateral malleoli, head of the 5th metatarsals, and upper and lower aspects of the heels. Rigid, thermoplastic shells with retroreflective markers were secured to the participants' posterior pelvis, thighs, and lower legs.</w:t>
      </w:r>
    </w:p>
    <w:p w14:paraId="45DE5449" w14:textId="77777777" w:rsidR="00211738" w:rsidRPr="00211738" w:rsidRDefault="00211738" w:rsidP="00211738">
      <w:r w:rsidRPr="00211738">
        <w:t>Following marker placement, participants walked at a self-selected pace across a 10-m walkway that included two embedded force platforms (</w:t>
      </w:r>
      <w:proofErr w:type="spellStart"/>
      <w:r w:rsidRPr="00211738">
        <w:t>Bertec</w:t>
      </w:r>
      <w:proofErr w:type="spellEnd"/>
      <w:r w:rsidRPr="00211738">
        <w:t xml:space="preserve"> Corp.) that captured force data at a sampling rate of 1080 Hz. Marker trajectories were captured at 120 Hz using an eight-camera motion capture system (Vicon, Oxford Metris). Participants practiced walking in the lab at a self-selected speed before gait analysis collection. The average speed of the practice trials was recorded as the participants' self-selected speed. Subsequently, the participant completed five trials of walking that were deemed successful if the participant maintained a speed between 95% and 105% of the previously determined self-selected speed and cleanly struck the force platforms with each limb without targeting the force platform.</w:t>
      </w:r>
    </w:p>
    <w:p w14:paraId="7D545FBD" w14:textId="77777777" w:rsidR="00211738" w:rsidRPr="00211738" w:rsidRDefault="00211738" w:rsidP="00CB071C">
      <w:pPr>
        <w:pStyle w:val="Heading2"/>
      </w:pPr>
      <w:r w:rsidRPr="00211738">
        <w:t>2.4 Data processing and analysis</w:t>
      </w:r>
    </w:p>
    <w:p w14:paraId="28E9D318" w14:textId="77777777" w:rsidR="00211738" w:rsidRPr="00211738" w:rsidRDefault="00211738" w:rsidP="00211738">
      <w:r w:rsidRPr="00211738">
        <w:t>Kinematic and kinetic variables were calculated using commercial software (Visual3D, C-Motion). Kinematic data were low-pass filtered at 6 Hz, while kinetic variables were low-pass filtered at 40 Hz using a second-order, phase-corrected Butterworth filter. Data were normalized to the stance phase of gait with 0% representing initial contact and 100% representing the “toe-off” event of gait. The gait mechanic variables of interest included peak vertical ground reaction force, peak internal knee extension moment, peak internal knee abduction moment, knee flexion excursion, and knee extension excursion. Knee flexion excursion was defined as sagittal plane knee motion from initial contact to peak knee flexion angle. Knee extension excursion was defined as the total sagittal plane knee motion from peak knee flexion angle to peak knee extension angle. Peak vertical ground reaction force, peak knee extension moment, and peak knee abduction moment were normalized to body mass (kg). The peak values of five walking trials were averaged for each participant during the stance phase of gait and used in the analysis.</w:t>
      </w:r>
    </w:p>
    <w:p w14:paraId="2D53F5E5" w14:textId="77777777" w:rsidR="00211738" w:rsidRPr="00211738" w:rsidRDefault="00211738" w:rsidP="00CB071C">
      <w:pPr>
        <w:pStyle w:val="Heading2"/>
      </w:pPr>
      <w:r w:rsidRPr="00211738">
        <w:t>2.5 Demographics, clinical, and functional performance measures</w:t>
      </w:r>
    </w:p>
    <w:p w14:paraId="090D122F" w14:textId="77777777" w:rsidR="00211738" w:rsidRPr="00211738" w:rsidRDefault="00211738" w:rsidP="00211738">
      <w:r w:rsidRPr="00211738">
        <w:t>Patient characteristics were obtained at the time of gait analysis testing.</w:t>
      </w:r>
    </w:p>
    <w:p w14:paraId="557F4D32" w14:textId="77777777" w:rsidR="00211738" w:rsidRPr="00211738" w:rsidRDefault="00211738" w:rsidP="00CB071C">
      <w:pPr>
        <w:pStyle w:val="Heading3"/>
      </w:pPr>
      <w:r w:rsidRPr="00211738">
        <w:t>2.5.1 Demographics</w:t>
      </w:r>
    </w:p>
    <w:p w14:paraId="0FC152E1" w14:textId="77777777" w:rsidR="00211738" w:rsidRPr="00211738" w:rsidRDefault="00211738" w:rsidP="00211738">
      <w:r w:rsidRPr="00211738">
        <w:t>Participants' age (years), sex, and time since TKA were collected on data entry forms. Body mass index was calculated based on mass (kg) and height (m) metrics.</w:t>
      </w:r>
    </w:p>
    <w:p w14:paraId="069541CE" w14:textId="77777777" w:rsidR="00211738" w:rsidRPr="00211738" w:rsidRDefault="00211738" w:rsidP="00CB071C">
      <w:pPr>
        <w:pStyle w:val="Heading3"/>
      </w:pPr>
      <w:r w:rsidRPr="00211738">
        <w:t>2.5.2 Clinical</w:t>
      </w:r>
    </w:p>
    <w:p w14:paraId="270A3AED" w14:textId="13CB4F08" w:rsidR="00211738" w:rsidRPr="00211738" w:rsidRDefault="00211738" w:rsidP="00211738">
      <w:r w:rsidRPr="00211738">
        <w:t>The Knee Outcome Survey-Activities of Daily Living Scale (KOS-ADL) is a reliable, valid, and responsive patient-reported outcome measure that captures knee symptoms and functional limitations during activities of daily living, such as walking, rising from a chair, and climbing stairs.</w:t>
      </w:r>
      <w:hyperlink r:id="rId43" w:anchor="jor24878-bib-0028" w:history="1">
        <w:r w:rsidRPr="00211738">
          <w:rPr>
            <w:rStyle w:val="Hyperlink"/>
            <w:vertAlign w:val="superscript"/>
          </w:rPr>
          <w:t>28</w:t>
        </w:r>
      </w:hyperlink>
      <w:r w:rsidRPr="00211738">
        <w:rPr>
          <w:vertAlign w:val="superscript"/>
        </w:rPr>
        <w:t>, </w:t>
      </w:r>
      <w:hyperlink r:id="rId44" w:anchor="jor24878-bib-0029" w:history="1">
        <w:r w:rsidRPr="00211738">
          <w:rPr>
            <w:rStyle w:val="Hyperlink"/>
            <w:vertAlign w:val="superscript"/>
          </w:rPr>
          <w:t>29</w:t>
        </w:r>
      </w:hyperlink>
      <w:r w:rsidRPr="00211738">
        <w:t xml:space="preserve"> Scores range from 0% to 100%; higher scores indicate better function and fewer symptoms. Participants in the present study completed the KOS-ADL </w:t>
      </w:r>
      <w:r w:rsidRPr="00211738">
        <w:lastRenderedPageBreak/>
        <w:t xml:space="preserve">separately for each limb (e.g., surgical and nonsurgical limb). Participants also reported their average knee pain at rest using a visual analog scale with 0 representing “no pain” and 10 representing “worst pain imaginable.” Separate assessments were completed for each limb. The visual analog pain scale has shown high test–retest reliability in patients with arthritis </w:t>
      </w:r>
      <m:oMath>
        <m:r>
          <w:rPr>
            <w:rFonts w:ascii="Cambria Math" w:hAnsi="Cambria Math"/>
          </w:rPr>
          <m:t>(r = .96)</m:t>
        </m:r>
      </m:oMath>
      <w:hyperlink r:id="rId45" w:anchor="jor24878-bib-0030" w:history="1">
        <w:r w:rsidRPr="00211738">
          <w:rPr>
            <w:rStyle w:val="Hyperlink"/>
            <w:vertAlign w:val="superscript"/>
          </w:rPr>
          <w:t>30</w:t>
        </w:r>
      </w:hyperlink>
      <w:r w:rsidRPr="00211738">
        <w:t> and is commonly used for patients with TKA.</w:t>
      </w:r>
      <w:hyperlink r:id="rId46" w:anchor="jor24878-bib-0031" w:history="1">
        <w:r w:rsidRPr="00211738">
          <w:rPr>
            <w:rStyle w:val="Hyperlink"/>
            <w:vertAlign w:val="superscript"/>
          </w:rPr>
          <w:t>31</w:t>
        </w:r>
      </w:hyperlink>
    </w:p>
    <w:p w14:paraId="4E836DB0" w14:textId="77777777" w:rsidR="00211738" w:rsidRPr="00211738" w:rsidRDefault="00211738" w:rsidP="00CB071C">
      <w:pPr>
        <w:pStyle w:val="Heading3"/>
      </w:pPr>
      <w:r w:rsidRPr="00211738">
        <w:t>2.5.3 Functional performance</w:t>
      </w:r>
    </w:p>
    <w:p w14:paraId="2313DFBE" w14:textId="4BB9E670" w:rsidR="00211738" w:rsidRPr="00211738" w:rsidRDefault="00211738" w:rsidP="00211738">
      <w:r w:rsidRPr="00211738">
        <w:t xml:space="preserve">Isometric quadriceps strength was assessed using a </w:t>
      </w:r>
      <w:proofErr w:type="spellStart"/>
      <w:r w:rsidRPr="00211738">
        <w:t>KinCom</w:t>
      </w:r>
      <w:proofErr w:type="spellEnd"/>
      <w:r w:rsidRPr="00211738">
        <w:t xml:space="preserve"> isokinetic dynamometer (</w:t>
      </w:r>
      <w:proofErr w:type="spellStart"/>
      <w:r w:rsidRPr="00211738">
        <w:t>Chattecx</w:t>
      </w:r>
      <w:proofErr w:type="spellEnd"/>
      <w:r w:rsidRPr="00211738">
        <w:t xml:space="preserve"> Corp.). Participants completed testing first on the nonsurgical limb followed by the surgical limb. Participants were seated with their knees secured at 75° of knee flexion and their hips flexed to approximately 90°. Two submaximal (50% and 75%) and one maximal (100%) </w:t>
      </w:r>
      <w:proofErr w:type="gramStart"/>
      <w:r w:rsidRPr="00211738">
        <w:t>contractions</w:t>
      </w:r>
      <w:proofErr w:type="gramEnd"/>
      <w:r w:rsidRPr="00211738">
        <w:t xml:space="preserve"> were performed before collecting three maximal isometric contractions for analysis. The three maximal trials were averaged and computed as maximal force output (N) for each limb. Maximum isometric strength testing has shown good to excellent reliability </w:t>
      </w:r>
      <m:oMath>
        <m:r>
          <w:rPr>
            <w:rFonts w:ascii="Cambria Math" w:hAnsi="Cambria Math"/>
          </w:rPr>
          <m:t>(r = .81–.98)</m:t>
        </m:r>
      </m:oMath>
      <w:r w:rsidRPr="00211738">
        <w:t>.</w:t>
      </w:r>
      <w:hyperlink r:id="rId47" w:anchor="jor24878-bib-0032" w:history="1">
        <w:r w:rsidRPr="00211738">
          <w:rPr>
            <w:rStyle w:val="Hyperlink"/>
            <w:vertAlign w:val="superscript"/>
          </w:rPr>
          <w:t>32</w:t>
        </w:r>
      </w:hyperlink>
      <w:r w:rsidRPr="00211738">
        <w:t> Self-selected gait speed was collected for all trials using an electronic timing system (</w:t>
      </w:r>
      <w:proofErr w:type="spellStart"/>
      <w:r w:rsidRPr="00211738">
        <w:t>FarmTek</w:t>
      </w:r>
      <w:proofErr w:type="spellEnd"/>
      <w:r w:rsidRPr="00211738">
        <w:t>, Inc.) on a 5-m walkway. The 6-min walk test, which measures the distance a person walks without assistance over a 6-min interval, was also completed.</w:t>
      </w:r>
      <w:hyperlink r:id="rId48" w:anchor="jor24878-bib-0033" w:history="1">
        <w:r w:rsidRPr="00211738">
          <w:rPr>
            <w:rStyle w:val="Hyperlink"/>
            <w:vertAlign w:val="superscript"/>
          </w:rPr>
          <w:t>33</w:t>
        </w:r>
      </w:hyperlink>
      <w:r w:rsidRPr="00211738">
        <w:t> Participants were instructed to cover as much distance as possible during the 6-min test while not running. The test was completed on a 157-m course in a 3.05-m wide hallway.</w:t>
      </w:r>
      <w:hyperlink r:id="rId49" w:anchor="jor24878-bib-0034" w:history="1">
        <w:r w:rsidRPr="00211738">
          <w:rPr>
            <w:rStyle w:val="Hyperlink"/>
            <w:vertAlign w:val="superscript"/>
          </w:rPr>
          <w:t>34</w:t>
        </w:r>
      </w:hyperlink>
      <w:r w:rsidRPr="00211738">
        <w:t> The 6-min walk test is reliable in patients after TKA.</w:t>
      </w:r>
      <w:hyperlink r:id="rId50" w:anchor="jor24878-bib-0035" w:history="1">
        <w:r w:rsidRPr="00211738">
          <w:rPr>
            <w:rStyle w:val="Hyperlink"/>
            <w:vertAlign w:val="superscript"/>
          </w:rPr>
          <w:t>35</w:t>
        </w:r>
      </w:hyperlink>
    </w:p>
    <w:p w14:paraId="4C7B3797" w14:textId="77777777" w:rsidR="00211738" w:rsidRPr="00211738" w:rsidRDefault="00211738" w:rsidP="00CB071C">
      <w:pPr>
        <w:pStyle w:val="Heading2"/>
      </w:pPr>
      <w:r w:rsidRPr="00211738">
        <w:t>2.6 Statistical analysis</w:t>
      </w:r>
    </w:p>
    <w:p w14:paraId="2E108535" w14:textId="534B37BE" w:rsidR="00211738" w:rsidRPr="00211738" w:rsidRDefault="00211738" w:rsidP="00211738">
      <w:r w:rsidRPr="00211738">
        <w:t>Descriptive statistics were used to provide demographic characteristics of the participants in this study. All kinetic and kinematic outcome data were screened for univariate outliers using scatterplots, </w:t>
      </w:r>
      <w:r w:rsidRPr="00211738">
        <w:rPr>
          <w:i/>
          <w:iCs/>
        </w:rPr>
        <w:t>k</w:t>
      </w:r>
      <w:r w:rsidRPr="00211738">
        <w:t>-density plots, boxplots, and </w:t>
      </w:r>
      <w:r w:rsidRPr="00211738">
        <w:rPr>
          <w:i/>
          <w:iCs/>
        </w:rPr>
        <w:t>z</w:t>
      </w:r>
      <w:r w:rsidRPr="00211738">
        <w:t>-scores (using a ±2.0 </w:t>
      </w:r>
      <w:r w:rsidRPr="00211738">
        <w:rPr>
          <w:i/>
          <w:iCs/>
        </w:rPr>
        <w:t>z</w:t>
      </w:r>
      <w:r w:rsidRPr="00211738">
        <w:t>-score cut-point). Sensitivity analyses were employed omitting potential outliers (&gt;2.0 </w:t>
      </w:r>
      <w:r w:rsidRPr="00211738">
        <w:rPr>
          <w:i/>
          <w:iCs/>
        </w:rPr>
        <w:t>z</w:t>
      </w:r>
      <w:r w:rsidRPr="00211738">
        <w:t>-scores) and results were compared to the original data. If the parameter estimates did not significantly change between the two statistical models, the values were kept in the subsequent analysis. General linear regression models were computed using all patient characteristics (i.e., age, sex, body mass index, surgical limb quadriceps strength, nonsurgical limb quadriceps strength, surgical limb KOS-ADL, nonsurgical limb KOS-ADL, surgical limb knee pain, and nonsurgical limb knee pain), controlling for gait speed, functional capacity (6-min walk test), and time from surgery. Separate models were regressed onto each outcome variable. Alpha level to test for statistical significance was set at </w:t>
      </w:r>
      <m:oMath>
        <m:r>
          <w:rPr>
            <w:rFonts w:ascii="Cambria Math" w:hAnsi="Cambria Math"/>
          </w:rPr>
          <m:t>p ≤ .05</m:t>
        </m:r>
      </m:oMath>
      <w:r w:rsidRPr="00211738">
        <w:t xml:space="preserve"> and post hoc correction was conducted using the Tukey–Ciminera–Heyse procedure to minimize the risk of multiplicity.</w:t>
      </w:r>
      <w:hyperlink r:id="rId51" w:anchor="jor24878-bib-0036" w:history="1">
        <w:r w:rsidRPr="00211738">
          <w:rPr>
            <w:rStyle w:val="Hyperlink"/>
            <w:vertAlign w:val="superscript"/>
          </w:rPr>
          <w:t>36</w:t>
        </w:r>
      </w:hyperlink>
      <w:r w:rsidRPr="00211738">
        <w:t> Effect sizes (ES) for the general linear regression models were calculated based on partial correlations (Cohen's </w:t>
      </w:r>
      <m:oMath>
        <m:sSup>
          <m:sSupPr>
            <m:ctrlPr>
              <w:rPr>
                <w:rFonts w:ascii="Cambria Math" w:hAnsi="Cambria Math"/>
                <w:i/>
                <w:iCs/>
              </w:rPr>
            </m:ctrlPr>
          </m:sSupPr>
          <m:e>
            <m:r>
              <w:rPr>
                <w:rFonts w:ascii="Cambria Math" w:hAnsi="Cambria Math"/>
              </w:rPr>
              <m:t>f </m:t>
            </m:r>
          </m:e>
          <m:sup>
            <m:r>
              <w:rPr>
                <w:rFonts w:ascii="Cambria Math" w:hAnsi="Cambria Math"/>
                <w:vertAlign w:val="superscript"/>
              </w:rPr>
              <m:t>2</m:t>
            </m:r>
          </m:sup>
        </m:sSup>
      </m:oMath>
      <w:r w:rsidRPr="00211738">
        <w:t>).</w:t>
      </w:r>
      <w:hyperlink r:id="rId52" w:anchor="jor24878-bib-0037" w:history="1">
        <w:r w:rsidRPr="00211738">
          <w:rPr>
            <w:rStyle w:val="Hyperlink"/>
            <w:vertAlign w:val="superscript"/>
          </w:rPr>
          <w:t>37</w:t>
        </w:r>
      </w:hyperlink>
      <w:r w:rsidRPr="00211738">
        <w:t> Cohen's </w:t>
      </w:r>
      <m:oMath>
        <m:sSup>
          <m:sSupPr>
            <m:ctrlPr>
              <w:rPr>
                <w:rFonts w:ascii="Cambria Math" w:hAnsi="Cambria Math"/>
                <w:i/>
                <w:iCs/>
              </w:rPr>
            </m:ctrlPr>
          </m:sSupPr>
          <m:e>
            <m:r>
              <w:rPr>
                <w:rFonts w:ascii="Cambria Math" w:hAnsi="Cambria Math"/>
              </w:rPr>
              <m:t>f </m:t>
            </m:r>
          </m:e>
          <m:sup>
            <m:r>
              <w:rPr>
                <w:rFonts w:ascii="Cambria Math" w:hAnsi="Cambria Math"/>
                <w:vertAlign w:val="superscript"/>
              </w:rPr>
              <m:t>2</m:t>
            </m:r>
          </m:sup>
        </m:sSup>
      </m:oMath>
      <w:r w:rsidRPr="00211738">
        <w:t> values ≥.02 represent a small effect, ≥.15 represent a medium effect, and ≥.35 represent a large effect.</w:t>
      </w:r>
      <w:hyperlink r:id="rId53" w:anchor="jor24878-bib-0037" w:history="1">
        <w:r w:rsidRPr="00211738">
          <w:rPr>
            <w:rStyle w:val="Hyperlink"/>
            <w:vertAlign w:val="superscript"/>
          </w:rPr>
          <w:t>37</w:t>
        </w:r>
      </w:hyperlink>
      <w:r w:rsidRPr="00211738">
        <w:t> Analyses were performed using STATA v14.0 statistical software package.</w:t>
      </w:r>
    </w:p>
    <w:p w14:paraId="4AD30491" w14:textId="77777777" w:rsidR="00211738" w:rsidRPr="00211738" w:rsidRDefault="00211738" w:rsidP="00CB071C">
      <w:pPr>
        <w:pStyle w:val="Heading1"/>
      </w:pPr>
      <w:r w:rsidRPr="00211738">
        <w:t>3 RESULTS</w:t>
      </w:r>
    </w:p>
    <w:p w14:paraId="1C62FF00" w14:textId="0C352AB9" w:rsidR="00211738" w:rsidRPr="00211738" w:rsidRDefault="00211738" w:rsidP="00211738">
      <w:r w:rsidRPr="00211738">
        <w:t>One hundred and ninety-one participants from a cohort study of individuals after the primary, unilateral TKA were included in this study (Table </w:t>
      </w:r>
      <w:hyperlink r:id="rId54" w:anchor="jor24878-tbl-0001" w:tooltip="Link to table" w:history="1">
        <w:r w:rsidRPr="00211738">
          <w:rPr>
            <w:rStyle w:val="Hyperlink"/>
            <w:b/>
            <w:bCs/>
          </w:rPr>
          <w:t>1</w:t>
        </w:r>
      </w:hyperlink>
      <w:r w:rsidRPr="00211738">
        <w:t>). Our cross-sectional correlational analysis compared patients between 6 and 24 months post-TKA (6 months, </w:t>
      </w:r>
      <w:r w:rsidRPr="00211738">
        <w:rPr>
          <w:i/>
          <w:iCs/>
        </w:rPr>
        <w:t>n</w:t>
      </w:r>
      <w:r w:rsidRPr="00211738">
        <w:t> = 65 [34%]; 12 months, </w:t>
      </w:r>
      <w:r w:rsidRPr="00211738">
        <w:rPr>
          <w:i/>
          <w:iCs/>
        </w:rPr>
        <w:t>n</w:t>
      </w:r>
      <w:r w:rsidRPr="00211738">
        <w:t> = 61 [32%], 24 months, </w:t>
      </w:r>
      <w:r w:rsidRPr="00211738">
        <w:rPr>
          <w:i/>
          <w:iCs/>
        </w:rPr>
        <w:t>n</w:t>
      </w:r>
      <w:r w:rsidRPr="00211738">
        <w:t xml:space="preserve"> = 65 [34%]). For hypothesis one, the patient characteristics (age, body mass index, sex, quadriceps strength, self-reported function, and knee pain) collectively explained 47% of the variance of peak vertical ground reaction force </w:t>
      </w:r>
      <m:oMath>
        <m:r>
          <w:rPr>
            <w:rFonts w:ascii="Cambria Math" w:hAnsi="Cambria Math"/>
          </w:rPr>
          <m:t>(F(12, 167) = 12.16; p &lt; .001)</m:t>
        </m:r>
      </m:oMath>
      <w:r w:rsidRPr="00211738">
        <w:t xml:space="preserve"> and 26% of the variance of peak knee extension moment </w:t>
      </w:r>
      <m:oMath>
        <m:r>
          <w:rPr>
            <w:rFonts w:ascii="Cambria Math" w:hAnsi="Cambria Math"/>
          </w:rPr>
          <m:t>(F(12, 163) = 4.85; p &lt; .001)</m:t>
        </m:r>
      </m:oMath>
      <w:r w:rsidRPr="00211738">
        <w:t xml:space="preserve"> in the surgical limb during walking. Quadriceps weakness in the surgical limb </w:t>
      </w:r>
      <m:oMath>
        <m:r>
          <w:rPr>
            <w:rFonts w:ascii="Cambria Math" w:hAnsi="Cambria Math"/>
          </w:rPr>
          <m:t>(β = .245, ES = .04, p = .044</m:t>
        </m:r>
      </m:oMath>
      <w:r w:rsidRPr="00211738">
        <w:t>; Figure </w:t>
      </w:r>
      <w:hyperlink r:id="rId55" w:anchor="jor24878-fig-0001" w:history="1">
        <w:r w:rsidRPr="00211738">
          <w:rPr>
            <w:rStyle w:val="Hyperlink"/>
            <w:b/>
            <w:bCs/>
          </w:rPr>
          <w:t>1</w:t>
        </w:r>
      </w:hyperlink>
      <w:r w:rsidRPr="00211738">
        <w:t xml:space="preserve">) and older age </w:t>
      </w:r>
      <m:oMath>
        <m:r>
          <w:rPr>
            <w:rFonts w:ascii="Cambria Math" w:hAnsi="Cambria Math"/>
          </w:rPr>
          <m:t>(β = .168, ES = .04, p = .050)</m:t>
        </m:r>
      </m:oMath>
      <w:r w:rsidRPr="00211738">
        <w:t xml:space="preserve"> were associated with less peak vertical ground reaction force in the surgical limb during walking (Table </w:t>
      </w:r>
      <w:hyperlink r:id="rId56" w:anchor="jor24878-tbl-0002" w:tooltip="Link to table" w:history="1">
        <w:r w:rsidRPr="00211738">
          <w:rPr>
            <w:rStyle w:val="Hyperlink"/>
            <w:b/>
            <w:bCs/>
          </w:rPr>
          <w:t>2</w:t>
        </w:r>
      </w:hyperlink>
      <w:r w:rsidRPr="00211738">
        <w:t xml:space="preserve">). Quadriceps weakness in the surgical limb </w:t>
      </w:r>
      <m:oMath>
        <m:r>
          <w:rPr>
            <w:rFonts w:ascii="Cambria Math" w:hAnsi="Cambria Math"/>
          </w:rPr>
          <m:t>(β = .283, ES = .04, p = .049</m:t>
        </m:r>
      </m:oMath>
      <w:r w:rsidRPr="00211738">
        <w:t>; Figure </w:t>
      </w:r>
      <w:hyperlink r:id="rId57" w:anchor="jor24878-fig-0001" w:history="1">
        <w:r w:rsidRPr="00211738">
          <w:rPr>
            <w:rStyle w:val="Hyperlink"/>
            <w:b/>
            <w:bCs/>
          </w:rPr>
          <w:t>1</w:t>
        </w:r>
      </w:hyperlink>
      <w:r w:rsidRPr="00211738">
        <w:t>) was also associated with less peak knee extension moment in the surgical limb during walking (Table </w:t>
      </w:r>
      <w:hyperlink r:id="rId58" w:anchor="jor24878-tbl-0002" w:tooltip="Link to table" w:history="1">
        <w:r w:rsidRPr="00211738">
          <w:rPr>
            <w:rStyle w:val="Hyperlink"/>
            <w:b/>
            <w:bCs/>
          </w:rPr>
          <w:t>2</w:t>
        </w:r>
      </w:hyperlink>
      <w:r w:rsidRPr="00211738">
        <w:t xml:space="preserve">). The covariate gait speed was also associated with peak vertical ground reaction force </w:t>
      </w:r>
      <m:oMath>
        <m:r>
          <w:rPr>
            <w:rFonts w:ascii="Cambria Math" w:hAnsi="Cambria Math"/>
          </w:rPr>
          <m:t>(β = .585, ES = .40, p &lt; .001</m:t>
        </m:r>
      </m:oMath>
      <w:r w:rsidRPr="00211738">
        <w:t>; Table </w:t>
      </w:r>
      <w:hyperlink r:id="rId59" w:anchor="jor24878-tbl-0002" w:tooltip="Link to table" w:history="1">
        <w:r w:rsidRPr="00211738">
          <w:rPr>
            <w:rStyle w:val="Hyperlink"/>
            <w:b/>
            <w:bCs/>
          </w:rPr>
          <w:t>2</w:t>
        </w:r>
      </w:hyperlink>
      <w:r w:rsidRPr="00211738">
        <w:t xml:space="preserve">) and peak knee extensor moment </w:t>
      </w:r>
      <m:oMath>
        <m:r>
          <w:rPr>
            <w:rFonts w:ascii="Cambria Math" w:hAnsi="Cambria Math"/>
          </w:rPr>
          <w:lastRenderedPageBreak/>
          <m:t>(β = .481, ES = .19, p &lt; .001</m:t>
        </m:r>
      </m:oMath>
      <w:r w:rsidRPr="00211738">
        <w:t>; Table </w:t>
      </w:r>
      <w:hyperlink r:id="rId60" w:anchor="jor24878-tbl-0002" w:tooltip="Link to table" w:history="1">
        <w:r w:rsidRPr="00211738">
          <w:rPr>
            <w:rStyle w:val="Hyperlink"/>
            <w:b/>
            <w:bCs/>
          </w:rPr>
          <w:t>2</w:t>
        </w:r>
      </w:hyperlink>
      <w:r w:rsidRPr="00211738">
        <w:t>). No significant relationships were observed for peak knee abductor moment in the surgical limb (Table </w:t>
      </w:r>
      <w:hyperlink r:id="rId61" w:anchor="jor24878-tbl-0002" w:tooltip="Link to table" w:history="1">
        <w:r w:rsidRPr="00211738">
          <w:rPr>
            <w:rStyle w:val="Hyperlink"/>
            <w:b/>
            <w:bCs/>
          </w:rPr>
          <w:t>2</w:t>
        </w:r>
      </w:hyperlink>
      <w:r w:rsidRPr="00211738">
        <w:t>).</w:t>
      </w:r>
    </w:p>
    <w:p w14:paraId="1CDD720D" w14:textId="77777777" w:rsidR="00211738" w:rsidRPr="00211738" w:rsidRDefault="00211738" w:rsidP="00CB071C">
      <w:pPr>
        <w:spacing w:after="0"/>
      </w:pPr>
      <w:r w:rsidRPr="00211738">
        <w:rPr>
          <w:b/>
          <w:bCs/>
        </w:rPr>
        <w:t>Table 1. </w:t>
      </w:r>
      <w:r w:rsidRPr="00211738">
        <w:t>Participant characteristics</w:t>
      </w:r>
    </w:p>
    <w:tbl>
      <w:tblPr>
        <w:tblStyle w:val="TableGrid"/>
        <w:tblW w:w="0" w:type="auto"/>
        <w:tblLook w:val="04A0" w:firstRow="1" w:lastRow="0" w:firstColumn="1" w:lastColumn="0" w:noHBand="0" w:noVBand="1"/>
      </w:tblPr>
      <w:tblGrid>
        <w:gridCol w:w="3062"/>
        <w:gridCol w:w="2065"/>
      </w:tblGrid>
      <w:tr w:rsidR="00211738" w:rsidRPr="00211738" w14:paraId="0E5086AE" w14:textId="77777777" w:rsidTr="00CB071C">
        <w:tc>
          <w:tcPr>
            <w:tcW w:w="0" w:type="auto"/>
            <w:hideMark/>
          </w:tcPr>
          <w:p w14:paraId="766D2866" w14:textId="77777777" w:rsidR="00211738" w:rsidRPr="00211738" w:rsidRDefault="00211738" w:rsidP="00211738">
            <w:pPr>
              <w:rPr>
                <w:b/>
                <w:bCs/>
              </w:rPr>
            </w:pPr>
            <w:r w:rsidRPr="00211738">
              <w:rPr>
                <w:b/>
                <w:bCs/>
              </w:rPr>
              <w:t>Variable</w:t>
            </w:r>
          </w:p>
        </w:tc>
        <w:tc>
          <w:tcPr>
            <w:tcW w:w="0" w:type="auto"/>
            <w:hideMark/>
          </w:tcPr>
          <w:p w14:paraId="54B3BC6D" w14:textId="77777777" w:rsidR="00211738" w:rsidRPr="00211738" w:rsidRDefault="00211738" w:rsidP="00211738">
            <w:pPr>
              <w:rPr>
                <w:b/>
                <w:bCs/>
              </w:rPr>
            </w:pPr>
            <w:r w:rsidRPr="00211738">
              <w:rPr>
                <w:b/>
                <w:bCs/>
              </w:rPr>
              <w:t>TKA cohort (</w:t>
            </w:r>
            <w:r w:rsidRPr="00211738">
              <w:rPr>
                <w:b/>
                <w:bCs/>
                <w:i/>
                <w:iCs/>
              </w:rPr>
              <w:t>n</w:t>
            </w:r>
            <w:r w:rsidRPr="00211738">
              <w:rPr>
                <w:b/>
                <w:bCs/>
              </w:rPr>
              <w:t> = 191)</w:t>
            </w:r>
          </w:p>
        </w:tc>
      </w:tr>
      <w:tr w:rsidR="00211738" w:rsidRPr="00211738" w14:paraId="6A362333" w14:textId="77777777" w:rsidTr="00CB071C">
        <w:tc>
          <w:tcPr>
            <w:tcW w:w="0" w:type="auto"/>
            <w:hideMark/>
          </w:tcPr>
          <w:p w14:paraId="424B75F6" w14:textId="77777777" w:rsidR="00211738" w:rsidRPr="00211738" w:rsidRDefault="00211738" w:rsidP="00211738">
            <w:r w:rsidRPr="00211738">
              <w:t>Age (years)</w:t>
            </w:r>
          </w:p>
        </w:tc>
        <w:tc>
          <w:tcPr>
            <w:tcW w:w="0" w:type="auto"/>
            <w:hideMark/>
          </w:tcPr>
          <w:p w14:paraId="63F93369" w14:textId="77777777" w:rsidR="00211738" w:rsidRPr="00211738" w:rsidRDefault="00211738" w:rsidP="00211738">
            <w:r w:rsidRPr="00211738">
              <w:t>67.8 (7.7)</w:t>
            </w:r>
          </w:p>
        </w:tc>
      </w:tr>
      <w:tr w:rsidR="00211738" w:rsidRPr="00211738" w14:paraId="7552AD59" w14:textId="77777777" w:rsidTr="00CB071C">
        <w:tc>
          <w:tcPr>
            <w:tcW w:w="0" w:type="auto"/>
            <w:hideMark/>
          </w:tcPr>
          <w:p w14:paraId="39F1567C" w14:textId="77777777" w:rsidR="00211738" w:rsidRPr="00211738" w:rsidRDefault="00211738" w:rsidP="00211738">
            <w:r w:rsidRPr="00211738">
              <w:t>Sex, male (%)</w:t>
            </w:r>
          </w:p>
        </w:tc>
        <w:tc>
          <w:tcPr>
            <w:tcW w:w="0" w:type="auto"/>
            <w:hideMark/>
          </w:tcPr>
          <w:p w14:paraId="7A8FAFA8" w14:textId="77777777" w:rsidR="00211738" w:rsidRPr="00211738" w:rsidRDefault="00211738" w:rsidP="00211738">
            <w:r w:rsidRPr="00211738">
              <w:t>91.0 (47.6)</w:t>
            </w:r>
          </w:p>
        </w:tc>
      </w:tr>
      <w:tr w:rsidR="00211738" w:rsidRPr="00211738" w14:paraId="37983383" w14:textId="77777777" w:rsidTr="00CB071C">
        <w:tc>
          <w:tcPr>
            <w:tcW w:w="0" w:type="auto"/>
            <w:hideMark/>
          </w:tcPr>
          <w:p w14:paraId="7FD13021" w14:textId="77777777" w:rsidR="00211738" w:rsidRPr="00211738" w:rsidRDefault="00211738" w:rsidP="00211738">
            <w:r w:rsidRPr="00211738">
              <w:t>Mass (kg)</w:t>
            </w:r>
          </w:p>
        </w:tc>
        <w:tc>
          <w:tcPr>
            <w:tcW w:w="0" w:type="auto"/>
            <w:hideMark/>
          </w:tcPr>
          <w:p w14:paraId="17306B7C" w14:textId="77777777" w:rsidR="00211738" w:rsidRPr="00211738" w:rsidRDefault="00211738" w:rsidP="00211738">
            <w:r w:rsidRPr="00211738">
              <w:t>89.4 (20.0)</w:t>
            </w:r>
          </w:p>
        </w:tc>
      </w:tr>
      <w:tr w:rsidR="00211738" w:rsidRPr="00211738" w14:paraId="362AD1A9" w14:textId="77777777" w:rsidTr="00CB071C">
        <w:tc>
          <w:tcPr>
            <w:tcW w:w="0" w:type="auto"/>
            <w:hideMark/>
          </w:tcPr>
          <w:p w14:paraId="64FCFCA8" w14:textId="77777777" w:rsidR="00211738" w:rsidRPr="00211738" w:rsidRDefault="00211738" w:rsidP="00211738">
            <w:r w:rsidRPr="00211738">
              <w:t>Height (m)</w:t>
            </w:r>
          </w:p>
        </w:tc>
        <w:tc>
          <w:tcPr>
            <w:tcW w:w="0" w:type="auto"/>
            <w:hideMark/>
          </w:tcPr>
          <w:p w14:paraId="5875B197" w14:textId="77777777" w:rsidR="00211738" w:rsidRPr="00211738" w:rsidRDefault="00211738" w:rsidP="00211738">
            <w:r w:rsidRPr="00211738">
              <w:t>1.7 (0.1)</w:t>
            </w:r>
          </w:p>
        </w:tc>
      </w:tr>
      <w:tr w:rsidR="00211738" w:rsidRPr="00211738" w14:paraId="7761DD0B" w14:textId="77777777" w:rsidTr="00CB071C">
        <w:tc>
          <w:tcPr>
            <w:tcW w:w="0" w:type="auto"/>
            <w:hideMark/>
          </w:tcPr>
          <w:p w14:paraId="23BA1823" w14:textId="77777777" w:rsidR="00211738" w:rsidRPr="00211738" w:rsidRDefault="00211738" w:rsidP="00211738">
            <w:r w:rsidRPr="00211738">
              <w:t>BMI (kg/m</w:t>
            </w:r>
            <w:r w:rsidRPr="00211738">
              <w:rPr>
                <w:vertAlign w:val="superscript"/>
              </w:rPr>
              <w:t>2</w:t>
            </w:r>
            <w:r w:rsidRPr="00211738">
              <w:t>)</w:t>
            </w:r>
          </w:p>
        </w:tc>
        <w:tc>
          <w:tcPr>
            <w:tcW w:w="0" w:type="auto"/>
            <w:hideMark/>
          </w:tcPr>
          <w:p w14:paraId="353CC517" w14:textId="77777777" w:rsidR="00211738" w:rsidRPr="00211738" w:rsidRDefault="00211738" w:rsidP="00211738">
            <w:r w:rsidRPr="00211738">
              <w:t>31.2 (5.3)</w:t>
            </w:r>
          </w:p>
        </w:tc>
      </w:tr>
      <w:tr w:rsidR="00211738" w:rsidRPr="00211738" w14:paraId="4182FD2C" w14:textId="77777777" w:rsidTr="00CB071C">
        <w:tc>
          <w:tcPr>
            <w:tcW w:w="0" w:type="auto"/>
            <w:hideMark/>
          </w:tcPr>
          <w:p w14:paraId="0069D919" w14:textId="77777777" w:rsidR="00211738" w:rsidRPr="00211738" w:rsidRDefault="00211738" w:rsidP="00211738">
            <w:r w:rsidRPr="00211738">
              <w:t>Surg KOS-ADL (%)</w:t>
            </w:r>
          </w:p>
        </w:tc>
        <w:tc>
          <w:tcPr>
            <w:tcW w:w="0" w:type="auto"/>
            <w:hideMark/>
          </w:tcPr>
          <w:p w14:paraId="77BA4F59" w14:textId="77777777" w:rsidR="00211738" w:rsidRPr="00211738" w:rsidRDefault="00211738" w:rsidP="00211738">
            <w:r w:rsidRPr="00211738">
              <w:t>83.0 (1.0)</w:t>
            </w:r>
          </w:p>
        </w:tc>
      </w:tr>
      <w:tr w:rsidR="00211738" w:rsidRPr="00211738" w14:paraId="59BA2CD3" w14:textId="77777777" w:rsidTr="00CB071C">
        <w:tc>
          <w:tcPr>
            <w:tcW w:w="0" w:type="auto"/>
            <w:hideMark/>
          </w:tcPr>
          <w:p w14:paraId="5937622A" w14:textId="77777777" w:rsidR="00211738" w:rsidRPr="00211738" w:rsidRDefault="00211738" w:rsidP="00211738">
            <w:proofErr w:type="spellStart"/>
            <w:r w:rsidRPr="00211738">
              <w:t>NonSurg</w:t>
            </w:r>
            <w:proofErr w:type="spellEnd"/>
            <w:r w:rsidRPr="00211738">
              <w:t xml:space="preserve"> KOS-ADL (%)</w:t>
            </w:r>
          </w:p>
        </w:tc>
        <w:tc>
          <w:tcPr>
            <w:tcW w:w="0" w:type="auto"/>
            <w:hideMark/>
          </w:tcPr>
          <w:p w14:paraId="3CBDD5A7" w14:textId="77777777" w:rsidR="00211738" w:rsidRPr="00211738" w:rsidRDefault="00211738" w:rsidP="00211738">
            <w:r w:rsidRPr="00211738">
              <w:t>90.0 (1.0)</w:t>
            </w:r>
          </w:p>
        </w:tc>
      </w:tr>
      <w:tr w:rsidR="00211738" w:rsidRPr="00211738" w14:paraId="21DD9B2E" w14:textId="77777777" w:rsidTr="00CB071C">
        <w:tc>
          <w:tcPr>
            <w:tcW w:w="0" w:type="auto"/>
            <w:hideMark/>
          </w:tcPr>
          <w:p w14:paraId="56568D97" w14:textId="77777777" w:rsidR="00211738" w:rsidRPr="00211738" w:rsidRDefault="00211738" w:rsidP="00211738">
            <w:r w:rsidRPr="00211738">
              <w:t>Surg VAS, no</w:t>
            </w:r>
          </w:p>
        </w:tc>
        <w:tc>
          <w:tcPr>
            <w:tcW w:w="0" w:type="auto"/>
            <w:hideMark/>
          </w:tcPr>
          <w:p w14:paraId="5182CC1F" w14:textId="77777777" w:rsidR="00211738" w:rsidRPr="00211738" w:rsidRDefault="00211738" w:rsidP="00211738">
            <w:r w:rsidRPr="00211738">
              <w:t>0.9 (0.1)</w:t>
            </w:r>
          </w:p>
        </w:tc>
      </w:tr>
      <w:tr w:rsidR="00211738" w:rsidRPr="00211738" w14:paraId="3267E350" w14:textId="77777777" w:rsidTr="00CB071C">
        <w:tc>
          <w:tcPr>
            <w:tcW w:w="0" w:type="auto"/>
            <w:hideMark/>
          </w:tcPr>
          <w:p w14:paraId="4D96E5FD" w14:textId="77777777" w:rsidR="00211738" w:rsidRPr="00211738" w:rsidRDefault="00211738" w:rsidP="00211738">
            <w:proofErr w:type="spellStart"/>
            <w:r w:rsidRPr="00211738">
              <w:t>NonSurg</w:t>
            </w:r>
            <w:proofErr w:type="spellEnd"/>
            <w:r w:rsidRPr="00211738">
              <w:t xml:space="preserve"> VAS, no</w:t>
            </w:r>
          </w:p>
        </w:tc>
        <w:tc>
          <w:tcPr>
            <w:tcW w:w="0" w:type="auto"/>
            <w:hideMark/>
          </w:tcPr>
          <w:p w14:paraId="3101F02E" w14:textId="77777777" w:rsidR="00211738" w:rsidRPr="00211738" w:rsidRDefault="00211738" w:rsidP="00211738">
            <w:r w:rsidRPr="00211738">
              <w:t>0.8 (1.0)</w:t>
            </w:r>
          </w:p>
        </w:tc>
      </w:tr>
      <w:tr w:rsidR="00211738" w:rsidRPr="00211738" w14:paraId="50130DF0" w14:textId="77777777" w:rsidTr="00CB071C">
        <w:tc>
          <w:tcPr>
            <w:tcW w:w="0" w:type="auto"/>
            <w:hideMark/>
          </w:tcPr>
          <w:p w14:paraId="56883C4B" w14:textId="77777777" w:rsidR="00211738" w:rsidRPr="00211738" w:rsidRDefault="00211738" w:rsidP="00211738">
            <w:r w:rsidRPr="00211738">
              <w:t>Surg MVIC (N/kg)</w:t>
            </w:r>
          </w:p>
        </w:tc>
        <w:tc>
          <w:tcPr>
            <w:tcW w:w="0" w:type="auto"/>
            <w:hideMark/>
          </w:tcPr>
          <w:p w14:paraId="437DE6FB" w14:textId="77777777" w:rsidR="00211738" w:rsidRPr="00211738" w:rsidRDefault="00211738" w:rsidP="00211738">
            <w:r w:rsidRPr="00211738">
              <w:t>17.7 (6.7)</w:t>
            </w:r>
          </w:p>
        </w:tc>
      </w:tr>
      <w:tr w:rsidR="00211738" w:rsidRPr="00211738" w14:paraId="36E44CD9" w14:textId="77777777" w:rsidTr="00CB071C">
        <w:tc>
          <w:tcPr>
            <w:tcW w:w="0" w:type="auto"/>
            <w:hideMark/>
          </w:tcPr>
          <w:p w14:paraId="060A9977" w14:textId="77777777" w:rsidR="00211738" w:rsidRPr="00211738" w:rsidRDefault="00211738" w:rsidP="00211738">
            <w:proofErr w:type="spellStart"/>
            <w:r w:rsidRPr="00211738">
              <w:t>NonSurg</w:t>
            </w:r>
            <w:proofErr w:type="spellEnd"/>
            <w:r w:rsidRPr="00211738">
              <w:t xml:space="preserve"> MVIC (N/kg)</w:t>
            </w:r>
          </w:p>
        </w:tc>
        <w:tc>
          <w:tcPr>
            <w:tcW w:w="0" w:type="auto"/>
            <w:hideMark/>
          </w:tcPr>
          <w:p w14:paraId="5FAE2592" w14:textId="77777777" w:rsidR="00211738" w:rsidRPr="00211738" w:rsidRDefault="00211738" w:rsidP="00211738">
            <w:r w:rsidRPr="00211738">
              <w:t>20.8 (7.6)</w:t>
            </w:r>
          </w:p>
        </w:tc>
      </w:tr>
      <w:tr w:rsidR="00211738" w:rsidRPr="00211738" w14:paraId="0C86B84A" w14:textId="77777777" w:rsidTr="00CB071C">
        <w:tc>
          <w:tcPr>
            <w:tcW w:w="0" w:type="auto"/>
            <w:hideMark/>
          </w:tcPr>
          <w:p w14:paraId="6F64EF81" w14:textId="77777777" w:rsidR="00211738" w:rsidRPr="00211738" w:rsidRDefault="00211738" w:rsidP="00CB071C">
            <w:pPr>
              <w:ind w:left="334"/>
            </w:pPr>
            <w:r w:rsidRPr="00211738">
              <w:t>Gait speed (m/s)</w:t>
            </w:r>
          </w:p>
        </w:tc>
        <w:tc>
          <w:tcPr>
            <w:tcW w:w="0" w:type="auto"/>
            <w:hideMark/>
          </w:tcPr>
          <w:p w14:paraId="0E451D6E" w14:textId="77777777" w:rsidR="00211738" w:rsidRPr="00211738" w:rsidRDefault="00211738" w:rsidP="00211738">
            <w:r w:rsidRPr="00211738">
              <w:t>1.3 (0.2)</w:t>
            </w:r>
          </w:p>
        </w:tc>
      </w:tr>
      <w:tr w:rsidR="00211738" w:rsidRPr="00211738" w14:paraId="129DB563" w14:textId="77777777" w:rsidTr="00CB071C">
        <w:tc>
          <w:tcPr>
            <w:tcW w:w="0" w:type="auto"/>
            <w:hideMark/>
          </w:tcPr>
          <w:p w14:paraId="2758B29F" w14:textId="77777777" w:rsidR="00211738" w:rsidRPr="00211738" w:rsidRDefault="00211738" w:rsidP="00CB071C">
            <w:pPr>
              <w:ind w:left="334"/>
            </w:pPr>
            <w:r w:rsidRPr="00211738">
              <w:t>6MWT (m)</w:t>
            </w:r>
          </w:p>
        </w:tc>
        <w:tc>
          <w:tcPr>
            <w:tcW w:w="0" w:type="auto"/>
            <w:hideMark/>
          </w:tcPr>
          <w:p w14:paraId="10C93909" w14:textId="77777777" w:rsidR="00211738" w:rsidRPr="00211738" w:rsidRDefault="00211738" w:rsidP="00211738">
            <w:r w:rsidRPr="00211738">
              <w:t>165.6 (25.5)</w:t>
            </w:r>
          </w:p>
        </w:tc>
      </w:tr>
      <w:tr w:rsidR="00211738" w:rsidRPr="00211738" w14:paraId="76DC8ADF" w14:textId="77777777" w:rsidTr="00CB071C">
        <w:tc>
          <w:tcPr>
            <w:tcW w:w="0" w:type="auto"/>
            <w:hideMark/>
          </w:tcPr>
          <w:p w14:paraId="47444366" w14:textId="77777777" w:rsidR="00211738" w:rsidRPr="00211738" w:rsidRDefault="00211738" w:rsidP="00CB071C">
            <w:pPr>
              <w:ind w:left="334"/>
            </w:pPr>
            <w:r w:rsidRPr="00211738">
              <w:t>Time from surgery (months)</w:t>
            </w:r>
          </w:p>
        </w:tc>
        <w:tc>
          <w:tcPr>
            <w:tcW w:w="0" w:type="auto"/>
            <w:hideMark/>
          </w:tcPr>
          <w:p w14:paraId="20DA6EE2" w14:textId="77777777" w:rsidR="00211738" w:rsidRPr="00211738" w:rsidRDefault="00211738" w:rsidP="00211738">
            <w:r w:rsidRPr="00211738">
              <w:t>15.0 (9.3)</w:t>
            </w:r>
          </w:p>
        </w:tc>
      </w:tr>
    </w:tbl>
    <w:p w14:paraId="05C884C0" w14:textId="77777777" w:rsidR="00211738" w:rsidRPr="00211738" w:rsidRDefault="00211738" w:rsidP="00CB071C">
      <w:pPr>
        <w:pStyle w:val="NoSpacing"/>
      </w:pPr>
      <w:r w:rsidRPr="00211738">
        <w:rPr>
          <w:i/>
          <w:iCs/>
        </w:rPr>
        <w:t>Note</w:t>
      </w:r>
      <w:r w:rsidRPr="00211738">
        <w:t>: Values represented as mean (</w:t>
      </w:r>
      <w:r w:rsidRPr="00211738">
        <w:rPr>
          <w:i/>
          <w:iCs/>
        </w:rPr>
        <w:t>SD</w:t>
      </w:r>
      <w:r w:rsidRPr="00211738">
        <w:t>), unless otherwise stated.</w:t>
      </w:r>
    </w:p>
    <w:p w14:paraId="7899776A" w14:textId="77777777" w:rsidR="00211738" w:rsidRPr="00211738" w:rsidRDefault="00211738" w:rsidP="00CB071C">
      <w:pPr>
        <w:pStyle w:val="NoSpacing"/>
      </w:pPr>
      <w:r w:rsidRPr="00211738">
        <w:t xml:space="preserve">Abbreviations: 6MWT, 6-minute walk test; BMI, body mass index; KOS-ADL, Knee Outcome Survey-Activities of Daily Living; MVIC, maximum voluntary isometric contraction; </w:t>
      </w:r>
      <w:proofErr w:type="spellStart"/>
      <w:r w:rsidRPr="00211738">
        <w:t>NonSurg</w:t>
      </w:r>
      <w:proofErr w:type="spellEnd"/>
      <w:r w:rsidRPr="00211738">
        <w:t>, nonsurgical; Surg, surgical; TKA, total knee arthroplasty; VAS, visual analog pain scale.</w:t>
      </w:r>
    </w:p>
    <w:p w14:paraId="3F6ECBFC" w14:textId="77777777" w:rsidR="00CB071C" w:rsidRDefault="00CB071C" w:rsidP="00211738">
      <w:pPr>
        <w:rPr>
          <w:noProof/>
        </w:rPr>
      </w:pPr>
    </w:p>
    <w:p w14:paraId="32870A28" w14:textId="424A8220" w:rsidR="00211738" w:rsidRPr="00211738" w:rsidRDefault="00211738" w:rsidP="00CB071C">
      <w:pPr>
        <w:pStyle w:val="NoSpacing"/>
      </w:pPr>
      <w:r w:rsidRPr="00211738">
        <w:rPr>
          <w:noProof/>
        </w:rPr>
        <w:drawing>
          <wp:inline distT="0" distB="0" distL="0" distR="0" wp14:anchorId="05A0300E" wp14:editId="7E6830F3">
            <wp:extent cx="2743200" cy="1554480"/>
            <wp:effectExtent l="0" t="0" r="0" b="7620"/>
            <wp:docPr id="2" name="Picture 2" descr="Details are in the caption following the image">
              <a:hlinkClick xmlns:a="http://schemas.openxmlformats.org/drawingml/2006/main" r:id="rId6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ails are in the caption following the image">
                      <a:hlinkClick r:id="rId62" tgtFrame="&quot;_blank&quot;"/>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743200" cy="1554480"/>
                    </a:xfrm>
                    <a:prstGeom prst="rect">
                      <a:avLst/>
                    </a:prstGeom>
                    <a:noFill/>
                    <a:ln>
                      <a:noFill/>
                    </a:ln>
                  </pic:spPr>
                </pic:pic>
              </a:graphicData>
            </a:graphic>
          </wp:inline>
        </w:drawing>
      </w:r>
    </w:p>
    <w:p w14:paraId="66C80F03" w14:textId="5D79463C" w:rsidR="00211738" w:rsidRDefault="00211738" w:rsidP="00CB071C">
      <w:pPr>
        <w:pStyle w:val="NoSpacing"/>
      </w:pPr>
      <w:r w:rsidRPr="00211738">
        <w:rPr>
          <w:b/>
          <w:bCs/>
        </w:rPr>
        <w:t>Figure 1</w:t>
      </w:r>
      <w:r w:rsidR="00CB071C">
        <w:rPr>
          <w:b/>
          <w:bCs/>
        </w:rPr>
        <w:t xml:space="preserve"> </w:t>
      </w:r>
      <w:r w:rsidRPr="00211738">
        <w:t>The relationship between quadriceps strengths and gait mechanic variables. (A) Surgical quadriceps maximum voluntary isometric contraction (MVIC) and surgical peak vertical ground reaction force (</w:t>
      </w:r>
      <w:proofErr w:type="spellStart"/>
      <w:r w:rsidRPr="00211738">
        <w:t>vGRF</w:t>
      </w:r>
      <w:proofErr w:type="spellEnd"/>
      <w:r w:rsidRPr="00211738">
        <w:t xml:space="preserve">); (B) surgical quadriceps MVIC and surgical peak sagittal plane knee extension moment; (C) surgical quadriceps MVIC and surgical knee extension excursion; (D) nonsurgical quadriceps MVIC and surgical knee extension excursion </w:t>
      </w:r>
    </w:p>
    <w:p w14:paraId="5EF762B5" w14:textId="77777777" w:rsidR="00CB071C" w:rsidRPr="00211738" w:rsidRDefault="00CB071C" w:rsidP="00211738"/>
    <w:p w14:paraId="23F4E2E3" w14:textId="77777777" w:rsidR="00211738" w:rsidRPr="00211738" w:rsidRDefault="00211738" w:rsidP="00CB071C">
      <w:pPr>
        <w:spacing w:after="0"/>
      </w:pPr>
      <w:r w:rsidRPr="00211738">
        <w:rPr>
          <w:b/>
          <w:bCs/>
        </w:rPr>
        <w:t>Table 2. </w:t>
      </w:r>
      <w:r w:rsidRPr="00211738">
        <w:t>General linear regression model of patient characteristics on kinetic loading mechanics in the surgical limb from 6 to 24 months postoperatively</w:t>
      </w:r>
    </w:p>
    <w:tbl>
      <w:tblPr>
        <w:tblStyle w:val="TableGrid"/>
        <w:tblW w:w="0" w:type="auto"/>
        <w:tblLook w:val="04A0" w:firstRow="1" w:lastRow="0" w:firstColumn="1" w:lastColumn="0" w:noHBand="0" w:noVBand="1"/>
      </w:tblPr>
      <w:tblGrid>
        <w:gridCol w:w="1549"/>
        <w:gridCol w:w="1820"/>
        <w:gridCol w:w="716"/>
        <w:gridCol w:w="607"/>
        <w:gridCol w:w="716"/>
        <w:gridCol w:w="1623"/>
        <w:gridCol w:w="953"/>
        <w:gridCol w:w="1322"/>
      </w:tblGrid>
      <w:tr w:rsidR="00211738" w:rsidRPr="00211738" w14:paraId="4A2904C4" w14:textId="77777777" w:rsidTr="00C16F94">
        <w:tc>
          <w:tcPr>
            <w:tcW w:w="0" w:type="auto"/>
            <w:hideMark/>
          </w:tcPr>
          <w:p w14:paraId="04B0D2C5" w14:textId="77777777" w:rsidR="00211738" w:rsidRPr="00211738" w:rsidRDefault="00211738" w:rsidP="00211738">
            <w:pPr>
              <w:rPr>
                <w:b/>
                <w:bCs/>
              </w:rPr>
            </w:pPr>
            <w:r w:rsidRPr="00211738">
              <w:rPr>
                <w:b/>
                <w:bCs/>
              </w:rPr>
              <w:t>Variable</w:t>
            </w:r>
          </w:p>
        </w:tc>
        <w:tc>
          <w:tcPr>
            <w:tcW w:w="0" w:type="auto"/>
            <w:hideMark/>
          </w:tcPr>
          <w:p w14:paraId="0E927ACE" w14:textId="77777777" w:rsidR="00211738" w:rsidRPr="00211738" w:rsidRDefault="00211738" w:rsidP="00211738">
            <w:pPr>
              <w:rPr>
                <w:b/>
                <w:bCs/>
              </w:rPr>
            </w:pPr>
            <w:r w:rsidRPr="00211738">
              <w:rPr>
                <w:b/>
                <w:bCs/>
              </w:rPr>
              <w:t>Predictor</w:t>
            </w:r>
          </w:p>
        </w:tc>
        <w:tc>
          <w:tcPr>
            <w:tcW w:w="0" w:type="auto"/>
            <w:hideMark/>
          </w:tcPr>
          <w:p w14:paraId="247DDCE5" w14:textId="77777777" w:rsidR="00211738" w:rsidRPr="00211738" w:rsidRDefault="00211738" w:rsidP="00211738">
            <w:pPr>
              <w:rPr>
                <w:b/>
                <w:bCs/>
              </w:rPr>
            </w:pPr>
            <w:r w:rsidRPr="00211738">
              <w:rPr>
                <w:b/>
                <w:bCs/>
                <w:i/>
                <w:iCs/>
              </w:rPr>
              <w:t>B</w:t>
            </w:r>
            <w:r w:rsidRPr="00211738">
              <w:rPr>
                <w:b/>
                <w:bCs/>
              </w:rPr>
              <w:t> </w:t>
            </w:r>
            <w:hyperlink r:id="rId64" w:anchor="jor24878-tbl2-note-0003_46" w:tooltip="Link to note" w:history="1">
              <w:r w:rsidRPr="00C16F94">
                <w:rPr>
                  <w:rStyle w:val="Hyperlink"/>
                  <w:b/>
                  <w:bCs/>
                  <w:vertAlign w:val="superscript"/>
                </w:rPr>
                <w:t>a</w:t>
              </w:r>
            </w:hyperlink>
          </w:p>
        </w:tc>
        <w:tc>
          <w:tcPr>
            <w:tcW w:w="0" w:type="auto"/>
            <w:hideMark/>
          </w:tcPr>
          <w:p w14:paraId="0B900F8B" w14:textId="77777777" w:rsidR="00211738" w:rsidRPr="00211738" w:rsidRDefault="00211738" w:rsidP="00211738">
            <w:pPr>
              <w:rPr>
                <w:b/>
                <w:bCs/>
              </w:rPr>
            </w:pPr>
            <w:r w:rsidRPr="00211738">
              <w:rPr>
                <w:b/>
                <w:bCs/>
                <w:i/>
                <w:iCs/>
              </w:rPr>
              <w:t>SE</w:t>
            </w:r>
          </w:p>
        </w:tc>
        <w:tc>
          <w:tcPr>
            <w:tcW w:w="0" w:type="auto"/>
            <w:hideMark/>
          </w:tcPr>
          <w:p w14:paraId="30B0EC83" w14:textId="2C3F7A96" w:rsidR="00211738" w:rsidRPr="00211738" w:rsidRDefault="00C16F94" w:rsidP="00211738">
            <w:pPr>
              <w:rPr>
                <w:b/>
                <w:bCs/>
              </w:rPr>
            </w:pPr>
            <m:oMath>
              <m:r>
                <m:rPr>
                  <m:sty m:val="bi"/>
                </m:rPr>
                <w:rPr>
                  <w:rFonts w:ascii="Cambria Math" w:hAnsi="Cambria Math"/>
                </w:rPr>
                <m:t>β</m:t>
              </m:r>
            </m:oMath>
            <w:r w:rsidR="00211738" w:rsidRPr="00211738">
              <w:rPr>
                <w:b/>
                <w:bCs/>
              </w:rPr>
              <w:t> </w:t>
            </w:r>
            <w:hyperlink r:id="rId65" w:anchor="jor24878-tbl2-note-0004_47" w:tooltip="Link to note" w:history="1">
              <w:r w:rsidR="00211738" w:rsidRPr="00C16F94">
                <w:rPr>
                  <w:rStyle w:val="Hyperlink"/>
                  <w:b/>
                  <w:bCs/>
                  <w:vertAlign w:val="superscript"/>
                </w:rPr>
                <w:t>b</w:t>
              </w:r>
            </w:hyperlink>
          </w:p>
        </w:tc>
        <w:tc>
          <w:tcPr>
            <w:tcW w:w="0" w:type="auto"/>
            <w:hideMark/>
          </w:tcPr>
          <w:p w14:paraId="0E6E2D18" w14:textId="7BD357B4" w:rsidR="00211738" w:rsidRPr="00211738" w:rsidRDefault="00211738" w:rsidP="00211738">
            <w:pPr>
              <w:rPr>
                <w:b/>
                <w:bCs/>
              </w:rPr>
            </w:pPr>
            <w:r w:rsidRPr="00211738">
              <w:rPr>
                <w:b/>
                <w:bCs/>
              </w:rPr>
              <w:t>Effect size,</w:t>
            </w:r>
            <m:oMath>
              <m:sSup>
                <m:sSupPr>
                  <m:ctrlPr>
                    <w:rPr>
                      <w:rFonts w:ascii="Cambria Math" w:hAnsi="Cambria Math"/>
                      <w:b/>
                      <w:bCs/>
                      <w:i/>
                      <w:iCs/>
                    </w:rPr>
                  </m:ctrlPr>
                </m:sSupPr>
                <m:e>
                  <m:r>
                    <m:rPr>
                      <m:sty m:val="bi"/>
                    </m:rPr>
                    <w:rPr>
                      <w:rFonts w:ascii="Cambria Math" w:hAnsi="Cambria Math"/>
                    </w:rPr>
                    <m:t> f </m:t>
                  </m:r>
                </m:e>
                <m:sup>
                  <m:r>
                    <m:rPr>
                      <m:sty m:val="bi"/>
                    </m:rPr>
                    <w:rPr>
                      <w:rFonts w:ascii="Cambria Math" w:hAnsi="Cambria Math"/>
                      <w:vertAlign w:val="superscript"/>
                    </w:rPr>
                    <m:t>2</m:t>
                  </m:r>
                </m:sup>
              </m:sSup>
            </m:oMath>
            <w:r w:rsidRPr="00211738">
              <w:rPr>
                <w:b/>
                <w:bCs/>
              </w:rPr>
              <w:t> </w:t>
            </w:r>
            <w:hyperlink r:id="rId66" w:anchor="jor24878-tbl2-note-0005_48" w:tooltip="Link to note" w:history="1">
              <w:r w:rsidRPr="00C16F94">
                <w:rPr>
                  <w:rStyle w:val="Hyperlink"/>
                  <w:b/>
                  <w:bCs/>
                  <w:vertAlign w:val="superscript"/>
                </w:rPr>
                <w:t>c</w:t>
              </w:r>
            </w:hyperlink>
          </w:p>
        </w:tc>
        <w:tc>
          <w:tcPr>
            <w:tcW w:w="0" w:type="auto"/>
            <w:hideMark/>
          </w:tcPr>
          <w:p w14:paraId="33C49A7B" w14:textId="77777777" w:rsidR="00211738" w:rsidRPr="00211738" w:rsidRDefault="00211738" w:rsidP="00211738">
            <w:pPr>
              <w:rPr>
                <w:b/>
                <w:bCs/>
              </w:rPr>
            </w:pPr>
            <w:r w:rsidRPr="00211738">
              <w:rPr>
                <w:b/>
                <w:bCs/>
                <w:i/>
                <w:iCs/>
              </w:rPr>
              <w:t>p</w:t>
            </w:r>
            <w:r w:rsidRPr="00211738">
              <w:rPr>
                <w:b/>
                <w:bCs/>
              </w:rPr>
              <w:t> value</w:t>
            </w:r>
            <w:hyperlink r:id="rId67" w:anchor="jor24878-tbl2-note-0006_49" w:tooltip="Link to note" w:history="1">
              <w:r w:rsidRPr="00C16F94">
                <w:rPr>
                  <w:rStyle w:val="Hyperlink"/>
                  <w:b/>
                  <w:bCs/>
                  <w:vertAlign w:val="superscript"/>
                </w:rPr>
                <w:t>d</w:t>
              </w:r>
            </w:hyperlink>
          </w:p>
        </w:tc>
        <w:tc>
          <w:tcPr>
            <w:tcW w:w="0" w:type="auto"/>
            <w:hideMark/>
          </w:tcPr>
          <w:p w14:paraId="18673355" w14:textId="77777777" w:rsidR="00211738" w:rsidRPr="00211738" w:rsidRDefault="00211738" w:rsidP="00211738">
            <w:pPr>
              <w:rPr>
                <w:b/>
                <w:bCs/>
              </w:rPr>
            </w:pPr>
            <w:r w:rsidRPr="00211738">
              <w:rPr>
                <w:b/>
                <w:bCs/>
              </w:rPr>
              <w:t>95% CI</w:t>
            </w:r>
          </w:p>
        </w:tc>
      </w:tr>
      <w:tr w:rsidR="00211738" w:rsidRPr="00211738" w14:paraId="31D61D36" w14:textId="77777777" w:rsidTr="00C16F94">
        <w:tc>
          <w:tcPr>
            <w:tcW w:w="0" w:type="auto"/>
            <w:hideMark/>
          </w:tcPr>
          <w:p w14:paraId="22A8B895" w14:textId="77777777" w:rsidR="00211738" w:rsidRPr="00211738" w:rsidRDefault="00211738" w:rsidP="00211738">
            <w:proofErr w:type="spellStart"/>
            <w:r w:rsidRPr="00211738">
              <w:t>PvGRF</w:t>
            </w:r>
            <w:proofErr w:type="spellEnd"/>
            <w:r w:rsidRPr="00211738">
              <w:t xml:space="preserve"> (N/kg)</w:t>
            </w:r>
          </w:p>
        </w:tc>
        <w:tc>
          <w:tcPr>
            <w:tcW w:w="0" w:type="auto"/>
            <w:hideMark/>
          </w:tcPr>
          <w:p w14:paraId="3DBDFCC1" w14:textId="77777777" w:rsidR="00211738" w:rsidRPr="00211738" w:rsidRDefault="00211738" w:rsidP="00211738"/>
        </w:tc>
        <w:tc>
          <w:tcPr>
            <w:tcW w:w="0" w:type="auto"/>
            <w:hideMark/>
          </w:tcPr>
          <w:p w14:paraId="3C963CAC" w14:textId="77777777" w:rsidR="00211738" w:rsidRPr="00211738" w:rsidRDefault="00211738" w:rsidP="00211738"/>
        </w:tc>
        <w:tc>
          <w:tcPr>
            <w:tcW w:w="0" w:type="auto"/>
            <w:hideMark/>
          </w:tcPr>
          <w:p w14:paraId="6AA2740A" w14:textId="77777777" w:rsidR="00211738" w:rsidRPr="00211738" w:rsidRDefault="00211738" w:rsidP="00211738"/>
        </w:tc>
        <w:tc>
          <w:tcPr>
            <w:tcW w:w="0" w:type="auto"/>
            <w:hideMark/>
          </w:tcPr>
          <w:p w14:paraId="754A9080" w14:textId="77777777" w:rsidR="00211738" w:rsidRPr="00211738" w:rsidRDefault="00211738" w:rsidP="00211738"/>
        </w:tc>
        <w:tc>
          <w:tcPr>
            <w:tcW w:w="0" w:type="auto"/>
            <w:hideMark/>
          </w:tcPr>
          <w:p w14:paraId="48967BC8" w14:textId="77777777" w:rsidR="00211738" w:rsidRPr="00211738" w:rsidRDefault="00211738" w:rsidP="00211738"/>
        </w:tc>
        <w:tc>
          <w:tcPr>
            <w:tcW w:w="0" w:type="auto"/>
            <w:hideMark/>
          </w:tcPr>
          <w:p w14:paraId="5017761B" w14:textId="77777777" w:rsidR="00211738" w:rsidRPr="00211738" w:rsidRDefault="00211738" w:rsidP="00211738"/>
        </w:tc>
        <w:tc>
          <w:tcPr>
            <w:tcW w:w="0" w:type="auto"/>
            <w:hideMark/>
          </w:tcPr>
          <w:p w14:paraId="2F1ACA78" w14:textId="77777777" w:rsidR="00211738" w:rsidRPr="00211738" w:rsidRDefault="00211738" w:rsidP="00211738"/>
        </w:tc>
      </w:tr>
      <w:tr w:rsidR="00211738" w:rsidRPr="00211738" w14:paraId="5885CFEA" w14:textId="77777777" w:rsidTr="00C16F94">
        <w:tc>
          <w:tcPr>
            <w:tcW w:w="0" w:type="auto"/>
            <w:hideMark/>
          </w:tcPr>
          <w:p w14:paraId="7E2B5C42" w14:textId="77777777" w:rsidR="00211738" w:rsidRPr="00211738" w:rsidRDefault="00211738" w:rsidP="00211738"/>
        </w:tc>
        <w:tc>
          <w:tcPr>
            <w:tcW w:w="0" w:type="auto"/>
            <w:hideMark/>
          </w:tcPr>
          <w:p w14:paraId="607F404B" w14:textId="77777777" w:rsidR="00211738" w:rsidRPr="00211738" w:rsidRDefault="00211738" w:rsidP="00211738">
            <w:r w:rsidRPr="00211738">
              <w:t>Age</w:t>
            </w:r>
          </w:p>
        </w:tc>
        <w:tc>
          <w:tcPr>
            <w:tcW w:w="0" w:type="auto"/>
            <w:hideMark/>
          </w:tcPr>
          <w:p w14:paraId="0CD261E1" w14:textId="77777777" w:rsidR="00211738" w:rsidRPr="00211738" w:rsidRDefault="00211738" w:rsidP="00211738">
            <w:r w:rsidRPr="00211738">
              <w:t>.002</w:t>
            </w:r>
          </w:p>
        </w:tc>
        <w:tc>
          <w:tcPr>
            <w:tcW w:w="0" w:type="auto"/>
            <w:hideMark/>
          </w:tcPr>
          <w:p w14:paraId="7E01A60A" w14:textId="77777777" w:rsidR="00211738" w:rsidRPr="00211738" w:rsidRDefault="00211738" w:rsidP="00211738">
            <w:r w:rsidRPr="00211738">
              <w:t>.001</w:t>
            </w:r>
          </w:p>
        </w:tc>
        <w:tc>
          <w:tcPr>
            <w:tcW w:w="0" w:type="auto"/>
            <w:hideMark/>
          </w:tcPr>
          <w:p w14:paraId="204BBB68" w14:textId="77777777" w:rsidR="00211738" w:rsidRPr="00211738" w:rsidRDefault="00211738" w:rsidP="00211738">
            <w:r w:rsidRPr="00211738">
              <w:t>.168</w:t>
            </w:r>
          </w:p>
        </w:tc>
        <w:tc>
          <w:tcPr>
            <w:tcW w:w="0" w:type="auto"/>
            <w:hideMark/>
          </w:tcPr>
          <w:p w14:paraId="14613C4E" w14:textId="77777777" w:rsidR="00211738" w:rsidRPr="00211738" w:rsidRDefault="00211738" w:rsidP="00211738">
            <w:r w:rsidRPr="00211738">
              <w:t>.04</w:t>
            </w:r>
          </w:p>
        </w:tc>
        <w:tc>
          <w:tcPr>
            <w:tcW w:w="0" w:type="auto"/>
            <w:hideMark/>
          </w:tcPr>
          <w:p w14:paraId="715346AA" w14:textId="77777777" w:rsidR="00211738" w:rsidRPr="00211738" w:rsidRDefault="00211738" w:rsidP="00211738">
            <w:r w:rsidRPr="00211738">
              <w:rPr>
                <w:b/>
                <w:bCs/>
              </w:rPr>
              <w:t>.050</w:t>
            </w:r>
            <w:r w:rsidRPr="00211738">
              <w:t> </w:t>
            </w:r>
            <w:hyperlink r:id="rId68" w:anchor="jor24878-tbl2-note-0007_50" w:tooltip="Link to note" w:history="1">
              <w:r w:rsidRPr="00211738">
                <w:rPr>
                  <w:rStyle w:val="Hyperlink"/>
                </w:rPr>
                <w:t>*</w:t>
              </w:r>
            </w:hyperlink>
          </w:p>
        </w:tc>
        <w:tc>
          <w:tcPr>
            <w:tcW w:w="0" w:type="auto"/>
            <w:hideMark/>
          </w:tcPr>
          <w:p w14:paraId="22CAC8CB" w14:textId="77777777" w:rsidR="00211738" w:rsidRPr="00211738" w:rsidRDefault="00211738" w:rsidP="00211738">
            <w:r w:rsidRPr="00211738">
              <w:t>.001, .004</w:t>
            </w:r>
          </w:p>
        </w:tc>
      </w:tr>
      <w:tr w:rsidR="00211738" w:rsidRPr="00211738" w14:paraId="4726F206" w14:textId="77777777" w:rsidTr="00C16F94">
        <w:tc>
          <w:tcPr>
            <w:tcW w:w="0" w:type="auto"/>
            <w:hideMark/>
          </w:tcPr>
          <w:p w14:paraId="20861861" w14:textId="77777777" w:rsidR="00211738" w:rsidRPr="00211738" w:rsidRDefault="00211738" w:rsidP="00211738"/>
        </w:tc>
        <w:tc>
          <w:tcPr>
            <w:tcW w:w="0" w:type="auto"/>
            <w:hideMark/>
          </w:tcPr>
          <w:p w14:paraId="536208F2" w14:textId="77777777" w:rsidR="00211738" w:rsidRPr="00211738" w:rsidRDefault="00211738" w:rsidP="00211738">
            <w:r w:rsidRPr="00211738">
              <w:t>BMI</w:t>
            </w:r>
          </w:p>
        </w:tc>
        <w:tc>
          <w:tcPr>
            <w:tcW w:w="0" w:type="auto"/>
            <w:hideMark/>
          </w:tcPr>
          <w:p w14:paraId="72FDFF3B" w14:textId="77777777" w:rsidR="00211738" w:rsidRPr="00211738" w:rsidRDefault="00211738" w:rsidP="00211738">
            <w:r w:rsidRPr="00211738">
              <w:t>−.001</w:t>
            </w:r>
          </w:p>
        </w:tc>
        <w:tc>
          <w:tcPr>
            <w:tcW w:w="0" w:type="auto"/>
            <w:hideMark/>
          </w:tcPr>
          <w:p w14:paraId="15357A0A" w14:textId="77777777" w:rsidR="00211738" w:rsidRPr="00211738" w:rsidRDefault="00211738" w:rsidP="00211738">
            <w:r w:rsidRPr="00211738">
              <w:t>.001</w:t>
            </w:r>
          </w:p>
        </w:tc>
        <w:tc>
          <w:tcPr>
            <w:tcW w:w="0" w:type="auto"/>
            <w:hideMark/>
          </w:tcPr>
          <w:p w14:paraId="3F9791FF" w14:textId="77777777" w:rsidR="00211738" w:rsidRPr="00211738" w:rsidRDefault="00211738" w:rsidP="00211738">
            <w:r w:rsidRPr="00211738">
              <w:t>−.041</w:t>
            </w:r>
          </w:p>
        </w:tc>
        <w:tc>
          <w:tcPr>
            <w:tcW w:w="0" w:type="auto"/>
            <w:hideMark/>
          </w:tcPr>
          <w:p w14:paraId="34C8BE9A" w14:textId="77777777" w:rsidR="00211738" w:rsidRPr="00211738" w:rsidRDefault="00211738" w:rsidP="00211738">
            <w:r w:rsidRPr="00211738">
              <w:t>.00</w:t>
            </w:r>
          </w:p>
        </w:tc>
        <w:tc>
          <w:tcPr>
            <w:tcW w:w="0" w:type="auto"/>
            <w:hideMark/>
          </w:tcPr>
          <w:p w14:paraId="1444E10E" w14:textId="77777777" w:rsidR="00211738" w:rsidRPr="00211738" w:rsidRDefault="00211738" w:rsidP="00211738">
            <w:r w:rsidRPr="00211738">
              <w:t>.907</w:t>
            </w:r>
          </w:p>
        </w:tc>
        <w:tc>
          <w:tcPr>
            <w:tcW w:w="0" w:type="auto"/>
            <w:hideMark/>
          </w:tcPr>
          <w:p w14:paraId="317A9806" w14:textId="77777777" w:rsidR="00211738" w:rsidRPr="00211738" w:rsidRDefault="00211738" w:rsidP="00211738">
            <w:r w:rsidRPr="00211738">
              <w:t>−.003, .001</w:t>
            </w:r>
          </w:p>
        </w:tc>
      </w:tr>
      <w:tr w:rsidR="00211738" w:rsidRPr="00211738" w14:paraId="23AF8116" w14:textId="77777777" w:rsidTr="00C16F94">
        <w:tc>
          <w:tcPr>
            <w:tcW w:w="0" w:type="auto"/>
            <w:hideMark/>
          </w:tcPr>
          <w:p w14:paraId="3C1FB3D6" w14:textId="77777777" w:rsidR="00211738" w:rsidRPr="00211738" w:rsidRDefault="00211738" w:rsidP="00211738"/>
        </w:tc>
        <w:tc>
          <w:tcPr>
            <w:tcW w:w="0" w:type="auto"/>
            <w:hideMark/>
          </w:tcPr>
          <w:p w14:paraId="2742E28C" w14:textId="77777777" w:rsidR="00211738" w:rsidRPr="00211738" w:rsidRDefault="00211738" w:rsidP="00211738">
            <w:r w:rsidRPr="00211738">
              <w:t>Sex</w:t>
            </w:r>
          </w:p>
        </w:tc>
        <w:tc>
          <w:tcPr>
            <w:tcW w:w="0" w:type="auto"/>
            <w:hideMark/>
          </w:tcPr>
          <w:p w14:paraId="4BF9EB7A" w14:textId="77777777" w:rsidR="00211738" w:rsidRPr="00211738" w:rsidRDefault="00211738" w:rsidP="00211738">
            <w:r w:rsidRPr="00211738">
              <w:t>−.009</w:t>
            </w:r>
          </w:p>
        </w:tc>
        <w:tc>
          <w:tcPr>
            <w:tcW w:w="0" w:type="auto"/>
            <w:hideMark/>
          </w:tcPr>
          <w:p w14:paraId="4DCB8042" w14:textId="77777777" w:rsidR="00211738" w:rsidRPr="00211738" w:rsidRDefault="00211738" w:rsidP="00211738">
            <w:r w:rsidRPr="00211738">
              <w:t>.001</w:t>
            </w:r>
          </w:p>
        </w:tc>
        <w:tc>
          <w:tcPr>
            <w:tcW w:w="0" w:type="auto"/>
            <w:hideMark/>
          </w:tcPr>
          <w:p w14:paraId="1304551F" w14:textId="77777777" w:rsidR="00211738" w:rsidRPr="00211738" w:rsidRDefault="00211738" w:rsidP="00211738">
            <w:r w:rsidRPr="00211738">
              <w:t>−.053</w:t>
            </w:r>
          </w:p>
        </w:tc>
        <w:tc>
          <w:tcPr>
            <w:tcW w:w="0" w:type="auto"/>
            <w:hideMark/>
          </w:tcPr>
          <w:p w14:paraId="28424461" w14:textId="77777777" w:rsidR="00211738" w:rsidRPr="00211738" w:rsidRDefault="00211738" w:rsidP="00211738">
            <w:r w:rsidRPr="00211738">
              <w:t>.00</w:t>
            </w:r>
          </w:p>
        </w:tc>
        <w:tc>
          <w:tcPr>
            <w:tcW w:w="0" w:type="auto"/>
            <w:hideMark/>
          </w:tcPr>
          <w:p w14:paraId="114606F9" w14:textId="77777777" w:rsidR="00211738" w:rsidRPr="00211738" w:rsidRDefault="00211738" w:rsidP="00211738">
            <w:r w:rsidRPr="00211738">
              <w:t>.859</w:t>
            </w:r>
          </w:p>
        </w:tc>
        <w:tc>
          <w:tcPr>
            <w:tcW w:w="0" w:type="auto"/>
            <w:hideMark/>
          </w:tcPr>
          <w:p w14:paraId="468627BE" w14:textId="77777777" w:rsidR="00211738" w:rsidRPr="00211738" w:rsidRDefault="00211738" w:rsidP="00211738">
            <w:r w:rsidRPr="00211738">
              <w:t>−.035, .016</w:t>
            </w:r>
          </w:p>
        </w:tc>
      </w:tr>
      <w:tr w:rsidR="00211738" w:rsidRPr="00211738" w14:paraId="56B45A07" w14:textId="77777777" w:rsidTr="00C16F94">
        <w:tc>
          <w:tcPr>
            <w:tcW w:w="0" w:type="auto"/>
            <w:hideMark/>
          </w:tcPr>
          <w:p w14:paraId="1EF7F366" w14:textId="77777777" w:rsidR="00211738" w:rsidRPr="00211738" w:rsidRDefault="00211738" w:rsidP="00211738"/>
        </w:tc>
        <w:tc>
          <w:tcPr>
            <w:tcW w:w="0" w:type="auto"/>
            <w:hideMark/>
          </w:tcPr>
          <w:p w14:paraId="294151B2" w14:textId="77777777" w:rsidR="00211738" w:rsidRPr="00211738" w:rsidRDefault="00211738" w:rsidP="00211738">
            <w:r w:rsidRPr="00211738">
              <w:t>Surg KOS-ADL</w:t>
            </w:r>
          </w:p>
        </w:tc>
        <w:tc>
          <w:tcPr>
            <w:tcW w:w="0" w:type="auto"/>
            <w:hideMark/>
          </w:tcPr>
          <w:p w14:paraId="49E7D1A3" w14:textId="77777777" w:rsidR="00211738" w:rsidRPr="00211738" w:rsidRDefault="00211738" w:rsidP="00211738">
            <w:r w:rsidRPr="00211738">
              <w:t>−.003</w:t>
            </w:r>
          </w:p>
        </w:tc>
        <w:tc>
          <w:tcPr>
            <w:tcW w:w="0" w:type="auto"/>
            <w:hideMark/>
          </w:tcPr>
          <w:p w14:paraId="5D6227FD" w14:textId="77777777" w:rsidR="00211738" w:rsidRPr="00211738" w:rsidRDefault="00211738" w:rsidP="00211738">
            <w:r w:rsidRPr="00211738">
              <w:t>.070</w:t>
            </w:r>
          </w:p>
        </w:tc>
        <w:tc>
          <w:tcPr>
            <w:tcW w:w="0" w:type="auto"/>
            <w:hideMark/>
          </w:tcPr>
          <w:p w14:paraId="19A50395" w14:textId="77777777" w:rsidR="00211738" w:rsidRPr="00211738" w:rsidRDefault="00211738" w:rsidP="00211738">
            <w:r w:rsidRPr="00211738">
              <w:t>−.004</w:t>
            </w:r>
          </w:p>
        </w:tc>
        <w:tc>
          <w:tcPr>
            <w:tcW w:w="0" w:type="auto"/>
            <w:hideMark/>
          </w:tcPr>
          <w:p w14:paraId="6A872978" w14:textId="77777777" w:rsidR="00211738" w:rsidRPr="00211738" w:rsidRDefault="00211738" w:rsidP="00211738">
            <w:r w:rsidRPr="00211738">
              <w:t>.00</w:t>
            </w:r>
          </w:p>
        </w:tc>
        <w:tc>
          <w:tcPr>
            <w:tcW w:w="0" w:type="auto"/>
            <w:hideMark/>
          </w:tcPr>
          <w:p w14:paraId="5E4EBF3A" w14:textId="77777777" w:rsidR="00211738" w:rsidRPr="00211738" w:rsidRDefault="00211738" w:rsidP="00211738">
            <w:r w:rsidRPr="00211738">
              <w:t>1.000</w:t>
            </w:r>
          </w:p>
        </w:tc>
        <w:tc>
          <w:tcPr>
            <w:tcW w:w="0" w:type="auto"/>
            <w:hideMark/>
          </w:tcPr>
          <w:p w14:paraId="0E0AFDB9" w14:textId="77777777" w:rsidR="00211738" w:rsidRPr="00211738" w:rsidRDefault="00211738" w:rsidP="00211738">
            <w:r w:rsidRPr="00211738">
              <w:t>−.141, .136</w:t>
            </w:r>
          </w:p>
        </w:tc>
      </w:tr>
      <w:tr w:rsidR="00211738" w:rsidRPr="00211738" w14:paraId="298A8E59" w14:textId="77777777" w:rsidTr="00C16F94">
        <w:tc>
          <w:tcPr>
            <w:tcW w:w="0" w:type="auto"/>
            <w:hideMark/>
          </w:tcPr>
          <w:p w14:paraId="5FEEA4BE" w14:textId="77777777" w:rsidR="00211738" w:rsidRPr="00211738" w:rsidRDefault="00211738" w:rsidP="00211738"/>
        </w:tc>
        <w:tc>
          <w:tcPr>
            <w:tcW w:w="0" w:type="auto"/>
            <w:hideMark/>
          </w:tcPr>
          <w:p w14:paraId="613303EF" w14:textId="77777777" w:rsidR="00211738" w:rsidRPr="00211738" w:rsidRDefault="00211738" w:rsidP="00211738">
            <w:proofErr w:type="spellStart"/>
            <w:r w:rsidRPr="00211738">
              <w:t>NonSurg</w:t>
            </w:r>
            <w:proofErr w:type="spellEnd"/>
            <w:r w:rsidRPr="00211738">
              <w:t xml:space="preserve"> KOS-ADL</w:t>
            </w:r>
          </w:p>
        </w:tc>
        <w:tc>
          <w:tcPr>
            <w:tcW w:w="0" w:type="auto"/>
            <w:hideMark/>
          </w:tcPr>
          <w:p w14:paraId="7D2ACBC6" w14:textId="77777777" w:rsidR="00211738" w:rsidRPr="00211738" w:rsidRDefault="00211738" w:rsidP="00211738">
            <w:r w:rsidRPr="00211738">
              <w:t>−.017</w:t>
            </w:r>
          </w:p>
        </w:tc>
        <w:tc>
          <w:tcPr>
            <w:tcW w:w="0" w:type="auto"/>
            <w:hideMark/>
          </w:tcPr>
          <w:p w14:paraId="6DD876F8" w14:textId="77777777" w:rsidR="00211738" w:rsidRPr="00211738" w:rsidRDefault="00211738" w:rsidP="00211738">
            <w:r w:rsidRPr="00211738">
              <w:t>.068</w:t>
            </w:r>
          </w:p>
        </w:tc>
        <w:tc>
          <w:tcPr>
            <w:tcW w:w="0" w:type="auto"/>
            <w:hideMark/>
          </w:tcPr>
          <w:p w14:paraId="2458F4AB" w14:textId="77777777" w:rsidR="00211738" w:rsidRPr="00211738" w:rsidRDefault="00211738" w:rsidP="00211738">
            <w:r w:rsidRPr="00211738">
              <w:t>−.025</w:t>
            </w:r>
          </w:p>
        </w:tc>
        <w:tc>
          <w:tcPr>
            <w:tcW w:w="0" w:type="auto"/>
            <w:hideMark/>
          </w:tcPr>
          <w:p w14:paraId="03AEFF3E" w14:textId="77777777" w:rsidR="00211738" w:rsidRPr="00211738" w:rsidRDefault="00211738" w:rsidP="00211738">
            <w:r w:rsidRPr="00211738">
              <w:t>.00</w:t>
            </w:r>
          </w:p>
        </w:tc>
        <w:tc>
          <w:tcPr>
            <w:tcW w:w="0" w:type="auto"/>
            <w:hideMark/>
          </w:tcPr>
          <w:p w14:paraId="6B82AD0F" w14:textId="77777777" w:rsidR="00211738" w:rsidRPr="00211738" w:rsidRDefault="00211738" w:rsidP="00211738">
            <w:r w:rsidRPr="00211738">
              <w:t>.992</w:t>
            </w:r>
          </w:p>
        </w:tc>
        <w:tc>
          <w:tcPr>
            <w:tcW w:w="0" w:type="auto"/>
            <w:hideMark/>
          </w:tcPr>
          <w:p w14:paraId="0F3619DB" w14:textId="77777777" w:rsidR="00211738" w:rsidRPr="00211738" w:rsidRDefault="00211738" w:rsidP="00211738">
            <w:r w:rsidRPr="00211738">
              <w:t>−.152, .118</w:t>
            </w:r>
          </w:p>
        </w:tc>
      </w:tr>
      <w:tr w:rsidR="00211738" w:rsidRPr="00211738" w14:paraId="7CB9B2CB" w14:textId="77777777" w:rsidTr="00C16F94">
        <w:tc>
          <w:tcPr>
            <w:tcW w:w="0" w:type="auto"/>
            <w:hideMark/>
          </w:tcPr>
          <w:p w14:paraId="4383B11E" w14:textId="77777777" w:rsidR="00211738" w:rsidRPr="00211738" w:rsidRDefault="00211738" w:rsidP="00211738"/>
        </w:tc>
        <w:tc>
          <w:tcPr>
            <w:tcW w:w="0" w:type="auto"/>
            <w:hideMark/>
          </w:tcPr>
          <w:p w14:paraId="2E2E9C00" w14:textId="77777777" w:rsidR="00211738" w:rsidRPr="00211738" w:rsidRDefault="00211738" w:rsidP="00211738">
            <w:r w:rsidRPr="00211738">
              <w:t>Surg MVIC</w:t>
            </w:r>
          </w:p>
        </w:tc>
        <w:tc>
          <w:tcPr>
            <w:tcW w:w="0" w:type="auto"/>
            <w:hideMark/>
          </w:tcPr>
          <w:p w14:paraId="4D236625" w14:textId="77777777" w:rsidR="00211738" w:rsidRPr="00211738" w:rsidRDefault="00211738" w:rsidP="00211738">
            <w:r w:rsidRPr="00211738">
              <w:t>.003</w:t>
            </w:r>
          </w:p>
        </w:tc>
        <w:tc>
          <w:tcPr>
            <w:tcW w:w="0" w:type="auto"/>
            <w:hideMark/>
          </w:tcPr>
          <w:p w14:paraId="6212717B" w14:textId="77777777" w:rsidR="00211738" w:rsidRPr="00211738" w:rsidRDefault="00211738" w:rsidP="00211738">
            <w:r w:rsidRPr="00211738">
              <w:t>.001</w:t>
            </w:r>
          </w:p>
        </w:tc>
        <w:tc>
          <w:tcPr>
            <w:tcW w:w="0" w:type="auto"/>
            <w:hideMark/>
          </w:tcPr>
          <w:p w14:paraId="789865EE" w14:textId="77777777" w:rsidR="00211738" w:rsidRPr="00211738" w:rsidRDefault="00211738" w:rsidP="00211738">
            <w:r w:rsidRPr="00211738">
              <w:t>.245</w:t>
            </w:r>
          </w:p>
        </w:tc>
        <w:tc>
          <w:tcPr>
            <w:tcW w:w="0" w:type="auto"/>
            <w:hideMark/>
          </w:tcPr>
          <w:p w14:paraId="098B4B08" w14:textId="77777777" w:rsidR="00211738" w:rsidRPr="00211738" w:rsidRDefault="00211738" w:rsidP="00211738">
            <w:r w:rsidRPr="00211738">
              <w:t>.04</w:t>
            </w:r>
          </w:p>
        </w:tc>
        <w:tc>
          <w:tcPr>
            <w:tcW w:w="0" w:type="auto"/>
            <w:hideMark/>
          </w:tcPr>
          <w:p w14:paraId="3FCA3737" w14:textId="77777777" w:rsidR="00211738" w:rsidRPr="00211738" w:rsidRDefault="00211738" w:rsidP="00211738">
            <w:r w:rsidRPr="00211738">
              <w:rPr>
                <w:b/>
                <w:bCs/>
              </w:rPr>
              <w:t>.044</w:t>
            </w:r>
            <w:r w:rsidRPr="00211738">
              <w:t> </w:t>
            </w:r>
            <w:hyperlink r:id="rId69" w:anchor="jor24878-tbl2-note-0007_51" w:tooltip="Link to note" w:history="1">
              <w:r w:rsidRPr="00211738">
                <w:rPr>
                  <w:rStyle w:val="Hyperlink"/>
                </w:rPr>
                <w:t>*</w:t>
              </w:r>
            </w:hyperlink>
          </w:p>
        </w:tc>
        <w:tc>
          <w:tcPr>
            <w:tcW w:w="0" w:type="auto"/>
            <w:hideMark/>
          </w:tcPr>
          <w:p w14:paraId="4BB5137E" w14:textId="77777777" w:rsidR="00211738" w:rsidRPr="00211738" w:rsidRDefault="00211738" w:rsidP="00211738">
            <w:r w:rsidRPr="00211738">
              <w:t>.001, .006</w:t>
            </w:r>
          </w:p>
        </w:tc>
      </w:tr>
      <w:tr w:rsidR="00211738" w:rsidRPr="00211738" w14:paraId="180592F8" w14:textId="77777777" w:rsidTr="00C16F94">
        <w:tc>
          <w:tcPr>
            <w:tcW w:w="0" w:type="auto"/>
            <w:hideMark/>
          </w:tcPr>
          <w:p w14:paraId="7B0D16C5" w14:textId="77777777" w:rsidR="00211738" w:rsidRPr="00211738" w:rsidRDefault="00211738" w:rsidP="00211738"/>
        </w:tc>
        <w:tc>
          <w:tcPr>
            <w:tcW w:w="0" w:type="auto"/>
            <w:hideMark/>
          </w:tcPr>
          <w:p w14:paraId="402F7BAD" w14:textId="77777777" w:rsidR="00211738" w:rsidRPr="00211738" w:rsidRDefault="00211738" w:rsidP="00211738">
            <w:proofErr w:type="spellStart"/>
            <w:r w:rsidRPr="00211738">
              <w:t>NonSurg</w:t>
            </w:r>
            <w:proofErr w:type="spellEnd"/>
            <w:r w:rsidRPr="00211738">
              <w:t xml:space="preserve"> MVIC</w:t>
            </w:r>
          </w:p>
        </w:tc>
        <w:tc>
          <w:tcPr>
            <w:tcW w:w="0" w:type="auto"/>
            <w:hideMark/>
          </w:tcPr>
          <w:p w14:paraId="78A87C47" w14:textId="77777777" w:rsidR="00211738" w:rsidRPr="00211738" w:rsidRDefault="00211738" w:rsidP="00211738">
            <w:r w:rsidRPr="00211738">
              <w:t>−.001</w:t>
            </w:r>
          </w:p>
        </w:tc>
        <w:tc>
          <w:tcPr>
            <w:tcW w:w="0" w:type="auto"/>
            <w:hideMark/>
          </w:tcPr>
          <w:p w14:paraId="72B4A73A" w14:textId="77777777" w:rsidR="00211738" w:rsidRPr="00211738" w:rsidRDefault="00211738" w:rsidP="00211738">
            <w:r w:rsidRPr="00211738">
              <w:t>.001</w:t>
            </w:r>
          </w:p>
        </w:tc>
        <w:tc>
          <w:tcPr>
            <w:tcW w:w="0" w:type="auto"/>
            <w:hideMark/>
          </w:tcPr>
          <w:p w14:paraId="17804A98" w14:textId="77777777" w:rsidR="00211738" w:rsidRPr="00211738" w:rsidRDefault="00211738" w:rsidP="00211738">
            <w:r w:rsidRPr="00211738">
              <w:t>−.087</w:t>
            </w:r>
          </w:p>
        </w:tc>
        <w:tc>
          <w:tcPr>
            <w:tcW w:w="0" w:type="auto"/>
            <w:hideMark/>
          </w:tcPr>
          <w:p w14:paraId="2FBA59B3" w14:textId="77777777" w:rsidR="00211738" w:rsidRPr="00211738" w:rsidRDefault="00211738" w:rsidP="00211738">
            <w:r w:rsidRPr="00211738">
              <w:t>.00</w:t>
            </w:r>
          </w:p>
        </w:tc>
        <w:tc>
          <w:tcPr>
            <w:tcW w:w="0" w:type="auto"/>
            <w:hideMark/>
          </w:tcPr>
          <w:p w14:paraId="1B0FEF83" w14:textId="77777777" w:rsidR="00211738" w:rsidRPr="00211738" w:rsidRDefault="00211738" w:rsidP="00211738">
            <w:r w:rsidRPr="00211738">
              <w:t>.788</w:t>
            </w:r>
          </w:p>
        </w:tc>
        <w:tc>
          <w:tcPr>
            <w:tcW w:w="0" w:type="auto"/>
            <w:hideMark/>
          </w:tcPr>
          <w:p w14:paraId="4D643301" w14:textId="77777777" w:rsidR="00211738" w:rsidRPr="00211738" w:rsidRDefault="00211738" w:rsidP="00211738">
            <w:r w:rsidRPr="00211738">
              <w:t>−.003, .001</w:t>
            </w:r>
          </w:p>
        </w:tc>
      </w:tr>
      <w:tr w:rsidR="00211738" w:rsidRPr="00211738" w14:paraId="79209FB4" w14:textId="77777777" w:rsidTr="00C16F94">
        <w:tc>
          <w:tcPr>
            <w:tcW w:w="0" w:type="auto"/>
            <w:hideMark/>
          </w:tcPr>
          <w:p w14:paraId="28E3F343" w14:textId="77777777" w:rsidR="00211738" w:rsidRPr="00211738" w:rsidRDefault="00211738" w:rsidP="00211738"/>
        </w:tc>
        <w:tc>
          <w:tcPr>
            <w:tcW w:w="0" w:type="auto"/>
            <w:hideMark/>
          </w:tcPr>
          <w:p w14:paraId="4BF80989" w14:textId="77777777" w:rsidR="00211738" w:rsidRPr="00211738" w:rsidRDefault="00211738" w:rsidP="00211738">
            <w:r w:rsidRPr="00211738">
              <w:t>Surg VAS</w:t>
            </w:r>
          </w:p>
        </w:tc>
        <w:tc>
          <w:tcPr>
            <w:tcW w:w="0" w:type="auto"/>
            <w:hideMark/>
          </w:tcPr>
          <w:p w14:paraId="0592AF74" w14:textId="77777777" w:rsidR="00211738" w:rsidRPr="00211738" w:rsidRDefault="00211738" w:rsidP="00211738">
            <w:r w:rsidRPr="00211738">
              <w:t>−.003</w:t>
            </w:r>
          </w:p>
        </w:tc>
        <w:tc>
          <w:tcPr>
            <w:tcW w:w="0" w:type="auto"/>
            <w:hideMark/>
          </w:tcPr>
          <w:p w14:paraId="6761B115" w14:textId="77777777" w:rsidR="00211738" w:rsidRPr="00211738" w:rsidRDefault="00211738" w:rsidP="00211738">
            <w:r w:rsidRPr="00211738">
              <w:t>.009</w:t>
            </w:r>
          </w:p>
        </w:tc>
        <w:tc>
          <w:tcPr>
            <w:tcW w:w="0" w:type="auto"/>
            <w:hideMark/>
          </w:tcPr>
          <w:p w14:paraId="29D35875" w14:textId="77777777" w:rsidR="00211738" w:rsidRPr="00211738" w:rsidRDefault="00211738" w:rsidP="00211738">
            <w:r w:rsidRPr="00211738">
              <w:t>−.034</w:t>
            </w:r>
          </w:p>
        </w:tc>
        <w:tc>
          <w:tcPr>
            <w:tcW w:w="0" w:type="auto"/>
            <w:hideMark/>
          </w:tcPr>
          <w:p w14:paraId="2BF55493" w14:textId="77777777" w:rsidR="00211738" w:rsidRPr="00211738" w:rsidRDefault="00211738" w:rsidP="00211738">
            <w:r w:rsidRPr="00211738">
              <w:t>.00</w:t>
            </w:r>
          </w:p>
        </w:tc>
        <w:tc>
          <w:tcPr>
            <w:tcW w:w="0" w:type="auto"/>
            <w:hideMark/>
          </w:tcPr>
          <w:p w14:paraId="7DBA5D98" w14:textId="77777777" w:rsidR="00211738" w:rsidRPr="00211738" w:rsidRDefault="00211738" w:rsidP="00211738">
            <w:r w:rsidRPr="00211738">
              <w:t>.979</w:t>
            </w:r>
          </w:p>
        </w:tc>
        <w:tc>
          <w:tcPr>
            <w:tcW w:w="0" w:type="auto"/>
            <w:hideMark/>
          </w:tcPr>
          <w:p w14:paraId="71A59A62" w14:textId="77777777" w:rsidR="00211738" w:rsidRPr="00211738" w:rsidRDefault="00211738" w:rsidP="00211738">
            <w:r w:rsidRPr="00211738">
              <w:t>−.021, .015</w:t>
            </w:r>
          </w:p>
        </w:tc>
      </w:tr>
      <w:tr w:rsidR="00211738" w:rsidRPr="00211738" w14:paraId="51F09BD3" w14:textId="77777777" w:rsidTr="00C16F94">
        <w:tc>
          <w:tcPr>
            <w:tcW w:w="0" w:type="auto"/>
            <w:hideMark/>
          </w:tcPr>
          <w:p w14:paraId="739BB133" w14:textId="77777777" w:rsidR="00211738" w:rsidRPr="00211738" w:rsidRDefault="00211738" w:rsidP="00211738"/>
        </w:tc>
        <w:tc>
          <w:tcPr>
            <w:tcW w:w="0" w:type="auto"/>
            <w:hideMark/>
          </w:tcPr>
          <w:p w14:paraId="36E9F8A0" w14:textId="77777777" w:rsidR="00211738" w:rsidRPr="00211738" w:rsidRDefault="00211738" w:rsidP="00211738">
            <w:proofErr w:type="spellStart"/>
            <w:r w:rsidRPr="00211738">
              <w:t>NonSurg</w:t>
            </w:r>
            <w:proofErr w:type="spellEnd"/>
            <w:r w:rsidRPr="00211738">
              <w:t xml:space="preserve"> VAS</w:t>
            </w:r>
          </w:p>
        </w:tc>
        <w:tc>
          <w:tcPr>
            <w:tcW w:w="0" w:type="auto"/>
            <w:hideMark/>
          </w:tcPr>
          <w:p w14:paraId="48F3D8C8" w14:textId="77777777" w:rsidR="00211738" w:rsidRPr="00211738" w:rsidRDefault="00211738" w:rsidP="00211738">
            <w:r w:rsidRPr="00211738">
              <w:t>−.002</w:t>
            </w:r>
          </w:p>
        </w:tc>
        <w:tc>
          <w:tcPr>
            <w:tcW w:w="0" w:type="auto"/>
            <w:hideMark/>
          </w:tcPr>
          <w:p w14:paraId="4DD05582" w14:textId="77777777" w:rsidR="00211738" w:rsidRPr="00211738" w:rsidRDefault="00211738" w:rsidP="00211738">
            <w:r w:rsidRPr="00211738">
              <w:t>.007</w:t>
            </w:r>
          </w:p>
        </w:tc>
        <w:tc>
          <w:tcPr>
            <w:tcW w:w="0" w:type="auto"/>
            <w:hideMark/>
          </w:tcPr>
          <w:p w14:paraId="4C6D48CC" w14:textId="77777777" w:rsidR="00211738" w:rsidRPr="00211738" w:rsidRDefault="00211738" w:rsidP="00211738">
            <w:r w:rsidRPr="00211738">
              <w:t>−.023</w:t>
            </w:r>
          </w:p>
        </w:tc>
        <w:tc>
          <w:tcPr>
            <w:tcW w:w="0" w:type="auto"/>
            <w:hideMark/>
          </w:tcPr>
          <w:p w14:paraId="178E9B85" w14:textId="77777777" w:rsidR="00211738" w:rsidRPr="00211738" w:rsidRDefault="00211738" w:rsidP="00211738">
            <w:r w:rsidRPr="00211738">
              <w:t>.00</w:t>
            </w:r>
          </w:p>
        </w:tc>
        <w:tc>
          <w:tcPr>
            <w:tcW w:w="0" w:type="auto"/>
            <w:hideMark/>
          </w:tcPr>
          <w:p w14:paraId="54F0F5E3" w14:textId="77777777" w:rsidR="00211738" w:rsidRPr="00211738" w:rsidRDefault="00211738" w:rsidP="00211738">
            <w:r w:rsidRPr="00211738">
              <w:t>.991</w:t>
            </w:r>
          </w:p>
        </w:tc>
        <w:tc>
          <w:tcPr>
            <w:tcW w:w="0" w:type="auto"/>
            <w:hideMark/>
          </w:tcPr>
          <w:p w14:paraId="3B15E4A0" w14:textId="77777777" w:rsidR="00211738" w:rsidRPr="00211738" w:rsidRDefault="00211738" w:rsidP="00211738">
            <w:r w:rsidRPr="00211738">
              <w:t>−.016, .0123</w:t>
            </w:r>
          </w:p>
        </w:tc>
      </w:tr>
      <w:tr w:rsidR="00211738" w:rsidRPr="00211738" w14:paraId="13209B45" w14:textId="77777777" w:rsidTr="00C16F94">
        <w:tc>
          <w:tcPr>
            <w:tcW w:w="0" w:type="auto"/>
            <w:hideMark/>
          </w:tcPr>
          <w:p w14:paraId="1696D55B" w14:textId="77777777" w:rsidR="00211738" w:rsidRPr="00211738" w:rsidRDefault="00211738" w:rsidP="00211738"/>
        </w:tc>
        <w:tc>
          <w:tcPr>
            <w:tcW w:w="0" w:type="auto"/>
            <w:hideMark/>
          </w:tcPr>
          <w:p w14:paraId="3383C685" w14:textId="77777777" w:rsidR="00211738" w:rsidRPr="00211738" w:rsidRDefault="00211738" w:rsidP="00211738">
            <w:r w:rsidRPr="00211738">
              <w:t>Gait speed</w:t>
            </w:r>
          </w:p>
        </w:tc>
        <w:tc>
          <w:tcPr>
            <w:tcW w:w="0" w:type="auto"/>
            <w:hideMark/>
          </w:tcPr>
          <w:p w14:paraId="6163BA93" w14:textId="77777777" w:rsidR="00211738" w:rsidRPr="00211738" w:rsidRDefault="00211738" w:rsidP="00211738">
            <w:r w:rsidRPr="00211738">
              <w:t>.330</w:t>
            </w:r>
          </w:p>
        </w:tc>
        <w:tc>
          <w:tcPr>
            <w:tcW w:w="0" w:type="auto"/>
            <w:hideMark/>
          </w:tcPr>
          <w:p w14:paraId="49F98693" w14:textId="77777777" w:rsidR="00211738" w:rsidRPr="00211738" w:rsidRDefault="00211738" w:rsidP="00211738">
            <w:r w:rsidRPr="00211738">
              <w:t>.041</w:t>
            </w:r>
          </w:p>
        </w:tc>
        <w:tc>
          <w:tcPr>
            <w:tcW w:w="0" w:type="auto"/>
            <w:hideMark/>
          </w:tcPr>
          <w:p w14:paraId="04AC81D5" w14:textId="77777777" w:rsidR="00211738" w:rsidRPr="00211738" w:rsidRDefault="00211738" w:rsidP="00211738">
            <w:r w:rsidRPr="00211738">
              <w:t>.585</w:t>
            </w:r>
          </w:p>
        </w:tc>
        <w:tc>
          <w:tcPr>
            <w:tcW w:w="0" w:type="auto"/>
            <w:hideMark/>
          </w:tcPr>
          <w:p w14:paraId="68FD8658" w14:textId="77777777" w:rsidR="00211738" w:rsidRPr="00211738" w:rsidRDefault="00211738" w:rsidP="00211738">
            <w:r w:rsidRPr="00211738">
              <w:t>.40</w:t>
            </w:r>
          </w:p>
        </w:tc>
        <w:tc>
          <w:tcPr>
            <w:tcW w:w="0" w:type="auto"/>
            <w:hideMark/>
          </w:tcPr>
          <w:p w14:paraId="6117C020" w14:textId="77777777" w:rsidR="00211738" w:rsidRPr="00211738" w:rsidRDefault="00211738" w:rsidP="00211738">
            <w:r w:rsidRPr="00211738">
              <w:rPr>
                <w:b/>
                <w:bCs/>
              </w:rPr>
              <w:t>.000</w:t>
            </w:r>
            <w:r w:rsidRPr="00211738">
              <w:t> </w:t>
            </w:r>
            <w:hyperlink r:id="rId70" w:anchor="jor24878-tbl2-note-0007_52" w:tooltip="Link to note" w:history="1">
              <w:r w:rsidRPr="00211738">
                <w:rPr>
                  <w:rStyle w:val="Hyperlink"/>
                </w:rPr>
                <w:t>*</w:t>
              </w:r>
            </w:hyperlink>
          </w:p>
        </w:tc>
        <w:tc>
          <w:tcPr>
            <w:tcW w:w="0" w:type="auto"/>
            <w:hideMark/>
          </w:tcPr>
          <w:p w14:paraId="67326384" w14:textId="77777777" w:rsidR="00211738" w:rsidRPr="00211738" w:rsidRDefault="00211738" w:rsidP="00211738">
            <w:r w:rsidRPr="00211738">
              <w:t>.250, .410</w:t>
            </w:r>
          </w:p>
        </w:tc>
      </w:tr>
      <w:tr w:rsidR="00211738" w:rsidRPr="00211738" w14:paraId="5B0FD37C" w14:textId="77777777" w:rsidTr="00C16F94">
        <w:tc>
          <w:tcPr>
            <w:tcW w:w="0" w:type="auto"/>
            <w:hideMark/>
          </w:tcPr>
          <w:p w14:paraId="64F15126" w14:textId="77777777" w:rsidR="00211738" w:rsidRPr="00211738" w:rsidRDefault="00211738" w:rsidP="00211738"/>
        </w:tc>
        <w:tc>
          <w:tcPr>
            <w:tcW w:w="0" w:type="auto"/>
            <w:hideMark/>
          </w:tcPr>
          <w:p w14:paraId="18C309A8" w14:textId="77777777" w:rsidR="00211738" w:rsidRPr="00211738" w:rsidRDefault="00211738" w:rsidP="00211738">
            <w:r w:rsidRPr="00211738">
              <w:t>6MWT</w:t>
            </w:r>
          </w:p>
        </w:tc>
        <w:tc>
          <w:tcPr>
            <w:tcW w:w="0" w:type="auto"/>
            <w:hideMark/>
          </w:tcPr>
          <w:p w14:paraId="0D562642" w14:textId="77777777" w:rsidR="00211738" w:rsidRPr="00211738" w:rsidRDefault="00211738" w:rsidP="00211738">
            <w:r w:rsidRPr="00211738">
              <w:t>.000</w:t>
            </w:r>
          </w:p>
        </w:tc>
        <w:tc>
          <w:tcPr>
            <w:tcW w:w="0" w:type="auto"/>
            <w:hideMark/>
          </w:tcPr>
          <w:p w14:paraId="3D067C9B" w14:textId="77777777" w:rsidR="00211738" w:rsidRPr="00211738" w:rsidRDefault="00211738" w:rsidP="00211738">
            <w:r w:rsidRPr="00211738">
              <w:t>.000</w:t>
            </w:r>
          </w:p>
        </w:tc>
        <w:tc>
          <w:tcPr>
            <w:tcW w:w="0" w:type="auto"/>
            <w:hideMark/>
          </w:tcPr>
          <w:p w14:paraId="3CE71CDA" w14:textId="77777777" w:rsidR="00211738" w:rsidRPr="00211738" w:rsidRDefault="00211738" w:rsidP="00211738">
            <w:r w:rsidRPr="00211738">
              <w:t>.022</w:t>
            </w:r>
          </w:p>
        </w:tc>
        <w:tc>
          <w:tcPr>
            <w:tcW w:w="0" w:type="auto"/>
            <w:hideMark/>
          </w:tcPr>
          <w:p w14:paraId="094AA92C" w14:textId="77777777" w:rsidR="00211738" w:rsidRPr="00211738" w:rsidRDefault="00211738" w:rsidP="00211738">
            <w:r w:rsidRPr="00211738">
              <w:t>.00</w:t>
            </w:r>
          </w:p>
        </w:tc>
        <w:tc>
          <w:tcPr>
            <w:tcW w:w="0" w:type="auto"/>
            <w:hideMark/>
          </w:tcPr>
          <w:p w14:paraId="1048A586" w14:textId="77777777" w:rsidR="00211738" w:rsidRPr="00211738" w:rsidRDefault="00211738" w:rsidP="00211738">
            <w:r w:rsidRPr="00211738">
              <w:t>.996</w:t>
            </w:r>
          </w:p>
        </w:tc>
        <w:tc>
          <w:tcPr>
            <w:tcW w:w="0" w:type="auto"/>
            <w:hideMark/>
          </w:tcPr>
          <w:p w14:paraId="4E02C36C" w14:textId="77777777" w:rsidR="00211738" w:rsidRPr="00211738" w:rsidRDefault="00211738" w:rsidP="00211738">
            <w:r w:rsidRPr="00211738">
              <w:t>−.000, .000</w:t>
            </w:r>
          </w:p>
        </w:tc>
      </w:tr>
      <w:tr w:rsidR="00211738" w:rsidRPr="00211738" w14:paraId="56EA8162" w14:textId="77777777" w:rsidTr="00C16F94">
        <w:tc>
          <w:tcPr>
            <w:tcW w:w="0" w:type="auto"/>
            <w:hideMark/>
          </w:tcPr>
          <w:p w14:paraId="0931204E" w14:textId="77777777" w:rsidR="00211738" w:rsidRPr="00211738" w:rsidRDefault="00211738" w:rsidP="00211738"/>
        </w:tc>
        <w:tc>
          <w:tcPr>
            <w:tcW w:w="0" w:type="auto"/>
            <w:hideMark/>
          </w:tcPr>
          <w:p w14:paraId="3CB10529" w14:textId="77777777" w:rsidR="00211738" w:rsidRPr="00211738" w:rsidRDefault="00211738" w:rsidP="00211738">
            <w:r w:rsidRPr="00211738">
              <w:t>Time</w:t>
            </w:r>
          </w:p>
        </w:tc>
        <w:tc>
          <w:tcPr>
            <w:tcW w:w="0" w:type="auto"/>
            <w:hideMark/>
          </w:tcPr>
          <w:p w14:paraId="6E1FD1E7" w14:textId="77777777" w:rsidR="00211738" w:rsidRPr="00211738" w:rsidRDefault="00211738" w:rsidP="00211738">
            <w:r w:rsidRPr="00211738">
              <w:t>.001</w:t>
            </w:r>
          </w:p>
        </w:tc>
        <w:tc>
          <w:tcPr>
            <w:tcW w:w="0" w:type="auto"/>
            <w:hideMark/>
          </w:tcPr>
          <w:p w14:paraId="55C48D38" w14:textId="77777777" w:rsidR="00211738" w:rsidRPr="00211738" w:rsidRDefault="00211738" w:rsidP="00211738">
            <w:r w:rsidRPr="00211738">
              <w:t>.001</w:t>
            </w:r>
          </w:p>
        </w:tc>
        <w:tc>
          <w:tcPr>
            <w:tcW w:w="0" w:type="auto"/>
            <w:hideMark/>
          </w:tcPr>
          <w:p w14:paraId="706A7262" w14:textId="77777777" w:rsidR="00211738" w:rsidRPr="00211738" w:rsidRDefault="00211738" w:rsidP="00211738">
            <w:r w:rsidRPr="00211738">
              <w:t>.139</w:t>
            </w:r>
          </w:p>
        </w:tc>
        <w:tc>
          <w:tcPr>
            <w:tcW w:w="0" w:type="auto"/>
            <w:hideMark/>
          </w:tcPr>
          <w:p w14:paraId="3EB32006" w14:textId="77777777" w:rsidR="00211738" w:rsidRPr="00211738" w:rsidRDefault="00211738" w:rsidP="00211738">
            <w:r w:rsidRPr="00211738">
              <w:t>.03</w:t>
            </w:r>
          </w:p>
        </w:tc>
        <w:tc>
          <w:tcPr>
            <w:tcW w:w="0" w:type="auto"/>
            <w:hideMark/>
          </w:tcPr>
          <w:p w14:paraId="78E05AEC" w14:textId="77777777" w:rsidR="00211738" w:rsidRPr="00211738" w:rsidRDefault="00211738" w:rsidP="00211738">
            <w:r w:rsidRPr="00211738">
              <w:t>.064</w:t>
            </w:r>
          </w:p>
        </w:tc>
        <w:tc>
          <w:tcPr>
            <w:tcW w:w="0" w:type="auto"/>
            <w:hideMark/>
          </w:tcPr>
          <w:p w14:paraId="520CFA48" w14:textId="77777777" w:rsidR="00211738" w:rsidRPr="00211738" w:rsidRDefault="00211738" w:rsidP="00211738">
            <w:r w:rsidRPr="00211738">
              <w:t>−.000, .002</w:t>
            </w:r>
          </w:p>
        </w:tc>
      </w:tr>
      <w:tr w:rsidR="00C16F94" w:rsidRPr="00211738" w14:paraId="44052702" w14:textId="77777777" w:rsidTr="00C16F94">
        <w:tc>
          <w:tcPr>
            <w:tcW w:w="0" w:type="auto"/>
            <w:hideMark/>
          </w:tcPr>
          <w:p w14:paraId="1B283ACC" w14:textId="77777777" w:rsidR="00C16F94" w:rsidRPr="00211738" w:rsidRDefault="00C16F94" w:rsidP="00211738">
            <w:r w:rsidRPr="00211738">
              <w:t>PKEM (Nm/kg)</w:t>
            </w:r>
          </w:p>
        </w:tc>
        <w:tc>
          <w:tcPr>
            <w:tcW w:w="0" w:type="auto"/>
          </w:tcPr>
          <w:p w14:paraId="716460A6" w14:textId="77777777" w:rsidR="00C16F94" w:rsidRPr="00211738" w:rsidRDefault="00C16F94" w:rsidP="00211738"/>
        </w:tc>
        <w:tc>
          <w:tcPr>
            <w:tcW w:w="0" w:type="auto"/>
          </w:tcPr>
          <w:p w14:paraId="7D7275A6" w14:textId="2708E43A" w:rsidR="00C16F94" w:rsidRPr="00211738" w:rsidRDefault="00C16F94" w:rsidP="00211738"/>
        </w:tc>
        <w:tc>
          <w:tcPr>
            <w:tcW w:w="0" w:type="auto"/>
            <w:hideMark/>
          </w:tcPr>
          <w:p w14:paraId="2B185479" w14:textId="77777777" w:rsidR="00C16F94" w:rsidRPr="00211738" w:rsidRDefault="00C16F94" w:rsidP="00211738"/>
        </w:tc>
        <w:tc>
          <w:tcPr>
            <w:tcW w:w="0" w:type="auto"/>
            <w:hideMark/>
          </w:tcPr>
          <w:p w14:paraId="5F6D6079" w14:textId="77777777" w:rsidR="00C16F94" w:rsidRPr="00211738" w:rsidRDefault="00C16F94" w:rsidP="00211738"/>
        </w:tc>
        <w:tc>
          <w:tcPr>
            <w:tcW w:w="0" w:type="auto"/>
            <w:hideMark/>
          </w:tcPr>
          <w:p w14:paraId="021AFCD8" w14:textId="77777777" w:rsidR="00C16F94" w:rsidRPr="00211738" w:rsidRDefault="00C16F94" w:rsidP="00211738"/>
        </w:tc>
        <w:tc>
          <w:tcPr>
            <w:tcW w:w="0" w:type="auto"/>
            <w:hideMark/>
          </w:tcPr>
          <w:p w14:paraId="606299BF" w14:textId="77777777" w:rsidR="00C16F94" w:rsidRPr="00211738" w:rsidRDefault="00C16F94" w:rsidP="00211738"/>
        </w:tc>
        <w:tc>
          <w:tcPr>
            <w:tcW w:w="0" w:type="auto"/>
            <w:hideMark/>
          </w:tcPr>
          <w:p w14:paraId="41B125D5" w14:textId="77777777" w:rsidR="00C16F94" w:rsidRPr="00211738" w:rsidRDefault="00C16F94" w:rsidP="00211738"/>
        </w:tc>
      </w:tr>
      <w:tr w:rsidR="00211738" w:rsidRPr="00211738" w14:paraId="03F7E984" w14:textId="77777777" w:rsidTr="00C16F94">
        <w:tc>
          <w:tcPr>
            <w:tcW w:w="0" w:type="auto"/>
            <w:hideMark/>
          </w:tcPr>
          <w:p w14:paraId="14B64E46" w14:textId="77777777" w:rsidR="00211738" w:rsidRPr="00211738" w:rsidRDefault="00211738" w:rsidP="00211738"/>
        </w:tc>
        <w:tc>
          <w:tcPr>
            <w:tcW w:w="0" w:type="auto"/>
            <w:hideMark/>
          </w:tcPr>
          <w:p w14:paraId="30E57F0A" w14:textId="77777777" w:rsidR="00211738" w:rsidRPr="00211738" w:rsidRDefault="00211738" w:rsidP="00211738">
            <w:r w:rsidRPr="00211738">
              <w:t>Age</w:t>
            </w:r>
          </w:p>
        </w:tc>
        <w:tc>
          <w:tcPr>
            <w:tcW w:w="0" w:type="auto"/>
            <w:hideMark/>
          </w:tcPr>
          <w:p w14:paraId="6F477188" w14:textId="77777777" w:rsidR="00211738" w:rsidRPr="00211738" w:rsidRDefault="00211738" w:rsidP="00211738">
            <w:r w:rsidRPr="00211738">
              <w:t>.002</w:t>
            </w:r>
          </w:p>
        </w:tc>
        <w:tc>
          <w:tcPr>
            <w:tcW w:w="0" w:type="auto"/>
            <w:hideMark/>
          </w:tcPr>
          <w:p w14:paraId="22DB5283" w14:textId="77777777" w:rsidR="00211738" w:rsidRPr="00211738" w:rsidRDefault="00211738" w:rsidP="00211738">
            <w:r w:rsidRPr="00211738">
              <w:t>.001</w:t>
            </w:r>
          </w:p>
        </w:tc>
        <w:tc>
          <w:tcPr>
            <w:tcW w:w="0" w:type="auto"/>
            <w:hideMark/>
          </w:tcPr>
          <w:p w14:paraId="52F938D7" w14:textId="77777777" w:rsidR="00211738" w:rsidRPr="00211738" w:rsidRDefault="00211738" w:rsidP="00211738">
            <w:r w:rsidRPr="00211738">
              <w:t>.144</w:t>
            </w:r>
          </w:p>
        </w:tc>
        <w:tc>
          <w:tcPr>
            <w:tcW w:w="0" w:type="auto"/>
            <w:hideMark/>
          </w:tcPr>
          <w:p w14:paraId="3E06745C" w14:textId="77777777" w:rsidR="00211738" w:rsidRPr="00211738" w:rsidRDefault="00211738" w:rsidP="00211738">
            <w:r w:rsidRPr="00211738">
              <w:t>.02</w:t>
            </w:r>
          </w:p>
        </w:tc>
        <w:tc>
          <w:tcPr>
            <w:tcW w:w="0" w:type="auto"/>
            <w:hideMark/>
          </w:tcPr>
          <w:p w14:paraId="18AAC89D" w14:textId="77777777" w:rsidR="00211738" w:rsidRPr="00211738" w:rsidRDefault="00211738" w:rsidP="00211738">
            <w:r w:rsidRPr="00211738">
              <w:t>.248</w:t>
            </w:r>
          </w:p>
        </w:tc>
        <w:tc>
          <w:tcPr>
            <w:tcW w:w="0" w:type="auto"/>
            <w:hideMark/>
          </w:tcPr>
          <w:p w14:paraId="6ADEE4AE" w14:textId="77777777" w:rsidR="00211738" w:rsidRPr="00211738" w:rsidRDefault="00211738" w:rsidP="00211738">
            <w:r w:rsidRPr="00211738">
              <w:t>−.000, .005</w:t>
            </w:r>
          </w:p>
        </w:tc>
      </w:tr>
      <w:tr w:rsidR="00211738" w:rsidRPr="00211738" w14:paraId="7258967C" w14:textId="77777777" w:rsidTr="00C16F94">
        <w:tc>
          <w:tcPr>
            <w:tcW w:w="0" w:type="auto"/>
            <w:hideMark/>
          </w:tcPr>
          <w:p w14:paraId="58C61BA2" w14:textId="77777777" w:rsidR="00211738" w:rsidRPr="00211738" w:rsidRDefault="00211738" w:rsidP="00211738"/>
        </w:tc>
        <w:tc>
          <w:tcPr>
            <w:tcW w:w="0" w:type="auto"/>
            <w:hideMark/>
          </w:tcPr>
          <w:p w14:paraId="431EF5E9" w14:textId="77777777" w:rsidR="00211738" w:rsidRPr="00211738" w:rsidRDefault="00211738" w:rsidP="00211738">
            <w:r w:rsidRPr="00211738">
              <w:t>BMI</w:t>
            </w:r>
          </w:p>
        </w:tc>
        <w:tc>
          <w:tcPr>
            <w:tcW w:w="0" w:type="auto"/>
            <w:hideMark/>
          </w:tcPr>
          <w:p w14:paraId="15CCC03E" w14:textId="77777777" w:rsidR="00211738" w:rsidRPr="00211738" w:rsidRDefault="00211738" w:rsidP="00211738">
            <w:r w:rsidRPr="00211738">
              <w:t>−.001</w:t>
            </w:r>
          </w:p>
        </w:tc>
        <w:tc>
          <w:tcPr>
            <w:tcW w:w="0" w:type="auto"/>
            <w:hideMark/>
          </w:tcPr>
          <w:p w14:paraId="6AF7C0C5" w14:textId="77777777" w:rsidR="00211738" w:rsidRPr="00211738" w:rsidRDefault="00211738" w:rsidP="00211738">
            <w:r w:rsidRPr="00211738">
              <w:t>.002</w:t>
            </w:r>
          </w:p>
        </w:tc>
        <w:tc>
          <w:tcPr>
            <w:tcW w:w="0" w:type="auto"/>
            <w:hideMark/>
          </w:tcPr>
          <w:p w14:paraId="3DAB32E3" w14:textId="77777777" w:rsidR="00211738" w:rsidRPr="00211738" w:rsidRDefault="00211738" w:rsidP="00211738">
            <w:r w:rsidRPr="00211738">
              <w:t>−.063</w:t>
            </w:r>
          </w:p>
        </w:tc>
        <w:tc>
          <w:tcPr>
            <w:tcW w:w="0" w:type="auto"/>
            <w:hideMark/>
          </w:tcPr>
          <w:p w14:paraId="6BCC08E7" w14:textId="77777777" w:rsidR="00211738" w:rsidRPr="00211738" w:rsidRDefault="00211738" w:rsidP="00211738">
            <w:r w:rsidRPr="00211738">
              <w:t>.00</w:t>
            </w:r>
          </w:p>
        </w:tc>
        <w:tc>
          <w:tcPr>
            <w:tcW w:w="0" w:type="auto"/>
            <w:hideMark/>
          </w:tcPr>
          <w:p w14:paraId="0D7E68FA" w14:textId="77777777" w:rsidR="00211738" w:rsidRPr="00211738" w:rsidRDefault="00211738" w:rsidP="00211738">
            <w:r w:rsidRPr="00211738">
              <w:t>.869</w:t>
            </w:r>
          </w:p>
        </w:tc>
        <w:tc>
          <w:tcPr>
            <w:tcW w:w="0" w:type="auto"/>
            <w:hideMark/>
          </w:tcPr>
          <w:p w14:paraId="458DF764" w14:textId="77777777" w:rsidR="00211738" w:rsidRPr="00211738" w:rsidRDefault="00211738" w:rsidP="00211738">
            <w:r w:rsidRPr="00211738">
              <w:t>−.005, .002</w:t>
            </w:r>
          </w:p>
        </w:tc>
      </w:tr>
      <w:tr w:rsidR="00211738" w:rsidRPr="00211738" w14:paraId="74F38B3D" w14:textId="77777777" w:rsidTr="00C16F94">
        <w:tc>
          <w:tcPr>
            <w:tcW w:w="0" w:type="auto"/>
            <w:hideMark/>
          </w:tcPr>
          <w:p w14:paraId="4B92071C" w14:textId="77777777" w:rsidR="00211738" w:rsidRPr="00211738" w:rsidRDefault="00211738" w:rsidP="00211738"/>
        </w:tc>
        <w:tc>
          <w:tcPr>
            <w:tcW w:w="0" w:type="auto"/>
            <w:hideMark/>
          </w:tcPr>
          <w:p w14:paraId="3C27A4F3" w14:textId="77777777" w:rsidR="00211738" w:rsidRPr="00211738" w:rsidRDefault="00211738" w:rsidP="00211738">
            <w:r w:rsidRPr="00211738">
              <w:t>Sex</w:t>
            </w:r>
          </w:p>
        </w:tc>
        <w:tc>
          <w:tcPr>
            <w:tcW w:w="0" w:type="auto"/>
            <w:hideMark/>
          </w:tcPr>
          <w:p w14:paraId="57EFC7B5" w14:textId="77777777" w:rsidR="00211738" w:rsidRPr="00211738" w:rsidRDefault="00211738" w:rsidP="00211738">
            <w:r w:rsidRPr="00211738">
              <w:t>.017</w:t>
            </w:r>
          </w:p>
        </w:tc>
        <w:tc>
          <w:tcPr>
            <w:tcW w:w="0" w:type="auto"/>
            <w:hideMark/>
          </w:tcPr>
          <w:p w14:paraId="24CD44E5" w14:textId="77777777" w:rsidR="00211738" w:rsidRPr="00211738" w:rsidRDefault="00211738" w:rsidP="00211738">
            <w:r w:rsidRPr="00211738">
              <w:t>.023</w:t>
            </w:r>
          </w:p>
        </w:tc>
        <w:tc>
          <w:tcPr>
            <w:tcW w:w="0" w:type="auto"/>
            <w:hideMark/>
          </w:tcPr>
          <w:p w14:paraId="71D8CC5F" w14:textId="77777777" w:rsidR="00211738" w:rsidRPr="00211738" w:rsidRDefault="00211738" w:rsidP="00211738">
            <w:r w:rsidRPr="00211738">
              <w:t>.064</w:t>
            </w:r>
          </w:p>
        </w:tc>
        <w:tc>
          <w:tcPr>
            <w:tcW w:w="0" w:type="auto"/>
            <w:hideMark/>
          </w:tcPr>
          <w:p w14:paraId="252547C8" w14:textId="77777777" w:rsidR="00211738" w:rsidRPr="00211738" w:rsidRDefault="00211738" w:rsidP="00211738">
            <w:r w:rsidRPr="00211738">
              <w:t>.00</w:t>
            </w:r>
          </w:p>
        </w:tc>
        <w:tc>
          <w:tcPr>
            <w:tcW w:w="0" w:type="auto"/>
            <w:hideMark/>
          </w:tcPr>
          <w:p w14:paraId="223F9375" w14:textId="77777777" w:rsidR="00211738" w:rsidRPr="00211738" w:rsidRDefault="00211738" w:rsidP="00211738">
            <w:r w:rsidRPr="00211738">
              <w:t>.889</w:t>
            </w:r>
          </w:p>
        </w:tc>
        <w:tc>
          <w:tcPr>
            <w:tcW w:w="0" w:type="auto"/>
            <w:hideMark/>
          </w:tcPr>
          <w:p w14:paraId="7C08B423" w14:textId="77777777" w:rsidR="00211738" w:rsidRPr="00211738" w:rsidRDefault="00211738" w:rsidP="00211738">
            <w:r w:rsidRPr="00211738">
              <w:t>−.029, .063</w:t>
            </w:r>
          </w:p>
        </w:tc>
      </w:tr>
      <w:tr w:rsidR="00211738" w:rsidRPr="00211738" w14:paraId="154595EB" w14:textId="77777777" w:rsidTr="00C16F94">
        <w:tc>
          <w:tcPr>
            <w:tcW w:w="0" w:type="auto"/>
            <w:hideMark/>
          </w:tcPr>
          <w:p w14:paraId="3E318BFC" w14:textId="77777777" w:rsidR="00211738" w:rsidRPr="00211738" w:rsidRDefault="00211738" w:rsidP="00211738"/>
        </w:tc>
        <w:tc>
          <w:tcPr>
            <w:tcW w:w="0" w:type="auto"/>
            <w:hideMark/>
          </w:tcPr>
          <w:p w14:paraId="0DD420E3" w14:textId="77777777" w:rsidR="00211738" w:rsidRPr="00211738" w:rsidRDefault="00211738" w:rsidP="00211738">
            <w:r w:rsidRPr="00211738">
              <w:t>Surg KOS-ADL</w:t>
            </w:r>
          </w:p>
        </w:tc>
        <w:tc>
          <w:tcPr>
            <w:tcW w:w="0" w:type="auto"/>
            <w:hideMark/>
          </w:tcPr>
          <w:p w14:paraId="1DFE4BE1" w14:textId="77777777" w:rsidR="00211738" w:rsidRPr="00211738" w:rsidRDefault="00211738" w:rsidP="00211738">
            <w:r w:rsidRPr="00211738">
              <w:t>−.007</w:t>
            </w:r>
          </w:p>
        </w:tc>
        <w:tc>
          <w:tcPr>
            <w:tcW w:w="0" w:type="auto"/>
            <w:hideMark/>
          </w:tcPr>
          <w:p w14:paraId="3FB1BF0B" w14:textId="77777777" w:rsidR="00211738" w:rsidRPr="00211738" w:rsidRDefault="00211738" w:rsidP="00211738">
            <w:r w:rsidRPr="00211738">
              <w:t>.125</w:t>
            </w:r>
          </w:p>
        </w:tc>
        <w:tc>
          <w:tcPr>
            <w:tcW w:w="0" w:type="auto"/>
            <w:hideMark/>
          </w:tcPr>
          <w:p w14:paraId="20FAEDB4" w14:textId="77777777" w:rsidR="00211738" w:rsidRPr="00211738" w:rsidRDefault="00211738" w:rsidP="00211738">
            <w:r w:rsidRPr="00211738">
              <w:t>−.008</w:t>
            </w:r>
          </w:p>
        </w:tc>
        <w:tc>
          <w:tcPr>
            <w:tcW w:w="0" w:type="auto"/>
            <w:hideMark/>
          </w:tcPr>
          <w:p w14:paraId="557DCAA9" w14:textId="77777777" w:rsidR="00211738" w:rsidRPr="00211738" w:rsidRDefault="00211738" w:rsidP="00211738">
            <w:r w:rsidRPr="00211738">
              <w:t>.00</w:t>
            </w:r>
          </w:p>
        </w:tc>
        <w:tc>
          <w:tcPr>
            <w:tcW w:w="0" w:type="auto"/>
            <w:hideMark/>
          </w:tcPr>
          <w:p w14:paraId="55D49F0B" w14:textId="77777777" w:rsidR="00211738" w:rsidRPr="00211738" w:rsidRDefault="00211738" w:rsidP="00211738">
            <w:r w:rsidRPr="00211738">
              <w:t>1.000</w:t>
            </w:r>
          </w:p>
        </w:tc>
        <w:tc>
          <w:tcPr>
            <w:tcW w:w="0" w:type="auto"/>
            <w:hideMark/>
          </w:tcPr>
          <w:p w14:paraId="58E6472E" w14:textId="77777777" w:rsidR="00211738" w:rsidRPr="00211738" w:rsidRDefault="00211738" w:rsidP="00211738">
            <w:r w:rsidRPr="00211738">
              <w:t>−.256, .240</w:t>
            </w:r>
          </w:p>
        </w:tc>
      </w:tr>
      <w:tr w:rsidR="00211738" w:rsidRPr="00211738" w14:paraId="7284512B" w14:textId="77777777" w:rsidTr="00C16F94">
        <w:tc>
          <w:tcPr>
            <w:tcW w:w="0" w:type="auto"/>
            <w:hideMark/>
          </w:tcPr>
          <w:p w14:paraId="2995028F" w14:textId="77777777" w:rsidR="00211738" w:rsidRPr="00211738" w:rsidRDefault="00211738" w:rsidP="00211738"/>
        </w:tc>
        <w:tc>
          <w:tcPr>
            <w:tcW w:w="0" w:type="auto"/>
            <w:hideMark/>
          </w:tcPr>
          <w:p w14:paraId="548FE58A" w14:textId="77777777" w:rsidR="00211738" w:rsidRPr="00211738" w:rsidRDefault="00211738" w:rsidP="00211738">
            <w:proofErr w:type="spellStart"/>
            <w:r w:rsidRPr="00211738">
              <w:t>NonSurg</w:t>
            </w:r>
            <w:proofErr w:type="spellEnd"/>
            <w:r w:rsidRPr="00211738">
              <w:t xml:space="preserve"> KOS-ADL</w:t>
            </w:r>
          </w:p>
        </w:tc>
        <w:tc>
          <w:tcPr>
            <w:tcW w:w="0" w:type="auto"/>
            <w:hideMark/>
          </w:tcPr>
          <w:p w14:paraId="2F65C4D0" w14:textId="77777777" w:rsidR="00211738" w:rsidRPr="00211738" w:rsidRDefault="00211738" w:rsidP="00211738">
            <w:r w:rsidRPr="00211738">
              <w:t>−.039</w:t>
            </w:r>
          </w:p>
        </w:tc>
        <w:tc>
          <w:tcPr>
            <w:tcW w:w="0" w:type="auto"/>
            <w:hideMark/>
          </w:tcPr>
          <w:p w14:paraId="6E3C25B1" w14:textId="77777777" w:rsidR="00211738" w:rsidRPr="00211738" w:rsidRDefault="00211738" w:rsidP="00211738">
            <w:r w:rsidRPr="00211738">
              <w:t>.122</w:t>
            </w:r>
          </w:p>
        </w:tc>
        <w:tc>
          <w:tcPr>
            <w:tcW w:w="0" w:type="auto"/>
            <w:hideMark/>
          </w:tcPr>
          <w:p w14:paraId="147EF81B" w14:textId="77777777" w:rsidR="00211738" w:rsidRPr="00211738" w:rsidRDefault="00211738" w:rsidP="00211738">
            <w:r w:rsidRPr="00211738">
              <w:t>−.039</w:t>
            </w:r>
          </w:p>
        </w:tc>
        <w:tc>
          <w:tcPr>
            <w:tcW w:w="0" w:type="auto"/>
            <w:hideMark/>
          </w:tcPr>
          <w:p w14:paraId="6600E093" w14:textId="77777777" w:rsidR="00211738" w:rsidRPr="00211738" w:rsidRDefault="00211738" w:rsidP="00211738">
            <w:r w:rsidRPr="00211738">
              <w:t>.00</w:t>
            </w:r>
          </w:p>
        </w:tc>
        <w:tc>
          <w:tcPr>
            <w:tcW w:w="0" w:type="auto"/>
            <w:hideMark/>
          </w:tcPr>
          <w:p w14:paraId="4AB44D28" w14:textId="77777777" w:rsidR="00211738" w:rsidRPr="00211738" w:rsidRDefault="00211738" w:rsidP="00211738">
            <w:r w:rsidRPr="00211738">
              <w:t>.991</w:t>
            </w:r>
          </w:p>
        </w:tc>
        <w:tc>
          <w:tcPr>
            <w:tcW w:w="0" w:type="auto"/>
            <w:hideMark/>
          </w:tcPr>
          <w:p w14:paraId="0200C4A3" w14:textId="77777777" w:rsidR="00211738" w:rsidRPr="00211738" w:rsidRDefault="00211738" w:rsidP="00211738">
            <w:r w:rsidRPr="00211738">
              <w:t>−.280, .202</w:t>
            </w:r>
          </w:p>
        </w:tc>
      </w:tr>
      <w:tr w:rsidR="00211738" w:rsidRPr="00211738" w14:paraId="31727385" w14:textId="77777777" w:rsidTr="00C16F94">
        <w:tc>
          <w:tcPr>
            <w:tcW w:w="0" w:type="auto"/>
            <w:hideMark/>
          </w:tcPr>
          <w:p w14:paraId="592AC20D" w14:textId="77777777" w:rsidR="00211738" w:rsidRPr="00211738" w:rsidRDefault="00211738" w:rsidP="00211738"/>
        </w:tc>
        <w:tc>
          <w:tcPr>
            <w:tcW w:w="0" w:type="auto"/>
            <w:hideMark/>
          </w:tcPr>
          <w:p w14:paraId="58635EFD" w14:textId="77777777" w:rsidR="00211738" w:rsidRPr="00211738" w:rsidRDefault="00211738" w:rsidP="00211738">
            <w:r w:rsidRPr="00211738">
              <w:t>Surg MVIC</w:t>
            </w:r>
          </w:p>
        </w:tc>
        <w:tc>
          <w:tcPr>
            <w:tcW w:w="0" w:type="auto"/>
            <w:hideMark/>
          </w:tcPr>
          <w:p w14:paraId="773FE9D2" w14:textId="77777777" w:rsidR="00211738" w:rsidRPr="00211738" w:rsidRDefault="00211738" w:rsidP="00211738">
            <w:r w:rsidRPr="00211738">
              <w:t>.005</w:t>
            </w:r>
          </w:p>
        </w:tc>
        <w:tc>
          <w:tcPr>
            <w:tcW w:w="0" w:type="auto"/>
            <w:hideMark/>
          </w:tcPr>
          <w:p w14:paraId="69FA1C4A" w14:textId="77777777" w:rsidR="00211738" w:rsidRPr="00211738" w:rsidRDefault="00211738" w:rsidP="00211738">
            <w:r w:rsidRPr="00211738">
              <w:t>.002</w:t>
            </w:r>
          </w:p>
        </w:tc>
        <w:tc>
          <w:tcPr>
            <w:tcW w:w="0" w:type="auto"/>
            <w:hideMark/>
          </w:tcPr>
          <w:p w14:paraId="3B1C3E97" w14:textId="77777777" w:rsidR="00211738" w:rsidRPr="00211738" w:rsidRDefault="00211738" w:rsidP="00211738">
            <w:r w:rsidRPr="00211738">
              <w:t>.283</w:t>
            </w:r>
          </w:p>
        </w:tc>
        <w:tc>
          <w:tcPr>
            <w:tcW w:w="0" w:type="auto"/>
            <w:hideMark/>
          </w:tcPr>
          <w:p w14:paraId="4599FC6C" w14:textId="77777777" w:rsidR="00211738" w:rsidRPr="00211738" w:rsidRDefault="00211738" w:rsidP="00211738">
            <w:r w:rsidRPr="00211738">
              <w:t>.04</w:t>
            </w:r>
          </w:p>
        </w:tc>
        <w:tc>
          <w:tcPr>
            <w:tcW w:w="0" w:type="auto"/>
            <w:hideMark/>
          </w:tcPr>
          <w:p w14:paraId="3F75A5B5" w14:textId="77777777" w:rsidR="00211738" w:rsidRPr="00211738" w:rsidRDefault="00211738" w:rsidP="00211738">
            <w:r w:rsidRPr="00211738">
              <w:rPr>
                <w:b/>
                <w:bCs/>
              </w:rPr>
              <w:t>.049</w:t>
            </w:r>
            <w:r w:rsidRPr="00211738">
              <w:t> </w:t>
            </w:r>
            <w:hyperlink r:id="rId71" w:anchor="jor24878-tbl2-note-0007_53" w:tooltip="Link to note" w:history="1">
              <w:r w:rsidRPr="00211738">
                <w:rPr>
                  <w:rStyle w:val="Hyperlink"/>
                </w:rPr>
                <w:t>*</w:t>
              </w:r>
            </w:hyperlink>
          </w:p>
        </w:tc>
        <w:tc>
          <w:tcPr>
            <w:tcW w:w="0" w:type="auto"/>
            <w:hideMark/>
          </w:tcPr>
          <w:p w14:paraId="1F62EEDE" w14:textId="77777777" w:rsidR="00211738" w:rsidRPr="00211738" w:rsidRDefault="00211738" w:rsidP="00211738">
            <w:r w:rsidRPr="00211738">
              <w:t>.001, .009</w:t>
            </w:r>
          </w:p>
        </w:tc>
      </w:tr>
      <w:tr w:rsidR="00211738" w:rsidRPr="00211738" w14:paraId="4D929C88" w14:textId="77777777" w:rsidTr="00C16F94">
        <w:tc>
          <w:tcPr>
            <w:tcW w:w="0" w:type="auto"/>
            <w:hideMark/>
          </w:tcPr>
          <w:p w14:paraId="0EC689FD" w14:textId="77777777" w:rsidR="00211738" w:rsidRPr="00211738" w:rsidRDefault="00211738" w:rsidP="00211738"/>
        </w:tc>
        <w:tc>
          <w:tcPr>
            <w:tcW w:w="0" w:type="auto"/>
            <w:hideMark/>
          </w:tcPr>
          <w:p w14:paraId="71A86C20" w14:textId="77777777" w:rsidR="00211738" w:rsidRPr="00211738" w:rsidRDefault="00211738" w:rsidP="00211738">
            <w:proofErr w:type="spellStart"/>
            <w:r w:rsidRPr="00211738">
              <w:t>NonSurg</w:t>
            </w:r>
            <w:proofErr w:type="spellEnd"/>
            <w:r w:rsidRPr="00211738">
              <w:t xml:space="preserve"> MVIC</w:t>
            </w:r>
          </w:p>
        </w:tc>
        <w:tc>
          <w:tcPr>
            <w:tcW w:w="0" w:type="auto"/>
            <w:hideMark/>
          </w:tcPr>
          <w:p w14:paraId="6548F0D3" w14:textId="77777777" w:rsidR="00211738" w:rsidRPr="00211738" w:rsidRDefault="00211738" w:rsidP="00211738">
            <w:r w:rsidRPr="00211738">
              <w:t>−.003</w:t>
            </w:r>
          </w:p>
        </w:tc>
        <w:tc>
          <w:tcPr>
            <w:tcW w:w="0" w:type="auto"/>
            <w:hideMark/>
          </w:tcPr>
          <w:p w14:paraId="3A4BA964" w14:textId="77777777" w:rsidR="00211738" w:rsidRPr="00211738" w:rsidRDefault="00211738" w:rsidP="00211738">
            <w:r w:rsidRPr="00211738">
              <w:t>.002</w:t>
            </w:r>
          </w:p>
        </w:tc>
        <w:tc>
          <w:tcPr>
            <w:tcW w:w="0" w:type="auto"/>
            <w:hideMark/>
          </w:tcPr>
          <w:p w14:paraId="03AE39E6" w14:textId="77777777" w:rsidR="00211738" w:rsidRPr="00211738" w:rsidRDefault="00211738" w:rsidP="00211738">
            <w:r w:rsidRPr="00211738">
              <w:t>−.190</w:t>
            </w:r>
          </w:p>
        </w:tc>
        <w:tc>
          <w:tcPr>
            <w:tcW w:w="0" w:type="auto"/>
            <w:hideMark/>
          </w:tcPr>
          <w:p w14:paraId="4DEFD47E" w14:textId="77777777" w:rsidR="00211738" w:rsidRPr="00211738" w:rsidRDefault="00211738" w:rsidP="00211738">
            <w:r w:rsidRPr="00211738">
              <w:t>.01</w:t>
            </w:r>
          </w:p>
        </w:tc>
        <w:tc>
          <w:tcPr>
            <w:tcW w:w="0" w:type="auto"/>
            <w:hideMark/>
          </w:tcPr>
          <w:p w14:paraId="04B7B880" w14:textId="77777777" w:rsidR="00211738" w:rsidRPr="00211738" w:rsidRDefault="00211738" w:rsidP="00211738">
            <w:r w:rsidRPr="00211738">
              <w:t>.392</w:t>
            </w:r>
          </w:p>
        </w:tc>
        <w:tc>
          <w:tcPr>
            <w:tcW w:w="0" w:type="auto"/>
            <w:hideMark/>
          </w:tcPr>
          <w:p w14:paraId="172DA7FF" w14:textId="77777777" w:rsidR="00211738" w:rsidRPr="00211738" w:rsidRDefault="00211738" w:rsidP="00211738">
            <w:r w:rsidRPr="00211738">
              <w:t>−.007, .001</w:t>
            </w:r>
          </w:p>
        </w:tc>
      </w:tr>
      <w:tr w:rsidR="00211738" w:rsidRPr="00211738" w14:paraId="709FB1CE" w14:textId="77777777" w:rsidTr="00C16F94">
        <w:tc>
          <w:tcPr>
            <w:tcW w:w="0" w:type="auto"/>
            <w:hideMark/>
          </w:tcPr>
          <w:p w14:paraId="0C8BDE68" w14:textId="77777777" w:rsidR="00211738" w:rsidRPr="00211738" w:rsidRDefault="00211738" w:rsidP="00211738"/>
        </w:tc>
        <w:tc>
          <w:tcPr>
            <w:tcW w:w="0" w:type="auto"/>
            <w:hideMark/>
          </w:tcPr>
          <w:p w14:paraId="6CDFFCD1" w14:textId="77777777" w:rsidR="00211738" w:rsidRPr="00211738" w:rsidRDefault="00211738" w:rsidP="00211738">
            <w:r w:rsidRPr="00211738">
              <w:t>Surg VAS</w:t>
            </w:r>
          </w:p>
        </w:tc>
        <w:tc>
          <w:tcPr>
            <w:tcW w:w="0" w:type="auto"/>
            <w:hideMark/>
          </w:tcPr>
          <w:p w14:paraId="67F2D13D" w14:textId="77777777" w:rsidR="00211738" w:rsidRPr="00211738" w:rsidRDefault="00211738" w:rsidP="00211738">
            <w:r w:rsidRPr="00211738">
              <w:t>.002</w:t>
            </w:r>
          </w:p>
        </w:tc>
        <w:tc>
          <w:tcPr>
            <w:tcW w:w="0" w:type="auto"/>
            <w:hideMark/>
          </w:tcPr>
          <w:p w14:paraId="6951FFFA" w14:textId="77777777" w:rsidR="00211738" w:rsidRPr="00211738" w:rsidRDefault="00211738" w:rsidP="00211738">
            <w:r w:rsidRPr="00211738">
              <w:t>.016</w:t>
            </w:r>
          </w:p>
        </w:tc>
        <w:tc>
          <w:tcPr>
            <w:tcW w:w="0" w:type="auto"/>
            <w:hideMark/>
          </w:tcPr>
          <w:p w14:paraId="09D60C77" w14:textId="77777777" w:rsidR="00211738" w:rsidRPr="00211738" w:rsidRDefault="00211738" w:rsidP="00211738">
            <w:r w:rsidRPr="00211738">
              <w:t>.018</w:t>
            </w:r>
          </w:p>
        </w:tc>
        <w:tc>
          <w:tcPr>
            <w:tcW w:w="0" w:type="auto"/>
            <w:hideMark/>
          </w:tcPr>
          <w:p w14:paraId="73A8E142" w14:textId="77777777" w:rsidR="00211738" w:rsidRPr="00211738" w:rsidRDefault="00211738" w:rsidP="00211738">
            <w:r w:rsidRPr="00211738">
              <w:t>.00</w:t>
            </w:r>
          </w:p>
        </w:tc>
        <w:tc>
          <w:tcPr>
            <w:tcW w:w="0" w:type="auto"/>
            <w:hideMark/>
          </w:tcPr>
          <w:p w14:paraId="30D68B60" w14:textId="77777777" w:rsidR="00211738" w:rsidRPr="00211738" w:rsidRDefault="00211738" w:rsidP="00211738">
            <w:r w:rsidRPr="00211738">
              <w:t>.999</w:t>
            </w:r>
          </w:p>
        </w:tc>
        <w:tc>
          <w:tcPr>
            <w:tcW w:w="0" w:type="auto"/>
            <w:hideMark/>
          </w:tcPr>
          <w:p w14:paraId="31ADB905" w14:textId="77777777" w:rsidR="00211738" w:rsidRPr="00211738" w:rsidRDefault="00211738" w:rsidP="00211738">
            <w:r w:rsidRPr="00211738">
              <w:t>−.029, .035</w:t>
            </w:r>
          </w:p>
        </w:tc>
      </w:tr>
      <w:tr w:rsidR="00211738" w:rsidRPr="00211738" w14:paraId="33932699" w14:textId="77777777" w:rsidTr="00C16F94">
        <w:tc>
          <w:tcPr>
            <w:tcW w:w="0" w:type="auto"/>
            <w:hideMark/>
          </w:tcPr>
          <w:p w14:paraId="3975267F" w14:textId="77777777" w:rsidR="00211738" w:rsidRPr="00211738" w:rsidRDefault="00211738" w:rsidP="00211738"/>
        </w:tc>
        <w:tc>
          <w:tcPr>
            <w:tcW w:w="0" w:type="auto"/>
            <w:hideMark/>
          </w:tcPr>
          <w:p w14:paraId="5E5296F3" w14:textId="77777777" w:rsidR="00211738" w:rsidRPr="00211738" w:rsidRDefault="00211738" w:rsidP="00211738">
            <w:proofErr w:type="spellStart"/>
            <w:r w:rsidRPr="00211738">
              <w:t>NonSurg</w:t>
            </w:r>
            <w:proofErr w:type="spellEnd"/>
            <w:r w:rsidRPr="00211738">
              <w:t xml:space="preserve"> VAS</w:t>
            </w:r>
          </w:p>
        </w:tc>
        <w:tc>
          <w:tcPr>
            <w:tcW w:w="0" w:type="auto"/>
            <w:hideMark/>
          </w:tcPr>
          <w:p w14:paraId="2175C6B0" w14:textId="77777777" w:rsidR="00211738" w:rsidRPr="00211738" w:rsidRDefault="00211738" w:rsidP="00211738">
            <w:r w:rsidRPr="00211738">
              <w:t>−.011</w:t>
            </w:r>
          </w:p>
        </w:tc>
        <w:tc>
          <w:tcPr>
            <w:tcW w:w="0" w:type="auto"/>
            <w:hideMark/>
          </w:tcPr>
          <w:p w14:paraId="3E5422AF" w14:textId="77777777" w:rsidR="00211738" w:rsidRPr="00211738" w:rsidRDefault="00211738" w:rsidP="00211738">
            <w:r w:rsidRPr="00211738">
              <w:t>.013</w:t>
            </w:r>
          </w:p>
        </w:tc>
        <w:tc>
          <w:tcPr>
            <w:tcW w:w="0" w:type="auto"/>
            <w:hideMark/>
          </w:tcPr>
          <w:p w14:paraId="3CC357C2" w14:textId="77777777" w:rsidR="00211738" w:rsidRPr="00211738" w:rsidRDefault="00211738" w:rsidP="00211738">
            <w:r w:rsidRPr="00211738">
              <w:t>−.088</w:t>
            </w:r>
          </w:p>
        </w:tc>
        <w:tc>
          <w:tcPr>
            <w:tcW w:w="0" w:type="auto"/>
            <w:hideMark/>
          </w:tcPr>
          <w:p w14:paraId="2D0A928E" w14:textId="77777777" w:rsidR="00211738" w:rsidRPr="00211738" w:rsidRDefault="00211738" w:rsidP="00211738">
            <w:r w:rsidRPr="00211738">
              <w:t>.00</w:t>
            </w:r>
          </w:p>
        </w:tc>
        <w:tc>
          <w:tcPr>
            <w:tcW w:w="0" w:type="auto"/>
            <w:hideMark/>
          </w:tcPr>
          <w:p w14:paraId="09A52CB4" w14:textId="77777777" w:rsidR="00211738" w:rsidRPr="00211738" w:rsidRDefault="00211738" w:rsidP="00211738">
            <w:r w:rsidRPr="00211738">
              <w:t>.831</w:t>
            </w:r>
          </w:p>
        </w:tc>
        <w:tc>
          <w:tcPr>
            <w:tcW w:w="0" w:type="auto"/>
            <w:hideMark/>
          </w:tcPr>
          <w:p w14:paraId="20B0A413" w14:textId="77777777" w:rsidR="00211738" w:rsidRPr="00211738" w:rsidRDefault="00211738" w:rsidP="00211738">
            <w:r w:rsidRPr="00211738">
              <w:t>−.037, .015</w:t>
            </w:r>
          </w:p>
        </w:tc>
      </w:tr>
      <w:tr w:rsidR="00211738" w:rsidRPr="00211738" w14:paraId="1E5D0780" w14:textId="77777777" w:rsidTr="00C16F94">
        <w:tc>
          <w:tcPr>
            <w:tcW w:w="0" w:type="auto"/>
            <w:hideMark/>
          </w:tcPr>
          <w:p w14:paraId="2F3C902D" w14:textId="77777777" w:rsidR="00211738" w:rsidRPr="00211738" w:rsidRDefault="00211738" w:rsidP="00211738"/>
        </w:tc>
        <w:tc>
          <w:tcPr>
            <w:tcW w:w="0" w:type="auto"/>
            <w:hideMark/>
          </w:tcPr>
          <w:p w14:paraId="4173EAF6" w14:textId="77777777" w:rsidR="00211738" w:rsidRPr="00211738" w:rsidRDefault="00211738" w:rsidP="00211738">
            <w:r w:rsidRPr="00211738">
              <w:t>Gait speed</w:t>
            </w:r>
          </w:p>
        </w:tc>
        <w:tc>
          <w:tcPr>
            <w:tcW w:w="0" w:type="auto"/>
            <w:hideMark/>
          </w:tcPr>
          <w:p w14:paraId="1709A654" w14:textId="77777777" w:rsidR="00211738" w:rsidRPr="00211738" w:rsidRDefault="00211738" w:rsidP="00211738">
            <w:r w:rsidRPr="00211738">
              <w:t>.387</w:t>
            </w:r>
          </w:p>
        </w:tc>
        <w:tc>
          <w:tcPr>
            <w:tcW w:w="0" w:type="auto"/>
            <w:hideMark/>
          </w:tcPr>
          <w:p w14:paraId="683E9884" w14:textId="77777777" w:rsidR="00211738" w:rsidRPr="00211738" w:rsidRDefault="00211738" w:rsidP="00211738">
            <w:r w:rsidRPr="00211738">
              <w:t>.069</w:t>
            </w:r>
          </w:p>
        </w:tc>
        <w:tc>
          <w:tcPr>
            <w:tcW w:w="0" w:type="auto"/>
            <w:hideMark/>
          </w:tcPr>
          <w:p w14:paraId="446DDC0A" w14:textId="77777777" w:rsidR="00211738" w:rsidRPr="00211738" w:rsidRDefault="00211738" w:rsidP="00211738">
            <w:r w:rsidRPr="00211738">
              <w:t>.481</w:t>
            </w:r>
          </w:p>
        </w:tc>
        <w:tc>
          <w:tcPr>
            <w:tcW w:w="0" w:type="auto"/>
            <w:hideMark/>
          </w:tcPr>
          <w:p w14:paraId="459F4E8A" w14:textId="77777777" w:rsidR="00211738" w:rsidRPr="00211738" w:rsidRDefault="00211738" w:rsidP="00211738">
            <w:r w:rsidRPr="00211738">
              <w:t>.19</w:t>
            </w:r>
          </w:p>
        </w:tc>
        <w:tc>
          <w:tcPr>
            <w:tcW w:w="0" w:type="auto"/>
            <w:hideMark/>
          </w:tcPr>
          <w:p w14:paraId="0B94D4FC" w14:textId="77777777" w:rsidR="00211738" w:rsidRPr="00211738" w:rsidRDefault="00211738" w:rsidP="00211738">
            <w:r w:rsidRPr="00211738">
              <w:rPr>
                <w:b/>
                <w:bCs/>
              </w:rPr>
              <w:t>.000</w:t>
            </w:r>
            <w:r w:rsidRPr="00211738">
              <w:t> </w:t>
            </w:r>
            <w:hyperlink r:id="rId72" w:anchor="jor24878-tbl2-note-0007_54" w:tooltip="Link to note" w:history="1">
              <w:r w:rsidRPr="00211738">
                <w:rPr>
                  <w:rStyle w:val="Hyperlink"/>
                </w:rPr>
                <w:t>*</w:t>
              </w:r>
            </w:hyperlink>
          </w:p>
        </w:tc>
        <w:tc>
          <w:tcPr>
            <w:tcW w:w="0" w:type="auto"/>
            <w:hideMark/>
          </w:tcPr>
          <w:p w14:paraId="67BB7AA5" w14:textId="77777777" w:rsidR="00211738" w:rsidRPr="00211738" w:rsidRDefault="00211738" w:rsidP="00211738">
            <w:r w:rsidRPr="00211738">
              <w:t>.250, .524</w:t>
            </w:r>
          </w:p>
        </w:tc>
      </w:tr>
      <w:tr w:rsidR="00211738" w:rsidRPr="00211738" w14:paraId="3359B854" w14:textId="77777777" w:rsidTr="00C16F94">
        <w:tc>
          <w:tcPr>
            <w:tcW w:w="0" w:type="auto"/>
            <w:hideMark/>
          </w:tcPr>
          <w:p w14:paraId="71F58121" w14:textId="77777777" w:rsidR="00211738" w:rsidRPr="00211738" w:rsidRDefault="00211738" w:rsidP="00211738"/>
        </w:tc>
        <w:tc>
          <w:tcPr>
            <w:tcW w:w="0" w:type="auto"/>
            <w:hideMark/>
          </w:tcPr>
          <w:p w14:paraId="7267C1B3" w14:textId="77777777" w:rsidR="00211738" w:rsidRPr="00211738" w:rsidRDefault="00211738" w:rsidP="00211738">
            <w:r w:rsidRPr="00211738">
              <w:t>6MWT</w:t>
            </w:r>
          </w:p>
        </w:tc>
        <w:tc>
          <w:tcPr>
            <w:tcW w:w="0" w:type="auto"/>
            <w:hideMark/>
          </w:tcPr>
          <w:p w14:paraId="117EF3D4" w14:textId="77777777" w:rsidR="00211738" w:rsidRPr="00211738" w:rsidRDefault="00211738" w:rsidP="00211738">
            <w:r w:rsidRPr="00211738">
              <w:t>.001</w:t>
            </w:r>
          </w:p>
        </w:tc>
        <w:tc>
          <w:tcPr>
            <w:tcW w:w="0" w:type="auto"/>
            <w:hideMark/>
          </w:tcPr>
          <w:p w14:paraId="4E5CD2F9" w14:textId="77777777" w:rsidR="00211738" w:rsidRPr="00211738" w:rsidRDefault="00211738" w:rsidP="00211738">
            <w:r w:rsidRPr="00211738">
              <w:t>.001</w:t>
            </w:r>
          </w:p>
        </w:tc>
        <w:tc>
          <w:tcPr>
            <w:tcW w:w="0" w:type="auto"/>
            <w:hideMark/>
          </w:tcPr>
          <w:p w14:paraId="5A1674D2" w14:textId="77777777" w:rsidR="00211738" w:rsidRPr="00211738" w:rsidRDefault="00211738" w:rsidP="00211738">
            <w:r w:rsidRPr="00211738">
              <w:t>−.027</w:t>
            </w:r>
          </w:p>
        </w:tc>
        <w:tc>
          <w:tcPr>
            <w:tcW w:w="0" w:type="auto"/>
            <w:hideMark/>
          </w:tcPr>
          <w:p w14:paraId="2A8C7861" w14:textId="77777777" w:rsidR="00211738" w:rsidRPr="00211738" w:rsidRDefault="00211738" w:rsidP="00211738">
            <w:r w:rsidRPr="00211738">
              <w:t>.00</w:t>
            </w:r>
          </w:p>
        </w:tc>
        <w:tc>
          <w:tcPr>
            <w:tcW w:w="0" w:type="auto"/>
            <w:hideMark/>
          </w:tcPr>
          <w:p w14:paraId="69F2DDC7" w14:textId="77777777" w:rsidR="00211738" w:rsidRPr="00211738" w:rsidRDefault="00211738" w:rsidP="00211738">
            <w:r w:rsidRPr="00211738">
              <w:t>.996</w:t>
            </w:r>
          </w:p>
        </w:tc>
        <w:tc>
          <w:tcPr>
            <w:tcW w:w="0" w:type="auto"/>
            <w:hideMark/>
          </w:tcPr>
          <w:p w14:paraId="25331281" w14:textId="77777777" w:rsidR="00211738" w:rsidRPr="00211738" w:rsidRDefault="00211738" w:rsidP="00211738">
            <w:r w:rsidRPr="00211738">
              <w:t>−.000, .000</w:t>
            </w:r>
          </w:p>
        </w:tc>
      </w:tr>
      <w:tr w:rsidR="00211738" w:rsidRPr="00211738" w14:paraId="5E096656" w14:textId="77777777" w:rsidTr="00C16F94">
        <w:tc>
          <w:tcPr>
            <w:tcW w:w="0" w:type="auto"/>
            <w:hideMark/>
          </w:tcPr>
          <w:p w14:paraId="140143B6" w14:textId="77777777" w:rsidR="00211738" w:rsidRPr="00211738" w:rsidRDefault="00211738" w:rsidP="00211738"/>
        </w:tc>
        <w:tc>
          <w:tcPr>
            <w:tcW w:w="0" w:type="auto"/>
            <w:hideMark/>
          </w:tcPr>
          <w:p w14:paraId="0F8F64C0" w14:textId="77777777" w:rsidR="00211738" w:rsidRPr="00211738" w:rsidRDefault="00211738" w:rsidP="00211738">
            <w:r w:rsidRPr="00211738">
              <w:t>Time</w:t>
            </w:r>
          </w:p>
        </w:tc>
        <w:tc>
          <w:tcPr>
            <w:tcW w:w="0" w:type="auto"/>
            <w:hideMark/>
          </w:tcPr>
          <w:p w14:paraId="0B18E61B" w14:textId="77777777" w:rsidR="00211738" w:rsidRPr="00211738" w:rsidRDefault="00211738" w:rsidP="00211738">
            <w:r w:rsidRPr="00211738">
              <w:t>−.245</w:t>
            </w:r>
          </w:p>
        </w:tc>
        <w:tc>
          <w:tcPr>
            <w:tcW w:w="0" w:type="auto"/>
            <w:hideMark/>
          </w:tcPr>
          <w:p w14:paraId="554050CE" w14:textId="77777777" w:rsidR="00211738" w:rsidRPr="00211738" w:rsidRDefault="00211738" w:rsidP="00211738">
            <w:r w:rsidRPr="00211738">
              <w:t>.236</w:t>
            </w:r>
          </w:p>
        </w:tc>
        <w:tc>
          <w:tcPr>
            <w:tcW w:w="0" w:type="auto"/>
            <w:hideMark/>
          </w:tcPr>
          <w:p w14:paraId="1F68D51E" w14:textId="77777777" w:rsidR="00211738" w:rsidRPr="00211738" w:rsidRDefault="00211738" w:rsidP="00211738">
            <w:r w:rsidRPr="00211738">
              <w:t>.043</w:t>
            </w:r>
          </w:p>
        </w:tc>
        <w:tc>
          <w:tcPr>
            <w:tcW w:w="0" w:type="auto"/>
            <w:hideMark/>
          </w:tcPr>
          <w:p w14:paraId="13C4910E" w14:textId="77777777" w:rsidR="00211738" w:rsidRPr="00211738" w:rsidRDefault="00211738" w:rsidP="00211738">
            <w:r w:rsidRPr="00211738">
              <w:t>.03</w:t>
            </w:r>
          </w:p>
        </w:tc>
        <w:tc>
          <w:tcPr>
            <w:tcW w:w="0" w:type="auto"/>
            <w:hideMark/>
          </w:tcPr>
          <w:p w14:paraId="76FD7F8E" w14:textId="77777777" w:rsidR="00211738" w:rsidRPr="00211738" w:rsidRDefault="00211738" w:rsidP="00211738">
            <w:r w:rsidRPr="00211738">
              <w:t>.934</w:t>
            </w:r>
          </w:p>
        </w:tc>
        <w:tc>
          <w:tcPr>
            <w:tcW w:w="0" w:type="auto"/>
            <w:hideMark/>
          </w:tcPr>
          <w:p w14:paraId="761350A3" w14:textId="77777777" w:rsidR="00211738" w:rsidRPr="00211738" w:rsidRDefault="00211738" w:rsidP="00211738">
            <w:r w:rsidRPr="00211738">
              <w:t>−.001, .002</w:t>
            </w:r>
          </w:p>
        </w:tc>
      </w:tr>
      <w:tr w:rsidR="00C16F94" w:rsidRPr="00211738" w14:paraId="03243007" w14:textId="77777777" w:rsidTr="00C16F94">
        <w:tc>
          <w:tcPr>
            <w:tcW w:w="0" w:type="auto"/>
            <w:hideMark/>
          </w:tcPr>
          <w:p w14:paraId="4634B91A" w14:textId="77777777" w:rsidR="00C16F94" w:rsidRPr="00211738" w:rsidRDefault="00C16F94" w:rsidP="00211738">
            <w:r w:rsidRPr="00211738">
              <w:t>PKAM (Nm/kg)</w:t>
            </w:r>
          </w:p>
        </w:tc>
        <w:tc>
          <w:tcPr>
            <w:tcW w:w="0" w:type="auto"/>
          </w:tcPr>
          <w:p w14:paraId="6FADF987" w14:textId="77777777" w:rsidR="00C16F94" w:rsidRPr="00211738" w:rsidRDefault="00C16F94" w:rsidP="00211738"/>
        </w:tc>
        <w:tc>
          <w:tcPr>
            <w:tcW w:w="0" w:type="auto"/>
          </w:tcPr>
          <w:p w14:paraId="29A7EB74" w14:textId="421BF938" w:rsidR="00C16F94" w:rsidRPr="00211738" w:rsidRDefault="00C16F94" w:rsidP="00211738"/>
        </w:tc>
        <w:tc>
          <w:tcPr>
            <w:tcW w:w="0" w:type="auto"/>
            <w:hideMark/>
          </w:tcPr>
          <w:p w14:paraId="2A007E6F" w14:textId="77777777" w:rsidR="00C16F94" w:rsidRPr="00211738" w:rsidRDefault="00C16F94" w:rsidP="00211738"/>
        </w:tc>
        <w:tc>
          <w:tcPr>
            <w:tcW w:w="0" w:type="auto"/>
            <w:hideMark/>
          </w:tcPr>
          <w:p w14:paraId="6FFF3220" w14:textId="77777777" w:rsidR="00C16F94" w:rsidRPr="00211738" w:rsidRDefault="00C16F94" w:rsidP="00211738"/>
        </w:tc>
        <w:tc>
          <w:tcPr>
            <w:tcW w:w="0" w:type="auto"/>
            <w:hideMark/>
          </w:tcPr>
          <w:p w14:paraId="2C32F29B" w14:textId="77777777" w:rsidR="00C16F94" w:rsidRPr="00211738" w:rsidRDefault="00C16F94" w:rsidP="00211738"/>
        </w:tc>
        <w:tc>
          <w:tcPr>
            <w:tcW w:w="0" w:type="auto"/>
            <w:hideMark/>
          </w:tcPr>
          <w:p w14:paraId="3991FD40" w14:textId="77777777" w:rsidR="00C16F94" w:rsidRPr="00211738" w:rsidRDefault="00C16F94" w:rsidP="00211738"/>
        </w:tc>
        <w:tc>
          <w:tcPr>
            <w:tcW w:w="0" w:type="auto"/>
            <w:hideMark/>
          </w:tcPr>
          <w:p w14:paraId="30AD4B08" w14:textId="77777777" w:rsidR="00C16F94" w:rsidRPr="00211738" w:rsidRDefault="00C16F94" w:rsidP="00211738"/>
        </w:tc>
      </w:tr>
      <w:tr w:rsidR="00211738" w:rsidRPr="00211738" w14:paraId="6D52FFA5" w14:textId="77777777" w:rsidTr="00C16F94">
        <w:tc>
          <w:tcPr>
            <w:tcW w:w="0" w:type="auto"/>
            <w:hideMark/>
          </w:tcPr>
          <w:p w14:paraId="1E531FE9" w14:textId="77777777" w:rsidR="00211738" w:rsidRPr="00211738" w:rsidRDefault="00211738" w:rsidP="00211738"/>
        </w:tc>
        <w:tc>
          <w:tcPr>
            <w:tcW w:w="0" w:type="auto"/>
            <w:hideMark/>
          </w:tcPr>
          <w:p w14:paraId="75FBFD4B" w14:textId="77777777" w:rsidR="00211738" w:rsidRPr="00211738" w:rsidRDefault="00211738" w:rsidP="00211738">
            <w:r w:rsidRPr="00211738">
              <w:t>Age</w:t>
            </w:r>
          </w:p>
        </w:tc>
        <w:tc>
          <w:tcPr>
            <w:tcW w:w="0" w:type="auto"/>
            <w:hideMark/>
          </w:tcPr>
          <w:p w14:paraId="5F311A4F" w14:textId="77777777" w:rsidR="00211738" w:rsidRPr="00211738" w:rsidRDefault="00211738" w:rsidP="00211738">
            <w:r w:rsidRPr="00211738">
              <w:t>−.002</w:t>
            </w:r>
          </w:p>
        </w:tc>
        <w:tc>
          <w:tcPr>
            <w:tcW w:w="0" w:type="auto"/>
            <w:hideMark/>
          </w:tcPr>
          <w:p w14:paraId="79CB3079" w14:textId="77777777" w:rsidR="00211738" w:rsidRPr="00211738" w:rsidRDefault="00211738" w:rsidP="00211738">
            <w:r w:rsidRPr="00211738">
              <w:t>.001</w:t>
            </w:r>
          </w:p>
        </w:tc>
        <w:tc>
          <w:tcPr>
            <w:tcW w:w="0" w:type="auto"/>
            <w:hideMark/>
          </w:tcPr>
          <w:p w14:paraId="030F81C1" w14:textId="77777777" w:rsidR="00211738" w:rsidRPr="00211738" w:rsidRDefault="00211738" w:rsidP="00211738">
            <w:r w:rsidRPr="00211738">
              <w:t>−.151</w:t>
            </w:r>
          </w:p>
        </w:tc>
        <w:tc>
          <w:tcPr>
            <w:tcW w:w="0" w:type="auto"/>
            <w:hideMark/>
          </w:tcPr>
          <w:p w14:paraId="04F17CE5" w14:textId="77777777" w:rsidR="00211738" w:rsidRPr="00211738" w:rsidRDefault="00211738" w:rsidP="00211738">
            <w:r w:rsidRPr="00211738">
              <w:t>.02</w:t>
            </w:r>
          </w:p>
        </w:tc>
        <w:tc>
          <w:tcPr>
            <w:tcW w:w="0" w:type="auto"/>
            <w:hideMark/>
          </w:tcPr>
          <w:p w14:paraId="3F50FE03" w14:textId="77777777" w:rsidR="00211738" w:rsidRPr="00211738" w:rsidRDefault="00211738" w:rsidP="00211738">
            <w:r w:rsidRPr="00211738">
              <w:t>.287</w:t>
            </w:r>
          </w:p>
        </w:tc>
        <w:tc>
          <w:tcPr>
            <w:tcW w:w="0" w:type="auto"/>
            <w:hideMark/>
          </w:tcPr>
          <w:p w14:paraId="212D98FE" w14:textId="77777777" w:rsidR="00211738" w:rsidRPr="00211738" w:rsidRDefault="00211738" w:rsidP="00211738">
            <w:r w:rsidRPr="00211738">
              <w:t>−.004, .000</w:t>
            </w:r>
          </w:p>
        </w:tc>
      </w:tr>
      <w:tr w:rsidR="00211738" w:rsidRPr="00211738" w14:paraId="1BC2FB5D" w14:textId="77777777" w:rsidTr="00C16F94">
        <w:tc>
          <w:tcPr>
            <w:tcW w:w="0" w:type="auto"/>
            <w:hideMark/>
          </w:tcPr>
          <w:p w14:paraId="24263FB3" w14:textId="77777777" w:rsidR="00211738" w:rsidRPr="00211738" w:rsidRDefault="00211738" w:rsidP="00211738"/>
        </w:tc>
        <w:tc>
          <w:tcPr>
            <w:tcW w:w="0" w:type="auto"/>
            <w:hideMark/>
          </w:tcPr>
          <w:p w14:paraId="6A667916" w14:textId="77777777" w:rsidR="00211738" w:rsidRPr="00211738" w:rsidRDefault="00211738" w:rsidP="00211738">
            <w:r w:rsidRPr="00211738">
              <w:t>BMI</w:t>
            </w:r>
          </w:p>
        </w:tc>
        <w:tc>
          <w:tcPr>
            <w:tcW w:w="0" w:type="auto"/>
            <w:hideMark/>
          </w:tcPr>
          <w:p w14:paraId="784030A2" w14:textId="77777777" w:rsidR="00211738" w:rsidRPr="00211738" w:rsidRDefault="00211738" w:rsidP="00211738">
            <w:r w:rsidRPr="00211738">
              <w:t>−.002</w:t>
            </w:r>
          </w:p>
        </w:tc>
        <w:tc>
          <w:tcPr>
            <w:tcW w:w="0" w:type="auto"/>
            <w:hideMark/>
          </w:tcPr>
          <w:p w14:paraId="5196A96B" w14:textId="77777777" w:rsidR="00211738" w:rsidRPr="00211738" w:rsidRDefault="00211738" w:rsidP="00211738">
            <w:r w:rsidRPr="00211738">
              <w:t>.002</w:t>
            </w:r>
          </w:p>
        </w:tc>
        <w:tc>
          <w:tcPr>
            <w:tcW w:w="0" w:type="auto"/>
            <w:hideMark/>
          </w:tcPr>
          <w:p w14:paraId="1BEE3D5F" w14:textId="77777777" w:rsidR="00211738" w:rsidRPr="00211738" w:rsidRDefault="00211738" w:rsidP="00211738">
            <w:r w:rsidRPr="00211738">
              <w:t>−.112</w:t>
            </w:r>
          </w:p>
        </w:tc>
        <w:tc>
          <w:tcPr>
            <w:tcW w:w="0" w:type="auto"/>
            <w:hideMark/>
          </w:tcPr>
          <w:p w14:paraId="1DB534A3" w14:textId="77777777" w:rsidR="00211738" w:rsidRPr="00211738" w:rsidRDefault="00211738" w:rsidP="00211738">
            <w:r w:rsidRPr="00211738">
              <w:t>.01</w:t>
            </w:r>
          </w:p>
        </w:tc>
        <w:tc>
          <w:tcPr>
            <w:tcW w:w="0" w:type="auto"/>
            <w:hideMark/>
          </w:tcPr>
          <w:p w14:paraId="4BB123DC" w14:textId="77777777" w:rsidR="00211738" w:rsidRPr="00211738" w:rsidRDefault="00211738" w:rsidP="00211738">
            <w:r w:rsidRPr="00211738">
              <w:t>.564</w:t>
            </w:r>
          </w:p>
        </w:tc>
        <w:tc>
          <w:tcPr>
            <w:tcW w:w="0" w:type="auto"/>
            <w:hideMark/>
          </w:tcPr>
          <w:p w14:paraId="65B9962C" w14:textId="77777777" w:rsidR="00211738" w:rsidRPr="00211738" w:rsidRDefault="00211738" w:rsidP="00211738">
            <w:r w:rsidRPr="00211738">
              <w:t>−.005, .001</w:t>
            </w:r>
          </w:p>
        </w:tc>
      </w:tr>
      <w:tr w:rsidR="00211738" w:rsidRPr="00211738" w14:paraId="45093DBB" w14:textId="77777777" w:rsidTr="00C16F94">
        <w:tc>
          <w:tcPr>
            <w:tcW w:w="0" w:type="auto"/>
            <w:hideMark/>
          </w:tcPr>
          <w:p w14:paraId="2231EF69" w14:textId="77777777" w:rsidR="00211738" w:rsidRPr="00211738" w:rsidRDefault="00211738" w:rsidP="00211738"/>
        </w:tc>
        <w:tc>
          <w:tcPr>
            <w:tcW w:w="0" w:type="auto"/>
            <w:hideMark/>
          </w:tcPr>
          <w:p w14:paraId="70BA53B4" w14:textId="77777777" w:rsidR="00211738" w:rsidRPr="00211738" w:rsidRDefault="00211738" w:rsidP="00211738">
            <w:r w:rsidRPr="00211738">
              <w:t>Sex</w:t>
            </w:r>
          </w:p>
        </w:tc>
        <w:tc>
          <w:tcPr>
            <w:tcW w:w="0" w:type="auto"/>
            <w:hideMark/>
          </w:tcPr>
          <w:p w14:paraId="372A01F3" w14:textId="77777777" w:rsidR="00211738" w:rsidRPr="00211738" w:rsidRDefault="00211738" w:rsidP="00211738">
            <w:r w:rsidRPr="00211738">
              <w:t>−.006</w:t>
            </w:r>
          </w:p>
        </w:tc>
        <w:tc>
          <w:tcPr>
            <w:tcW w:w="0" w:type="auto"/>
            <w:hideMark/>
          </w:tcPr>
          <w:p w14:paraId="61998DEF" w14:textId="77777777" w:rsidR="00211738" w:rsidRPr="00211738" w:rsidRDefault="00211738" w:rsidP="00211738">
            <w:r w:rsidRPr="00211738">
              <w:t>.019</w:t>
            </w:r>
          </w:p>
        </w:tc>
        <w:tc>
          <w:tcPr>
            <w:tcW w:w="0" w:type="auto"/>
            <w:hideMark/>
          </w:tcPr>
          <w:p w14:paraId="5AE6EEAD" w14:textId="77777777" w:rsidR="00211738" w:rsidRPr="00211738" w:rsidRDefault="00211738" w:rsidP="00211738">
            <w:r w:rsidRPr="00211738">
              <w:t>−.027</w:t>
            </w:r>
          </w:p>
        </w:tc>
        <w:tc>
          <w:tcPr>
            <w:tcW w:w="0" w:type="auto"/>
            <w:hideMark/>
          </w:tcPr>
          <w:p w14:paraId="685F4F6B" w14:textId="77777777" w:rsidR="00211738" w:rsidRPr="00211738" w:rsidRDefault="00211738" w:rsidP="00211738">
            <w:r w:rsidRPr="00211738">
              <w:t>.00</w:t>
            </w:r>
          </w:p>
        </w:tc>
        <w:tc>
          <w:tcPr>
            <w:tcW w:w="0" w:type="auto"/>
            <w:hideMark/>
          </w:tcPr>
          <w:p w14:paraId="2B769D48" w14:textId="77777777" w:rsidR="00211738" w:rsidRPr="00211738" w:rsidRDefault="00211738" w:rsidP="00211738">
            <w:r w:rsidRPr="00211738">
              <w:t>.994</w:t>
            </w:r>
          </w:p>
        </w:tc>
        <w:tc>
          <w:tcPr>
            <w:tcW w:w="0" w:type="auto"/>
            <w:hideMark/>
          </w:tcPr>
          <w:p w14:paraId="007C8BBB" w14:textId="77777777" w:rsidR="00211738" w:rsidRPr="00211738" w:rsidRDefault="00211738" w:rsidP="00211738">
            <w:r w:rsidRPr="00211738">
              <w:t>−.044, .033</w:t>
            </w:r>
          </w:p>
        </w:tc>
      </w:tr>
      <w:tr w:rsidR="00211738" w:rsidRPr="00211738" w14:paraId="47B44702" w14:textId="77777777" w:rsidTr="00C16F94">
        <w:tc>
          <w:tcPr>
            <w:tcW w:w="0" w:type="auto"/>
            <w:hideMark/>
          </w:tcPr>
          <w:p w14:paraId="0E91FCA4" w14:textId="77777777" w:rsidR="00211738" w:rsidRPr="00211738" w:rsidRDefault="00211738" w:rsidP="00211738"/>
        </w:tc>
        <w:tc>
          <w:tcPr>
            <w:tcW w:w="0" w:type="auto"/>
            <w:hideMark/>
          </w:tcPr>
          <w:p w14:paraId="1195C605" w14:textId="77777777" w:rsidR="00211738" w:rsidRPr="00211738" w:rsidRDefault="00211738" w:rsidP="00211738">
            <w:r w:rsidRPr="00211738">
              <w:t>Surg KOS-ADL</w:t>
            </w:r>
          </w:p>
        </w:tc>
        <w:tc>
          <w:tcPr>
            <w:tcW w:w="0" w:type="auto"/>
            <w:hideMark/>
          </w:tcPr>
          <w:p w14:paraId="39DA6843" w14:textId="77777777" w:rsidR="00211738" w:rsidRPr="00211738" w:rsidRDefault="00211738" w:rsidP="00211738">
            <w:r w:rsidRPr="00211738">
              <w:t>−.096</w:t>
            </w:r>
          </w:p>
        </w:tc>
        <w:tc>
          <w:tcPr>
            <w:tcW w:w="0" w:type="auto"/>
            <w:hideMark/>
          </w:tcPr>
          <w:p w14:paraId="0ADE9FE5" w14:textId="77777777" w:rsidR="00211738" w:rsidRPr="00211738" w:rsidRDefault="00211738" w:rsidP="00211738">
            <w:r w:rsidRPr="00211738">
              <w:t>.105</w:t>
            </w:r>
          </w:p>
        </w:tc>
        <w:tc>
          <w:tcPr>
            <w:tcW w:w="0" w:type="auto"/>
            <w:hideMark/>
          </w:tcPr>
          <w:p w14:paraId="19A8C798" w14:textId="77777777" w:rsidR="00211738" w:rsidRPr="00211738" w:rsidRDefault="00211738" w:rsidP="00211738">
            <w:r w:rsidRPr="00211738">
              <w:t>−.129</w:t>
            </w:r>
          </w:p>
        </w:tc>
        <w:tc>
          <w:tcPr>
            <w:tcW w:w="0" w:type="auto"/>
            <w:hideMark/>
          </w:tcPr>
          <w:p w14:paraId="7AFDDCEB" w14:textId="77777777" w:rsidR="00211738" w:rsidRPr="00211738" w:rsidRDefault="00211738" w:rsidP="00211738">
            <w:r w:rsidRPr="00211738">
              <w:t>.00</w:t>
            </w:r>
          </w:p>
        </w:tc>
        <w:tc>
          <w:tcPr>
            <w:tcW w:w="0" w:type="auto"/>
            <w:hideMark/>
          </w:tcPr>
          <w:p w14:paraId="7811273E" w14:textId="77777777" w:rsidR="00211738" w:rsidRPr="00211738" w:rsidRDefault="00211738" w:rsidP="00211738">
            <w:r w:rsidRPr="00211738">
              <w:t>.790</w:t>
            </w:r>
          </w:p>
        </w:tc>
        <w:tc>
          <w:tcPr>
            <w:tcW w:w="0" w:type="auto"/>
            <w:hideMark/>
          </w:tcPr>
          <w:p w14:paraId="451B69BD" w14:textId="77777777" w:rsidR="00211738" w:rsidRPr="00211738" w:rsidRDefault="00211738" w:rsidP="00211738">
            <w:r w:rsidRPr="00211738">
              <w:t>−.305, .112</w:t>
            </w:r>
          </w:p>
        </w:tc>
      </w:tr>
      <w:tr w:rsidR="00211738" w:rsidRPr="00211738" w14:paraId="2907F8C6" w14:textId="77777777" w:rsidTr="00C16F94">
        <w:tc>
          <w:tcPr>
            <w:tcW w:w="0" w:type="auto"/>
            <w:hideMark/>
          </w:tcPr>
          <w:p w14:paraId="6A14FF46" w14:textId="77777777" w:rsidR="00211738" w:rsidRPr="00211738" w:rsidRDefault="00211738" w:rsidP="00211738"/>
        </w:tc>
        <w:tc>
          <w:tcPr>
            <w:tcW w:w="0" w:type="auto"/>
            <w:hideMark/>
          </w:tcPr>
          <w:p w14:paraId="429221AE" w14:textId="77777777" w:rsidR="00211738" w:rsidRPr="00211738" w:rsidRDefault="00211738" w:rsidP="00211738">
            <w:proofErr w:type="spellStart"/>
            <w:r w:rsidRPr="00211738">
              <w:t>NonSurg</w:t>
            </w:r>
            <w:proofErr w:type="spellEnd"/>
            <w:r w:rsidRPr="00211738">
              <w:t xml:space="preserve"> KOS-ADL</w:t>
            </w:r>
          </w:p>
        </w:tc>
        <w:tc>
          <w:tcPr>
            <w:tcW w:w="0" w:type="auto"/>
            <w:hideMark/>
          </w:tcPr>
          <w:p w14:paraId="7B22F6B6" w14:textId="77777777" w:rsidR="00211738" w:rsidRPr="00211738" w:rsidRDefault="00211738" w:rsidP="00211738">
            <w:r w:rsidRPr="00211738">
              <w:t>−.005</w:t>
            </w:r>
          </w:p>
        </w:tc>
        <w:tc>
          <w:tcPr>
            <w:tcW w:w="0" w:type="auto"/>
            <w:hideMark/>
          </w:tcPr>
          <w:p w14:paraId="075F908B" w14:textId="77777777" w:rsidR="00211738" w:rsidRPr="00211738" w:rsidRDefault="00211738" w:rsidP="00211738">
            <w:r w:rsidRPr="00211738">
              <w:t>.102</w:t>
            </w:r>
          </w:p>
        </w:tc>
        <w:tc>
          <w:tcPr>
            <w:tcW w:w="0" w:type="auto"/>
            <w:hideMark/>
          </w:tcPr>
          <w:p w14:paraId="7838D1AD" w14:textId="77777777" w:rsidR="00211738" w:rsidRPr="00211738" w:rsidRDefault="00211738" w:rsidP="00211738">
            <w:r w:rsidRPr="00211738">
              <w:t>.008</w:t>
            </w:r>
          </w:p>
        </w:tc>
        <w:tc>
          <w:tcPr>
            <w:tcW w:w="0" w:type="auto"/>
            <w:hideMark/>
          </w:tcPr>
          <w:p w14:paraId="36D0C7FE" w14:textId="77777777" w:rsidR="00211738" w:rsidRPr="00211738" w:rsidRDefault="00211738" w:rsidP="00211738">
            <w:r w:rsidRPr="00211738">
              <w:t>.00</w:t>
            </w:r>
          </w:p>
        </w:tc>
        <w:tc>
          <w:tcPr>
            <w:tcW w:w="0" w:type="auto"/>
            <w:hideMark/>
          </w:tcPr>
          <w:p w14:paraId="029535B7" w14:textId="77777777" w:rsidR="00211738" w:rsidRPr="00211738" w:rsidRDefault="00211738" w:rsidP="00211738">
            <w:r w:rsidRPr="00211738">
              <w:t>1.000</w:t>
            </w:r>
          </w:p>
        </w:tc>
        <w:tc>
          <w:tcPr>
            <w:tcW w:w="0" w:type="auto"/>
            <w:hideMark/>
          </w:tcPr>
          <w:p w14:paraId="313A6A2C" w14:textId="77777777" w:rsidR="00211738" w:rsidRPr="00211738" w:rsidRDefault="00211738" w:rsidP="00211738">
            <w:r w:rsidRPr="00211738">
              <w:t>−.209, .197</w:t>
            </w:r>
          </w:p>
        </w:tc>
      </w:tr>
      <w:tr w:rsidR="00211738" w:rsidRPr="00211738" w14:paraId="39290D04" w14:textId="77777777" w:rsidTr="00C16F94">
        <w:tc>
          <w:tcPr>
            <w:tcW w:w="0" w:type="auto"/>
            <w:hideMark/>
          </w:tcPr>
          <w:p w14:paraId="31DF85CB" w14:textId="77777777" w:rsidR="00211738" w:rsidRPr="00211738" w:rsidRDefault="00211738" w:rsidP="00211738"/>
        </w:tc>
        <w:tc>
          <w:tcPr>
            <w:tcW w:w="0" w:type="auto"/>
            <w:hideMark/>
          </w:tcPr>
          <w:p w14:paraId="671C899F" w14:textId="77777777" w:rsidR="00211738" w:rsidRPr="00211738" w:rsidRDefault="00211738" w:rsidP="00211738">
            <w:r w:rsidRPr="00211738">
              <w:t>Surg MVIC</w:t>
            </w:r>
          </w:p>
        </w:tc>
        <w:tc>
          <w:tcPr>
            <w:tcW w:w="0" w:type="auto"/>
            <w:hideMark/>
          </w:tcPr>
          <w:p w14:paraId="4CD88089" w14:textId="77777777" w:rsidR="00211738" w:rsidRPr="00211738" w:rsidRDefault="00211738" w:rsidP="00211738">
            <w:r w:rsidRPr="00211738">
              <w:t>−.003</w:t>
            </w:r>
          </w:p>
        </w:tc>
        <w:tc>
          <w:tcPr>
            <w:tcW w:w="0" w:type="auto"/>
            <w:hideMark/>
          </w:tcPr>
          <w:p w14:paraId="28C7F790" w14:textId="77777777" w:rsidR="00211738" w:rsidRPr="00211738" w:rsidRDefault="00211738" w:rsidP="00211738">
            <w:r w:rsidRPr="00211738">
              <w:t>.002</w:t>
            </w:r>
          </w:p>
        </w:tc>
        <w:tc>
          <w:tcPr>
            <w:tcW w:w="0" w:type="auto"/>
            <w:hideMark/>
          </w:tcPr>
          <w:p w14:paraId="1A712974" w14:textId="77777777" w:rsidR="00211738" w:rsidRPr="00211738" w:rsidRDefault="00211738" w:rsidP="00211738">
            <w:r w:rsidRPr="00211738">
              <w:t>−.210</w:t>
            </w:r>
          </w:p>
        </w:tc>
        <w:tc>
          <w:tcPr>
            <w:tcW w:w="0" w:type="auto"/>
            <w:hideMark/>
          </w:tcPr>
          <w:p w14:paraId="02500E54" w14:textId="77777777" w:rsidR="00211738" w:rsidRPr="00211738" w:rsidRDefault="00211738" w:rsidP="00211738">
            <w:r w:rsidRPr="00211738">
              <w:t>.02</w:t>
            </w:r>
          </w:p>
        </w:tc>
        <w:tc>
          <w:tcPr>
            <w:tcW w:w="0" w:type="auto"/>
            <w:hideMark/>
          </w:tcPr>
          <w:p w14:paraId="54424F0F" w14:textId="77777777" w:rsidR="00211738" w:rsidRPr="00211738" w:rsidRDefault="00211738" w:rsidP="00211738">
            <w:r w:rsidRPr="00211738">
              <w:t>.308</w:t>
            </w:r>
          </w:p>
        </w:tc>
        <w:tc>
          <w:tcPr>
            <w:tcW w:w="0" w:type="auto"/>
            <w:hideMark/>
          </w:tcPr>
          <w:p w14:paraId="0EDFC22E" w14:textId="77777777" w:rsidR="00211738" w:rsidRPr="00211738" w:rsidRDefault="00211738" w:rsidP="00211738">
            <w:r w:rsidRPr="00211738">
              <w:t>−.006, .001</w:t>
            </w:r>
          </w:p>
        </w:tc>
      </w:tr>
      <w:tr w:rsidR="00211738" w:rsidRPr="00211738" w14:paraId="6BCA994F" w14:textId="77777777" w:rsidTr="00C16F94">
        <w:tc>
          <w:tcPr>
            <w:tcW w:w="0" w:type="auto"/>
            <w:hideMark/>
          </w:tcPr>
          <w:p w14:paraId="76E53608" w14:textId="77777777" w:rsidR="00211738" w:rsidRPr="00211738" w:rsidRDefault="00211738" w:rsidP="00211738"/>
        </w:tc>
        <w:tc>
          <w:tcPr>
            <w:tcW w:w="0" w:type="auto"/>
            <w:hideMark/>
          </w:tcPr>
          <w:p w14:paraId="5256BA1B" w14:textId="77777777" w:rsidR="00211738" w:rsidRPr="00211738" w:rsidRDefault="00211738" w:rsidP="00211738">
            <w:proofErr w:type="spellStart"/>
            <w:r w:rsidRPr="00211738">
              <w:t>NonSurg</w:t>
            </w:r>
            <w:proofErr w:type="spellEnd"/>
            <w:r w:rsidRPr="00211738">
              <w:t xml:space="preserve"> MVIC</w:t>
            </w:r>
          </w:p>
        </w:tc>
        <w:tc>
          <w:tcPr>
            <w:tcW w:w="0" w:type="auto"/>
            <w:hideMark/>
          </w:tcPr>
          <w:p w14:paraId="642E788B" w14:textId="77777777" w:rsidR="00211738" w:rsidRPr="00211738" w:rsidRDefault="00211738" w:rsidP="00211738">
            <w:r w:rsidRPr="00211738">
              <w:t>.002</w:t>
            </w:r>
          </w:p>
        </w:tc>
        <w:tc>
          <w:tcPr>
            <w:tcW w:w="0" w:type="auto"/>
            <w:hideMark/>
          </w:tcPr>
          <w:p w14:paraId="65D36B6C" w14:textId="77777777" w:rsidR="00211738" w:rsidRPr="00211738" w:rsidRDefault="00211738" w:rsidP="00211738">
            <w:r w:rsidRPr="00211738">
              <w:t>.002</w:t>
            </w:r>
          </w:p>
        </w:tc>
        <w:tc>
          <w:tcPr>
            <w:tcW w:w="0" w:type="auto"/>
            <w:hideMark/>
          </w:tcPr>
          <w:p w14:paraId="7ACD02E5" w14:textId="77777777" w:rsidR="00211738" w:rsidRPr="00211738" w:rsidRDefault="00211738" w:rsidP="00211738">
            <w:r w:rsidRPr="00211738">
              <w:t>.203</w:t>
            </w:r>
          </w:p>
        </w:tc>
        <w:tc>
          <w:tcPr>
            <w:tcW w:w="0" w:type="auto"/>
            <w:hideMark/>
          </w:tcPr>
          <w:p w14:paraId="25F50447" w14:textId="77777777" w:rsidR="00211738" w:rsidRPr="00211738" w:rsidRDefault="00211738" w:rsidP="00211738">
            <w:r w:rsidRPr="00211738">
              <w:t>.01</w:t>
            </w:r>
          </w:p>
        </w:tc>
        <w:tc>
          <w:tcPr>
            <w:tcW w:w="0" w:type="auto"/>
            <w:hideMark/>
          </w:tcPr>
          <w:p w14:paraId="43B1DFA6" w14:textId="77777777" w:rsidR="00211738" w:rsidRPr="00211738" w:rsidRDefault="00211738" w:rsidP="00211738">
            <w:r w:rsidRPr="00211738">
              <w:t>.409</w:t>
            </w:r>
          </w:p>
        </w:tc>
        <w:tc>
          <w:tcPr>
            <w:tcW w:w="0" w:type="auto"/>
            <w:hideMark/>
          </w:tcPr>
          <w:p w14:paraId="19DDC490" w14:textId="77777777" w:rsidR="00211738" w:rsidRPr="00211738" w:rsidRDefault="00211738" w:rsidP="00211738">
            <w:r w:rsidRPr="00211738">
              <w:t>−.001, .006</w:t>
            </w:r>
          </w:p>
        </w:tc>
      </w:tr>
      <w:tr w:rsidR="00211738" w:rsidRPr="00211738" w14:paraId="6DBFEF81" w14:textId="77777777" w:rsidTr="00C16F94">
        <w:tc>
          <w:tcPr>
            <w:tcW w:w="0" w:type="auto"/>
            <w:hideMark/>
          </w:tcPr>
          <w:p w14:paraId="56685319" w14:textId="77777777" w:rsidR="00211738" w:rsidRPr="00211738" w:rsidRDefault="00211738" w:rsidP="00211738"/>
        </w:tc>
        <w:tc>
          <w:tcPr>
            <w:tcW w:w="0" w:type="auto"/>
            <w:hideMark/>
          </w:tcPr>
          <w:p w14:paraId="7B48D965" w14:textId="77777777" w:rsidR="00211738" w:rsidRPr="00211738" w:rsidRDefault="00211738" w:rsidP="00211738">
            <w:r w:rsidRPr="00211738">
              <w:t>Surg VAS</w:t>
            </w:r>
          </w:p>
        </w:tc>
        <w:tc>
          <w:tcPr>
            <w:tcW w:w="0" w:type="auto"/>
            <w:hideMark/>
          </w:tcPr>
          <w:p w14:paraId="34C8E670" w14:textId="77777777" w:rsidR="00211738" w:rsidRPr="00211738" w:rsidRDefault="00211738" w:rsidP="00211738">
            <w:r w:rsidRPr="00211738">
              <w:t>−.013</w:t>
            </w:r>
          </w:p>
        </w:tc>
        <w:tc>
          <w:tcPr>
            <w:tcW w:w="0" w:type="auto"/>
            <w:hideMark/>
          </w:tcPr>
          <w:p w14:paraId="1A3D1C26" w14:textId="77777777" w:rsidR="00211738" w:rsidRPr="00211738" w:rsidRDefault="00211738" w:rsidP="00211738">
            <w:r w:rsidRPr="00211738">
              <w:t>.013</w:t>
            </w:r>
          </w:p>
        </w:tc>
        <w:tc>
          <w:tcPr>
            <w:tcW w:w="0" w:type="auto"/>
            <w:hideMark/>
          </w:tcPr>
          <w:p w14:paraId="356D9FE4" w14:textId="77777777" w:rsidR="00211738" w:rsidRPr="00211738" w:rsidRDefault="00211738" w:rsidP="00211738">
            <w:r w:rsidRPr="00211738">
              <w:t>−.131</w:t>
            </w:r>
          </w:p>
        </w:tc>
        <w:tc>
          <w:tcPr>
            <w:tcW w:w="0" w:type="auto"/>
            <w:hideMark/>
          </w:tcPr>
          <w:p w14:paraId="499BCF9C" w14:textId="77777777" w:rsidR="00211738" w:rsidRPr="00211738" w:rsidRDefault="00211738" w:rsidP="00211738">
            <w:r w:rsidRPr="00211738">
              <w:t>.01</w:t>
            </w:r>
          </w:p>
        </w:tc>
        <w:tc>
          <w:tcPr>
            <w:tcW w:w="0" w:type="auto"/>
            <w:hideMark/>
          </w:tcPr>
          <w:p w14:paraId="79786F15" w14:textId="77777777" w:rsidR="00211738" w:rsidRPr="00211738" w:rsidRDefault="00211738" w:rsidP="00211738">
            <w:r w:rsidRPr="00211738">
              <w:t>.730</w:t>
            </w:r>
          </w:p>
        </w:tc>
        <w:tc>
          <w:tcPr>
            <w:tcW w:w="0" w:type="auto"/>
            <w:hideMark/>
          </w:tcPr>
          <w:p w14:paraId="1C4A698C" w14:textId="77777777" w:rsidR="00211738" w:rsidRPr="00211738" w:rsidRDefault="00211738" w:rsidP="00211738">
            <w:r w:rsidRPr="00211738">
              <w:t>−.040, .013</w:t>
            </w:r>
          </w:p>
        </w:tc>
      </w:tr>
      <w:tr w:rsidR="00211738" w:rsidRPr="00211738" w14:paraId="69E44554" w14:textId="77777777" w:rsidTr="00C16F94">
        <w:tc>
          <w:tcPr>
            <w:tcW w:w="0" w:type="auto"/>
            <w:hideMark/>
          </w:tcPr>
          <w:p w14:paraId="77542B49" w14:textId="77777777" w:rsidR="00211738" w:rsidRPr="00211738" w:rsidRDefault="00211738" w:rsidP="00211738"/>
        </w:tc>
        <w:tc>
          <w:tcPr>
            <w:tcW w:w="0" w:type="auto"/>
            <w:hideMark/>
          </w:tcPr>
          <w:p w14:paraId="730D806F" w14:textId="77777777" w:rsidR="00211738" w:rsidRPr="00211738" w:rsidRDefault="00211738" w:rsidP="00211738">
            <w:proofErr w:type="spellStart"/>
            <w:r w:rsidRPr="00211738">
              <w:t>NonSurg</w:t>
            </w:r>
            <w:proofErr w:type="spellEnd"/>
            <w:r w:rsidRPr="00211738">
              <w:t xml:space="preserve"> VAS</w:t>
            </w:r>
          </w:p>
        </w:tc>
        <w:tc>
          <w:tcPr>
            <w:tcW w:w="0" w:type="auto"/>
            <w:hideMark/>
          </w:tcPr>
          <w:p w14:paraId="68051856" w14:textId="77777777" w:rsidR="00211738" w:rsidRPr="00211738" w:rsidRDefault="00211738" w:rsidP="00211738">
            <w:r w:rsidRPr="00211738">
              <w:t>−.003</w:t>
            </w:r>
          </w:p>
        </w:tc>
        <w:tc>
          <w:tcPr>
            <w:tcW w:w="0" w:type="auto"/>
            <w:hideMark/>
          </w:tcPr>
          <w:p w14:paraId="26837861" w14:textId="77777777" w:rsidR="00211738" w:rsidRPr="00211738" w:rsidRDefault="00211738" w:rsidP="00211738">
            <w:r w:rsidRPr="00211738">
              <w:t>.011</w:t>
            </w:r>
          </w:p>
        </w:tc>
        <w:tc>
          <w:tcPr>
            <w:tcW w:w="0" w:type="auto"/>
            <w:hideMark/>
          </w:tcPr>
          <w:p w14:paraId="1CADF29D" w14:textId="77777777" w:rsidR="00211738" w:rsidRPr="00211738" w:rsidRDefault="00211738" w:rsidP="00211738">
            <w:r w:rsidRPr="00211738">
              <w:t>−.034</w:t>
            </w:r>
          </w:p>
        </w:tc>
        <w:tc>
          <w:tcPr>
            <w:tcW w:w="0" w:type="auto"/>
            <w:hideMark/>
          </w:tcPr>
          <w:p w14:paraId="58412E8D" w14:textId="77777777" w:rsidR="00211738" w:rsidRPr="00211738" w:rsidRDefault="00211738" w:rsidP="00211738">
            <w:r w:rsidRPr="00211738">
              <w:t>.00</w:t>
            </w:r>
          </w:p>
        </w:tc>
        <w:tc>
          <w:tcPr>
            <w:tcW w:w="0" w:type="auto"/>
            <w:hideMark/>
          </w:tcPr>
          <w:p w14:paraId="57A3B5EE" w14:textId="77777777" w:rsidR="00211738" w:rsidRPr="00211738" w:rsidRDefault="00211738" w:rsidP="00211738">
            <w:r w:rsidRPr="00211738">
              <w:t>.993</w:t>
            </w:r>
          </w:p>
        </w:tc>
        <w:tc>
          <w:tcPr>
            <w:tcW w:w="0" w:type="auto"/>
            <w:hideMark/>
          </w:tcPr>
          <w:p w14:paraId="3E875C14" w14:textId="77777777" w:rsidR="00211738" w:rsidRPr="00211738" w:rsidRDefault="00211738" w:rsidP="00211738">
            <w:r w:rsidRPr="00211738">
              <w:t>−.025, .018</w:t>
            </w:r>
          </w:p>
        </w:tc>
      </w:tr>
      <w:tr w:rsidR="00211738" w:rsidRPr="00211738" w14:paraId="1F346F50" w14:textId="77777777" w:rsidTr="00C16F94">
        <w:tc>
          <w:tcPr>
            <w:tcW w:w="0" w:type="auto"/>
            <w:hideMark/>
          </w:tcPr>
          <w:p w14:paraId="75448E17" w14:textId="77777777" w:rsidR="00211738" w:rsidRPr="00211738" w:rsidRDefault="00211738" w:rsidP="00211738"/>
        </w:tc>
        <w:tc>
          <w:tcPr>
            <w:tcW w:w="0" w:type="auto"/>
            <w:hideMark/>
          </w:tcPr>
          <w:p w14:paraId="620BFBBE" w14:textId="77777777" w:rsidR="00211738" w:rsidRPr="00211738" w:rsidRDefault="00211738" w:rsidP="00211738">
            <w:r w:rsidRPr="00211738">
              <w:t>Gait speed</w:t>
            </w:r>
          </w:p>
        </w:tc>
        <w:tc>
          <w:tcPr>
            <w:tcW w:w="0" w:type="auto"/>
            <w:hideMark/>
          </w:tcPr>
          <w:p w14:paraId="00C59DBD" w14:textId="77777777" w:rsidR="00211738" w:rsidRPr="00211738" w:rsidRDefault="00211738" w:rsidP="00211738">
            <w:r w:rsidRPr="00211738">
              <w:t>−.116</w:t>
            </w:r>
          </w:p>
        </w:tc>
        <w:tc>
          <w:tcPr>
            <w:tcW w:w="0" w:type="auto"/>
            <w:hideMark/>
          </w:tcPr>
          <w:p w14:paraId="38411CD9" w14:textId="77777777" w:rsidR="00211738" w:rsidRPr="00211738" w:rsidRDefault="00211738" w:rsidP="00211738">
            <w:r w:rsidRPr="00211738">
              <w:t>.058</w:t>
            </w:r>
          </w:p>
        </w:tc>
        <w:tc>
          <w:tcPr>
            <w:tcW w:w="0" w:type="auto"/>
            <w:hideMark/>
          </w:tcPr>
          <w:p w14:paraId="34FC8BB9" w14:textId="77777777" w:rsidR="00211738" w:rsidRPr="00211738" w:rsidRDefault="00211738" w:rsidP="00211738">
            <w:r w:rsidRPr="00211738">
              <w:t>−.186</w:t>
            </w:r>
          </w:p>
        </w:tc>
        <w:tc>
          <w:tcPr>
            <w:tcW w:w="0" w:type="auto"/>
            <w:hideMark/>
          </w:tcPr>
          <w:p w14:paraId="578903CF" w14:textId="77777777" w:rsidR="00211738" w:rsidRPr="00211738" w:rsidRDefault="00211738" w:rsidP="00211738">
            <w:r w:rsidRPr="00211738">
              <w:t>.02</w:t>
            </w:r>
          </w:p>
        </w:tc>
        <w:tc>
          <w:tcPr>
            <w:tcW w:w="0" w:type="auto"/>
            <w:hideMark/>
          </w:tcPr>
          <w:p w14:paraId="3E64009B" w14:textId="77777777" w:rsidR="00211738" w:rsidRPr="00211738" w:rsidRDefault="00211738" w:rsidP="00211738">
            <w:r w:rsidRPr="00211738">
              <w:t>.160</w:t>
            </w:r>
          </w:p>
        </w:tc>
        <w:tc>
          <w:tcPr>
            <w:tcW w:w="0" w:type="auto"/>
            <w:hideMark/>
          </w:tcPr>
          <w:p w14:paraId="1D77FD12" w14:textId="77777777" w:rsidR="00211738" w:rsidRPr="00211738" w:rsidRDefault="00211738" w:rsidP="00211738">
            <w:r w:rsidRPr="00211738">
              <w:t>−.231, .001</w:t>
            </w:r>
          </w:p>
        </w:tc>
      </w:tr>
      <w:tr w:rsidR="00211738" w:rsidRPr="00211738" w14:paraId="64CC8A87" w14:textId="77777777" w:rsidTr="00C16F94">
        <w:tc>
          <w:tcPr>
            <w:tcW w:w="0" w:type="auto"/>
            <w:hideMark/>
          </w:tcPr>
          <w:p w14:paraId="399F0663" w14:textId="77777777" w:rsidR="00211738" w:rsidRPr="00211738" w:rsidRDefault="00211738" w:rsidP="00211738"/>
        </w:tc>
        <w:tc>
          <w:tcPr>
            <w:tcW w:w="0" w:type="auto"/>
            <w:hideMark/>
          </w:tcPr>
          <w:p w14:paraId="24C4D1E4" w14:textId="77777777" w:rsidR="00211738" w:rsidRPr="00211738" w:rsidRDefault="00211738" w:rsidP="00211738">
            <w:r w:rsidRPr="00211738">
              <w:t>6MWT</w:t>
            </w:r>
          </w:p>
        </w:tc>
        <w:tc>
          <w:tcPr>
            <w:tcW w:w="0" w:type="auto"/>
            <w:hideMark/>
          </w:tcPr>
          <w:p w14:paraId="2DB4EE12" w14:textId="77777777" w:rsidR="00211738" w:rsidRPr="00211738" w:rsidRDefault="00211738" w:rsidP="00211738">
            <w:r w:rsidRPr="00211738">
              <w:t>−.000</w:t>
            </w:r>
          </w:p>
        </w:tc>
        <w:tc>
          <w:tcPr>
            <w:tcW w:w="0" w:type="auto"/>
            <w:hideMark/>
          </w:tcPr>
          <w:p w14:paraId="111E0501" w14:textId="77777777" w:rsidR="00211738" w:rsidRPr="00211738" w:rsidRDefault="00211738" w:rsidP="00211738">
            <w:r w:rsidRPr="00211738">
              <w:t>.000</w:t>
            </w:r>
          </w:p>
        </w:tc>
        <w:tc>
          <w:tcPr>
            <w:tcW w:w="0" w:type="auto"/>
            <w:hideMark/>
          </w:tcPr>
          <w:p w14:paraId="47B2B062" w14:textId="77777777" w:rsidR="00211738" w:rsidRPr="00211738" w:rsidRDefault="00211738" w:rsidP="00211738">
            <w:r w:rsidRPr="00211738">
              <w:t>−.088</w:t>
            </w:r>
          </w:p>
        </w:tc>
        <w:tc>
          <w:tcPr>
            <w:tcW w:w="0" w:type="auto"/>
            <w:hideMark/>
          </w:tcPr>
          <w:p w14:paraId="2D258235" w14:textId="77777777" w:rsidR="00211738" w:rsidRPr="00211738" w:rsidRDefault="00211738" w:rsidP="00211738">
            <w:r w:rsidRPr="00211738">
              <w:t>.00</w:t>
            </w:r>
          </w:p>
        </w:tc>
        <w:tc>
          <w:tcPr>
            <w:tcW w:w="0" w:type="auto"/>
            <w:hideMark/>
          </w:tcPr>
          <w:p w14:paraId="13010698" w14:textId="77777777" w:rsidR="00211738" w:rsidRPr="00211738" w:rsidRDefault="00211738" w:rsidP="00211738">
            <w:r w:rsidRPr="00211738">
              <w:t>.871</w:t>
            </w:r>
          </w:p>
        </w:tc>
        <w:tc>
          <w:tcPr>
            <w:tcW w:w="0" w:type="auto"/>
            <w:hideMark/>
          </w:tcPr>
          <w:p w14:paraId="2966B8CE" w14:textId="77777777" w:rsidR="00211738" w:rsidRPr="00211738" w:rsidRDefault="00211738" w:rsidP="00211738">
            <w:r w:rsidRPr="00211738">
              <w:t>−.000, .000</w:t>
            </w:r>
          </w:p>
        </w:tc>
      </w:tr>
      <w:tr w:rsidR="00211738" w:rsidRPr="00211738" w14:paraId="7D9E6C23" w14:textId="77777777" w:rsidTr="00C16F94">
        <w:tc>
          <w:tcPr>
            <w:tcW w:w="0" w:type="auto"/>
            <w:hideMark/>
          </w:tcPr>
          <w:p w14:paraId="15EB5921" w14:textId="77777777" w:rsidR="00211738" w:rsidRPr="00211738" w:rsidRDefault="00211738" w:rsidP="00211738"/>
        </w:tc>
        <w:tc>
          <w:tcPr>
            <w:tcW w:w="0" w:type="auto"/>
            <w:hideMark/>
          </w:tcPr>
          <w:p w14:paraId="00C6F2AD" w14:textId="77777777" w:rsidR="00211738" w:rsidRPr="00211738" w:rsidRDefault="00211738" w:rsidP="00211738">
            <w:r w:rsidRPr="00211738">
              <w:t>Time</w:t>
            </w:r>
          </w:p>
        </w:tc>
        <w:tc>
          <w:tcPr>
            <w:tcW w:w="0" w:type="auto"/>
            <w:hideMark/>
          </w:tcPr>
          <w:p w14:paraId="6B58865A" w14:textId="77777777" w:rsidR="00211738" w:rsidRPr="00211738" w:rsidRDefault="00211738" w:rsidP="00211738">
            <w:r w:rsidRPr="00211738">
              <w:t>−.000</w:t>
            </w:r>
          </w:p>
        </w:tc>
        <w:tc>
          <w:tcPr>
            <w:tcW w:w="0" w:type="auto"/>
            <w:hideMark/>
          </w:tcPr>
          <w:p w14:paraId="3E270AAE" w14:textId="77777777" w:rsidR="00211738" w:rsidRPr="00211738" w:rsidRDefault="00211738" w:rsidP="00211738">
            <w:r w:rsidRPr="00211738">
              <w:t>.001</w:t>
            </w:r>
          </w:p>
        </w:tc>
        <w:tc>
          <w:tcPr>
            <w:tcW w:w="0" w:type="auto"/>
            <w:hideMark/>
          </w:tcPr>
          <w:p w14:paraId="7AD18E73" w14:textId="77777777" w:rsidR="00211738" w:rsidRPr="00211738" w:rsidRDefault="00211738" w:rsidP="00211738">
            <w:r w:rsidRPr="00211738">
              <w:t>−.044</w:t>
            </w:r>
          </w:p>
        </w:tc>
        <w:tc>
          <w:tcPr>
            <w:tcW w:w="0" w:type="auto"/>
            <w:hideMark/>
          </w:tcPr>
          <w:p w14:paraId="5452B86E" w14:textId="77777777" w:rsidR="00211738" w:rsidRPr="00211738" w:rsidRDefault="00211738" w:rsidP="00211738">
            <w:r w:rsidRPr="00211738">
              <w:t>.00</w:t>
            </w:r>
          </w:p>
        </w:tc>
        <w:tc>
          <w:tcPr>
            <w:tcW w:w="0" w:type="auto"/>
            <w:hideMark/>
          </w:tcPr>
          <w:p w14:paraId="047A281C" w14:textId="77777777" w:rsidR="00211738" w:rsidRPr="00211738" w:rsidRDefault="00211738" w:rsidP="00211738">
            <w:r w:rsidRPr="00211738">
              <w:t>.946</w:t>
            </w:r>
          </w:p>
        </w:tc>
        <w:tc>
          <w:tcPr>
            <w:tcW w:w="0" w:type="auto"/>
            <w:hideMark/>
          </w:tcPr>
          <w:p w14:paraId="5D616CF9" w14:textId="77777777" w:rsidR="00211738" w:rsidRPr="00211738" w:rsidRDefault="00211738" w:rsidP="00211738">
            <w:r w:rsidRPr="00211738">
              <w:t>−.002, .001</w:t>
            </w:r>
          </w:p>
        </w:tc>
      </w:tr>
    </w:tbl>
    <w:p w14:paraId="41A77932" w14:textId="77777777" w:rsidR="00211738" w:rsidRPr="00211738" w:rsidRDefault="00211738" w:rsidP="007C2C1E">
      <w:pPr>
        <w:pStyle w:val="NoSpacing"/>
      </w:pPr>
      <w:r w:rsidRPr="00211738">
        <w:rPr>
          <w:i/>
          <w:iCs/>
        </w:rPr>
        <w:t>Note</w:t>
      </w:r>
      <w:r w:rsidRPr="00211738">
        <w:t xml:space="preserve">: The final model was adjusted for gait speed, 6MWT, and time from surgery (continuous). The bold values are </w:t>
      </w:r>
      <w:proofErr w:type="gramStart"/>
      <w:r w:rsidRPr="00211738">
        <w:t>signify</w:t>
      </w:r>
      <w:proofErr w:type="gramEnd"/>
      <w:r w:rsidRPr="00211738">
        <w:t xml:space="preserve"> statistical significance.</w:t>
      </w:r>
    </w:p>
    <w:p w14:paraId="50E13E04" w14:textId="77777777" w:rsidR="00211738" w:rsidRPr="00211738" w:rsidRDefault="00211738" w:rsidP="007C2C1E">
      <w:pPr>
        <w:pStyle w:val="NoSpacing"/>
      </w:pPr>
      <w:r w:rsidRPr="00211738">
        <w:t xml:space="preserve">Abbreviations: 6MWT, 6-minute walk test; BMI, body mass index; PKAM, peak knee abduction moment; PKEM, peak knee extension moment; </w:t>
      </w:r>
      <w:proofErr w:type="spellStart"/>
      <w:r w:rsidRPr="00211738">
        <w:t>PvGRF</w:t>
      </w:r>
      <w:proofErr w:type="spellEnd"/>
      <w:r w:rsidRPr="00211738">
        <w:t xml:space="preserve">, peak vertical ground reaction force; Surg, surgical; </w:t>
      </w:r>
      <w:proofErr w:type="spellStart"/>
      <w:r w:rsidRPr="00211738">
        <w:t>NonSurg</w:t>
      </w:r>
      <w:proofErr w:type="spellEnd"/>
      <w:r w:rsidRPr="00211738">
        <w:t>, nonsurgical; KOS-ADL, Knee Outcome Survey-Activities of Daily Living; MVIC, maximum voluntary isometric contraction; VAS, visual analog pain scale.</w:t>
      </w:r>
    </w:p>
    <w:p w14:paraId="7E500586" w14:textId="7CFD67B9" w:rsidR="00211738" w:rsidRPr="00211738" w:rsidRDefault="00211738" w:rsidP="007C2C1E">
      <w:pPr>
        <w:pStyle w:val="NoSpacing"/>
      </w:pPr>
      <w:proofErr w:type="gramStart"/>
      <w:r w:rsidRPr="007C2C1E">
        <w:rPr>
          <w:vertAlign w:val="superscript"/>
        </w:rPr>
        <w:t>a</w:t>
      </w:r>
      <w:proofErr w:type="gramEnd"/>
      <w:r w:rsidRPr="00211738">
        <w:t> Unstandardized regression coefficient.</w:t>
      </w:r>
    </w:p>
    <w:p w14:paraId="593A31A9" w14:textId="757F3FDA" w:rsidR="00211738" w:rsidRPr="00211738" w:rsidRDefault="00211738" w:rsidP="007C2C1E">
      <w:pPr>
        <w:pStyle w:val="NoSpacing"/>
      </w:pPr>
      <w:r w:rsidRPr="007C2C1E">
        <w:rPr>
          <w:vertAlign w:val="superscript"/>
        </w:rPr>
        <w:t>b</w:t>
      </w:r>
      <w:r w:rsidRPr="00211738">
        <w:t> Standardized regression coefficient.</w:t>
      </w:r>
    </w:p>
    <w:p w14:paraId="3745F88C" w14:textId="44926EDB" w:rsidR="00211738" w:rsidRPr="00211738" w:rsidRDefault="00211738" w:rsidP="007C2C1E">
      <w:pPr>
        <w:pStyle w:val="NoSpacing"/>
      </w:pPr>
      <w:r w:rsidRPr="007C2C1E">
        <w:rPr>
          <w:vertAlign w:val="superscript"/>
        </w:rPr>
        <w:t>c</w:t>
      </w:r>
      <w:r w:rsidRPr="00211738">
        <w:t> Effect size categories (.02 small, .15 medium, .35 large).</w:t>
      </w:r>
    </w:p>
    <w:p w14:paraId="0F819CC4" w14:textId="38B5716F" w:rsidR="00211738" w:rsidRPr="00211738" w:rsidRDefault="00211738" w:rsidP="007C2C1E">
      <w:pPr>
        <w:pStyle w:val="NoSpacing"/>
      </w:pPr>
      <w:r w:rsidRPr="007C2C1E">
        <w:rPr>
          <w:vertAlign w:val="superscript"/>
        </w:rPr>
        <w:t>d</w:t>
      </w:r>
      <w:r w:rsidRPr="00211738">
        <w:t> </w:t>
      </w:r>
      <w:proofErr w:type="spellStart"/>
      <w:r w:rsidRPr="00211738">
        <w:t>Adustment</w:t>
      </w:r>
      <w:proofErr w:type="spellEnd"/>
      <w:r w:rsidRPr="00211738">
        <w:t xml:space="preserve"> using Tukey–</w:t>
      </w:r>
      <w:proofErr w:type="spellStart"/>
      <w:r w:rsidRPr="00211738">
        <w:t>Ciminera</w:t>
      </w:r>
      <w:proofErr w:type="spellEnd"/>
      <w:r w:rsidRPr="00211738">
        <w:t>–Heyse procedure.</w:t>
      </w:r>
    </w:p>
    <w:p w14:paraId="7A67CA24" w14:textId="1C46110F" w:rsidR="00211738" w:rsidRPr="00211738" w:rsidRDefault="00211738" w:rsidP="007C2C1E">
      <w:pPr>
        <w:pStyle w:val="NoSpacing"/>
      </w:pPr>
      <w:r w:rsidRPr="00211738">
        <w:t>* </w:t>
      </w:r>
      <m:oMath>
        <m:r>
          <w:rPr>
            <w:rFonts w:ascii="Cambria Math" w:hAnsi="Cambria Math"/>
          </w:rPr>
          <m:t>p ≤ .05</m:t>
        </m:r>
      </m:oMath>
    </w:p>
    <w:p w14:paraId="37512D8D" w14:textId="77777777" w:rsidR="007C2C1E" w:rsidRDefault="007C2C1E" w:rsidP="00211738"/>
    <w:p w14:paraId="7AC2B718" w14:textId="35DCD605" w:rsidR="00211738" w:rsidRPr="00211738" w:rsidRDefault="00211738" w:rsidP="00211738">
      <w:r w:rsidRPr="00211738">
        <w:t xml:space="preserve">For hypothesis two, the patient characteristics (age, body mass index, sex, quadriceps strength, self-reported function, and knee pain) collectively explained 27% of the variance of knee extension excursion </w:t>
      </w:r>
      <m:oMath>
        <m:r>
          <w:rPr>
            <w:rFonts w:ascii="Cambria Math" w:hAnsi="Cambria Math"/>
          </w:rPr>
          <m:t>(F(12, 163) = 5.09; p &lt; .001)</m:t>
        </m:r>
      </m:oMath>
      <w:r w:rsidRPr="00211738">
        <w:t xml:space="preserve"> and 31% of the variance of knee flexion excursion </w:t>
      </w:r>
      <m:oMath>
        <m:r>
          <w:rPr>
            <w:rFonts w:ascii="Cambria Math" w:hAnsi="Cambria Math"/>
          </w:rPr>
          <m:t>(F(12, 162) = 6.01; p &lt; .001)</m:t>
        </m:r>
      </m:oMath>
      <w:r w:rsidRPr="00211738">
        <w:t xml:space="preserve"> in the surgical limb during walking. Quadriceps weakness in the surgical limb </w:t>
      </w:r>
      <m:oMath>
        <m:r>
          <w:rPr>
            <w:rFonts w:ascii="Cambria Math" w:hAnsi="Cambria Math"/>
          </w:rPr>
          <m:t>(β = .298, ES = .04, p = .038</m:t>
        </m:r>
      </m:oMath>
      <w:r w:rsidRPr="00211738">
        <w:t xml:space="preserve">; </w:t>
      </w:r>
      <w:r w:rsidRPr="00211738">
        <w:lastRenderedPageBreak/>
        <w:t>Figure </w:t>
      </w:r>
      <w:hyperlink r:id="rId73" w:anchor="jor24878-fig-0001" w:history="1">
        <w:r w:rsidRPr="00211738">
          <w:rPr>
            <w:rStyle w:val="Hyperlink"/>
            <w:b/>
            <w:bCs/>
          </w:rPr>
          <w:t>1</w:t>
        </w:r>
      </w:hyperlink>
      <w:r w:rsidRPr="00211738">
        <w:t>) was associated with less knee extension excursion in the surgical limb during walking (Table </w:t>
      </w:r>
      <w:hyperlink r:id="rId74" w:anchor="jor24878-tbl-0003" w:tooltip="Link to table" w:history="1">
        <w:r w:rsidRPr="00211738">
          <w:rPr>
            <w:rStyle w:val="Hyperlink"/>
            <w:b/>
            <w:bCs/>
          </w:rPr>
          <w:t>3</w:t>
        </w:r>
      </w:hyperlink>
      <w:r w:rsidRPr="00211738">
        <w:t xml:space="preserve">). Conversely, greater quadriceps strength in the nonsurgical limb </w:t>
      </w:r>
      <m:oMath>
        <m:r>
          <w:rPr>
            <w:rFonts w:ascii="Cambria Math" w:hAnsi="Cambria Math"/>
          </w:rPr>
          <m:t>(β = -.357, ES = .05, p =.021</m:t>
        </m:r>
      </m:oMath>
      <w:r w:rsidRPr="00211738">
        <w:t>; Figure </w:t>
      </w:r>
      <w:hyperlink r:id="rId75" w:anchor="jor24878-fig-0001" w:history="1">
        <w:r w:rsidRPr="00211738">
          <w:rPr>
            <w:rStyle w:val="Hyperlink"/>
            <w:b/>
            <w:bCs/>
          </w:rPr>
          <w:t>1</w:t>
        </w:r>
      </w:hyperlink>
      <w:r w:rsidRPr="00211738">
        <w:t xml:space="preserve">) was associated with less knee extension excursion in the surgical limb during walking. Females </w:t>
      </w:r>
      <m:oMath>
        <m:r>
          <w:rPr>
            <w:rFonts w:ascii="Cambria Math" w:hAnsi="Cambria Math"/>
          </w:rPr>
          <m:t>(β = -.276, ES = .06, p = .007</m:t>
        </m:r>
      </m:oMath>
      <w:r w:rsidRPr="00211738">
        <w:t>; Figure </w:t>
      </w:r>
      <w:hyperlink r:id="rId76" w:anchor="jor24878-fig-0002" w:history="1">
        <w:r w:rsidRPr="00211738">
          <w:rPr>
            <w:rStyle w:val="Hyperlink"/>
            <w:b/>
            <w:bCs/>
          </w:rPr>
          <w:t>2</w:t>
        </w:r>
      </w:hyperlink>
      <w:r w:rsidRPr="00211738">
        <w:t>) had less knee flexion excursion in the surgical limb compared to males (Table </w:t>
      </w:r>
      <w:hyperlink r:id="rId77" w:anchor="jor24878-tbl-0003" w:tooltip="Link to table" w:history="1">
        <w:r w:rsidRPr="00211738">
          <w:rPr>
            <w:rStyle w:val="Hyperlink"/>
            <w:b/>
            <w:bCs/>
          </w:rPr>
          <w:t>3</w:t>
        </w:r>
      </w:hyperlink>
      <w:r w:rsidRPr="00211738">
        <w:t xml:space="preserve">). The covariate gait speed was also associated with knee flexion excursion </w:t>
      </w:r>
      <m:oMath>
        <m:r>
          <w:rPr>
            <w:rFonts w:ascii="Cambria Math" w:hAnsi="Cambria Math"/>
          </w:rPr>
          <m:t>(β = .318, ES = .09, p &lt; .001</m:t>
        </m:r>
      </m:oMath>
      <w:r w:rsidRPr="00211738">
        <w:t>; Table </w:t>
      </w:r>
      <w:hyperlink r:id="rId78" w:anchor="jor24878-tbl-0003" w:tooltip="Link to table" w:history="1">
        <w:r w:rsidRPr="00211738">
          <w:rPr>
            <w:rStyle w:val="Hyperlink"/>
            <w:b/>
            <w:bCs/>
          </w:rPr>
          <w:t>3</w:t>
        </w:r>
      </w:hyperlink>
      <w:r w:rsidRPr="00211738">
        <w:t>).</w:t>
      </w:r>
    </w:p>
    <w:p w14:paraId="1AF702D7" w14:textId="77777777" w:rsidR="00211738" w:rsidRPr="00211738" w:rsidRDefault="00211738" w:rsidP="00DA38FE">
      <w:pPr>
        <w:spacing w:after="0"/>
      </w:pPr>
      <w:r w:rsidRPr="00211738">
        <w:rPr>
          <w:b/>
          <w:bCs/>
        </w:rPr>
        <w:t>Table 3. </w:t>
      </w:r>
      <w:r w:rsidRPr="00211738">
        <w:t>General linear regression model of patient characteristics on knee kinematic mechanics in the surgical limb from 6 to 24 months postoperatively</w:t>
      </w:r>
    </w:p>
    <w:tbl>
      <w:tblPr>
        <w:tblStyle w:val="TableGrid"/>
        <w:tblW w:w="0" w:type="auto"/>
        <w:tblLook w:val="04A0" w:firstRow="1" w:lastRow="0" w:firstColumn="1" w:lastColumn="0" w:noHBand="0" w:noVBand="1"/>
      </w:tblPr>
      <w:tblGrid>
        <w:gridCol w:w="2419"/>
        <w:gridCol w:w="1500"/>
        <w:gridCol w:w="830"/>
        <w:gridCol w:w="718"/>
        <w:gridCol w:w="716"/>
        <w:gridCol w:w="1049"/>
        <w:gridCol w:w="953"/>
        <w:gridCol w:w="1885"/>
      </w:tblGrid>
      <w:tr w:rsidR="00D75D24" w:rsidRPr="00211738" w14:paraId="0D55F851" w14:textId="77777777" w:rsidTr="00D75D24">
        <w:tc>
          <w:tcPr>
            <w:tcW w:w="0" w:type="auto"/>
            <w:hideMark/>
          </w:tcPr>
          <w:p w14:paraId="1134B3F8" w14:textId="77777777" w:rsidR="00211738" w:rsidRPr="00211738" w:rsidRDefault="00211738" w:rsidP="00211738">
            <w:pPr>
              <w:rPr>
                <w:b/>
                <w:bCs/>
              </w:rPr>
            </w:pPr>
            <w:r w:rsidRPr="00211738">
              <w:rPr>
                <w:b/>
                <w:bCs/>
              </w:rPr>
              <w:t>Variable</w:t>
            </w:r>
          </w:p>
        </w:tc>
        <w:tc>
          <w:tcPr>
            <w:tcW w:w="0" w:type="auto"/>
            <w:hideMark/>
          </w:tcPr>
          <w:p w14:paraId="2DE8FDF9" w14:textId="77777777" w:rsidR="00211738" w:rsidRPr="00211738" w:rsidRDefault="00211738" w:rsidP="00211738">
            <w:pPr>
              <w:rPr>
                <w:b/>
                <w:bCs/>
              </w:rPr>
            </w:pPr>
            <w:r w:rsidRPr="00211738">
              <w:rPr>
                <w:b/>
                <w:bCs/>
              </w:rPr>
              <w:t>Predictor</w:t>
            </w:r>
          </w:p>
        </w:tc>
        <w:tc>
          <w:tcPr>
            <w:tcW w:w="0" w:type="auto"/>
            <w:hideMark/>
          </w:tcPr>
          <w:p w14:paraId="5E63FADE" w14:textId="77777777" w:rsidR="00211738" w:rsidRPr="00211738" w:rsidRDefault="00211738" w:rsidP="00211738">
            <w:pPr>
              <w:rPr>
                <w:b/>
                <w:bCs/>
              </w:rPr>
            </w:pPr>
            <w:r w:rsidRPr="00211738">
              <w:rPr>
                <w:b/>
                <w:bCs/>
                <w:i/>
                <w:iCs/>
              </w:rPr>
              <w:t>B</w:t>
            </w:r>
            <w:r w:rsidRPr="00211738">
              <w:rPr>
                <w:b/>
                <w:bCs/>
              </w:rPr>
              <w:t> </w:t>
            </w:r>
            <w:hyperlink r:id="rId79" w:anchor="jor24878-tbl3-note-0003_61" w:tooltip="Link to note" w:history="1">
              <w:r w:rsidRPr="00DA38FE">
                <w:rPr>
                  <w:rStyle w:val="Hyperlink"/>
                  <w:b/>
                  <w:bCs/>
                  <w:vertAlign w:val="superscript"/>
                </w:rPr>
                <w:t>a</w:t>
              </w:r>
            </w:hyperlink>
          </w:p>
        </w:tc>
        <w:tc>
          <w:tcPr>
            <w:tcW w:w="0" w:type="auto"/>
            <w:hideMark/>
          </w:tcPr>
          <w:p w14:paraId="3C9C0671" w14:textId="77777777" w:rsidR="00211738" w:rsidRPr="00211738" w:rsidRDefault="00211738" w:rsidP="00211738">
            <w:pPr>
              <w:rPr>
                <w:b/>
                <w:bCs/>
              </w:rPr>
            </w:pPr>
            <w:r w:rsidRPr="00211738">
              <w:rPr>
                <w:b/>
                <w:bCs/>
                <w:i/>
                <w:iCs/>
              </w:rPr>
              <w:t>SE</w:t>
            </w:r>
          </w:p>
        </w:tc>
        <w:tc>
          <w:tcPr>
            <w:tcW w:w="0" w:type="auto"/>
            <w:hideMark/>
          </w:tcPr>
          <w:p w14:paraId="48AFF730" w14:textId="7E4047E3" w:rsidR="00211738" w:rsidRPr="00211738" w:rsidRDefault="00DA38FE" w:rsidP="00211738">
            <w:pPr>
              <w:rPr>
                <w:b/>
                <w:bCs/>
              </w:rPr>
            </w:pPr>
            <m:oMath>
              <m:r>
                <m:rPr>
                  <m:sty m:val="bi"/>
                </m:rPr>
                <w:rPr>
                  <w:rFonts w:ascii="Cambria Math" w:hAnsi="Cambria Math"/>
                </w:rPr>
                <m:t>β</m:t>
              </m:r>
            </m:oMath>
            <w:r w:rsidR="00211738" w:rsidRPr="00211738">
              <w:rPr>
                <w:b/>
                <w:bCs/>
              </w:rPr>
              <w:t> </w:t>
            </w:r>
            <w:hyperlink r:id="rId80" w:anchor="jor24878-tbl3-note-0004_62" w:tooltip="Link to note" w:history="1">
              <w:r w:rsidR="00211738" w:rsidRPr="00DA38FE">
                <w:rPr>
                  <w:rStyle w:val="Hyperlink"/>
                  <w:b/>
                  <w:bCs/>
                  <w:vertAlign w:val="superscript"/>
                </w:rPr>
                <w:t>b</w:t>
              </w:r>
            </w:hyperlink>
          </w:p>
        </w:tc>
        <w:tc>
          <w:tcPr>
            <w:tcW w:w="1049" w:type="dxa"/>
            <w:hideMark/>
          </w:tcPr>
          <w:p w14:paraId="21AAD9FC" w14:textId="30C8CA14" w:rsidR="00211738" w:rsidRPr="00211738" w:rsidRDefault="00211738" w:rsidP="00211738">
            <w:pPr>
              <w:rPr>
                <w:b/>
                <w:bCs/>
              </w:rPr>
            </w:pPr>
            <w:r w:rsidRPr="00211738">
              <w:rPr>
                <w:b/>
                <w:bCs/>
              </w:rPr>
              <w:t>Effect size, </w:t>
            </w:r>
            <m:oMath>
              <m:sSup>
                <m:sSupPr>
                  <m:ctrlPr>
                    <w:rPr>
                      <w:rFonts w:ascii="Cambria Math" w:hAnsi="Cambria Math"/>
                      <w:b/>
                      <w:bCs/>
                      <w:i/>
                      <w:iCs/>
                    </w:rPr>
                  </m:ctrlPr>
                </m:sSupPr>
                <m:e>
                  <m:r>
                    <m:rPr>
                      <m:sty m:val="bi"/>
                    </m:rPr>
                    <w:rPr>
                      <w:rFonts w:ascii="Cambria Math" w:hAnsi="Cambria Math"/>
                    </w:rPr>
                    <m:t>f </m:t>
                  </m:r>
                </m:e>
                <m:sup>
                  <m:r>
                    <m:rPr>
                      <m:sty m:val="bi"/>
                    </m:rPr>
                    <w:rPr>
                      <w:rFonts w:ascii="Cambria Math" w:hAnsi="Cambria Math"/>
                      <w:vertAlign w:val="superscript"/>
                    </w:rPr>
                    <m:t>2</m:t>
                  </m:r>
                </m:sup>
              </m:sSup>
            </m:oMath>
            <w:r w:rsidRPr="00211738">
              <w:rPr>
                <w:b/>
                <w:bCs/>
              </w:rPr>
              <w:t> </w:t>
            </w:r>
            <w:hyperlink r:id="rId81" w:anchor="jor24878-tbl3-note-0005_63" w:tooltip="Link to note" w:history="1">
              <w:r w:rsidRPr="00DA38FE">
                <w:rPr>
                  <w:rStyle w:val="Hyperlink"/>
                  <w:b/>
                  <w:bCs/>
                  <w:vertAlign w:val="superscript"/>
                </w:rPr>
                <w:t>c</w:t>
              </w:r>
            </w:hyperlink>
          </w:p>
        </w:tc>
        <w:tc>
          <w:tcPr>
            <w:tcW w:w="882" w:type="dxa"/>
            <w:hideMark/>
          </w:tcPr>
          <w:p w14:paraId="32796174" w14:textId="77777777" w:rsidR="00211738" w:rsidRPr="00211738" w:rsidRDefault="00211738" w:rsidP="00211738">
            <w:pPr>
              <w:rPr>
                <w:b/>
                <w:bCs/>
              </w:rPr>
            </w:pPr>
            <w:r w:rsidRPr="00211738">
              <w:rPr>
                <w:b/>
                <w:bCs/>
                <w:i/>
                <w:iCs/>
              </w:rPr>
              <w:t>p</w:t>
            </w:r>
            <w:r w:rsidRPr="00211738">
              <w:rPr>
                <w:b/>
                <w:bCs/>
              </w:rPr>
              <w:t> value</w:t>
            </w:r>
            <w:hyperlink r:id="rId82" w:anchor="jor24878-tbl3-note-0006_64" w:tooltip="Link to note" w:history="1">
              <w:r w:rsidRPr="00DA38FE">
                <w:rPr>
                  <w:rStyle w:val="Hyperlink"/>
                  <w:b/>
                  <w:bCs/>
                  <w:vertAlign w:val="superscript"/>
                </w:rPr>
                <w:t>d</w:t>
              </w:r>
            </w:hyperlink>
          </w:p>
        </w:tc>
        <w:tc>
          <w:tcPr>
            <w:tcW w:w="1885" w:type="dxa"/>
            <w:hideMark/>
          </w:tcPr>
          <w:p w14:paraId="759C6EDD" w14:textId="77777777" w:rsidR="00211738" w:rsidRPr="00211738" w:rsidRDefault="00211738" w:rsidP="00211738">
            <w:pPr>
              <w:rPr>
                <w:b/>
                <w:bCs/>
              </w:rPr>
            </w:pPr>
            <w:r w:rsidRPr="00211738">
              <w:rPr>
                <w:b/>
                <w:bCs/>
              </w:rPr>
              <w:t>95% CI</w:t>
            </w:r>
          </w:p>
        </w:tc>
      </w:tr>
      <w:tr w:rsidR="00DA38FE" w:rsidRPr="00211738" w14:paraId="01E4139A" w14:textId="77777777" w:rsidTr="00D75D24">
        <w:tc>
          <w:tcPr>
            <w:tcW w:w="0" w:type="auto"/>
            <w:hideMark/>
          </w:tcPr>
          <w:p w14:paraId="1D5024B3" w14:textId="77777777" w:rsidR="00DA38FE" w:rsidRPr="00211738" w:rsidRDefault="00DA38FE" w:rsidP="00211738">
            <w:r w:rsidRPr="00211738">
              <w:t>Knee extension excursion (degrees)</w:t>
            </w:r>
          </w:p>
        </w:tc>
        <w:tc>
          <w:tcPr>
            <w:tcW w:w="0" w:type="auto"/>
          </w:tcPr>
          <w:p w14:paraId="269C9BAB" w14:textId="77777777" w:rsidR="00DA38FE" w:rsidRPr="00211738" w:rsidRDefault="00DA38FE" w:rsidP="00211738"/>
        </w:tc>
        <w:tc>
          <w:tcPr>
            <w:tcW w:w="0" w:type="auto"/>
          </w:tcPr>
          <w:p w14:paraId="362401C9" w14:textId="11C06785" w:rsidR="00DA38FE" w:rsidRPr="00211738" w:rsidRDefault="00DA38FE" w:rsidP="00211738"/>
        </w:tc>
        <w:tc>
          <w:tcPr>
            <w:tcW w:w="0" w:type="auto"/>
            <w:hideMark/>
          </w:tcPr>
          <w:p w14:paraId="1E654501" w14:textId="77777777" w:rsidR="00DA38FE" w:rsidRPr="00211738" w:rsidRDefault="00DA38FE" w:rsidP="00211738"/>
        </w:tc>
        <w:tc>
          <w:tcPr>
            <w:tcW w:w="0" w:type="auto"/>
            <w:hideMark/>
          </w:tcPr>
          <w:p w14:paraId="2E14E7B2" w14:textId="77777777" w:rsidR="00DA38FE" w:rsidRPr="00211738" w:rsidRDefault="00DA38FE" w:rsidP="00211738"/>
        </w:tc>
        <w:tc>
          <w:tcPr>
            <w:tcW w:w="1049" w:type="dxa"/>
            <w:hideMark/>
          </w:tcPr>
          <w:p w14:paraId="73095135" w14:textId="77777777" w:rsidR="00DA38FE" w:rsidRPr="00211738" w:rsidRDefault="00DA38FE" w:rsidP="00211738"/>
        </w:tc>
        <w:tc>
          <w:tcPr>
            <w:tcW w:w="882" w:type="dxa"/>
            <w:hideMark/>
          </w:tcPr>
          <w:p w14:paraId="477D4B46" w14:textId="77777777" w:rsidR="00DA38FE" w:rsidRPr="00211738" w:rsidRDefault="00DA38FE" w:rsidP="00211738"/>
        </w:tc>
        <w:tc>
          <w:tcPr>
            <w:tcW w:w="1885" w:type="dxa"/>
            <w:hideMark/>
          </w:tcPr>
          <w:p w14:paraId="2CBDA15C" w14:textId="77777777" w:rsidR="00DA38FE" w:rsidRPr="00211738" w:rsidRDefault="00DA38FE" w:rsidP="00211738"/>
        </w:tc>
      </w:tr>
      <w:tr w:rsidR="00211738" w:rsidRPr="00211738" w14:paraId="7B935076" w14:textId="77777777" w:rsidTr="00D75D24">
        <w:tc>
          <w:tcPr>
            <w:tcW w:w="0" w:type="auto"/>
            <w:hideMark/>
          </w:tcPr>
          <w:p w14:paraId="25D0B1DF" w14:textId="77777777" w:rsidR="00211738" w:rsidRPr="00211738" w:rsidRDefault="00211738" w:rsidP="00211738"/>
        </w:tc>
        <w:tc>
          <w:tcPr>
            <w:tcW w:w="0" w:type="auto"/>
            <w:hideMark/>
          </w:tcPr>
          <w:p w14:paraId="524470F5" w14:textId="77777777" w:rsidR="00211738" w:rsidRPr="00211738" w:rsidRDefault="00211738" w:rsidP="00211738">
            <w:r w:rsidRPr="00211738">
              <w:t>Age</w:t>
            </w:r>
          </w:p>
        </w:tc>
        <w:tc>
          <w:tcPr>
            <w:tcW w:w="0" w:type="auto"/>
            <w:hideMark/>
          </w:tcPr>
          <w:p w14:paraId="26AE59A5" w14:textId="77777777" w:rsidR="00211738" w:rsidRPr="00211738" w:rsidRDefault="00211738" w:rsidP="00211738">
            <w:r w:rsidRPr="00211738">
              <w:t>.041</w:t>
            </w:r>
          </w:p>
        </w:tc>
        <w:tc>
          <w:tcPr>
            <w:tcW w:w="0" w:type="auto"/>
            <w:hideMark/>
          </w:tcPr>
          <w:p w14:paraId="09B1E556" w14:textId="77777777" w:rsidR="00211738" w:rsidRPr="00211738" w:rsidRDefault="00211738" w:rsidP="00211738">
            <w:r w:rsidRPr="00211738">
              <w:t>.042</w:t>
            </w:r>
          </w:p>
        </w:tc>
        <w:tc>
          <w:tcPr>
            <w:tcW w:w="0" w:type="auto"/>
            <w:hideMark/>
          </w:tcPr>
          <w:p w14:paraId="08B7D848" w14:textId="77777777" w:rsidR="00211738" w:rsidRPr="00211738" w:rsidRDefault="00211738" w:rsidP="00211738">
            <w:r w:rsidRPr="00211738">
              <w:t>.079</w:t>
            </w:r>
          </w:p>
        </w:tc>
        <w:tc>
          <w:tcPr>
            <w:tcW w:w="1049" w:type="dxa"/>
            <w:hideMark/>
          </w:tcPr>
          <w:p w14:paraId="0FF0F2F0" w14:textId="77777777" w:rsidR="00211738" w:rsidRPr="00211738" w:rsidRDefault="00211738" w:rsidP="00211738">
            <w:r w:rsidRPr="00211738">
              <w:t>.01</w:t>
            </w:r>
          </w:p>
        </w:tc>
        <w:tc>
          <w:tcPr>
            <w:tcW w:w="882" w:type="dxa"/>
            <w:hideMark/>
          </w:tcPr>
          <w:p w14:paraId="29A49E2E" w14:textId="77777777" w:rsidR="00211738" w:rsidRPr="00211738" w:rsidRDefault="00211738" w:rsidP="00211738">
            <w:r w:rsidRPr="00211738">
              <w:t>.749</w:t>
            </w:r>
          </w:p>
        </w:tc>
        <w:tc>
          <w:tcPr>
            <w:tcW w:w="1885" w:type="dxa"/>
            <w:hideMark/>
          </w:tcPr>
          <w:p w14:paraId="2B551F02" w14:textId="77777777" w:rsidR="00211738" w:rsidRPr="00211738" w:rsidRDefault="00211738" w:rsidP="00211738">
            <w:r w:rsidRPr="00211738">
              <w:t>−.042, .126</w:t>
            </w:r>
          </w:p>
        </w:tc>
      </w:tr>
      <w:tr w:rsidR="00211738" w:rsidRPr="00211738" w14:paraId="79FD97F2" w14:textId="77777777" w:rsidTr="00D75D24">
        <w:tc>
          <w:tcPr>
            <w:tcW w:w="0" w:type="auto"/>
            <w:hideMark/>
          </w:tcPr>
          <w:p w14:paraId="5D82BCAC" w14:textId="77777777" w:rsidR="00211738" w:rsidRPr="00211738" w:rsidRDefault="00211738" w:rsidP="00211738"/>
        </w:tc>
        <w:tc>
          <w:tcPr>
            <w:tcW w:w="0" w:type="auto"/>
            <w:hideMark/>
          </w:tcPr>
          <w:p w14:paraId="7B8CEB6C" w14:textId="77777777" w:rsidR="00211738" w:rsidRPr="00211738" w:rsidRDefault="00211738" w:rsidP="00211738">
            <w:r w:rsidRPr="00211738">
              <w:t>BMI</w:t>
            </w:r>
          </w:p>
        </w:tc>
        <w:tc>
          <w:tcPr>
            <w:tcW w:w="0" w:type="auto"/>
            <w:hideMark/>
          </w:tcPr>
          <w:p w14:paraId="68307F60" w14:textId="77777777" w:rsidR="00211738" w:rsidRPr="00211738" w:rsidRDefault="00211738" w:rsidP="00211738">
            <w:r w:rsidRPr="00211738">
              <w:t>−.071</w:t>
            </w:r>
          </w:p>
        </w:tc>
        <w:tc>
          <w:tcPr>
            <w:tcW w:w="0" w:type="auto"/>
            <w:hideMark/>
          </w:tcPr>
          <w:p w14:paraId="27936A81" w14:textId="77777777" w:rsidR="00211738" w:rsidRPr="00211738" w:rsidRDefault="00211738" w:rsidP="00211738">
            <w:r w:rsidRPr="00211738">
              <w:t>.059</w:t>
            </w:r>
          </w:p>
        </w:tc>
        <w:tc>
          <w:tcPr>
            <w:tcW w:w="0" w:type="auto"/>
            <w:hideMark/>
          </w:tcPr>
          <w:p w14:paraId="5D69AE87" w14:textId="77777777" w:rsidR="00211738" w:rsidRPr="00211738" w:rsidRDefault="00211738" w:rsidP="00211738">
            <w:r w:rsidRPr="00211738">
              <w:t>−.097</w:t>
            </w:r>
          </w:p>
        </w:tc>
        <w:tc>
          <w:tcPr>
            <w:tcW w:w="1049" w:type="dxa"/>
            <w:hideMark/>
          </w:tcPr>
          <w:p w14:paraId="3A595ED0" w14:textId="77777777" w:rsidR="00211738" w:rsidRPr="00211738" w:rsidRDefault="00211738" w:rsidP="00211738">
            <w:r w:rsidRPr="00211738">
              <w:t>.01</w:t>
            </w:r>
          </w:p>
        </w:tc>
        <w:tc>
          <w:tcPr>
            <w:tcW w:w="882" w:type="dxa"/>
            <w:hideMark/>
          </w:tcPr>
          <w:p w14:paraId="11972F60" w14:textId="77777777" w:rsidR="00211738" w:rsidRPr="00211738" w:rsidRDefault="00211738" w:rsidP="00211738">
            <w:r w:rsidRPr="00211738">
              <w:t>.603</w:t>
            </w:r>
          </w:p>
        </w:tc>
        <w:tc>
          <w:tcPr>
            <w:tcW w:w="1885" w:type="dxa"/>
            <w:hideMark/>
          </w:tcPr>
          <w:p w14:paraId="7001393C" w14:textId="77777777" w:rsidR="00211738" w:rsidRPr="00211738" w:rsidRDefault="00211738" w:rsidP="00211738">
            <w:r w:rsidRPr="00211738">
              <w:t>−.188, .046</w:t>
            </w:r>
          </w:p>
        </w:tc>
      </w:tr>
      <w:tr w:rsidR="00211738" w:rsidRPr="00211738" w14:paraId="4DE96262" w14:textId="77777777" w:rsidTr="00D75D24">
        <w:tc>
          <w:tcPr>
            <w:tcW w:w="0" w:type="auto"/>
            <w:hideMark/>
          </w:tcPr>
          <w:p w14:paraId="10BB2783" w14:textId="77777777" w:rsidR="00211738" w:rsidRPr="00211738" w:rsidRDefault="00211738" w:rsidP="00211738"/>
        </w:tc>
        <w:tc>
          <w:tcPr>
            <w:tcW w:w="0" w:type="auto"/>
            <w:hideMark/>
          </w:tcPr>
          <w:p w14:paraId="76E78528" w14:textId="77777777" w:rsidR="00211738" w:rsidRPr="00211738" w:rsidRDefault="00211738" w:rsidP="00211738">
            <w:r w:rsidRPr="00211738">
              <w:t>Sex</w:t>
            </w:r>
          </w:p>
        </w:tc>
        <w:tc>
          <w:tcPr>
            <w:tcW w:w="0" w:type="auto"/>
            <w:hideMark/>
          </w:tcPr>
          <w:p w14:paraId="2AEC550E" w14:textId="77777777" w:rsidR="00211738" w:rsidRPr="00211738" w:rsidRDefault="00211738" w:rsidP="00211738">
            <w:r w:rsidRPr="00211738">
              <w:t>−.787</w:t>
            </w:r>
          </w:p>
        </w:tc>
        <w:tc>
          <w:tcPr>
            <w:tcW w:w="0" w:type="auto"/>
            <w:hideMark/>
          </w:tcPr>
          <w:p w14:paraId="4787C7F0" w14:textId="77777777" w:rsidR="00211738" w:rsidRPr="00211738" w:rsidRDefault="00211738" w:rsidP="00211738">
            <w:r w:rsidRPr="00211738">
              <w:t>.704</w:t>
            </w:r>
          </w:p>
        </w:tc>
        <w:tc>
          <w:tcPr>
            <w:tcW w:w="0" w:type="auto"/>
            <w:hideMark/>
          </w:tcPr>
          <w:p w14:paraId="3F0E1176" w14:textId="77777777" w:rsidR="00211738" w:rsidRPr="00211738" w:rsidRDefault="00211738" w:rsidP="00211738">
            <w:r w:rsidRPr="00211738">
              <w:t>−.098</w:t>
            </w:r>
          </w:p>
        </w:tc>
        <w:tc>
          <w:tcPr>
            <w:tcW w:w="1049" w:type="dxa"/>
            <w:hideMark/>
          </w:tcPr>
          <w:p w14:paraId="19C0BC74" w14:textId="77777777" w:rsidR="00211738" w:rsidRPr="00211738" w:rsidRDefault="00211738" w:rsidP="00211738">
            <w:r w:rsidRPr="00211738">
              <w:t>.01</w:t>
            </w:r>
          </w:p>
        </w:tc>
        <w:tc>
          <w:tcPr>
            <w:tcW w:w="882" w:type="dxa"/>
            <w:hideMark/>
          </w:tcPr>
          <w:p w14:paraId="120A66CA" w14:textId="77777777" w:rsidR="00211738" w:rsidRPr="00211738" w:rsidRDefault="00211738" w:rsidP="00211738">
            <w:r w:rsidRPr="00211738">
              <w:t>.656</w:t>
            </w:r>
          </w:p>
        </w:tc>
        <w:tc>
          <w:tcPr>
            <w:tcW w:w="1885" w:type="dxa"/>
            <w:hideMark/>
          </w:tcPr>
          <w:p w14:paraId="34161326" w14:textId="77777777" w:rsidR="00211738" w:rsidRPr="00211738" w:rsidRDefault="00211738" w:rsidP="00211738">
            <w:r w:rsidRPr="00211738">
              <w:t>−2.178, .603</w:t>
            </w:r>
          </w:p>
        </w:tc>
      </w:tr>
      <w:tr w:rsidR="00211738" w:rsidRPr="00211738" w14:paraId="15B3F415" w14:textId="77777777" w:rsidTr="00D75D24">
        <w:tc>
          <w:tcPr>
            <w:tcW w:w="0" w:type="auto"/>
            <w:hideMark/>
          </w:tcPr>
          <w:p w14:paraId="0D7031AE" w14:textId="77777777" w:rsidR="00211738" w:rsidRPr="00211738" w:rsidRDefault="00211738" w:rsidP="00211738"/>
        </w:tc>
        <w:tc>
          <w:tcPr>
            <w:tcW w:w="0" w:type="auto"/>
            <w:hideMark/>
          </w:tcPr>
          <w:p w14:paraId="242E9F27" w14:textId="77777777" w:rsidR="00211738" w:rsidRPr="00211738" w:rsidRDefault="00211738" w:rsidP="00211738">
            <w:r w:rsidRPr="00211738">
              <w:t>Surg KOS-ADL</w:t>
            </w:r>
          </w:p>
        </w:tc>
        <w:tc>
          <w:tcPr>
            <w:tcW w:w="0" w:type="auto"/>
            <w:hideMark/>
          </w:tcPr>
          <w:p w14:paraId="2B9C64D3" w14:textId="77777777" w:rsidR="00211738" w:rsidRPr="00211738" w:rsidRDefault="00211738" w:rsidP="00211738">
            <w:r w:rsidRPr="00211738">
              <w:t>.973</w:t>
            </w:r>
          </w:p>
        </w:tc>
        <w:tc>
          <w:tcPr>
            <w:tcW w:w="0" w:type="auto"/>
            <w:hideMark/>
          </w:tcPr>
          <w:p w14:paraId="29D4BB56" w14:textId="77777777" w:rsidR="00211738" w:rsidRPr="00211738" w:rsidRDefault="00211738" w:rsidP="00211738">
            <w:r w:rsidRPr="00211738">
              <w:t>3.716</w:t>
            </w:r>
          </w:p>
        </w:tc>
        <w:tc>
          <w:tcPr>
            <w:tcW w:w="0" w:type="auto"/>
            <w:hideMark/>
          </w:tcPr>
          <w:p w14:paraId="61238D0F" w14:textId="77777777" w:rsidR="00211738" w:rsidRPr="00211738" w:rsidRDefault="00211738" w:rsidP="00211738">
            <w:r w:rsidRPr="00211738">
              <w:t>.033</w:t>
            </w:r>
          </w:p>
        </w:tc>
        <w:tc>
          <w:tcPr>
            <w:tcW w:w="1049" w:type="dxa"/>
            <w:hideMark/>
          </w:tcPr>
          <w:p w14:paraId="2BE768D8" w14:textId="77777777" w:rsidR="00211738" w:rsidRPr="00211738" w:rsidRDefault="00211738" w:rsidP="00211738">
            <w:r w:rsidRPr="00211738">
              <w:t>.00</w:t>
            </w:r>
          </w:p>
        </w:tc>
        <w:tc>
          <w:tcPr>
            <w:tcW w:w="882" w:type="dxa"/>
            <w:hideMark/>
          </w:tcPr>
          <w:p w14:paraId="67ADEBA0" w14:textId="77777777" w:rsidR="00211738" w:rsidRPr="00211738" w:rsidRDefault="00211738" w:rsidP="00211738">
            <w:r w:rsidRPr="00211738">
              <w:t>.996</w:t>
            </w:r>
          </w:p>
        </w:tc>
        <w:tc>
          <w:tcPr>
            <w:tcW w:w="1885" w:type="dxa"/>
            <w:hideMark/>
          </w:tcPr>
          <w:p w14:paraId="16354C11" w14:textId="77777777" w:rsidR="00211738" w:rsidRPr="00211738" w:rsidRDefault="00211738" w:rsidP="00211738">
            <w:r w:rsidRPr="00211738">
              <w:t>−6.365, 8.313</w:t>
            </w:r>
          </w:p>
        </w:tc>
      </w:tr>
      <w:tr w:rsidR="00211738" w:rsidRPr="00211738" w14:paraId="05F58A19" w14:textId="77777777" w:rsidTr="00D75D24">
        <w:tc>
          <w:tcPr>
            <w:tcW w:w="0" w:type="auto"/>
            <w:hideMark/>
          </w:tcPr>
          <w:p w14:paraId="33A77D2E" w14:textId="77777777" w:rsidR="00211738" w:rsidRPr="00211738" w:rsidRDefault="00211738" w:rsidP="00211738"/>
        </w:tc>
        <w:tc>
          <w:tcPr>
            <w:tcW w:w="0" w:type="auto"/>
            <w:hideMark/>
          </w:tcPr>
          <w:p w14:paraId="3B7A265A" w14:textId="77777777" w:rsidR="00211738" w:rsidRPr="00211738" w:rsidRDefault="00211738" w:rsidP="00211738">
            <w:proofErr w:type="spellStart"/>
            <w:r w:rsidRPr="00211738">
              <w:t>NonSurg</w:t>
            </w:r>
            <w:proofErr w:type="spellEnd"/>
            <w:r w:rsidRPr="00211738">
              <w:t xml:space="preserve"> KOS-ADL</w:t>
            </w:r>
          </w:p>
        </w:tc>
        <w:tc>
          <w:tcPr>
            <w:tcW w:w="0" w:type="auto"/>
            <w:hideMark/>
          </w:tcPr>
          <w:p w14:paraId="581E1FF6" w14:textId="77777777" w:rsidR="00211738" w:rsidRPr="00211738" w:rsidRDefault="00211738" w:rsidP="00211738">
            <w:r w:rsidRPr="00211738">
              <w:t>−4.255</w:t>
            </w:r>
          </w:p>
        </w:tc>
        <w:tc>
          <w:tcPr>
            <w:tcW w:w="0" w:type="auto"/>
            <w:hideMark/>
          </w:tcPr>
          <w:p w14:paraId="16BD1555" w14:textId="77777777" w:rsidR="00211738" w:rsidRPr="00211738" w:rsidRDefault="00211738" w:rsidP="00211738">
            <w:r w:rsidRPr="00211738">
              <w:t>3.602</w:t>
            </w:r>
          </w:p>
        </w:tc>
        <w:tc>
          <w:tcPr>
            <w:tcW w:w="0" w:type="auto"/>
            <w:hideMark/>
          </w:tcPr>
          <w:p w14:paraId="6EE8261B" w14:textId="77777777" w:rsidR="00211738" w:rsidRPr="00211738" w:rsidRDefault="00211738" w:rsidP="00211738">
            <w:r w:rsidRPr="00211738">
              <w:t>−.140</w:t>
            </w:r>
          </w:p>
        </w:tc>
        <w:tc>
          <w:tcPr>
            <w:tcW w:w="1049" w:type="dxa"/>
            <w:hideMark/>
          </w:tcPr>
          <w:p w14:paraId="5B0ADDE8" w14:textId="77777777" w:rsidR="00211738" w:rsidRPr="00211738" w:rsidRDefault="00211738" w:rsidP="00211738">
            <w:r w:rsidRPr="00211738">
              <w:t>.01</w:t>
            </w:r>
          </w:p>
        </w:tc>
        <w:tc>
          <w:tcPr>
            <w:tcW w:w="882" w:type="dxa"/>
            <w:hideMark/>
          </w:tcPr>
          <w:p w14:paraId="4AEFF01C" w14:textId="77777777" w:rsidR="00211738" w:rsidRPr="00211738" w:rsidRDefault="00211738" w:rsidP="00211738">
            <w:r w:rsidRPr="00211738">
              <w:t>.612</w:t>
            </w:r>
          </w:p>
        </w:tc>
        <w:tc>
          <w:tcPr>
            <w:tcW w:w="1885" w:type="dxa"/>
            <w:hideMark/>
          </w:tcPr>
          <w:p w14:paraId="71DB5269" w14:textId="77777777" w:rsidR="00211738" w:rsidRPr="00211738" w:rsidRDefault="00211738" w:rsidP="00211738">
            <w:r w:rsidRPr="00211738">
              <w:t>−11.368, 2.856</w:t>
            </w:r>
          </w:p>
        </w:tc>
      </w:tr>
      <w:tr w:rsidR="00211738" w:rsidRPr="00211738" w14:paraId="51A39BB3" w14:textId="77777777" w:rsidTr="00D75D24">
        <w:tc>
          <w:tcPr>
            <w:tcW w:w="0" w:type="auto"/>
            <w:hideMark/>
          </w:tcPr>
          <w:p w14:paraId="37BF8F9D" w14:textId="77777777" w:rsidR="00211738" w:rsidRPr="00211738" w:rsidRDefault="00211738" w:rsidP="00211738"/>
        </w:tc>
        <w:tc>
          <w:tcPr>
            <w:tcW w:w="0" w:type="auto"/>
            <w:hideMark/>
          </w:tcPr>
          <w:p w14:paraId="4AF54C28" w14:textId="77777777" w:rsidR="00211738" w:rsidRPr="00211738" w:rsidRDefault="00211738" w:rsidP="00211738">
            <w:r w:rsidRPr="00211738">
              <w:t>Surg MVIC</w:t>
            </w:r>
          </w:p>
        </w:tc>
        <w:tc>
          <w:tcPr>
            <w:tcW w:w="0" w:type="auto"/>
            <w:hideMark/>
          </w:tcPr>
          <w:p w14:paraId="3F77775E" w14:textId="77777777" w:rsidR="00211738" w:rsidRPr="00211738" w:rsidRDefault="00211738" w:rsidP="00211738">
            <w:r w:rsidRPr="00211738">
              <w:t>.176</w:t>
            </w:r>
          </w:p>
        </w:tc>
        <w:tc>
          <w:tcPr>
            <w:tcW w:w="0" w:type="auto"/>
            <w:hideMark/>
          </w:tcPr>
          <w:p w14:paraId="652B2D02" w14:textId="77777777" w:rsidR="00211738" w:rsidRPr="00211738" w:rsidRDefault="00211738" w:rsidP="00211738">
            <w:r w:rsidRPr="00211738">
              <w:t>.068</w:t>
            </w:r>
          </w:p>
        </w:tc>
        <w:tc>
          <w:tcPr>
            <w:tcW w:w="0" w:type="auto"/>
            <w:hideMark/>
          </w:tcPr>
          <w:p w14:paraId="446A9A17" w14:textId="77777777" w:rsidR="00211738" w:rsidRPr="00211738" w:rsidRDefault="00211738" w:rsidP="00211738">
            <w:r w:rsidRPr="00211738">
              <w:t>.298</w:t>
            </w:r>
          </w:p>
        </w:tc>
        <w:tc>
          <w:tcPr>
            <w:tcW w:w="1049" w:type="dxa"/>
            <w:hideMark/>
          </w:tcPr>
          <w:p w14:paraId="48A64191" w14:textId="77777777" w:rsidR="00211738" w:rsidRPr="00211738" w:rsidRDefault="00211738" w:rsidP="00211738">
            <w:r w:rsidRPr="00211738">
              <w:t>.04</w:t>
            </w:r>
          </w:p>
        </w:tc>
        <w:tc>
          <w:tcPr>
            <w:tcW w:w="882" w:type="dxa"/>
            <w:hideMark/>
          </w:tcPr>
          <w:p w14:paraId="2D2E3005" w14:textId="77777777" w:rsidR="00211738" w:rsidRPr="00211738" w:rsidRDefault="00211738" w:rsidP="00211738">
            <w:r w:rsidRPr="00211738">
              <w:rPr>
                <w:b/>
                <w:bCs/>
              </w:rPr>
              <w:t>.038</w:t>
            </w:r>
            <w:r w:rsidRPr="00211738">
              <w:t> </w:t>
            </w:r>
            <w:hyperlink r:id="rId83" w:anchor="jor24878-tbl3-note-0007_65" w:tooltip="Link to note" w:history="1">
              <w:r w:rsidRPr="00211738">
                <w:rPr>
                  <w:rStyle w:val="Hyperlink"/>
                </w:rPr>
                <w:t>*</w:t>
              </w:r>
            </w:hyperlink>
          </w:p>
        </w:tc>
        <w:tc>
          <w:tcPr>
            <w:tcW w:w="1885" w:type="dxa"/>
            <w:hideMark/>
          </w:tcPr>
          <w:p w14:paraId="5FF4E936" w14:textId="77777777" w:rsidR="00211738" w:rsidRPr="00211738" w:rsidRDefault="00211738" w:rsidP="00211738">
            <w:r w:rsidRPr="00211738">
              <w:t>.040, .311</w:t>
            </w:r>
          </w:p>
        </w:tc>
      </w:tr>
      <w:tr w:rsidR="00211738" w:rsidRPr="00211738" w14:paraId="56352D15" w14:textId="77777777" w:rsidTr="00D75D24">
        <w:tc>
          <w:tcPr>
            <w:tcW w:w="0" w:type="auto"/>
            <w:hideMark/>
          </w:tcPr>
          <w:p w14:paraId="0C990F20" w14:textId="77777777" w:rsidR="00211738" w:rsidRPr="00211738" w:rsidRDefault="00211738" w:rsidP="00211738"/>
        </w:tc>
        <w:tc>
          <w:tcPr>
            <w:tcW w:w="0" w:type="auto"/>
            <w:hideMark/>
          </w:tcPr>
          <w:p w14:paraId="66E60415" w14:textId="77777777" w:rsidR="00211738" w:rsidRPr="00211738" w:rsidRDefault="00211738" w:rsidP="00211738">
            <w:proofErr w:type="spellStart"/>
            <w:r w:rsidRPr="00211738">
              <w:t>NonSurg</w:t>
            </w:r>
            <w:proofErr w:type="spellEnd"/>
            <w:r w:rsidRPr="00211738">
              <w:t xml:space="preserve"> MVIC</w:t>
            </w:r>
          </w:p>
        </w:tc>
        <w:tc>
          <w:tcPr>
            <w:tcW w:w="0" w:type="auto"/>
            <w:hideMark/>
          </w:tcPr>
          <w:p w14:paraId="21378215" w14:textId="77777777" w:rsidR="00211738" w:rsidRPr="00211738" w:rsidRDefault="00211738" w:rsidP="00211738">
            <w:r w:rsidRPr="00211738">
              <w:t>−.184</w:t>
            </w:r>
          </w:p>
        </w:tc>
        <w:tc>
          <w:tcPr>
            <w:tcW w:w="0" w:type="auto"/>
            <w:hideMark/>
          </w:tcPr>
          <w:p w14:paraId="69861B0B" w14:textId="77777777" w:rsidR="00211738" w:rsidRPr="00211738" w:rsidRDefault="00211738" w:rsidP="00211738">
            <w:r w:rsidRPr="00211738">
              <w:t>.065</w:t>
            </w:r>
          </w:p>
        </w:tc>
        <w:tc>
          <w:tcPr>
            <w:tcW w:w="0" w:type="auto"/>
            <w:hideMark/>
          </w:tcPr>
          <w:p w14:paraId="58C876C5" w14:textId="77777777" w:rsidR="00211738" w:rsidRPr="00211738" w:rsidRDefault="00211738" w:rsidP="00211738">
            <w:r w:rsidRPr="00211738">
              <w:t>−.357</w:t>
            </w:r>
          </w:p>
        </w:tc>
        <w:tc>
          <w:tcPr>
            <w:tcW w:w="1049" w:type="dxa"/>
            <w:hideMark/>
          </w:tcPr>
          <w:p w14:paraId="1D81547C" w14:textId="77777777" w:rsidR="00211738" w:rsidRPr="00211738" w:rsidRDefault="00211738" w:rsidP="00211738">
            <w:r w:rsidRPr="00211738">
              <w:t>.05</w:t>
            </w:r>
          </w:p>
        </w:tc>
        <w:tc>
          <w:tcPr>
            <w:tcW w:w="882" w:type="dxa"/>
            <w:hideMark/>
          </w:tcPr>
          <w:p w14:paraId="0592E8A0" w14:textId="77777777" w:rsidR="00211738" w:rsidRPr="00211738" w:rsidRDefault="00211738" w:rsidP="00211738">
            <w:r w:rsidRPr="00211738">
              <w:rPr>
                <w:b/>
                <w:bCs/>
              </w:rPr>
              <w:t>.021</w:t>
            </w:r>
            <w:r w:rsidRPr="00211738">
              <w:t> </w:t>
            </w:r>
            <w:hyperlink r:id="rId84" w:anchor="jor24878-tbl3-note-0007_66" w:tooltip="Link to note" w:history="1">
              <w:r w:rsidRPr="00211738">
                <w:rPr>
                  <w:rStyle w:val="Hyperlink"/>
                </w:rPr>
                <w:t>*</w:t>
              </w:r>
            </w:hyperlink>
          </w:p>
        </w:tc>
        <w:tc>
          <w:tcPr>
            <w:tcW w:w="1885" w:type="dxa"/>
            <w:hideMark/>
          </w:tcPr>
          <w:p w14:paraId="6FF2F1DA" w14:textId="77777777" w:rsidR="00211738" w:rsidRPr="00211738" w:rsidRDefault="00211738" w:rsidP="00211738">
            <w:r w:rsidRPr="00211738">
              <w:t>−.314, −.054</w:t>
            </w:r>
          </w:p>
        </w:tc>
      </w:tr>
      <w:tr w:rsidR="00211738" w:rsidRPr="00211738" w14:paraId="27D3D2B2" w14:textId="77777777" w:rsidTr="00D75D24">
        <w:tc>
          <w:tcPr>
            <w:tcW w:w="0" w:type="auto"/>
            <w:hideMark/>
          </w:tcPr>
          <w:p w14:paraId="510F6641" w14:textId="77777777" w:rsidR="00211738" w:rsidRPr="00211738" w:rsidRDefault="00211738" w:rsidP="00211738"/>
        </w:tc>
        <w:tc>
          <w:tcPr>
            <w:tcW w:w="0" w:type="auto"/>
            <w:hideMark/>
          </w:tcPr>
          <w:p w14:paraId="56D2AD78" w14:textId="77777777" w:rsidR="00211738" w:rsidRPr="00211738" w:rsidRDefault="00211738" w:rsidP="00211738">
            <w:r w:rsidRPr="00211738">
              <w:t>Surg VAS</w:t>
            </w:r>
          </w:p>
        </w:tc>
        <w:tc>
          <w:tcPr>
            <w:tcW w:w="0" w:type="auto"/>
            <w:hideMark/>
          </w:tcPr>
          <w:p w14:paraId="6B55B6F9" w14:textId="77777777" w:rsidR="00211738" w:rsidRPr="00211738" w:rsidRDefault="00211738" w:rsidP="00211738">
            <w:r w:rsidRPr="00211738">
              <w:t>−.305</w:t>
            </w:r>
          </w:p>
        </w:tc>
        <w:tc>
          <w:tcPr>
            <w:tcW w:w="0" w:type="auto"/>
            <w:hideMark/>
          </w:tcPr>
          <w:p w14:paraId="52595B41" w14:textId="77777777" w:rsidR="00211738" w:rsidRPr="00211738" w:rsidRDefault="00211738" w:rsidP="00211738">
            <w:r w:rsidRPr="00211738">
              <w:t>.482</w:t>
            </w:r>
          </w:p>
        </w:tc>
        <w:tc>
          <w:tcPr>
            <w:tcW w:w="0" w:type="auto"/>
            <w:hideMark/>
          </w:tcPr>
          <w:p w14:paraId="490E9C90" w14:textId="77777777" w:rsidR="00211738" w:rsidRPr="00211738" w:rsidRDefault="00211738" w:rsidP="00211738">
            <w:r w:rsidRPr="00211738">
              <w:t>−.074</w:t>
            </w:r>
          </w:p>
        </w:tc>
        <w:tc>
          <w:tcPr>
            <w:tcW w:w="1049" w:type="dxa"/>
            <w:hideMark/>
          </w:tcPr>
          <w:p w14:paraId="509912E2" w14:textId="77777777" w:rsidR="00211738" w:rsidRPr="00211738" w:rsidRDefault="00211738" w:rsidP="00211738">
            <w:r w:rsidRPr="00211738">
              <w:t>.00</w:t>
            </w:r>
          </w:p>
        </w:tc>
        <w:tc>
          <w:tcPr>
            <w:tcW w:w="882" w:type="dxa"/>
            <w:hideMark/>
          </w:tcPr>
          <w:p w14:paraId="1B764863" w14:textId="77777777" w:rsidR="00211738" w:rsidRPr="00211738" w:rsidRDefault="00211738" w:rsidP="00211738">
            <w:r w:rsidRPr="00211738">
              <w:t>.925</w:t>
            </w:r>
          </w:p>
        </w:tc>
        <w:tc>
          <w:tcPr>
            <w:tcW w:w="1885" w:type="dxa"/>
            <w:hideMark/>
          </w:tcPr>
          <w:p w14:paraId="23C3C11A" w14:textId="77777777" w:rsidR="00211738" w:rsidRPr="00211738" w:rsidRDefault="00211738" w:rsidP="00211738">
            <w:r w:rsidRPr="00211738">
              <w:t>−1.258, .646</w:t>
            </w:r>
          </w:p>
        </w:tc>
      </w:tr>
      <w:tr w:rsidR="00211738" w:rsidRPr="00211738" w14:paraId="72F9D6D6" w14:textId="77777777" w:rsidTr="00D75D24">
        <w:tc>
          <w:tcPr>
            <w:tcW w:w="0" w:type="auto"/>
            <w:hideMark/>
          </w:tcPr>
          <w:p w14:paraId="0446BEC0" w14:textId="77777777" w:rsidR="00211738" w:rsidRPr="00211738" w:rsidRDefault="00211738" w:rsidP="00211738"/>
        </w:tc>
        <w:tc>
          <w:tcPr>
            <w:tcW w:w="0" w:type="auto"/>
            <w:hideMark/>
          </w:tcPr>
          <w:p w14:paraId="29107530" w14:textId="77777777" w:rsidR="00211738" w:rsidRPr="00211738" w:rsidRDefault="00211738" w:rsidP="00211738">
            <w:proofErr w:type="spellStart"/>
            <w:r w:rsidRPr="00211738">
              <w:t>NonSurg</w:t>
            </w:r>
            <w:proofErr w:type="spellEnd"/>
            <w:r w:rsidRPr="00211738">
              <w:t xml:space="preserve"> VAS</w:t>
            </w:r>
          </w:p>
        </w:tc>
        <w:tc>
          <w:tcPr>
            <w:tcW w:w="0" w:type="auto"/>
            <w:hideMark/>
          </w:tcPr>
          <w:p w14:paraId="776C7712" w14:textId="77777777" w:rsidR="00211738" w:rsidRPr="00211738" w:rsidRDefault="00211738" w:rsidP="00211738">
            <w:r w:rsidRPr="00211738">
              <w:t>−.071</w:t>
            </w:r>
          </w:p>
        </w:tc>
        <w:tc>
          <w:tcPr>
            <w:tcW w:w="0" w:type="auto"/>
            <w:hideMark/>
          </w:tcPr>
          <w:p w14:paraId="1720D611" w14:textId="77777777" w:rsidR="00211738" w:rsidRPr="00211738" w:rsidRDefault="00211738" w:rsidP="00211738">
            <w:r w:rsidRPr="00211738">
              <w:t>.395</w:t>
            </w:r>
          </w:p>
        </w:tc>
        <w:tc>
          <w:tcPr>
            <w:tcW w:w="0" w:type="auto"/>
            <w:hideMark/>
          </w:tcPr>
          <w:p w14:paraId="61C10CA3" w14:textId="77777777" w:rsidR="00211738" w:rsidRPr="00211738" w:rsidRDefault="00211738" w:rsidP="00211738">
            <w:r w:rsidRPr="00211738">
              <w:t>−.018</w:t>
            </w:r>
          </w:p>
        </w:tc>
        <w:tc>
          <w:tcPr>
            <w:tcW w:w="1049" w:type="dxa"/>
            <w:hideMark/>
          </w:tcPr>
          <w:p w14:paraId="460EA779" w14:textId="77777777" w:rsidR="00211738" w:rsidRPr="00211738" w:rsidRDefault="00211738" w:rsidP="00211738">
            <w:r w:rsidRPr="00211738">
              <w:t>.00</w:t>
            </w:r>
          </w:p>
        </w:tc>
        <w:tc>
          <w:tcPr>
            <w:tcW w:w="882" w:type="dxa"/>
            <w:hideMark/>
          </w:tcPr>
          <w:p w14:paraId="3B3BBA21" w14:textId="77777777" w:rsidR="00211738" w:rsidRPr="00211738" w:rsidRDefault="00211738" w:rsidP="00211738">
            <w:r w:rsidRPr="00211738">
              <w:t>.999</w:t>
            </w:r>
          </w:p>
        </w:tc>
        <w:tc>
          <w:tcPr>
            <w:tcW w:w="1885" w:type="dxa"/>
            <w:hideMark/>
          </w:tcPr>
          <w:p w14:paraId="7D605069" w14:textId="77777777" w:rsidR="00211738" w:rsidRPr="00211738" w:rsidRDefault="00211738" w:rsidP="00211738">
            <w:r w:rsidRPr="00211738">
              <w:t>−.851, .708</w:t>
            </w:r>
          </w:p>
        </w:tc>
      </w:tr>
      <w:tr w:rsidR="00211738" w:rsidRPr="00211738" w14:paraId="79B41990" w14:textId="77777777" w:rsidTr="00D75D24">
        <w:tc>
          <w:tcPr>
            <w:tcW w:w="0" w:type="auto"/>
            <w:hideMark/>
          </w:tcPr>
          <w:p w14:paraId="75B3B1F8" w14:textId="77777777" w:rsidR="00211738" w:rsidRPr="00211738" w:rsidRDefault="00211738" w:rsidP="00211738"/>
        </w:tc>
        <w:tc>
          <w:tcPr>
            <w:tcW w:w="0" w:type="auto"/>
            <w:hideMark/>
          </w:tcPr>
          <w:p w14:paraId="09BF7C65" w14:textId="77777777" w:rsidR="00211738" w:rsidRPr="00211738" w:rsidRDefault="00211738" w:rsidP="00211738">
            <w:r w:rsidRPr="00211738">
              <w:t>Gait speed</w:t>
            </w:r>
          </w:p>
        </w:tc>
        <w:tc>
          <w:tcPr>
            <w:tcW w:w="0" w:type="auto"/>
            <w:hideMark/>
          </w:tcPr>
          <w:p w14:paraId="1213E791" w14:textId="77777777" w:rsidR="00211738" w:rsidRPr="00211738" w:rsidRDefault="00211738" w:rsidP="00211738">
            <w:r w:rsidRPr="00211738">
              <w:t>11.238</w:t>
            </w:r>
          </w:p>
        </w:tc>
        <w:tc>
          <w:tcPr>
            <w:tcW w:w="0" w:type="auto"/>
            <w:hideMark/>
          </w:tcPr>
          <w:p w14:paraId="20A753FC" w14:textId="77777777" w:rsidR="00211738" w:rsidRPr="00211738" w:rsidRDefault="00211738" w:rsidP="00211738">
            <w:r w:rsidRPr="00211738">
              <w:t>2.103</w:t>
            </w:r>
          </w:p>
        </w:tc>
        <w:tc>
          <w:tcPr>
            <w:tcW w:w="0" w:type="auto"/>
            <w:hideMark/>
          </w:tcPr>
          <w:p w14:paraId="4E4DA7C3" w14:textId="77777777" w:rsidR="00211738" w:rsidRPr="00211738" w:rsidRDefault="00211738" w:rsidP="00211738">
            <w:r w:rsidRPr="00211738">
              <w:t>.453</w:t>
            </w:r>
          </w:p>
        </w:tc>
        <w:tc>
          <w:tcPr>
            <w:tcW w:w="1049" w:type="dxa"/>
            <w:hideMark/>
          </w:tcPr>
          <w:p w14:paraId="1429CD0B" w14:textId="77777777" w:rsidR="00211738" w:rsidRPr="00211738" w:rsidRDefault="00211738" w:rsidP="00211738">
            <w:r w:rsidRPr="00211738">
              <w:t>.18</w:t>
            </w:r>
          </w:p>
        </w:tc>
        <w:tc>
          <w:tcPr>
            <w:tcW w:w="882" w:type="dxa"/>
            <w:hideMark/>
          </w:tcPr>
          <w:p w14:paraId="22ABD360" w14:textId="77777777" w:rsidR="00211738" w:rsidRPr="00211738" w:rsidRDefault="00211738" w:rsidP="00211738">
            <w:r w:rsidRPr="00211738">
              <w:rPr>
                <w:b/>
                <w:bCs/>
              </w:rPr>
              <w:t>.000</w:t>
            </w:r>
            <w:r w:rsidRPr="00211738">
              <w:t> </w:t>
            </w:r>
            <w:hyperlink r:id="rId85" w:anchor="jor24878-tbl3-note-0007_67" w:tooltip="Link to note" w:history="1">
              <w:r w:rsidRPr="00211738">
                <w:rPr>
                  <w:rStyle w:val="Hyperlink"/>
                </w:rPr>
                <w:t>*</w:t>
              </w:r>
            </w:hyperlink>
          </w:p>
        </w:tc>
        <w:tc>
          <w:tcPr>
            <w:tcW w:w="1885" w:type="dxa"/>
            <w:hideMark/>
          </w:tcPr>
          <w:p w14:paraId="34D8BC14" w14:textId="77777777" w:rsidR="00211738" w:rsidRPr="00211738" w:rsidRDefault="00211738" w:rsidP="00211738">
            <w:r w:rsidRPr="00211738">
              <w:t>7.085, 15.392</w:t>
            </w:r>
          </w:p>
        </w:tc>
      </w:tr>
      <w:tr w:rsidR="00211738" w:rsidRPr="00211738" w14:paraId="6E4C79A5" w14:textId="77777777" w:rsidTr="00D75D24">
        <w:tc>
          <w:tcPr>
            <w:tcW w:w="0" w:type="auto"/>
            <w:hideMark/>
          </w:tcPr>
          <w:p w14:paraId="0D45A266" w14:textId="77777777" w:rsidR="00211738" w:rsidRPr="00211738" w:rsidRDefault="00211738" w:rsidP="00211738"/>
        </w:tc>
        <w:tc>
          <w:tcPr>
            <w:tcW w:w="0" w:type="auto"/>
            <w:hideMark/>
          </w:tcPr>
          <w:p w14:paraId="4373EAE9" w14:textId="77777777" w:rsidR="00211738" w:rsidRPr="00211738" w:rsidRDefault="00211738" w:rsidP="00211738">
            <w:r w:rsidRPr="00211738">
              <w:t>6MWT</w:t>
            </w:r>
          </w:p>
        </w:tc>
        <w:tc>
          <w:tcPr>
            <w:tcW w:w="0" w:type="auto"/>
            <w:hideMark/>
          </w:tcPr>
          <w:p w14:paraId="5107CDE7" w14:textId="77777777" w:rsidR="00211738" w:rsidRPr="00211738" w:rsidRDefault="00211738" w:rsidP="00211738">
            <w:r w:rsidRPr="00211738">
              <w:t>.002</w:t>
            </w:r>
          </w:p>
        </w:tc>
        <w:tc>
          <w:tcPr>
            <w:tcW w:w="0" w:type="auto"/>
            <w:hideMark/>
          </w:tcPr>
          <w:p w14:paraId="3372E7EB" w14:textId="77777777" w:rsidR="00211738" w:rsidRPr="00211738" w:rsidRDefault="00211738" w:rsidP="00211738">
            <w:r w:rsidRPr="00211738">
              <w:t>.005</w:t>
            </w:r>
          </w:p>
        </w:tc>
        <w:tc>
          <w:tcPr>
            <w:tcW w:w="0" w:type="auto"/>
            <w:hideMark/>
          </w:tcPr>
          <w:p w14:paraId="5A37E368" w14:textId="77777777" w:rsidR="00211738" w:rsidRPr="00211738" w:rsidRDefault="00211738" w:rsidP="00211738">
            <w:r w:rsidRPr="00211738">
              <w:t>.059</w:t>
            </w:r>
          </w:p>
        </w:tc>
        <w:tc>
          <w:tcPr>
            <w:tcW w:w="1049" w:type="dxa"/>
            <w:hideMark/>
          </w:tcPr>
          <w:p w14:paraId="2D1C0019" w14:textId="77777777" w:rsidR="00211738" w:rsidRPr="00211738" w:rsidRDefault="00211738" w:rsidP="00211738">
            <w:r w:rsidRPr="00211738">
              <w:t>.00</w:t>
            </w:r>
          </w:p>
        </w:tc>
        <w:tc>
          <w:tcPr>
            <w:tcW w:w="882" w:type="dxa"/>
            <w:hideMark/>
          </w:tcPr>
          <w:p w14:paraId="263C8777" w14:textId="77777777" w:rsidR="00211738" w:rsidRPr="00211738" w:rsidRDefault="00211738" w:rsidP="00211738">
            <w:r w:rsidRPr="00211738">
              <w:t>.946</w:t>
            </w:r>
          </w:p>
        </w:tc>
        <w:tc>
          <w:tcPr>
            <w:tcW w:w="1885" w:type="dxa"/>
            <w:hideMark/>
          </w:tcPr>
          <w:p w14:paraId="7B25A589" w14:textId="77777777" w:rsidR="00211738" w:rsidRPr="00211738" w:rsidRDefault="00211738" w:rsidP="00211738">
            <w:r w:rsidRPr="00211738">
              <w:t>−.007, .012</w:t>
            </w:r>
          </w:p>
        </w:tc>
      </w:tr>
      <w:tr w:rsidR="00211738" w:rsidRPr="00211738" w14:paraId="5D861B75" w14:textId="77777777" w:rsidTr="00D75D24">
        <w:tc>
          <w:tcPr>
            <w:tcW w:w="0" w:type="auto"/>
            <w:hideMark/>
          </w:tcPr>
          <w:p w14:paraId="06E398F8" w14:textId="77777777" w:rsidR="00211738" w:rsidRPr="00211738" w:rsidRDefault="00211738" w:rsidP="00211738"/>
        </w:tc>
        <w:tc>
          <w:tcPr>
            <w:tcW w:w="0" w:type="auto"/>
            <w:hideMark/>
          </w:tcPr>
          <w:p w14:paraId="64701677" w14:textId="77777777" w:rsidR="00211738" w:rsidRPr="00211738" w:rsidRDefault="00211738" w:rsidP="00211738">
            <w:r w:rsidRPr="00211738">
              <w:t>Time</w:t>
            </w:r>
          </w:p>
        </w:tc>
        <w:tc>
          <w:tcPr>
            <w:tcW w:w="0" w:type="auto"/>
            <w:hideMark/>
          </w:tcPr>
          <w:p w14:paraId="3B1AD229" w14:textId="77777777" w:rsidR="00211738" w:rsidRPr="00211738" w:rsidRDefault="00211738" w:rsidP="00211738">
            <w:r w:rsidRPr="00211738">
              <w:t>.017</w:t>
            </w:r>
          </w:p>
        </w:tc>
        <w:tc>
          <w:tcPr>
            <w:tcW w:w="0" w:type="auto"/>
            <w:hideMark/>
          </w:tcPr>
          <w:p w14:paraId="0EFD3D33" w14:textId="77777777" w:rsidR="00211738" w:rsidRPr="00211738" w:rsidRDefault="00211738" w:rsidP="00211738">
            <w:r w:rsidRPr="00211738">
              <w:t>.029</w:t>
            </w:r>
          </w:p>
        </w:tc>
        <w:tc>
          <w:tcPr>
            <w:tcW w:w="0" w:type="auto"/>
            <w:hideMark/>
          </w:tcPr>
          <w:p w14:paraId="242179E3" w14:textId="77777777" w:rsidR="00211738" w:rsidRPr="00211738" w:rsidRDefault="00211738" w:rsidP="00211738">
            <w:r w:rsidRPr="00211738">
              <w:t>.041</w:t>
            </w:r>
          </w:p>
        </w:tc>
        <w:tc>
          <w:tcPr>
            <w:tcW w:w="1049" w:type="dxa"/>
            <w:hideMark/>
          </w:tcPr>
          <w:p w14:paraId="334DC152" w14:textId="77777777" w:rsidR="00211738" w:rsidRPr="00211738" w:rsidRDefault="00211738" w:rsidP="00211738">
            <w:r w:rsidRPr="00211738">
              <w:t>.00</w:t>
            </w:r>
          </w:p>
        </w:tc>
        <w:tc>
          <w:tcPr>
            <w:tcW w:w="882" w:type="dxa"/>
            <w:hideMark/>
          </w:tcPr>
          <w:p w14:paraId="48FE480C" w14:textId="77777777" w:rsidR="00211738" w:rsidRPr="00211738" w:rsidRDefault="00211738" w:rsidP="00211738">
            <w:r w:rsidRPr="00211738">
              <w:t>.939</w:t>
            </w:r>
          </w:p>
        </w:tc>
        <w:tc>
          <w:tcPr>
            <w:tcW w:w="1885" w:type="dxa"/>
            <w:hideMark/>
          </w:tcPr>
          <w:p w14:paraId="5E1EC55B" w14:textId="77777777" w:rsidR="00211738" w:rsidRPr="00211738" w:rsidRDefault="00211738" w:rsidP="00211738">
            <w:r w:rsidRPr="00211738">
              <w:t>−.045, .075</w:t>
            </w:r>
          </w:p>
        </w:tc>
      </w:tr>
      <w:tr w:rsidR="00DA38FE" w:rsidRPr="00211738" w14:paraId="5B1D31B2" w14:textId="77777777" w:rsidTr="00D75D24">
        <w:tc>
          <w:tcPr>
            <w:tcW w:w="0" w:type="auto"/>
            <w:hideMark/>
          </w:tcPr>
          <w:p w14:paraId="2440ACCC" w14:textId="77777777" w:rsidR="00DA38FE" w:rsidRPr="00211738" w:rsidRDefault="00DA38FE" w:rsidP="00211738">
            <w:r w:rsidRPr="00211738">
              <w:t>Knee flexion excursion (degrees)</w:t>
            </w:r>
          </w:p>
        </w:tc>
        <w:tc>
          <w:tcPr>
            <w:tcW w:w="0" w:type="auto"/>
          </w:tcPr>
          <w:p w14:paraId="7CD84AD1" w14:textId="0792C29D" w:rsidR="00DA38FE" w:rsidRPr="00211738" w:rsidRDefault="00DA38FE" w:rsidP="00211738"/>
        </w:tc>
        <w:tc>
          <w:tcPr>
            <w:tcW w:w="0" w:type="auto"/>
            <w:hideMark/>
          </w:tcPr>
          <w:p w14:paraId="10BB22AC" w14:textId="77777777" w:rsidR="00DA38FE" w:rsidRPr="00211738" w:rsidRDefault="00DA38FE" w:rsidP="00211738"/>
        </w:tc>
        <w:tc>
          <w:tcPr>
            <w:tcW w:w="0" w:type="auto"/>
            <w:hideMark/>
          </w:tcPr>
          <w:p w14:paraId="762DE5F1" w14:textId="77777777" w:rsidR="00DA38FE" w:rsidRPr="00211738" w:rsidRDefault="00DA38FE" w:rsidP="00211738"/>
        </w:tc>
        <w:tc>
          <w:tcPr>
            <w:tcW w:w="0" w:type="auto"/>
            <w:hideMark/>
          </w:tcPr>
          <w:p w14:paraId="59DB3700" w14:textId="77777777" w:rsidR="00DA38FE" w:rsidRPr="00211738" w:rsidRDefault="00DA38FE" w:rsidP="00211738"/>
        </w:tc>
        <w:tc>
          <w:tcPr>
            <w:tcW w:w="1049" w:type="dxa"/>
            <w:hideMark/>
          </w:tcPr>
          <w:p w14:paraId="49D9DCEE" w14:textId="77777777" w:rsidR="00DA38FE" w:rsidRPr="00211738" w:rsidRDefault="00DA38FE" w:rsidP="00211738"/>
        </w:tc>
        <w:tc>
          <w:tcPr>
            <w:tcW w:w="882" w:type="dxa"/>
            <w:hideMark/>
          </w:tcPr>
          <w:p w14:paraId="45FD7FCF" w14:textId="77777777" w:rsidR="00DA38FE" w:rsidRPr="00211738" w:rsidRDefault="00DA38FE" w:rsidP="00211738"/>
        </w:tc>
        <w:tc>
          <w:tcPr>
            <w:tcW w:w="1885" w:type="dxa"/>
            <w:hideMark/>
          </w:tcPr>
          <w:p w14:paraId="291D10E0" w14:textId="77777777" w:rsidR="00DA38FE" w:rsidRPr="00211738" w:rsidRDefault="00DA38FE" w:rsidP="00211738"/>
        </w:tc>
      </w:tr>
      <w:tr w:rsidR="00211738" w:rsidRPr="00211738" w14:paraId="20B3CE3E" w14:textId="77777777" w:rsidTr="00D75D24">
        <w:tc>
          <w:tcPr>
            <w:tcW w:w="0" w:type="auto"/>
            <w:hideMark/>
          </w:tcPr>
          <w:p w14:paraId="0A086F15" w14:textId="77777777" w:rsidR="00211738" w:rsidRPr="00211738" w:rsidRDefault="00211738" w:rsidP="00211738"/>
        </w:tc>
        <w:tc>
          <w:tcPr>
            <w:tcW w:w="0" w:type="auto"/>
            <w:hideMark/>
          </w:tcPr>
          <w:p w14:paraId="009A1DF3" w14:textId="77777777" w:rsidR="00211738" w:rsidRPr="00211738" w:rsidRDefault="00211738" w:rsidP="00211738">
            <w:r w:rsidRPr="00211738">
              <w:t>Age</w:t>
            </w:r>
          </w:p>
        </w:tc>
        <w:tc>
          <w:tcPr>
            <w:tcW w:w="0" w:type="auto"/>
            <w:hideMark/>
          </w:tcPr>
          <w:p w14:paraId="337B91ED" w14:textId="77777777" w:rsidR="00211738" w:rsidRPr="00211738" w:rsidRDefault="00211738" w:rsidP="00211738">
            <w:r w:rsidRPr="00211738">
              <w:t>.016</w:t>
            </w:r>
          </w:p>
        </w:tc>
        <w:tc>
          <w:tcPr>
            <w:tcW w:w="0" w:type="auto"/>
            <w:hideMark/>
          </w:tcPr>
          <w:p w14:paraId="2699EFBE" w14:textId="77777777" w:rsidR="00211738" w:rsidRPr="00211738" w:rsidRDefault="00211738" w:rsidP="00211738">
            <w:r w:rsidRPr="00211738">
              <w:t>.035</w:t>
            </w:r>
          </w:p>
        </w:tc>
        <w:tc>
          <w:tcPr>
            <w:tcW w:w="0" w:type="auto"/>
            <w:hideMark/>
          </w:tcPr>
          <w:p w14:paraId="7A8F054E" w14:textId="77777777" w:rsidR="00211738" w:rsidRPr="00211738" w:rsidRDefault="00211738" w:rsidP="00211738">
            <w:r w:rsidRPr="00211738">
              <w:t>.036</w:t>
            </w:r>
          </w:p>
        </w:tc>
        <w:tc>
          <w:tcPr>
            <w:tcW w:w="1049" w:type="dxa"/>
            <w:hideMark/>
          </w:tcPr>
          <w:p w14:paraId="5BCB6926" w14:textId="77777777" w:rsidR="00211738" w:rsidRPr="00211738" w:rsidRDefault="00211738" w:rsidP="00211738">
            <w:r w:rsidRPr="00211738">
              <w:t>.00</w:t>
            </w:r>
          </w:p>
        </w:tc>
        <w:tc>
          <w:tcPr>
            <w:tcW w:w="882" w:type="dxa"/>
            <w:hideMark/>
          </w:tcPr>
          <w:p w14:paraId="258DB6F1" w14:textId="77777777" w:rsidR="00211738" w:rsidRPr="00211738" w:rsidRDefault="00211738" w:rsidP="00211738">
            <w:r w:rsidRPr="00211738">
              <w:t>.976</w:t>
            </w:r>
          </w:p>
        </w:tc>
        <w:tc>
          <w:tcPr>
            <w:tcW w:w="1885" w:type="dxa"/>
            <w:hideMark/>
          </w:tcPr>
          <w:p w14:paraId="48AFF0C0" w14:textId="77777777" w:rsidR="00211738" w:rsidRPr="00211738" w:rsidRDefault="00211738" w:rsidP="00211738">
            <w:r w:rsidRPr="00211738">
              <w:t>−.053, .086</w:t>
            </w:r>
          </w:p>
        </w:tc>
      </w:tr>
      <w:tr w:rsidR="00211738" w:rsidRPr="00211738" w14:paraId="1F7AB898" w14:textId="77777777" w:rsidTr="00D75D24">
        <w:tc>
          <w:tcPr>
            <w:tcW w:w="0" w:type="auto"/>
            <w:hideMark/>
          </w:tcPr>
          <w:p w14:paraId="2CFBE7DB" w14:textId="77777777" w:rsidR="00211738" w:rsidRPr="00211738" w:rsidRDefault="00211738" w:rsidP="00211738"/>
        </w:tc>
        <w:tc>
          <w:tcPr>
            <w:tcW w:w="0" w:type="auto"/>
            <w:hideMark/>
          </w:tcPr>
          <w:p w14:paraId="56FA9366" w14:textId="77777777" w:rsidR="00211738" w:rsidRPr="00211738" w:rsidRDefault="00211738" w:rsidP="00211738">
            <w:r w:rsidRPr="00211738">
              <w:t>BMI</w:t>
            </w:r>
          </w:p>
        </w:tc>
        <w:tc>
          <w:tcPr>
            <w:tcW w:w="0" w:type="auto"/>
            <w:hideMark/>
          </w:tcPr>
          <w:p w14:paraId="65F59DE6" w14:textId="77777777" w:rsidR="00211738" w:rsidRPr="00211738" w:rsidRDefault="00211738" w:rsidP="00211738">
            <w:r w:rsidRPr="00211738">
              <w:t>.020</w:t>
            </w:r>
          </w:p>
        </w:tc>
        <w:tc>
          <w:tcPr>
            <w:tcW w:w="0" w:type="auto"/>
            <w:hideMark/>
          </w:tcPr>
          <w:p w14:paraId="1AB76556" w14:textId="77777777" w:rsidR="00211738" w:rsidRPr="00211738" w:rsidRDefault="00211738" w:rsidP="00211738">
            <w:r w:rsidRPr="00211738">
              <w:t>.049</w:t>
            </w:r>
          </w:p>
        </w:tc>
        <w:tc>
          <w:tcPr>
            <w:tcW w:w="0" w:type="auto"/>
            <w:hideMark/>
          </w:tcPr>
          <w:p w14:paraId="08B7537C" w14:textId="77777777" w:rsidR="00211738" w:rsidRPr="00211738" w:rsidRDefault="00211738" w:rsidP="00211738">
            <w:r w:rsidRPr="00211738">
              <w:t>.033</w:t>
            </w:r>
          </w:p>
        </w:tc>
        <w:tc>
          <w:tcPr>
            <w:tcW w:w="1049" w:type="dxa"/>
            <w:hideMark/>
          </w:tcPr>
          <w:p w14:paraId="7C0A7B35" w14:textId="77777777" w:rsidR="00211738" w:rsidRPr="00211738" w:rsidRDefault="00211738" w:rsidP="00211738">
            <w:r w:rsidRPr="00211738">
              <w:t>.00</w:t>
            </w:r>
          </w:p>
        </w:tc>
        <w:tc>
          <w:tcPr>
            <w:tcW w:w="882" w:type="dxa"/>
            <w:hideMark/>
          </w:tcPr>
          <w:p w14:paraId="3925A52D" w14:textId="77777777" w:rsidR="00211738" w:rsidRPr="00211738" w:rsidRDefault="00211738" w:rsidP="00211738">
            <w:r w:rsidRPr="00211738">
              <w:t>.982</w:t>
            </w:r>
          </w:p>
        </w:tc>
        <w:tc>
          <w:tcPr>
            <w:tcW w:w="1885" w:type="dxa"/>
            <w:hideMark/>
          </w:tcPr>
          <w:p w14:paraId="743E922D" w14:textId="77777777" w:rsidR="00211738" w:rsidRPr="00211738" w:rsidRDefault="00211738" w:rsidP="00211738">
            <w:r w:rsidRPr="00211738">
              <w:t>−.077, .118</w:t>
            </w:r>
          </w:p>
        </w:tc>
      </w:tr>
      <w:tr w:rsidR="00211738" w:rsidRPr="00211738" w14:paraId="3BCDA3DB" w14:textId="77777777" w:rsidTr="00D75D24">
        <w:tc>
          <w:tcPr>
            <w:tcW w:w="0" w:type="auto"/>
            <w:hideMark/>
          </w:tcPr>
          <w:p w14:paraId="42085697" w14:textId="77777777" w:rsidR="00211738" w:rsidRPr="00211738" w:rsidRDefault="00211738" w:rsidP="00211738"/>
        </w:tc>
        <w:tc>
          <w:tcPr>
            <w:tcW w:w="0" w:type="auto"/>
            <w:hideMark/>
          </w:tcPr>
          <w:p w14:paraId="54EEC19C" w14:textId="77777777" w:rsidR="00211738" w:rsidRPr="00211738" w:rsidRDefault="00211738" w:rsidP="00211738">
            <w:r w:rsidRPr="00211738">
              <w:t>Sex</w:t>
            </w:r>
          </w:p>
        </w:tc>
        <w:tc>
          <w:tcPr>
            <w:tcW w:w="0" w:type="auto"/>
            <w:hideMark/>
          </w:tcPr>
          <w:p w14:paraId="668666F2" w14:textId="77777777" w:rsidR="00211738" w:rsidRPr="00211738" w:rsidRDefault="00211738" w:rsidP="00211738">
            <w:r w:rsidRPr="00211738">
              <w:t>−1.870</w:t>
            </w:r>
          </w:p>
        </w:tc>
        <w:tc>
          <w:tcPr>
            <w:tcW w:w="0" w:type="auto"/>
            <w:hideMark/>
          </w:tcPr>
          <w:p w14:paraId="4D28339F" w14:textId="77777777" w:rsidR="00211738" w:rsidRPr="00211738" w:rsidRDefault="00211738" w:rsidP="00211738">
            <w:r w:rsidRPr="00211738">
              <w:t>.592</w:t>
            </w:r>
          </w:p>
        </w:tc>
        <w:tc>
          <w:tcPr>
            <w:tcW w:w="0" w:type="auto"/>
            <w:hideMark/>
          </w:tcPr>
          <w:p w14:paraId="1A512F35" w14:textId="77777777" w:rsidR="00211738" w:rsidRPr="00211738" w:rsidRDefault="00211738" w:rsidP="00211738">
            <w:r w:rsidRPr="00211738">
              <w:t>−.276</w:t>
            </w:r>
          </w:p>
        </w:tc>
        <w:tc>
          <w:tcPr>
            <w:tcW w:w="1049" w:type="dxa"/>
            <w:hideMark/>
          </w:tcPr>
          <w:p w14:paraId="378CD2EE" w14:textId="77777777" w:rsidR="00211738" w:rsidRPr="00211738" w:rsidRDefault="00211738" w:rsidP="00211738">
            <w:r w:rsidRPr="00211738">
              <w:t>.06</w:t>
            </w:r>
          </w:p>
        </w:tc>
        <w:tc>
          <w:tcPr>
            <w:tcW w:w="882" w:type="dxa"/>
            <w:hideMark/>
          </w:tcPr>
          <w:p w14:paraId="3084C3A9" w14:textId="77777777" w:rsidR="00211738" w:rsidRPr="00211738" w:rsidRDefault="00211738" w:rsidP="00211738">
            <w:r w:rsidRPr="00211738">
              <w:rPr>
                <w:b/>
                <w:bCs/>
              </w:rPr>
              <w:t>.007</w:t>
            </w:r>
            <w:r w:rsidRPr="00211738">
              <w:t> </w:t>
            </w:r>
            <w:hyperlink r:id="rId86" w:anchor="jor24878-tbl3-note-0007_68" w:tooltip="Link to note" w:history="1">
              <w:r w:rsidRPr="00211738">
                <w:rPr>
                  <w:rStyle w:val="Hyperlink"/>
                </w:rPr>
                <w:t>*</w:t>
              </w:r>
            </w:hyperlink>
          </w:p>
        </w:tc>
        <w:tc>
          <w:tcPr>
            <w:tcW w:w="1885" w:type="dxa"/>
            <w:hideMark/>
          </w:tcPr>
          <w:p w14:paraId="70530402" w14:textId="77777777" w:rsidR="00211738" w:rsidRPr="00211738" w:rsidRDefault="00211738" w:rsidP="00211738">
            <w:r w:rsidRPr="00211738">
              <w:t>−3.047, -.706</w:t>
            </w:r>
          </w:p>
        </w:tc>
      </w:tr>
      <w:tr w:rsidR="00211738" w:rsidRPr="00211738" w14:paraId="4617D63A" w14:textId="77777777" w:rsidTr="00D75D24">
        <w:tc>
          <w:tcPr>
            <w:tcW w:w="0" w:type="auto"/>
            <w:hideMark/>
          </w:tcPr>
          <w:p w14:paraId="5B13EE63" w14:textId="77777777" w:rsidR="00211738" w:rsidRPr="00211738" w:rsidRDefault="00211738" w:rsidP="00211738"/>
        </w:tc>
        <w:tc>
          <w:tcPr>
            <w:tcW w:w="0" w:type="auto"/>
            <w:hideMark/>
          </w:tcPr>
          <w:p w14:paraId="26AD2009" w14:textId="77777777" w:rsidR="00211738" w:rsidRPr="00211738" w:rsidRDefault="00211738" w:rsidP="00211738">
            <w:r w:rsidRPr="00211738">
              <w:t>Surg KOS-ADL</w:t>
            </w:r>
          </w:p>
        </w:tc>
        <w:tc>
          <w:tcPr>
            <w:tcW w:w="0" w:type="auto"/>
            <w:hideMark/>
          </w:tcPr>
          <w:p w14:paraId="5AB2CB77" w14:textId="77777777" w:rsidR="00211738" w:rsidRPr="00211738" w:rsidRDefault="00211738" w:rsidP="00211738">
            <w:r w:rsidRPr="00211738">
              <w:t>−.626</w:t>
            </w:r>
          </w:p>
        </w:tc>
        <w:tc>
          <w:tcPr>
            <w:tcW w:w="0" w:type="auto"/>
            <w:hideMark/>
          </w:tcPr>
          <w:p w14:paraId="1834780A" w14:textId="77777777" w:rsidR="00211738" w:rsidRPr="00211738" w:rsidRDefault="00211738" w:rsidP="00211738">
            <w:r w:rsidRPr="00211738">
              <w:t>3.068</w:t>
            </w:r>
          </w:p>
        </w:tc>
        <w:tc>
          <w:tcPr>
            <w:tcW w:w="0" w:type="auto"/>
            <w:hideMark/>
          </w:tcPr>
          <w:p w14:paraId="2FEDC903" w14:textId="77777777" w:rsidR="00211738" w:rsidRPr="00211738" w:rsidRDefault="00211738" w:rsidP="00211738">
            <w:r w:rsidRPr="00211738">
              <w:t>−.025</w:t>
            </w:r>
          </w:p>
        </w:tc>
        <w:tc>
          <w:tcPr>
            <w:tcW w:w="1049" w:type="dxa"/>
            <w:hideMark/>
          </w:tcPr>
          <w:p w14:paraId="50454677" w14:textId="77777777" w:rsidR="00211738" w:rsidRPr="00211738" w:rsidRDefault="00211738" w:rsidP="00211738">
            <w:r w:rsidRPr="00211738">
              <w:t>.00</w:t>
            </w:r>
          </w:p>
        </w:tc>
        <w:tc>
          <w:tcPr>
            <w:tcW w:w="882" w:type="dxa"/>
            <w:hideMark/>
          </w:tcPr>
          <w:p w14:paraId="0CAD1CEC" w14:textId="77777777" w:rsidR="00211738" w:rsidRPr="00211738" w:rsidRDefault="00211738" w:rsidP="00211738">
            <w:r w:rsidRPr="00211738">
              <w:t>.999</w:t>
            </w:r>
          </w:p>
        </w:tc>
        <w:tc>
          <w:tcPr>
            <w:tcW w:w="1885" w:type="dxa"/>
            <w:hideMark/>
          </w:tcPr>
          <w:p w14:paraId="683B4D78" w14:textId="77777777" w:rsidR="00211738" w:rsidRPr="00211738" w:rsidRDefault="00211738" w:rsidP="00211738">
            <w:r w:rsidRPr="00211738">
              <w:t>−6.686, 5.433</w:t>
            </w:r>
          </w:p>
        </w:tc>
      </w:tr>
      <w:tr w:rsidR="00211738" w:rsidRPr="00211738" w14:paraId="0B40F1B1" w14:textId="77777777" w:rsidTr="00D75D24">
        <w:tc>
          <w:tcPr>
            <w:tcW w:w="0" w:type="auto"/>
            <w:hideMark/>
          </w:tcPr>
          <w:p w14:paraId="1B823C8C" w14:textId="77777777" w:rsidR="00211738" w:rsidRPr="00211738" w:rsidRDefault="00211738" w:rsidP="00211738"/>
        </w:tc>
        <w:tc>
          <w:tcPr>
            <w:tcW w:w="0" w:type="auto"/>
            <w:hideMark/>
          </w:tcPr>
          <w:p w14:paraId="6E5999A7" w14:textId="77777777" w:rsidR="00211738" w:rsidRPr="00211738" w:rsidRDefault="00211738" w:rsidP="00211738">
            <w:proofErr w:type="spellStart"/>
            <w:r w:rsidRPr="00211738">
              <w:t>NonSurg</w:t>
            </w:r>
            <w:proofErr w:type="spellEnd"/>
            <w:r w:rsidRPr="00211738">
              <w:t xml:space="preserve"> KOS-ADL</w:t>
            </w:r>
          </w:p>
        </w:tc>
        <w:tc>
          <w:tcPr>
            <w:tcW w:w="0" w:type="auto"/>
            <w:hideMark/>
          </w:tcPr>
          <w:p w14:paraId="7E6890DA" w14:textId="77777777" w:rsidR="00211738" w:rsidRPr="00211738" w:rsidRDefault="00211738" w:rsidP="00211738">
            <w:r w:rsidRPr="00211738">
              <w:t>−.811</w:t>
            </w:r>
          </w:p>
        </w:tc>
        <w:tc>
          <w:tcPr>
            <w:tcW w:w="0" w:type="auto"/>
            <w:hideMark/>
          </w:tcPr>
          <w:p w14:paraId="0C89FEB3" w14:textId="77777777" w:rsidR="00211738" w:rsidRPr="00211738" w:rsidRDefault="00211738" w:rsidP="00211738">
            <w:r w:rsidRPr="00211738">
              <w:t>2.998</w:t>
            </w:r>
          </w:p>
        </w:tc>
        <w:tc>
          <w:tcPr>
            <w:tcW w:w="0" w:type="auto"/>
            <w:hideMark/>
          </w:tcPr>
          <w:p w14:paraId="24FCC41D" w14:textId="77777777" w:rsidR="00211738" w:rsidRPr="00211738" w:rsidRDefault="00211738" w:rsidP="00211738">
            <w:r w:rsidRPr="00211738">
              <w:t>.031</w:t>
            </w:r>
          </w:p>
        </w:tc>
        <w:tc>
          <w:tcPr>
            <w:tcW w:w="1049" w:type="dxa"/>
            <w:hideMark/>
          </w:tcPr>
          <w:p w14:paraId="0FFC5106" w14:textId="77777777" w:rsidR="00211738" w:rsidRPr="00211738" w:rsidRDefault="00211738" w:rsidP="00211738">
            <w:r w:rsidRPr="00211738">
              <w:t>.00</w:t>
            </w:r>
          </w:p>
        </w:tc>
        <w:tc>
          <w:tcPr>
            <w:tcW w:w="882" w:type="dxa"/>
            <w:hideMark/>
          </w:tcPr>
          <w:p w14:paraId="5DBD0767" w14:textId="77777777" w:rsidR="00211738" w:rsidRPr="00211738" w:rsidRDefault="00211738" w:rsidP="00211738">
            <w:r w:rsidRPr="00211738">
              <w:t>.996</w:t>
            </w:r>
          </w:p>
        </w:tc>
        <w:tc>
          <w:tcPr>
            <w:tcW w:w="1885" w:type="dxa"/>
            <w:hideMark/>
          </w:tcPr>
          <w:p w14:paraId="37D1EB69" w14:textId="77777777" w:rsidR="00211738" w:rsidRPr="00211738" w:rsidRDefault="00211738" w:rsidP="00211738">
            <w:r w:rsidRPr="00211738">
              <w:t>−6.733, 5.109</w:t>
            </w:r>
          </w:p>
        </w:tc>
      </w:tr>
      <w:tr w:rsidR="00211738" w:rsidRPr="00211738" w14:paraId="7AFC260B" w14:textId="77777777" w:rsidTr="00D75D24">
        <w:tc>
          <w:tcPr>
            <w:tcW w:w="0" w:type="auto"/>
            <w:hideMark/>
          </w:tcPr>
          <w:p w14:paraId="5584BEE8" w14:textId="77777777" w:rsidR="00211738" w:rsidRPr="00211738" w:rsidRDefault="00211738" w:rsidP="00211738"/>
        </w:tc>
        <w:tc>
          <w:tcPr>
            <w:tcW w:w="0" w:type="auto"/>
            <w:hideMark/>
          </w:tcPr>
          <w:p w14:paraId="609CBF8B" w14:textId="77777777" w:rsidR="00211738" w:rsidRPr="00211738" w:rsidRDefault="00211738" w:rsidP="00211738">
            <w:r w:rsidRPr="00211738">
              <w:t>Surg MVIC</w:t>
            </w:r>
          </w:p>
        </w:tc>
        <w:tc>
          <w:tcPr>
            <w:tcW w:w="0" w:type="auto"/>
            <w:hideMark/>
          </w:tcPr>
          <w:p w14:paraId="786D1B99" w14:textId="77777777" w:rsidR="00211738" w:rsidRPr="00211738" w:rsidRDefault="00211738" w:rsidP="00211738">
            <w:r w:rsidRPr="00211738">
              <w:t>.084</w:t>
            </w:r>
          </w:p>
        </w:tc>
        <w:tc>
          <w:tcPr>
            <w:tcW w:w="0" w:type="auto"/>
            <w:hideMark/>
          </w:tcPr>
          <w:p w14:paraId="0CC8B033" w14:textId="77777777" w:rsidR="00211738" w:rsidRPr="00211738" w:rsidRDefault="00211738" w:rsidP="00211738">
            <w:r w:rsidRPr="00211738">
              <w:t>.057</w:t>
            </w:r>
          </w:p>
        </w:tc>
        <w:tc>
          <w:tcPr>
            <w:tcW w:w="0" w:type="auto"/>
            <w:hideMark/>
          </w:tcPr>
          <w:p w14:paraId="0A1C527F" w14:textId="77777777" w:rsidR="00211738" w:rsidRPr="00211738" w:rsidRDefault="00211738" w:rsidP="00211738">
            <w:r w:rsidRPr="00211738">
              <w:t>.168</w:t>
            </w:r>
          </w:p>
        </w:tc>
        <w:tc>
          <w:tcPr>
            <w:tcW w:w="1049" w:type="dxa"/>
            <w:hideMark/>
          </w:tcPr>
          <w:p w14:paraId="7B958DED" w14:textId="77777777" w:rsidR="00211738" w:rsidRPr="00211738" w:rsidRDefault="00211738" w:rsidP="00211738">
            <w:r w:rsidRPr="00211738">
              <w:t>.01</w:t>
            </w:r>
          </w:p>
        </w:tc>
        <w:tc>
          <w:tcPr>
            <w:tcW w:w="882" w:type="dxa"/>
            <w:hideMark/>
          </w:tcPr>
          <w:p w14:paraId="3372BB5A" w14:textId="77777777" w:rsidR="00211738" w:rsidRPr="00211738" w:rsidRDefault="00211738" w:rsidP="00211738">
            <w:r w:rsidRPr="00211738">
              <w:t>.417</w:t>
            </w:r>
          </w:p>
        </w:tc>
        <w:tc>
          <w:tcPr>
            <w:tcW w:w="1885" w:type="dxa"/>
            <w:hideMark/>
          </w:tcPr>
          <w:p w14:paraId="538A4815" w14:textId="77777777" w:rsidR="00211738" w:rsidRPr="00211738" w:rsidRDefault="00211738" w:rsidP="00211738">
            <w:r w:rsidRPr="00211738">
              <w:t>−.027, .197</w:t>
            </w:r>
          </w:p>
        </w:tc>
      </w:tr>
      <w:tr w:rsidR="00211738" w:rsidRPr="00211738" w14:paraId="18945A3D" w14:textId="77777777" w:rsidTr="00D75D24">
        <w:tc>
          <w:tcPr>
            <w:tcW w:w="0" w:type="auto"/>
            <w:hideMark/>
          </w:tcPr>
          <w:p w14:paraId="364C5AB9" w14:textId="77777777" w:rsidR="00211738" w:rsidRPr="00211738" w:rsidRDefault="00211738" w:rsidP="00211738"/>
        </w:tc>
        <w:tc>
          <w:tcPr>
            <w:tcW w:w="0" w:type="auto"/>
            <w:hideMark/>
          </w:tcPr>
          <w:p w14:paraId="2A41463F" w14:textId="77777777" w:rsidR="00211738" w:rsidRPr="00211738" w:rsidRDefault="00211738" w:rsidP="00211738">
            <w:proofErr w:type="spellStart"/>
            <w:r w:rsidRPr="00211738">
              <w:t>NonSurg</w:t>
            </w:r>
            <w:proofErr w:type="spellEnd"/>
            <w:r w:rsidRPr="00211738">
              <w:t xml:space="preserve"> MVIC</w:t>
            </w:r>
          </w:p>
        </w:tc>
        <w:tc>
          <w:tcPr>
            <w:tcW w:w="0" w:type="auto"/>
            <w:hideMark/>
          </w:tcPr>
          <w:p w14:paraId="2530ACF7" w14:textId="77777777" w:rsidR="00211738" w:rsidRPr="00211738" w:rsidRDefault="00211738" w:rsidP="00211738">
            <w:r w:rsidRPr="00211738">
              <w:t>−.019</w:t>
            </w:r>
          </w:p>
        </w:tc>
        <w:tc>
          <w:tcPr>
            <w:tcW w:w="0" w:type="auto"/>
            <w:hideMark/>
          </w:tcPr>
          <w:p w14:paraId="57683D8C" w14:textId="77777777" w:rsidR="00211738" w:rsidRPr="00211738" w:rsidRDefault="00211738" w:rsidP="00211738">
            <w:r w:rsidRPr="00211738">
              <w:t>.055</w:t>
            </w:r>
          </w:p>
        </w:tc>
        <w:tc>
          <w:tcPr>
            <w:tcW w:w="0" w:type="auto"/>
            <w:hideMark/>
          </w:tcPr>
          <w:p w14:paraId="550DF814" w14:textId="77777777" w:rsidR="00211738" w:rsidRPr="00211738" w:rsidRDefault="00211738" w:rsidP="00211738">
            <w:r w:rsidRPr="00211738">
              <w:t>−.043</w:t>
            </w:r>
          </w:p>
        </w:tc>
        <w:tc>
          <w:tcPr>
            <w:tcW w:w="1049" w:type="dxa"/>
            <w:hideMark/>
          </w:tcPr>
          <w:p w14:paraId="13F2F767" w14:textId="77777777" w:rsidR="00211738" w:rsidRPr="00211738" w:rsidRDefault="00211738" w:rsidP="00211738">
            <w:r w:rsidRPr="00211738">
              <w:t>.00</w:t>
            </w:r>
          </w:p>
        </w:tc>
        <w:tc>
          <w:tcPr>
            <w:tcW w:w="882" w:type="dxa"/>
            <w:hideMark/>
          </w:tcPr>
          <w:p w14:paraId="6B09DF9D" w14:textId="77777777" w:rsidR="00211738" w:rsidRPr="00211738" w:rsidRDefault="00211738" w:rsidP="00211738">
            <w:r w:rsidRPr="00211738">
              <w:t>.991</w:t>
            </w:r>
          </w:p>
        </w:tc>
        <w:tc>
          <w:tcPr>
            <w:tcW w:w="1885" w:type="dxa"/>
            <w:hideMark/>
          </w:tcPr>
          <w:p w14:paraId="74D488E3" w14:textId="77777777" w:rsidR="00211738" w:rsidRPr="00211738" w:rsidRDefault="00211738" w:rsidP="00211738">
            <w:r w:rsidRPr="00211738">
              <w:t>−.128, .089</w:t>
            </w:r>
          </w:p>
        </w:tc>
      </w:tr>
      <w:tr w:rsidR="00211738" w:rsidRPr="00211738" w14:paraId="18F19E4B" w14:textId="77777777" w:rsidTr="00D75D24">
        <w:tc>
          <w:tcPr>
            <w:tcW w:w="0" w:type="auto"/>
            <w:hideMark/>
          </w:tcPr>
          <w:p w14:paraId="0E568DAF" w14:textId="77777777" w:rsidR="00211738" w:rsidRPr="00211738" w:rsidRDefault="00211738" w:rsidP="00211738"/>
        </w:tc>
        <w:tc>
          <w:tcPr>
            <w:tcW w:w="0" w:type="auto"/>
            <w:hideMark/>
          </w:tcPr>
          <w:p w14:paraId="29863CE8" w14:textId="77777777" w:rsidR="00211738" w:rsidRPr="00211738" w:rsidRDefault="00211738" w:rsidP="00211738">
            <w:r w:rsidRPr="00211738">
              <w:t>Surg VAS</w:t>
            </w:r>
          </w:p>
        </w:tc>
        <w:tc>
          <w:tcPr>
            <w:tcW w:w="0" w:type="auto"/>
            <w:hideMark/>
          </w:tcPr>
          <w:p w14:paraId="1DDB4AF4" w14:textId="77777777" w:rsidR="00211738" w:rsidRPr="00211738" w:rsidRDefault="00211738" w:rsidP="00211738">
            <w:r w:rsidRPr="00211738">
              <w:t>−.657</w:t>
            </w:r>
          </w:p>
        </w:tc>
        <w:tc>
          <w:tcPr>
            <w:tcW w:w="0" w:type="auto"/>
            <w:hideMark/>
          </w:tcPr>
          <w:p w14:paraId="00D72EBD" w14:textId="77777777" w:rsidR="00211738" w:rsidRPr="00211738" w:rsidRDefault="00211738" w:rsidP="00211738">
            <w:r w:rsidRPr="00211738">
              <w:t>.402</w:t>
            </w:r>
          </w:p>
        </w:tc>
        <w:tc>
          <w:tcPr>
            <w:tcW w:w="0" w:type="auto"/>
            <w:hideMark/>
          </w:tcPr>
          <w:p w14:paraId="5A28AFB2" w14:textId="77777777" w:rsidR="00211738" w:rsidRPr="00211738" w:rsidRDefault="00211738" w:rsidP="00211738">
            <w:r w:rsidRPr="00211738">
              <w:t>−.186</w:t>
            </w:r>
          </w:p>
        </w:tc>
        <w:tc>
          <w:tcPr>
            <w:tcW w:w="1049" w:type="dxa"/>
            <w:hideMark/>
          </w:tcPr>
          <w:p w14:paraId="65E931DB" w14:textId="77777777" w:rsidR="00211738" w:rsidRPr="00211738" w:rsidRDefault="00211738" w:rsidP="00211738">
            <w:r w:rsidRPr="00211738">
              <w:t>.02</w:t>
            </w:r>
          </w:p>
        </w:tc>
        <w:tc>
          <w:tcPr>
            <w:tcW w:w="882" w:type="dxa"/>
            <w:hideMark/>
          </w:tcPr>
          <w:p w14:paraId="3E2A7CF8" w14:textId="77777777" w:rsidR="00211738" w:rsidRPr="00211738" w:rsidRDefault="00211738" w:rsidP="00211738">
            <w:r w:rsidRPr="00211738">
              <w:t>.330</w:t>
            </w:r>
          </w:p>
        </w:tc>
        <w:tc>
          <w:tcPr>
            <w:tcW w:w="1885" w:type="dxa"/>
            <w:hideMark/>
          </w:tcPr>
          <w:p w14:paraId="7F090AD6" w14:textId="77777777" w:rsidR="00211738" w:rsidRPr="00211738" w:rsidRDefault="00211738" w:rsidP="00211738">
            <w:r w:rsidRPr="00211738">
              <w:t>−1.453, .138</w:t>
            </w:r>
          </w:p>
        </w:tc>
      </w:tr>
      <w:tr w:rsidR="00211738" w:rsidRPr="00211738" w14:paraId="2ACAE810" w14:textId="77777777" w:rsidTr="00D75D24">
        <w:tc>
          <w:tcPr>
            <w:tcW w:w="0" w:type="auto"/>
            <w:hideMark/>
          </w:tcPr>
          <w:p w14:paraId="0852621D" w14:textId="77777777" w:rsidR="00211738" w:rsidRPr="00211738" w:rsidRDefault="00211738" w:rsidP="00211738"/>
        </w:tc>
        <w:tc>
          <w:tcPr>
            <w:tcW w:w="0" w:type="auto"/>
            <w:hideMark/>
          </w:tcPr>
          <w:p w14:paraId="5B8AB538" w14:textId="77777777" w:rsidR="00211738" w:rsidRPr="00211738" w:rsidRDefault="00211738" w:rsidP="00211738">
            <w:proofErr w:type="spellStart"/>
            <w:r w:rsidRPr="00211738">
              <w:t>NonSurg</w:t>
            </w:r>
            <w:proofErr w:type="spellEnd"/>
            <w:r w:rsidRPr="00211738">
              <w:t xml:space="preserve"> VAS</w:t>
            </w:r>
          </w:p>
        </w:tc>
        <w:tc>
          <w:tcPr>
            <w:tcW w:w="0" w:type="auto"/>
            <w:hideMark/>
          </w:tcPr>
          <w:p w14:paraId="73571881" w14:textId="77777777" w:rsidR="00211738" w:rsidRPr="00211738" w:rsidRDefault="00211738" w:rsidP="00211738">
            <w:r w:rsidRPr="00211738">
              <w:t>.174</w:t>
            </w:r>
          </w:p>
        </w:tc>
        <w:tc>
          <w:tcPr>
            <w:tcW w:w="0" w:type="auto"/>
            <w:hideMark/>
          </w:tcPr>
          <w:p w14:paraId="6F541408" w14:textId="77777777" w:rsidR="00211738" w:rsidRPr="00211738" w:rsidRDefault="00211738" w:rsidP="00211738">
            <w:r w:rsidRPr="00211738">
              <w:t>.326</w:t>
            </w:r>
          </w:p>
        </w:tc>
        <w:tc>
          <w:tcPr>
            <w:tcW w:w="0" w:type="auto"/>
            <w:hideMark/>
          </w:tcPr>
          <w:p w14:paraId="07916AD3" w14:textId="77777777" w:rsidR="00211738" w:rsidRPr="00211738" w:rsidRDefault="00211738" w:rsidP="00211738">
            <w:r w:rsidRPr="00211738">
              <w:t>.053</w:t>
            </w:r>
          </w:p>
        </w:tc>
        <w:tc>
          <w:tcPr>
            <w:tcW w:w="1049" w:type="dxa"/>
            <w:hideMark/>
          </w:tcPr>
          <w:p w14:paraId="70BBD420" w14:textId="77777777" w:rsidR="00211738" w:rsidRPr="00211738" w:rsidRDefault="00211738" w:rsidP="00211738">
            <w:r w:rsidRPr="00211738">
              <w:t>.00</w:t>
            </w:r>
          </w:p>
        </w:tc>
        <w:tc>
          <w:tcPr>
            <w:tcW w:w="882" w:type="dxa"/>
            <w:hideMark/>
          </w:tcPr>
          <w:p w14:paraId="70C5C7A8" w14:textId="77777777" w:rsidR="00211738" w:rsidRPr="00211738" w:rsidRDefault="00211738" w:rsidP="00211738">
            <w:r w:rsidRPr="00211738">
              <w:t>.961</w:t>
            </w:r>
          </w:p>
        </w:tc>
        <w:tc>
          <w:tcPr>
            <w:tcW w:w="1885" w:type="dxa"/>
            <w:hideMark/>
          </w:tcPr>
          <w:p w14:paraId="6E8977EE" w14:textId="77777777" w:rsidR="00211738" w:rsidRPr="00211738" w:rsidRDefault="00211738" w:rsidP="00211738">
            <w:r w:rsidRPr="00211738">
              <w:t>−.470, .819</w:t>
            </w:r>
          </w:p>
        </w:tc>
      </w:tr>
      <w:tr w:rsidR="00211738" w:rsidRPr="00211738" w14:paraId="1731DDB3" w14:textId="77777777" w:rsidTr="00D75D24">
        <w:tc>
          <w:tcPr>
            <w:tcW w:w="0" w:type="auto"/>
            <w:hideMark/>
          </w:tcPr>
          <w:p w14:paraId="4535785E" w14:textId="77777777" w:rsidR="00211738" w:rsidRPr="00211738" w:rsidRDefault="00211738" w:rsidP="00211738"/>
        </w:tc>
        <w:tc>
          <w:tcPr>
            <w:tcW w:w="0" w:type="auto"/>
            <w:hideMark/>
          </w:tcPr>
          <w:p w14:paraId="2F577DB9" w14:textId="77777777" w:rsidR="00211738" w:rsidRPr="00211738" w:rsidRDefault="00211738" w:rsidP="00211738">
            <w:r w:rsidRPr="00211738">
              <w:t>Gait speed</w:t>
            </w:r>
          </w:p>
        </w:tc>
        <w:tc>
          <w:tcPr>
            <w:tcW w:w="0" w:type="auto"/>
            <w:hideMark/>
          </w:tcPr>
          <w:p w14:paraId="4A7EF84D" w14:textId="77777777" w:rsidR="00211738" w:rsidRPr="00211738" w:rsidRDefault="00211738" w:rsidP="00211738">
            <w:r w:rsidRPr="00211738">
              <w:t>6.581</w:t>
            </w:r>
          </w:p>
        </w:tc>
        <w:tc>
          <w:tcPr>
            <w:tcW w:w="0" w:type="auto"/>
            <w:hideMark/>
          </w:tcPr>
          <w:p w14:paraId="04087080" w14:textId="77777777" w:rsidR="00211738" w:rsidRPr="00211738" w:rsidRDefault="00211738" w:rsidP="00211738">
            <w:r w:rsidRPr="00211738">
              <w:t>1.724</w:t>
            </w:r>
          </w:p>
        </w:tc>
        <w:tc>
          <w:tcPr>
            <w:tcW w:w="0" w:type="auto"/>
            <w:hideMark/>
          </w:tcPr>
          <w:p w14:paraId="52D09FC3" w14:textId="77777777" w:rsidR="00211738" w:rsidRPr="00211738" w:rsidRDefault="00211738" w:rsidP="00211738">
            <w:r w:rsidRPr="00211738">
              <w:t>.318</w:t>
            </w:r>
          </w:p>
        </w:tc>
        <w:tc>
          <w:tcPr>
            <w:tcW w:w="1049" w:type="dxa"/>
            <w:hideMark/>
          </w:tcPr>
          <w:p w14:paraId="288DDDB3" w14:textId="77777777" w:rsidR="00211738" w:rsidRPr="00211738" w:rsidRDefault="00211738" w:rsidP="00211738">
            <w:r w:rsidRPr="00211738">
              <w:t>.09</w:t>
            </w:r>
          </w:p>
        </w:tc>
        <w:tc>
          <w:tcPr>
            <w:tcW w:w="882" w:type="dxa"/>
            <w:hideMark/>
          </w:tcPr>
          <w:p w14:paraId="657ED80B" w14:textId="77777777" w:rsidR="00211738" w:rsidRPr="00211738" w:rsidRDefault="00211738" w:rsidP="00211738">
            <w:r w:rsidRPr="00211738">
              <w:rPr>
                <w:b/>
                <w:bCs/>
              </w:rPr>
              <w:t>.000</w:t>
            </w:r>
            <w:r w:rsidRPr="00211738">
              <w:t> </w:t>
            </w:r>
            <w:hyperlink r:id="rId87" w:anchor="jor24878-tbl3-note-0007_69" w:tooltip="Link to note" w:history="1">
              <w:r w:rsidRPr="00211738">
                <w:rPr>
                  <w:rStyle w:val="Hyperlink"/>
                </w:rPr>
                <w:t>*</w:t>
              </w:r>
            </w:hyperlink>
          </w:p>
        </w:tc>
        <w:tc>
          <w:tcPr>
            <w:tcW w:w="1885" w:type="dxa"/>
            <w:hideMark/>
          </w:tcPr>
          <w:p w14:paraId="4E330ACB" w14:textId="77777777" w:rsidR="00211738" w:rsidRPr="00211738" w:rsidRDefault="00211738" w:rsidP="00211738">
            <w:r w:rsidRPr="00211738">
              <w:t>3.175, 9.987</w:t>
            </w:r>
          </w:p>
        </w:tc>
      </w:tr>
      <w:tr w:rsidR="00211738" w:rsidRPr="00211738" w14:paraId="2AAECA52" w14:textId="77777777" w:rsidTr="00D75D24">
        <w:tc>
          <w:tcPr>
            <w:tcW w:w="0" w:type="auto"/>
            <w:hideMark/>
          </w:tcPr>
          <w:p w14:paraId="6F12C83C" w14:textId="77777777" w:rsidR="00211738" w:rsidRPr="00211738" w:rsidRDefault="00211738" w:rsidP="00211738"/>
        </w:tc>
        <w:tc>
          <w:tcPr>
            <w:tcW w:w="0" w:type="auto"/>
            <w:hideMark/>
          </w:tcPr>
          <w:p w14:paraId="3E988615" w14:textId="77777777" w:rsidR="00211738" w:rsidRPr="00211738" w:rsidRDefault="00211738" w:rsidP="00211738">
            <w:r w:rsidRPr="00211738">
              <w:t>6MWT</w:t>
            </w:r>
          </w:p>
        </w:tc>
        <w:tc>
          <w:tcPr>
            <w:tcW w:w="0" w:type="auto"/>
            <w:hideMark/>
          </w:tcPr>
          <w:p w14:paraId="7C5C96D6" w14:textId="77777777" w:rsidR="00211738" w:rsidRPr="00211738" w:rsidRDefault="00211738" w:rsidP="00211738">
            <w:r w:rsidRPr="00211738">
              <w:t>.001</w:t>
            </w:r>
          </w:p>
        </w:tc>
        <w:tc>
          <w:tcPr>
            <w:tcW w:w="0" w:type="auto"/>
            <w:hideMark/>
          </w:tcPr>
          <w:p w14:paraId="07138D53" w14:textId="77777777" w:rsidR="00211738" w:rsidRPr="00211738" w:rsidRDefault="00211738" w:rsidP="00211738">
            <w:r w:rsidRPr="00211738">
              <w:t>.004</w:t>
            </w:r>
          </w:p>
        </w:tc>
        <w:tc>
          <w:tcPr>
            <w:tcW w:w="0" w:type="auto"/>
            <w:hideMark/>
          </w:tcPr>
          <w:p w14:paraId="14216D1E" w14:textId="77777777" w:rsidR="00211738" w:rsidRPr="00211738" w:rsidRDefault="00211738" w:rsidP="00211738">
            <w:r w:rsidRPr="00211738">
              <w:t>.031</w:t>
            </w:r>
          </w:p>
        </w:tc>
        <w:tc>
          <w:tcPr>
            <w:tcW w:w="1049" w:type="dxa"/>
            <w:hideMark/>
          </w:tcPr>
          <w:p w14:paraId="6163C1B5" w14:textId="77777777" w:rsidR="00211738" w:rsidRPr="00211738" w:rsidRDefault="00211738" w:rsidP="00211738">
            <w:r w:rsidRPr="00211738">
              <w:t>.00</w:t>
            </w:r>
          </w:p>
        </w:tc>
        <w:tc>
          <w:tcPr>
            <w:tcW w:w="882" w:type="dxa"/>
            <w:hideMark/>
          </w:tcPr>
          <w:p w14:paraId="4B0B243B" w14:textId="77777777" w:rsidR="00211738" w:rsidRPr="00211738" w:rsidRDefault="00211738" w:rsidP="00211738">
            <w:r w:rsidRPr="00211738">
              <w:t>.994</w:t>
            </w:r>
          </w:p>
        </w:tc>
        <w:tc>
          <w:tcPr>
            <w:tcW w:w="1885" w:type="dxa"/>
            <w:hideMark/>
          </w:tcPr>
          <w:p w14:paraId="0579BF5B" w14:textId="77777777" w:rsidR="00211738" w:rsidRPr="00211738" w:rsidRDefault="00211738" w:rsidP="00211738">
            <w:r w:rsidRPr="00211738">
              <w:t>−.007, .009</w:t>
            </w:r>
          </w:p>
        </w:tc>
      </w:tr>
      <w:tr w:rsidR="00211738" w:rsidRPr="00211738" w14:paraId="32D498F4" w14:textId="77777777" w:rsidTr="00D75D24">
        <w:tc>
          <w:tcPr>
            <w:tcW w:w="0" w:type="auto"/>
            <w:hideMark/>
          </w:tcPr>
          <w:p w14:paraId="0E94717A" w14:textId="77777777" w:rsidR="00211738" w:rsidRPr="00211738" w:rsidRDefault="00211738" w:rsidP="00211738"/>
        </w:tc>
        <w:tc>
          <w:tcPr>
            <w:tcW w:w="0" w:type="auto"/>
            <w:hideMark/>
          </w:tcPr>
          <w:p w14:paraId="6FD205F2" w14:textId="77777777" w:rsidR="00211738" w:rsidRPr="00211738" w:rsidRDefault="00211738" w:rsidP="00211738">
            <w:r w:rsidRPr="00211738">
              <w:t>Time</w:t>
            </w:r>
          </w:p>
        </w:tc>
        <w:tc>
          <w:tcPr>
            <w:tcW w:w="0" w:type="auto"/>
            <w:hideMark/>
          </w:tcPr>
          <w:p w14:paraId="673B10B2" w14:textId="77777777" w:rsidR="00211738" w:rsidRPr="00211738" w:rsidRDefault="00211738" w:rsidP="00211738">
            <w:r w:rsidRPr="00211738">
              <w:t>.065</w:t>
            </w:r>
          </w:p>
        </w:tc>
        <w:tc>
          <w:tcPr>
            <w:tcW w:w="0" w:type="auto"/>
            <w:hideMark/>
          </w:tcPr>
          <w:p w14:paraId="5FFC5933" w14:textId="77777777" w:rsidR="00211738" w:rsidRPr="00211738" w:rsidRDefault="00211738" w:rsidP="00211738">
            <w:r w:rsidRPr="00211738">
              <w:t>.025</w:t>
            </w:r>
          </w:p>
        </w:tc>
        <w:tc>
          <w:tcPr>
            <w:tcW w:w="0" w:type="auto"/>
            <w:hideMark/>
          </w:tcPr>
          <w:p w14:paraId="6EF6DFE0" w14:textId="77777777" w:rsidR="00211738" w:rsidRPr="00211738" w:rsidRDefault="00211738" w:rsidP="00211738">
            <w:r w:rsidRPr="00211738">
              <w:t>.178</w:t>
            </w:r>
          </w:p>
        </w:tc>
        <w:tc>
          <w:tcPr>
            <w:tcW w:w="1049" w:type="dxa"/>
            <w:hideMark/>
          </w:tcPr>
          <w:p w14:paraId="0FF7993A" w14:textId="77777777" w:rsidR="00211738" w:rsidRPr="00211738" w:rsidRDefault="00211738" w:rsidP="00211738">
            <w:r w:rsidRPr="00211738">
              <w:t>.04</w:t>
            </w:r>
          </w:p>
        </w:tc>
        <w:tc>
          <w:tcPr>
            <w:tcW w:w="882" w:type="dxa"/>
            <w:hideMark/>
          </w:tcPr>
          <w:p w14:paraId="28BDFB7F" w14:textId="77777777" w:rsidR="00211738" w:rsidRPr="00211738" w:rsidRDefault="00211738" w:rsidP="00211738">
            <w:r w:rsidRPr="00211738">
              <w:rPr>
                <w:b/>
                <w:bCs/>
              </w:rPr>
              <w:t>.036</w:t>
            </w:r>
            <w:r w:rsidRPr="00211738">
              <w:t> </w:t>
            </w:r>
            <w:hyperlink r:id="rId88" w:anchor="jor24878-tbl3-note-0007_70" w:tooltip="Link to note" w:history="1">
              <w:r w:rsidRPr="00211738">
                <w:rPr>
                  <w:rStyle w:val="Hyperlink"/>
                </w:rPr>
                <w:t>*</w:t>
              </w:r>
            </w:hyperlink>
          </w:p>
        </w:tc>
        <w:tc>
          <w:tcPr>
            <w:tcW w:w="1885" w:type="dxa"/>
            <w:hideMark/>
          </w:tcPr>
          <w:p w14:paraId="1B65FE2C" w14:textId="77777777" w:rsidR="00211738" w:rsidRPr="00211738" w:rsidRDefault="00211738" w:rsidP="00211738">
            <w:r w:rsidRPr="00211738">
              <w:t>.015, .115</w:t>
            </w:r>
          </w:p>
        </w:tc>
      </w:tr>
    </w:tbl>
    <w:p w14:paraId="20FCA09C" w14:textId="77777777" w:rsidR="00211738" w:rsidRPr="00211738" w:rsidRDefault="00211738" w:rsidP="00DA38FE">
      <w:pPr>
        <w:pStyle w:val="NoSpacing"/>
      </w:pPr>
      <w:r w:rsidRPr="00211738">
        <w:rPr>
          <w:i/>
          <w:iCs/>
        </w:rPr>
        <w:t>Note</w:t>
      </w:r>
      <w:r w:rsidRPr="00211738">
        <w:t xml:space="preserve">: The final model was adjusted for gait speed, 6MWT, and time from surgery (continuous). The bold values are </w:t>
      </w:r>
      <w:proofErr w:type="gramStart"/>
      <w:r w:rsidRPr="00211738">
        <w:t>signify</w:t>
      </w:r>
      <w:proofErr w:type="gramEnd"/>
      <w:r w:rsidRPr="00211738">
        <w:t xml:space="preserve"> statistical significance.</w:t>
      </w:r>
    </w:p>
    <w:p w14:paraId="16AA3D97" w14:textId="77777777" w:rsidR="00211738" w:rsidRPr="00211738" w:rsidRDefault="00211738" w:rsidP="00DA38FE">
      <w:pPr>
        <w:pStyle w:val="NoSpacing"/>
      </w:pPr>
      <w:r w:rsidRPr="00211738">
        <w:t xml:space="preserve">Abbreviations: 6MWT, 6-minute walk test; BMI, body mass index; KOS-ADL, Knee Outcome Survey-Activities of Daily Living; MVIC, maximum voluntary isometric contraction; </w:t>
      </w:r>
      <w:proofErr w:type="spellStart"/>
      <w:r w:rsidRPr="00211738">
        <w:t>NonSurg</w:t>
      </w:r>
      <w:proofErr w:type="spellEnd"/>
      <w:r w:rsidRPr="00211738">
        <w:t>, nonsurgical; Surg, surgical; VAS, visual analog scale for knee pain.</w:t>
      </w:r>
    </w:p>
    <w:p w14:paraId="36F9AAEF" w14:textId="5A1CFB77" w:rsidR="00211738" w:rsidRPr="00211738" w:rsidRDefault="00211738" w:rsidP="00DA38FE">
      <w:pPr>
        <w:pStyle w:val="NoSpacing"/>
      </w:pPr>
      <w:proofErr w:type="gramStart"/>
      <w:r w:rsidRPr="00A235E8">
        <w:rPr>
          <w:vertAlign w:val="superscript"/>
        </w:rPr>
        <w:t>a</w:t>
      </w:r>
      <w:proofErr w:type="gramEnd"/>
      <w:r w:rsidRPr="00211738">
        <w:t> Unstandardized regression coefficient. </w:t>
      </w:r>
    </w:p>
    <w:p w14:paraId="072E2C38" w14:textId="2F45ED24" w:rsidR="00211738" w:rsidRPr="00211738" w:rsidRDefault="00211738" w:rsidP="00DA38FE">
      <w:pPr>
        <w:pStyle w:val="NoSpacing"/>
      </w:pPr>
      <w:r w:rsidRPr="00A235E8">
        <w:rPr>
          <w:vertAlign w:val="superscript"/>
        </w:rPr>
        <w:lastRenderedPageBreak/>
        <w:t>b</w:t>
      </w:r>
      <w:r w:rsidRPr="00211738">
        <w:t> Standardized regression coefficient. </w:t>
      </w:r>
    </w:p>
    <w:p w14:paraId="20C5936C" w14:textId="4F8072D9" w:rsidR="00211738" w:rsidRPr="00211738" w:rsidRDefault="00211738" w:rsidP="00DA38FE">
      <w:pPr>
        <w:pStyle w:val="NoSpacing"/>
      </w:pPr>
      <w:r w:rsidRPr="00A235E8">
        <w:rPr>
          <w:vertAlign w:val="superscript"/>
        </w:rPr>
        <w:t>c</w:t>
      </w:r>
      <w:r w:rsidRPr="00211738">
        <w:t> Effect size categories (.02 small, .15 medium, .35 large). </w:t>
      </w:r>
    </w:p>
    <w:p w14:paraId="0404BADA" w14:textId="7A786837" w:rsidR="00211738" w:rsidRPr="00211738" w:rsidRDefault="00211738" w:rsidP="00DA38FE">
      <w:pPr>
        <w:pStyle w:val="NoSpacing"/>
      </w:pPr>
      <w:r w:rsidRPr="00A235E8">
        <w:rPr>
          <w:vertAlign w:val="superscript"/>
        </w:rPr>
        <w:t>d</w:t>
      </w:r>
      <w:r w:rsidRPr="00211738">
        <w:t> Adjustment using Tukey–</w:t>
      </w:r>
      <w:proofErr w:type="spellStart"/>
      <w:r w:rsidRPr="00211738">
        <w:t>Ciminera</w:t>
      </w:r>
      <w:proofErr w:type="spellEnd"/>
      <w:r w:rsidRPr="00211738">
        <w:t>–Heyse procedure. </w:t>
      </w:r>
    </w:p>
    <w:p w14:paraId="4480FF22" w14:textId="436C9997" w:rsidR="00211738" w:rsidRDefault="00211738" w:rsidP="00DA38FE">
      <w:pPr>
        <w:pStyle w:val="NoSpacing"/>
      </w:pPr>
      <w:r w:rsidRPr="00211738">
        <w:t>* </w:t>
      </w:r>
      <m:oMath>
        <m:r>
          <w:rPr>
            <w:rFonts w:ascii="Cambria Math" w:hAnsi="Cambria Math"/>
          </w:rPr>
          <m:t>p ≤ .05</m:t>
        </m:r>
      </m:oMath>
      <w:r w:rsidRPr="00211738">
        <w:t>.</w:t>
      </w:r>
    </w:p>
    <w:p w14:paraId="44BB3ACA" w14:textId="77777777" w:rsidR="00DA38FE" w:rsidRDefault="00DA38FE" w:rsidP="00DA38FE">
      <w:pPr>
        <w:pStyle w:val="ListParagraph"/>
      </w:pPr>
    </w:p>
    <w:p w14:paraId="23C88F33" w14:textId="2983BA80" w:rsidR="00211738" w:rsidRPr="00211738" w:rsidRDefault="00211738" w:rsidP="00D75D24">
      <w:pPr>
        <w:pStyle w:val="NoSpacing"/>
      </w:pPr>
      <w:r w:rsidRPr="00211738">
        <w:rPr>
          <w:noProof/>
        </w:rPr>
        <w:drawing>
          <wp:inline distT="0" distB="0" distL="0" distR="0" wp14:anchorId="6D603BCF" wp14:editId="6FCCB953">
            <wp:extent cx="2743200" cy="2231136"/>
            <wp:effectExtent l="0" t="0" r="0" b="0"/>
            <wp:docPr id="1" name="Picture 1" descr="Details are in the caption following the image">
              <a:hlinkClick xmlns:a="http://schemas.openxmlformats.org/drawingml/2006/main" r:id="rId8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89" tgtFrame="&quot;_blank&quot;"/>
                    </pic:cNvPr>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2743200" cy="2231136"/>
                    </a:xfrm>
                    <a:prstGeom prst="rect">
                      <a:avLst/>
                    </a:prstGeom>
                    <a:noFill/>
                    <a:ln>
                      <a:noFill/>
                    </a:ln>
                  </pic:spPr>
                </pic:pic>
              </a:graphicData>
            </a:graphic>
          </wp:inline>
        </w:drawing>
      </w:r>
    </w:p>
    <w:p w14:paraId="79305D55" w14:textId="383A5964" w:rsidR="00211738" w:rsidRDefault="00211738" w:rsidP="00D75D24">
      <w:pPr>
        <w:pStyle w:val="NoSpacing"/>
      </w:pPr>
      <w:r w:rsidRPr="00211738">
        <w:rPr>
          <w:b/>
          <w:bCs/>
        </w:rPr>
        <w:t>Figure 2</w:t>
      </w:r>
      <w:r w:rsidR="00D75D24">
        <w:t xml:space="preserve"> </w:t>
      </w:r>
      <w:r w:rsidRPr="00211738">
        <w:t>The relationship between sex and knee flexion excursion; *</w:t>
      </w:r>
      <w:r w:rsidRPr="00211738">
        <w:rPr>
          <w:i/>
          <w:iCs/>
        </w:rPr>
        <w:t>p</w:t>
      </w:r>
      <w:r w:rsidRPr="00211738">
        <w:t> &lt; .05</w:t>
      </w:r>
    </w:p>
    <w:p w14:paraId="43932456" w14:textId="77777777" w:rsidR="00D75D24" w:rsidRPr="00211738" w:rsidRDefault="00D75D24" w:rsidP="00211738"/>
    <w:p w14:paraId="4F79852E" w14:textId="77777777" w:rsidR="00211738" w:rsidRPr="00211738" w:rsidRDefault="00211738" w:rsidP="00D75D24">
      <w:pPr>
        <w:pStyle w:val="Heading1"/>
      </w:pPr>
      <w:r w:rsidRPr="00211738">
        <w:t xml:space="preserve">4 </w:t>
      </w:r>
      <w:proofErr w:type="gramStart"/>
      <w:r w:rsidRPr="00211738">
        <w:t>DISCUSSION</w:t>
      </w:r>
      <w:proofErr w:type="gramEnd"/>
    </w:p>
    <w:p w14:paraId="03F726EE" w14:textId="77777777" w:rsidR="00211738" w:rsidRPr="00211738" w:rsidRDefault="00211738" w:rsidP="00211738">
      <w:r w:rsidRPr="00211738">
        <w:t>The purpose of this study was to identify the relationship between patient characteristics and gait mechanics in the surgical limb post-TKA. Our primary findings of this study were (1) quadriceps weakness in the surgical limb and older age were related to less peak vertical ground reaction force loading; (2) quadriceps weakness in the surgical limb was related to less peak knee extension moment loading; (3) quadriceps weakness in the surgical limb was related to less knee extension excursion, while greater quadriceps strength in the nonsurgical limb resulted in less knee extension excursion in the surgical limb; (4) females showed significantly less knee flexion excursion during walking compared to males; and (5) gait speed was moderately to strongly associated with most gait mechanic outcomes. These findings provide new insight on how demographics and common physical impairments known to persist post-TKA associate with altered gait mechanics following surgery, which places patients at greater risk for future disability</w:t>
      </w:r>
      <w:hyperlink r:id="rId91" w:anchor="jor24878-bib-0010" w:history="1">
        <w:r w:rsidRPr="00211738">
          <w:rPr>
            <w:rStyle w:val="Hyperlink"/>
            <w:vertAlign w:val="superscript"/>
          </w:rPr>
          <w:t>10</w:t>
        </w:r>
      </w:hyperlink>
      <w:r w:rsidRPr="00211738">
        <w:rPr>
          <w:vertAlign w:val="superscript"/>
        </w:rPr>
        <w:t>, </w:t>
      </w:r>
      <w:hyperlink r:id="rId92" w:anchor="jor24878-bib-0011" w:history="1">
        <w:r w:rsidRPr="00211738">
          <w:rPr>
            <w:rStyle w:val="Hyperlink"/>
            <w:vertAlign w:val="superscript"/>
          </w:rPr>
          <w:t>11</w:t>
        </w:r>
      </w:hyperlink>
      <w:r w:rsidRPr="00211738">
        <w:t> and progressive knee osteoarthritis in the contralateral limb.</w:t>
      </w:r>
      <w:hyperlink r:id="rId93" w:anchor="jor24878-bib-0012" w:history="1">
        <w:r w:rsidRPr="00211738">
          <w:rPr>
            <w:rStyle w:val="Hyperlink"/>
            <w:vertAlign w:val="superscript"/>
          </w:rPr>
          <w:t>12</w:t>
        </w:r>
      </w:hyperlink>
      <w:r w:rsidRPr="00211738">
        <w:rPr>
          <w:vertAlign w:val="superscript"/>
        </w:rPr>
        <w:t>, </w:t>
      </w:r>
      <w:hyperlink r:id="rId94" w:anchor="jor24878-bib-0013" w:history="1">
        <w:r w:rsidRPr="00211738">
          <w:rPr>
            <w:rStyle w:val="Hyperlink"/>
            <w:vertAlign w:val="superscript"/>
          </w:rPr>
          <w:t>13</w:t>
        </w:r>
      </w:hyperlink>
    </w:p>
    <w:p w14:paraId="3B9D3D8C" w14:textId="77777777" w:rsidR="00211738" w:rsidRPr="00211738" w:rsidRDefault="00211738" w:rsidP="00211738">
      <w:r w:rsidRPr="00211738">
        <w:t>To our knowledge, this is the largest study to investigate whether patient characteristics are related to gait mechanics during walking following TKA. This study is important given that prior work indicates patients with TKA continue to demonstrate altered gait mechanics 12–36 months following surgery,</w:t>
      </w:r>
      <w:hyperlink r:id="rId95" w:anchor="jor24878-bib-0006" w:history="1">
        <w:r w:rsidRPr="00211738">
          <w:rPr>
            <w:rStyle w:val="Hyperlink"/>
            <w:vertAlign w:val="superscript"/>
          </w:rPr>
          <w:t>6</w:t>
        </w:r>
      </w:hyperlink>
      <w:r w:rsidRPr="00211738">
        <w:rPr>
          <w:vertAlign w:val="superscript"/>
        </w:rPr>
        <w:t>, </w:t>
      </w:r>
      <w:hyperlink r:id="rId96" w:anchor="jor24878-bib-0008" w:history="1">
        <w:r w:rsidRPr="00211738">
          <w:rPr>
            <w:rStyle w:val="Hyperlink"/>
            <w:vertAlign w:val="superscript"/>
          </w:rPr>
          <w:t>8</w:t>
        </w:r>
      </w:hyperlink>
      <w:r w:rsidRPr="00211738">
        <w:t> despite self-reported improvements in knee pain and physical function.</w:t>
      </w:r>
      <w:hyperlink r:id="rId97" w:anchor="jor24878-bib-0038" w:history="1">
        <w:r w:rsidRPr="00211738">
          <w:rPr>
            <w:rStyle w:val="Hyperlink"/>
            <w:vertAlign w:val="superscript"/>
          </w:rPr>
          <w:t>38</w:t>
        </w:r>
      </w:hyperlink>
      <w:r w:rsidRPr="00211738">
        <w:t> Our data indicate quadriceps weakness in the surgical limb, after controlling for relevant confounders, was the most consistent patient characteristic associated with altered gait mechanics including less peak vertical ground reaction force, peak knee extension moment, and knee extension excursion outcomes. These findings are consistent with prior studies showing quadriceps weakness in the surgical limb was associated with greater reliance on the nonsurgical limb during stair negotiation,</w:t>
      </w:r>
      <w:hyperlink r:id="rId98" w:anchor="jor24878-bib-0039" w:history="1">
        <w:r w:rsidRPr="00211738">
          <w:rPr>
            <w:rStyle w:val="Hyperlink"/>
            <w:vertAlign w:val="superscript"/>
          </w:rPr>
          <w:t>39</w:t>
        </w:r>
      </w:hyperlink>
      <w:r w:rsidRPr="00211738">
        <w:t> slope walking,</w:t>
      </w:r>
      <w:hyperlink r:id="rId99" w:anchor="jor24878-bib-0040" w:history="1">
        <w:r w:rsidRPr="00211738">
          <w:rPr>
            <w:rStyle w:val="Hyperlink"/>
            <w:vertAlign w:val="superscript"/>
          </w:rPr>
          <w:t>40</w:t>
        </w:r>
      </w:hyperlink>
      <w:r w:rsidRPr="00211738">
        <w:t> and sit–stand tasks</w:t>
      </w:r>
      <w:hyperlink r:id="rId100" w:anchor="jor24878-bib-0041" w:history="1">
        <w:r w:rsidRPr="00211738">
          <w:rPr>
            <w:rStyle w:val="Hyperlink"/>
            <w:vertAlign w:val="superscript"/>
          </w:rPr>
          <w:t>41</w:t>
        </w:r>
      </w:hyperlink>
      <w:r w:rsidRPr="00211738">
        <w:t> within the first 12 months post-TKA. Targeted quadriceps strength training is common in rehabilitation programs post-TKA,</w:t>
      </w:r>
      <w:hyperlink r:id="rId101" w:anchor="jor24878-bib-0042" w:history="1">
        <w:r w:rsidRPr="00211738">
          <w:rPr>
            <w:rStyle w:val="Hyperlink"/>
            <w:vertAlign w:val="superscript"/>
          </w:rPr>
          <w:t>42</w:t>
        </w:r>
      </w:hyperlink>
      <w:r w:rsidRPr="00211738">
        <w:t> however, patients with TKA continue to demonstrate 20%–30% strength loss, compared to the nonsurgical limb, 12–36 months following surgery.</w:t>
      </w:r>
      <w:hyperlink r:id="rId102" w:anchor="jor24878-bib-0043" w:history="1">
        <w:r w:rsidRPr="00211738">
          <w:rPr>
            <w:rStyle w:val="Hyperlink"/>
            <w:vertAlign w:val="superscript"/>
          </w:rPr>
          <w:t>43</w:t>
        </w:r>
      </w:hyperlink>
      <w:r w:rsidRPr="00211738">
        <w:rPr>
          <w:vertAlign w:val="superscript"/>
        </w:rPr>
        <w:t>, </w:t>
      </w:r>
      <w:hyperlink r:id="rId103" w:anchor="jor24878-bib-0044" w:history="1">
        <w:r w:rsidRPr="00211738">
          <w:rPr>
            <w:rStyle w:val="Hyperlink"/>
            <w:vertAlign w:val="superscript"/>
          </w:rPr>
          <w:t>44</w:t>
        </w:r>
      </w:hyperlink>
      <w:r w:rsidRPr="00211738">
        <w:t xml:space="preserve"> Objectively measuring quadriceps strength in the clinical setting and using this metric as a surrogate of physical recovery should be an important consideration post-TKA. Developing more effective interventions to address chronic quadriceps weakness is necessary not only to reduce physical limitations, but also to improve the quality of the patient's movement. Clinicians should educate patients on the impact quadriceps weakness has on postoperative </w:t>
      </w:r>
      <w:r w:rsidRPr="00211738">
        <w:lastRenderedPageBreak/>
        <w:t>outcomes and provide guidance on continual quadriceps strength development beyond supervised interventions.</w:t>
      </w:r>
    </w:p>
    <w:p w14:paraId="1A4EE978" w14:textId="77777777" w:rsidR="00211738" w:rsidRPr="00211738" w:rsidRDefault="00211738" w:rsidP="00211738">
      <w:r w:rsidRPr="00211738">
        <w:t xml:space="preserve">Our analysis revealed that greater quadriceps strength in the nonsurgical limb was associated with a more stiff-legged gait pattern in the surgical limb. It is possible that decreased excursions and forces on the surgical limb </w:t>
      </w:r>
      <w:proofErr w:type="gramStart"/>
      <w:r w:rsidRPr="00211738">
        <w:t>lead</w:t>
      </w:r>
      <w:proofErr w:type="gramEnd"/>
      <w:r w:rsidRPr="00211738">
        <w:t xml:space="preserve"> to compensatory use of the nonsurgical limb, which may increase the strength of the knee extensors on the nonsurgical side. However, it is also possible that patients with greater strength and capacity on their nonsurgical side are those who can compensate and reduce the forces on the surgical limb when walking. Greater quadriceps weakness on the surgical limb was also related to worse gait mechanics. Despite therapeutic efforts to improve quadriceps strength in the surgical limb, patients continue to receive inadequate therapeutic dosing and volume of loading.</w:t>
      </w:r>
      <w:hyperlink r:id="rId104" w:anchor="jor24878-bib-0045" w:history="1">
        <w:r w:rsidRPr="00211738">
          <w:rPr>
            <w:rStyle w:val="Hyperlink"/>
            <w:vertAlign w:val="superscript"/>
          </w:rPr>
          <w:t>45</w:t>
        </w:r>
      </w:hyperlink>
      <w:r w:rsidRPr="00211738">
        <w:t> Clinicians should consider adopting strategies to more effectively increase dose and volume response to quadriceps weakness (e.g., neuromuscular electrical stimulation, movement pattern retraining, blood flow restriction therapies, etc.). However, further prospective longitudinal studies are needed to determine long-term effects of improved quadriceps strength and how these strategies influence gait mechanics.</w:t>
      </w:r>
    </w:p>
    <w:p w14:paraId="605F709E" w14:textId="77777777" w:rsidR="00211738" w:rsidRPr="00211738" w:rsidRDefault="00211738" w:rsidP="00211738">
      <w:r w:rsidRPr="00211738">
        <w:t>Gait speed was the strongest predictor of altered gait mechanics, although identified a priori as a confounding variable due its known relationship with the proposed variables.</w:t>
      </w:r>
      <w:hyperlink r:id="rId105" w:anchor="jor24878-bib-0046" w:history="1">
        <w:r w:rsidRPr="00211738">
          <w:rPr>
            <w:rStyle w:val="Hyperlink"/>
            <w:vertAlign w:val="superscript"/>
          </w:rPr>
          <w:t>46</w:t>
        </w:r>
      </w:hyperlink>
      <w:r w:rsidRPr="00211738">
        <w:t> Faster walking speed was associated with greater vertical ground reaction force, peak knee extension moment, and knee flexion excursion in the surgical limb, which is consistent with existing literature in older adults.</w:t>
      </w:r>
      <w:hyperlink r:id="rId106" w:anchor="jor24878-bib-0047" w:history="1">
        <w:r w:rsidRPr="00211738">
          <w:rPr>
            <w:rStyle w:val="Hyperlink"/>
            <w:vertAlign w:val="superscript"/>
          </w:rPr>
          <w:t>47</w:t>
        </w:r>
      </w:hyperlink>
      <w:r w:rsidRPr="00211738">
        <w:rPr>
          <w:vertAlign w:val="superscript"/>
        </w:rPr>
        <w:t>-</w:t>
      </w:r>
      <w:hyperlink r:id="rId107" w:anchor="jor24878-bib-0049" w:history="1">
        <w:r w:rsidRPr="00211738">
          <w:rPr>
            <w:rStyle w:val="Hyperlink"/>
            <w:vertAlign w:val="superscript"/>
          </w:rPr>
          <w:t>49</w:t>
        </w:r>
      </w:hyperlink>
      <w:r w:rsidRPr="00211738">
        <w:t> Quadriceps strength has shown to be the strongest predictor for gait speed post-TKA.</w:t>
      </w:r>
      <w:hyperlink r:id="rId108" w:anchor="jor24878-bib-0050" w:history="1">
        <w:r w:rsidRPr="00211738">
          <w:rPr>
            <w:rStyle w:val="Hyperlink"/>
            <w:vertAlign w:val="superscript"/>
          </w:rPr>
          <w:t>50</w:t>
        </w:r>
      </w:hyperlink>
      <w:r w:rsidRPr="00211738">
        <w:t> However, quadriceps weakness demonstrates moderate association with altered gait mechanics at 6 months post-TKA, but found to be less influential at 12 months.</w:t>
      </w:r>
      <w:hyperlink r:id="rId109" w:anchor="jor24878-bib-0019" w:history="1">
        <w:r w:rsidRPr="00211738">
          <w:rPr>
            <w:rStyle w:val="Hyperlink"/>
            <w:vertAlign w:val="superscript"/>
          </w:rPr>
          <w:t>19</w:t>
        </w:r>
      </w:hyperlink>
      <w:r w:rsidRPr="00211738">
        <w:t> Based on our findings, instructing patients to walk faster with appropriate motor retraining may be one strategy to address commonly observed altered gait mechanics, including lower sagittal plane kinetics and truncated knee excursions, post-TKA. Restoring proper gait mechanics is an important biomarker for future disability. This is particularly true for reduced knee flexion excursion. For every degree less of knee flexion excursion, the risk of a secondary contralateral TKA increases by nearly 10%.</w:t>
      </w:r>
      <w:hyperlink r:id="rId110" w:anchor="jor24878-bib-0024" w:history="1">
        <w:r w:rsidRPr="00211738">
          <w:rPr>
            <w:rStyle w:val="Hyperlink"/>
            <w:vertAlign w:val="superscript"/>
          </w:rPr>
          <w:t>24</w:t>
        </w:r>
      </w:hyperlink>
      <w:r w:rsidRPr="00211738">
        <w:t> This is true despite reduction in knee pain and improved physical function following the primary surgery.</w:t>
      </w:r>
      <w:hyperlink r:id="rId111" w:anchor="jor24878-bib-0038" w:history="1">
        <w:r w:rsidRPr="00211738">
          <w:rPr>
            <w:rStyle w:val="Hyperlink"/>
            <w:vertAlign w:val="superscript"/>
          </w:rPr>
          <w:t>38</w:t>
        </w:r>
      </w:hyperlink>
      <w:r w:rsidRPr="00211738">
        <w:t> Future, prospective research is needed to determine how intervening on gait speed affects gait mechanics, with a particular emphasis on physical impairments associated with reduced knee flexion excursion.</w:t>
      </w:r>
    </w:p>
    <w:p w14:paraId="487036F0" w14:textId="77777777" w:rsidR="00211738" w:rsidRPr="00211738" w:rsidRDefault="00211738" w:rsidP="00211738">
      <w:r w:rsidRPr="00211738">
        <w:t>Demographic patient characteristics of age, sex, and body mass index were not consistent predictors of gait mechanics across the gait mechanic variables. Older age was associated with reduced peak vertical ground reaction force loading in patients after TKA, which is consistent with previous findings showing healthy older adults inherently demonstrate less joint kinetic and kinematic output of the knee compared to younger peers.</w:t>
      </w:r>
      <w:hyperlink r:id="rId112" w:anchor="jor24878-bib-0046" w:history="1">
        <w:r w:rsidRPr="00211738">
          <w:rPr>
            <w:rStyle w:val="Hyperlink"/>
            <w:vertAlign w:val="superscript"/>
          </w:rPr>
          <w:t>46</w:t>
        </w:r>
      </w:hyperlink>
      <w:r w:rsidRPr="00211738">
        <w:t> It is unclear, however, if the observed lower limb underloading in the surgical limb is related to surgery or secondary neuromuscular adaptions related to aging or both. Additionally, females with TKA showed less knee flexion excursion compared to their male counterparts. Data pertaining to sex-specific gait mechanics are limited and conflicting. Females with TKA have shown greater gait mechanic deficits in the surgical limb compared to males with TKA.</w:t>
      </w:r>
      <w:hyperlink r:id="rId113" w:anchor="jor24878-bib-0051" w:history="1">
        <w:r w:rsidRPr="00211738">
          <w:rPr>
            <w:rStyle w:val="Hyperlink"/>
            <w:vertAlign w:val="superscript"/>
          </w:rPr>
          <w:t>51</w:t>
        </w:r>
      </w:hyperlink>
      <w:r w:rsidRPr="00211738">
        <w:t> Conversely, females with TKA have also shown biomechanical variables more similar to matched-peers compared to males with TKA.</w:t>
      </w:r>
      <w:hyperlink r:id="rId114" w:anchor="jor24878-bib-0052" w:history="1">
        <w:r w:rsidRPr="00211738">
          <w:rPr>
            <w:rStyle w:val="Hyperlink"/>
            <w:vertAlign w:val="superscript"/>
          </w:rPr>
          <w:t>52</w:t>
        </w:r>
      </w:hyperlink>
      <w:r w:rsidRPr="00211738">
        <w:t> Finally, evidence evaluating the influence obesity has on altered gait mechanics is limited. Obese patients with TKA demonstrate similar gait kinematics and clinical outcomes as nonobese patients 12 months post-TKA.</w:t>
      </w:r>
      <w:hyperlink r:id="rId115" w:anchor="jor24878-bib-0053" w:history="1">
        <w:r w:rsidRPr="00211738">
          <w:rPr>
            <w:rStyle w:val="Hyperlink"/>
            <w:vertAlign w:val="superscript"/>
          </w:rPr>
          <w:t>53</w:t>
        </w:r>
      </w:hyperlink>
      <w:r w:rsidRPr="00211738">
        <w:t> Conversely, higher body mass index is also associated with poorer quadriceps strength,</w:t>
      </w:r>
      <w:hyperlink r:id="rId116" w:anchor="jor24878-bib-0054" w:history="1">
        <w:r w:rsidRPr="00211738">
          <w:rPr>
            <w:rStyle w:val="Hyperlink"/>
            <w:vertAlign w:val="superscript"/>
          </w:rPr>
          <w:t>54</w:t>
        </w:r>
      </w:hyperlink>
      <w:r w:rsidRPr="00211738">
        <w:t> gait speed,</w:t>
      </w:r>
      <w:hyperlink r:id="rId117" w:anchor="jor24878-bib-0054" w:history="1">
        <w:r w:rsidRPr="00211738">
          <w:rPr>
            <w:rStyle w:val="Hyperlink"/>
            <w:vertAlign w:val="superscript"/>
          </w:rPr>
          <w:t>54</w:t>
        </w:r>
      </w:hyperlink>
      <w:r w:rsidRPr="00211738">
        <w:t> and knee pain</w:t>
      </w:r>
      <w:hyperlink r:id="rId118" w:anchor="jor24878-bib-0055" w:history="1">
        <w:r w:rsidRPr="00211738">
          <w:rPr>
            <w:rStyle w:val="Hyperlink"/>
            <w:vertAlign w:val="superscript"/>
          </w:rPr>
          <w:t>55</w:t>
        </w:r>
      </w:hyperlink>
      <w:r w:rsidRPr="00211738">
        <w:t> up to 3 years postoperatively. Other studies have found no association between body mass index and pain,</w:t>
      </w:r>
      <w:hyperlink r:id="rId119" w:anchor="jor24878-bib-0056" w:history="1">
        <w:r w:rsidRPr="00211738">
          <w:rPr>
            <w:rStyle w:val="Hyperlink"/>
            <w:vertAlign w:val="superscript"/>
          </w:rPr>
          <w:t>56</w:t>
        </w:r>
      </w:hyperlink>
      <w:r w:rsidRPr="00211738">
        <w:t> physical function,</w:t>
      </w:r>
      <w:hyperlink r:id="rId120" w:anchor="jor24878-bib-0057" w:history="1">
        <w:r w:rsidRPr="00211738">
          <w:rPr>
            <w:rStyle w:val="Hyperlink"/>
            <w:vertAlign w:val="superscript"/>
          </w:rPr>
          <w:t>57</w:t>
        </w:r>
      </w:hyperlink>
      <w:r w:rsidRPr="00211738">
        <w:t> or satisfaction</w:t>
      </w:r>
      <w:hyperlink r:id="rId121" w:anchor="jor24878-bib-0057" w:history="1">
        <w:r w:rsidRPr="00211738">
          <w:rPr>
            <w:rStyle w:val="Hyperlink"/>
            <w:vertAlign w:val="superscript"/>
          </w:rPr>
          <w:t>57</w:t>
        </w:r>
      </w:hyperlink>
      <w:r w:rsidRPr="00211738">
        <w:t xml:space="preserve"> 24 months post-TKA. Our study is the first to compare body mass index and gait kinetics, indicating obesity may not be as significant of a factor on altered gait mechanics as it is on other health-related outcomes. While our study is </w:t>
      </w:r>
      <w:r w:rsidRPr="00211738">
        <w:lastRenderedPageBreak/>
        <w:t>among the largest gait mechanic investigations of people post-TKA, our study is unable to determine cause and effect relationships.</w:t>
      </w:r>
    </w:p>
    <w:p w14:paraId="13F8715A" w14:textId="77777777" w:rsidR="00211738" w:rsidRPr="00211738" w:rsidRDefault="00211738" w:rsidP="00211738">
      <w:r w:rsidRPr="00211738">
        <w:t>Although most studies use self-reported knee pain and physical function as primary metrics for a successful recovery, little is known about how these measures influence gait mechanics. Our data showed no relationship of residual knee pain or KOS-ADL scores on the gait mechanic variables. Self-reported outcomes show only modest relationship to actual performance-based outcomes,</w:t>
      </w:r>
      <w:hyperlink r:id="rId122" w:anchor="jor24878-bib-0058" w:history="1">
        <w:r w:rsidRPr="00211738">
          <w:rPr>
            <w:rStyle w:val="Hyperlink"/>
            <w:vertAlign w:val="superscript"/>
          </w:rPr>
          <w:t>58</w:t>
        </w:r>
      </w:hyperlink>
      <w:r w:rsidRPr="00211738">
        <w:t> indicating perceived metrics measure different constructs than more objective testing. The findings contribute to growing evidence that although TKA may provide relief of knee pain and improve quality of life,</w:t>
      </w:r>
      <w:hyperlink r:id="rId123" w:anchor="jor24878-bib-0004" w:history="1">
        <w:r w:rsidRPr="00211738">
          <w:rPr>
            <w:rStyle w:val="Hyperlink"/>
            <w:vertAlign w:val="superscript"/>
          </w:rPr>
          <w:t>4</w:t>
        </w:r>
      </w:hyperlink>
      <w:r w:rsidRPr="00211738">
        <w:rPr>
          <w:vertAlign w:val="superscript"/>
        </w:rPr>
        <w:t>, </w:t>
      </w:r>
      <w:hyperlink r:id="rId124" w:anchor="jor24878-bib-0038" w:history="1">
        <w:r w:rsidRPr="00211738">
          <w:rPr>
            <w:rStyle w:val="Hyperlink"/>
            <w:vertAlign w:val="superscript"/>
          </w:rPr>
          <w:t>38</w:t>
        </w:r>
      </w:hyperlink>
      <w:r w:rsidRPr="00211738">
        <w:t> gait mechanics remain impaired and largely unaffected by pain or perceived function. Self-reported measures and gait mechanics appear to measure different constructs of postoperative recovery, indicating both are important in determining functional recovery after TKA.</w:t>
      </w:r>
    </w:p>
    <w:p w14:paraId="3D214D35" w14:textId="77777777" w:rsidR="00211738" w:rsidRPr="00211738" w:rsidRDefault="00211738" w:rsidP="00211738">
      <w:r w:rsidRPr="00211738">
        <w:t>Finally, our findings showed time from surgery (6–24 months) did not significantly influence the gait mechanic variables other than a small effect on knee flexion excursion. These data indicate that patients' gait mechanics at 6 months are approximately the same as 24 months post-TKA. These findings strengthen the existing evidence showing the adopted movement strategy developed within the first 3–6 months following surgery remains consistent when compared to gait mechanics up to 36 months following surgery.</w:t>
      </w:r>
      <w:hyperlink r:id="rId125" w:anchor="jor24878-bib-0006" w:history="1">
        <w:r w:rsidRPr="00211738">
          <w:rPr>
            <w:rStyle w:val="Hyperlink"/>
            <w:vertAlign w:val="superscript"/>
          </w:rPr>
          <w:t>6</w:t>
        </w:r>
      </w:hyperlink>
      <w:r w:rsidRPr="00211738">
        <w:rPr>
          <w:vertAlign w:val="superscript"/>
        </w:rPr>
        <w:t>, </w:t>
      </w:r>
      <w:hyperlink r:id="rId126" w:anchor="jor24878-bib-0008" w:history="1">
        <w:r w:rsidRPr="00211738">
          <w:rPr>
            <w:rStyle w:val="Hyperlink"/>
            <w:vertAlign w:val="superscript"/>
          </w:rPr>
          <w:t>8</w:t>
        </w:r>
      </w:hyperlink>
      <w:r w:rsidRPr="00211738">
        <w:t> Our data also provide new insight on how both self-report and timing of surgery influence functional ability related to gait mechanics.</w:t>
      </w:r>
    </w:p>
    <w:p w14:paraId="419BB6FB" w14:textId="77777777" w:rsidR="00211738" w:rsidRPr="00211738" w:rsidRDefault="00211738" w:rsidP="00211738">
      <w:r w:rsidRPr="00211738">
        <w:t xml:space="preserve">This study has limitations that need to be considered when interpreting the data. First, several surgeons and implants were utilized in this study, which could have influenced the results. However, all TKAs were performed using a tricompartmental cemented implant from a medial parapatellar approach at a single surgical center. Second, we did not track duration, type, or quality of rehabilitation provided, which could have influenced our findings. However, all participants participated in the same medical </w:t>
      </w:r>
      <w:proofErr w:type="gramStart"/>
      <w:r w:rsidRPr="00211738">
        <w:t>regimen</w:t>
      </w:r>
      <w:proofErr w:type="gramEnd"/>
      <w:r w:rsidRPr="00211738">
        <w:t xml:space="preserve"> and all were instructed to participate in outpatient physical therapy after TKA. Third, our study used a cross-sectional design, which limited our ability to differentiate cause and effect. Fourth, participants were tested between 6 and 24 months after surgery and although we did include time from surgery as a covariate, this could have influenced our results.</w:t>
      </w:r>
    </w:p>
    <w:p w14:paraId="0DC79507" w14:textId="77777777" w:rsidR="00211738" w:rsidRPr="00211738" w:rsidRDefault="00211738" w:rsidP="00D75D24">
      <w:pPr>
        <w:pStyle w:val="Heading1"/>
      </w:pPr>
      <w:r w:rsidRPr="00211738">
        <w:t xml:space="preserve">5 </w:t>
      </w:r>
      <w:proofErr w:type="gramStart"/>
      <w:r w:rsidRPr="00211738">
        <w:t>CONCLUSION</w:t>
      </w:r>
      <w:proofErr w:type="gramEnd"/>
    </w:p>
    <w:p w14:paraId="3CACD8DA" w14:textId="77777777" w:rsidR="00211738" w:rsidRPr="00211738" w:rsidRDefault="00211738" w:rsidP="00211738">
      <w:r w:rsidRPr="00211738">
        <w:t>Quadriceps weakness, slower gait speed, older age, and being female were related to altered gait mechanics during walking at 6–24 months following TKA. None of the other patient characteristics (body mass index, self-reported function, and knee pain) had a direct relationship on gait mechanics post-TKA. It is possible the relationship of patient characteristics on gait mechanics in the surgical limb could have implications for physical performance and progression of contralateral knee osteoarthritis. Future prospective longitudinal research is needed to further elucidate how modifiable and non-modifiable patient characteristics influence gait mechanics.</w:t>
      </w:r>
    </w:p>
    <w:p w14:paraId="4E07FC96" w14:textId="77777777" w:rsidR="00211738" w:rsidRPr="00211738" w:rsidRDefault="00211738" w:rsidP="00D75D24">
      <w:pPr>
        <w:pStyle w:val="Heading1"/>
      </w:pPr>
      <w:r w:rsidRPr="00211738">
        <w:t>ACKNOWLEDGMENTS</w:t>
      </w:r>
    </w:p>
    <w:p w14:paraId="2371D4B8" w14:textId="77777777" w:rsidR="00211738" w:rsidRPr="00211738" w:rsidRDefault="00211738" w:rsidP="00211738">
      <w:r w:rsidRPr="00211738">
        <w:t xml:space="preserve">The authors acknowledge financial support from the National Institutes of Health (R56 AG 048943). This study was also supported in part by two Advanced Geriatrics Fellowships from the Eastern Colorado Veterans Affairs Geriatrics Research, Education, and Clinical Center (Jesse C. Christensen and Jacob J. Capin), the Academy of </w:t>
      </w:r>
      <w:proofErr w:type="spellStart"/>
      <w:r w:rsidRPr="00211738">
        <w:t>Orthopaedic</w:t>
      </w:r>
      <w:proofErr w:type="spellEnd"/>
      <w:r w:rsidRPr="00211738">
        <w:t xml:space="preserve"> Physical Therapy (Jacob J. Capin), and the National Institutes of Health (NIA F32-AG066274, Jacob J. Capin). The work is solely the responsibility of the authors and does not necessarily represent the official views of the funding sources.</w:t>
      </w:r>
    </w:p>
    <w:p w14:paraId="60FA6298" w14:textId="77777777" w:rsidR="00211738" w:rsidRPr="00211738" w:rsidRDefault="00211738" w:rsidP="00D75D24">
      <w:pPr>
        <w:pStyle w:val="Heading1"/>
      </w:pPr>
      <w:r w:rsidRPr="00211738">
        <w:t>CONFLICT OF INTERESTS</w:t>
      </w:r>
    </w:p>
    <w:p w14:paraId="00A55390" w14:textId="77777777" w:rsidR="00211738" w:rsidRPr="00211738" w:rsidRDefault="00211738" w:rsidP="00211738">
      <w:r w:rsidRPr="00211738">
        <w:t xml:space="preserve">The authors declare that there </w:t>
      </w:r>
      <w:proofErr w:type="gramStart"/>
      <w:r w:rsidRPr="00211738">
        <w:t>are</w:t>
      </w:r>
      <w:proofErr w:type="gramEnd"/>
      <w:r w:rsidRPr="00211738">
        <w:t xml:space="preserve"> no conflict of interests.</w:t>
      </w:r>
    </w:p>
    <w:p w14:paraId="618375D4" w14:textId="77777777" w:rsidR="00211738" w:rsidRPr="00211738" w:rsidRDefault="00211738" w:rsidP="00D75D24">
      <w:pPr>
        <w:pStyle w:val="Heading1"/>
      </w:pPr>
      <w:r w:rsidRPr="00211738">
        <w:lastRenderedPageBreak/>
        <w:t>AUTHOR CONTRIBUTIONS</w:t>
      </w:r>
    </w:p>
    <w:p w14:paraId="0B4C40E7" w14:textId="77777777" w:rsidR="00211738" w:rsidRPr="00211738" w:rsidRDefault="00211738" w:rsidP="00211738">
      <w:r w:rsidRPr="00211738">
        <w:t xml:space="preserve">All authors contributed to the development of this manuscript in the following manner: study conception and design (Jesse C. Christensen, Jacob J. Capin, Lauren A. Hinrichs, </w:t>
      </w:r>
      <w:proofErr w:type="spellStart"/>
      <w:r w:rsidRPr="00211738">
        <w:t>Moiyad</w:t>
      </w:r>
      <w:proofErr w:type="spellEnd"/>
      <w:r w:rsidRPr="00211738">
        <w:t xml:space="preserve"> </w:t>
      </w:r>
      <w:proofErr w:type="spellStart"/>
      <w:r w:rsidRPr="00211738">
        <w:t>Aljehani</w:t>
      </w:r>
      <w:proofErr w:type="spellEnd"/>
      <w:r w:rsidRPr="00211738">
        <w:t>, Jennifer E. Stevens-Lapsley, Joseph A. Zeni); acquisition of data (</w:t>
      </w:r>
      <w:proofErr w:type="spellStart"/>
      <w:r w:rsidRPr="00211738">
        <w:t>Moiyad</w:t>
      </w:r>
      <w:proofErr w:type="spellEnd"/>
      <w:r w:rsidRPr="00211738">
        <w:t xml:space="preserve"> </w:t>
      </w:r>
      <w:proofErr w:type="spellStart"/>
      <w:r w:rsidRPr="00211738">
        <w:t>Aljehani</w:t>
      </w:r>
      <w:proofErr w:type="spellEnd"/>
      <w:r w:rsidRPr="00211738">
        <w:t xml:space="preserve">, Joseph A. Zeni); analysis and interpretation of data (Jesse C. Christensen, Jacob J. </w:t>
      </w:r>
      <w:proofErr w:type="spellStart"/>
      <w:r w:rsidRPr="00211738">
        <w:t>Capin</w:t>
      </w:r>
      <w:proofErr w:type="spellEnd"/>
      <w:r w:rsidRPr="00211738">
        <w:t xml:space="preserve">, </w:t>
      </w:r>
      <w:proofErr w:type="spellStart"/>
      <w:r w:rsidRPr="00211738">
        <w:t>Moiyad</w:t>
      </w:r>
      <w:proofErr w:type="spellEnd"/>
      <w:r w:rsidRPr="00211738">
        <w:t xml:space="preserve"> </w:t>
      </w:r>
      <w:proofErr w:type="spellStart"/>
      <w:r w:rsidRPr="00211738">
        <w:t>Aljehani</w:t>
      </w:r>
      <w:proofErr w:type="spellEnd"/>
      <w:r w:rsidRPr="00211738">
        <w:t xml:space="preserve">, Joseph A. Zeni); drafting of manuscript (Jesse C. Christensen, Jacob J. Capin, Lauren A. Hinrichs); and assisted with critical revisions (Jesse C. Christensen, Jacob J. Capin, Lauren A. Hinrichs, </w:t>
      </w:r>
      <w:proofErr w:type="spellStart"/>
      <w:r w:rsidRPr="00211738">
        <w:t>Moiyad</w:t>
      </w:r>
      <w:proofErr w:type="spellEnd"/>
      <w:r w:rsidRPr="00211738">
        <w:t xml:space="preserve"> </w:t>
      </w:r>
      <w:proofErr w:type="spellStart"/>
      <w:r w:rsidRPr="00211738">
        <w:t>Aljehani</w:t>
      </w:r>
      <w:proofErr w:type="spellEnd"/>
      <w:r w:rsidRPr="00211738">
        <w:t>, Jennifer E. Stevens-Lapsley, Joseph A. Zeni).</w:t>
      </w:r>
    </w:p>
    <w:p w14:paraId="076298AA" w14:textId="77777777" w:rsidR="00211738" w:rsidRPr="00211738" w:rsidRDefault="00211738" w:rsidP="00D75D24">
      <w:pPr>
        <w:pStyle w:val="Heading1"/>
      </w:pPr>
      <w:r w:rsidRPr="00211738">
        <w:t>ETHICS STATEMENT</w:t>
      </w:r>
    </w:p>
    <w:p w14:paraId="6C8774D1" w14:textId="77777777" w:rsidR="00211738" w:rsidRPr="00211738" w:rsidRDefault="00211738" w:rsidP="00211738">
      <w:r w:rsidRPr="00211738">
        <w:t>The University of Delaware Institutional Review Board (Newark, DE, USA) approved this study.</w:t>
      </w:r>
    </w:p>
    <w:p w14:paraId="54B59851" w14:textId="43554376" w:rsidR="00211738" w:rsidRPr="00D75D24" w:rsidRDefault="00211738" w:rsidP="00D75D24">
      <w:pPr>
        <w:pStyle w:val="Heading1"/>
      </w:pPr>
      <w:r w:rsidRPr="00D75D24">
        <w:t>References</w:t>
      </w:r>
    </w:p>
    <w:p w14:paraId="4564125F" w14:textId="77777777" w:rsidR="005A1477" w:rsidRPr="005A1477" w:rsidRDefault="005A1477" w:rsidP="00D75D24">
      <w:pPr>
        <w:pStyle w:val="NoSpacing"/>
        <w:ind w:left="720" w:hanging="720"/>
      </w:pPr>
      <w:r w:rsidRPr="005A1477">
        <w:t>1 Kurtz S, Ong K, Lau E, Mowat F, Halpern M. Projections of primary and revision hip and knee arthroplasty in the United States from 2005 to 2030. </w:t>
      </w:r>
      <w:r w:rsidRPr="005A1477">
        <w:rPr>
          <w:i/>
          <w:iCs/>
        </w:rPr>
        <w:t>J Bone Joint Surg Am</w:t>
      </w:r>
      <w:r w:rsidRPr="005A1477">
        <w:t>. 2007; </w:t>
      </w:r>
      <w:r w:rsidRPr="005A1477">
        <w:rPr>
          <w:b/>
          <w:bCs/>
        </w:rPr>
        <w:t>89</w:t>
      </w:r>
      <w:r w:rsidRPr="005A1477">
        <w:t>: 780- 785.</w:t>
      </w:r>
    </w:p>
    <w:p w14:paraId="44310CF2" w14:textId="77777777" w:rsidR="005A1477" w:rsidRPr="005A1477" w:rsidRDefault="005A1477" w:rsidP="00D75D24">
      <w:pPr>
        <w:pStyle w:val="NoSpacing"/>
        <w:ind w:left="720" w:hanging="720"/>
      </w:pPr>
      <w:r w:rsidRPr="005A1477">
        <w:t>2 Sloan M, </w:t>
      </w:r>
      <w:proofErr w:type="spellStart"/>
      <w:r w:rsidRPr="005A1477">
        <w:t>Premkumar</w:t>
      </w:r>
      <w:proofErr w:type="spellEnd"/>
      <w:r w:rsidRPr="005A1477">
        <w:t xml:space="preserve"> A, </w:t>
      </w:r>
      <w:proofErr w:type="spellStart"/>
      <w:r w:rsidRPr="005A1477">
        <w:t>Sheth</w:t>
      </w:r>
      <w:proofErr w:type="spellEnd"/>
      <w:r w:rsidRPr="005A1477">
        <w:t xml:space="preserve"> NP. Projected volume of primary total joint arthroplasty in the U.S., 2014 to 2030. </w:t>
      </w:r>
      <w:r w:rsidRPr="005A1477">
        <w:rPr>
          <w:i/>
          <w:iCs/>
        </w:rPr>
        <w:t>J Bone Joint Surg Am</w:t>
      </w:r>
      <w:r w:rsidRPr="005A1477">
        <w:t>. 2018; </w:t>
      </w:r>
      <w:r w:rsidRPr="005A1477">
        <w:rPr>
          <w:b/>
          <w:bCs/>
        </w:rPr>
        <w:t>100</w:t>
      </w:r>
      <w:r w:rsidRPr="005A1477">
        <w:t>: 1455- 1460.</w:t>
      </w:r>
    </w:p>
    <w:p w14:paraId="79911F96" w14:textId="77777777" w:rsidR="005A1477" w:rsidRPr="005A1477" w:rsidRDefault="005A1477" w:rsidP="00D75D24">
      <w:pPr>
        <w:pStyle w:val="NoSpacing"/>
        <w:ind w:left="720" w:hanging="720"/>
      </w:pPr>
      <w:r w:rsidRPr="005A1477">
        <w:t>3 Ritter MA, Faris PM, Keating EM, et al. Postoperative alignment of total knee replacement. Its effect on survival. </w:t>
      </w:r>
      <w:r w:rsidRPr="005A1477">
        <w:rPr>
          <w:i/>
          <w:iCs/>
        </w:rPr>
        <w:t xml:space="preserve">Clin </w:t>
      </w:r>
      <w:proofErr w:type="spellStart"/>
      <w:r w:rsidRPr="005A1477">
        <w:rPr>
          <w:i/>
          <w:iCs/>
        </w:rPr>
        <w:t>Orthop</w:t>
      </w:r>
      <w:proofErr w:type="spellEnd"/>
      <w:r w:rsidRPr="005A1477">
        <w:rPr>
          <w:i/>
          <w:iCs/>
        </w:rPr>
        <w:t xml:space="preserve"> </w:t>
      </w:r>
      <w:proofErr w:type="spellStart"/>
      <w:r w:rsidRPr="005A1477">
        <w:rPr>
          <w:i/>
          <w:iCs/>
        </w:rPr>
        <w:t>Relat</w:t>
      </w:r>
      <w:proofErr w:type="spellEnd"/>
      <w:r w:rsidRPr="005A1477">
        <w:rPr>
          <w:i/>
          <w:iCs/>
        </w:rPr>
        <w:t xml:space="preserve"> Res</w:t>
      </w:r>
      <w:r w:rsidRPr="005A1477">
        <w:t>. 1994: 153- 156.</w:t>
      </w:r>
    </w:p>
    <w:p w14:paraId="70D06071" w14:textId="77777777" w:rsidR="005A1477" w:rsidRPr="005A1477" w:rsidRDefault="005A1477" w:rsidP="00D75D24">
      <w:pPr>
        <w:pStyle w:val="NoSpacing"/>
        <w:ind w:left="720" w:hanging="720"/>
      </w:pPr>
      <w:r w:rsidRPr="005A1477">
        <w:t>4 Choi YJ, Ra HJ. Patient satisfaction after total knee arthroplasty. </w:t>
      </w:r>
      <w:r w:rsidRPr="005A1477">
        <w:rPr>
          <w:i/>
          <w:iCs/>
        </w:rPr>
        <w:t xml:space="preserve">Knee Surg </w:t>
      </w:r>
      <w:proofErr w:type="spellStart"/>
      <w:r w:rsidRPr="005A1477">
        <w:rPr>
          <w:i/>
          <w:iCs/>
        </w:rPr>
        <w:t>Relat</w:t>
      </w:r>
      <w:proofErr w:type="spellEnd"/>
      <w:r w:rsidRPr="005A1477">
        <w:rPr>
          <w:i/>
          <w:iCs/>
        </w:rPr>
        <w:t xml:space="preserve"> Res</w:t>
      </w:r>
      <w:r w:rsidRPr="005A1477">
        <w:t>. 2016; </w:t>
      </w:r>
      <w:r w:rsidRPr="005A1477">
        <w:rPr>
          <w:b/>
          <w:bCs/>
        </w:rPr>
        <w:t>28</w:t>
      </w:r>
      <w:r w:rsidRPr="005A1477">
        <w:t>: 1- 15.</w:t>
      </w:r>
    </w:p>
    <w:p w14:paraId="71675CDF" w14:textId="77777777" w:rsidR="005A1477" w:rsidRPr="005A1477" w:rsidRDefault="005A1477" w:rsidP="00D75D24">
      <w:pPr>
        <w:pStyle w:val="NoSpacing"/>
        <w:ind w:left="720" w:hanging="720"/>
      </w:pPr>
      <w:r w:rsidRPr="005A1477">
        <w:t>5 </w:t>
      </w:r>
      <w:proofErr w:type="spellStart"/>
      <w:r w:rsidRPr="005A1477">
        <w:t>Kahlenberg</w:t>
      </w:r>
      <w:proofErr w:type="spellEnd"/>
      <w:r w:rsidRPr="005A1477">
        <w:t xml:space="preserve"> CA, Nwachukwu BU, </w:t>
      </w:r>
      <w:proofErr w:type="spellStart"/>
      <w:r w:rsidRPr="005A1477">
        <w:t>McLawhorn</w:t>
      </w:r>
      <w:proofErr w:type="spellEnd"/>
      <w:r w:rsidRPr="005A1477">
        <w:t xml:space="preserve"> AS, Cross MB, Cornell CN, Padgett DE. Patient satisfaction after total knee replacement: a systematic review. </w:t>
      </w:r>
      <w:r w:rsidRPr="005A1477">
        <w:rPr>
          <w:i/>
          <w:iCs/>
        </w:rPr>
        <w:t>HSS J</w:t>
      </w:r>
      <w:r w:rsidRPr="005A1477">
        <w:t>. 2018; </w:t>
      </w:r>
      <w:r w:rsidRPr="005A1477">
        <w:rPr>
          <w:b/>
          <w:bCs/>
        </w:rPr>
        <w:t>14</w:t>
      </w:r>
      <w:r w:rsidRPr="005A1477">
        <w:t>: 192- 201.</w:t>
      </w:r>
    </w:p>
    <w:p w14:paraId="5A5D5C85" w14:textId="77777777" w:rsidR="005A1477" w:rsidRPr="005A1477" w:rsidRDefault="005A1477" w:rsidP="00D75D24">
      <w:pPr>
        <w:pStyle w:val="NoSpacing"/>
        <w:ind w:left="720" w:hanging="720"/>
      </w:pPr>
      <w:r w:rsidRPr="005A1477">
        <w:t>6 McClelland JA, Webster KE, Feller JA. Gait analysis of patients following total knee replacement: a systematic review. </w:t>
      </w:r>
      <w:r w:rsidRPr="005A1477">
        <w:rPr>
          <w:i/>
          <w:iCs/>
        </w:rPr>
        <w:t>Knee</w:t>
      </w:r>
      <w:r w:rsidRPr="005A1477">
        <w:t>. 2007; </w:t>
      </w:r>
      <w:r w:rsidRPr="005A1477">
        <w:rPr>
          <w:b/>
          <w:bCs/>
        </w:rPr>
        <w:t>14</w:t>
      </w:r>
      <w:r w:rsidRPr="005A1477">
        <w:t>: 253- 263.</w:t>
      </w:r>
    </w:p>
    <w:p w14:paraId="58494FAD" w14:textId="77777777" w:rsidR="005A1477" w:rsidRPr="005A1477" w:rsidRDefault="005A1477" w:rsidP="00D75D24">
      <w:pPr>
        <w:pStyle w:val="NoSpacing"/>
        <w:ind w:left="720" w:hanging="720"/>
      </w:pPr>
      <w:r w:rsidRPr="005A1477">
        <w:t>7 Hatfield GL, </w:t>
      </w:r>
      <w:proofErr w:type="spellStart"/>
      <w:r w:rsidRPr="005A1477">
        <w:t>Hubley-Kozey</w:t>
      </w:r>
      <w:proofErr w:type="spellEnd"/>
      <w:r w:rsidRPr="005A1477">
        <w:t xml:space="preserve"> CL, </w:t>
      </w:r>
      <w:proofErr w:type="spellStart"/>
      <w:r w:rsidRPr="005A1477">
        <w:t>Astephen</w:t>
      </w:r>
      <w:proofErr w:type="spellEnd"/>
      <w:r w:rsidRPr="005A1477">
        <w:t xml:space="preserve"> Wilson JL, Dunbar MJ. The effect of total knee arthroplasty on knee joint kinematics and kinetics during gait. </w:t>
      </w:r>
      <w:r w:rsidRPr="005A1477">
        <w:rPr>
          <w:i/>
          <w:iCs/>
        </w:rPr>
        <w:t>J Arthroplasty</w:t>
      </w:r>
      <w:r w:rsidRPr="005A1477">
        <w:t>. 2011; </w:t>
      </w:r>
      <w:r w:rsidRPr="005A1477">
        <w:rPr>
          <w:b/>
          <w:bCs/>
        </w:rPr>
        <w:t>26</w:t>
      </w:r>
      <w:r w:rsidRPr="005A1477">
        <w:t>: 309- 318.</w:t>
      </w:r>
    </w:p>
    <w:p w14:paraId="1CD3777B" w14:textId="77777777" w:rsidR="005A1477" w:rsidRPr="005A1477" w:rsidRDefault="005A1477" w:rsidP="00D75D24">
      <w:pPr>
        <w:pStyle w:val="NoSpacing"/>
        <w:ind w:left="720" w:hanging="720"/>
      </w:pPr>
      <w:r w:rsidRPr="005A1477">
        <w:t>8 Milner CE. Is gait normal after total knee arthroplasty? Systematic review of the literature. </w:t>
      </w:r>
      <w:r w:rsidRPr="005A1477">
        <w:rPr>
          <w:i/>
          <w:iCs/>
        </w:rPr>
        <w:t xml:space="preserve">J </w:t>
      </w:r>
      <w:proofErr w:type="spellStart"/>
      <w:r w:rsidRPr="005A1477">
        <w:rPr>
          <w:i/>
          <w:iCs/>
        </w:rPr>
        <w:t>Orthop</w:t>
      </w:r>
      <w:proofErr w:type="spellEnd"/>
      <w:r w:rsidRPr="005A1477">
        <w:rPr>
          <w:i/>
          <w:iCs/>
        </w:rPr>
        <w:t xml:space="preserve"> Sci</w:t>
      </w:r>
      <w:r w:rsidRPr="005A1477">
        <w:t>. 2009; </w:t>
      </w:r>
      <w:r w:rsidRPr="005A1477">
        <w:rPr>
          <w:b/>
          <w:bCs/>
        </w:rPr>
        <w:t>14</w:t>
      </w:r>
      <w:r w:rsidRPr="005A1477">
        <w:t>: 114- 120.</w:t>
      </w:r>
    </w:p>
    <w:p w14:paraId="20BBC3C3" w14:textId="77777777" w:rsidR="005A1477" w:rsidRPr="005A1477" w:rsidRDefault="005A1477" w:rsidP="00D75D24">
      <w:pPr>
        <w:pStyle w:val="NoSpacing"/>
        <w:ind w:left="720" w:hanging="720"/>
      </w:pPr>
      <w:r w:rsidRPr="005A1477">
        <w:t>9 Yoshida Y, </w:t>
      </w:r>
      <w:proofErr w:type="spellStart"/>
      <w:r w:rsidRPr="005A1477">
        <w:t>Zeni</w:t>
      </w:r>
      <w:proofErr w:type="spellEnd"/>
      <w:r w:rsidRPr="005A1477">
        <w:t xml:space="preserve"> J, Snyder-</w:t>
      </w:r>
      <w:proofErr w:type="spellStart"/>
      <w:r w:rsidRPr="005A1477">
        <w:t>Mackler</w:t>
      </w:r>
      <w:proofErr w:type="spellEnd"/>
      <w:r w:rsidRPr="005A1477">
        <w:t xml:space="preserve"> L. Do patients achieve normal gait patterns 3 years after total knee arthroplasty? </w:t>
      </w:r>
      <w:r w:rsidRPr="005A1477">
        <w:rPr>
          <w:i/>
          <w:iCs/>
        </w:rPr>
        <w:t xml:space="preserve">J </w:t>
      </w:r>
      <w:proofErr w:type="spellStart"/>
      <w:r w:rsidRPr="005A1477">
        <w:rPr>
          <w:i/>
          <w:iCs/>
        </w:rPr>
        <w:t>Orthop</w:t>
      </w:r>
      <w:proofErr w:type="spellEnd"/>
      <w:r w:rsidRPr="005A1477">
        <w:rPr>
          <w:i/>
          <w:iCs/>
        </w:rPr>
        <w:t xml:space="preserve"> Sports Phys </w:t>
      </w:r>
      <w:proofErr w:type="spellStart"/>
      <w:r w:rsidRPr="005A1477">
        <w:rPr>
          <w:i/>
          <w:iCs/>
        </w:rPr>
        <w:t>Ther</w:t>
      </w:r>
      <w:proofErr w:type="spellEnd"/>
      <w:r w:rsidRPr="005A1477">
        <w:t>. 2012; </w:t>
      </w:r>
      <w:r w:rsidRPr="005A1477">
        <w:rPr>
          <w:b/>
          <w:bCs/>
        </w:rPr>
        <w:t>42</w:t>
      </w:r>
      <w:r w:rsidRPr="005A1477">
        <w:t>: 1039- 1049.</w:t>
      </w:r>
    </w:p>
    <w:p w14:paraId="06E350DF" w14:textId="77777777" w:rsidR="005A1477" w:rsidRPr="005A1477" w:rsidRDefault="005A1477" w:rsidP="00D75D24">
      <w:pPr>
        <w:pStyle w:val="NoSpacing"/>
        <w:ind w:left="720" w:hanging="720"/>
      </w:pPr>
      <w:r w:rsidRPr="005A1477">
        <w:t>10 Mizner RL, </w:t>
      </w:r>
      <w:proofErr w:type="spellStart"/>
      <w:r w:rsidRPr="005A1477">
        <w:t>Petterson</w:t>
      </w:r>
      <w:proofErr w:type="spellEnd"/>
      <w:r w:rsidRPr="005A1477">
        <w:t xml:space="preserve"> SC, Stevens JE, et al. Preoperative quadriceps strength predicts functional ability one year after total knee arthroplasty. </w:t>
      </w:r>
      <w:r w:rsidRPr="005A1477">
        <w:rPr>
          <w:i/>
          <w:iCs/>
        </w:rPr>
        <w:t xml:space="preserve">J </w:t>
      </w:r>
      <w:proofErr w:type="spellStart"/>
      <w:r w:rsidRPr="005A1477">
        <w:rPr>
          <w:i/>
          <w:iCs/>
        </w:rPr>
        <w:t>Rheumatol</w:t>
      </w:r>
      <w:proofErr w:type="spellEnd"/>
      <w:r w:rsidRPr="005A1477">
        <w:t>. 2005; </w:t>
      </w:r>
      <w:r w:rsidRPr="005A1477">
        <w:rPr>
          <w:b/>
          <w:bCs/>
        </w:rPr>
        <w:t>32</w:t>
      </w:r>
      <w:r w:rsidRPr="005A1477">
        <w:t>: 1533- 1539.</w:t>
      </w:r>
    </w:p>
    <w:p w14:paraId="3CA7D10D" w14:textId="77777777" w:rsidR="005A1477" w:rsidRPr="005A1477" w:rsidRDefault="005A1477" w:rsidP="00D75D24">
      <w:pPr>
        <w:pStyle w:val="NoSpacing"/>
        <w:ind w:left="720" w:hanging="720"/>
      </w:pPr>
      <w:r w:rsidRPr="005A1477">
        <w:t>11 </w:t>
      </w:r>
      <w:proofErr w:type="spellStart"/>
      <w:r w:rsidRPr="005A1477">
        <w:t>Furu</w:t>
      </w:r>
      <w:proofErr w:type="spellEnd"/>
      <w:r w:rsidRPr="005A1477">
        <w:t xml:space="preserve"> M, Ito H, Nishikawa T, et al. Quadriceps strength affects patient satisfaction after total knee arthroplasty. </w:t>
      </w:r>
      <w:r w:rsidRPr="005A1477">
        <w:rPr>
          <w:i/>
          <w:iCs/>
        </w:rPr>
        <w:t xml:space="preserve">J </w:t>
      </w:r>
      <w:proofErr w:type="spellStart"/>
      <w:r w:rsidRPr="005A1477">
        <w:rPr>
          <w:i/>
          <w:iCs/>
        </w:rPr>
        <w:t>Orthop</w:t>
      </w:r>
      <w:proofErr w:type="spellEnd"/>
      <w:r w:rsidRPr="005A1477">
        <w:rPr>
          <w:i/>
          <w:iCs/>
        </w:rPr>
        <w:t xml:space="preserve"> Sci</w:t>
      </w:r>
      <w:r w:rsidRPr="005A1477">
        <w:t>. 2016; </w:t>
      </w:r>
      <w:r w:rsidRPr="005A1477">
        <w:rPr>
          <w:b/>
          <w:bCs/>
        </w:rPr>
        <w:t>21</w:t>
      </w:r>
      <w:r w:rsidRPr="005A1477">
        <w:t>: 38- 43.</w:t>
      </w:r>
    </w:p>
    <w:p w14:paraId="137EF625" w14:textId="77777777" w:rsidR="005A1477" w:rsidRPr="005A1477" w:rsidRDefault="005A1477" w:rsidP="00D75D24">
      <w:pPr>
        <w:pStyle w:val="NoSpacing"/>
        <w:ind w:left="720" w:hanging="720"/>
      </w:pPr>
      <w:r w:rsidRPr="005A1477">
        <w:t>12 Foroughi N, Smith R, </w:t>
      </w:r>
      <w:proofErr w:type="spellStart"/>
      <w:r w:rsidRPr="005A1477">
        <w:t>Vanwanseele</w:t>
      </w:r>
      <w:proofErr w:type="spellEnd"/>
      <w:r w:rsidRPr="005A1477">
        <w:t xml:space="preserve"> B. The association of external knee adduction moment with biomechanical variables in osteoarthritis: a systematic review. </w:t>
      </w:r>
      <w:r w:rsidRPr="005A1477">
        <w:rPr>
          <w:i/>
          <w:iCs/>
        </w:rPr>
        <w:t>Knee</w:t>
      </w:r>
      <w:r w:rsidRPr="005A1477">
        <w:t>. 2009; </w:t>
      </w:r>
      <w:r w:rsidRPr="005A1477">
        <w:rPr>
          <w:b/>
          <w:bCs/>
        </w:rPr>
        <w:t>16</w:t>
      </w:r>
      <w:r w:rsidRPr="005A1477">
        <w:t>: 303- 309.</w:t>
      </w:r>
    </w:p>
    <w:p w14:paraId="3D7690D5" w14:textId="77777777" w:rsidR="005A1477" w:rsidRPr="005A1477" w:rsidRDefault="005A1477" w:rsidP="00D75D24">
      <w:pPr>
        <w:pStyle w:val="NoSpacing"/>
        <w:ind w:left="720" w:hanging="720"/>
      </w:pPr>
      <w:r w:rsidRPr="005A1477">
        <w:t xml:space="preserve">13 Miyazaki T. Dynamic </w:t>
      </w:r>
      <w:proofErr w:type="gramStart"/>
      <w:r w:rsidRPr="005A1477">
        <w:t>load</w:t>
      </w:r>
      <w:proofErr w:type="gramEnd"/>
      <w:r w:rsidRPr="005A1477">
        <w:t xml:space="preserve"> at baseline can predict radiographic disease progression in medial compartment knee osteoarthritis. </w:t>
      </w:r>
      <w:r w:rsidRPr="005A1477">
        <w:rPr>
          <w:i/>
          <w:iCs/>
        </w:rPr>
        <w:t>Ann Rheum Dis</w:t>
      </w:r>
      <w:r w:rsidRPr="005A1477">
        <w:t>. 2002; </w:t>
      </w:r>
      <w:r w:rsidRPr="005A1477">
        <w:rPr>
          <w:b/>
          <w:bCs/>
        </w:rPr>
        <w:t>61</w:t>
      </w:r>
      <w:r w:rsidRPr="005A1477">
        <w:t>: 617- 622.</w:t>
      </w:r>
    </w:p>
    <w:p w14:paraId="59799CF7" w14:textId="77777777" w:rsidR="005A1477" w:rsidRPr="005A1477" w:rsidRDefault="005A1477" w:rsidP="00D75D24">
      <w:pPr>
        <w:pStyle w:val="NoSpacing"/>
        <w:ind w:left="720" w:hanging="720"/>
      </w:pPr>
      <w:r w:rsidRPr="005A1477">
        <w:t>14 Lee A, Park J, Lee S. Gait analysis of elderly women after total knee arthroplasty. </w:t>
      </w:r>
      <w:r w:rsidRPr="005A1477">
        <w:rPr>
          <w:i/>
          <w:iCs/>
        </w:rPr>
        <w:t>J Phys Ther Sci</w:t>
      </w:r>
      <w:r w:rsidRPr="005A1477">
        <w:t>. 2015; </w:t>
      </w:r>
      <w:r w:rsidRPr="005A1477">
        <w:rPr>
          <w:b/>
          <w:bCs/>
        </w:rPr>
        <w:t>27</w:t>
      </w:r>
      <w:r w:rsidRPr="005A1477">
        <w:t>: 591- 595.</w:t>
      </w:r>
    </w:p>
    <w:p w14:paraId="4F4DFC5E" w14:textId="77777777" w:rsidR="005A1477" w:rsidRPr="005A1477" w:rsidRDefault="005A1477" w:rsidP="00D75D24">
      <w:pPr>
        <w:pStyle w:val="NoSpacing"/>
        <w:ind w:left="720" w:hanging="720"/>
      </w:pPr>
      <w:r w:rsidRPr="005A1477">
        <w:t>15 </w:t>
      </w:r>
      <w:proofErr w:type="spellStart"/>
      <w:r w:rsidRPr="005A1477">
        <w:t>Astephen</w:t>
      </w:r>
      <w:proofErr w:type="spellEnd"/>
      <w:r w:rsidRPr="005A1477">
        <w:t xml:space="preserve"> Wilson JL, Wilson DA, Dunbar MJ, Deluzio KJ. Preoperative gait patterns and BMI are associated with tibial component migration. </w:t>
      </w:r>
      <w:r w:rsidRPr="005A1477">
        <w:rPr>
          <w:i/>
          <w:iCs/>
        </w:rPr>
        <w:t xml:space="preserve">Acta </w:t>
      </w:r>
      <w:proofErr w:type="spellStart"/>
      <w:r w:rsidRPr="005A1477">
        <w:rPr>
          <w:i/>
          <w:iCs/>
        </w:rPr>
        <w:t>Orthop</w:t>
      </w:r>
      <w:proofErr w:type="spellEnd"/>
      <w:r w:rsidRPr="005A1477">
        <w:t>. 2010; </w:t>
      </w:r>
      <w:r w:rsidRPr="005A1477">
        <w:rPr>
          <w:b/>
          <w:bCs/>
        </w:rPr>
        <w:t>81</w:t>
      </w:r>
      <w:r w:rsidRPr="005A1477">
        <w:t>: 478- 486.</w:t>
      </w:r>
    </w:p>
    <w:p w14:paraId="4DE7B427" w14:textId="77777777" w:rsidR="005A1477" w:rsidRPr="005A1477" w:rsidRDefault="005A1477" w:rsidP="00D75D24">
      <w:pPr>
        <w:pStyle w:val="NoSpacing"/>
        <w:ind w:left="720" w:hanging="720"/>
      </w:pPr>
      <w:r w:rsidRPr="005A1477">
        <w:t>16 </w:t>
      </w:r>
      <w:proofErr w:type="spellStart"/>
      <w:r w:rsidRPr="005A1477">
        <w:t>Michalik</w:t>
      </w:r>
      <w:proofErr w:type="spellEnd"/>
      <w:r w:rsidRPr="005A1477">
        <w:t xml:space="preserve"> R, Rath B, </w:t>
      </w:r>
      <w:proofErr w:type="spellStart"/>
      <w:r w:rsidRPr="005A1477">
        <w:t>Springorum</w:t>
      </w:r>
      <w:proofErr w:type="spellEnd"/>
      <w:r w:rsidRPr="005A1477">
        <w:t xml:space="preserve"> HR, </w:t>
      </w:r>
      <w:proofErr w:type="spellStart"/>
      <w:r w:rsidRPr="005A1477">
        <w:t>Lüring</w:t>
      </w:r>
      <w:proofErr w:type="spellEnd"/>
      <w:r w:rsidRPr="005A1477">
        <w:t xml:space="preserve"> C, </w:t>
      </w:r>
      <w:proofErr w:type="spellStart"/>
      <w:r w:rsidRPr="005A1477">
        <w:t>Tingart</w:t>
      </w:r>
      <w:proofErr w:type="spellEnd"/>
      <w:r w:rsidRPr="005A1477">
        <w:t xml:space="preserve"> M. Anterior knee pain after total knee arthroplasty: causes, </w:t>
      </w:r>
      <w:proofErr w:type="gramStart"/>
      <w:r w:rsidRPr="005A1477">
        <w:t>diagnosis</w:t>
      </w:r>
      <w:proofErr w:type="gramEnd"/>
      <w:r w:rsidRPr="005A1477">
        <w:t xml:space="preserve"> and treatment. </w:t>
      </w:r>
      <w:proofErr w:type="spellStart"/>
      <w:r w:rsidRPr="005A1477">
        <w:rPr>
          <w:i/>
          <w:iCs/>
        </w:rPr>
        <w:t>Orthopade</w:t>
      </w:r>
      <w:proofErr w:type="spellEnd"/>
      <w:r w:rsidRPr="005A1477">
        <w:t>. 2016; </w:t>
      </w:r>
      <w:r w:rsidRPr="005A1477">
        <w:rPr>
          <w:b/>
          <w:bCs/>
        </w:rPr>
        <w:t>45</w:t>
      </w:r>
      <w:r w:rsidRPr="005A1477">
        <w:t>: 386- 398.</w:t>
      </w:r>
    </w:p>
    <w:p w14:paraId="3DB8208A" w14:textId="77777777" w:rsidR="005A1477" w:rsidRPr="005A1477" w:rsidRDefault="005A1477" w:rsidP="00D75D24">
      <w:pPr>
        <w:pStyle w:val="NoSpacing"/>
        <w:ind w:left="720" w:hanging="720"/>
      </w:pPr>
      <w:r w:rsidRPr="005A1477">
        <w:t>17 Singh JA, O'Byrne M, </w:t>
      </w:r>
      <w:proofErr w:type="spellStart"/>
      <w:r w:rsidRPr="005A1477">
        <w:t>Harmsen</w:t>
      </w:r>
      <w:proofErr w:type="spellEnd"/>
      <w:r w:rsidRPr="005A1477">
        <w:t xml:space="preserve"> S, Lewallen D. Predictors of moderate–severe functional limitation after primary total knee arthroplasty (TKA): 4701 TKAs at 2-years and 2935 TKAs at 5-years. </w:t>
      </w:r>
      <w:proofErr w:type="spellStart"/>
      <w:r w:rsidRPr="005A1477">
        <w:rPr>
          <w:i/>
          <w:iCs/>
        </w:rPr>
        <w:t>Osteoarthr</w:t>
      </w:r>
      <w:proofErr w:type="spellEnd"/>
      <w:r w:rsidRPr="005A1477">
        <w:rPr>
          <w:i/>
          <w:iCs/>
        </w:rPr>
        <w:t xml:space="preserve"> </w:t>
      </w:r>
      <w:proofErr w:type="spellStart"/>
      <w:r w:rsidRPr="005A1477">
        <w:rPr>
          <w:i/>
          <w:iCs/>
        </w:rPr>
        <w:t>Cartil</w:t>
      </w:r>
      <w:proofErr w:type="spellEnd"/>
      <w:r w:rsidRPr="005A1477">
        <w:t>. 2010; </w:t>
      </w:r>
      <w:r w:rsidRPr="005A1477">
        <w:rPr>
          <w:b/>
          <w:bCs/>
        </w:rPr>
        <w:t>18</w:t>
      </w:r>
      <w:r w:rsidRPr="005A1477">
        <w:t>: 515- 521.</w:t>
      </w:r>
    </w:p>
    <w:p w14:paraId="324E3327" w14:textId="77777777" w:rsidR="005A1477" w:rsidRPr="005A1477" w:rsidRDefault="005A1477" w:rsidP="00D75D24">
      <w:pPr>
        <w:pStyle w:val="NoSpacing"/>
        <w:ind w:left="720" w:hanging="720"/>
      </w:pPr>
      <w:r w:rsidRPr="005A1477">
        <w:t>18 Paterson KL, </w:t>
      </w:r>
      <w:proofErr w:type="spellStart"/>
      <w:r w:rsidRPr="005A1477">
        <w:t>Sosdian</w:t>
      </w:r>
      <w:proofErr w:type="spellEnd"/>
      <w:r w:rsidRPr="005A1477">
        <w:t xml:space="preserve"> L, Hinman RS, et al. Effects of sex and obesity on gait biomechanics before and six months after total knee arthroplasty: a longitudinal cohort study. </w:t>
      </w:r>
      <w:r w:rsidRPr="005A1477">
        <w:rPr>
          <w:i/>
          <w:iCs/>
        </w:rPr>
        <w:t>Gait Posture</w:t>
      </w:r>
      <w:r w:rsidRPr="005A1477">
        <w:t>. 2018; </w:t>
      </w:r>
      <w:r w:rsidRPr="005A1477">
        <w:rPr>
          <w:b/>
          <w:bCs/>
        </w:rPr>
        <w:t>61</w:t>
      </w:r>
      <w:r w:rsidRPr="005A1477">
        <w:t>: 263- 268.</w:t>
      </w:r>
    </w:p>
    <w:p w14:paraId="7CD86FD9" w14:textId="77777777" w:rsidR="005A1477" w:rsidRPr="005A1477" w:rsidRDefault="005A1477" w:rsidP="00D75D24">
      <w:pPr>
        <w:pStyle w:val="NoSpacing"/>
        <w:ind w:left="720" w:hanging="720"/>
      </w:pPr>
      <w:r w:rsidRPr="005A1477">
        <w:lastRenderedPageBreak/>
        <w:t>19 </w:t>
      </w:r>
      <w:proofErr w:type="spellStart"/>
      <w:r w:rsidRPr="005A1477">
        <w:t>Alnahdi</w:t>
      </w:r>
      <w:proofErr w:type="spellEnd"/>
      <w:r w:rsidRPr="005A1477">
        <w:t xml:space="preserve"> AH, </w:t>
      </w:r>
      <w:proofErr w:type="spellStart"/>
      <w:r w:rsidRPr="005A1477">
        <w:t>Zeni</w:t>
      </w:r>
      <w:proofErr w:type="spellEnd"/>
      <w:r w:rsidRPr="005A1477">
        <w:t xml:space="preserve"> JA, Snyder-</w:t>
      </w:r>
      <w:proofErr w:type="spellStart"/>
      <w:r w:rsidRPr="005A1477">
        <w:t>Mackler</w:t>
      </w:r>
      <w:proofErr w:type="spellEnd"/>
      <w:r w:rsidRPr="005A1477">
        <w:t xml:space="preserve"> L. Gait after unilateral total knee arthroplasty: frontal plane analysis. </w:t>
      </w:r>
      <w:r w:rsidRPr="005A1477">
        <w:rPr>
          <w:i/>
          <w:iCs/>
        </w:rPr>
        <w:t xml:space="preserve">J </w:t>
      </w:r>
      <w:proofErr w:type="spellStart"/>
      <w:r w:rsidRPr="005A1477">
        <w:rPr>
          <w:i/>
          <w:iCs/>
        </w:rPr>
        <w:t>Orthop</w:t>
      </w:r>
      <w:proofErr w:type="spellEnd"/>
      <w:r w:rsidRPr="005A1477">
        <w:rPr>
          <w:i/>
          <w:iCs/>
        </w:rPr>
        <w:t xml:space="preserve"> Res</w:t>
      </w:r>
      <w:r w:rsidRPr="005A1477">
        <w:t>. 2011; </w:t>
      </w:r>
      <w:r w:rsidRPr="005A1477">
        <w:rPr>
          <w:b/>
          <w:bCs/>
        </w:rPr>
        <w:t>29</w:t>
      </w:r>
      <w:r w:rsidRPr="005A1477">
        <w:t>: 647- 652.</w:t>
      </w:r>
    </w:p>
    <w:p w14:paraId="5B0FBBD8" w14:textId="77777777" w:rsidR="005A1477" w:rsidRPr="005A1477" w:rsidRDefault="005A1477" w:rsidP="00D75D24">
      <w:pPr>
        <w:pStyle w:val="NoSpacing"/>
        <w:ind w:left="720" w:hanging="720"/>
      </w:pPr>
      <w:r w:rsidRPr="005A1477">
        <w:t>20 </w:t>
      </w:r>
      <w:proofErr w:type="spellStart"/>
      <w:r w:rsidRPr="005A1477">
        <w:t>Bozic</w:t>
      </w:r>
      <w:proofErr w:type="spellEnd"/>
      <w:r w:rsidRPr="005A1477">
        <w:t xml:space="preserve"> KJ, Stacey B, Berger A, </w:t>
      </w:r>
      <w:proofErr w:type="spellStart"/>
      <w:r w:rsidRPr="005A1477">
        <w:t>Sadosky</w:t>
      </w:r>
      <w:proofErr w:type="spellEnd"/>
      <w:r w:rsidRPr="005A1477">
        <w:t xml:space="preserve"> A, Oster G. Resource utilization and costs before and after total joint arthroplasty. </w:t>
      </w:r>
      <w:r w:rsidRPr="005A1477">
        <w:rPr>
          <w:i/>
          <w:iCs/>
        </w:rPr>
        <w:t>BMC Health Serv Res</w:t>
      </w:r>
      <w:r w:rsidRPr="005A1477">
        <w:t>. 2012; </w:t>
      </w:r>
      <w:r w:rsidRPr="005A1477">
        <w:rPr>
          <w:b/>
          <w:bCs/>
        </w:rPr>
        <w:t>12</w:t>
      </w:r>
      <w:r w:rsidRPr="005A1477">
        <w:t>: 73.</w:t>
      </w:r>
    </w:p>
    <w:p w14:paraId="56D0BEBC" w14:textId="77777777" w:rsidR="005A1477" w:rsidRPr="005A1477" w:rsidRDefault="005A1477" w:rsidP="00D75D24">
      <w:pPr>
        <w:pStyle w:val="NoSpacing"/>
        <w:ind w:left="720" w:hanging="720"/>
      </w:pPr>
      <w:r w:rsidRPr="005A1477">
        <w:t>21 </w:t>
      </w:r>
      <w:proofErr w:type="spellStart"/>
      <w:r w:rsidRPr="005A1477">
        <w:t>Dummit</w:t>
      </w:r>
      <w:proofErr w:type="spellEnd"/>
      <w:r w:rsidRPr="005A1477">
        <w:t xml:space="preserve"> LA, </w:t>
      </w:r>
      <w:proofErr w:type="spellStart"/>
      <w:r w:rsidRPr="005A1477">
        <w:t>Kahvecioglu</w:t>
      </w:r>
      <w:proofErr w:type="spellEnd"/>
      <w:r w:rsidRPr="005A1477">
        <w:t xml:space="preserve"> D, </w:t>
      </w:r>
      <w:proofErr w:type="spellStart"/>
      <w:r w:rsidRPr="005A1477">
        <w:t>Marrufo</w:t>
      </w:r>
      <w:proofErr w:type="spellEnd"/>
      <w:r w:rsidRPr="005A1477">
        <w:t xml:space="preserve"> G, et al. Association between hospital participation in a </w:t>
      </w:r>
      <w:proofErr w:type="spellStart"/>
      <w:r w:rsidRPr="005A1477">
        <w:t>medicare</w:t>
      </w:r>
      <w:proofErr w:type="spellEnd"/>
      <w:r w:rsidRPr="005A1477">
        <w:t xml:space="preserve"> bundled payment initiative and payments and quality outcomes for lower extremity joint replacement episodes. </w:t>
      </w:r>
      <w:r w:rsidRPr="005A1477">
        <w:rPr>
          <w:i/>
          <w:iCs/>
        </w:rPr>
        <w:t>JAMA</w:t>
      </w:r>
      <w:r w:rsidRPr="005A1477">
        <w:t>. 2016; </w:t>
      </w:r>
      <w:r w:rsidRPr="005A1477">
        <w:rPr>
          <w:b/>
          <w:bCs/>
        </w:rPr>
        <w:t>316</w:t>
      </w:r>
      <w:r w:rsidRPr="005A1477">
        <w:t>: 1267- 1278.</w:t>
      </w:r>
    </w:p>
    <w:p w14:paraId="19923AAC" w14:textId="77777777" w:rsidR="005A1477" w:rsidRPr="005A1477" w:rsidRDefault="005A1477" w:rsidP="00D75D24">
      <w:pPr>
        <w:pStyle w:val="NoSpacing"/>
        <w:ind w:left="720" w:hanging="720"/>
      </w:pPr>
      <w:r w:rsidRPr="005A1477">
        <w:t>22 </w:t>
      </w:r>
      <w:proofErr w:type="spellStart"/>
      <w:r w:rsidRPr="005A1477">
        <w:t>Waimann</w:t>
      </w:r>
      <w:proofErr w:type="spellEnd"/>
      <w:r w:rsidRPr="005A1477">
        <w:t xml:space="preserve"> CA, Fernandez-</w:t>
      </w:r>
      <w:proofErr w:type="spellStart"/>
      <w:r w:rsidRPr="005A1477">
        <w:t>Mazarambroz</w:t>
      </w:r>
      <w:proofErr w:type="spellEnd"/>
      <w:r w:rsidRPr="005A1477">
        <w:t xml:space="preserve"> RJ, Cantor SB, et al. Cost-effectiveness of total knee replacement: a prospective cohort study. </w:t>
      </w:r>
      <w:r w:rsidRPr="005A1477">
        <w:rPr>
          <w:i/>
          <w:iCs/>
        </w:rPr>
        <w:t>Arthritis Care Res (Hoboken)</w:t>
      </w:r>
      <w:r w:rsidRPr="005A1477">
        <w:t>. 2014; </w:t>
      </w:r>
      <w:r w:rsidRPr="005A1477">
        <w:rPr>
          <w:b/>
          <w:bCs/>
        </w:rPr>
        <w:t>66</w:t>
      </w:r>
      <w:r w:rsidRPr="005A1477">
        <w:t>: 592- 599.</w:t>
      </w:r>
    </w:p>
    <w:p w14:paraId="7E52BC0F" w14:textId="77777777" w:rsidR="005A1477" w:rsidRPr="005A1477" w:rsidRDefault="005A1477" w:rsidP="00D75D24">
      <w:pPr>
        <w:pStyle w:val="NoSpacing"/>
        <w:ind w:left="720" w:hanging="720"/>
      </w:pPr>
      <w:r w:rsidRPr="005A1477">
        <w:t>23 </w:t>
      </w:r>
      <w:proofErr w:type="spellStart"/>
      <w:r w:rsidRPr="005A1477">
        <w:t>Pozzi</w:t>
      </w:r>
      <w:proofErr w:type="spellEnd"/>
      <w:r w:rsidRPr="005A1477">
        <w:t xml:space="preserve"> F, Snyder-</w:t>
      </w:r>
      <w:proofErr w:type="spellStart"/>
      <w:r w:rsidRPr="005A1477">
        <w:t>Mackler</w:t>
      </w:r>
      <w:proofErr w:type="spellEnd"/>
      <w:r w:rsidRPr="005A1477">
        <w:t xml:space="preserve"> L, </w:t>
      </w:r>
      <w:proofErr w:type="spellStart"/>
      <w:r w:rsidRPr="005A1477">
        <w:t>Zeni</w:t>
      </w:r>
      <w:proofErr w:type="spellEnd"/>
      <w:r w:rsidRPr="005A1477">
        <w:t xml:space="preserve"> J, Jr. Relationship between biomechanical asymmetries during a step up and over task and stair climbing after total knee arthroplasty. </w:t>
      </w:r>
      <w:r w:rsidRPr="005A1477">
        <w:rPr>
          <w:i/>
          <w:iCs/>
        </w:rPr>
        <w:t xml:space="preserve">Clin </w:t>
      </w:r>
      <w:proofErr w:type="spellStart"/>
      <w:r w:rsidRPr="005A1477">
        <w:rPr>
          <w:i/>
          <w:iCs/>
        </w:rPr>
        <w:t>Biomech</w:t>
      </w:r>
      <w:proofErr w:type="spellEnd"/>
      <w:r w:rsidRPr="005A1477">
        <w:rPr>
          <w:i/>
          <w:iCs/>
        </w:rPr>
        <w:t xml:space="preserve"> (Bristol, Avon)</w:t>
      </w:r>
      <w:r w:rsidRPr="005A1477">
        <w:t>. 2015; </w:t>
      </w:r>
      <w:r w:rsidRPr="005A1477">
        <w:rPr>
          <w:b/>
          <w:bCs/>
        </w:rPr>
        <w:t>30</w:t>
      </w:r>
      <w:r w:rsidRPr="005A1477">
        <w:t>: 78- 85.</w:t>
      </w:r>
    </w:p>
    <w:p w14:paraId="3B1EB397" w14:textId="77777777" w:rsidR="005A1477" w:rsidRPr="005A1477" w:rsidRDefault="005A1477" w:rsidP="00D75D24">
      <w:pPr>
        <w:pStyle w:val="NoSpacing"/>
        <w:ind w:left="720" w:hanging="720"/>
      </w:pPr>
      <w:r w:rsidRPr="005A1477">
        <w:t>24 </w:t>
      </w:r>
      <w:proofErr w:type="spellStart"/>
      <w:r w:rsidRPr="005A1477">
        <w:t>Zeni</w:t>
      </w:r>
      <w:proofErr w:type="spellEnd"/>
      <w:r w:rsidRPr="005A1477">
        <w:t xml:space="preserve"> JA, Jr., Flowers P, Bade M, </w:t>
      </w:r>
      <w:proofErr w:type="spellStart"/>
      <w:r w:rsidRPr="005A1477">
        <w:t>Cheuy</w:t>
      </w:r>
      <w:proofErr w:type="spellEnd"/>
      <w:r w:rsidRPr="005A1477">
        <w:t xml:space="preserve"> V, Stevens-Lapsley J, Snyder-</w:t>
      </w:r>
      <w:proofErr w:type="spellStart"/>
      <w:r w:rsidRPr="005A1477">
        <w:t>Mackler</w:t>
      </w:r>
      <w:proofErr w:type="spellEnd"/>
      <w:r w:rsidRPr="005A1477">
        <w:t xml:space="preserve"> L. Stiff knee gait may increase risk of second total knee arthroplasty. </w:t>
      </w:r>
      <w:r w:rsidRPr="005A1477">
        <w:rPr>
          <w:i/>
          <w:iCs/>
        </w:rPr>
        <w:t xml:space="preserve">J </w:t>
      </w:r>
      <w:proofErr w:type="spellStart"/>
      <w:r w:rsidRPr="005A1477">
        <w:rPr>
          <w:i/>
          <w:iCs/>
        </w:rPr>
        <w:t>Orthop</w:t>
      </w:r>
      <w:proofErr w:type="spellEnd"/>
      <w:r w:rsidRPr="005A1477">
        <w:rPr>
          <w:i/>
          <w:iCs/>
        </w:rPr>
        <w:t xml:space="preserve"> Res</w:t>
      </w:r>
      <w:r w:rsidRPr="005A1477">
        <w:t>. 2019; </w:t>
      </w:r>
      <w:r w:rsidRPr="005A1477">
        <w:rPr>
          <w:b/>
          <w:bCs/>
        </w:rPr>
        <w:t>37</w:t>
      </w:r>
      <w:r w:rsidRPr="005A1477">
        <w:t>: 397- 402.</w:t>
      </w:r>
    </w:p>
    <w:p w14:paraId="5CAD83BE" w14:textId="77777777" w:rsidR="005A1477" w:rsidRPr="005A1477" w:rsidRDefault="005A1477" w:rsidP="00D75D24">
      <w:pPr>
        <w:pStyle w:val="NoSpacing"/>
        <w:ind w:left="720" w:hanging="720"/>
      </w:pPr>
      <w:r w:rsidRPr="005A1477">
        <w:t>25 </w:t>
      </w:r>
      <w:proofErr w:type="spellStart"/>
      <w:r w:rsidRPr="005A1477">
        <w:t>Faul</w:t>
      </w:r>
      <w:proofErr w:type="spellEnd"/>
      <w:r w:rsidRPr="005A1477">
        <w:t xml:space="preserve"> F, </w:t>
      </w:r>
      <w:proofErr w:type="spellStart"/>
      <w:r w:rsidRPr="005A1477">
        <w:t>Erdfelder</w:t>
      </w:r>
      <w:proofErr w:type="spellEnd"/>
      <w:r w:rsidRPr="005A1477">
        <w:t xml:space="preserve"> E, Lang AG, Buchner A. G*Power 3: a flexible statistical power analysis program for the social, behavioral, and biomedical sciences. </w:t>
      </w:r>
      <w:proofErr w:type="spellStart"/>
      <w:r w:rsidRPr="005A1477">
        <w:rPr>
          <w:i/>
          <w:iCs/>
        </w:rPr>
        <w:t>Behav</w:t>
      </w:r>
      <w:proofErr w:type="spellEnd"/>
      <w:r w:rsidRPr="005A1477">
        <w:rPr>
          <w:i/>
          <w:iCs/>
        </w:rPr>
        <w:t xml:space="preserve"> Res Methods</w:t>
      </w:r>
      <w:r w:rsidRPr="005A1477">
        <w:t>. 2007; </w:t>
      </w:r>
      <w:r w:rsidRPr="005A1477">
        <w:rPr>
          <w:b/>
          <w:bCs/>
        </w:rPr>
        <w:t>39</w:t>
      </w:r>
      <w:r w:rsidRPr="005A1477">
        <w:t>: 175- 191.</w:t>
      </w:r>
    </w:p>
    <w:p w14:paraId="362476E6" w14:textId="77777777" w:rsidR="005A1477" w:rsidRPr="005A1477" w:rsidRDefault="005A1477" w:rsidP="00D75D24">
      <w:pPr>
        <w:pStyle w:val="NoSpacing"/>
        <w:ind w:left="720" w:hanging="720"/>
      </w:pPr>
      <w:r w:rsidRPr="005A1477">
        <w:t>26 Harrell FEJ, Lee KL, DB M. Multivariable prognostic models: issues in developing models, evaluating assumptions and adequacy, and measuring and reducing errors. </w:t>
      </w:r>
      <w:r w:rsidRPr="005A1477">
        <w:rPr>
          <w:i/>
          <w:iCs/>
        </w:rPr>
        <w:t>Stat Med</w:t>
      </w:r>
      <w:r w:rsidRPr="005A1477">
        <w:t>. 1996; </w:t>
      </w:r>
      <w:r w:rsidRPr="005A1477">
        <w:rPr>
          <w:b/>
          <w:bCs/>
        </w:rPr>
        <w:t>15</w:t>
      </w:r>
      <w:r w:rsidRPr="005A1477">
        <w:t>: 361- 387.</w:t>
      </w:r>
    </w:p>
    <w:p w14:paraId="76C3C1DF" w14:textId="77777777" w:rsidR="005A1477" w:rsidRPr="005A1477" w:rsidRDefault="005A1477" w:rsidP="00D75D24">
      <w:pPr>
        <w:pStyle w:val="NoSpacing"/>
        <w:ind w:left="720" w:hanging="720"/>
      </w:pPr>
      <w:r w:rsidRPr="005A1477">
        <w:t>27 Harrell FEJ. </w:t>
      </w:r>
      <w:r w:rsidRPr="005A1477">
        <w:rPr>
          <w:i/>
          <w:iCs/>
        </w:rPr>
        <w:t xml:space="preserve">Regression Modeling Strategies </w:t>
      </w:r>
      <w:proofErr w:type="gramStart"/>
      <w:r w:rsidRPr="005A1477">
        <w:rPr>
          <w:i/>
          <w:iCs/>
        </w:rPr>
        <w:t>With</w:t>
      </w:r>
      <w:proofErr w:type="gramEnd"/>
      <w:r w:rsidRPr="005A1477">
        <w:rPr>
          <w:i/>
          <w:iCs/>
        </w:rPr>
        <w:t xml:space="preserve"> Applications to Linear Models, Logistic Regression, and Survival Analysis</w:t>
      </w:r>
      <w:r w:rsidRPr="005A1477">
        <w:t>. Springer; 2001.</w:t>
      </w:r>
    </w:p>
    <w:p w14:paraId="2311D702" w14:textId="77777777" w:rsidR="005A1477" w:rsidRPr="005A1477" w:rsidRDefault="005A1477" w:rsidP="00D75D24">
      <w:pPr>
        <w:pStyle w:val="NoSpacing"/>
        <w:ind w:left="720" w:hanging="720"/>
      </w:pPr>
      <w:r w:rsidRPr="005A1477">
        <w:t>28 Irrgang JJ, Snyder-</w:t>
      </w:r>
      <w:proofErr w:type="spellStart"/>
      <w:r w:rsidRPr="005A1477">
        <w:t>Mackler</w:t>
      </w:r>
      <w:proofErr w:type="spellEnd"/>
      <w:r w:rsidRPr="005A1477">
        <w:t xml:space="preserve"> L, </w:t>
      </w:r>
      <w:proofErr w:type="spellStart"/>
      <w:r w:rsidRPr="005A1477">
        <w:t>Wainner</w:t>
      </w:r>
      <w:proofErr w:type="spellEnd"/>
      <w:r w:rsidRPr="005A1477">
        <w:t xml:space="preserve"> RS, Fu FH, </w:t>
      </w:r>
      <w:proofErr w:type="spellStart"/>
      <w:r w:rsidRPr="005A1477">
        <w:t>Harner</w:t>
      </w:r>
      <w:proofErr w:type="spellEnd"/>
      <w:r w:rsidRPr="005A1477">
        <w:t xml:space="preserve"> CD. Development of a patient-reported measure of function of the knee. </w:t>
      </w:r>
      <w:r w:rsidRPr="005A1477">
        <w:rPr>
          <w:i/>
          <w:iCs/>
        </w:rPr>
        <w:t>J Bone Joint Surg Am</w:t>
      </w:r>
      <w:r w:rsidRPr="005A1477">
        <w:t>. 1998; </w:t>
      </w:r>
      <w:r w:rsidRPr="005A1477">
        <w:rPr>
          <w:b/>
          <w:bCs/>
        </w:rPr>
        <w:t>80</w:t>
      </w:r>
      <w:r w:rsidRPr="005A1477">
        <w:t>: 1132- 1145.</w:t>
      </w:r>
    </w:p>
    <w:p w14:paraId="7D226DAF" w14:textId="77777777" w:rsidR="005A1477" w:rsidRPr="005A1477" w:rsidRDefault="005A1477" w:rsidP="00D75D24">
      <w:pPr>
        <w:pStyle w:val="NoSpacing"/>
        <w:ind w:left="720" w:hanging="720"/>
      </w:pPr>
      <w:r w:rsidRPr="005A1477">
        <w:t>29 Williams VJ, </w:t>
      </w:r>
      <w:proofErr w:type="spellStart"/>
      <w:r w:rsidRPr="005A1477">
        <w:t>Piva</w:t>
      </w:r>
      <w:proofErr w:type="spellEnd"/>
      <w:r w:rsidRPr="005A1477">
        <w:t xml:space="preserve"> SR, Irrgang JJ, Crossley C, Fitzgerald GK. Comparison of reliability and responsiveness of patient-reported clinical outcome measures in knee osteoarthritis rehabilitation. </w:t>
      </w:r>
      <w:r w:rsidRPr="005A1477">
        <w:rPr>
          <w:i/>
          <w:iCs/>
        </w:rPr>
        <w:t xml:space="preserve">J </w:t>
      </w:r>
      <w:proofErr w:type="spellStart"/>
      <w:r w:rsidRPr="005A1477">
        <w:rPr>
          <w:i/>
          <w:iCs/>
        </w:rPr>
        <w:t>Orthop</w:t>
      </w:r>
      <w:proofErr w:type="spellEnd"/>
      <w:r w:rsidRPr="005A1477">
        <w:rPr>
          <w:i/>
          <w:iCs/>
        </w:rPr>
        <w:t xml:space="preserve"> Sports Phys </w:t>
      </w:r>
      <w:proofErr w:type="spellStart"/>
      <w:r w:rsidRPr="005A1477">
        <w:rPr>
          <w:i/>
          <w:iCs/>
        </w:rPr>
        <w:t>Ther</w:t>
      </w:r>
      <w:proofErr w:type="spellEnd"/>
      <w:r w:rsidRPr="005A1477">
        <w:t>. 2012; </w:t>
      </w:r>
      <w:r w:rsidRPr="005A1477">
        <w:rPr>
          <w:b/>
          <w:bCs/>
        </w:rPr>
        <w:t>42</w:t>
      </w:r>
      <w:r w:rsidRPr="005A1477">
        <w:t>: 716- 723.</w:t>
      </w:r>
    </w:p>
    <w:p w14:paraId="4963A266" w14:textId="77777777" w:rsidR="005A1477" w:rsidRPr="005A1477" w:rsidRDefault="005A1477" w:rsidP="00D75D24">
      <w:pPr>
        <w:pStyle w:val="NoSpacing"/>
        <w:ind w:left="720" w:hanging="720"/>
      </w:pPr>
      <w:r w:rsidRPr="005A1477">
        <w:t>30 Hawker GA, Mian S, </w:t>
      </w:r>
      <w:proofErr w:type="spellStart"/>
      <w:r w:rsidRPr="005A1477">
        <w:t>Kendzerska</w:t>
      </w:r>
      <w:proofErr w:type="spellEnd"/>
      <w:r w:rsidRPr="005A1477">
        <w:t xml:space="preserve"> T, French M. Measures of adult pain: Visual Analog Scale for Pain (VAS Pain), Numeric Rating Scale for Pain (NRS Pain), McGill Pain Questionnaire (MPQ), Short-Form McGill Pain Questionnaire (SF-MPQ), Chronic Pain Grade Scale (CPGS), Short Form-36 Bodily Pain Scale (SF-36 BPS), and Measure of Intermittent and Constant Osteoarthritis Pain (ICOAP). </w:t>
      </w:r>
      <w:r w:rsidRPr="005A1477">
        <w:rPr>
          <w:i/>
          <w:iCs/>
        </w:rPr>
        <w:t>Arthritis Care Res (Hoboken)</w:t>
      </w:r>
      <w:r w:rsidRPr="005A1477">
        <w:t>. 2011; </w:t>
      </w:r>
      <w:r w:rsidRPr="005A1477">
        <w:rPr>
          <w:b/>
          <w:bCs/>
        </w:rPr>
        <w:t>63</w:t>
      </w:r>
      <w:r w:rsidRPr="005A1477">
        <w:t>(suppl 11): S240- S252.</w:t>
      </w:r>
    </w:p>
    <w:p w14:paraId="302A6DA1" w14:textId="77777777" w:rsidR="005A1477" w:rsidRPr="005A1477" w:rsidRDefault="005A1477" w:rsidP="00D75D24">
      <w:pPr>
        <w:pStyle w:val="NoSpacing"/>
        <w:ind w:left="720" w:hanging="720"/>
      </w:pPr>
      <w:r w:rsidRPr="005A1477">
        <w:t>31 Brander VA, </w:t>
      </w:r>
      <w:proofErr w:type="spellStart"/>
      <w:r w:rsidRPr="005A1477">
        <w:t>Stulberg</w:t>
      </w:r>
      <w:proofErr w:type="spellEnd"/>
      <w:r w:rsidRPr="005A1477">
        <w:t xml:space="preserve"> SD, Adams AD, et al. Predicting total knee replacement pain: a prospective, observational study. </w:t>
      </w:r>
      <w:r w:rsidRPr="005A1477">
        <w:rPr>
          <w:i/>
          <w:iCs/>
        </w:rPr>
        <w:t xml:space="preserve">Clin </w:t>
      </w:r>
      <w:proofErr w:type="spellStart"/>
      <w:r w:rsidRPr="005A1477">
        <w:rPr>
          <w:i/>
          <w:iCs/>
        </w:rPr>
        <w:t>Orthop</w:t>
      </w:r>
      <w:proofErr w:type="spellEnd"/>
      <w:r w:rsidRPr="005A1477">
        <w:rPr>
          <w:i/>
          <w:iCs/>
        </w:rPr>
        <w:t xml:space="preserve"> </w:t>
      </w:r>
      <w:proofErr w:type="spellStart"/>
      <w:r w:rsidRPr="005A1477">
        <w:rPr>
          <w:i/>
          <w:iCs/>
        </w:rPr>
        <w:t>Relat</w:t>
      </w:r>
      <w:proofErr w:type="spellEnd"/>
      <w:r w:rsidRPr="005A1477">
        <w:rPr>
          <w:i/>
          <w:iCs/>
        </w:rPr>
        <w:t xml:space="preserve"> Res</w:t>
      </w:r>
      <w:r w:rsidRPr="005A1477">
        <w:t>. 2003; </w:t>
      </w:r>
      <w:r w:rsidRPr="005A1477">
        <w:rPr>
          <w:b/>
          <w:bCs/>
        </w:rPr>
        <w:t>416</w:t>
      </w:r>
      <w:r w:rsidRPr="005A1477">
        <w:t>: 27- 36.</w:t>
      </w:r>
    </w:p>
    <w:p w14:paraId="67DD982F" w14:textId="77777777" w:rsidR="005A1477" w:rsidRPr="005A1477" w:rsidRDefault="005A1477" w:rsidP="00D75D24">
      <w:pPr>
        <w:pStyle w:val="NoSpacing"/>
        <w:ind w:left="720" w:hanging="720"/>
      </w:pPr>
      <w:r w:rsidRPr="005A1477">
        <w:t xml:space="preserve">32 Pereira de Carvalho </w:t>
      </w:r>
      <w:proofErr w:type="spellStart"/>
      <w:r w:rsidRPr="005A1477">
        <w:t>Froufe</w:t>
      </w:r>
      <w:proofErr w:type="spellEnd"/>
      <w:r w:rsidRPr="005A1477">
        <w:t xml:space="preserve"> Andrade AC, </w:t>
      </w:r>
      <w:proofErr w:type="spellStart"/>
      <w:r w:rsidRPr="005A1477">
        <w:t>Caserotti</w:t>
      </w:r>
      <w:proofErr w:type="spellEnd"/>
      <w:r w:rsidRPr="005A1477">
        <w:t xml:space="preserve"> P, Pereira de Carvalho CM, André de Azevedo Abade E, Jaime da Eira Sampaio A. Reliability of concentric, </w:t>
      </w:r>
      <w:proofErr w:type="gramStart"/>
      <w:r w:rsidRPr="005A1477">
        <w:t>eccentric</w:t>
      </w:r>
      <w:proofErr w:type="gramEnd"/>
      <w:r w:rsidRPr="005A1477">
        <w:t xml:space="preserve"> and isometric knee extension and flexion when using the REV9000 isokinetic dynamometer. </w:t>
      </w:r>
      <w:r w:rsidRPr="005A1477">
        <w:rPr>
          <w:i/>
          <w:iCs/>
        </w:rPr>
        <w:t>J Hum Kinet</w:t>
      </w:r>
      <w:r w:rsidRPr="005A1477">
        <w:t>. 2013; </w:t>
      </w:r>
      <w:r w:rsidRPr="005A1477">
        <w:rPr>
          <w:b/>
          <w:bCs/>
        </w:rPr>
        <w:t>37</w:t>
      </w:r>
      <w:r w:rsidRPr="005A1477">
        <w:t>: 47- 53.</w:t>
      </w:r>
    </w:p>
    <w:p w14:paraId="73B26BF6" w14:textId="77777777" w:rsidR="005A1477" w:rsidRPr="005A1477" w:rsidRDefault="005A1477" w:rsidP="00D75D24">
      <w:pPr>
        <w:pStyle w:val="NoSpacing"/>
        <w:ind w:left="720" w:hanging="720"/>
      </w:pPr>
      <w:r w:rsidRPr="005A1477">
        <w:t>33 Enright PL. The six-minute walk test. </w:t>
      </w:r>
      <w:r w:rsidRPr="005A1477">
        <w:rPr>
          <w:i/>
          <w:iCs/>
        </w:rPr>
        <w:t>Respir Care</w:t>
      </w:r>
      <w:r w:rsidRPr="005A1477">
        <w:t>. 2003; </w:t>
      </w:r>
      <w:r w:rsidRPr="005A1477">
        <w:rPr>
          <w:b/>
          <w:bCs/>
        </w:rPr>
        <w:t>48</w:t>
      </w:r>
      <w:r w:rsidRPr="005A1477">
        <w:t>: 783- 785.</w:t>
      </w:r>
    </w:p>
    <w:p w14:paraId="46993094" w14:textId="77777777" w:rsidR="005A1477" w:rsidRPr="005A1477" w:rsidRDefault="005A1477" w:rsidP="00D75D24">
      <w:pPr>
        <w:pStyle w:val="NoSpacing"/>
        <w:ind w:left="720" w:hanging="720"/>
      </w:pPr>
      <w:r w:rsidRPr="005A1477">
        <w:t>34 Yoshida Y, Mizner RL, Ramsey DK, et al. Examining outcomes from total knee arthroplasty and the relationship between quadriceps strength and knee function over time. </w:t>
      </w:r>
      <w:r w:rsidRPr="005A1477">
        <w:rPr>
          <w:i/>
          <w:iCs/>
        </w:rPr>
        <w:t xml:space="preserve">Clin </w:t>
      </w:r>
      <w:proofErr w:type="spellStart"/>
      <w:r w:rsidRPr="005A1477">
        <w:rPr>
          <w:i/>
          <w:iCs/>
        </w:rPr>
        <w:t>Biomech</w:t>
      </w:r>
      <w:proofErr w:type="spellEnd"/>
      <w:r w:rsidRPr="005A1477">
        <w:rPr>
          <w:i/>
          <w:iCs/>
        </w:rPr>
        <w:t xml:space="preserve"> (Bristol, Avon)</w:t>
      </w:r>
      <w:r w:rsidRPr="005A1477">
        <w:t>. 2008; </w:t>
      </w:r>
      <w:r w:rsidRPr="005A1477">
        <w:rPr>
          <w:b/>
          <w:bCs/>
        </w:rPr>
        <w:t>23</w:t>
      </w:r>
      <w:r w:rsidRPr="005A1477">
        <w:t>(3): 320- 328.</w:t>
      </w:r>
    </w:p>
    <w:p w14:paraId="0102E275" w14:textId="77777777" w:rsidR="005A1477" w:rsidRPr="005A1477" w:rsidRDefault="005A1477" w:rsidP="00D75D24">
      <w:pPr>
        <w:pStyle w:val="NoSpacing"/>
        <w:ind w:left="720" w:hanging="720"/>
      </w:pPr>
      <w:r w:rsidRPr="005A1477">
        <w:t>35 Jakobsen TL, </w:t>
      </w:r>
      <w:proofErr w:type="spellStart"/>
      <w:r w:rsidRPr="005A1477">
        <w:t>Kehlet</w:t>
      </w:r>
      <w:proofErr w:type="spellEnd"/>
      <w:r w:rsidRPr="005A1477">
        <w:t xml:space="preserve"> H, </w:t>
      </w:r>
      <w:proofErr w:type="spellStart"/>
      <w:r w:rsidRPr="005A1477">
        <w:t>Bandholm</w:t>
      </w:r>
      <w:proofErr w:type="spellEnd"/>
      <w:r w:rsidRPr="005A1477">
        <w:t xml:space="preserve"> T. Reliability of the 6-min walk test after total knee arthroplasty. </w:t>
      </w:r>
      <w:r w:rsidRPr="005A1477">
        <w:rPr>
          <w:i/>
          <w:iCs/>
        </w:rPr>
        <w:t xml:space="preserve">Knee Surg Sports </w:t>
      </w:r>
      <w:proofErr w:type="spellStart"/>
      <w:r w:rsidRPr="005A1477">
        <w:rPr>
          <w:i/>
          <w:iCs/>
        </w:rPr>
        <w:t>Traumatol</w:t>
      </w:r>
      <w:proofErr w:type="spellEnd"/>
      <w:r w:rsidRPr="005A1477">
        <w:rPr>
          <w:i/>
          <w:iCs/>
        </w:rPr>
        <w:t xml:space="preserve"> </w:t>
      </w:r>
      <w:proofErr w:type="spellStart"/>
      <w:r w:rsidRPr="005A1477">
        <w:rPr>
          <w:i/>
          <w:iCs/>
        </w:rPr>
        <w:t>Arthrosc</w:t>
      </w:r>
      <w:proofErr w:type="spellEnd"/>
      <w:r w:rsidRPr="005A1477">
        <w:t>. 2013; </w:t>
      </w:r>
      <w:r w:rsidRPr="005A1477">
        <w:rPr>
          <w:b/>
          <w:bCs/>
        </w:rPr>
        <w:t>21</w:t>
      </w:r>
      <w:r w:rsidRPr="005A1477">
        <w:t>: 2625- 2628.</w:t>
      </w:r>
    </w:p>
    <w:p w14:paraId="7D608098" w14:textId="77777777" w:rsidR="005A1477" w:rsidRPr="005A1477" w:rsidRDefault="005A1477" w:rsidP="00D75D24">
      <w:pPr>
        <w:pStyle w:val="NoSpacing"/>
        <w:ind w:left="720" w:hanging="720"/>
      </w:pPr>
      <w:r w:rsidRPr="005A1477">
        <w:t>36 Wright SP. Adjusted P-values for simultaneous inference. </w:t>
      </w:r>
      <w:r w:rsidRPr="005A1477">
        <w:rPr>
          <w:i/>
          <w:iCs/>
        </w:rPr>
        <w:t>Biometrics</w:t>
      </w:r>
      <w:r w:rsidRPr="005A1477">
        <w:t>. 1992; </w:t>
      </w:r>
      <w:r w:rsidRPr="005A1477">
        <w:rPr>
          <w:b/>
          <w:bCs/>
        </w:rPr>
        <w:t>48</w:t>
      </w:r>
      <w:r w:rsidRPr="005A1477">
        <w:t>: 1005- 1013.</w:t>
      </w:r>
    </w:p>
    <w:p w14:paraId="73AEC5A4" w14:textId="77777777" w:rsidR="005A1477" w:rsidRPr="005A1477" w:rsidRDefault="005A1477" w:rsidP="00D75D24">
      <w:pPr>
        <w:pStyle w:val="NoSpacing"/>
        <w:ind w:left="720" w:hanging="720"/>
      </w:pPr>
      <w:r w:rsidRPr="005A1477">
        <w:t>37 Cohen J. </w:t>
      </w:r>
      <w:r w:rsidRPr="005A1477">
        <w:rPr>
          <w:i/>
          <w:iCs/>
        </w:rPr>
        <w:t>Statistical Power Analysis for the Behavioral Sciences</w:t>
      </w:r>
      <w:r w:rsidRPr="005A1477">
        <w:t>. 2nd ed. Taylor &amp; Francis; 1988.</w:t>
      </w:r>
    </w:p>
    <w:p w14:paraId="5EA9884E" w14:textId="77777777" w:rsidR="005A1477" w:rsidRPr="005A1477" w:rsidRDefault="005A1477" w:rsidP="00D75D24">
      <w:pPr>
        <w:pStyle w:val="NoSpacing"/>
        <w:ind w:left="720" w:hanging="720"/>
      </w:pPr>
      <w:r w:rsidRPr="005A1477">
        <w:t>38 Lange T, Schmitt J, </w:t>
      </w:r>
      <w:proofErr w:type="spellStart"/>
      <w:r w:rsidRPr="005A1477">
        <w:t>Kopkow</w:t>
      </w:r>
      <w:proofErr w:type="spellEnd"/>
      <w:r w:rsidRPr="005A1477">
        <w:t xml:space="preserve"> C, </w:t>
      </w:r>
      <w:proofErr w:type="spellStart"/>
      <w:r w:rsidRPr="005A1477">
        <w:t>Rataj</w:t>
      </w:r>
      <w:proofErr w:type="spellEnd"/>
      <w:r w:rsidRPr="005A1477">
        <w:t xml:space="preserve"> E, Günther KP, </w:t>
      </w:r>
      <w:proofErr w:type="spellStart"/>
      <w:r w:rsidRPr="005A1477">
        <w:t>Lützner</w:t>
      </w:r>
      <w:proofErr w:type="spellEnd"/>
      <w:r w:rsidRPr="005A1477">
        <w:t xml:space="preserve"> J. What do patients expect from total knee arthroplasty? A Delphi consensus study on patient treatment goals. </w:t>
      </w:r>
      <w:r w:rsidRPr="005A1477">
        <w:rPr>
          <w:i/>
          <w:iCs/>
        </w:rPr>
        <w:t>J Arthroplasty</w:t>
      </w:r>
      <w:r w:rsidRPr="005A1477">
        <w:t>. 2017; </w:t>
      </w:r>
      <w:r w:rsidRPr="005A1477">
        <w:rPr>
          <w:b/>
          <w:bCs/>
        </w:rPr>
        <w:t>32</w:t>
      </w:r>
      <w:r w:rsidRPr="005A1477">
        <w:t>(7): 2093- 2099.</w:t>
      </w:r>
    </w:p>
    <w:p w14:paraId="0BD81BB4" w14:textId="77777777" w:rsidR="005A1477" w:rsidRPr="005A1477" w:rsidRDefault="005A1477" w:rsidP="00D75D24">
      <w:pPr>
        <w:pStyle w:val="NoSpacing"/>
        <w:ind w:left="720" w:hanging="720"/>
      </w:pPr>
      <w:r w:rsidRPr="005A1477">
        <w:t>39 </w:t>
      </w:r>
      <w:proofErr w:type="spellStart"/>
      <w:r w:rsidRPr="005A1477">
        <w:t>Valtonen</w:t>
      </w:r>
      <w:proofErr w:type="spellEnd"/>
      <w:r w:rsidRPr="005A1477">
        <w:t xml:space="preserve"> A, </w:t>
      </w:r>
      <w:proofErr w:type="spellStart"/>
      <w:r w:rsidRPr="005A1477">
        <w:t>Pöyhönen</w:t>
      </w:r>
      <w:proofErr w:type="spellEnd"/>
      <w:r w:rsidRPr="005A1477">
        <w:t xml:space="preserve"> T, </w:t>
      </w:r>
      <w:proofErr w:type="spellStart"/>
      <w:r w:rsidRPr="005A1477">
        <w:t>Heinonen</w:t>
      </w:r>
      <w:proofErr w:type="spellEnd"/>
      <w:r w:rsidRPr="005A1477">
        <w:t xml:space="preserve"> A, </w:t>
      </w:r>
      <w:proofErr w:type="spellStart"/>
      <w:r w:rsidRPr="005A1477">
        <w:t>Sipilä</w:t>
      </w:r>
      <w:proofErr w:type="spellEnd"/>
      <w:r w:rsidRPr="005A1477">
        <w:t xml:space="preserve"> S. Muscle deficits persist after unilateral knee replacement and have implications for rehabilitation. </w:t>
      </w:r>
      <w:r w:rsidRPr="005A1477">
        <w:rPr>
          <w:i/>
          <w:iCs/>
        </w:rPr>
        <w:t>Phys Ther</w:t>
      </w:r>
      <w:r w:rsidRPr="005A1477">
        <w:t>. 2009; </w:t>
      </w:r>
      <w:r w:rsidRPr="005A1477">
        <w:rPr>
          <w:b/>
          <w:bCs/>
        </w:rPr>
        <w:t>89</w:t>
      </w:r>
      <w:r w:rsidRPr="005A1477">
        <w:t>: 1072- 1079.</w:t>
      </w:r>
    </w:p>
    <w:p w14:paraId="5BF20BD7" w14:textId="77777777" w:rsidR="005A1477" w:rsidRPr="005A1477" w:rsidRDefault="005A1477" w:rsidP="00D75D24">
      <w:pPr>
        <w:pStyle w:val="NoSpacing"/>
        <w:ind w:left="720" w:hanging="720"/>
      </w:pPr>
      <w:r w:rsidRPr="005A1477">
        <w:t>40 Christensen JC, Mizner RL, Bo Foreman K, </w:t>
      </w:r>
      <w:proofErr w:type="spellStart"/>
      <w:r w:rsidRPr="005A1477">
        <w:t>LaStayo</w:t>
      </w:r>
      <w:proofErr w:type="spellEnd"/>
      <w:r w:rsidRPr="005A1477">
        <w:t xml:space="preserve"> PC, Peters CL, Pelt CE. Preoperative quadriceps weakness preferentially predicts postoperative aberrant movement patterns during high-demand mobility following total knee arthroplasty. </w:t>
      </w:r>
      <w:r w:rsidRPr="005A1477">
        <w:rPr>
          <w:i/>
          <w:iCs/>
        </w:rPr>
        <w:t>Knee</w:t>
      </w:r>
      <w:r w:rsidRPr="005A1477">
        <w:t>. 2019; </w:t>
      </w:r>
      <w:r w:rsidRPr="005A1477">
        <w:rPr>
          <w:b/>
          <w:bCs/>
        </w:rPr>
        <w:t>26</w:t>
      </w:r>
      <w:r w:rsidRPr="005A1477">
        <w:t>: 79- 87.</w:t>
      </w:r>
    </w:p>
    <w:p w14:paraId="4802AEC0" w14:textId="77777777" w:rsidR="005A1477" w:rsidRPr="005A1477" w:rsidRDefault="005A1477" w:rsidP="00D75D24">
      <w:pPr>
        <w:pStyle w:val="NoSpacing"/>
        <w:ind w:left="720" w:hanging="720"/>
      </w:pPr>
      <w:r w:rsidRPr="005A1477">
        <w:lastRenderedPageBreak/>
        <w:t>41 </w:t>
      </w:r>
      <w:proofErr w:type="spellStart"/>
      <w:r w:rsidRPr="005A1477">
        <w:t>Alnahdi</w:t>
      </w:r>
      <w:proofErr w:type="spellEnd"/>
      <w:r w:rsidRPr="005A1477">
        <w:t xml:space="preserve"> AH, </w:t>
      </w:r>
      <w:proofErr w:type="spellStart"/>
      <w:r w:rsidRPr="005A1477">
        <w:t>Zeni</w:t>
      </w:r>
      <w:proofErr w:type="spellEnd"/>
      <w:r w:rsidRPr="005A1477">
        <w:t xml:space="preserve"> JA, Snyder-</w:t>
      </w:r>
      <w:proofErr w:type="spellStart"/>
      <w:r w:rsidRPr="005A1477">
        <w:t>Mackler</w:t>
      </w:r>
      <w:proofErr w:type="spellEnd"/>
      <w:r w:rsidRPr="005A1477">
        <w:t xml:space="preserve"> L. Quadriceps strength asymmetry predicts loading asymmetry during sit-to-stand task in patients with unilateral total knee arthroplasty. </w:t>
      </w:r>
      <w:r w:rsidRPr="005A1477">
        <w:rPr>
          <w:i/>
          <w:iCs/>
        </w:rPr>
        <w:t xml:space="preserve">Knee Surg Sports </w:t>
      </w:r>
      <w:proofErr w:type="spellStart"/>
      <w:r w:rsidRPr="005A1477">
        <w:rPr>
          <w:i/>
          <w:iCs/>
        </w:rPr>
        <w:t>Traumatol</w:t>
      </w:r>
      <w:proofErr w:type="spellEnd"/>
      <w:r w:rsidRPr="005A1477">
        <w:rPr>
          <w:i/>
          <w:iCs/>
        </w:rPr>
        <w:t xml:space="preserve"> </w:t>
      </w:r>
      <w:proofErr w:type="spellStart"/>
      <w:r w:rsidRPr="005A1477">
        <w:rPr>
          <w:i/>
          <w:iCs/>
        </w:rPr>
        <w:t>Arthrosc</w:t>
      </w:r>
      <w:proofErr w:type="spellEnd"/>
      <w:r w:rsidRPr="005A1477">
        <w:t>. 2016; </w:t>
      </w:r>
      <w:r w:rsidRPr="005A1477">
        <w:rPr>
          <w:b/>
          <w:bCs/>
        </w:rPr>
        <w:t>24</w:t>
      </w:r>
      <w:r w:rsidRPr="005A1477">
        <w:t>: 2587- 2594.</w:t>
      </w:r>
    </w:p>
    <w:p w14:paraId="7FFC360A" w14:textId="77777777" w:rsidR="005A1477" w:rsidRPr="005A1477" w:rsidRDefault="005A1477" w:rsidP="00D75D24">
      <w:pPr>
        <w:pStyle w:val="NoSpacing"/>
        <w:ind w:left="720" w:hanging="720"/>
      </w:pPr>
      <w:r w:rsidRPr="005A1477">
        <w:t>42 Mistry J, </w:t>
      </w:r>
      <w:proofErr w:type="spellStart"/>
      <w:r w:rsidRPr="005A1477">
        <w:t>Elmallah</w:t>
      </w:r>
      <w:proofErr w:type="spellEnd"/>
      <w:r w:rsidRPr="005A1477">
        <w:t xml:space="preserve"> R, </w:t>
      </w:r>
      <w:proofErr w:type="spellStart"/>
      <w:r w:rsidRPr="005A1477">
        <w:t>Bhave</w:t>
      </w:r>
      <w:proofErr w:type="spellEnd"/>
      <w:r w:rsidRPr="005A1477">
        <w:t xml:space="preserve"> A, et al. Rehabilitative guidelines after total knee arthroplasty: a review. </w:t>
      </w:r>
      <w:r w:rsidRPr="005A1477">
        <w:rPr>
          <w:i/>
          <w:iCs/>
        </w:rPr>
        <w:t>J Knee Surg</w:t>
      </w:r>
      <w:r w:rsidRPr="005A1477">
        <w:t>. 2016; </w:t>
      </w:r>
      <w:r w:rsidRPr="005A1477">
        <w:rPr>
          <w:b/>
          <w:bCs/>
        </w:rPr>
        <w:t>29</w:t>
      </w:r>
      <w:r w:rsidRPr="005A1477">
        <w:t>: 201- 217.</w:t>
      </w:r>
    </w:p>
    <w:p w14:paraId="0E49CDDC" w14:textId="77777777" w:rsidR="005A1477" w:rsidRPr="005A1477" w:rsidRDefault="005A1477" w:rsidP="00D75D24">
      <w:pPr>
        <w:pStyle w:val="NoSpacing"/>
        <w:ind w:left="720" w:hanging="720"/>
      </w:pPr>
      <w:r w:rsidRPr="005A1477">
        <w:t xml:space="preserve">43 Huang CH, Cheng CK, Lee YT, Lee KS. Muscle strength after successful total knee replacement: a 6- to 13-year </w:t>
      </w:r>
      <w:proofErr w:type="spellStart"/>
      <w:r w:rsidRPr="005A1477">
        <w:t>followup</w:t>
      </w:r>
      <w:proofErr w:type="spellEnd"/>
      <w:r w:rsidRPr="005A1477">
        <w:t>. </w:t>
      </w:r>
      <w:r w:rsidRPr="005A1477">
        <w:rPr>
          <w:i/>
          <w:iCs/>
        </w:rPr>
        <w:t xml:space="preserve">Clin </w:t>
      </w:r>
      <w:proofErr w:type="spellStart"/>
      <w:r w:rsidRPr="005A1477">
        <w:rPr>
          <w:i/>
          <w:iCs/>
        </w:rPr>
        <w:t>Orthop</w:t>
      </w:r>
      <w:proofErr w:type="spellEnd"/>
      <w:r w:rsidRPr="005A1477">
        <w:rPr>
          <w:i/>
          <w:iCs/>
        </w:rPr>
        <w:t xml:space="preserve"> </w:t>
      </w:r>
      <w:proofErr w:type="spellStart"/>
      <w:r w:rsidRPr="005A1477">
        <w:rPr>
          <w:i/>
          <w:iCs/>
        </w:rPr>
        <w:t>Relat</w:t>
      </w:r>
      <w:proofErr w:type="spellEnd"/>
      <w:r w:rsidRPr="005A1477">
        <w:rPr>
          <w:i/>
          <w:iCs/>
        </w:rPr>
        <w:t xml:space="preserve"> Res</w:t>
      </w:r>
      <w:r w:rsidRPr="005A1477">
        <w:t>. 1996; </w:t>
      </w:r>
      <w:r w:rsidRPr="005A1477">
        <w:rPr>
          <w:b/>
          <w:bCs/>
        </w:rPr>
        <w:t>328</w:t>
      </w:r>
      <w:r w:rsidRPr="005A1477">
        <w:t>: 147- 154.</w:t>
      </w:r>
    </w:p>
    <w:p w14:paraId="68B6965B" w14:textId="77777777" w:rsidR="005A1477" w:rsidRPr="005A1477" w:rsidRDefault="005A1477" w:rsidP="00D75D24">
      <w:pPr>
        <w:pStyle w:val="NoSpacing"/>
        <w:ind w:left="720" w:hanging="720"/>
      </w:pPr>
      <w:r w:rsidRPr="005A1477">
        <w:t>44 </w:t>
      </w:r>
      <w:proofErr w:type="spellStart"/>
      <w:r w:rsidRPr="005A1477">
        <w:t>Schache</w:t>
      </w:r>
      <w:proofErr w:type="spellEnd"/>
      <w:r w:rsidRPr="005A1477">
        <w:t xml:space="preserve"> MB, McClelland JA, Webster KE. Lower limb strength following total knee arthroplasty: a systematic review. </w:t>
      </w:r>
      <w:r w:rsidRPr="005A1477">
        <w:rPr>
          <w:i/>
          <w:iCs/>
        </w:rPr>
        <w:t>Knee</w:t>
      </w:r>
      <w:r w:rsidRPr="005A1477">
        <w:t>. 2014; </w:t>
      </w:r>
      <w:r w:rsidRPr="005A1477">
        <w:rPr>
          <w:b/>
          <w:bCs/>
        </w:rPr>
        <w:t>21</w:t>
      </w:r>
      <w:r w:rsidRPr="005A1477">
        <w:t>: 12- 20.</w:t>
      </w:r>
    </w:p>
    <w:p w14:paraId="523025A1" w14:textId="77777777" w:rsidR="005A1477" w:rsidRPr="005A1477" w:rsidRDefault="005A1477" w:rsidP="00D75D24">
      <w:pPr>
        <w:pStyle w:val="NoSpacing"/>
        <w:ind w:left="720" w:hanging="720"/>
      </w:pPr>
      <w:r w:rsidRPr="005A1477">
        <w:t>45 Meier W, Mizner R, Marcus R, Dibble L, Peters C, </w:t>
      </w:r>
      <w:proofErr w:type="spellStart"/>
      <w:r w:rsidRPr="005A1477">
        <w:t>Lastayo</w:t>
      </w:r>
      <w:proofErr w:type="spellEnd"/>
      <w:r w:rsidRPr="005A1477">
        <w:t xml:space="preserve"> PC. Total knee arthroplasty: muscle impairments, functional limitations, and recommended rehabilitation approaches. </w:t>
      </w:r>
      <w:r w:rsidRPr="005A1477">
        <w:rPr>
          <w:i/>
          <w:iCs/>
        </w:rPr>
        <w:t xml:space="preserve">J </w:t>
      </w:r>
      <w:proofErr w:type="spellStart"/>
      <w:r w:rsidRPr="005A1477">
        <w:rPr>
          <w:i/>
          <w:iCs/>
        </w:rPr>
        <w:t>Orthop</w:t>
      </w:r>
      <w:proofErr w:type="spellEnd"/>
      <w:r w:rsidRPr="005A1477">
        <w:rPr>
          <w:i/>
          <w:iCs/>
        </w:rPr>
        <w:t xml:space="preserve"> Sports Phys </w:t>
      </w:r>
      <w:proofErr w:type="spellStart"/>
      <w:r w:rsidRPr="005A1477">
        <w:rPr>
          <w:i/>
          <w:iCs/>
        </w:rPr>
        <w:t>Ther</w:t>
      </w:r>
      <w:proofErr w:type="spellEnd"/>
      <w:r w:rsidRPr="005A1477">
        <w:t>. 2008; </w:t>
      </w:r>
      <w:r w:rsidRPr="005A1477">
        <w:rPr>
          <w:b/>
          <w:bCs/>
        </w:rPr>
        <w:t>38</w:t>
      </w:r>
      <w:r w:rsidRPr="005A1477">
        <w:t>: 246- 256.</w:t>
      </w:r>
    </w:p>
    <w:p w14:paraId="230A23F5" w14:textId="77777777" w:rsidR="005A1477" w:rsidRPr="005A1477" w:rsidRDefault="005A1477" w:rsidP="00D75D24">
      <w:pPr>
        <w:pStyle w:val="NoSpacing"/>
        <w:ind w:left="720" w:hanging="720"/>
      </w:pPr>
      <w:r w:rsidRPr="005A1477">
        <w:t>46 DeVita P, </w:t>
      </w:r>
      <w:proofErr w:type="spellStart"/>
      <w:r w:rsidRPr="005A1477">
        <w:t>Hortobagyi</w:t>
      </w:r>
      <w:proofErr w:type="spellEnd"/>
      <w:r w:rsidRPr="005A1477">
        <w:t xml:space="preserve"> T. Age causes a redistribution of joint torques and powers during gait. </w:t>
      </w:r>
      <w:r w:rsidRPr="005A1477">
        <w:rPr>
          <w:i/>
          <w:iCs/>
        </w:rPr>
        <w:t xml:space="preserve">J Appl </w:t>
      </w:r>
      <w:proofErr w:type="spellStart"/>
      <w:r w:rsidRPr="005A1477">
        <w:rPr>
          <w:i/>
          <w:iCs/>
        </w:rPr>
        <w:t>Physiol</w:t>
      </w:r>
      <w:proofErr w:type="spellEnd"/>
      <w:r w:rsidRPr="005A1477">
        <w:rPr>
          <w:i/>
          <w:iCs/>
        </w:rPr>
        <w:t xml:space="preserve"> (1985)</w:t>
      </w:r>
      <w:r w:rsidRPr="005A1477">
        <w:t>. 2000; </w:t>
      </w:r>
      <w:r w:rsidRPr="005A1477">
        <w:rPr>
          <w:b/>
          <w:bCs/>
        </w:rPr>
        <w:t>88</w:t>
      </w:r>
      <w:r w:rsidRPr="005A1477">
        <w:t>: 1804- 1811.</w:t>
      </w:r>
    </w:p>
    <w:p w14:paraId="6F58C94F" w14:textId="77777777" w:rsidR="005A1477" w:rsidRPr="005A1477" w:rsidRDefault="005A1477" w:rsidP="00D75D24">
      <w:pPr>
        <w:pStyle w:val="NoSpacing"/>
        <w:ind w:left="720" w:hanging="720"/>
      </w:pPr>
      <w:r w:rsidRPr="005A1477">
        <w:t>47 </w:t>
      </w:r>
      <w:proofErr w:type="spellStart"/>
      <w:r w:rsidRPr="005A1477">
        <w:t>Andriacchi</w:t>
      </w:r>
      <w:proofErr w:type="spellEnd"/>
      <w:r w:rsidRPr="005A1477">
        <w:t xml:space="preserve"> TP, Ogle JA, Galante JO. Walking speed as a basis for normal and abnormal gait measurements. </w:t>
      </w:r>
      <w:r w:rsidRPr="005A1477">
        <w:rPr>
          <w:i/>
          <w:iCs/>
        </w:rPr>
        <w:t xml:space="preserve">J </w:t>
      </w:r>
      <w:proofErr w:type="spellStart"/>
      <w:r w:rsidRPr="005A1477">
        <w:rPr>
          <w:i/>
          <w:iCs/>
        </w:rPr>
        <w:t>Biomech</w:t>
      </w:r>
      <w:proofErr w:type="spellEnd"/>
      <w:r w:rsidRPr="005A1477">
        <w:t>. 1977; </w:t>
      </w:r>
      <w:r w:rsidRPr="005A1477">
        <w:rPr>
          <w:b/>
          <w:bCs/>
        </w:rPr>
        <w:t>10</w:t>
      </w:r>
      <w:r w:rsidRPr="005A1477">
        <w:t>: 261- 268.</w:t>
      </w:r>
    </w:p>
    <w:p w14:paraId="0F458A6F" w14:textId="77777777" w:rsidR="005A1477" w:rsidRPr="005A1477" w:rsidRDefault="005A1477" w:rsidP="00D75D24">
      <w:pPr>
        <w:pStyle w:val="NoSpacing"/>
        <w:ind w:left="720" w:hanging="720"/>
      </w:pPr>
      <w:r w:rsidRPr="005A1477">
        <w:t>48 </w:t>
      </w:r>
      <w:proofErr w:type="spellStart"/>
      <w:r w:rsidRPr="005A1477">
        <w:t>Kirtley</w:t>
      </w:r>
      <w:proofErr w:type="spellEnd"/>
      <w:r w:rsidRPr="005A1477">
        <w:t xml:space="preserve"> C, Whittle MW, Jefferson RJ. Influence of walking speed on gait parameters. </w:t>
      </w:r>
      <w:r w:rsidRPr="005A1477">
        <w:rPr>
          <w:i/>
          <w:iCs/>
        </w:rPr>
        <w:t>J Biomed Eng</w:t>
      </w:r>
      <w:r w:rsidRPr="005A1477">
        <w:t>. 1985; </w:t>
      </w:r>
      <w:r w:rsidRPr="005A1477">
        <w:rPr>
          <w:b/>
          <w:bCs/>
        </w:rPr>
        <w:t>7</w:t>
      </w:r>
      <w:r w:rsidRPr="005A1477">
        <w:t>: 282- 288.</w:t>
      </w:r>
    </w:p>
    <w:p w14:paraId="1C3FCA60" w14:textId="77777777" w:rsidR="005A1477" w:rsidRPr="005A1477" w:rsidRDefault="005A1477" w:rsidP="00D75D24">
      <w:pPr>
        <w:pStyle w:val="NoSpacing"/>
        <w:ind w:left="720" w:hanging="720"/>
      </w:pPr>
      <w:r w:rsidRPr="005A1477">
        <w:t>49 Winter DA. Energy generation and absorption at the ankle and knee during fast, natural, and slow cadences. </w:t>
      </w:r>
      <w:r w:rsidRPr="005A1477">
        <w:rPr>
          <w:i/>
          <w:iCs/>
        </w:rPr>
        <w:t xml:space="preserve">Clin </w:t>
      </w:r>
      <w:proofErr w:type="spellStart"/>
      <w:r w:rsidRPr="005A1477">
        <w:rPr>
          <w:i/>
          <w:iCs/>
        </w:rPr>
        <w:t>Orthop</w:t>
      </w:r>
      <w:proofErr w:type="spellEnd"/>
      <w:r w:rsidRPr="005A1477">
        <w:rPr>
          <w:i/>
          <w:iCs/>
        </w:rPr>
        <w:t xml:space="preserve"> </w:t>
      </w:r>
      <w:proofErr w:type="spellStart"/>
      <w:r w:rsidRPr="005A1477">
        <w:rPr>
          <w:i/>
          <w:iCs/>
        </w:rPr>
        <w:t>Relat</w:t>
      </w:r>
      <w:proofErr w:type="spellEnd"/>
      <w:r w:rsidRPr="005A1477">
        <w:rPr>
          <w:i/>
          <w:iCs/>
        </w:rPr>
        <w:t xml:space="preserve"> Res</w:t>
      </w:r>
      <w:r w:rsidRPr="005A1477">
        <w:t>. 1983; </w:t>
      </w:r>
      <w:r w:rsidRPr="005A1477">
        <w:rPr>
          <w:b/>
          <w:bCs/>
        </w:rPr>
        <w:t>175</w:t>
      </w:r>
      <w:r w:rsidRPr="005A1477">
        <w:t>: 147- 154.</w:t>
      </w:r>
    </w:p>
    <w:p w14:paraId="79C27472" w14:textId="77777777" w:rsidR="005A1477" w:rsidRPr="005A1477" w:rsidRDefault="005A1477" w:rsidP="00D75D24">
      <w:pPr>
        <w:pStyle w:val="NoSpacing"/>
        <w:ind w:left="720" w:hanging="720"/>
      </w:pPr>
      <w:r w:rsidRPr="005A1477">
        <w:t>50 </w:t>
      </w:r>
      <w:proofErr w:type="spellStart"/>
      <w:r w:rsidRPr="005A1477">
        <w:t>Pua</w:t>
      </w:r>
      <w:proofErr w:type="spellEnd"/>
      <w:r w:rsidRPr="005A1477">
        <w:t xml:space="preserve"> YH, </w:t>
      </w:r>
      <w:proofErr w:type="spellStart"/>
      <w:r w:rsidRPr="005A1477">
        <w:t>Seah</w:t>
      </w:r>
      <w:proofErr w:type="spellEnd"/>
      <w:r w:rsidRPr="005A1477">
        <w:t xml:space="preserve"> FJT, Clark RA, Lian-Li Poon C, Tan JWM, Chong HC. Factors associated with gait speed recovery after total knee arthroplasty: a longitudinal study. </w:t>
      </w:r>
      <w:r w:rsidRPr="005A1477">
        <w:rPr>
          <w:i/>
          <w:iCs/>
        </w:rPr>
        <w:t>Semin Arthritis Rheum</w:t>
      </w:r>
      <w:r w:rsidRPr="005A1477">
        <w:t>. 2017; </w:t>
      </w:r>
      <w:r w:rsidRPr="005A1477">
        <w:rPr>
          <w:b/>
          <w:bCs/>
        </w:rPr>
        <w:t>46</w:t>
      </w:r>
      <w:r w:rsidRPr="005A1477">
        <w:t>: 544- 551.</w:t>
      </w:r>
    </w:p>
    <w:p w14:paraId="1EC3D3B4" w14:textId="77777777" w:rsidR="005A1477" w:rsidRPr="005A1477" w:rsidRDefault="005A1477" w:rsidP="00D75D24">
      <w:pPr>
        <w:pStyle w:val="NoSpacing"/>
        <w:ind w:left="720" w:hanging="720"/>
      </w:pPr>
      <w:r w:rsidRPr="005A1477">
        <w:t>51 </w:t>
      </w:r>
      <w:proofErr w:type="spellStart"/>
      <w:r w:rsidRPr="005A1477">
        <w:t>Astephen</w:t>
      </w:r>
      <w:proofErr w:type="spellEnd"/>
      <w:r w:rsidRPr="005A1477">
        <w:t xml:space="preserve"> Wilson JL, Dunbar MJ, </w:t>
      </w:r>
      <w:proofErr w:type="spellStart"/>
      <w:r w:rsidRPr="005A1477">
        <w:t>Hubley-Kozey</w:t>
      </w:r>
      <w:proofErr w:type="spellEnd"/>
      <w:r w:rsidRPr="005A1477">
        <w:t xml:space="preserve"> CL. Knee joint biomechanics and neuromuscular control during gait before and after total knee arthroplasty are sex-specific. </w:t>
      </w:r>
      <w:r w:rsidRPr="005A1477">
        <w:rPr>
          <w:i/>
          <w:iCs/>
        </w:rPr>
        <w:t>J Arthroplasty</w:t>
      </w:r>
      <w:r w:rsidRPr="005A1477">
        <w:t>. 2015; </w:t>
      </w:r>
      <w:r w:rsidRPr="005A1477">
        <w:rPr>
          <w:b/>
          <w:bCs/>
        </w:rPr>
        <w:t>30</w:t>
      </w:r>
      <w:r w:rsidRPr="005A1477">
        <w:t>: 118- 125.</w:t>
      </w:r>
    </w:p>
    <w:p w14:paraId="05D7C41B" w14:textId="77777777" w:rsidR="005A1477" w:rsidRPr="005A1477" w:rsidRDefault="005A1477" w:rsidP="00D75D24">
      <w:pPr>
        <w:pStyle w:val="NoSpacing"/>
        <w:ind w:left="720" w:hanging="720"/>
      </w:pPr>
      <w:r w:rsidRPr="005A1477">
        <w:t>52 McClelland JA, Feller JA, Webster KE. Sex differences in gait after total knee arthroplasty. </w:t>
      </w:r>
      <w:r w:rsidRPr="005A1477">
        <w:rPr>
          <w:i/>
          <w:iCs/>
        </w:rPr>
        <w:t>J Arthroplasty</w:t>
      </w:r>
      <w:r w:rsidRPr="005A1477">
        <w:t>. 2018; </w:t>
      </w:r>
      <w:r w:rsidRPr="005A1477">
        <w:rPr>
          <w:b/>
          <w:bCs/>
        </w:rPr>
        <w:t>33</w:t>
      </w:r>
      <w:r w:rsidRPr="005A1477">
        <w:t>: 897- 902.</w:t>
      </w:r>
    </w:p>
    <w:p w14:paraId="0AE0667B" w14:textId="77777777" w:rsidR="005A1477" w:rsidRPr="005A1477" w:rsidRDefault="005A1477" w:rsidP="00D75D24">
      <w:pPr>
        <w:pStyle w:val="NoSpacing"/>
        <w:ind w:left="720" w:hanging="720"/>
      </w:pPr>
      <w:r w:rsidRPr="005A1477">
        <w:t>53 </w:t>
      </w:r>
      <w:proofErr w:type="spellStart"/>
      <w:r w:rsidRPr="005A1477">
        <w:t>Bonnefoy-Mazure</w:t>
      </w:r>
      <w:proofErr w:type="spellEnd"/>
      <w:r w:rsidRPr="005A1477">
        <w:t xml:space="preserve"> A, Martz P, Armand S, et al. Influence of body mass index on sagittal knee range of motion and gait speed recovery 1-year after total knee arthroplasty. </w:t>
      </w:r>
      <w:r w:rsidRPr="005A1477">
        <w:rPr>
          <w:i/>
          <w:iCs/>
        </w:rPr>
        <w:t>J Arthroplasty</w:t>
      </w:r>
      <w:r w:rsidRPr="005A1477">
        <w:t>. 2017; </w:t>
      </w:r>
      <w:r w:rsidRPr="005A1477">
        <w:rPr>
          <w:b/>
          <w:bCs/>
        </w:rPr>
        <w:t>32</w:t>
      </w:r>
      <w:r w:rsidRPr="005A1477">
        <w:t>: 2404- 2410.</w:t>
      </w:r>
    </w:p>
    <w:p w14:paraId="62629848" w14:textId="77777777" w:rsidR="005A1477" w:rsidRPr="005A1477" w:rsidRDefault="005A1477" w:rsidP="00D75D24">
      <w:pPr>
        <w:pStyle w:val="NoSpacing"/>
        <w:ind w:left="720" w:hanging="720"/>
      </w:pPr>
      <w:r w:rsidRPr="005A1477">
        <w:t>54 </w:t>
      </w:r>
      <w:proofErr w:type="spellStart"/>
      <w:r w:rsidRPr="005A1477">
        <w:t>Pua</w:t>
      </w:r>
      <w:proofErr w:type="spellEnd"/>
      <w:r w:rsidRPr="005A1477">
        <w:t xml:space="preserve"> YH, </w:t>
      </w:r>
      <w:proofErr w:type="spellStart"/>
      <w:r w:rsidRPr="005A1477">
        <w:t>Seah</w:t>
      </w:r>
      <w:proofErr w:type="spellEnd"/>
      <w:r w:rsidRPr="005A1477">
        <w:t xml:space="preserve"> FJT, </w:t>
      </w:r>
      <w:proofErr w:type="spellStart"/>
      <w:r w:rsidRPr="005A1477">
        <w:t>Seet</w:t>
      </w:r>
      <w:proofErr w:type="spellEnd"/>
      <w:r w:rsidRPr="005A1477">
        <w:t xml:space="preserve"> FJH, Tan JWM, Liaw JSC, Chong HC. Sex differences and impact of body mass index on the time course of knee range of motion, knee strength, and gait speed after total knee arthroplasty. </w:t>
      </w:r>
      <w:r w:rsidRPr="005A1477">
        <w:rPr>
          <w:i/>
          <w:iCs/>
        </w:rPr>
        <w:t>Arthritis Care Res (Hoboken)</w:t>
      </w:r>
      <w:r w:rsidRPr="005A1477">
        <w:t>. 2015; </w:t>
      </w:r>
      <w:r w:rsidRPr="005A1477">
        <w:rPr>
          <w:b/>
          <w:bCs/>
        </w:rPr>
        <w:t>67</w:t>
      </w:r>
      <w:r w:rsidRPr="005A1477">
        <w:t>: 1397- 1405.</w:t>
      </w:r>
    </w:p>
    <w:p w14:paraId="6AAA489F" w14:textId="77777777" w:rsidR="005A1477" w:rsidRPr="005A1477" w:rsidRDefault="005A1477" w:rsidP="00D75D24">
      <w:pPr>
        <w:pStyle w:val="NoSpacing"/>
        <w:ind w:left="720" w:hanging="720"/>
      </w:pPr>
      <w:r w:rsidRPr="005A1477">
        <w:t>55 Jones CA, Cox V, </w:t>
      </w:r>
      <w:proofErr w:type="spellStart"/>
      <w:r w:rsidRPr="005A1477">
        <w:t>Jhangri</w:t>
      </w:r>
      <w:proofErr w:type="spellEnd"/>
      <w:r w:rsidRPr="005A1477">
        <w:t xml:space="preserve"> GS, Suarez-</w:t>
      </w:r>
      <w:proofErr w:type="spellStart"/>
      <w:r w:rsidRPr="005A1477">
        <w:t>Almazor</w:t>
      </w:r>
      <w:proofErr w:type="spellEnd"/>
      <w:r w:rsidRPr="005A1477">
        <w:t xml:space="preserve"> ME. Delineating the impact of obesity and its relationship on recovery after total joint arthroplasties. </w:t>
      </w:r>
      <w:proofErr w:type="spellStart"/>
      <w:r w:rsidRPr="005A1477">
        <w:rPr>
          <w:i/>
          <w:iCs/>
        </w:rPr>
        <w:t>Osteoarthr</w:t>
      </w:r>
      <w:proofErr w:type="spellEnd"/>
      <w:r w:rsidRPr="005A1477">
        <w:rPr>
          <w:i/>
          <w:iCs/>
        </w:rPr>
        <w:t xml:space="preserve"> </w:t>
      </w:r>
      <w:proofErr w:type="spellStart"/>
      <w:r w:rsidRPr="005A1477">
        <w:rPr>
          <w:i/>
          <w:iCs/>
        </w:rPr>
        <w:t>Cartil</w:t>
      </w:r>
      <w:proofErr w:type="spellEnd"/>
      <w:r w:rsidRPr="005A1477">
        <w:t>. 2012; </w:t>
      </w:r>
      <w:r w:rsidRPr="005A1477">
        <w:rPr>
          <w:b/>
          <w:bCs/>
        </w:rPr>
        <w:t>20</w:t>
      </w:r>
      <w:r w:rsidRPr="005A1477">
        <w:t>: 511- 518.</w:t>
      </w:r>
    </w:p>
    <w:p w14:paraId="1935B8A7" w14:textId="77777777" w:rsidR="005A1477" w:rsidRPr="005A1477" w:rsidRDefault="005A1477" w:rsidP="00D75D24">
      <w:pPr>
        <w:pStyle w:val="NoSpacing"/>
        <w:ind w:left="720" w:hanging="720"/>
      </w:pPr>
      <w:r w:rsidRPr="005A1477">
        <w:t>56 Chaudhry H, </w:t>
      </w:r>
      <w:proofErr w:type="spellStart"/>
      <w:r w:rsidRPr="005A1477">
        <w:t>Ponnusamy</w:t>
      </w:r>
      <w:proofErr w:type="spellEnd"/>
      <w:r w:rsidRPr="005A1477">
        <w:t xml:space="preserve"> K, Somerville L, </w:t>
      </w:r>
      <w:proofErr w:type="spellStart"/>
      <w:r w:rsidRPr="005A1477">
        <w:t>McCalden</w:t>
      </w:r>
      <w:proofErr w:type="spellEnd"/>
      <w:r w:rsidRPr="005A1477">
        <w:t xml:space="preserve"> RW, Marsh J, </w:t>
      </w:r>
      <w:proofErr w:type="spellStart"/>
      <w:r w:rsidRPr="005A1477">
        <w:t>Vasarhelyi</w:t>
      </w:r>
      <w:proofErr w:type="spellEnd"/>
      <w:r w:rsidRPr="005A1477">
        <w:t xml:space="preserve"> EM. Revision rates and functional outcomes among severely, morbidly, and super-obese patients following primary total knee arthroplasty: a systematic review and meta-analysis. </w:t>
      </w:r>
      <w:r w:rsidRPr="005A1477">
        <w:rPr>
          <w:i/>
          <w:iCs/>
        </w:rPr>
        <w:t>JBJS Rev</w:t>
      </w:r>
      <w:r w:rsidRPr="005A1477">
        <w:t>. 2019; </w:t>
      </w:r>
      <w:proofErr w:type="gramStart"/>
      <w:r w:rsidRPr="005A1477">
        <w:rPr>
          <w:b/>
          <w:bCs/>
        </w:rPr>
        <w:t>7</w:t>
      </w:r>
      <w:r w:rsidRPr="005A1477">
        <w:t>:e</w:t>
      </w:r>
      <w:proofErr w:type="gramEnd"/>
      <w:r w:rsidRPr="005A1477">
        <w:t>9.</w:t>
      </w:r>
    </w:p>
    <w:p w14:paraId="4FA18D82" w14:textId="77777777" w:rsidR="005A1477" w:rsidRPr="005A1477" w:rsidRDefault="005A1477" w:rsidP="00D75D24">
      <w:pPr>
        <w:pStyle w:val="NoSpacing"/>
        <w:ind w:left="720" w:hanging="720"/>
      </w:pPr>
      <w:r w:rsidRPr="005A1477">
        <w:t>57 Collins JE, Donnell-Fink LA, Yang HY, et al. Effect of obesity on pain and functional recovery following total knee arthroplasty. </w:t>
      </w:r>
      <w:r w:rsidRPr="005A1477">
        <w:rPr>
          <w:i/>
          <w:iCs/>
        </w:rPr>
        <w:t>J Bone Joint Surg Am</w:t>
      </w:r>
      <w:r w:rsidRPr="005A1477">
        <w:t>. 2017; </w:t>
      </w:r>
      <w:r w:rsidRPr="005A1477">
        <w:rPr>
          <w:b/>
          <w:bCs/>
        </w:rPr>
        <w:t>99</w:t>
      </w:r>
      <w:r w:rsidRPr="005A1477">
        <w:t>: 1812- 1818.</w:t>
      </w:r>
    </w:p>
    <w:p w14:paraId="3EBF0679" w14:textId="77777777" w:rsidR="005A1477" w:rsidRPr="005A1477" w:rsidRDefault="005A1477" w:rsidP="00D75D24">
      <w:pPr>
        <w:pStyle w:val="NoSpacing"/>
        <w:ind w:left="720" w:hanging="720"/>
      </w:pPr>
      <w:r w:rsidRPr="005A1477">
        <w:t>58 Stevens-Lapsley JE, </w:t>
      </w:r>
      <w:proofErr w:type="spellStart"/>
      <w:r w:rsidRPr="005A1477">
        <w:t>Schenkman</w:t>
      </w:r>
      <w:proofErr w:type="spellEnd"/>
      <w:r w:rsidRPr="005A1477">
        <w:t xml:space="preserve"> ML, Dayton MR. Comparison of self-reported knee injury and osteoarthritis outcome score to performance measures in patients after total knee arthroplasty. </w:t>
      </w:r>
      <w:r w:rsidRPr="005A1477">
        <w:rPr>
          <w:i/>
          <w:iCs/>
        </w:rPr>
        <w:t>PM&amp;R</w:t>
      </w:r>
      <w:r w:rsidRPr="005A1477">
        <w:t>. 2011; </w:t>
      </w:r>
      <w:r w:rsidRPr="005A1477">
        <w:rPr>
          <w:b/>
          <w:bCs/>
        </w:rPr>
        <w:t>3</w:t>
      </w:r>
      <w:r w:rsidRPr="005A1477">
        <w:t>: 541- 549; quiz 549.</w:t>
      </w:r>
    </w:p>
    <w:p w14:paraId="2390EE5F" w14:textId="77777777" w:rsidR="00211738" w:rsidRPr="00211738" w:rsidRDefault="00211738" w:rsidP="00211738"/>
    <w:sectPr w:rsidR="00211738" w:rsidRPr="00211738"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B4561E"/>
    <w:multiLevelType w:val="multilevel"/>
    <w:tmpl w:val="FBC8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353225"/>
    <w:multiLevelType w:val="multilevel"/>
    <w:tmpl w:val="F36C1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657E87"/>
    <w:multiLevelType w:val="multilevel"/>
    <w:tmpl w:val="B1860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C947A9"/>
    <w:multiLevelType w:val="multilevel"/>
    <w:tmpl w:val="D3A04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DC71835"/>
    <w:multiLevelType w:val="multilevel"/>
    <w:tmpl w:val="A8F8A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94371804">
    <w:abstractNumId w:val="0"/>
  </w:num>
  <w:num w:numId="2" w16cid:durableId="1237667649">
    <w:abstractNumId w:val="2"/>
  </w:num>
  <w:num w:numId="3" w16cid:durableId="1482653253">
    <w:abstractNumId w:val="17"/>
  </w:num>
  <w:num w:numId="4" w16cid:durableId="1796871353">
    <w:abstractNumId w:val="4"/>
  </w:num>
  <w:num w:numId="5" w16cid:durableId="1788427082">
    <w:abstractNumId w:val="14"/>
  </w:num>
  <w:num w:numId="6" w16cid:durableId="1282568641">
    <w:abstractNumId w:val="18"/>
  </w:num>
  <w:num w:numId="7" w16cid:durableId="986014105">
    <w:abstractNumId w:val="1"/>
  </w:num>
  <w:num w:numId="8" w16cid:durableId="1679112403">
    <w:abstractNumId w:val="12"/>
  </w:num>
  <w:num w:numId="9" w16cid:durableId="3439865">
    <w:abstractNumId w:val="9"/>
  </w:num>
  <w:num w:numId="10" w16cid:durableId="1676033372">
    <w:abstractNumId w:val="3"/>
  </w:num>
  <w:num w:numId="11" w16cid:durableId="1982807388">
    <w:abstractNumId w:val="15"/>
  </w:num>
  <w:num w:numId="12" w16cid:durableId="882669656">
    <w:abstractNumId w:val="21"/>
  </w:num>
  <w:num w:numId="13" w16cid:durableId="911935093">
    <w:abstractNumId w:val="10"/>
  </w:num>
  <w:num w:numId="14" w16cid:durableId="937829748">
    <w:abstractNumId w:val="7"/>
  </w:num>
  <w:num w:numId="15" w16cid:durableId="60754110">
    <w:abstractNumId w:val="16"/>
  </w:num>
  <w:num w:numId="16" w16cid:durableId="1044018131">
    <w:abstractNumId w:val="8"/>
  </w:num>
  <w:num w:numId="17" w16cid:durableId="1224678599">
    <w:abstractNumId w:val="6"/>
  </w:num>
  <w:num w:numId="18" w16cid:durableId="144441350">
    <w:abstractNumId w:val="11"/>
  </w:num>
  <w:num w:numId="19" w16cid:durableId="1790513705">
    <w:abstractNumId w:val="19"/>
  </w:num>
  <w:num w:numId="20" w16cid:durableId="1395548804">
    <w:abstractNumId w:val="5"/>
  </w:num>
  <w:num w:numId="21" w16cid:durableId="2128889119">
    <w:abstractNumId w:val="20"/>
  </w:num>
  <w:num w:numId="22" w16cid:durableId="1307055564">
    <w:abstractNumId w:val="13"/>
  </w:num>
  <w:num w:numId="23" w16cid:durableId="193528316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mXF12MzRLyWKeb4sK0LdqKqc62Gad2lsAchb3nCxBKd2GrCQCKrK2ZXk5p1mnJjrY7PhSjHyPUuLVS/HN4GNOA==" w:salt="Ha4sfyKKrsVctn3N16H5X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638F"/>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2E83"/>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1738"/>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00B3"/>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392"/>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75E9"/>
    <w:rsid w:val="00520368"/>
    <w:rsid w:val="0052268B"/>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1477"/>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2F7"/>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37366"/>
    <w:rsid w:val="00745E32"/>
    <w:rsid w:val="007466F7"/>
    <w:rsid w:val="00747ABA"/>
    <w:rsid w:val="00757D89"/>
    <w:rsid w:val="0076194B"/>
    <w:rsid w:val="00763676"/>
    <w:rsid w:val="00772776"/>
    <w:rsid w:val="00775EE7"/>
    <w:rsid w:val="00776E56"/>
    <w:rsid w:val="00781619"/>
    <w:rsid w:val="0079146B"/>
    <w:rsid w:val="00791DD5"/>
    <w:rsid w:val="00796875"/>
    <w:rsid w:val="0079756E"/>
    <w:rsid w:val="007A1233"/>
    <w:rsid w:val="007A258F"/>
    <w:rsid w:val="007A3B3A"/>
    <w:rsid w:val="007B0BBA"/>
    <w:rsid w:val="007C16F7"/>
    <w:rsid w:val="007C2C1E"/>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3659"/>
    <w:rsid w:val="00805CEC"/>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51B"/>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D47"/>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235E8"/>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6F94"/>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071C"/>
    <w:rsid w:val="00CB10E9"/>
    <w:rsid w:val="00CB11D6"/>
    <w:rsid w:val="00CB5475"/>
    <w:rsid w:val="00CB665E"/>
    <w:rsid w:val="00CB6E09"/>
    <w:rsid w:val="00CC09A7"/>
    <w:rsid w:val="00CC0FD9"/>
    <w:rsid w:val="00CC1F8F"/>
    <w:rsid w:val="00CD139B"/>
    <w:rsid w:val="00CD5E59"/>
    <w:rsid w:val="00CD7831"/>
    <w:rsid w:val="00CE05D4"/>
    <w:rsid w:val="00CE4712"/>
    <w:rsid w:val="00CE67F3"/>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5D24"/>
    <w:rsid w:val="00D77E53"/>
    <w:rsid w:val="00D8135F"/>
    <w:rsid w:val="00D81DD5"/>
    <w:rsid w:val="00D87BB8"/>
    <w:rsid w:val="00D90BD9"/>
    <w:rsid w:val="00D932C5"/>
    <w:rsid w:val="00D939A7"/>
    <w:rsid w:val="00D9581C"/>
    <w:rsid w:val="00D95DCB"/>
    <w:rsid w:val="00D96228"/>
    <w:rsid w:val="00DA38FE"/>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EF5FA0"/>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922"/>
    <w:rsid w:val="00FA5E0B"/>
    <w:rsid w:val="00FA7BFA"/>
    <w:rsid w:val="00FB00F5"/>
    <w:rsid w:val="00FB0527"/>
    <w:rsid w:val="00FB3A37"/>
    <w:rsid w:val="00FB635D"/>
    <w:rsid w:val="00FB6BC1"/>
    <w:rsid w:val="00FC0EED"/>
    <w:rsid w:val="00FC11D2"/>
    <w:rsid w:val="00FC1405"/>
    <w:rsid w:val="00FC4F3E"/>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EE7"/>
  </w:style>
  <w:style w:type="paragraph" w:styleId="Heading1">
    <w:name w:val="heading 1"/>
    <w:basedOn w:val="Normal"/>
    <w:next w:val="Normal"/>
    <w:link w:val="Heading1Char"/>
    <w:uiPriority w:val="9"/>
    <w:qFormat/>
    <w:rsid w:val="00775EE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775EE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775EE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775EE7"/>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775EE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775EE7"/>
    <w:pPr>
      <w:keepNext/>
      <w:keepLines/>
      <w:spacing w:before="40" w:after="0"/>
      <w:outlineLvl w:val="5"/>
    </w:pPr>
  </w:style>
  <w:style w:type="paragraph" w:styleId="Heading7">
    <w:name w:val="heading 7"/>
    <w:basedOn w:val="Normal"/>
    <w:next w:val="Normal"/>
    <w:link w:val="Heading7Char"/>
    <w:uiPriority w:val="9"/>
    <w:semiHidden/>
    <w:unhideWhenUsed/>
    <w:qFormat/>
    <w:rsid w:val="00775EE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75EE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775EE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5EE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775EE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775EE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775EE7"/>
    <w:rPr>
      <w:i/>
      <w:iCs/>
    </w:rPr>
  </w:style>
  <w:style w:type="character" w:customStyle="1" w:styleId="Heading5Char">
    <w:name w:val="Heading 5 Char"/>
    <w:basedOn w:val="DefaultParagraphFont"/>
    <w:link w:val="Heading5"/>
    <w:uiPriority w:val="9"/>
    <w:semiHidden/>
    <w:rsid w:val="00775EE7"/>
    <w:rPr>
      <w:color w:val="404040" w:themeColor="text1" w:themeTint="BF"/>
    </w:rPr>
  </w:style>
  <w:style w:type="character" w:customStyle="1" w:styleId="Heading6Char">
    <w:name w:val="Heading 6 Char"/>
    <w:basedOn w:val="DefaultParagraphFont"/>
    <w:link w:val="Heading6"/>
    <w:uiPriority w:val="9"/>
    <w:semiHidden/>
    <w:rsid w:val="00775EE7"/>
  </w:style>
  <w:style w:type="character" w:customStyle="1" w:styleId="Heading7Char">
    <w:name w:val="Heading 7 Char"/>
    <w:basedOn w:val="DefaultParagraphFont"/>
    <w:link w:val="Heading7"/>
    <w:uiPriority w:val="9"/>
    <w:semiHidden/>
    <w:rsid w:val="00775EE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75EE7"/>
    <w:rPr>
      <w:color w:val="262626" w:themeColor="text1" w:themeTint="D9"/>
      <w:sz w:val="21"/>
      <w:szCs w:val="21"/>
    </w:rPr>
  </w:style>
  <w:style w:type="character" w:customStyle="1" w:styleId="Heading9Char">
    <w:name w:val="Heading 9 Char"/>
    <w:basedOn w:val="DefaultParagraphFont"/>
    <w:link w:val="Heading9"/>
    <w:uiPriority w:val="9"/>
    <w:semiHidden/>
    <w:rsid w:val="00775EE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775EE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775EE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775EE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775EE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775EE7"/>
    <w:rPr>
      <w:color w:val="5A5A5A" w:themeColor="text1" w:themeTint="A5"/>
      <w:spacing w:val="15"/>
    </w:rPr>
  </w:style>
  <w:style w:type="character" w:styleId="Strong">
    <w:name w:val="Strong"/>
    <w:basedOn w:val="DefaultParagraphFont"/>
    <w:uiPriority w:val="22"/>
    <w:qFormat/>
    <w:rsid w:val="00775EE7"/>
    <w:rPr>
      <w:b/>
      <w:bCs/>
      <w:color w:val="auto"/>
    </w:rPr>
  </w:style>
  <w:style w:type="character" w:styleId="Emphasis">
    <w:name w:val="Emphasis"/>
    <w:basedOn w:val="DefaultParagraphFont"/>
    <w:uiPriority w:val="20"/>
    <w:qFormat/>
    <w:rsid w:val="00775EE7"/>
    <w:rPr>
      <w:i/>
      <w:iCs/>
      <w:color w:val="auto"/>
    </w:rPr>
  </w:style>
  <w:style w:type="paragraph" w:styleId="NoSpacing">
    <w:name w:val="No Spacing"/>
    <w:uiPriority w:val="1"/>
    <w:qFormat/>
    <w:rsid w:val="00775EE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775EE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775EE7"/>
    <w:rPr>
      <w:i/>
      <w:iCs/>
      <w:color w:val="404040" w:themeColor="text1" w:themeTint="BF"/>
    </w:rPr>
  </w:style>
  <w:style w:type="paragraph" w:styleId="IntenseQuote">
    <w:name w:val="Intense Quote"/>
    <w:basedOn w:val="Normal"/>
    <w:next w:val="Normal"/>
    <w:link w:val="IntenseQuoteChar"/>
    <w:uiPriority w:val="30"/>
    <w:qFormat/>
    <w:rsid w:val="00775EE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775EE7"/>
    <w:rPr>
      <w:i/>
      <w:iCs/>
      <w:color w:val="404040" w:themeColor="text1" w:themeTint="BF"/>
    </w:rPr>
  </w:style>
  <w:style w:type="character" w:styleId="SubtleEmphasis">
    <w:name w:val="Subtle Emphasis"/>
    <w:basedOn w:val="DefaultParagraphFont"/>
    <w:uiPriority w:val="19"/>
    <w:qFormat/>
    <w:rsid w:val="00775EE7"/>
    <w:rPr>
      <w:i/>
      <w:iCs/>
      <w:color w:val="404040" w:themeColor="text1" w:themeTint="BF"/>
    </w:rPr>
  </w:style>
  <w:style w:type="character" w:styleId="IntenseEmphasis">
    <w:name w:val="Intense Emphasis"/>
    <w:basedOn w:val="DefaultParagraphFont"/>
    <w:uiPriority w:val="21"/>
    <w:qFormat/>
    <w:rsid w:val="00775EE7"/>
    <w:rPr>
      <w:b/>
      <w:bCs/>
      <w:i/>
      <w:iCs/>
      <w:color w:val="auto"/>
    </w:rPr>
  </w:style>
  <w:style w:type="character" w:styleId="SubtleReference">
    <w:name w:val="Subtle Reference"/>
    <w:basedOn w:val="DefaultParagraphFont"/>
    <w:uiPriority w:val="31"/>
    <w:qFormat/>
    <w:rsid w:val="00775EE7"/>
    <w:rPr>
      <w:smallCaps/>
      <w:color w:val="404040" w:themeColor="text1" w:themeTint="BF"/>
    </w:rPr>
  </w:style>
  <w:style w:type="character" w:styleId="IntenseReference">
    <w:name w:val="Intense Reference"/>
    <w:basedOn w:val="DefaultParagraphFont"/>
    <w:uiPriority w:val="32"/>
    <w:qFormat/>
    <w:rsid w:val="00775EE7"/>
    <w:rPr>
      <w:b/>
      <w:bCs/>
      <w:smallCaps/>
      <w:color w:val="404040" w:themeColor="text1" w:themeTint="BF"/>
      <w:spacing w:val="5"/>
    </w:rPr>
  </w:style>
  <w:style w:type="character" w:styleId="BookTitle">
    <w:name w:val="Book Title"/>
    <w:basedOn w:val="DefaultParagraphFont"/>
    <w:uiPriority w:val="33"/>
    <w:qFormat/>
    <w:rsid w:val="00775EE7"/>
    <w:rPr>
      <w:b/>
      <w:bCs/>
      <w:i/>
      <w:iCs/>
      <w:spacing w:val="5"/>
    </w:rPr>
  </w:style>
  <w:style w:type="paragraph" w:styleId="TOCHeading">
    <w:name w:val="TOC Heading"/>
    <w:basedOn w:val="Heading1"/>
    <w:next w:val="Normal"/>
    <w:uiPriority w:val="39"/>
    <w:semiHidden/>
    <w:unhideWhenUsed/>
    <w:qFormat/>
    <w:rsid w:val="00775EE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aptionlabel">
    <w:name w:val="table-caption__label"/>
    <w:basedOn w:val="DefaultParagraphFont"/>
    <w:rsid w:val="00211738"/>
  </w:style>
  <w:style w:type="paragraph" w:customStyle="1" w:styleId="footnotepopupitem">
    <w:name w:val="footnotepopup__item"/>
    <w:basedOn w:val="Normal"/>
    <w:rsid w:val="002117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211738"/>
  </w:style>
  <w:style w:type="character" w:customStyle="1" w:styleId="bullet">
    <w:name w:val="bullet"/>
    <w:basedOn w:val="DefaultParagraphFont"/>
    <w:rsid w:val="005A1477"/>
  </w:style>
  <w:style w:type="character" w:customStyle="1" w:styleId="author">
    <w:name w:val="author"/>
    <w:basedOn w:val="DefaultParagraphFont"/>
    <w:rsid w:val="005A1477"/>
  </w:style>
  <w:style w:type="character" w:customStyle="1" w:styleId="articletitle">
    <w:name w:val="articletitle"/>
    <w:basedOn w:val="DefaultParagraphFont"/>
    <w:rsid w:val="005A1477"/>
  </w:style>
  <w:style w:type="character" w:customStyle="1" w:styleId="pubyear">
    <w:name w:val="pubyear"/>
    <w:basedOn w:val="DefaultParagraphFont"/>
    <w:rsid w:val="005A1477"/>
  </w:style>
  <w:style w:type="character" w:customStyle="1" w:styleId="vol">
    <w:name w:val="vol"/>
    <w:basedOn w:val="DefaultParagraphFont"/>
    <w:rsid w:val="005A1477"/>
  </w:style>
  <w:style w:type="character" w:customStyle="1" w:styleId="pagefirst">
    <w:name w:val="pagefirst"/>
    <w:basedOn w:val="DefaultParagraphFont"/>
    <w:rsid w:val="005A1477"/>
  </w:style>
  <w:style w:type="character" w:customStyle="1" w:styleId="pagelast">
    <w:name w:val="pagelast"/>
    <w:basedOn w:val="DefaultParagraphFont"/>
    <w:rsid w:val="005A1477"/>
  </w:style>
  <w:style w:type="character" w:customStyle="1" w:styleId="openurl">
    <w:name w:val="openurl"/>
    <w:basedOn w:val="DefaultParagraphFont"/>
    <w:rsid w:val="005A1477"/>
  </w:style>
  <w:style w:type="character" w:customStyle="1" w:styleId="booktitle0">
    <w:name w:val="booktitle"/>
    <w:basedOn w:val="DefaultParagraphFont"/>
    <w:rsid w:val="005A1477"/>
  </w:style>
  <w:style w:type="character" w:customStyle="1" w:styleId="citedissue">
    <w:name w:val="citedissue"/>
    <w:basedOn w:val="DefaultParagraphFont"/>
    <w:rsid w:val="005A1477"/>
  </w:style>
  <w:style w:type="character" w:customStyle="1" w:styleId="edition">
    <w:name w:val="edition"/>
    <w:basedOn w:val="DefaultParagraphFont"/>
    <w:rsid w:val="005A14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2721817">
      <w:bodyDiv w:val="1"/>
      <w:marLeft w:val="0"/>
      <w:marRight w:val="0"/>
      <w:marTop w:val="0"/>
      <w:marBottom w:val="0"/>
      <w:divBdr>
        <w:top w:val="none" w:sz="0" w:space="0" w:color="auto"/>
        <w:left w:val="none" w:sz="0" w:space="0" w:color="auto"/>
        <w:bottom w:val="none" w:sz="0" w:space="0" w:color="auto"/>
        <w:right w:val="none" w:sz="0" w:space="0" w:color="auto"/>
      </w:divBdr>
      <w:divsChild>
        <w:div w:id="2053338171">
          <w:marLeft w:val="0"/>
          <w:marRight w:val="0"/>
          <w:marTop w:val="0"/>
          <w:marBottom w:val="0"/>
          <w:divBdr>
            <w:top w:val="none" w:sz="0" w:space="0" w:color="auto"/>
            <w:left w:val="none" w:sz="0" w:space="0" w:color="auto"/>
            <w:bottom w:val="none" w:sz="0" w:space="0" w:color="auto"/>
            <w:right w:val="none" w:sz="0" w:space="0" w:color="auto"/>
          </w:divBdr>
          <w:divsChild>
            <w:div w:id="972828338">
              <w:marLeft w:val="0"/>
              <w:marRight w:val="0"/>
              <w:marTop w:val="0"/>
              <w:marBottom w:val="0"/>
              <w:divBdr>
                <w:top w:val="none" w:sz="0" w:space="0" w:color="auto"/>
                <w:left w:val="none" w:sz="0" w:space="0" w:color="auto"/>
                <w:bottom w:val="none" w:sz="0" w:space="0" w:color="auto"/>
                <w:right w:val="none" w:sz="0" w:space="0" w:color="auto"/>
              </w:divBdr>
            </w:div>
          </w:divsChild>
        </w:div>
        <w:div w:id="1219245853">
          <w:marLeft w:val="0"/>
          <w:marRight w:val="0"/>
          <w:marTop w:val="0"/>
          <w:marBottom w:val="450"/>
          <w:divBdr>
            <w:top w:val="none" w:sz="0" w:space="0" w:color="auto"/>
            <w:left w:val="none" w:sz="0" w:space="0" w:color="auto"/>
            <w:bottom w:val="none" w:sz="0" w:space="0" w:color="auto"/>
            <w:right w:val="none" w:sz="0" w:space="0" w:color="auto"/>
          </w:divBdr>
          <w:divsChild>
            <w:div w:id="2113042023">
              <w:marLeft w:val="0"/>
              <w:marRight w:val="0"/>
              <w:marTop w:val="225"/>
              <w:marBottom w:val="0"/>
              <w:divBdr>
                <w:top w:val="none" w:sz="0" w:space="0" w:color="auto"/>
                <w:left w:val="none" w:sz="0" w:space="0" w:color="auto"/>
                <w:bottom w:val="none" w:sz="0" w:space="0" w:color="auto"/>
                <w:right w:val="none" w:sz="0" w:space="0" w:color="auto"/>
              </w:divBdr>
            </w:div>
            <w:div w:id="340283670">
              <w:marLeft w:val="0"/>
              <w:marRight w:val="0"/>
              <w:marTop w:val="0"/>
              <w:marBottom w:val="0"/>
              <w:divBdr>
                <w:top w:val="none" w:sz="0" w:space="0" w:color="auto"/>
                <w:left w:val="none" w:sz="0" w:space="0" w:color="auto"/>
                <w:bottom w:val="none" w:sz="0" w:space="0" w:color="auto"/>
                <w:right w:val="none" w:sz="0" w:space="0" w:color="auto"/>
              </w:divBdr>
            </w:div>
          </w:divsChild>
        </w:div>
        <w:div w:id="335768715">
          <w:marLeft w:val="0"/>
          <w:marRight w:val="0"/>
          <w:marTop w:val="0"/>
          <w:marBottom w:val="0"/>
          <w:divBdr>
            <w:top w:val="none" w:sz="0" w:space="0" w:color="auto"/>
            <w:left w:val="none" w:sz="0" w:space="0" w:color="auto"/>
            <w:bottom w:val="none" w:sz="0" w:space="0" w:color="auto"/>
            <w:right w:val="none" w:sz="0" w:space="0" w:color="auto"/>
          </w:divBdr>
          <w:divsChild>
            <w:div w:id="2054501744">
              <w:marLeft w:val="0"/>
              <w:marRight w:val="0"/>
              <w:marTop w:val="0"/>
              <w:marBottom w:val="0"/>
              <w:divBdr>
                <w:top w:val="none" w:sz="0" w:space="0" w:color="auto"/>
                <w:left w:val="none" w:sz="0" w:space="0" w:color="auto"/>
                <w:bottom w:val="none" w:sz="0" w:space="0" w:color="auto"/>
                <w:right w:val="none" w:sz="0" w:space="0" w:color="auto"/>
              </w:divBdr>
            </w:div>
          </w:divsChild>
        </w:div>
        <w:div w:id="657810584">
          <w:marLeft w:val="0"/>
          <w:marRight w:val="0"/>
          <w:marTop w:val="0"/>
          <w:marBottom w:val="420"/>
          <w:divBdr>
            <w:top w:val="none" w:sz="0" w:space="0" w:color="auto"/>
            <w:left w:val="none" w:sz="0" w:space="0" w:color="auto"/>
            <w:bottom w:val="none" w:sz="0" w:space="0" w:color="auto"/>
            <w:right w:val="none" w:sz="0" w:space="0" w:color="auto"/>
          </w:divBdr>
        </w:div>
        <w:div w:id="1357268107">
          <w:marLeft w:val="0"/>
          <w:marRight w:val="0"/>
          <w:marTop w:val="0"/>
          <w:marBottom w:val="450"/>
          <w:divBdr>
            <w:top w:val="none" w:sz="0" w:space="0" w:color="auto"/>
            <w:left w:val="none" w:sz="0" w:space="0" w:color="auto"/>
            <w:bottom w:val="none" w:sz="0" w:space="0" w:color="auto"/>
            <w:right w:val="none" w:sz="0" w:space="0" w:color="auto"/>
          </w:divBdr>
          <w:divsChild>
            <w:div w:id="63995820">
              <w:marLeft w:val="0"/>
              <w:marRight w:val="0"/>
              <w:marTop w:val="225"/>
              <w:marBottom w:val="0"/>
              <w:divBdr>
                <w:top w:val="none" w:sz="0" w:space="0" w:color="auto"/>
                <w:left w:val="none" w:sz="0" w:space="0" w:color="auto"/>
                <w:bottom w:val="none" w:sz="0" w:space="0" w:color="auto"/>
                <w:right w:val="none" w:sz="0" w:space="0" w:color="auto"/>
              </w:divBdr>
            </w:div>
            <w:div w:id="806169014">
              <w:marLeft w:val="0"/>
              <w:marRight w:val="0"/>
              <w:marTop w:val="0"/>
              <w:marBottom w:val="0"/>
              <w:divBdr>
                <w:top w:val="none" w:sz="0" w:space="0" w:color="auto"/>
                <w:left w:val="none" w:sz="0" w:space="0" w:color="auto"/>
                <w:bottom w:val="none" w:sz="0" w:space="0" w:color="auto"/>
                <w:right w:val="none" w:sz="0" w:space="0" w:color="auto"/>
              </w:divBdr>
            </w:div>
          </w:divsChild>
        </w:div>
        <w:div w:id="1180704024">
          <w:marLeft w:val="0"/>
          <w:marRight w:val="0"/>
          <w:marTop w:val="0"/>
          <w:marBottom w:val="450"/>
          <w:divBdr>
            <w:top w:val="none" w:sz="0" w:space="0" w:color="auto"/>
            <w:left w:val="none" w:sz="0" w:space="0" w:color="auto"/>
            <w:bottom w:val="none" w:sz="0" w:space="0" w:color="auto"/>
            <w:right w:val="none" w:sz="0" w:space="0" w:color="auto"/>
          </w:divBdr>
          <w:divsChild>
            <w:div w:id="184945754">
              <w:marLeft w:val="0"/>
              <w:marRight w:val="0"/>
              <w:marTop w:val="225"/>
              <w:marBottom w:val="0"/>
              <w:divBdr>
                <w:top w:val="none" w:sz="0" w:space="0" w:color="auto"/>
                <w:left w:val="none" w:sz="0" w:space="0" w:color="auto"/>
                <w:bottom w:val="none" w:sz="0" w:space="0" w:color="auto"/>
                <w:right w:val="none" w:sz="0" w:space="0" w:color="auto"/>
              </w:divBdr>
            </w:div>
            <w:div w:id="1049765542">
              <w:marLeft w:val="0"/>
              <w:marRight w:val="0"/>
              <w:marTop w:val="0"/>
              <w:marBottom w:val="0"/>
              <w:divBdr>
                <w:top w:val="none" w:sz="0" w:space="0" w:color="auto"/>
                <w:left w:val="none" w:sz="0" w:space="0" w:color="auto"/>
                <w:bottom w:val="none" w:sz="0" w:space="0" w:color="auto"/>
                <w:right w:val="none" w:sz="0" w:space="0" w:color="auto"/>
              </w:divBdr>
            </w:div>
          </w:divsChild>
        </w:div>
        <w:div w:id="544685972">
          <w:marLeft w:val="0"/>
          <w:marRight w:val="0"/>
          <w:marTop w:val="0"/>
          <w:marBottom w:val="0"/>
          <w:divBdr>
            <w:top w:val="none" w:sz="0" w:space="0" w:color="auto"/>
            <w:left w:val="none" w:sz="0" w:space="0" w:color="auto"/>
            <w:bottom w:val="none" w:sz="0" w:space="0" w:color="auto"/>
            <w:right w:val="none" w:sz="0" w:space="0" w:color="auto"/>
          </w:divBdr>
          <w:divsChild>
            <w:div w:id="752554710">
              <w:marLeft w:val="0"/>
              <w:marRight w:val="0"/>
              <w:marTop w:val="0"/>
              <w:marBottom w:val="0"/>
              <w:divBdr>
                <w:top w:val="none" w:sz="0" w:space="0" w:color="auto"/>
                <w:left w:val="none" w:sz="0" w:space="0" w:color="auto"/>
                <w:bottom w:val="none" w:sz="0" w:space="0" w:color="auto"/>
                <w:right w:val="none" w:sz="0" w:space="0" w:color="auto"/>
              </w:divBdr>
            </w:div>
          </w:divsChild>
        </w:div>
        <w:div w:id="750659301">
          <w:marLeft w:val="0"/>
          <w:marRight w:val="0"/>
          <w:marTop w:val="0"/>
          <w:marBottom w:val="420"/>
          <w:divBdr>
            <w:top w:val="none" w:sz="0" w:space="0" w:color="auto"/>
            <w:left w:val="none" w:sz="0" w:space="0" w:color="auto"/>
            <w:bottom w:val="none" w:sz="0" w:space="0" w:color="auto"/>
            <w:right w:val="none" w:sz="0" w:space="0" w:color="auto"/>
          </w:divBdr>
        </w:div>
        <w:div w:id="295306595">
          <w:marLeft w:val="0"/>
          <w:marRight w:val="0"/>
          <w:marTop w:val="0"/>
          <w:marBottom w:val="0"/>
          <w:divBdr>
            <w:top w:val="none" w:sz="0" w:space="0" w:color="auto"/>
            <w:left w:val="none" w:sz="0" w:space="0" w:color="auto"/>
            <w:bottom w:val="none" w:sz="0" w:space="0" w:color="auto"/>
            <w:right w:val="none" w:sz="0" w:space="0" w:color="auto"/>
          </w:divBdr>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263341006">
      <w:bodyDiv w:val="1"/>
      <w:marLeft w:val="0"/>
      <w:marRight w:val="0"/>
      <w:marTop w:val="0"/>
      <w:marBottom w:val="0"/>
      <w:divBdr>
        <w:top w:val="none" w:sz="0" w:space="0" w:color="auto"/>
        <w:left w:val="none" w:sz="0" w:space="0" w:color="auto"/>
        <w:bottom w:val="none" w:sz="0" w:space="0" w:color="auto"/>
        <w:right w:val="none" w:sz="0" w:space="0" w:color="auto"/>
      </w:divBdr>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00328821">
      <w:bodyDiv w:val="1"/>
      <w:marLeft w:val="0"/>
      <w:marRight w:val="0"/>
      <w:marTop w:val="0"/>
      <w:marBottom w:val="0"/>
      <w:divBdr>
        <w:top w:val="none" w:sz="0" w:space="0" w:color="auto"/>
        <w:left w:val="none" w:sz="0" w:space="0" w:color="auto"/>
        <w:bottom w:val="none" w:sz="0" w:space="0" w:color="auto"/>
        <w:right w:val="none" w:sz="0" w:space="0" w:color="auto"/>
      </w:divBdr>
      <w:divsChild>
        <w:div w:id="723330880">
          <w:marLeft w:val="0"/>
          <w:marRight w:val="0"/>
          <w:marTop w:val="0"/>
          <w:marBottom w:val="0"/>
          <w:divBdr>
            <w:top w:val="none" w:sz="0" w:space="0" w:color="auto"/>
            <w:left w:val="none" w:sz="0" w:space="0" w:color="auto"/>
            <w:bottom w:val="none" w:sz="0" w:space="0" w:color="auto"/>
            <w:right w:val="none" w:sz="0" w:space="0" w:color="auto"/>
          </w:divBdr>
        </w:div>
        <w:div w:id="1390418572">
          <w:marLeft w:val="0"/>
          <w:marRight w:val="0"/>
          <w:marTop w:val="0"/>
          <w:marBottom w:val="0"/>
          <w:divBdr>
            <w:top w:val="none" w:sz="0" w:space="0" w:color="auto"/>
            <w:left w:val="none" w:sz="0" w:space="0" w:color="auto"/>
            <w:bottom w:val="none" w:sz="0" w:space="0" w:color="auto"/>
            <w:right w:val="none" w:sz="0" w:space="0" w:color="auto"/>
          </w:divBdr>
        </w:div>
        <w:div w:id="241641185">
          <w:marLeft w:val="0"/>
          <w:marRight w:val="0"/>
          <w:marTop w:val="0"/>
          <w:marBottom w:val="0"/>
          <w:divBdr>
            <w:top w:val="none" w:sz="0" w:space="0" w:color="auto"/>
            <w:left w:val="none" w:sz="0" w:space="0" w:color="auto"/>
            <w:bottom w:val="none" w:sz="0" w:space="0" w:color="auto"/>
            <w:right w:val="none" w:sz="0" w:space="0" w:color="auto"/>
          </w:divBdr>
        </w:div>
        <w:div w:id="530924875">
          <w:marLeft w:val="0"/>
          <w:marRight w:val="0"/>
          <w:marTop w:val="0"/>
          <w:marBottom w:val="0"/>
          <w:divBdr>
            <w:top w:val="none" w:sz="0" w:space="0" w:color="auto"/>
            <w:left w:val="none" w:sz="0" w:space="0" w:color="auto"/>
            <w:bottom w:val="none" w:sz="0" w:space="0" w:color="auto"/>
            <w:right w:val="none" w:sz="0" w:space="0" w:color="auto"/>
          </w:divBdr>
        </w:div>
        <w:div w:id="1954049817">
          <w:marLeft w:val="0"/>
          <w:marRight w:val="0"/>
          <w:marTop w:val="0"/>
          <w:marBottom w:val="0"/>
          <w:divBdr>
            <w:top w:val="none" w:sz="0" w:space="0" w:color="auto"/>
            <w:left w:val="none" w:sz="0" w:space="0" w:color="auto"/>
            <w:bottom w:val="none" w:sz="0" w:space="0" w:color="auto"/>
            <w:right w:val="none" w:sz="0" w:space="0" w:color="auto"/>
          </w:divBdr>
        </w:div>
        <w:div w:id="1179543306">
          <w:marLeft w:val="0"/>
          <w:marRight w:val="0"/>
          <w:marTop w:val="0"/>
          <w:marBottom w:val="0"/>
          <w:divBdr>
            <w:top w:val="none" w:sz="0" w:space="0" w:color="auto"/>
            <w:left w:val="none" w:sz="0" w:space="0" w:color="auto"/>
            <w:bottom w:val="none" w:sz="0" w:space="0" w:color="auto"/>
            <w:right w:val="none" w:sz="0" w:space="0" w:color="auto"/>
          </w:divBdr>
        </w:div>
        <w:div w:id="575015485">
          <w:marLeft w:val="0"/>
          <w:marRight w:val="0"/>
          <w:marTop w:val="0"/>
          <w:marBottom w:val="0"/>
          <w:divBdr>
            <w:top w:val="none" w:sz="0" w:space="0" w:color="auto"/>
            <w:left w:val="none" w:sz="0" w:space="0" w:color="auto"/>
            <w:bottom w:val="none" w:sz="0" w:space="0" w:color="auto"/>
            <w:right w:val="none" w:sz="0" w:space="0" w:color="auto"/>
          </w:divBdr>
        </w:div>
        <w:div w:id="1379402811">
          <w:marLeft w:val="0"/>
          <w:marRight w:val="0"/>
          <w:marTop w:val="0"/>
          <w:marBottom w:val="0"/>
          <w:divBdr>
            <w:top w:val="none" w:sz="0" w:space="0" w:color="auto"/>
            <w:left w:val="none" w:sz="0" w:space="0" w:color="auto"/>
            <w:bottom w:val="none" w:sz="0" w:space="0" w:color="auto"/>
            <w:right w:val="none" w:sz="0" w:space="0" w:color="auto"/>
          </w:divBdr>
        </w:div>
        <w:div w:id="1533231129">
          <w:marLeft w:val="0"/>
          <w:marRight w:val="0"/>
          <w:marTop w:val="0"/>
          <w:marBottom w:val="0"/>
          <w:divBdr>
            <w:top w:val="none" w:sz="0" w:space="0" w:color="auto"/>
            <w:left w:val="none" w:sz="0" w:space="0" w:color="auto"/>
            <w:bottom w:val="none" w:sz="0" w:space="0" w:color="auto"/>
            <w:right w:val="none" w:sz="0" w:space="0" w:color="auto"/>
          </w:divBdr>
        </w:div>
        <w:div w:id="700596432">
          <w:marLeft w:val="0"/>
          <w:marRight w:val="0"/>
          <w:marTop w:val="0"/>
          <w:marBottom w:val="0"/>
          <w:divBdr>
            <w:top w:val="none" w:sz="0" w:space="0" w:color="auto"/>
            <w:left w:val="none" w:sz="0" w:space="0" w:color="auto"/>
            <w:bottom w:val="none" w:sz="0" w:space="0" w:color="auto"/>
            <w:right w:val="none" w:sz="0" w:space="0" w:color="auto"/>
          </w:divBdr>
        </w:div>
        <w:div w:id="383913146">
          <w:marLeft w:val="0"/>
          <w:marRight w:val="0"/>
          <w:marTop w:val="0"/>
          <w:marBottom w:val="0"/>
          <w:divBdr>
            <w:top w:val="none" w:sz="0" w:space="0" w:color="auto"/>
            <w:left w:val="none" w:sz="0" w:space="0" w:color="auto"/>
            <w:bottom w:val="none" w:sz="0" w:space="0" w:color="auto"/>
            <w:right w:val="none" w:sz="0" w:space="0" w:color="auto"/>
          </w:divBdr>
        </w:div>
        <w:div w:id="1129392878">
          <w:marLeft w:val="0"/>
          <w:marRight w:val="0"/>
          <w:marTop w:val="0"/>
          <w:marBottom w:val="0"/>
          <w:divBdr>
            <w:top w:val="none" w:sz="0" w:space="0" w:color="auto"/>
            <w:left w:val="none" w:sz="0" w:space="0" w:color="auto"/>
            <w:bottom w:val="none" w:sz="0" w:space="0" w:color="auto"/>
            <w:right w:val="none" w:sz="0" w:space="0" w:color="auto"/>
          </w:divBdr>
        </w:div>
        <w:div w:id="56243169">
          <w:marLeft w:val="0"/>
          <w:marRight w:val="0"/>
          <w:marTop w:val="0"/>
          <w:marBottom w:val="0"/>
          <w:divBdr>
            <w:top w:val="none" w:sz="0" w:space="0" w:color="auto"/>
            <w:left w:val="none" w:sz="0" w:space="0" w:color="auto"/>
            <w:bottom w:val="none" w:sz="0" w:space="0" w:color="auto"/>
            <w:right w:val="none" w:sz="0" w:space="0" w:color="auto"/>
          </w:divBdr>
        </w:div>
        <w:div w:id="1308128577">
          <w:marLeft w:val="0"/>
          <w:marRight w:val="0"/>
          <w:marTop w:val="0"/>
          <w:marBottom w:val="0"/>
          <w:divBdr>
            <w:top w:val="none" w:sz="0" w:space="0" w:color="auto"/>
            <w:left w:val="none" w:sz="0" w:space="0" w:color="auto"/>
            <w:bottom w:val="none" w:sz="0" w:space="0" w:color="auto"/>
            <w:right w:val="none" w:sz="0" w:space="0" w:color="auto"/>
          </w:divBdr>
        </w:div>
        <w:div w:id="2064256398">
          <w:marLeft w:val="0"/>
          <w:marRight w:val="0"/>
          <w:marTop w:val="0"/>
          <w:marBottom w:val="0"/>
          <w:divBdr>
            <w:top w:val="none" w:sz="0" w:space="0" w:color="auto"/>
            <w:left w:val="none" w:sz="0" w:space="0" w:color="auto"/>
            <w:bottom w:val="none" w:sz="0" w:space="0" w:color="auto"/>
            <w:right w:val="none" w:sz="0" w:space="0" w:color="auto"/>
          </w:divBdr>
        </w:div>
        <w:div w:id="932673">
          <w:marLeft w:val="0"/>
          <w:marRight w:val="0"/>
          <w:marTop w:val="0"/>
          <w:marBottom w:val="0"/>
          <w:divBdr>
            <w:top w:val="none" w:sz="0" w:space="0" w:color="auto"/>
            <w:left w:val="none" w:sz="0" w:space="0" w:color="auto"/>
            <w:bottom w:val="none" w:sz="0" w:space="0" w:color="auto"/>
            <w:right w:val="none" w:sz="0" w:space="0" w:color="auto"/>
          </w:divBdr>
        </w:div>
        <w:div w:id="909852868">
          <w:marLeft w:val="0"/>
          <w:marRight w:val="0"/>
          <w:marTop w:val="0"/>
          <w:marBottom w:val="0"/>
          <w:divBdr>
            <w:top w:val="none" w:sz="0" w:space="0" w:color="auto"/>
            <w:left w:val="none" w:sz="0" w:space="0" w:color="auto"/>
            <w:bottom w:val="none" w:sz="0" w:space="0" w:color="auto"/>
            <w:right w:val="none" w:sz="0" w:space="0" w:color="auto"/>
          </w:divBdr>
        </w:div>
        <w:div w:id="1209611390">
          <w:marLeft w:val="0"/>
          <w:marRight w:val="0"/>
          <w:marTop w:val="0"/>
          <w:marBottom w:val="0"/>
          <w:divBdr>
            <w:top w:val="none" w:sz="0" w:space="0" w:color="auto"/>
            <w:left w:val="none" w:sz="0" w:space="0" w:color="auto"/>
            <w:bottom w:val="none" w:sz="0" w:space="0" w:color="auto"/>
            <w:right w:val="none" w:sz="0" w:space="0" w:color="auto"/>
          </w:divBdr>
        </w:div>
        <w:div w:id="1733652366">
          <w:marLeft w:val="0"/>
          <w:marRight w:val="0"/>
          <w:marTop w:val="0"/>
          <w:marBottom w:val="0"/>
          <w:divBdr>
            <w:top w:val="none" w:sz="0" w:space="0" w:color="auto"/>
            <w:left w:val="none" w:sz="0" w:space="0" w:color="auto"/>
            <w:bottom w:val="none" w:sz="0" w:space="0" w:color="auto"/>
            <w:right w:val="none" w:sz="0" w:space="0" w:color="auto"/>
          </w:divBdr>
        </w:div>
        <w:div w:id="1283996777">
          <w:marLeft w:val="0"/>
          <w:marRight w:val="0"/>
          <w:marTop w:val="0"/>
          <w:marBottom w:val="0"/>
          <w:divBdr>
            <w:top w:val="none" w:sz="0" w:space="0" w:color="auto"/>
            <w:left w:val="none" w:sz="0" w:space="0" w:color="auto"/>
            <w:bottom w:val="none" w:sz="0" w:space="0" w:color="auto"/>
            <w:right w:val="none" w:sz="0" w:space="0" w:color="auto"/>
          </w:divBdr>
        </w:div>
        <w:div w:id="710809796">
          <w:marLeft w:val="0"/>
          <w:marRight w:val="0"/>
          <w:marTop w:val="0"/>
          <w:marBottom w:val="0"/>
          <w:divBdr>
            <w:top w:val="none" w:sz="0" w:space="0" w:color="auto"/>
            <w:left w:val="none" w:sz="0" w:space="0" w:color="auto"/>
            <w:bottom w:val="none" w:sz="0" w:space="0" w:color="auto"/>
            <w:right w:val="none" w:sz="0" w:space="0" w:color="auto"/>
          </w:divBdr>
        </w:div>
        <w:div w:id="437943834">
          <w:marLeft w:val="0"/>
          <w:marRight w:val="0"/>
          <w:marTop w:val="0"/>
          <w:marBottom w:val="0"/>
          <w:divBdr>
            <w:top w:val="none" w:sz="0" w:space="0" w:color="auto"/>
            <w:left w:val="none" w:sz="0" w:space="0" w:color="auto"/>
            <w:bottom w:val="none" w:sz="0" w:space="0" w:color="auto"/>
            <w:right w:val="none" w:sz="0" w:space="0" w:color="auto"/>
          </w:divBdr>
        </w:div>
        <w:div w:id="1211530089">
          <w:marLeft w:val="0"/>
          <w:marRight w:val="0"/>
          <w:marTop w:val="0"/>
          <w:marBottom w:val="0"/>
          <w:divBdr>
            <w:top w:val="none" w:sz="0" w:space="0" w:color="auto"/>
            <w:left w:val="none" w:sz="0" w:space="0" w:color="auto"/>
            <w:bottom w:val="none" w:sz="0" w:space="0" w:color="auto"/>
            <w:right w:val="none" w:sz="0" w:space="0" w:color="auto"/>
          </w:divBdr>
        </w:div>
        <w:div w:id="298806232">
          <w:marLeft w:val="0"/>
          <w:marRight w:val="0"/>
          <w:marTop w:val="0"/>
          <w:marBottom w:val="0"/>
          <w:divBdr>
            <w:top w:val="none" w:sz="0" w:space="0" w:color="auto"/>
            <w:left w:val="none" w:sz="0" w:space="0" w:color="auto"/>
            <w:bottom w:val="none" w:sz="0" w:space="0" w:color="auto"/>
            <w:right w:val="none" w:sz="0" w:space="0" w:color="auto"/>
          </w:divBdr>
        </w:div>
        <w:div w:id="1792627578">
          <w:marLeft w:val="0"/>
          <w:marRight w:val="0"/>
          <w:marTop w:val="0"/>
          <w:marBottom w:val="0"/>
          <w:divBdr>
            <w:top w:val="none" w:sz="0" w:space="0" w:color="auto"/>
            <w:left w:val="none" w:sz="0" w:space="0" w:color="auto"/>
            <w:bottom w:val="none" w:sz="0" w:space="0" w:color="auto"/>
            <w:right w:val="none" w:sz="0" w:space="0" w:color="auto"/>
          </w:divBdr>
        </w:div>
        <w:div w:id="262298181">
          <w:marLeft w:val="0"/>
          <w:marRight w:val="0"/>
          <w:marTop w:val="0"/>
          <w:marBottom w:val="0"/>
          <w:divBdr>
            <w:top w:val="none" w:sz="0" w:space="0" w:color="auto"/>
            <w:left w:val="none" w:sz="0" w:space="0" w:color="auto"/>
            <w:bottom w:val="none" w:sz="0" w:space="0" w:color="auto"/>
            <w:right w:val="none" w:sz="0" w:space="0" w:color="auto"/>
          </w:divBdr>
        </w:div>
        <w:div w:id="577440079">
          <w:marLeft w:val="0"/>
          <w:marRight w:val="0"/>
          <w:marTop w:val="0"/>
          <w:marBottom w:val="0"/>
          <w:divBdr>
            <w:top w:val="none" w:sz="0" w:space="0" w:color="auto"/>
            <w:left w:val="none" w:sz="0" w:space="0" w:color="auto"/>
            <w:bottom w:val="none" w:sz="0" w:space="0" w:color="auto"/>
            <w:right w:val="none" w:sz="0" w:space="0" w:color="auto"/>
          </w:divBdr>
        </w:div>
        <w:div w:id="377050231">
          <w:marLeft w:val="0"/>
          <w:marRight w:val="0"/>
          <w:marTop w:val="0"/>
          <w:marBottom w:val="0"/>
          <w:divBdr>
            <w:top w:val="none" w:sz="0" w:space="0" w:color="auto"/>
            <w:left w:val="none" w:sz="0" w:space="0" w:color="auto"/>
            <w:bottom w:val="none" w:sz="0" w:space="0" w:color="auto"/>
            <w:right w:val="none" w:sz="0" w:space="0" w:color="auto"/>
          </w:divBdr>
        </w:div>
        <w:div w:id="39476480">
          <w:marLeft w:val="0"/>
          <w:marRight w:val="0"/>
          <w:marTop w:val="0"/>
          <w:marBottom w:val="0"/>
          <w:divBdr>
            <w:top w:val="none" w:sz="0" w:space="0" w:color="auto"/>
            <w:left w:val="none" w:sz="0" w:space="0" w:color="auto"/>
            <w:bottom w:val="none" w:sz="0" w:space="0" w:color="auto"/>
            <w:right w:val="none" w:sz="0" w:space="0" w:color="auto"/>
          </w:divBdr>
        </w:div>
        <w:div w:id="1563566994">
          <w:marLeft w:val="0"/>
          <w:marRight w:val="0"/>
          <w:marTop w:val="0"/>
          <w:marBottom w:val="0"/>
          <w:divBdr>
            <w:top w:val="none" w:sz="0" w:space="0" w:color="auto"/>
            <w:left w:val="none" w:sz="0" w:space="0" w:color="auto"/>
            <w:bottom w:val="none" w:sz="0" w:space="0" w:color="auto"/>
            <w:right w:val="none" w:sz="0" w:space="0" w:color="auto"/>
          </w:divBdr>
        </w:div>
        <w:div w:id="460807653">
          <w:marLeft w:val="0"/>
          <w:marRight w:val="0"/>
          <w:marTop w:val="0"/>
          <w:marBottom w:val="0"/>
          <w:divBdr>
            <w:top w:val="none" w:sz="0" w:space="0" w:color="auto"/>
            <w:left w:val="none" w:sz="0" w:space="0" w:color="auto"/>
            <w:bottom w:val="none" w:sz="0" w:space="0" w:color="auto"/>
            <w:right w:val="none" w:sz="0" w:space="0" w:color="auto"/>
          </w:divBdr>
        </w:div>
        <w:div w:id="1170096553">
          <w:marLeft w:val="0"/>
          <w:marRight w:val="0"/>
          <w:marTop w:val="0"/>
          <w:marBottom w:val="0"/>
          <w:divBdr>
            <w:top w:val="none" w:sz="0" w:space="0" w:color="auto"/>
            <w:left w:val="none" w:sz="0" w:space="0" w:color="auto"/>
            <w:bottom w:val="none" w:sz="0" w:space="0" w:color="auto"/>
            <w:right w:val="none" w:sz="0" w:space="0" w:color="auto"/>
          </w:divBdr>
        </w:div>
        <w:div w:id="93938904">
          <w:marLeft w:val="0"/>
          <w:marRight w:val="0"/>
          <w:marTop w:val="0"/>
          <w:marBottom w:val="0"/>
          <w:divBdr>
            <w:top w:val="none" w:sz="0" w:space="0" w:color="auto"/>
            <w:left w:val="none" w:sz="0" w:space="0" w:color="auto"/>
            <w:bottom w:val="none" w:sz="0" w:space="0" w:color="auto"/>
            <w:right w:val="none" w:sz="0" w:space="0" w:color="auto"/>
          </w:divBdr>
        </w:div>
        <w:div w:id="1170833156">
          <w:marLeft w:val="0"/>
          <w:marRight w:val="0"/>
          <w:marTop w:val="0"/>
          <w:marBottom w:val="0"/>
          <w:divBdr>
            <w:top w:val="none" w:sz="0" w:space="0" w:color="auto"/>
            <w:left w:val="none" w:sz="0" w:space="0" w:color="auto"/>
            <w:bottom w:val="none" w:sz="0" w:space="0" w:color="auto"/>
            <w:right w:val="none" w:sz="0" w:space="0" w:color="auto"/>
          </w:divBdr>
        </w:div>
        <w:div w:id="1707100388">
          <w:marLeft w:val="0"/>
          <w:marRight w:val="0"/>
          <w:marTop w:val="0"/>
          <w:marBottom w:val="0"/>
          <w:divBdr>
            <w:top w:val="none" w:sz="0" w:space="0" w:color="auto"/>
            <w:left w:val="none" w:sz="0" w:space="0" w:color="auto"/>
            <w:bottom w:val="none" w:sz="0" w:space="0" w:color="auto"/>
            <w:right w:val="none" w:sz="0" w:space="0" w:color="auto"/>
          </w:divBdr>
        </w:div>
        <w:div w:id="1717512257">
          <w:marLeft w:val="0"/>
          <w:marRight w:val="0"/>
          <w:marTop w:val="0"/>
          <w:marBottom w:val="0"/>
          <w:divBdr>
            <w:top w:val="none" w:sz="0" w:space="0" w:color="auto"/>
            <w:left w:val="none" w:sz="0" w:space="0" w:color="auto"/>
            <w:bottom w:val="none" w:sz="0" w:space="0" w:color="auto"/>
            <w:right w:val="none" w:sz="0" w:space="0" w:color="auto"/>
          </w:divBdr>
        </w:div>
        <w:div w:id="1686253118">
          <w:marLeft w:val="0"/>
          <w:marRight w:val="0"/>
          <w:marTop w:val="0"/>
          <w:marBottom w:val="0"/>
          <w:divBdr>
            <w:top w:val="none" w:sz="0" w:space="0" w:color="auto"/>
            <w:left w:val="none" w:sz="0" w:space="0" w:color="auto"/>
            <w:bottom w:val="none" w:sz="0" w:space="0" w:color="auto"/>
            <w:right w:val="none" w:sz="0" w:space="0" w:color="auto"/>
          </w:divBdr>
        </w:div>
        <w:div w:id="495194059">
          <w:marLeft w:val="0"/>
          <w:marRight w:val="0"/>
          <w:marTop w:val="0"/>
          <w:marBottom w:val="0"/>
          <w:divBdr>
            <w:top w:val="none" w:sz="0" w:space="0" w:color="auto"/>
            <w:left w:val="none" w:sz="0" w:space="0" w:color="auto"/>
            <w:bottom w:val="none" w:sz="0" w:space="0" w:color="auto"/>
            <w:right w:val="none" w:sz="0" w:space="0" w:color="auto"/>
          </w:divBdr>
        </w:div>
        <w:div w:id="1919822892">
          <w:marLeft w:val="0"/>
          <w:marRight w:val="0"/>
          <w:marTop w:val="0"/>
          <w:marBottom w:val="0"/>
          <w:divBdr>
            <w:top w:val="none" w:sz="0" w:space="0" w:color="auto"/>
            <w:left w:val="none" w:sz="0" w:space="0" w:color="auto"/>
            <w:bottom w:val="none" w:sz="0" w:space="0" w:color="auto"/>
            <w:right w:val="none" w:sz="0" w:space="0" w:color="auto"/>
          </w:divBdr>
        </w:div>
        <w:div w:id="964893846">
          <w:marLeft w:val="0"/>
          <w:marRight w:val="0"/>
          <w:marTop w:val="0"/>
          <w:marBottom w:val="0"/>
          <w:divBdr>
            <w:top w:val="none" w:sz="0" w:space="0" w:color="auto"/>
            <w:left w:val="none" w:sz="0" w:space="0" w:color="auto"/>
            <w:bottom w:val="none" w:sz="0" w:space="0" w:color="auto"/>
            <w:right w:val="none" w:sz="0" w:space="0" w:color="auto"/>
          </w:divBdr>
        </w:div>
        <w:div w:id="817301241">
          <w:marLeft w:val="0"/>
          <w:marRight w:val="0"/>
          <w:marTop w:val="0"/>
          <w:marBottom w:val="0"/>
          <w:divBdr>
            <w:top w:val="none" w:sz="0" w:space="0" w:color="auto"/>
            <w:left w:val="none" w:sz="0" w:space="0" w:color="auto"/>
            <w:bottom w:val="none" w:sz="0" w:space="0" w:color="auto"/>
            <w:right w:val="none" w:sz="0" w:space="0" w:color="auto"/>
          </w:divBdr>
        </w:div>
        <w:div w:id="2096586998">
          <w:marLeft w:val="0"/>
          <w:marRight w:val="0"/>
          <w:marTop w:val="0"/>
          <w:marBottom w:val="0"/>
          <w:divBdr>
            <w:top w:val="none" w:sz="0" w:space="0" w:color="auto"/>
            <w:left w:val="none" w:sz="0" w:space="0" w:color="auto"/>
            <w:bottom w:val="none" w:sz="0" w:space="0" w:color="auto"/>
            <w:right w:val="none" w:sz="0" w:space="0" w:color="auto"/>
          </w:divBdr>
        </w:div>
        <w:div w:id="1819955329">
          <w:marLeft w:val="0"/>
          <w:marRight w:val="0"/>
          <w:marTop w:val="0"/>
          <w:marBottom w:val="0"/>
          <w:divBdr>
            <w:top w:val="none" w:sz="0" w:space="0" w:color="auto"/>
            <w:left w:val="none" w:sz="0" w:space="0" w:color="auto"/>
            <w:bottom w:val="none" w:sz="0" w:space="0" w:color="auto"/>
            <w:right w:val="none" w:sz="0" w:space="0" w:color="auto"/>
          </w:divBdr>
        </w:div>
        <w:div w:id="266473633">
          <w:marLeft w:val="0"/>
          <w:marRight w:val="0"/>
          <w:marTop w:val="0"/>
          <w:marBottom w:val="0"/>
          <w:divBdr>
            <w:top w:val="none" w:sz="0" w:space="0" w:color="auto"/>
            <w:left w:val="none" w:sz="0" w:space="0" w:color="auto"/>
            <w:bottom w:val="none" w:sz="0" w:space="0" w:color="auto"/>
            <w:right w:val="none" w:sz="0" w:space="0" w:color="auto"/>
          </w:divBdr>
        </w:div>
        <w:div w:id="2085486791">
          <w:marLeft w:val="0"/>
          <w:marRight w:val="0"/>
          <w:marTop w:val="0"/>
          <w:marBottom w:val="0"/>
          <w:divBdr>
            <w:top w:val="none" w:sz="0" w:space="0" w:color="auto"/>
            <w:left w:val="none" w:sz="0" w:space="0" w:color="auto"/>
            <w:bottom w:val="none" w:sz="0" w:space="0" w:color="auto"/>
            <w:right w:val="none" w:sz="0" w:space="0" w:color="auto"/>
          </w:divBdr>
        </w:div>
        <w:div w:id="1437017478">
          <w:marLeft w:val="0"/>
          <w:marRight w:val="0"/>
          <w:marTop w:val="0"/>
          <w:marBottom w:val="0"/>
          <w:divBdr>
            <w:top w:val="none" w:sz="0" w:space="0" w:color="auto"/>
            <w:left w:val="none" w:sz="0" w:space="0" w:color="auto"/>
            <w:bottom w:val="none" w:sz="0" w:space="0" w:color="auto"/>
            <w:right w:val="none" w:sz="0" w:space="0" w:color="auto"/>
          </w:divBdr>
        </w:div>
        <w:div w:id="683291818">
          <w:marLeft w:val="0"/>
          <w:marRight w:val="0"/>
          <w:marTop w:val="0"/>
          <w:marBottom w:val="0"/>
          <w:divBdr>
            <w:top w:val="none" w:sz="0" w:space="0" w:color="auto"/>
            <w:left w:val="none" w:sz="0" w:space="0" w:color="auto"/>
            <w:bottom w:val="none" w:sz="0" w:space="0" w:color="auto"/>
            <w:right w:val="none" w:sz="0" w:space="0" w:color="auto"/>
          </w:divBdr>
        </w:div>
        <w:div w:id="1945654088">
          <w:marLeft w:val="0"/>
          <w:marRight w:val="0"/>
          <w:marTop w:val="0"/>
          <w:marBottom w:val="0"/>
          <w:divBdr>
            <w:top w:val="none" w:sz="0" w:space="0" w:color="auto"/>
            <w:left w:val="none" w:sz="0" w:space="0" w:color="auto"/>
            <w:bottom w:val="none" w:sz="0" w:space="0" w:color="auto"/>
            <w:right w:val="none" w:sz="0" w:space="0" w:color="auto"/>
          </w:divBdr>
        </w:div>
        <w:div w:id="395009490">
          <w:marLeft w:val="0"/>
          <w:marRight w:val="0"/>
          <w:marTop w:val="0"/>
          <w:marBottom w:val="0"/>
          <w:divBdr>
            <w:top w:val="none" w:sz="0" w:space="0" w:color="auto"/>
            <w:left w:val="none" w:sz="0" w:space="0" w:color="auto"/>
            <w:bottom w:val="none" w:sz="0" w:space="0" w:color="auto"/>
            <w:right w:val="none" w:sz="0" w:space="0" w:color="auto"/>
          </w:divBdr>
        </w:div>
        <w:div w:id="1489518334">
          <w:marLeft w:val="0"/>
          <w:marRight w:val="0"/>
          <w:marTop w:val="0"/>
          <w:marBottom w:val="0"/>
          <w:divBdr>
            <w:top w:val="none" w:sz="0" w:space="0" w:color="auto"/>
            <w:left w:val="none" w:sz="0" w:space="0" w:color="auto"/>
            <w:bottom w:val="none" w:sz="0" w:space="0" w:color="auto"/>
            <w:right w:val="none" w:sz="0" w:space="0" w:color="auto"/>
          </w:divBdr>
        </w:div>
        <w:div w:id="1108887130">
          <w:marLeft w:val="0"/>
          <w:marRight w:val="0"/>
          <w:marTop w:val="0"/>
          <w:marBottom w:val="0"/>
          <w:divBdr>
            <w:top w:val="none" w:sz="0" w:space="0" w:color="auto"/>
            <w:left w:val="none" w:sz="0" w:space="0" w:color="auto"/>
            <w:bottom w:val="none" w:sz="0" w:space="0" w:color="auto"/>
            <w:right w:val="none" w:sz="0" w:space="0" w:color="auto"/>
          </w:divBdr>
        </w:div>
        <w:div w:id="295258478">
          <w:marLeft w:val="0"/>
          <w:marRight w:val="0"/>
          <w:marTop w:val="0"/>
          <w:marBottom w:val="0"/>
          <w:divBdr>
            <w:top w:val="none" w:sz="0" w:space="0" w:color="auto"/>
            <w:left w:val="none" w:sz="0" w:space="0" w:color="auto"/>
            <w:bottom w:val="none" w:sz="0" w:space="0" w:color="auto"/>
            <w:right w:val="none" w:sz="0" w:space="0" w:color="auto"/>
          </w:divBdr>
        </w:div>
        <w:div w:id="664551059">
          <w:marLeft w:val="0"/>
          <w:marRight w:val="0"/>
          <w:marTop w:val="0"/>
          <w:marBottom w:val="0"/>
          <w:divBdr>
            <w:top w:val="none" w:sz="0" w:space="0" w:color="auto"/>
            <w:left w:val="none" w:sz="0" w:space="0" w:color="auto"/>
            <w:bottom w:val="none" w:sz="0" w:space="0" w:color="auto"/>
            <w:right w:val="none" w:sz="0" w:space="0" w:color="auto"/>
          </w:divBdr>
        </w:div>
        <w:div w:id="717053448">
          <w:marLeft w:val="0"/>
          <w:marRight w:val="0"/>
          <w:marTop w:val="0"/>
          <w:marBottom w:val="0"/>
          <w:divBdr>
            <w:top w:val="none" w:sz="0" w:space="0" w:color="auto"/>
            <w:left w:val="none" w:sz="0" w:space="0" w:color="auto"/>
            <w:bottom w:val="none" w:sz="0" w:space="0" w:color="auto"/>
            <w:right w:val="none" w:sz="0" w:space="0" w:color="auto"/>
          </w:divBdr>
        </w:div>
        <w:div w:id="165823454">
          <w:marLeft w:val="0"/>
          <w:marRight w:val="0"/>
          <w:marTop w:val="0"/>
          <w:marBottom w:val="0"/>
          <w:divBdr>
            <w:top w:val="none" w:sz="0" w:space="0" w:color="auto"/>
            <w:left w:val="none" w:sz="0" w:space="0" w:color="auto"/>
            <w:bottom w:val="none" w:sz="0" w:space="0" w:color="auto"/>
            <w:right w:val="none" w:sz="0" w:space="0" w:color="auto"/>
          </w:divBdr>
        </w:div>
        <w:div w:id="817305890">
          <w:marLeft w:val="0"/>
          <w:marRight w:val="0"/>
          <w:marTop w:val="0"/>
          <w:marBottom w:val="0"/>
          <w:divBdr>
            <w:top w:val="none" w:sz="0" w:space="0" w:color="auto"/>
            <w:left w:val="none" w:sz="0" w:space="0" w:color="auto"/>
            <w:bottom w:val="none" w:sz="0" w:space="0" w:color="auto"/>
            <w:right w:val="none" w:sz="0" w:space="0" w:color="auto"/>
          </w:divBdr>
        </w:div>
        <w:div w:id="941767102">
          <w:marLeft w:val="0"/>
          <w:marRight w:val="0"/>
          <w:marTop w:val="0"/>
          <w:marBottom w:val="0"/>
          <w:divBdr>
            <w:top w:val="none" w:sz="0" w:space="0" w:color="auto"/>
            <w:left w:val="none" w:sz="0" w:space="0" w:color="auto"/>
            <w:bottom w:val="none" w:sz="0" w:space="0" w:color="auto"/>
            <w:right w:val="none" w:sz="0" w:space="0" w:color="auto"/>
          </w:divBdr>
        </w:div>
        <w:div w:id="1418018035">
          <w:marLeft w:val="0"/>
          <w:marRight w:val="0"/>
          <w:marTop w:val="0"/>
          <w:marBottom w:val="0"/>
          <w:divBdr>
            <w:top w:val="none" w:sz="0" w:space="0" w:color="auto"/>
            <w:left w:val="none" w:sz="0" w:space="0" w:color="auto"/>
            <w:bottom w:val="none" w:sz="0" w:space="0" w:color="auto"/>
            <w:right w:val="none" w:sz="0" w:space="0" w:color="auto"/>
          </w:divBdr>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nlinelibrary.wiley.com/doi/full/10.1002/jor.24878" TargetMode="External"/><Relationship Id="rId117" Type="http://schemas.openxmlformats.org/officeDocument/2006/relationships/hyperlink" Target="https://onlinelibrary.wiley.com/doi/full/10.1002/jor.24878" TargetMode="External"/><Relationship Id="rId21" Type="http://schemas.openxmlformats.org/officeDocument/2006/relationships/hyperlink" Target="https://onlinelibrary.wiley.com/doi/full/10.1002/jor.24878" TargetMode="External"/><Relationship Id="rId42" Type="http://schemas.openxmlformats.org/officeDocument/2006/relationships/hyperlink" Target="https://onlinelibrary.wiley.com/doi/full/10.1002/jor.24878" TargetMode="External"/><Relationship Id="rId47" Type="http://schemas.openxmlformats.org/officeDocument/2006/relationships/hyperlink" Target="https://onlinelibrary.wiley.com/doi/full/10.1002/jor.24878" TargetMode="External"/><Relationship Id="rId63" Type="http://schemas.openxmlformats.org/officeDocument/2006/relationships/image" Target="media/image1.png"/><Relationship Id="rId68" Type="http://schemas.openxmlformats.org/officeDocument/2006/relationships/hyperlink" Target="https://onlinelibrary.wiley.com/doi/full/10.1002/jor.24878" TargetMode="External"/><Relationship Id="rId84" Type="http://schemas.openxmlformats.org/officeDocument/2006/relationships/hyperlink" Target="https://onlinelibrary.wiley.com/doi/full/10.1002/jor.24878" TargetMode="External"/><Relationship Id="rId89" Type="http://schemas.openxmlformats.org/officeDocument/2006/relationships/hyperlink" Target="https://onlinelibrary.wiley.com/cms/asset/d15fbe97-69c7-4313-bda3-9b217c27ee90/jor24878-fig-0002-m.jpg" TargetMode="External"/><Relationship Id="rId112" Type="http://schemas.openxmlformats.org/officeDocument/2006/relationships/hyperlink" Target="https://onlinelibrary.wiley.com/doi/full/10.1002/jor.24878" TargetMode="External"/><Relationship Id="rId16" Type="http://schemas.openxmlformats.org/officeDocument/2006/relationships/hyperlink" Target="https://onlinelibrary.wiley.com/doi/full/10.1002/jor.24878" TargetMode="External"/><Relationship Id="rId107" Type="http://schemas.openxmlformats.org/officeDocument/2006/relationships/hyperlink" Target="https://onlinelibrary.wiley.com/doi/full/10.1002/jor.24878" TargetMode="External"/><Relationship Id="rId11" Type="http://schemas.openxmlformats.org/officeDocument/2006/relationships/hyperlink" Target="https://onlinelibrary.wiley.com/doi/full/10.1002/jor.24878" TargetMode="External"/><Relationship Id="rId32" Type="http://schemas.openxmlformats.org/officeDocument/2006/relationships/hyperlink" Target="https://onlinelibrary.wiley.com/doi/full/10.1002/jor.24878" TargetMode="External"/><Relationship Id="rId37" Type="http://schemas.openxmlformats.org/officeDocument/2006/relationships/hyperlink" Target="https://onlinelibrary.wiley.com/doi/full/10.1002/jor.24878" TargetMode="External"/><Relationship Id="rId53" Type="http://schemas.openxmlformats.org/officeDocument/2006/relationships/hyperlink" Target="https://onlinelibrary.wiley.com/doi/full/10.1002/jor.24878" TargetMode="External"/><Relationship Id="rId58" Type="http://schemas.openxmlformats.org/officeDocument/2006/relationships/hyperlink" Target="https://onlinelibrary.wiley.com/doi/full/10.1002/jor.24878" TargetMode="External"/><Relationship Id="rId74" Type="http://schemas.openxmlformats.org/officeDocument/2006/relationships/hyperlink" Target="https://onlinelibrary.wiley.com/doi/full/10.1002/jor.24878" TargetMode="External"/><Relationship Id="rId79" Type="http://schemas.openxmlformats.org/officeDocument/2006/relationships/hyperlink" Target="https://onlinelibrary.wiley.com/doi/full/10.1002/jor.24878" TargetMode="External"/><Relationship Id="rId102" Type="http://schemas.openxmlformats.org/officeDocument/2006/relationships/hyperlink" Target="https://onlinelibrary.wiley.com/doi/full/10.1002/jor.24878" TargetMode="External"/><Relationship Id="rId123" Type="http://schemas.openxmlformats.org/officeDocument/2006/relationships/hyperlink" Target="https://onlinelibrary.wiley.com/doi/full/10.1002/jor.24878" TargetMode="External"/><Relationship Id="rId128" Type="http://schemas.openxmlformats.org/officeDocument/2006/relationships/theme" Target="theme/theme1.xml"/><Relationship Id="rId5" Type="http://schemas.openxmlformats.org/officeDocument/2006/relationships/styles" Target="styles.xml"/><Relationship Id="rId90" Type="http://schemas.openxmlformats.org/officeDocument/2006/relationships/image" Target="media/image2.png"/><Relationship Id="rId95" Type="http://schemas.openxmlformats.org/officeDocument/2006/relationships/hyperlink" Target="https://onlinelibrary.wiley.com/doi/full/10.1002/jor.24878" TargetMode="External"/><Relationship Id="rId22" Type="http://schemas.openxmlformats.org/officeDocument/2006/relationships/hyperlink" Target="https://onlinelibrary.wiley.com/doi/full/10.1002/jor.24878" TargetMode="External"/><Relationship Id="rId27" Type="http://schemas.openxmlformats.org/officeDocument/2006/relationships/hyperlink" Target="https://onlinelibrary.wiley.com/doi/full/10.1002/jor.24878" TargetMode="External"/><Relationship Id="rId43" Type="http://schemas.openxmlformats.org/officeDocument/2006/relationships/hyperlink" Target="https://onlinelibrary.wiley.com/doi/full/10.1002/jor.24878" TargetMode="External"/><Relationship Id="rId48" Type="http://schemas.openxmlformats.org/officeDocument/2006/relationships/hyperlink" Target="https://onlinelibrary.wiley.com/doi/full/10.1002/jor.24878" TargetMode="External"/><Relationship Id="rId64" Type="http://schemas.openxmlformats.org/officeDocument/2006/relationships/hyperlink" Target="https://onlinelibrary.wiley.com/doi/full/10.1002/jor.24878" TargetMode="External"/><Relationship Id="rId69" Type="http://schemas.openxmlformats.org/officeDocument/2006/relationships/hyperlink" Target="https://onlinelibrary.wiley.com/doi/full/10.1002/jor.24878" TargetMode="External"/><Relationship Id="rId113" Type="http://schemas.openxmlformats.org/officeDocument/2006/relationships/hyperlink" Target="https://onlinelibrary.wiley.com/doi/full/10.1002/jor.24878" TargetMode="External"/><Relationship Id="rId118" Type="http://schemas.openxmlformats.org/officeDocument/2006/relationships/hyperlink" Target="https://onlinelibrary.wiley.com/doi/full/10.1002/jor.24878" TargetMode="External"/><Relationship Id="rId80" Type="http://schemas.openxmlformats.org/officeDocument/2006/relationships/hyperlink" Target="https://onlinelibrary.wiley.com/doi/full/10.1002/jor.24878" TargetMode="External"/><Relationship Id="rId85" Type="http://schemas.openxmlformats.org/officeDocument/2006/relationships/hyperlink" Target="https://onlinelibrary.wiley.com/doi/full/10.1002/jor.24878" TargetMode="External"/><Relationship Id="rId12" Type="http://schemas.openxmlformats.org/officeDocument/2006/relationships/hyperlink" Target="https://onlinelibrary.wiley.com/doi/full/10.1002/jor.24878" TargetMode="External"/><Relationship Id="rId17" Type="http://schemas.openxmlformats.org/officeDocument/2006/relationships/hyperlink" Target="https://onlinelibrary.wiley.com/doi/full/10.1002/jor.24878" TargetMode="External"/><Relationship Id="rId33" Type="http://schemas.openxmlformats.org/officeDocument/2006/relationships/hyperlink" Target="https://onlinelibrary.wiley.com/doi/full/10.1002/jor.24878" TargetMode="External"/><Relationship Id="rId38" Type="http://schemas.openxmlformats.org/officeDocument/2006/relationships/hyperlink" Target="https://onlinelibrary.wiley.com/doi/full/10.1002/jor.24878" TargetMode="External"/><Relationship Id="rId59" Type="http://schemas.openxmlformats.org/officeDocument/2006/relationships/hyperlink" Target="https://onlinelibrary.wiley.com/doi/full/10.1002/jor.24878" TargetMode="External"/><Relationship Id="rId103" Type="http://schemas.openxmlformats.org/officeDocument/2006/relationships/hyperlink" Target="https://onlinelibrary.wiley.com/doi/full/10.1002/jor.24878" TargetMode="External"/><Relationship Id="rId108" Type="http://schemas.openxmlformats.org/officeDocument/2006/relationships/hyperlink" Target="https://onlinelibrary.wiley.com/doi/full/10.1002/jor.24878" TargetMode="External"/><Relationship Id="rId124" Type="http://schemas.openxmlformats.org/officeDocument/2006/relationships/hyperlink" Target="https://onlinelibrary.wiley.com/doi/full/10.1002/jor.24878" TargetMode="External"/><Relationship Id="rId54" Type="http://schemas.openxmlformats.org/officeDocument/2006/relationships/hyperlink" Target="https://onlinelibrary.wiley.com/doi/full/10.1002/jor.24878" TargetMode="External"/><Relationship Id="rId70" Type="http://schemas.openxmlformats.org/officeDocument/2006/relationships/hyperlink" Target="https://onlinelibrary.wiley.com/doi/full/10.1002/jor.24878" TargetMode="External"/><Relationship Id="rId75" Type="http://schemas.openxmlformats.org/officeDocument/2006/relationships/hyperlink" Target="https://onlinelibrary.wiley.com/doi/full/10.1002/jor.24878" TargetMode="External"/><Relationship Id="rId91" Type="http://schemas.openxmlformats.org/officeDocument/2006/relationships/hyperlink" Target="https://onlinelibrary.wiley.com/doi/full/10.1002/jor.24878" TargetMode="External"/><Relationship Id="rId96" Type="http://schemas.openxmlformats.org/officeDocument/2006/relationships/hyperlink" Target="https://onlinelibrary.wiley.com/doi/full/10.1002/jor.24878"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onlinelibrary.wiley.com/doi/full/10.1002/jor.24878" TargetMode="External"/><Relationship Id="rId28" Type="http://schemas.openxmlformats.org/officeDocument/2006/relationships/hyperlink" Target="https://onlinelibrary.wiley.com/doi/full/10.1002/jor.24878" TargetMode="External"/><Relationship Id="rId49" Type="http://schemas.openxmlformats.org/officeDocument/2006/relationships/hyperlink" Target="https://onlinelibrary.wiley.com/doi/full/10.1002/jor.24878" TargetMode="External"/><Relationship Id="rId114" Type="http://schemas.openxmlformats.org/officeDocument/2006/relationships/hyperlink" Target="https://onlinelibrary.wiley.com/doi/full/10.1002/jor.24878" TargetMode="External"/><Relationship Id="rId119" Type="http://schemas.openxmlformats.org/officeDocument/2006/relationships/hyperlink" Target="https://onlinelibrary.wiley.com/doi/full/10.1002/jor.24878" TargetMode="External"/><Relationship Id="rId44" Type="http://schemas.openxmlformats.org/officeDocument/2006/relationships/hyperlink" Target="https://onlinelibrary.wiley.com/doi/full/10.1002/jor.24878" TargetMode="External"/><Relationship Id="rId60" Type="http://schemas.openxmlformats.org/officeDocument/2006/relationships/hyperlink" Target="https://onlinelibrary.wiley.com/doi/full/10.1002/jor.24878" TargetMode="External"/><Relationship Id="rId65" Type="http://schemas.openxmlformats.org/officeDocument/2006/relationships/hyperlink" Target="https://onlinelibrary.wiley.com/doi/full/10.1002/jor.24878" TargetMode="External"/><Relationship Id="rId81" Type="http://schemas.openxmlformats.org/officeDocument/2006/relationships/hyperlink" Target="https://onlinelibrary.wiley.com/doi/full/10.1002/jor.24878" TargetMode="External"/><Relationship Id="rId86" Type="http://schemas.openxmlformats.org/officeDocument/2006/relationships/hyperlink" Target="https://onlinelibrary.wiley.com/doi/full/10.1002/jor.24878" TargetMode="External"/><Relationship Id="rId13" Type="http://schemas.openxmlformats.org/officeDocument/2006/relationships/hyperlink" Target="https://onlinelibrary.wiley.com/doi/full/10.1002/jor.24878" TargetMode="External"/><Relationship Id="rId18" Type="http://schemas.openxmlformats.org/officeDocument/2006/relationships/hyperlink" Target="https://onlinelibrary.wiley.com/doi/full/10.1002/jor.24878" TargetMode="External"/><Relationship Id="rId39" Type="http://schemas.openxmlformats.org/officeDocument/2006/relationships/hyperlink" Target="https://onlinelibrary.wiley.com/doi/full/10.1002/jor.24878" TargetMode="External"/><Relationship Id="rId109" Type="http://schemas.openxmlformats.org/officeDocument/2006/relationships/hyperlink" Target="https://onlinelibrary.wiley.com/doi/full/10.1002/jor.24878" TargetMode="External"/><Relationship Id="rId34" Type="http://schemas.openxmlformats.org/officeDocument/2006/relationships/hyperlink" Target="https://onlinelibrary.wiley.com/doi/full/10.1002/jor.24878" TargetMode="External"/><Relationship Id="rId50" Type="http://schemas.openxmlformats.org/officeDocument/2006/relationships/hyperlink" Target="https://onlinelibrary.wiley.com/doi/full/10.1002/jor.24878" TargetMode="External"/><Relationship Id="rId55" Type="http://schemas.openxmlformats.org/officeDocument/2006/relationships/hyperlink" Target="https://onlinelibrary.wiley.com/doi/full/10.1002/jor.24878" TargetMode="External"/><Relationship Id="rId76" Type="http://schemas.openxmlformats.org/officeDocument/2006/relationships/hyperlink" Target="https://onlinelibrary.wiley.com/doi/full/10.1002/jor.24878" TargetMode="External"/><Relationship Id="rId97" Type="http://schemas.openxmlformats.org/officeDocument/2006/relationships/hyperlink" Target="https://onlinelibrary.wiley.com/doi/full/10.1002/jor.24878" TargetMode="External"/><Relationship Id="rId104" Type="http://schemas.openxmlformats.org/officeDocument/2006/relationships/hyperlink" Target="https://onlinelibrary.wiley.com/doi/full/10.1002/jor.24878" TargetMode="External"/><Relationship Id="rId120" Type="http://schemas.openxmlformats.org/officeDocument/2006/relationships/hyperlink" Target="https://onlinelibrary.wiley.com/doi/full/10.1002/jor.24878" TargetMode="External"/><Relationship Id="rId125" Type="http://schemas.openxmlformats.org/officeDocument/2006/relationships/hyperlink" Target="https://onlinelibrary.wiley.com/doi/full/10.1002/jor.24878" TargetMode="External"/><Relationship Id="rId7" Type="http://schemas.openxmlformats.org/officeDocument/2006/relationships/webSettings" Target="webSettings.xml"/><Relationship Id="rId71" Type="http://schemas.openxmlformats.org/officeDocument/2006/relationships/hyperlink" Target="https://onlinelibrary.wiley.com/doi/full/10.1002/jor.24878" TargetMode="External"/><Relationship Id="rId92" Type="http://schemas.openxmlformats.org/officeDocument/2006/relationships/hyperlink" Target="https://onlinelibrary.wiley.com/doi/full/10.1002/jor.24878" TargetMode="External"/><Relationship Id="rId2" Type="http://schemas.openxmlformats.org/officeDocument/2006/relationships/customXml" Target="../customXml/item2.xml"/><Relationship Id="rId29" Type="http://schemas.openxmlformats.org/officeDocument/2006/relationships/hyperlink" Target="https://onlinelibrary.wiley.com/doi/full/10.1002/jor.24878" TargetMode="External"/><Relationship Id="rId24" Type="http://schemas.openxmlformats.org/officeDocument/2006/relationships/hyperlink" Target="https://onlinelibrary.wiley.com/doi/full/10.1002/jor.24878" TargetMode="External"/><Relationship Id="rId40" Type="http://schemas.openxmlformats.org/officeDocument/2006/relationships/hyperlink" Target="https://onlinelibrary.wiley.com/doi/full/10.1002/jor.24878" TargetMode="External"/><Relationship Id="rId45" Type="http://schemas.openxmlformats.org/officeDocument/2006/relationships/hyperlink" Target="https://onlinelibrary.wiley.com/doi/full/10.1002/jor.24878" TargetMode="External"/><Relationship Id="rId66" Type="http://schemas.openxmlformats.org/officeDocument/2006/relationships/hyperlink" Target="https://onlinelibrary.wiley.com/doi/full/10.1002/jor.24878" TargetMode="External"/><Relationship Id="rId87" Type="http://schemas.openxmlformats.org/officeDocument/2006/relationships/hyperlink" Target="https://onlinelibrary.wiley.com/doi/full/10.1002/jor.24878" TargetMode="External"/><Relationship Id="rId110" Type="http://schemas.openxmlformats.org/officeDocument/2006/relationships/hyperlink" Target="https://onlinelibrary.wiley.com/doi/full/10.1002/jor.24878" TargetMode="External"/><Relationship Id="rId115" Type="http://schemas.openxmlformats.org/officeDocument/2006/relationships/hyperlink" Target="https://onlinelibrary.wiley.com/doi/full/10.1002/jor.24878" TargetMode="External"/><Relationship Id="rId61" Type="http://schemas.openxmlformats.org/officeDocument/2006/relationships/hyperlink" Target="https://onlinelibrary.wiley.com/doi/full/10.1002/jor.24878" TargetMode="External"/><Relationship Id="rId82" Type="http://schemas.openxmlformats.org/officeDocument/2006/relationships/hyperlink" Target="https://onlinelibrary.wiley.com/doi/full/10.1002/jor.24878" TargetMode="External"/><Relationship Id="rId19" Type="http://schemas.openxmlformats.org/officeDocument/2006/relationships/hyperlink" Target="https://onlinelibrary.wiley.com/doi/full/10.1002/jor.24878" TargetMode="External"/><Relationship Id="rId14" Type="http://schemas.openxmlformats.org/officeDocument/2006/relationships/hyperlink" Target="https://onlinelibrary.wiley.com/doi/full/10.1002/jor.24878" TargetMode="External"/><Relationship Id="rId30" Type="http://schemas.openxmlformats.org/officeDocument/2006/relationships/hyperlink" Target="https://onlinelibrary.wiley.com/doi/full/10.1002/jor.24878" TargetMode="External"/><Relationship Id="rId35" Type="http://schemas.openxmlformats.org/officeDocument/2006/relationships/hyperlink" Target="https://onlinelibrary.wiley.com/doi/full/10.1002/jor.24878" TargetMode="External"/><Relationship Id="rId56" Type="http://schemas.openxmlformats.org/officeDocument/2006/relationships/hyperlink" Target="https://onlinelibrary.wiley.com/doi/full/10.1002/jor.24878" TargetMode="External"/><Relationship Id="rId77" Type="http://schemas.openxmlformats.org/officeDocument/2006/relationships/hyperlink" Target="https://onlinelibrary.wiley.com/doi/full/10.1002/jor.24878" TargetMode="External"/><Relationship Id="rId100" Type="http://schemas.openxmlformats.org/officeDocument/2006/relationships/hyperlink" Target="https://onlinelibrary.wiley.com/doi/full/10.1002/jor.24878" TargetMode="External"/><Relationship Id="rId105" Type="http://schemas.openxmlformats.org/officeDocument/2006/relationships/hyperlink" Target="https://onlinelibrary.wiley.com/doi/full/10.1002/jor.24878" TargetMode="External"/><Relationship Id="rId126" Type="http://schemas.openxmlformats.org/officeDocument/2006/relationships/hyperlink" Target="https://onlinelibrary.wiley.com/doi/full/10.1002/jor.24878" TargetMode="External"/><Relationship Id="rId8" Type="http://schemas.openxmlformats.org/officeDocument/2006/relationships/hyperlink" Target="https://doi.org/10.1002/jor.24878" TargetMode="External"/><Relationship Id="rId51" Type="http://schemas.openxmlformats.org/officeDocument/2006/relationships/hyperlink" Target="https://onlinelibrary.wiley.com/doi/full/10.1002/jor.24878" TargetMode="External"/><Relationship Id="rId72" Type="http://schemas.openxmlformats.org/officeDocument/2006/relationships/hyperlink" Target="https://onlinelibrary.wiley.com/doi/full/10.1002/jor.24878" TargetMode="External"/><Relationship Id="rId93" Type="http://schemas.openxmlformats.org/officeDocument/2006/relationships/hyperlink" Target="https://onlinelibrary.wiley.com/doi/full/10.1002/jor.24878" TargetMode="External"/><Relationship Id="rId98" Type="http://schemas.openxmlformats.org/officeDocument/2006/relationships/hyperlink" Target="https://onlinelibrary.wiley.com/doi/full/10.1002/jor.24878" TargetMode="External"/><Relationship Id="rId121" Type="http://schemas.openxmlformats.org/officeDocument/2006/relationships/hyperlink" Target="https://onlinelibrary.wiley.com/doi/full/10.1002/jor.24878" TargetMode="External"/><Relationship Id="rId3" Type="http://schemas.openxmlformats.org/officeDocument/2006/relationships/customXml" Target="../customXml/item3.xml"/><Relationship Id="rId25" Type="http://schemas.openxmlformats.org/officeDocument/2006/relationships/hyperlink" Target="https://onlinelibrary.wiley.com/doi/full/10.1002/jor.24878" TargetMode="External"/><Relationship Id="rId46" Type="http://schemas.openxmlformats.org/officeDocument/2006/relationships/hyperlink" Target="https://onlinelibrary.wiley.com/doi/full/10.1002/jor.24878" TargetMode="External"/><Relationship Id="rId67" Type="http://schemas.openxmlformats.org/officeDocument/2006/relationships/hyperlink" Target="https://onlinelibrary.wiley.com/doi/full/10.1002/jor.24878" TargetMode="External"/><Relationship Id="rId116" Type="http://schemas.openxmlformats.org/officeDocument/2006/relationships/hyperlink" Target="https://onlinelibrary.wiley.com/doi/full/10.1002/jor.24878" TargetMode="External"/><Relationship Id="rId20" Type="http://schemas.openxmlformats.org/officeDocument/2006/relationships/hyperlink" Target="https://onlinelibrary.wiley.com/doi/full/10.1002/jor.24878" TargetMode="External"/><Relationship Id="rId41" Type="http://schemas.openxmlformats.org/officeDocument/2006/relationships/hyperlink" Target="https://onlinelibrary.wiley.com/doi/full/10.1002/jor.24878" TargetMode="External"/><Relationship Id="rId62" Type="http://schemas.openxmlformats.org/officeDocument/2006/relationships/hyperlink" Target="https://onlinelibrary.wiley.com/cms/asset/07113a41-0642-47cd-939e-e8f35b351594/jor24878-fig-0001-m.jpg" TargetMode="External"/><Relationship Id="rId83" Type="http://schemas.openxmlformats.org/officeDocument/2006/relationships/hyperlink" Target="https://onlinelibrary.wiley.com/doi/full/10.1002/jor.24878" TargetMode="External"/><Relationship Id="rId88" Type="http://schemas.openxmlformats.org/officeDocument/2006/relationships/hyperlink" Target="https://onlinelibrary.wiley.com/doi/full/10.1002/jor.24878" TargetMode="External"/><Relationship Id="rId111" Type="http://schemas.openxmlformats.org/officeDocument/2006/relationships/hyperlink" Target="https://onlinelibrary.wiley.com/doi/full/10.1002/jor.24878" TargetMode="External"/><Relationship Id="rId15" Type="http://schemas.openxmlformats.org/officeDocument/2006/relationships/hyperlink" Target="https://onlinelibrary.wiley.com/doi/full/10.1002/jor.24878" TargetMode="External"/><Relationship Id="rId36" Type="http://schemas.openxmlformats.org/officeDocument/2006/relationships/hyperlink" Target="https://onlinelibrary.wiley.com/doi/full/10.1002/jor.24878" TargetMode="External"/><Relationship Id="rId57" Type="http://schemas.openxmlformats.org/officeDocument/2006/relationships/hyperlink" Target="https://onlinelibrary.wiley.com/doi/full/10.1002/jor.24878" TargetMode="External"/><Relationship Id="rId106" Type="http://schemas.openxmlformats.org/officeDocument/2006/relationships/hyperlink" Target="https://onlinelibrary.wiley.com/doi/full/10.1002/jor.24878" TargetMode="External"/><Relationship Id="rId127" Type="http://schemas.openxmlformats.org/officeDocument/2006/relationships/fontTable" Target="fontTable.xml"/><Relationship Id="rId10" Type="http://schemas.openxmlformats.org/officeDocument/2006/relationships/hyperlink" Target="https://onlinelibrary.wiley.com/doi/full/10.1002/jor.24878" TargetMode="External"/><Relationship Id="rId31" Type="http://schemas.openxmlformats.org/officeDocument/2006/relationships/hyperlink" Target="https://onlinelibrary.wiley.com/doi/full/10.1002/jor.24878" TargetMode="External"/><Relationship Id="rId52" Type="http://schemas.openxmlformats.org/officeDocument/2006/relationships/hyperlink" Target="https://onlinelibrary.wiley.com/doi/full/10.1002/jor.24878" TargetMode="External"/><Relationship Id="rId73" Type="http://schemas.openxmlformats.org/officeDocument/2006/relationships/hyperlink" Target="https://onlinelibrary.wiley.com/doi/full/10.1002/jor.24878" TargetMode="External"/><Relationship Id="rId78" Type="http://schemas.openxmlformats.org/officeDocument/2006/relationships/hyperlink" Target="https://onlinelibrary.wiley.com/doi/full/10.1002/jor.24878" TargetMode="External"/><Relationship Id="rId94" Type="http://schemas.openxmlformats.org/officeDocument/2006/relationships/hyperlink" Target="https://onlinelibrary.wiley.com/doi/full/10.1002/jor.24878" TargetMode="External"/><Relationship Id="rId99" Type="http://schemas.openxmlformats.org/officeDocument/2006/relationships/hyperlink" Target="https://onlinelibrary.wiley.com/doi/full/10.1002/jor.24878" TargetMode="External"/><Relationship Id="rId101" Type="http://schemas.openxmlformats.org/officeDocument/2006/relationships/hyperlink" Target="https://onlinelibrary.wiley.com/doi/full/10.1002/jor.24878" TargetMode="External"/><Relationship Id="rId122" Type="http://schemas.openxmlformats.org/officeDocument/2006/relationships/hyperlink" Target="https://onlinelibrary.wiley.com/doi/full/10.1002/jor.24878"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14</Pages>
  <Words>8923</Words>
  <Characters>50867</Characters>
  <Application>Microsoft Office Word</Application>
  <DocSecurity>8</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24</cp:revision>
  <dcterms:created xsi:type="dcterms:W3CDTF">2022-03-23T15:54:00Z</dcterms:created>
  <dcterms:modified xsi:type="dcterms:W3CDTF">2022-08-09T14:24:00Z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