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5ED39DE" w:rsidR="000A7622" w:rsidRPr="00C04F25" w:rsidRDefault="0039343F" w:rsidP="00D14423">
      <w:pPr>
        <w:autoSpaceDE w:val="0"/>
        <w:autoSpaceDN w:val="0"/>
        <w:adjustRightInd w:val="0"/>
        <w:rPr>
          <w:rFonts w:cstheme="minorHAnsi"/>
          <w:b/>
          <w:bCs/>
          <w:i/>
          <w:iCs/>
          <w:sz w:val="32"/>
          <w:szCs w:val="32"/>
        </w:rPr>
      </w:pPr>
      <w:r>
        <w:rPr>
          <w:rFonts w:cstheme="minorHAnsi"/>
          <w:b/>
          <w:bCs/>
          <w:i/>
          <w:iCs/>
          <w:sz w:val="32"/>
          <w:szCs w:val="32"/>
        </w:rPr>
        <w:t xml:space="preserve">Physical Therapy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sidR="00D94A04">
        <w:rPr>
          <w:rFonts w:cstheme="minorHAnsi"/>
          <w:b/>
          <w:bCs/>
          <w:i/>
          <w:iCs/>
          <w:sz w:val="32"/>
          <w:szCs w:val="32"/>
        </w:rPr>
        <w:t>Health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50DB8278" w:rsidR="000A7622" w:rsidRPr="00C04F25" w:rsidRDefault="00644461" w:rsidP="00D14423">
      <w:pPr>
        <w:rPr>
          <w:rFonts w:cstheme="minorHAnsi"/>
          <w:sz w:val="24"/>
          <w:szCs w:val="24"/>
        </w:rPr>
      </w:pPr>
      <w:r>
        <w:rPr>
          <w:rFonts w:cstheme="minorHAnsi"/>
          <w:i/>
          <w:sz w:val="24"/>
          <w:szCs w:val="24"/>
          <w:lang w:val="fr-FR"/>
        </w:rPr>
        <w:t>Journal of Hospital Medicine</w:t>
      </w:r>
      <w:r w:rsidR="000A7622" w:rsidRPr="00C04F25">
        <w:rPr>
          <w:rFonts w:cstheme="minorHAnsi"/>
          <w:sz w:val="24"/>
          <w:szCs w:val="24"/>
          <w:lang w:val="fr-FR"/>
        </w:rPr>
        <w:t xml:space="preserve">, Vol. </w:t>
      </w:r>
      <w:r>
        <w:rPr>
          <w:rFonts w:cstheme="minorHAnsi"/>
          <w:sz w:val="24"/>
          <w:szCs w:val="24"/>
          <w:lang w:val="fr-FR"/>
        </w:rPr>
        <w:t>17</w:t>
      </w:r>
      <w:r w:rsidR="00E5631F">
        <w:rPr>
          <w:rFonts w:cstheme="minorHAnsi"/>
          <w:sz w:val="24"/>
          <w:szCs w:val="24"/>
          <w:lang w:val="fr-FR"/>
        </w:rPr>
        <w:t>, No.</w:t>
      </w:r>
      <w:r w:rsidR="00DE29DC">
        <w:rPr>
          <w:rFonts w:cstheme="minorHAnsi"/>
          <w:sz w:val="24"/>
          <w:szCs w:val="24"/>
          <w:lang w:val="fr-FR"/>
        </w:rPr>
        <w:t xml:space="preserve"> 2</w:t>
      </w:r>
      <w:r w:rsidR="000A7622" w:rsidRPr="00C04F25">
        <w:rPr>
          <w:rFonts w:cstheme="minorHAnsi"/>
          <w:sz w:val="24"/>
          <w:szCs w:val="24"/>
          <w:lang w:val="fr-FR"/>
        </w:rPr>
        <w:t xml:space="preserve"> (</w:t>
      </w:r>
      <w:proofErr w:type="spellStart"/>
      <w:r w:rsidR="00DE29DC">
        <w:rPr>
          <w:rFonts w:cstheme="minorHAnsi"/>
          <w:sz w:val="24"/>
          <w:szCs w:val="24"/>
          <w:lang w:val="fr-FR"/>
        </w:rPr>
        <w:t>February</w:t>
      </w:r>
      <w:proofErr w:type="spellEnd"/>
      <w:r w:rsidR="00DE29DC">
        <w:rPr>
          <w:rFonts w:cstheme="minorHAnsi"/>
          <w:sz w:val="24"/>
          <w:szCs w:val="24"/>
          <w:lang w:val="fr-FR"/>
        </w:rPr>
        <w:t xml:space="preserve"> </w:t>
      </w:r>
      <w:r>
        <w:rPr>
          <w:rFonts w:cstheme="minorHAnsi"/>
          <w:sz w:val="24"/>
          <w:szCs w:val="24"/>
          <w:lang w:val="fr-FR"/>
        </w:rPr>
        <w:t>2022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88</w:t>
      </w:r>
      <w:r w:rsidR="000A7622" w:rsidRPr="00C04F25">
        <w:rPr>
          <w:rFonts w:cstheme="minorHAnsi"/>
          <w:sz w:val="24"/>
          <w:szCs w:val="24"/>
          <w:lang w:val="fr-FR"/>
        </w:rPr>
        <w:t>-</w:t>
      </w:r>
      <w:r>
        <w:rPr>
          <w:rFonts w:cstheme="minorHAnsi"/>
          <w:sz w:val="24"/>
          <w:szCs w:val="24"/>
          <w:lang w:val="fr-FR"/>
        </w:rPr>
        <w:t>95</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Society of Hospital Medicine</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Pr>
          <w:rFonts w:cstheme="minorHAnsi"/>
          <w:sz w:val="24"/>
          <w:szCs w:val="24"/>
        </w:rPr>
        <w:t>Society of Hospital Medicine</w:t>
      </w:r>
      <w:r w:rsidR="000A7622" w:rsidRPr="00C04F25">
        <w:rPr>
          <w:rFonts w:cstheme="minorHAnsi"/>
          <w:sz w:val="24"/>
          <w:szCs w:val="24"/>
        </w:rPr>
        <w:t xml:space="preserve"> does not grant permission for this article to be further copied/distributed or hosted elsewhere without the express permission from </w:t>
      </w:r>
      <w:r>
        <w:rPr>
          <w:rFonts w:cstheme="minorHAnsi"/>
          <w:sz w:val="24"/>
          <w:szCs w:val="24"/>
        </w:rPr>
        <w:t>Society of Hospital Medicine.</w:t>
      </w:r>
    </w:p>
    <w:bookmarkEnd w:id="1"/>
    <w:p w14:paraId="5BC0075B" w14:textId="3E066754" w:rsidR="000A7622" w:rsidRDefault="000A7622" w:rsidP="00512E92">
      <w:pPr>
        <w:pStyle w:val="Title"/>
      </w:pPr>
    </w:p>
    <w:p w14:paraId="16B6CE2C" w14:textId="1A4C121A" w:rsidR="00414591" w:rsidRDefault="00512E92" w:rsidP="00512E92">
      <w:pPr>
        <w:pStyle w:val="Title"/>
      </w:pPr>
      <w:r w:rsidRPr="00512E92">
        <w:t>Disparities in the Allocation of Inpatient Physical and Occupational Therapy Services for Patients with COVID-19</w:t>
      </w:r>
    </w:p>
    <w:p w14:paraId="759129BC" w14:textId="77777777" w:rsidR="00D94A04" w:rsidRDefault="00D94A04" w:rsidP="00512E92"/>
    <w:p w14:paraId="39548518" w14:textId="79D8C844" w:rsidR="002C299B" w:rsidRPr="005D0C79" w:rsidRDefault="00746B3B" w:rsidP="005D0C79">
      <w:pPr>
        <w:pStyle w:val="NoSpacing"/>
        <w:rPr>
          <w:sz w:val="32"/>
          <w:szCs w:val="32"/>
        </w:rPr>
      </w:pPr>
      <w:r w:rsidRPr="005D0C79">
        <w:rPr>
          <w:sz w:val="32"/>
          <w:szCs w:val="32"/>
        </w:rPr>
        <w:t>Sarah Jolley</w:t>
      </w:r>
    </w:p>
    <w:p w14:paraId="048F8265" w14:textId="4C856787" w:rsidR="002C299B" w:rsidRPr="005D0C79" w:rsidRDefault="00B56E6D" w:rsidP="005D0C79">
      <w:pPr>
        <w:pStyle w:val="NoSpacing"/>
        <w:rPr>
          <w:sz w:val="24"/>
          <w:szCs w:val="24"/>
        </w:rPr>
      </w:pPr>
      <w:r w:rsidRPr="005D0C79">
        <w:rPr>
          <w:sz w:val="24"/>
          <w:szCs w:val="24"/>
        </w:rPr>
        <w:t>Division of Pulmonary and Critical Care Medicine, Aurora, Colardo</w:t>
      </w:r>
    </w:p>
    <w:p w14:paraId="1A4222D1" w14:textId="4B58F0CD" w:rsidR="002C299B" w:rsidRPr="005D0C79" w:rsidRDefault="00746B3B" w:rsidP="005D0C79">
      <w:pPr>
        <w:pStyle w:val="NoSpacing"/>
        <w:rPr>
          <w:sz w:val="32"/>
          <w:szCs w:val="32"/>
        </w:rPr>
      </w:pPr>
      <w:r w:rsidRPr="005D0C79">
        <w:rPr>
          <w:sz w:val="32"/>
          <w:szCs w:val="32"/>
        </w:rPr>
        <w:t>Amy Nordon-Craft</w:t>
      </w:r>
    </w:p>
    <w:p w14:paraId="512C8C1B" w14:textId="341AECA4" w:rsidR="002C299B" w:rsidRPr="005D0C79" w:rsidRDefault="00B56E6D" w:rsidP="005D0C79">
      <w:pPr>
        <w:pStyle w:val="NoSpacing"/>
        <w:rPr>
          <w:sz w:val="24"/>
          <w:szCs w:val="24"/>
        </w:rPr>
      </w:pPr>
      <w:r w:rsidRPr="005D0C79">
        <w:rPr>
          <w:sz w:val="24"/>
          <w:szCs w:val="24"/>
        </w:rPr>
        <w:t>Physical Therapy Program, Department of Physical Medicine and Rehabilitation, Aurora, Colorado</w:t>
      </w:r>
    </w:p>
    <w:p w14:paraId="0957240B" w14:textId="7072D53F" w:rsidR="002C299B" w:rsidRPr="005D0C79" w:rsidRDefault="00746B3B" w:rsidP="005D0C79">
      <w:pPr>
        <w:pStyle w:val="NoSpacing"/>
        <w:rPr>
          <w:sz w:val="32"/>
          <w:szCs w:val="32"/>
        </w:rPr>
      </w:pPr>
      <w:r w:rsidRPr="005D0C79">
        <w:rPr>
          <w:sz w:val="32"/>
          <w:szCs w:val="32"/>
        </w:rPr>
        <w:t>Melissa P. Wilson</w:t>
      </w:r>
    </w:p>
    <w:p w14:paraId="1967B72A" w14:textId="02F0C4C7" w:rsidR="002C299B" w:rsidRPr="005D0C79" w:rsidRDefault="00D63BEC" w:rsidP="005D0C79">
      <w:pPr>
        <w:pStyle w:val="NoSpacing"/>
        <w:rPr>
          <w:sz w:val="24"/>
          <w:szCs w:val="24"/>
        </w:rPr>
      </w:pPr>
      <w:r w:rsidRPr="005D0C79">
        <w:rPr>
          <w:sz w:val="24"/>
          <w:szCs w:val="24"/>
        </w:rPr>
        <w:t>Division of Bioinformatics and Personalized Medicine, Aurora, Colorado</w:t>
      </w:r>
    </w:p>
    <w:p w14:paraId="5132E89F" w14:textId="215916D1" w:rsidR="002C299B" w:rsidRPr="005D0C79" w:rsidRDefault="00746B3B" w:rsidP="005D0C79">
      <w:pPr>
        <w:pStyle w:val="NoSpacing"/>
        <w:rPr>
          <w:sz w:val="32"/>
          <w:szCs w:val="32"/>
        </w:rPr>
      </w:pPr>
      <w:r w:rsidRPr="005D0C79">
        <w:rPr>
          <w:sz w:val="32"/>
          <w:szCs w:val="32"/>
        </w:rPr>
        <w:t>Kyle Ridgeway</w:t>
      </w:r>
    </w:p>
    <w:p w14:paraId="1EF65AFC" w14:textId="1B7B6BD5" w:rsidR="00D63BEC" w:rsidRPr="005D0C79" w:rsidRDefault="00D63BEC" w:rsidP="005D0C79">
      <w:pPr>
        <w:pStyle w:val="NoSpacing"/>
        <w:rPr>
          <w:sz w:val="24"/>
          <w:szCs w:val="24"/>
        </w:rPr>
      </w:pPr>
      <w:r w:rsidRPr="005D0C79">
        <w:rPr>
          <w:sz w:val="24"/>
          <w:szCs w:val="24"/>
        </w:rPr>
        <w:t>Physical Therapy Program, Department of Physical Medicine and Rehabilitation, Aurora, Colorado</w:t>
      </w:r>
    </w:p>
    <w:p w14:paraId="59A98C7E" w14:textId="0F792576" w:rsidR="002C299B" w:rsidRPr="005D0C79" w:rsidRDefault="00D63BEC" w:rsidP="005D0C79">
      <w:pPr>
        <w:pStyle w:val="NoSpacing"/>
        <w:rPr>
          <w:sz w:val="24"/>
          <w:szCs w:val="24"/>
        </w:rPr>
      </w:pPr>
      <w:r w:rsidRPr="005D0C79">
        <w:rPr>
          <w:sz w:val="24"/>
          <w:szCs w:val="24"/>
        </w:rPr>
        <w:t>Inpatient Rehabilitation Therapy Department, University of Colorado Hospital, Aurora, Colorado</w:t>
      </w:r>
    </w:p>
    <w:p w14:paraId="3391A091" w14:textId="1D6455DA" w:rsidR="002C299B" w:rsidRPr="005D0C79" w:rsidRDefault="00746B3B" w:rsidP="005D0C79">
      <w:pPr>
        <w:pStyle w:val="NoSpacing"/>
        <w:rPr>
          <w:sz w:val="32"/>
          <w:szCs w:val="32"/>
        </w:rPr>
      </w:pPr>
      <w:r w:rsidRPr="005D0C79">
        <w:rPr>
          <w:sz w:val="32"/>
          <w:szCs w:val="32"/>
        </w:rPr>
        <w:t>Michelle R. Rauzi</w:t>
      </w:r>
    </w:p>
    <w:p w14:paraId="79A337AC" w14:textId="76C44917" w:rsidR="002C299B" w:rsidRPr="005D0C79" w:rsidRDefault="005606BF" w:rsidP="005D0C79">
      <w:pPr>
        <w:pStyle w:val="NoSpacing"/>
        <w:rPr>
          <w:sz w:val="24"/>
          <w:szCs w:val="24"/>
        </w:rPr>
      </w:pPr>
      <w:r w:rsidRPr="005D0C79">
        <w:rPr>
          <w:sz w:val="24"/>
          <w:szCs w:val="24"/>
        </w:rPr>
        <w:t>Physical Therapy Program, Department of Physical Medicine and Rehabilitation, Aurora, Colorado</w:t>
      </w:r>
    </w:p>
    <w:p w14:paraId="43A74B95" w14:textId="28B778C7" w:rsidR="002C299B" w:rsidRPr="005D0C79" w:rsidRDefault="00746B3B" w:rsidP="005D0C79">
      <w:pPr>
        <w:pStyle w:val="NoSpacing"/>
        <w:rPr>
          <w:sz w:val="32"/>
          <w:szCs w:val="32"/>
        </w:rPr>
      </w:pPr>
      <w:r w:rsidRPr="005D0C79">
        <w:rPr>
          <w:sz w:val="32"/>
          <w:szCs w:val="32"/>
        </w:rPr>
        <w:t>Jacob Capin</w:t>
      </w:r>
    </w:p>
    <w:p w14:paraId="366716CA" w14:textId="5B4E89B8" w:rsidR="005606BF" w:rsidRPr="005D0C79" w:rsidRDefault="005606BF" w:rsidP="005D0C79">
      <w:pPr>
        <w:pStyle w:val="NoSpacing"/>
        <w:rPr>
          <w:sz w:val="24"/>
          <w:szCs w:val="24"/>
        </w:rPr>
      </w:pPr>
      <w:r w:rsidRPr="005D0C79">
        <w:rPr>
          <w:sz w:val="24"/>
          <w:szCs w:val="24"/>
        </w:rPr>
        <w:lastRenderedPageBreak/>
        <w:t>Physical Therapy Program, Department of Physical Medicine and Rehabilitation, Aurora, Colorado</w:t>
      </w:r>
    </w:p>
    <w:p w14:paraId="430772CB" w14:textId="2BE20565" w:rsidR="002C299B" w:rsidRPr="005D0C79" w:rsidRDefault="005606BF" w:rsidP="005D0C79">
      <w:pPr>
        <w:pStyle w:val="NoSpacing"/>
        <w:rPr>
          <w:sz w:val="24"/>
          <w:szCs w:val="24"/>
        </w:rPr>
      </w:pPr>
      <w:r w:rsidRPr="005D0C79">
        <w:rPr>
          <w:sz w:val="24"/>
          <w:szCs w:val="24"/>
        </w:rPr>
        <w:t>Eastern Colorado VA Geriatric Research Education and Clinical Center (GRECC), Aurora, Colorado</w:t>
      </w:r>
    </w:p>
    <w:p w14:paraId="16A2A212" w14:textId="62F68D74" w:rsidR="002C299B" w:rsidRPr="005D0C79" w:rsidRDefault="00746B3B" w:rsidP="005D0C79">
      <w:pPr>
        <w:pStyle w:val="NoSpacing"/>
        <w:rPr>
          <w:sz w:val="32"/>
          <w:szCs w:val="32"/>
        </w:rPr>
      </w:pPr>
      <w:r w:rsidRPr="005D0C79">
        <w:rPr>
          <w:sz w:val="32"/>
          <w:szCs w:val="32"/>
        </w:rPr>
        <w:t>Lauren M. Heery</w:t>
      </w:r>
    </w:p>
    <w:p w14:paraId="6D095726" w14:textId="0F18C9CB" w:rsidR="002C299B" w:rsidRPr="005D0C79" w:rsidRDefault="00647250" w:rsidP="005D0C79">
      <w:pPr>
        <w:pStyle w:val="NoSpacing"/>
        <w:rPr>
          <w:sz w:val="24"/>
          <w:szCs w:val="24"/>
        </w:rPr>
      </w:pPr>
      <w:r w:rsidRPr="005D0C79">
        <w:rPr>
          <w:sz w:val="24"/>
          <w:szCs w:val="24"/>
        </w:rPr>
        <w:t>University of Colorado School of Medicine, Aurora, Colorado</w:t>
      </w:r>
    </w:p>
    <w:p w14:paraId="21B758C5" w14:textId="130FDAAF" w:rsidR="002C299B" w:rsidRPr="005D0C79" w:rsidRDefault="00746B3B" w:rsidP="005D0C79">
      <w:pPr>
        <w:pStyle w:val="NoSpacing"/>
        <w:rPr>
          <w:sz w:val="32"/>
          <w:szCs w:val="32"/>
        </w:rPr>
      </w:pPr>
      <w:r w:rsidRPr="005D0C79">
        <w:rPr>
          <w:sz w:val="32"/>
          <w:szCs w:val="32"/>
        </w:rPr>
        <w:t>Jennifer Stevens-Lapsley</w:t>
      </w:r>
    </w:p>
    <w:p w14:paraId="210DFFF2" w14:textId="573D982C" w:rsidR="00647250" w:rsidRPr="005D0C79" w:rsidRDefault="00647250" w:rsidP="005D0C79">
      <w:pPr>
        <w:pStyle w:val="NoSpacing"/>
        <w:rPr>
          <w:sz w:val="24"/>
          <w:szCs w:val="24"/>
        </w:rPr>
      </w:pPr>
      <w:r w:rsidRPr="005D0C79">
        <w:rPr>
          <w:sz w:val="24"/>
          <w:szCs w:val="24"/>
        </w:rPr>
        <w:t>Eastern Colorado VA Geriatric Research Education and Clinical Center (GRECC), Aurora, Colorado, USA</w:t>
      </w:r>
    </w:p>
    <w:p w14:paraId="3C2E9481" w14:textId="3120BD28" w:rsidR="002C299B" w:rsidRPr="005D0C79" w:rsidRDefault="00647250" w:rsidP="005D0C79">
      <w:pPr>
        <w:pStyle w:val="NoSpacing"/>
        <w:rPr>
          <w:sz w:val="24"/>
          <w:szCs w:val="24"/>
        </w:rPr>
      </w:pPr>
      <w:r w:rsidRPr="005D0C79">
        <w:rPr>
          <w:sz w:val="24"/>
          <w:szCs w:val="24"/>
        </w:rPr>
        <w:t>Division of Infectious Diseases, University of Colorado, Aurora, Colorado</w:t>
      </w:r>
    </w:p>
    <w:p w14:paraId="23601557" w14:textId="5BDABA79" w:rsidR="00D94A04" w:rsidRPr="005D0C79" w:rsidRDefault="00746B3B" w:rsidP="005D0C79">
      <w:pPr>
        <w:pStyle w:val="NoSpacing"/>
        <w:rPr>
          <w:sz w:val="32"/>
          <w:szCs w:val="32"/>
        </w:rPr>
      </w:pPr>
      <w:r w:rsidRPr="005D0C79">
        <w:rPr>
          <w:sz w:val="32"/>
          <w:szCs w:val="32"/>
        </w:rPr>
        <w:t>Kristine M. Erlandson</w:t>
      </w:r>
    </w:p>
    <w:p w14:paraId="430D905A" w14:textId="3CBE6030" w:rsidR="00512E92" w:rsidRPr="005D0C79" w:rsidRDefault="005D0C79" w:rsidP="005D0C79">
      <w:pPr>
        <w:pStyle w:val="NoSpacing"/>
        <w:rPr>
          <w:sz w:val="24"/>
          <w:szCs w:val="24"/>
        </w:rPr>
      </w:pPr>
      <w:r w:rsidRPr="005D0C79">
        <w:rPr>
          <w:sz w:val="24"/>
          <w:szCs w:val="24"/>
        </w:rPr>
        <w:t>Division of Infectious Diseases, University of Colorado, Aurora, Colorado</w:t>
      </w:r>
    </w:p>
    <w:p w14:paraId="3644D3BC" w14:textId="77777777" w:rsidR="00746B3B" w:rsidRDefault="00746B3B" w:rsidP="00512E92"/>
    <w:p w14:paraId="09ABE7A9" w14:textId="77777777" w:rsidR="00512E92" w:rsidRPr="00512E92" w:rsidRDefault="00512E92" w:rsidP="005D0C79">
      <w:pPr>
        <w:pStyle w:val="Heading1"/>
      </w:pPr>
      <w:r w:rsidRPr="00512E92">
        <w:t>Abstract</w:t>
      </w:r>
    </w:p>
    <w:p w14:paraId="22E2EBB1" w14:textId="77777777" w:rsidR="00512E92" w:rsidRPr="00512E92" w:rsidRDefault="00512E92" w:rsidP="005D0C79">
      <w:pPr>
        <w:pStyle w:val="Heading2"/>
      </w:pPr>
      <w:r w:rsidRPr="00512E92">
        <w:t>Background</w:t>
      </w:r>
    </w:p>
    <w:p w14:paraId="7678A45A" w14:textId="77777777" w:rsidR="00512E92" w:rsidRPr="00512E92" w:rsidRDefault="00512E92" w:rsidP="00512E92">
      <w:r w:rsidRPr="00512E92">
        <w:t>Survivors of the novel coronavirus (COVID-19) experience significant morbidity with reduced physical function and impairments in activities of daily living. The use of in-hospital rehabilitation therapy may reduce long-term impairments.</w:t>
      </w:r>
    </w:p>
    <w:p w14:paraId="0D45F7FD" w14:textId="77777777" w:rsidR="00512E92" w:rsidRPr="00512E92" w:rsidRDefault="00512E92" w:rsidP="005D0C79">
      <w:pPr>
        <w:pStyle w:val="Heading2"/>
      </w:pPr>
      <w:r w:rsidRPr="00512E92">
        <w:t>Objective</w:t>
      </w:r>
    </w:p>
    <w:p w14:paraId="50475457" w14:textId="77777777" w:rsidR="00512E92" w:rsidRPr="00512E92" w:rsidRDefault="00512E92" w:rsidP="00512E92">
      <w:r w:rsidRPr="00512E92">
        <w:t>To determine the frequency of therapy referral and treatment amongst hospitalized COVID-19 patients, assess for disparities in referral and receipt of therapy, and identify potentially modifiable factors contributing to disparities in therapy allocation.</w:t>
      </w:r>
    </w:p>
    <w:p w14:paraId="5B7B669E" w14:textId="77777777" w:rsidR="00512E92" w:rsidRPr="00512E92" w:rsidRDefault="00512E92" w:rsidP="005D0C79">
      <w:pPr>
        <w:pStyle w:val="Heading2"/>
      </w:pPr>
      <w:r w:rsidRPr="00512E92">
        <w:t>Design, Setting and Participants</w:t>
      </w:r>
    </w:p>
    <w:p w14:paraId="281CB383" w14:textId="77777777" w:rsidR="00512E92" w:rsidRPr="00512E92" w:rsidRDefault="00512E92" w:rsidP="00512E92">
      <w:r w:rsidRPr="00512E92">
        <w:t>Retrospective cohort study using data collected from the University of Colorado Health Data Compass data warehouse assessing therapy referral rates and estimated delivery based on available administrative billing.</w:t>
      </w:r>
    </w:p>
    <w:p w14:paraId="701F6295" w14:textId="77777777" w:rsidR="00512E92" w:rsidRPr="00512E92" w:rsidRDefault="00512E92" w:rsidP="005D0C79">
      <w:pPr>
        <w:pStyle w:val="Heading2"/>
      </w:pPr>
      <w:r w:rsidRPr="00512E92">
        <w:t>Measurements</w:t>
      </w:r>
    </w:p>
    <w:p w14:paraId="7F15DE98" w14:textId="77777777" w:rsidR="00512E92" w:rsidRPr="00512E92" w:rsidRDefault="00512E92" w:rsidP="00512E92">
      <w:r w:rsidRPr="00512E92">
        <w:t>Multivariable logistic regression was used to determine the association between sex and/or underrepresented minority race with therapy referral or delivery.</w:t>
      </w:r>
    </w:p>
    <w:p w14:paraId="05095FCA" w14:textId="77777777" w:rsidR="00512E92" w:rsidRPr="00512E92" w:rsidRDefault="00512E92" w:rsidP="005D0C79">
      <w:pPr>
        <w:pStyle w:val="Heading2"/>
      </w:pPr>
      <w:r w:rsidRPr="00512E92">
        <w:t>Results</w:t>
      </w:r>
    </w:p>
    <w:p w14:paraId="53AC7184" w14:textId="77777777" w:rsidR="00512E92" w:rsidRPr="00512E92" w:rsidRDefault="00512E92" w:rsidP="00512E92">
      <w:r w:rsidRPr="00512E92">
        <w:t>Amongst 6239 COVID-19-related hospitalization, a therapy referral was present in 3952 patients (51.9%). Hispanic ethnicity was independently associated with lower odds of receipt of therapy referral (adjusted OR [aOR]: 0.78, 95% confidence interval [CI]: 0.67–0.93, </w:t>
      </w:r>
      <w:r w:rsidRPr="00512E92">
        <w:rPr>
          <w:i/>
          <w:iCs/>
        </w:rPr>
        <w:t>p </w:t>
      </w:r>
      <w:r w:rsidRPr="00512E92">
        <w:t>= .001). Advanced age (aOR: 1.53, 95% CI: 1.46–1.62, </w:t>
      </w:r>
      <w:r w:rsidRPr="00512E92">
        <w:rPr>
          <w:i/>
          <w:iCs/>
        </w:rPr>
        <w:t>p</w:t>
      </w:r>
      <w:r w:rsidRPr="00512E92">
        <w:t> &lt; .001), greater COVID illness severity (aOR for intensive care unit admission: 1.63, 95% CI: 1.37–1.94, </w:t>
      </w:r>
      <w:r w:rsidRPr="00512E92">
        <w:rPr>
          <w:i/>
          <w:iCs/>
        </w:rPr>
        <w:t>p</w:t>
      </w:r>
      <w:r w:rsidRPr="00512E92">
        <w:t> &lt; .01) and hospital stay (aOR: 1.14, 95% CI: 1.12–1.15, </w:t>
      </w:r>
      <w:r w:rsidRPr="00512E92">
        <w:rPr>
          <w:i/>
          <w:iCs/>
        </w:rPr>
        <w:t>p</w:t>
      </w:r>
      <w:r w:rsidRPr="00512E92">
        <w:t> &lt; .01) were positively associated with referral.</w:t>
      </w:r>
    </w:p>
    <w:p w14:paraId="198BCA71" w14:textId="77777777" w:rsidR="00512E92" w:rsidRPr="00512E92" w:rsidRDefault="00512E92" w:rsidP="005D0C79">
      <w:pPr>
        <w:pStyle w:val="Heading2"/>
      </w:pPr>
      <w:r w:rsidRPr="00512E92">
        <w:t>Conclusions and Relevance</w:t>
      </w:r>
    </w:p>
    <w:p w14:paraId="22E223B3" w14:textId="77777777" w:rsidR="00512E92" w:rsidRPr="00512E92" w:rsidRDefault="00512E92" w:rsidP="00512E92">
      <w:r w:rsidRPr="00512E92">
        <w:t>In a cohort of patients hospitalized for COVID-19 across a multicenter healthcare system, we found that referral rates and delivery of physical therapy and/or occupational therapy sessions were significantly reduced for patients of Hispanic identity compared with patients of non-Hispanic, Caucasian identity after adjustment for potential confounding by available demographic and illness severity variables.</w:t>
      </w:r>
    </w:p>
    <w:p w14:paraId="58804AEA" w14:textId="77777777" w:rsidR="00512E92" w:rsidRPr="00512E92" w:rsidRDefault="00512E92" w:rsidP="005D0C79">
      <w:pPr>
        <w:pStyle w:val="Heading1"/>
      </w:pPr>
      <w:r w:rsidRPr="00512E92">
        <w:t>BACKGROUND</w:t>
      </w:r>
    </w:p>
    <w:p w14:paraId="4CC6D863" w14:textId="7160140E" w:rsidR="00512E92" w:rsidRPr="00512E92" w:rsidRDefault="00512E92" w:rsidP="00512E92">
      <w:r w:rsidRPr="00512E92">
        <w:t>Individuals who are hospitalized are at high risk for new functional dependency after hospitalization.</w:t>
      </w:r>
      <w:r w:rsidRPr="00E5631F">
        <w:rPr>
          <w:vertAlign w:val="superscript"/>
        </w:rPr>
        <w:t>1</w:t>
      </w:r>
      <w:r w:rsidRPr="00512E92">
        <w:rPr>
          <w:vertAlign w:val="superscript"/>
        </w:rPr>
        <w:t>, </w:t>
      </w:r>
      <w:r w:rsidRPr="00E5631F">
        <w:rPr>
          <w:vertAlign w:val="superscript"/>
        </w:rPr>
        <w:t>2</w:t>
      </w:r>
      <w:r w:rsidRPr="00512E92">
        <w:t> Patients who are hospitalized experience significant long-term physical, cognitive, psychological, and functional impairments.</w:t>
      </w:r>
      <w:r w:rsidRPr="00E5631F">
        <w:rPr>
          <w:vertAlign w:val="superscript"/>
        </w:rPr>
        <w:t>3</w:t>
      </w:r>
      <w:r w:rsidRPr="00512E92">
        <w:rPr>
          <w:vertAlign w:val="superscript"/>
        </w:rPr>
        <w:t>-</w:t>
      </w:r>
      <w:r w:rsidRPr="00E5631F">
        <w:rPr>
          <w:vertAlign w:val="superscript"/>
        </w:rPr>
        <w:t>5</w:t>
      </w:r>
      <w:r w:rsidRPr="00512E92">
        <w:t> Patients hospitalized for novel coronavirus (COVID-19) infection experience fatigue, myalgias, respiratory symptoms, impaired physical function, and cognitive deficits,</w:t>
      </w:r>
      <w:r w:rsidRPr="00E5631F">
        <w:rPr>
          <w:vertAlign w:val="superscript"/>
        </w:rPr>
        <w:t>6</w:t>
      </w:r>
      <w:r w:rsidRPr="00512E92">
        <w:rPr>
          <w:vertAlign w:val="superscript"/>
        </w:rPr>
        <w:t>, </w:t>
      </w:r>
      <w:r w:rsidRPr="00E5631F">
        <w:rPr>
          <w:vertAlign w:val="superscript"/>
        </w:rPr>
        <w:t>7</w:t>
      </w:r>
      <w:r w:rsidRPr="00512E92">
        <w:t> and they are at high risk for new disability, with more than half reporting new disability and/or functional challenges at 1 month post hospitalization.</w:t>
      </w:r>
      <w:r w:rsidRPr="00E5631F">
        <w:rPr>
          <w:vertAlign w:val="superscript"/>
        </w:rPr>
        <w:t>8</w:t>
      </w:r>
      <w:r w:rsidRPr="00512E92">
        <w:t> Increasing illness severity, especially amongst patients requiring mechanical ventilation, is associated with a greater likelihood of posthospital morbidity.</w:t>
      </w:r>
      <w:r w:rsidRPr="00E5631F">
        <w:rPr>
          <w:vertAlign w:val="superscript"/>
        </w:rPr>
        <w:t>3</w:t>
      </w:r>
      <w:r w:rsidRPr="00512E92">
        <w:t> Thus, it is likely that many patients will develop significant deficits requiring rehabilitation during, and following, hospitalization.</w:t>
      </w:r>
      <w:r w:rsidRPr="00E5631F">
        <w:rPr>
          <w:vertAlign w:val="superscript"/>
        </w:rPr>
        <w:t>7</w:t>
      </w:r>
      <w:r w:rsidRPr="00512E92">
        <w:rPr>
          <w:vertAlign w:val="superscript"/>
        </w:rPr>
        <w:t>, </w:t>
      </w:r>
      <w:r w:rsidRPr="00E5631F">
        <w:rPr>
          <w:vertAlign w:val="superscript"/>
        </w:rPr>
        <w:t>9</w:t>
      </w:r>
      <w:r w:rsidRPr="00512E92">
        <w:rPr>
          <w:vertAlign w:val="superscript"/>
        </w:rPr>
        <w:t>-</w:t>
      </w:r>
      <w:r w:rsidRPr="00E5631F">
        <w:rPr>
          <w:vertAlign w:val="superscript"/>
        </w:rPr>
        <w:t>11</w:t>
      </w:r>
    </w:p>
    <w:p w14:paraId="03681E97" w14:textId="70D926C1" w:rsidR="00512E92" w:rsidRPr="00512E92" w:rsidRDefault="00512E92" w:rsidP="00512E92">
      <w:r w:rsidRPr="00512E92">
        <w:t>In-hospital rehabilitation provided by physical therapists (PTs) and occupational therapists (OTs) may mitigate the short- and long-term sequela of acute illness, such as that seen with COVID-19.</w:t>
      </w:r>
      <w:r w:rsidRPr="00E5631F">
        <w:rPr>
          <w:vertAlign w:val="superscript"/>
        </w:rPr>
        <w:t>12</w:t>
      </w:r>
      <w:r w:rsidRPr="00512E92">
        <w:rPr>
          <w:vertAlign w:val="superscript"/>
        </w:rPr>
        <w:t>, </w:t>
      </w:r>
      <w:r w:rsidRPr="00E5631F">
        <w:rPr>
          <w:vertAlign w:val="superscript"/>
        </w:rPr>
        <w:t>13</w:t>
      </w:r>
      <w:r w:rsidRPr="00512E92">
        <w:t> Furthermore, early reports suggest that physical therapy delivered within the hospital is feasible and may improve the mobility status of patients with COVID-19.</w:t>
      </w:r>
      <w:r w:rsidRPr="00E5631F">
        <w:rPr>
          <w:vertAlign w:val="superscript"/>
        </w:rPr>
        <w:t>14</w:t>
      </w:r>
      <w:r w:rsidRPr="00512E92">
        <w:rPr>
          <w:vertAlign w:val="superscript"/>
        </w:rPr>
        <w:t>-</w:t>
      </w:r>
      <w:r w:rsidRPr="00E5631F">
        <w:rPr>
          <w:vertAlign w:val="superscript"/>
        </w:rPr>
        <w:t>16</w:t>
      </w:r>
      <w:r w:rsidRPr="00512E92">
        <w:t> However, especially during the early months of the COVID-19 pandemic, many patients experienced delays for receipt of in-hospital rehabilitation services due to barriers such as infectious isolation protocols, limited personal protective equipment allocation, disease severity, and varying local pandemic procedures reducing or eliminating standard rehabilitation services.</w:t>
      </w:r>
      <w:r w:rsidRPr="00E5631F">
        <w:rPr>
          <w:vertAlign w:val="superscript"/>
        </w:rPr>
        <w:t>17</w:t>
      </w:r>
      <w:r w:rsidRPr="00512E92">
        <w:rPr>
          <w:vertAlign w:val="superscript"/>
        </w:rPr>
        <w:t>, </w:t>
      </w:r>
      <w:r w:rsidRPr="00E5631F">
        <w:rPr>
          <w:vertAlign w:val="superscript"/>
        </w:rPr>
        <w:t>19</w:t>
      </w:r>
      <w:r w:rsidRPr="00512E92">
        <w:t> These barriers likely altered the timing and delivery of early mobilization and rehabilitation therapies. Whether this reduced and/or delayed access to rehabilitation services may have contributed to disparities for patients who are racial and ethnic minorities is unknown.</w:t>
      </w:r>
    </w:p>
    <w:p w14:paraId="4C6A4B6A" w14:textId="7C1B1410" w:rsidR="00512E92" w:rsidRPr="00512E92" w:rsidRDefault="00512E92" w:rsidP="00512E92">
      <w:r w:rsidRPr="00512E92">
        <w:t>Communities of color are disproportionately burdened by COVID-19 infection; racial and ethnic minority populations are up to 5.6 times more likely to be hospitalized compared with non-Hispanic White persons.</w:t>
      </w:r>
      <w:r w:rsidRPr="00E5631F">
        <w:rPr>
          <w:vertAlign w:val="superscript"/>
        </w:rPr>
        <w:t>18</w:t>
      </w:r>
      <w:r w:rsidRPr="00512E92">
        <w:t> Racial and ethnic minorities also experience greater severity of disease and complications from COVID-19 infection,</w:t>
      </w:r>
      <w:r w:rsidRPr="00E5631F">
        <w:rPr>
          <w:vertAlign w:val="superscript"/>
        </w:rPr>
        <w:t>18</w:t>
      </w:r>
      <w:r w:rsidRPr="00512E92">
        <w:rPr>
          <w:vertAlign w:val="superscript"/>
        </w:rPr>
        <w:t>, </w:t>
      </w:r>
      <w:r w:rsidRPr="00E5631F">
        <w:rPr>
          <w:vertAlign w:val="superscript"/>
        </w:rPr>
        <w:t>20</w:t>
      </w:r>
      <w:r w:rsidRPr="00512E92">
        <w:t> increasing their risk of long-term physical and mental health impairments. While early initiation of rehabilitation services during hospitalization may reduce these debilitating consequences of COVID-19 infection, implicit biases in referral or receipt of therapy for these rehabilitation services could contribute to the poorer outcomes observed among racial and ethnic minorities, as has been observed with referrals in other settings.</w:t>
      </w:r>
      <w:r w:rsidRPr="00E5631F">
        <w:rPr>
          <w:vertAlign w:val="superscript"/>
        </w:rPr>
        <w:t>21</w:t>
      </w:r>
    </w:p>
    <w:p w14:paraId="24DC0311" w14:textId="77777777" w:rsidR="00512E92" w:rsidRPr="00512E92" w:rsidRDefault="00512E92" w:rsidP="00512E92">
      <w:r w:rsidRPr="00512E92">
        <w:t>The purpose of this analysis was to determine whether the allocation of rehabilitation services differed among racial/ethnic minority patients compared with non-Hispanic White patients and to identify potential explanations for disparate allocation, if present.</w:t>
      </w:r>
    </w:p>
    <w:p w14:paraId="276E69AF" w14:textId="77777777" w:rsidR="00512E92" w:rsidRPr="00512E92" w:rsidRDefault="00512E92" w:rsidP="005D0C79">
      <w:pPr>
        <w:pStyle w:val="Heading1"/>
      </w:pPr>
      <w:r w:rsidRPr="00512E92">
        <w:t>METHODS</w:t>
      </w:r>
    </w:p>
    <w:p w14:paraId="51D9357E" w14:textId="23A7F89C" w:rsidR="00512E92" w:rsidRPr="00512E92" w:rsidRDefault="00512E92" w:rsidP="00512E92">
      <w:r w:rsidRPr="00512E92">
        <w:t>We performed a retrospective cohort study using electronic health record (EHR) data from 12 hospitals within the University of Colorado health system. Data extraction services were provided by the Health Data Compass Data Warehouse project (</w:t>
      </w:r>
      <w:r w:rsidRPr="00E5631F">
        <w:rPr>
          <w:b/>
          <w:bCs/>
        </w:rPr>
        <w:t>healthdatacompass.org</w:t>
      </w:r>
      <w:r w:rsidRPr="00512E92">
        <w:t xml:space="preserve">). Data collected from March 2020 until April 2021 were included in the analysis. All patients </w:t>
      </w:r>
      <w:proofErr w:type="gramStart"/>
      <w:r w:rsidRPr="00512E92">
        <w:t>age</w:t>
      </w:r>
      <w:proofErr w:type="gramEnd"/>
      <w:r w:rsidRPr="00512E92">
        <w:t xml:space="preserve"> 18 years and older with an identified COVID-19 diagnosis (defined by the presence of a positive polymerase chain reaction test or a COVID-19-associated diagnosis code documented in the UCHealth EHR) were included in the analysis.</w:t>
      </w:r>
      <w:r w:rsidRPr="00E5631F">
        <w:rPr>
          <w:vertAlign w:val="superscript"/>
        </w:rPr>
        <w:t>22</w:t>
      </w:r>
      <w:r w:rsidRPr="00512E92">
        <w:t> Our outcome of therapy referral was defined as the presence of a referral for PT and/or OT consultation during the hospitalization. There was a significant overlap between PT and OT consultation (&gt;87% overlap), thus we combined referrals into one outcome variable, particularly given that OT often performs PT services within our hospital. Race, ethnicity, and sex were self-reported in the EHR by patients at registration in the UCHealth system. We excluded female patients admitted for obstetrics (OB)-related admissions, patients not yet discharged at the time of data delivery, and patients who died within 48 h of admission from our analyses. When reviewing referral data, we found that there were differences between referral and actual receipt (defined by the presence of a billing charge noting actual therapy delivery). Therefore, we performed an additional analysis limited to a single hospital (University of Colorado Hospital Anschutz Medical Center) where billing data (procedural charge code for PT and/or OT evaluation) were available. This billing data allowed for the comparison of actual receipt of bedside PT and/or OT services versus referral requests only to determine if there were differences in the odds of receipt of rehabilitation therapy services for minority groups compared with non-Hispanic White persons.</w:t>
      </w:r>
    </w:p>
    <w:p w14:paraId="14E5F13A" w14:textId="77777777" w:rsidR="00512E92" w:rsidRPr="00512E92" w:rsidRDefault="00512E92" w:rsidP="00512E92">
      <w:r w:rsidRPr="00512E92">
        <w:t>We performed descriptive statistics to describe the receipt of PT/OT referral amongst different racial/ethnic groups and between sexes. Racial/ethnic groups were defined as: non-Hispanic White (reference), non-Hispanic African American or Black, Hispanic, or other. We performed bivariate analyses (</w:t>
      </w:r>
      <w:r w:rsidRPr="00512E92">
        <w:rPr>
          <w:i/>
          <w:iCs/>
        </w:rPr>
        <w:t>χ</w:t>
      </w:r>
      <w:r w:rsidRPr="00512E92">
        <w:rPr>
          <w:vertAlign w:val="superscript"/>
        </w:rPr>
        <w:t>2</w:t>
      </w:r>
      <w:r w:rsidRPr="00512E92">
        <w:t> tests, </w:t>
      </w:r>
      <w:r w:rsidRPr="00512E92">
        <w:rPr>
          <w:i/>
          <w:iCs/>
        </w:rPr>
        <w:t>t</w:t>
      </w:r>
      <w:r w:rsidRPr="00512E92">
        <w:t> tests, analysis of variance (ANOVA) or nonparametric equivalent, as appropriate) to determine whether predictors of therapy referral differed amongst these groups. Multivariable, mixed-effects logistic regression models tested whether there was an independent association between race and ethnicity with the receipt of PT and/or OT referral. We adjusted for potential confounders and potentially modifiable predictors including length of stay, intensive care unit (ICU) admission, age, sex, prehospital independence with activities of daily living (ADL) and mobility (as assessed by nursing on admission), use of a mobility device at baseline, use of translation services, and categorical time. We included two measures of baseline function (i.e., prehospital ADL/mobility independence and mobility device usage) as it is difficult to measure function with a single construct. There are a number of patients who are functionally limited, but are not limited in mobility such that they require assistive devices for mobility. Therefore, using both measures in our model adjusts for a wider spectrum of functional deficits to better adjust for baseline function. A random effect for the hospital region was included in the model. We were unable to stratify by individual site given relatively small numbers of patients at some hospitals and existing data-sharing agreements at the individual hospital level with the Compass group. The baseline functional data (independence in ADLs/mobility and use of a mobility device) was found to be missing in 19.6% and 20.6% of the cohort, respectively. For analysis purposes, we structured these variables to reflect evidence of impairment, grouping answers indicating nonimpairment (independent ADLs or no use of mobility device) and missing values together. Additionally, we performed a sensitivity analysis with the removal of the ADL variable without change in the overall conclusions drawn. All analyses were conducted via R statistical software with a </w:t>
      </w:r>
      <w:r w:rsidRPr="00512E92">
        <w:rPr>
          <w:i/>
          <w:iCs/>
        </w:rPr>
        <w:t>p</w:t>
      </w:r>
      <w:r w:rsidRPr="00512E92">
        <w:t> value of &lt;.05 considered statistically significant. The overall </w:t>
      </w:r>
      <w:r w:rsidRPr="00512E92">
        <w:rPr>
          <w:i/>
          <w:iCs/>
        </w:rPr>
        <w:t>χ</w:t>
      </w:r>
      <w:r w:rsidRPr="00512E92">
        <w:rPr>
          <w:vertAlign w:val="superscript"/>
        </w:rPr>
        <w:t>2</w:t>
      </w:r>
      <w:r w:rsidRPr="00512E92">
        <w:t> or ANOVA </w:t>
      </w:r>
      <w:r w:rsidRPr="00512E92">
        <w:rPr>
          <w:i/>
          <w:iCs/>
        </w:rPr>
        <w:t>p</w:t>
      </w:r>
      <w:r w:rsidRPr="00512E92">
        <w:t> value is reported in the racial/ethnicity bivariate analyses (no pairwise comparisons performed).</w:t>
      </w:r>
    </w:p>
    <w:p w14:paraId="5463F85D" w14:textId="77777777" w:rsidR="00512E92" w:rsidRPr="00512E92" w:rsidRDefault="00512E92" w:rsidP="005D0C79">
      <w:pPr>
        <w:pStyle w:val="Heading1"/>
      </w:pPr>
      <w:r w:rsidRPr="00512E92">
        <w:t>RESULTS</w:t>
      </w:r>
    </w:p>
    <w:p w14:paraId="1A3BEDC4" w14:textId="6AF39FA6" w:rsidR="00512E92" w:rsidRPr="00512E92" w:rsidRDefault="00512E92" w:rsidP="00512E92">
      <w:r w:rsidRPr="00512E92">
        <w:t>We identified patients across the UCHealth system admitted with a diagnosis of COVID-19. After exclusion of the OB-related admissions (</w:t>
      </w:r>
      <w:r w:rsidRPr="00512E92">
        <w:rPr>
          <w:i/>
          <w:iCs/>
        </w:rPr>
        <w:t>n</w:t>
      </w:r>
      <w:r w:rsidRPr="00512E92">
        <w:t> = 263), we identified 6239 COVID-19-related hospitalizations (Table </w:t>
      </w:r>
      <w:r w:rsidRPr="00E5631F">
        <w:rPr>
          <w:b/>
          <w:bCs/>
        </w:rPr>
        <w:t>1</w:t>
      </w:r>
      <w:r w:rsidRPr="00512E92">
        <w:t>). A referral for PT and/or OT was present in 3077 (49.3%) patients. Therapy referral and delivery varied over time (Figure </w:t>
      </w:r>
      <w:r w:rsidRPr="00E5631F">
        <w:rPr>
          <w:b/>
          <w:bCs/>
        </w:rPr>
        <w:t>1</w:t>
      </w:r>
      <w:r w:rsidRPr="00512E92">
        <w:t>). Patients with a PT and/or OT referral were more likely to require ICU admission (35.5% vs. 14.8%, </w:t>
      </w:r>
      <w:r w:rsidRPr="00512E92">
        <w:rPr>
          <w:i/>
          <w:iCs/>
        </w:rPr>
        <w:t>p</w:t>
      </w:r>
      <w:r w:rsidRPr="00512E92">
        <w:t> &lt; .01) and/or mechanical ventilation (21.8% vs. 7.7%, </w:t>
      </w:r>
      <w:r w:rsidRPr="00512E92">
        <w:rPr>
          <w:i/>
          <w:iCs/>
        </w:rPr>
        <w:t>p</w:t>
      </w:r>
      <w:r w:rsidRPr="00512E92">
        <w:t> &lt; .01).</w:t>
      </w:r>
    </w:p>
    <w:p w14:paraId="081D33DA" w14:textId="77777777" w:rsidR="00512E92" w:rsidRPr="00512E92" w:rsidRDefault="00512E92" w:rsidP="005D0C79">
      <w:pPr>
        <w:spacing w:after="0"/>
      </w:pPr>
      <w:r w:rsidRPr="00512E92">
        <w:rPr>
          <w:b/>
          <w:bCs/>
        </w:rPr>
        <w:t>Table 1. </w:t>
      </w:r>
      <w:r w:rsidRPr="00512E92">
        <w:t>Baseline characteristics of patients hospitalized with a diagnosis of COVID-19 infection within the UCHealth system between March and April 2021, stratified by PT/OT referral request</w:t>
      </w:r>
    </w:p>
    <w:tbl>
      <w:tblPr>
        <w:tblStyle w:val="TableGrid"/>
        <w:tblW w:w="0" w:type="auto"/>
        <w:tblLook w:val="04A0" w:firstRow="1" w:lastRow="0" w:firstColumn="1" w:lastColumn="0" w:noHBand="0" w:noVBand="1"/>
      </w:tblPr>
      <w:tblGrid>
        <w:gridCol w:w="7015"/>
        <w:gridCol w:w="1582"/>
        <w:gridCol w:w="1473"/>
      </w:tblGrid>
      <w:tr w:rsidR="00512E92" w:rsidRPr="00512E92" w14:paraId="6BF3ACF8" w14:textId="77777777" w:rsidTr="002220C5">
        <w:tc>
          <w:tcPr>
            <w:tcW w:w="7015" w:type="dxa"/>
            <w:hideMark/>
          </w:tcPr>
          <w:p w14:paraId="635AD5C9" w14:textId="77777777" w:rsidR="00512E92" w:rsidRPr="00512E92" w:rsidRDefault="00512E92" w:rsidP="00DC28CD">
            <w:pPr>
              <w:pStyle w:val="NoSpacing"/>
            </w:pPr>
          </w:p>
        </w:tc>
        <w:tc>
          <w:tcPr>
            <w:tcW w:w="1582" w:type="dxa"/>
            <w:hideMark/>
          </w:tcPr>
          <w:p w14:paraId="2EC86493" w14:textId="77777777" w:rsidR="00512E92" w:rsidRPr="00512E92" w:rsidRDefault="00512E92" w:rsidP="00DC28CD">
            <w:pPr>
              <w:pStyle w:val="NoSpacing"/>
              <w:rPr>
                <w:b/>
                <w:bCs/>
              </w:rPr>
            </w:pPr>
            <w:r w:rsidRPr="00512E92">
              <w:rPr>
                <w:b/>
                <w:bCs/>
              </w:rPr>
              <w:t>No referral</w:t>
            </w:r>
          </w:p>
        </w:tc>
        <w:tc>
          <w:tcPr>
            <w:tcW w:w="0" w:type="auto"/>
            <w:hideMark/>
          </w:tcPr>
          <w:p w14:paraId="58C72C19" w14:textId="77777777" w:rsidR="00512E92" w:rsidRPr="00512E92" w:rsidRDefault="00512E92" w:rsidP="00DC28CD">
            <w:pPr>
              <w:pStyle w:val="NoSpacing"/>
              <w:rPr>
                <w:b/>
                <w:bCs/>
              </w:rPr>
            </w:pPr>
            <w:r w:rsidRPr="00512E92">
              <w:rPr>
                <w:b/>
                <w:bCs/>
              </w:rPr>
              <w:t>PT/OT referral</w:t>
            </w:r>
          </w:p>
        </w:tc>
      </w:tr>
      <w:tr w:rsidR="00512E92" w:rsidRPr="00512E92" w14:paraId="34932EA8" w14:textId="77777777" w:rsidTr="002220C5">
        <w:tc>
          <w:tcPr>
            <w:tcW w:w="7015" w:type="dxa"/>
            <w:hideMark/>
          </w:tcPr>
          <w:p w14:paraId="7E3FA9E4" w14:textId="77777777" w:rsidR="00512E92" w:rsidRPr="00512E92" w:rsidRDefault="00512E92" w:rsidP="00DC28CD">
            <w:pPr>
              <w:pStyle w:val="NoSpacing"/>
            </w:pPr>
            <w:r w:rsidRPr="00512E92">
              <w:rPr>
                <w:i/>
                <w:iCs/>
              </w:rPr>
              <w:t>n</w:t>
            </w:r>
          </w:p>
        </w:tc>
        <w:tc>
          <w:tcPr>
            <w:tcW w:w="1582" w:type="dxa"/>
            <w:hideMark/>
          </w:tcPr>
          <w:p w14:paraId="6B657D25" w14:textId="77777777" w:rsidR="00512E92" w:rsidRPr="00512E92" w:rsidRDefault="00512E92" w:rsidP="00DC28CD">
            <w:pPr>
              <w:pStyle w:val="NoSpacing"/>
            </w:pPr>
            <w:r w:rsidRPr="00512E92">
              <w:t>3162</w:t>
            </w:r>
          </w:p>
        </w:tc>
        <w:tc>
          <w:tcPr>
            <w:tcW w:w="0" w:type="auto"/>
            <w:hideMark/>
          </w:tcPr>
          <w:p w14:paraId="2F7EF53F" w14:textId="77777777" w:rsidR="00512E92" w:rsidRPr="00512E92" w:rsidRDefault="00512E92" w:rsidP="00DC28CD">
            <w:pPr>
              <w:pStyle w:val="NoSpacing"/>
            </w:pPr>
            <w:r w:rsidRPr="00512E92">
              <w:t>3077</w:t>
            </w:r>
          </w:p>
        </w:tc>
      </w:tr>
      <w:tr w:rsidR="00512E92" w:rsidRPr="00512E92" w14:paraId="08868C62" w14:textId="77777777" w:rsidTr="002220C5">
        <w:tc>
          <w:tcPr>
            <w:tcW w:w="7015" w:type="dxa"/>
            <w:hideMark/>
          </w:tcPr>
          <w:p w14:paraId="0D71A26D" w14:textId="77777777" w:rsidR="00512E92" w:rsidRPr="00512E92" w:rsidRDefault="00512E92" w:rsidP="00DC28CD">
            <w:pPr>
              <w:pStyle w:val="NoSpacing"/>
            </w:pPr>
            <w:r w:rsidRPr="00512E92">
              <w:t>Demographics</w:t>
            </w:r>
          </w:p>
        </w:tc>
        <w:tc>
          <w:tcPr>
            <w:tcW w:w="1582" w:type="dxa"/>
            <w:hideMark/>
          </w:tcPr>
          <w:p w14:paraId="5B70D656" w14:textId="77777777" w:rsidR="00512E92" w:rsidRPr="00512E92" w:rsidRDefault="00512E92" w:rsidP="00DC28CD">
            <w:pPr>
              <w:pStyle w:val="NoSpacing"/>
            </w:pPr>
          </w:p>
        </w:tc>
        <w:tc>
          <w:tcPr>
            <w:tcW w:w="0" w:type="auto"/>
            <w:hideMark/>
          </w:tcPr>
          <w:p w14:paraId="12DB7790" w14:textId="77777777" w:rsidR="00512E92" w:rsidRPr="00512E92" w:rsidRDefault="00512E92" w:rsidP="00DC28CD">
            <w:pPr>
              <w:pStyle w:val="NoSpacing"/>
            </w:pPr>
          </w:p>
        </w:tc>
      </w:tr>
      <w:tr w:rsidR="00512E92" w:rsidRPr="00512E92" w14:paraId="33700AD8" w14:textId="77777777" w:rsidTr="002220C5">
        <w:tc>
          <w:tcPr>
            <w:tcW w:w="7015" w:type="dxa"/>
            <w:hideMark/>
          </w:tcPr>
          <w:p w14:paraId="2CC44081" w14:textId="77777777" w:rsidR="00512E92" w:rsidRPr="00512E92" w:rsidRDefault="00512E92" w:rsidP="00784CEF">
            <w:pPr>
              <w:pStyle w:val="NoSpacing"/>
              <w:ind w:left="334"/>
            </w:pPr>
            <w:r w:rsidRPr="00512E92">
              <w:t>Mean age (years) (SD)</w:t>
            </w:r>
          </w:p>
        </w:tc>
        <w:tc>
          <w:tcPr>
            <w:tcW w:w="1582" w:type="dxa"/>
            <w:hideMark/>
          </w:tcPr>
          <w:p w14:paraId="7FEB517A" w14:textId="77777777" w:rsidR="00512E92" w:rsidRPr="00512E92" w:rsidRDefault="00512E92" w:rsidP="00DC28CD">
            <w:pPr>
              <w:pStyle w:val="NoSpacing"/>
            </w:pPr>
            <w:r w:rsidRPr="00512E92">
              <w:t>54.6 (16.4)</w:t>
            </w:r>
          </w:p>
        </w:tc>
        <w:tc>
          <w:tcPr>
            <w:tcW w:w="0" w:type="auto"/>
            <w:hideMark/>
          </w:tcPr>
          <w:p w14:paraId="01A1B381" w14:textId="77777777" w:rsidR="00512E92" w:rsidRPr="00512E92" w:rsidRDefault="00512E92" w:rsidP="00DC28CD">
            <w:pPr>
              <w:pStyle w:val="NoSpacing"/>
            </w:pPr>
            <w:r w:rsidRPr="00512E92">
              <w:t>67.9 (15.2)</w:t>
            </w:r>
          </w:p>
        </w:tc>
      </w:tr>
      <w:tr w:rsidR="00512E92" w:rsidRPr="00512E92" w14:paraId="04E7299D" w14:textId="77777777" w:rsidTr="002220C5">
        <w:tc>
          <w:tcPr>
            <w:tcW w:w="7015" w:type="dxa"/>
            <w:hideMark/>
          </w:tcPr>
          <w:p w14:paraId="6C5CD609" w14:textId="77777777" w:rsidR="00512E92" w:rsidRPr="00512E92" w:rsidRDefault="00512E92" w:rsidP="00784CEF">
            <w:pPr>
              <w:pStyle w:val="NoSpacing"/>
              <w:ind w:left="334"/>
            </w:pPr>
            <w:r w:rsidRPr="00512E92">
              <w:t>Categorical age (%)</w:t>
            </w:r>
          </w:p>
        </w:tc>
        <w:tc>
          <w:tcPr>
            <w:tcW w:w="1582" w:type="dxa"/>
            <w:hideMark/>
          </w:tcPr>
          <w:p w14:paraId="408C0D3F" w14:textId="77777777" w:rsidR="00512E92" w:rsidRPr="00512E92" w:rsidRDefault="00512E92" w:rsidP="00DC28CD">
            <w:pPr>
              <w:pStyle w:val="NoSpacing"/>
            </w:pPr>
          </w:p>
        </w:tc>
        <w:tc>
          <w:tcPr>
            <w:tcW w:w="0" w:type="auto"/>
            <w:hideMark/>
          </w:tcPr>
          <w:p w14:paraId="57E4F065" w14:textId="77777777" w:rsidR="00512E92" w:rsidRPr="00512E92" w:rsidRDefault="00512E92" w:rsidP="00DC28CD">
            <w:pPr>
              <w:pStyle w:val="NoSpacing"/>
            </w:pPr>
          </w:p>
        </w:tc>
      </w:tr>
      <w:tr w:rsidR="00512E92" w:rsidRPr="00512E92" w14:paraId="3679926A" w14:textId="77777777" w:rsidTr="002220C5">
        <w:tc>
          <w:tcPr>
            <w:tcW w:w="7015" w:type="dxa"/>
            <w:hideMark/>
          </w:tcPr>
          <w:p w14:paraId="3334141F" w14:textId="77777777" w:rsidR="00512E92" w:rsidRPr="00512E92" w:rsidRDefault="00512E92" w:rsidP="00230792">
            <w:pPr>
              <w:pStyle w:val="NoSpacing"/>
              <w:ind w:left="694"/>
            </w:pPr>
            <w:r w:rsidRPr="00512E92">
              <w:t>≥65</w:t>
            </w:r>
          </w:p>
        </w:tc>
        <w:tc>
          <w:tcPr>
            <w:tcW w:w="1582" w:type="dxa"/>
            <w:hideMark/>
          </w:tcPr>
          <w:p w14:paraId="6FF4C9EB" w14:textId="77777777" w:rsidR="00512E92" w:rsidRPr="00512E92" w:rsidRDefault="00512E92" w:rsidP="00DC28CD">
            <w:pPr>
              <w:pStyle w:val="NoSpacing"/>
            </w:pPr>
            <w:r w:rsidRPr="00512E92">
              <w:t>878 (27.8)</w:t>
            </w:r>
          </w:p>
        </w:tc>
        <w:tc>
          <w:tcPr>
            <w:tcW w:w="0" w:type="auto"/>
            <w:hideMark/>
          </w:tcPr>
          <w:p w14:paraId="1CF3225A" w14:textId="77777777" w:rsidR="00512E92" w:rsidRPr="00512E92" w:rsidRDefault="00512E92" w:rsidP="00DC28CD">
            <w:pPr>
              <w:pStyle w:val="NoSpacing"/>
            </w:pPr>
            <w:r w:rsidRPr="00512E92">
              <w:t>1934 (62.9)</w:t>
            </w:r>
          </w:p>
        </w:tc>
      </w:tr>
      <w:tr w:rsidR="00512E92" w:rsidRPr="00512E92" w14:paraId="54C53B14" w14:textId="77777777" w:rsidTr="002220C5">
        <w:tc>
          <w:tcPr>
            <w:tcW w:w="7015" w:type="dxa"/>
            <w:hideMark/>
          </w:tcPr>
          <w:p w14:paraId="70F2BD6D" w14:textId="77777777" w:rsidR="00512E92" w:rsidRPr="00512E92" w:rsidRDefault="00512E92" w:rsidP="00230792">
            <w:pPr>
              <w:pStyle w:val="NoSpacing"/>
              <w:ind w:left="694"/>
            </w:pPr>
            <w:r w:rsidRPr="00512E92">
              <w:t>&gt;40–&lt;65</w:t>
            </w:r>
          </w:p>
        </w:tc>
        <w:tc>
          <w:tcPr>
            <w:tcW w:w="1582" w:type="dxa"/>
            <w:hideMark/>
          </w:tcPr>
          <w:p w14:paraId="2B5A0565" w14:textId="77777777" w:rsidR="00512E92" w:rsidRPr="00512E92" w:rsidRDefault="00512E92" w:rsidP="00DC28CD">
            <w:pPr>
              <w:pStyle w:val="NoSpacing"/>
            </w:pPr>
            <w:r w:rsidRPr="00512E92">
              <w:t>1603 (50.7)</w:t>
            </w:r>
          </w:p>
        </w:tc>
        <w:tc>
          <w:tcPr>
            <w:tcW w:w="0" w:type="auto"/>
            <w:hideMark/>
          </w:tcPr>
          <w:p w14:paraId="378DC4D7" w14:textId="77777777" w:rsidR="00512E92" w:rsidRPr="00512E92" w:rsidRDefault="00512E92" w:rsidP="00DC28CD">
            <w:pPr>
              <w:pStyle w:val="NoSpacing"/>
            </w:pPr>
            <w:r w:rsidRPr="00512E92">
              <w:t>974 (31.7)</w:t>
            </w:r>
          </w:p>
        </w:tc>
      </w:tr>
      <w:tr w:rsidR="00512E92" w:rsidRPr="00512E92" w14:paraId="5AACCAD6" w14:textId="77777777" w:rsidTr="002220C5">
        <w:tc>
          <w:tcPr>
            <w:tcW w:w="7015" w:type="dxa"/>
            <w:hideMark/>
          </w:tcPr>
          <w:p w14:paraId="2D785957" w14:textId="77777777" w:rsidR="00512E92" w:rsidRPr="00512E92" w:rsidRDefault="00512E92" w:rsidP="00230792">
            <w:pPr>
              <w:pStyle w:val="NoSpacing"/>
              <w:ind w:left="694"/>
            </w:pPr>
            <w:r w:rsidRPr="00512E92">
              <w:t>≤40</w:t>
            </w:r>
          </w:p>
        </w:tc>
        <w:tc>
          <w:tcPr>
            <w:tcW w:w="1582" w:type="dxa"/>
            <w:hideMark/>
          </w:tcPr>
          <w:p w14:paraId="7D0827BB" w14:textId="77777777" w:rsidR="00512E92" w:rsidRPr="00512E92" w:rsidRDefault="00512E92" w:rsidP="00DC28CD">
            <w:pPr>
              <w:pStyle w:val="NoSpacing"/>
            </w:pPr>
            <w:r w:rsidRPr="00512E92">
              <w:t>681 (21.5)</w:t>
            </w:r>
          </w:p>
        </w:tc>
        <w:tc>
          <w:tcPr>
            <w:tcW w:w="0" w:type="auto"/>
            <w:hideMark/>
          </w:tcPr>
          <w:p w14:paraId="3CE93BED" w14:textId="77777777" w:rsidR="00512E92" w:rsidRPr="00512E92" w:rsidRDefault="00512E92" w:rsidP="00DC28CD">
            <w:pPr>
              <w:pStyle w:val="NoSpacing"/>
            </w:pPr>
            <w:r w:rsidRPr="00512E92">
              <w:t>169 (5.5)</w:t>
            </w:r>
          </w:p>
        </w:tc>
      </w:tr>
      <w:tr w:rsidR="00512E92" w:rsidRPr="00512E92" w14:paraId="0A44A04F" w14:textId="77777777" w:rsidTr="002220C5">
        <w:tc>
          <w:tcPr>
            <w:tcW w:w="7015" w:type="dxa"/>
            <w:hideMark/>
          </w:tcPr>
          <w:p w14:paraId="31EE687B" w14:textId="77777777" w:rsidR="00512E92" w:rsidRPr="00512E92" w:rsidRDefault="00512E92" w:rsidP="00784CEF">
            <w:pPr>
              <w:pStyle w:val="NoSpacing"/>
              <w:ind w:left="334"/>
            </w:pPr>
            <w:r w:rsidRPr="00512E92">
              <w:t>Male (%)</w:t>
            </w:r>
          </w:p>
        </w:tc>
        <w:tc>
          <w:tcPr>
            <w:tcW w:w="1582" w:type="dxa"/>
            <w:hideMark/>
          </w:tcPr>
          <w:p w14:paraId="222B1060" w14:textId="77777777" w:rsidR="00512E92" w:rsidRPr="00512E92" w:rsidRDefault="00512E92" w:rsidP="00DC28CD">
            <w:pPr>
              <w:pStyle w:val="NoSpacing"/>
            </w:pPr>
            <w:r w:rsidRPr="00512E92">
              <w:t>1785 (56.5)</w:t>
            </w:r>
          </w:p>
        </w:tc>
        <w:tc>
          <w:tcPr>
            <w:tcW w:w="0" w:type="auto"/>
            <w:hideMark/>
          </w:tcPr>
          <w:p w14:paraId="691FF69C" w14:textId="77777777" w:rsidR="00512E92" w:rsidRPr="00512E92" w:rsidRDefault="00512E92" w:rsidP="00DC28CD">
            <w:pPr>
              <w:pStyle w:val="NoSpacing"/>
            </w:pPr>
            <w:r w:rsidRPr="00512E92">
              <w:t>1678 (54.5)</w:t>
            </w:r>
          </w:p>
        </w:tc>
      </w:tr>
      <w:tr w:rsidR="00512E92" w:rsidRPr="00512E92" w14:paraId="66E90505" w14:textId="77777777" w:rsidTr="002220C5">
        <w:tc>
          <w:tcPr>
            <w:tcW w:w="7015" w:type="dxa"/>
            <w:hideMark/>
          </w:tcPr>
          <w:p w14:paraId="05C69DD1" w14:textId="77777777" w:rsidR="00512E92" w:rsidRPr="00512E92" w:rsidRDefault="00512E92" w:rsidP="00784CEF">
            <w:pPr>
              <w:pStyle w:val="NoSpacing"/>
              <w:ind w:left="334"/>
            </w:pPr>
            <w:r w:rsidRPr="00512E92">
              <w:t>Categorical race/ethnicity (%)</w:t>
            </w:r>
          </w:p>
        </w:tc>
        <w:tc>
          <w:tcPr>
            <w:tcW w:w="1582" w:type="dxa"/>
            <w:hideMark/>
          </w:tcPr>
          <w:p w14:paraId="2FA1075C" w14:textId="77777777" w:rsidR="00512E92" w:rsidRPr="00512E92" w:rsidRDefault="00512E92" w:rsidP="00DC28CD">
            <w:pPr>
              <w:pStyle w:val="NoSpacing"/>
            </w:pPr>
          </w:p>
        </w:tc>
        <w:tc>
          <w:tcPr>
            <w:tcW w:w="0" w:type="auto"/>
            <w:hideMark/>
          </w:tcPr>
          <w:p w14:paraId="4FA4233F" w14:textId="77777777" w:rsidR="00512E92" w:rsidRPr="00512E92" w:rsidRDefault="00512E92" w:rsidP="00DC28CD">
            <w:pPr>
              <w:pStyle w:val="NoSpacing"/>
            </w:pPr>
          </w:p>
        </w:tc>
      </w:tr>
      <w:tr w:rsidR="00512E92" w:rsidRPr="00512E92" w14:paraId="0C2591CA" w14:textId="77777777" w:rsidTr="002220C5">
        <w:tc>
          <w:tcPr>
            <w:tcW w:w="7015" w:type="dxa"/>
            <w:hideMark/>
          </w:tcPr>
          <w:p w14:paraId="1472888E" w14:textId="77777777" w:rsidR="00512E92" w:rsidRPr="00512E92" w:rsidRDefault="00512E92" w:rsidP="00230792">
            <w:pPr>
              <w:pStyle w:val="NoSpacing"/>
              <w:ind w:left="694"/>
            </w:pPr>
            <w:r w:rsidRPr="00512E92">
              <w:t>Black or African American, non-Hispanic</w:t>
            </w:r>
          </w:p>
        </w:tc>
        <w:tc>
          <w:tcPr>
            <w:tcW w:w="1582" w:type="dxa"/>
            <w:hideMark/>
          </w:tcPr>
          <w:p w14:paraId="08ED6D1B" w14:textId="77777777" w:rsidR="00512E92" w:rsidRPr="00512E92" w:rsidRDefault="00512E92" w:rsidP="00DC28CD">
            <w:pPr>
              <w:pStyle w:val="NoSpacing"/>
            </w:pPr>
            <w:r w:rsidRPr="00512E92">
              <w:t>253 (8.0)</w:t>
            </w:r>
          </w:p>
        </w:tc>
        <w:tc>
          <w:tcPr>
            <w:tcW w:w="0" w:type="auto"/>
            <w:hideMark/>
          </w:tcPr>
          <w:p w14:paraId="177F5D28" w14:textId="77777777" w:rsidR="00512E92" w:rsidRPr="00512E92" w:rsidRDefault="00512E92" w:rsidP="00DC28CD">
            <w:pPr>
              <w:pStyle w:val="NoSpacing"/>
            </w:pPr>
            <w:r w:rsidRPr="00512E92">
              <w:t>262 (8.5)</w:t>
            </w:r>
          </w:p>
        </w:tc>
      </w:tr>
      <w:tr w:rsidR="00512E92" w:rsidRPr="00512E92" w14:paraId="0FAB4982" w14:textId="77777777" w:rsidTr="002220C5">
        <w:tc>
          <w:tcPr>
            <w:tcW w:w="7015" w:type="dxa"/>
            <w:hideMark/>
          </w:tcPr>
          <w:p w14:paraId="1856A616" w14:textId="77777777" w:rsidR="00512E92" w:rsidRPr="00512E92" w:rsidRDefault="00512E92" w:rsidP="00230792">
            <w:pPr>
              <w:pStyle w:val="NoSpacing"/>
              <w:ind w:left="694"/>
            </w:pPr>
            <w:r w:rsidRPr="00512E92">
              <w:t>Hispanic</w:t>
            </w:r>
          </w:p>
        </w:tc>
        <w:tc>
          <w:tcPr>
            <w:tcW w:w="1582" w:type="dxa"/>
            <w:hideMark/>
          </w:tcPr>
          <w:p w14:paraId="4F2E5A35" w14:textId="77777777" w:rsidR="00512E92" w:rsidRPr="00512E92" w:rsidRDefault="00512E92" w:rsidP="00DC28CD">
            <w:pPr>
              <w:pStyle w:val="NoSpacing"/>
            </w:pPr>
            <w:r w:rsidRPr="00512E92">
              <w:t>1166 (36.9)</w:t>
            </w:r>
          </w:p>
        </w:tc>
        <w:tc>
          <w:tcPr>
            <w:tcW w:w="0" w:type="auto"/>
            <w:hideMark/>
          </w:tcPr>
          <w:p w14:paraId="40477048" w14:textId="77777777" w:rsidR="00512E92" w:rsidRPr="00512E92" w:rsidRDefault="00512E92" w:rsidP="00DC28CD">
            <w:pPr>
              <w:pStyle w:val="NoSpacing"/>
            </w:pPr>
            <w:r w:rsidRPr="00512E92">
              <w:t>815 (26.5)</w:t>
            </w:r>
          </w:p>
        </w:tc>
      </w:tr>
      <w:tr w:rsidR="00512E92" w:rsidRPr="00512E92" w14:paraId="2169B339" w14:textId="77777777" w:rsidTr="002220C5">
        <w:tc>
          <w:tcPr>
            <w:tcW w:w="7015" w:type="dxa"/>
            <w:hideMark/>
          </w:tcPr>
          <w:p w14:paraId="392FC16A" w14:textId="77777777" w:rsidR="00512E92" w:rsidRPr="00512E92" w:rsidRDefault="00512E92" w:rsidP="00230792">
            <w:pPr>
              <w:pStyle w:val="NoSpacing"/>
              <w:ind w:left="694"/>
            </w:pPr>
            <w:r w:rsidRPr="00512E92">
              <w:t>Other</w:t>
            </w:r>
          </w:p>
        </w:tc>
        <w:tc>
          <w:tcPr>
            <w:tcW w:w="1582" w:type="dxa"/>
            <w:hideMark/>
          </w:tcPr>
          <w:p w14:paraId="781BDA65" w14:textId="77777777" w:rsidR="00512E92" w:rsidRPr="00512E92" w:rsidRDefault="00512E92" w:rsidP="00DC28CD">
            <w:pPr>
              <w:pStyle w:val="NoSpacing"/>
            </w:pPr>
            <w:r w:rsidRPr="00512E92">
              <w:t>283 (9.0)</w:t>
            </w:r>
          </w:p>
        </w:tc>
        <w:tc>
          <w:tcPr>
            <w:tcW w:w="0" w:type="auto"/>
            <w:hideMark/>
          </w:tcPr>
          <w:p w14:paraId="5F963B31" w14:textId="77777777" w:rsidR="00512E92" w:rsidRPr="00512E92" w:rsidRDefault="00512E92" w:rsidP="00DC28CD">
            <w:pPr>
              <w:pStyle w:val="NoSpacing"/>
            </w:pPr>
            <w:r w:rsidRPr="00512E92">
              <w:t>294 (9.6)</w:t>
            </w:r>
          </w:p>
        </w:tc>
      </w:tr>
      <w:tr w:rsidR="00512E92" w:rsidRPr="00512E92" w14:paraId="1985F40C" w14:textId="77777777" w:rsidTr="002220C5">
        <w:tc>
          <w:tcPr>
            <w:tcW w:w="7015" w:type="dxa"/>
            <w:hideMark/>
          </w:tcPr>
          <w:p w14:paraId="6F0D652D" w14:textId="77777777" w:rsidR="00512E92" w:rsidRPr="00512E92" w:rsidRDefault="00512E92" w:rsidP="00230792">
            <w:pPr>
              <w:pStyle w:val="NoSpacing"/>
              <w:ind w:left="694"/>
            </w:pPr>
            <w:r w:rsidRPr="00512E92">
              <w:t>White, non-Hispanic</w:t>
            </w:r>
          </w:p>
        </w:tc>
        <w:tc>
          <w:tcPr>
            <w:tcW w:w="1582" w:type="dxa"/>
            <w:hideMark/>
          </w:tcPr>
          <w:p w14:paraId="6FEF5685" w14:textId="77777777" w:rsidR="00512E92" w:rsidRPr="00512E92" w:rsidRDefault="00512E92" w:rsidP="00DC28CD">
            <w:pPr>
              <w:pStyle w:val="NoSpacing"/>
            </w:pPr>
            <w:r w:rsidRPr="00512E92">
              <w:t>1460 (46.2)</w:t>
            </w:r>
          </w:p>
        </w:tc>
        <w:tc>
          <w:tcPr>
            <w:tcW w:w="0" w:type="auto"/>
            <w:hideMark/>
          </w:tcPr>
          <w:p w14:paraId="4BD7312A" w14:textId="77777777" w:rsidR="00512E92" w:rsidRPr="00512E92" w:rsidRDefault="00512E92" w:rsidP="00DC28CD">
            <w:pPr>
              <w:pStyle w:val="NoSpacing"/>
            </w:pPr>
            <w:r w:rsidRPr="00512E92">
              <w:t>1706 (55.4)</w:t>
            </w:r>
          </w:p>
        </w:tc>
      </w:tr>
      <w:tr w:rsidR="00512E92" w:rsidRPr="00512E92" w14:paraId="2F0CE3B4" w14:textId="77777777" w:rsidTr="002220C5">
        <w:tc>
          <w:tcPr>
            <w:tcW w:w="7015" w:type="dxa"/>
            <w:hideMark/>
          </w:tcPr>
          <w:p w14:paraId="42F03764" w14:textId="77777777" w:rsidR="00512E92" w:rsidRPr="00512E92" w:rsidRDefault="00512E92" w:rsidP="00784CEF">
            <w:pPr>
              <w:pStyle w:val="NoSpacing"/>
              <w:ind w:left="334"/>
            </w:pPr>
            <w:r w:rsidRPr="00512E92">
              <w:t>Translation services utilized for language (%)</w:t>
            </w:r>
          </w:p>
        </w:tc>
        <w:tc>
          <w:tcPr>
            <w:tcW w:w="1582" w:type="dxa"/>
            <w:hideMark/>
          </w:tcPr>
          <w:p w14:paraId="1489D8AA" w14:textId="77777777" w:rsidR="00512E92" w:rsidRPr="00512E92" w:rsidRDefault="00512E92" w:rsidP="00DC28CD">
            <w:pPr>
              <w:pStyle w:val="NoSpacing"/>
            </w:pPr>
            <w:r w:rsidRPr="00512E92">
              <w:t>596 (18.8)</w:t>
            </w:r>
          </w:p>
        </w:tc>
        <w:tc>
          <w:tcPr>
            <w:tcW w:w="0" w:type="auto"/>
            <w:hideMark/>
          </w:tcPr>
          <w:p w14:paraId="0749A35D" w14:textId="77777777" w:rsidR="00512E92" w:rsidRPr="00512E92" w:rsidRDefault="00512E92" w:rsidP="00DC28CD">
            <w:pPr>
              <w:pStyle w:val="NoSpacing"/>
            </w:pPr>
            <w:r w:rsidRPr="00512E92">
              <w:t>482 (15.7)</w:t>
            </w:r>
          </w:p>
        </w:tc>
      </w:tr>
      <w:tr w:rsidR="00512E92" w:rsidRPr="00512E92" w14:paraId="2AAD74E4" w14:textId="77777777" w:rsidTr="002220C5">
        <w:tc>
          <w:tcPr>
            <w:tcW w:w="7015" w:type="dxa"/>
            <w:hideMark/>
          </w:tcPr>
          <w:p w14:paraId="1C883DB8" w14:textId="77777777" w:rsidR="00512E92" w:rsidRPr="00512E92" w:rsidRDefault="00512E92" w:rsidP="00784CEF">
            <w:pPr>
              <w:pStyle w:val="NoSpacing"/>
              <w:ind w:left="334"/>
            </w:pPr>
            <w:r w:rsidRPr="00512E92">
              <w:t>Payer source (%)</w:t>
            </w:r>
          </w:p>
        </w:tc>
        <w:tc>
          <w:tcPr>
            <w:tcW w:w="1582" w:type="dxa"/>
            <w:hideMark/>
          </w:tcPr>
          <w:p w14:paraId="31B480B4" w14:textId="77777777" w:rsidR="00512E92" w:rsidRPr="00512E92" w:rsidRDefault="00512E92" w:rsidP="00DC28CD">
            <w:pPr>
              <w:pStyle w:val="NoSpacing"/>
            </w:pPr>
          </w:p>
        </w:tc>
        <w:tc>
          <w:tcPr>
            <w:tcW w:w="0" w:type="auto"/>
            <w:hideMark/>
          </w:tcPr>
          <w:p w14:paraId="74BA5074" w14:textId="77777777" w:rsidR="00512E92" w:rsidRPr="00512E92" w:rsidRDefault="00512E92" w:rsidP="00DC28CD">
            <w:pPr>
              <w:pStyle w:val="NoSpacing"/>
            </w:pPr>
          </w:p>
        </w:tc>
      </w:tr>
      <w:tr w:rsidR="00512E92" w:rsidRPr="00512E92" w14:paraId="5C98FB4A" w14:textId="77777777" w:rsidTr="002220C5">
        <w:tc>
          <w:tcPr>
            <w:tcW w:w="7015" w:type="dxa"/>
            <w:hideMark/>
          </w:tcPr>
          <w:p w14:paraId="5B6A2751" w14:textId="77777777" w:rsidR="00512E92" w:rsidRPr="00512E92" w:rsidRDefault="00512E92" w:rsidP="00230792">
            <w:pPr>
              <w:pStyle w:val="NoSpacing"/>
              <w:ind w:left="694"/>
            </w:pPr>
            <w:r w:rsidRPr="00512E92">
              <w:t>Commercial</w:t>
            </w:r>
          </w:p>
        </w:tc>
        <w:tc>
          <w:tcPr>
            <w:tcW w:w="1582" w:type="dxa"/>
            <w:hideMark/>
          </w:tcPr>
          <w:p w14:paraId="12733C20" w14:textId="77777777" w:rsidR="00512E92" w:rsidRPr="00512E92" w:rsidRDefault="00512E92" w:rsidP="00DC28CD">
            <w:pPr>
              <w:pStyle w:val="NoSpacing"/>
            </w:pPr>
            <w:r w:rsidRPr="00512E92">
              <w:t>1117 (35.3)</w:t>
            </w:r>
          </w:p>
        </w:tc>
        <w:tc>
          <w:tcPr>
            <w:tcW w:w="0" w:type="auto"/>
            <w:hideMark/>
          </w:tcPr>
          <w:p w14:paraId="69D6481A" w14:textId="77777777" w:rsidR="00512E92" w:rsidRPr="00512E92" w:rsidRDefault="00512E92" w:rsidP="00DC28CD">
            <w:pPr>
              <w:pStyle w:val="NoSpacing"/>
            </w:pPr>
            <w:r w:rsidRPr="00512E92">
              <w:t>486 (15.8)</w:t>
            </w:r>
          </w:p>
        </w:tc>
      </w:tr>
      <w:tr w:rsidR="00512E92" w:rsidRPr="00512E92" w14:paraId="0D981FE5" w14:textId="77777777" w:rsidTr="002220C5">
        <w:tc>
          <w:tcPr>
            <w:tcW w:w="7015" w:type="dxa"/>
            <w:hideMark/>
          </w:tcPr>
          <w:p w14:paraId="73ED2AA9" w14:textId="77777777" w:rsidR="00512E92" w:rsidRPr="00512E92" w:rsidRDefault="00512E92" w:rsidP="00230792">
            <w:pPr>
              <w:pStyle w:val="NoSpacing"/>
              <w:ind w:left="694"/>
            </w:pPr>
            <w:r w:rsidRPr="00512E92">
              <w:t>Medicaid</w:t>
            </w:r>
          </w:p>
        </w:tc>
        <w:tc>
          <w:tcPr>
            <w:tcW w:w="1582" w:type="dxa"/>
            <w:hideMark/>
          </w:tcPr>
          <w:p w14:paraId="6C8A7AFF" w14:textId="77777777" w:rsidR="00512E92" w:rsidRPr="00512E92" w:rsidRDefault="00512E92" w:rsidP="00DC28CD">
            <w:pPr>
              <w:pStyle w:val="NoSpacing"/>
            </w:pPr>
            <w:r w:rsidRPr="00512E92">
              <w:t>656 (20.7)</w:t>
            </w:r>
          </w:p>
        </w:tc>
        <w:tc>
          <w:tcPr>
            <w:tcW w:w="0" w:type="auto"/>
            <w:hideMark/>
          </w:tcPr>
          <w:p w14:paraId="179D6E2B" w14:textId="77777777" w:rsidR="00512E92" w:rsidRPr="00512E92" w:rsidRDefault="00512E92" w:rsidP="00DC28CD">
            <w:pPr>
              <w:pStyle w:val="NoSpacing"/>
            </w:pPr>
            <w:r w:rsidRPr="00512E92">
              <w:t>439 (14.3)</w:t>
            </w:r>
          </w:p>
        </w:tc>
      </w:tr>
      <w:tr w:rsidR="00512E92" w:rsidRPr="00512E92" w14:paraId="5C3F54B9" w14:textId="77777777" w:rsidTr="002220C5">
        <w:tc>
          <w:tcPr>
            <w:tcW w:w="7015" w:type="dxa"/>
            <w:hideMark/>
          </w:tcPr>
          <w:p w14:paraId="200C577B" w14:textId="77777777" w:rsidR="00512E92" w:rsidRPr="00512E92" w:rsidRDefault="00512E92" w:rsidP="00230792">
            <w:pPr>
              <w:pStyle w:val="NoSpacing"/>
              <w:ind w:left="694"/>
            </w:pPr>
            <w:r w:rsidRPr="00512E92">
              <w:t>Medicare</w:t>
            </w:r>
          </w:p>
        </w:tc>
        <w:tc>
          <w:tcPr>
            <w:tcW w:w="1582" w:type="dxa"/>
            <w:hideMark/>
          </w:tcPr>
          <w:p w14:paraId="1484C182" w14:textId="77777777" w:rsidR="00512E92" w:rsidRPr="00512E92" w:rsidRDefault="00512E92" w:rsidP="00DC28CD">
            <w:pPr>
              <w:pStyle w:val="NoSpacing"/>
            </w:pPr>
            <w:r w:rsidRPr="00512E92">
              <w:t>868 (27.5)</w:t>
            </w:r>
          </w:p>
        </w:tc>
        <w:tc>
          <w:tcPr>
            <w:tcW w:w="0" w:type="auto"/>
            <w:hideMark/>
          </w:tcPr>
          <w:p w14:paraId="44005811" w14:textId="77777777" w:rsidR="00512E92" w:rsidRPr="00512E92" w:rsidRDefault="00512E92" w:rsidP="00DC28CD">
            <w:pPr>
              <w:pStyle w:val="NoSpacing"/>
            </w:pPr>
            <w:r w:rsidRPr="00512E92">
              <w:t>1873 (60.9)</w:t>
            </w:r>
          </w:p>
        </w:tc>
      </w:tr>
      <w:tr w:rsidR="00512E92" w:rsidRPr="00512E92" w14:paraId="5B7B5A35" w14:textId="77777777" w:rsidTr="002220C5">
        <w:tc>
          <w:tcPr>
            <w:tcW w:w="7015" w:type="dxa"/>
            <w:hideMark/>
          </w:tcPr>
          <w:p w14:paraId="04A2212A" w14:textId="77777777" w:rsidR="00512E92" w:rsidRPr="00512E92" w:rsidRDefault="00512E92" w:rsidP="00230792">
            <w:pPr>
              <w:pStyle w:val="NoSpacing"/>
              <w:ind w:left="694"/>
            </w:pPr>
            <w:r w:rsidRPr="00512E92">
              <w:t>Other/unknown</w:t>
            </w:r>
          </w:p>
        </w:tc>
        <w:tc>
          <w:tcPr>
            <w:tcW w:w="1582" w:type="dxa"/>
            <w:hideMark/>
          </w:tcPr>
          <w:p w14:paraId="5ADF0792" w14:textId="77777777" w:rsidR="00512E92" w:rsidRPr="00512E92" w:rsidRDefault="00512E92" w:rsidP="00DC28CD">
            <w:pPr>
              <w:pStyle w:val="NoSpacing"/>
            </w:pPr>
            <w:r w:rsidRPr="00512E92">
              <w:t>521 (16.5)</w:t>
            </w:r>
          </w:p>
        </w:tc>
        <w:tc>
          <w:tcPr>
            <w:tcW w:w="0" w:type="auto"/>
            <w:hideMark/>
          </w:tcPr>
          <w:p w14:paraId="39325889" w14:textId="77777777" w:rsidR="00512E92" w:rsidRPr="00512E92" w:rsidRDefault="00512E92" w:rsidP="00DC28CD">
            <w:pPr>
              <w:pStyle w:val="NoSpacing"/>
            </w:pPr>
            <w:r w:rsidRPr="00512E92">
              <w:t>279 (9.1)</w:t>
            </w:r>
          </w:p>
        </w:tc>
      </w:tr>
      <w:tr w:rsidR="00512E92" w:rsidRPr="00512E92" w14:paraId="479CF602" w14:textId="77777777" w:rsidTr="002220C5">
        <w:tc>
          <w:tcPr>
            <w:tcW w:w="7015" w:type="dxa"/>
            <w:hideMark/>
          </w:tcPr>
          <w:p w14:paraId="26408650" w14:textId="77777777" w:rsidR="00512E92" w:rsidRPr="00512E92" w:rsidRDefault="00512E92" w:rsidP="00784CEF">
            <w:pPr>
              <w:pStyle w:val="NoSpacing"/>
              <w:ind w:left="334"/>
            </w:pPr>
            <w:r w:rsidRPr="00512E92">
              <w:t>Mean body mass index (SD)</w:t>
            </w:r>
          </w:p>
        </w:tc>
        <w:tc>
          <w:tcPr>
            <w:tcW w:w="1582" w:type="dxa"/>
            <w:hideMark/>
          </w:tcPr>
          <w:p w14:paraId="146D637D" w14:textId="77777777" w:rsidR="00512E92" w:rsidRPr="00512E92" w:rsidRDefault="00512E92" w:rsidP="00DC28CD">
            <w:pPr>
              <w:pStyle w:val="NoSpacing"/>
            </w:pPr>
            <w:r w:rsidRPr="00512E92">
              <w:t>32.2 (8.3)</w:t>
            </w:r>
          </w:p>
        </w:tc>
        <w:tc>
          <w:tcPr>
            <w:tcW w:w="0" w:type="auto"/>
            <w:hideMark/>
          </w:tcPr>
          <w:p w14:paraId="438E5D45" w14:textId="77777777" w:rsidR="00512E92" w:rsidRPr="00512E92" w:rsidRDefault="00512E92" w:rsidP="00DC28CD">
            <w:pPr>
              <w:pStyle w:val="NoSpacing"/>
            </w:pPr>
            <w:r w:rsidRPr="00512E92">
              <w:t>30.2 (7.9)</w:t>
            </w:r>
          </w:p>
        </w:tc>
      </w:tr>
      <w:tr w:rsidR="00512E92" w:rsidRPr="00512E92" w14:paraId="585FCDC9" w14:textId="77777777" w:rsidTr="002220C5">
        <w:tc>
          <w:tcPr>
            <w:tcW w:w="7015" w:type="dxa"/>
            <w:hideMark/>
          </w:tcPr>
          <w:p w14:paraId="6B9691AD" w14:textId="77777777" w:rsidR="00512E92" w:rsidRPr="00512E92" w:rsidRDefault="00512E92" w:rsidP="00DC28CD">
            <w:pPr>
              <w:pStyle w:val="NoSpacing"/>
            </w:pPr>
            <w:r w:rsidRPr="00512E92">
              <w:t>Outcomes</w:t>
            </w:r>
          </w:p>
        </w:tc>
        <w:tc>
          <w:tcPr>
            <w:tcW w:w="1582" w:type="dxa"/>
            <w:hideMark/>
          </w:tcPr>
          <w:p w14:paraId="0A5F89B8" w14:textId="77777777" w:rsidR="00512E92" w:rsidRPr="00512E92" w:rsidRDefault="00512E92" w:rsidP="00DC28CD">
            <w:pPr>
              <w:pStyle w:val="NoSpacing"/>
            </w:pPr>
          </w:p>
        </w:tc>
        <w:tc>
          <w:tcPr>
            <w:tcW w:w="0" w:type="auto"/>
            <w:hideMark/>
          </w:tcPr>
          <w:p w14:paraId="0E3312AA" w14:textId="77777777" w:rsidR="00512E92" w:rsidRPr="00512E92" w:rsidRDefault="00512E92" w:rsidP="00DC28CD">
            <w:pPr>
              <w:pStyle w:val="NoSpacing"/>
            </w:pPr>
          </w:p>
        </w:tc>
      </w:tr>
      <w:tr w:rsidR="00512E92" w:rsidRPr="00512E92" w14:paraId="39D50491" w14:textId="77777777" w:rsidTr="002220C5">
        <w:tc>
          <w:tcPr>
            <w:tcW w:w="7015" w:type="dxa"/>
            <w:hideMark/>
          </w:tcPr>
          <w:p w14:paraId="6E66838A" w14:textId="77777777" w:rsidR="00512E92" w:rsidRPr="00512E92" w:rsidRDefault="00512E92" w:rsidP="00784CEF">
            <w:pPr>
              <w:pStyle w:val="NoSpacing"/>
              <w:ind w:left="334"/>
            </w:pPr>
            <w:r w:rsidRPr="00512E92">
              <w:t>Discharged home (%)</w:t>
            </w:r>
          </w:p>
        </w:tc>
        <w:tc>
          <w:tcPr>
            <w:tcW w:w="1582" w:type="dxa"/>
            <w:hideMark/>
          </w:tcPr>
          <w:p w14:paraId="6DD13812" w14:textId="77777777" w:rsidR="00512E92" w:rsidRPr="00512E92" w:rsidRDefault="00512E92" w:rsidP="00DC28CD">
            <w:pPr>
              <w:pStyle w:val="NoSpacing"/>
            </w:pPr>
            <w:r w:rsidRPr="00512E92">
              <w:t>2627 (83.1)</w:t>
            </w:r>
          </w:p>
        </w:tc>
        <w:tc>
          <w:tcPr>
            <w:tcW w:w="0" w:type="auto"/>
            <w:hideMark/>
          </w:tcPr>
          <w:p w14:paraId="0E60FCF5" w14:textId="77777777" w:rsidR="00512E92" w:rsidRPr="00512E92" w:rsidRDefault="00512E92" w:rsidP="00DC28CD">
            <w:pPr>
              <w:pStyle w:val="NoSpacing"/>
            </w:pPr>
            <w:r w:rsidRPr="00512E92">
              <w:t>1386 (45.0)</w:t>
            </w:r>
          </w:p>
        </w:tc>
      </w:tr>
      <w:tr w:rsidR="00512E92" w:rsidRPr="00512E92" w14:paraId="795B2F7C" w14:textId="77777777" w:rsidTr="002220C5">
        <w:tc>
          <w:tcPr>
            <w:tcW w:w="7015" w:type="dxa"/>
            <w:hideMark/>
          </w:tcPr>
          <w:p w14:paraId="3C1D060B" w14:textId="77777777" w:rsidR="00512E92" w:rsidRPr="00512E92" w:rsidRDefault="00512E92" w:rsidP="00784CEF">
            <w:pPr>
              <w:pStyle w:val="NoSpacing"/>
              <w:ind w:left="334"/>
            </w:pPr>
            <w:r w:rsidRPr="00512E92">
              <w:t>Admitted to the ICU (%)</w:t>
            </w:r>
          </w:p>
        </w:tc>
        <w:tc>
          <w:tcPr>
            <w:tcW w:w="1582" w:type="dxa"/>
            <w:hideMark/>
          </w:tcPr>
          <w:p w14:paraId="407DA5E5" w14:textId="77777777" w:rsidR="00512E92" w:rsidRPr="00512E92" w:rsidRDefault="00512E92" w:rsidP="00DC28CD">
            <w:pPr>
              <w:pStyle w:val="NoSpacing"/>
            </w:pPr>
            <w:r w:rsidRPr="00512E92">
              <w:t>468 (14.8)</w:t>
            </w:r>
          </w:p>
        </w:tc>
        <w:tc>
          <w:tcPr>
            <w:tcW w:w="0" w:type="auto"/>
            <w:hideMark/>
          </w:tcPr>
          <w:p w14:paraId="2F520A20" w14:textId="77777777" w:rsidR="00512E92" w:rsidRPr="00512E92" w:rsidRDefault="00512E92" w:rsidP="00DC28CD">
            <w:pPr>
              <w:pStyle w:val="NoSpacing"/>
            </w:pPr>
            <w:r w:rsidRPr="00512E92">
              <w:t>1093 (35.5)</w:t>
            </w:r>
          </w:p>
        </w:tc>
      </w:tr>
      <w:tr w:rsidR="00512E92" w:rsidRPr="00512E92" w14:paraId="537A258D" w14:textId="77777777" w:rsidTr="002220C5">
        <w:tc>
          <w:tcPr>
            <w:tcW w:w="7015" w:type="dxa"/>
            <w:hideMark/>
          </w:tcPr>
          <w:p w14:paraId="3A399B4A" w14:textId="77777777" w:rsidR="00512E92" w:rsidRPr="00512E92" w:rsidRDefault="00512E92" w:rsidP="00784CEF">
            <w:pPr>
              <w:pStyle w:val="NoSpacing"/>
              <w:ind w:left="334"/>
            </w:pPr>
            <w:r w:rsidRPr="00512E92">
              <w:t>Median days prior to ICU admission [IQR]</w:t>
            </w:r>
          </w:p>
        </w:tc>
        <w:tc>
          <w:tcPr>
            <w:tcW w:w="1582" w:type="dxa"/>
            <w:hideMark/>
          </w:tcPr>
          <w:p w14:paraId="4F072772" w14:textId="77777777" w:rsidR="00512E92" w:rsidRPr="00512E92" w:rsidRDefault="00512E92" w:rsidP="00DC28CD">
            <w:pPr>
              <w:pStyle w:val="NoSpacing"/>
            </w:pPr>
            <w:r w:rsidRPr="00512E92">
              <w:t>0.8 [0.5, 1.5]</w:t>
            </w:r>
          </w:p>
        </w:tc>
        <w:tc>
          <w:tcPr>
            <w:tcW w:w="0" w:type="auto"/>
            <w:hideMark/>
          </w:tcPr>
          <w:p w14:paraId="608117C7" w14:textId="77777777" w:rsidR="00512E92" w:rsidRPr="00512E92" w:rsidRDefault="00512E92" w:rsidP="00DC28CD">
            <w:pPr>
              <w:pStyle w:val="NoSpacing"/>
            </w:pPr>
            <w:r w:rsidRPr="00512E92">
              <w:t>0.9 [0.6, 2.5]</w:t>
            </w:r>
          </w:p>
        </w:tc>
      </w:tr>
      <w:tr w:rsidR="00512E92" w:rsidRPr="00512E92" w14:paraId="08285F46" w14:textId="77777777" w:rsidTr="002220C5">
        <w:tc>
          <w:tcPr>
            <w:tcW w:w="7015" w:type="dxa"/>
            <w:hideMark/>
          </w:tcPr>
          <w:p w14:paraId="0FFF8085" w14:textId="77777777" w:rsidR="00512E92" w:rsidRPr="00512E92" w:rsidRDefault="00512E92" w:rsidP="00784CEF">
            <w:pPr>
              <w:pStyle w:val="NoSpacing"/>
              <w:ind w:left="334"/>
            </w:pPr>
            <w:r w:rsidRPr="00512E92">
              <w:t>Mechanically ventilated (%)</w:t>
            </w:r>
          </w:p>
        </w:tc>
        <w:tc>
          <w:tcPr>
            <w:tcW w:w="1582" w:type="dxa"/>
            <w:hideMark/>
          </w:tcPr>
          <w:p w14:paraId="57F2302D" w14:textId="77777777" w:rsidR="00512E92" w:rsidRPr="00512E92" w:rsidRDefault="00512E92" w:rsidP="00DC28CD">
            <w:pPr>
              <w:pStyle w:val="NoSpacing"/>
            </w:pPr>
            <w:r w:rsidRPr="00512E92">
              <w:t>245 (7.7)</w:t>
            </w:r>
          </w:p>
        </w:tc>
        <w:tc>
          <w:tcPr>
            <w:tcW w:w="0" w:type="auto"/>
            <w:hideMark/>
          </w:tcPr>
          <w:p w14:paraId="012F2197" w14:textId="77777777" w:rsidR="00512E92" w:rsidRPr="00512E92" w:rsidRDefault="00512E92" w:rsidP="00DC28CD">
            <w:pPr>
              <w:pStyle w:val="NoSpacing"/>
            </w:pPr>
            <w:r w:rsidRPr="00512E92">
              <w:t>671 (21.8)</w:t>
            </w:r>
          </w:p>
        </w:tc>
      </w:tr>
      <w:tr w:rsidR="00512E92" w:rsidRPr="00512E92" w14:paraId="3F2CE0FB" w14:textId="77777777" w:rsidTr="002220C5">
        <w:tc>
          <w:tcPr>
            <w:tcW w:w="7015" w:type="dxa"/>
            <w:hideMark/>
          </w:tcPr>
          <w:p w14:paraId="0FDBA380" w14:textId="77777777" w:rsidR="00512E92" w:rsidRPr="00512E92" w:rsidRDefault="00512E92" w:rsidP="00784CEF">
            <w:pPr>
              <w:pStyle w:val="NoSpacing"/>
              <w:ind w:left="334"/>
            </w:pPr>
            <w:r w:rsidRPr="00512E92">
              <w:t>Median hospital length of stay in days [IQR]</w:t>
            </w:r>
          </w:p>
        </w:tc>
        <w:tc>
          <w:tcPr>
            <w:tcW w:w="1582" w:type="dxa"/>
            <w:hideMark/>
          </w:tcPr>
          <w:p w14:paraId="781C24C6" w14:textId="77777777" w:rsidR="00512E92" w:rsidRPr="00512E92" w:rsidRDefault="00512E92" w:rsidP="00DC28CD">
            <w:pPr>
              <w:pStyle w:val="NoSpacing"/>
            </w:pPr>
            <w:r w:rsidRPr="00512E92">
              <w:t>4 [2.0, 6.0]</w:t>
            </w:r>
          </w:p>
        </w:tc>
        <w:tc>
          <w:tcPr>
            <w:tcW w:w="0" w:type="auto"/>
            <w:hideMark/>
          </w:tcPr>
          <w:p w14:paraId="6ABBBC1F" w14:textId="77777777" w:rsidR="00512E92" w:rsidRPr="00512E92" w:rsidRDefault="00512E92" w:rsidP="00DC28CD">
            <w:pPr>
              <w:pStyle w:val="NoSpacing"/>
            </w:pPr>
            <w:r w:rsidRPr="00512E92">
              <w:t>8.0 [4.0, 15.0]</w:t>
            </w:r>
          </w:p>
        </w:tc>
      </w:tr>
      <w:tr w:rsidR="00512E92" w:rsidRPr="00512E92" w14:paraId="29533CAC" w14:textId="77777777" w:rsidTr="002220C5">
        <w:tc>
          <w:tcPr>
            <w:tcW w:w="7015" w:type="dxa"/>
            <w:hideMark/>
          </w:tcPr>
          <w:p w14:paraId="37BFD05B" w14:textId="77777777" w:rsidR="00512E92" w:rsidRPr="00512E92" w:rsidRDefault="00512E92" w:rsidP="00784CEF">
            <w:pPr>
              <w:pStyle w:val="NoSpacing"/>
              <w:ind w:left="334"/>
            </w:pPr>
            <w:r w:rsidRPr="00512E92">
              <w:t>In-hospital death (%)</w:t>
            </w:r>
          </w:p>
        </w:tc>
        <w:tc>
          <w:tcPr>
            <w:tcW w:w="1582" w:type="dxa"/>
            <w:hideMark/>
          </w:tcPr>
          <w:p w14:paraId="54A8FE5C" w14:textId="77777777" w:rsidR="00512E92" w:rsidRPr="00512E92" w:rsidRDefault="00512E92" w:rsidP="00DC28CD">
            <w:pPr>
              <w:pStyle w:val="NoSpacing"/>
            </w:pPr>
            <w:r w:rsidRPr="00512E92">
              <w:t>306 (9.7)</w:t>
            </w:r>
          </w:p>
        </w:tc>
        <w:tc>
          <w:tcPr>
            <w:tcW w:w="0" w:type="auto"/>
            <w:hideMark/>
          </w:tcPr>
          <w:p w14:paraId="7232FE50" w14:textId="77777777" w:rsidR="00512E92" w:rsidRPr="00512E92" w:rsidRDefault="00512E92" w:rsidP="00DC28CD">
            <w:pPr>
              <w:pStyle w:val="NoSpacing"/>
            </w:pPr>
            <w:r w:rsidRPr="00512E92">
              <w:t>337 (11.0)</w:t>
            </w:r>
          </w:p>
        </w:tc>
      </w:tr>
      <w:tr w:rsidR="00512E92" w:rsidRPr="00512E92" w14:paraId="03E69CB1" w14:textId="77777777" w:rsidTr="002220C5">
        <w:tc>
          <w:tcPr>
            <w:tcW w:w="7015" w:type="dxa"/>
            <w:hideMark/>
          </w:tcPr>
          <w:p w14:paraId="794B64D4" w14:textId="77777777" w:rsidR="00512E92" w:rsidRPr="00512E92" w:rsidRDefault="00512E92" w:rsidP="00784CEF">
            <w:pPr>
              <w:pStyle w:val="NoSpacing"/>
              <w:ind w:left="334"/>
            </w:pPr>
            <w:r w:rsidRPr="00512E92">
              <w:t>In-hospital death within 48 h of admission (%)</w:t>
            </w:r>
          </w:p>
        </w:tc>
        <w:tc>
          <w:tcPr>
            <w:tcW w:w="1582" w:type="dxa"/>
            <w:hideMark/>
          </w:tcPr>
          <w:p w14:paraId="5C680AC1" w14:textId="77777777" w:rsidR="00512E92" w:rsidRPr="00512E92" w:rsidRDefault="00512E92" w:rsidP="00DC28CD">
            <w:pPr>
              <w:pStyle w:val="NoSpacing"/>
            </w:pPr>
            <w:r w:rsidRPr="00512E92">
              <w:t>64 (2.0)</w:t>
            </w:r>
          </w:p>
        </w:tc>
        <w:tc>
          <w:tcPr>
            <w:tcW w:w="0" w:type="auto"/>
            <w:hideMark/>
          </w:tcPr>
          <w:p w14:paraId="1E718421" w14:textId="77777777" w:rsidR="00512E92" w:rsidRPr="00512E92" w:rsidRDefault="00512E92" w:rsidP="00DC28CD">
            <w:pPr>
              <w:pStyle w:val="NoSpacing"/>
            </w:pPr>
            <w:r w:rsidRPr="00512E92">
              <w:t>22 (0.7)</w:t>
            </w:r>
          </w:p>
        </w:tc>
      </w:tr>
      <w:tr w:rsidR="00512E92" w:rsidRPr="00512E92" w14:paraId="46BAA6CB" w14:textId="77777777" w:rsidTr="002220C5">
        <w:tc>
          <w:tcPr>
            <w:tcW w:w="7015" w:type="dxa"/>
            <w:hideMark/>
          </w:tcPr>
          <w:p w14:paraId="4115D657" w14:textId="77777777" w:rsidR="00512E92" w:rsidRPr="00512E92" w:rsidRDefault="00512E92" w:rsidP="00784CEF">
            <w:pPr>
              <w:pStyle w:val="NoSpacing"/>
              <w:ind w:left="334"/>
            </w:pPr>
            <w:r w:rsidRPr="00512E92">
              <w:t>Hospitalized at end of cohort follow-up period (%)</w:t>
            </w:r>
          </w:p>
        </w:tc>
        <w:tc>
          <w:tcPr>
            <w:tcW w:w="1582" w:type="dxa"/>
            <w:hideMark/>
          </w:tcPr>
          <w:p w14:paraId="7DCCAF9A" w14:textId="77777777" w:rsidR="00512E92" w:rsidRPr="00512E92" w:rsidRDefault="00512E92" w:rsidP="00DC28CD">
            <w:pPr>
              <w:pStyle w:val="NoSpacing"/>
            </w:pPr>
            <w:r w:rsidRPr="00512E92">
              <w:t>25 (0.8)</w:t>
            </w:r>
          </w:p>
        </w:tc>
        <w:tc>
          <w:tcPr>
            <w:tcW w:w="0" w:type="auto"/>
            <w:hideMark/>
          </w:tcPr>
          <w:p w14:paraId="3079ABA5" w14:textId="77777777" w:rsidR="00512E92" w:rsidRPr="00512E92" w:rsidRDefault="00512E92" w:rsidP="00DC28CD">
            <w:pPr>
              <w:pStyle w:val="NoSpacing"/>
            </w:pPr>
            <w:r w:rsidRPr="00512E92">
              <w:t>24 (0.8)</w:t>
            </w:r>
          </w:p>
        </w:tc>
      </w:tr>
      <w:tr w:rsidR="00512E92" w:rsidRPr="00512E92" w14:paraId="55282C71" w14:textId="77777777" w:rsidTr="002220C5">
        <w:tc>
          <w:tcPr>
            <w:tcW w:w="7015" w:type="dxa"/>
            <w:hideMark/>
          </w:tcPr>
          <w:p w14:paraId="019D8906" w14:textId="77777777" w:rsidR="00512E92" w:rsidRPr="00512E92" w:rsidRDefault="00512E92" w:rsidP="00DC28CD">
            <w:pPr>
              <w:pStyle w:val="NoSpacing"/>
            </w:pPr>
            <w:r w:rsidRPr="00512E92">
              <w:t>PT/OT outcomes</w:t>
            </w:r>
          </w:p>
        </w:tc>
        <w:tc>
          <w:tcPr>
            <w:tcW w:w="1582" w:type="dxa"/>
            <w:hideMark/>
          </w:tcPr>
          <w:p w14:paraId="139E6567" w14:textId="77777777" w:rsidR="00512E92" w:rsidRPr="00512E92" w:rsidRDefault="00512E92" w:rsidP="00DC28CD">
            <w:pPr>
              <w:pStyle w:val="NoSpacing"/>
            </w:pPr>
          </w:p>
        </w:tc>
        <w:tc>
          <w:tcPr>
            <w:tcW w:w="0" w:type="auto"/>
            <w:hideMark/>
          </w:tcPr>
          <w:p w14:paraId="3EA4D911" w14:textId="77777777" w:rsidR="00512E92" w:rsidRPr="00512E92" w:rsidRDefault="00512E92" w:rsidP="00DC28CD">
            <w:pPr>
              <w:pStyle w:val="NoSpacing"/>
            </w:pPr>
          </w:p>
        </w:tc>
      </w:tr>
      <w:tr w:rsidR="00512E92" w:rsidRPr="00512E92" w14:paraId="50DDAB42" w14:textId="77777777" w:rsidTr="002220C5">
        <w:tc>
          <w:tcPr>
            <w:tcW w:w="7015" w:type="dxa"/>
            <w:hideMark/>
          </w:tcPr>
          <w:p w14:paraId="013DC352" w14:textId="77777777" w:rsidR="00512E92" w:rsidRPr="00512E92" w:rsidRDefault="00512E92" w:rsidP="00784CEF">
            <w:pPr>
              <w:pStyle w:val="NoSpacing"/>
              <w:ind w:left="334"/>
            </w:pPr>
            <w:r w:rsidRPr="00512E92">
              <w:t>Patient is not independent with ADLs/mobility, prehospital (%)</w:t>
            </w:r>
          </w:p>
        </w:tc>
        <w:tc>
          <w:tcPr>
            <w:tcW w:w="1582" w:type="dxa"/>
            <w:hideMark/>
          </w:tcPr>
          <w:p w14:paraId="397AD337" w14:textId="77777777" w:rsidR="00512E92" w:rsidRPr="00512E92" w:rsidRDefault="00512E92" w:rsidP="00DC28CD">
            <w:pPr>
              <w:pStyle w:val="NoSpacing"/>
            </w:pPr>
            <w:r w:rsidRPr="00512E92">
              <w:t>243 (7.7)</w:t>
            </w:r>
          </w:p>
        </w:tc>
        <w:tc>
          <w:tcPr>
            <w:tcW w:w="0" w:type="auto"/>
            <w:hideMark/>
          </w:tcPr>
          <w:p w14:paraId="3805C830" w14:textId="77777777" w:rsidR="00512E92" w:rsidRPr="00512E92" w:rsidRDefault="00512E92" w:rsidP="00DC28CD">
            <w:pPr>
              <w:pStyle w:val="NoSpacing"/>
            </w:pPr>
            <w:r w:rsidRPr="00512E92">
              <w:t>693 (22.5)</w:t>
            </w:r>
          </w:p>
        </w:tc>
      </w:tr>
      <w:tr w:rsidR="00512E92" w:rsidRPr="00512E92" w14:paraId="479B382E" w14:textId="77777777" w:rsidTr="002220C5">
        <w:tc>
          <w:tcPr>
            <w:tcW w:w="7015" w:type="dxa"/>
            <w:hideMark/>
          </w:tcPr>
          <w:p w14:paraId="62FFEA4D" w14:textId="77777777" w:rsidR="00512E92" w:rsidRPr="00512E92" w:rsidRDefault="00512E92" w:rsidP="00784CEF">
            <w:pPr>
              <w:pStyle w:val="NoSpacing"/>
              <w:ind w:left="334"/>
            </w:pPr>
            <w:r w:rsidRPr="00512E92">
              <w:t>Use of a mobility assistive device, prehospital (%)</w:t>
            </w:r>
          </w:p>
        </w:tc>
        <w:tc>
          <w:tcPr>
            <w:tcW w:w="1582" w:type="dxa"/>
            <w:hideMark/>
          </w:tcPr>
          <w:p w14:paraId="0ECC7853" w14:textId="77777777" w:rsidR="00512E92" w:rsidRPr="00512E92" w:rsidRDefault="00512E92" w:rsidP="00DC28CD">
            <w:pPr>
              <w:pStyle w:val="NoSpacing"/>
            </w:pPr>
            <w:r w:rsidRPr="00512E92">
              <w:t>150 (4.7)</w:t>
            </w:r>
          </w:p>
        </w:tc>
        <w:tc>
          <w:tcPr>
            <w:tcW w:w="0" w:type="auto"/>
            <w:hideMark/>
          </w:tcPr>
          <w:p w14:paraId="5530AE4A" w14:textId="77777777" w:rsidR="00512E92" w:rsidRPr="00512E92" w:rsidRDefault="00512E92" w:rsidP="00DC28CD">
            <w:pPr>
              <w:pStyle w:val="NoSpacing"/>
            </w:pPr>
            <w:r w:rsidRPr="00512E92">
              <w:t>669 (21.7)</w:t>
            </w:r>
          </w:p>
        </w:tc>
      </w:tr>
      <w:tr w:rsidR="00512E92" w:rsidRPr="00512E92" w14:paraId="16975FC9" w14:textId="77777777" w:rsidTr="002220C5">
        <w:tc>
          <w:tcPr>
            <w:tcW w:w="7015" w:type="dxa"/>
            <w:hideMark/>
          </w:tcPr>
          <w:p w14:paraId="28C71ABF" w14:textId="77777777" w:rsidR="00512E92" w:rsidRPr="00512E92" w:rsidRDefault="00512E92" w:rsidP="00784CEF">
            <w:pPr>
              <w:pStyle w:val="NoSpacing"/>
              <w:ind w:left="334"/>
            </w:pPr>
            <w:r w:rsidRPr="00512E92">
              <w:t>Patient using mobility device AND not independent with ADLs and/or mobility (%)</w:t>
            </w:r>
          </w:p>
        </w:tc>
        <w:tc>
          <w:tcPr>
            <w:tcW w:w="1582" w:type="dxa"/>
            <w:hideMark/>
          </w:tcPr>
          <w:p w14:paraId="7959E9A6" w14:textId="77777777" w:rsidR="00512E92" w:rsidRPr="00512E92" w:rsidRDefault="00512E92" w:rsidP="00DC28CD">
            <w:pPr>
              <w:pStyle w:val="NoSpacing"/>
            </w:pPr>
            <w:r w:rsidRPr="00512E92">
              <w:t>36 (1.1)</w:t>
            </w:r>
          </w:p>
        </w:tc>
        <w:tc>
          <w:tcPr>
            <w:tcW w:w="0" w:type="auto"/>
            <w:hideMark/>
          </w:tcPr>
          <w:p w14:paraId="09658476" w14:textId="77777777" w:rsidR="00512E92" w:rsidRPr="00512E92" w:rsidRDefault="00512E92" w:rsidP="00DC28CD">
            <w:pPr>
              <w:pStyle w:val="NoSpacing"/>
            </w:pPr>
            <w:r w:rsidRPr="00512E92">
              <w:t>266 (8.6)</w:t>
            </w:r>
          </w:p>
        </w:tc>
      </w:tr>
    </w:tbl>
    <w:p w14:paraId="48426F58" w14:textId="77777777" w:rsidR="00512E92" w:rsidRPr="00512E92" w:rsidRDefault="00512E92" w:rsidP="002220C5">
      <w:pPr>
        <w:pStyle w:val="NoSpacing"/>
      </w:pPr>
      <w:r w:rsidRPr="00512E92">
        <w:t>Abbreviations: ADL, activities of daily living; ICU, intensive care unit; IQR, interquartile range; OT, occupational therapy; PT, physical therapy.</w:t>
      </w:r>
    </w:p>
    <w:p w14:paraId="37B66E31" w14:textId="732A625D" w:rsidR="00512E92" w:rsidRPr="00512E92" w:rsidRDefault="00512E92" w:rsidP="00512E92"/>
    <w:p w14:paraId="5D0C7CE4" w14:textId="082E3E98" w:rsidR="00660A9B" w:rsidRDefault="00660A9B" w:rsidP="00660A9B">
      <w:pPr>
        <w:pStyle w:val="NoSpacing"/>
      </w:pPr>
      <w:r w:rsidRPr="00660A9B">
        <w:rPr>
          <w:noProof/>
        </w:rPr>
        <w:drawing>
          <wp:inline distT="0" distB="0" distL="0" distR="0" wp14:anchorId="6D2B8688" wp14:editId="656BC766">
            <wp:extent cx="2743200" cy="2706624"/>
            <wp:effectExtent l="0" t="0" r="0" b="0"/>
            <wp:docPr id="2" name="Picture 2" descr="Blue and green bar graphs showing PT and OT referral rates over time comparing with admissions and PT and OT delivery compared with referral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Blue and green bar graphs showing PT and OT referral rates over time comparing with admissions and PT and OT delivery compared with referrals. "/>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43200" cy="2706624"/>
                    </a:xfrm>
                    <a:prstGeom prst="rect">
                      <a:avLst/>
                    </a:prstGeom>
                    <a:noFill/>
                    <a:ln>
                      <a:noFill/>
                    </a:ln>
                  </pic:spPr>
                </pic:pic>
              </a:graphicData>
            </a:graphic>
          </wp:inline>
        </w:drawing>
      </w:r>
    </w:p>
    <w:p w14:paraId="150472C3" w14:textId="5DD909AB" w:rsidR="00512E92" w:rsidRDefault="00512E92" w:rsidP="00660A9B">
      <w:pPr>
        <w:pStyle w:val="NoSpacing"/>
      </w:pPr>
      <w:r w:rsidRPr="00512E92">
        <w:t>Figure 1</w:t>
      </w:r>
      <w:r w:rsidR="00660A9B">
        <w:t xml:space="preserve"> </w:t>
      </w:r>
      <w:r w:rsidRPr="00512E92">
        <w:t>(a) Physical therapy (PT) and occupational therapy (OT) referral rates over time compared with admissions. (b) PT and/or OT delivery at Anschutz Medical Center compared with the proportion of PT/OT referrals.</w:t>
      </w:r>
    </w:p>
    <w:p w14:paraId="517F1CE9" w14:textId="77777777" w:rsidR="00660A9B" w:rsidRPr="00512E92" w:rsidRDefault="00660A9B" w:rsidP="00512E92"/>
    <w:p w14:paraId="66B36A3F" w14:textId="77777777" w:rsidR="00512E92" w:rsidRPr="00512E92" w:rsidRDefault="00512E92" w:rsidP="009740B9">
      <w:pPr>
        <w:pStyle w:val="Heading2"/>
      </w:pPr>
      <w:r w:rsidRPr="00512E92">
        <w:t>PT/OT referral: Differences by patient race and ethnicity</w:t>
      </w:r>
    </w:p>
    <w:p w14:paraId="0BFFD0B3" w14:textId="2040A18A" w:rsidR="00512E92" w:rsidRPr="00512E92" w:rsidRDefault="00512E92" w:rsidP="00512E92">
      <w:r w:rsidRPr="00512E92">
        <w:t>Overall PT and/or OT referral differed by racial/ethnic group (</w:t>
      </w:r>
      <w:r w:rsidRPr="00512E92">
        <w:rPr>
          <w:i/>
          <w:iCs/>
        </w:rPr>
        <w:t>p</w:t>
      </w:r>
      <w:r w:rsidRPr="00512E92">
        <w:t> &lt; .01), with Hispanic patients less likely to receive PT and/or OT referral (41 vs. 54% in non-Hispanic White). Among patients receiving a PT and/or OT referral, most identified as non-Hispanic White (55.4%), while 26.5% identified as Hispanic (any race) and 8.5% identified as non-Hispanic Black (Table </w:t>
      </w:r>
      <w:r w:rsidRPr="00E5631F">
        <w:rPr>
          <w:b/>
          <w:bCs/>
        </w:rPr>
        <w:t>2</w:t>
      </w:r>
      <w:r w:rsidRPr="00512E92">
        <w:t>). The remaining 9.6% identified as a race or ethnicity other than White, Black, or Hispanic. Patients of Hispanic ethnicity were younger, on average, less likely to have Medicare, and more likely to have Medicaid than patients identified as White non-Hispanic. Black non-Hispanic patients were less likely to have baseline independence with all ADLs/mobility (49 vs. 55% in non-Hispanic White), while Hispanic patients were more likely to be independent at baseline (60 vs. 55% in non-Hispanic White). Patients who were Hispanic were less likely to require an assistive device prior to admission (14 vs. 26% in non-Hispanic White). Significant differences between one or more groups were also detected in the probability of ICU admission, mechanical ventilation, length of stay, and discharge to home (all </w:t>
      </w:r>
      <w:r w:rsidRPr="00512E92">
        <w:rPr>
          <w:i/>
          <w:iCs/>
        </w:rPr>
        <w:t>p</w:t>
      </w:r>
      <w:r w:rsidRPr="00512E92">
        <w:t> &lt; .001). Patients who were Black (non-Hispanic) or Hispanic were more likely to require ICU admission and/or require mechanical ventilation; hospitalizations were also longer compared with patients who were White non-Hispanic. Patients who were Hispanic were more likely to discharge home (51 vs. 42% in non-Hispanic White). In-hospital mortality was not significantly different by race and/or ethnicity amongst patients receiving a referral for PT/OT (</w:t>
      </w:r>
      <w:r w:rsidRPr="00512E92">
        <w:rPr>
          <w:i/>
          <w:iCs/>
        </w:rPr>
        <w:t>p</w:t>
      </w:r>
      <w:r w:rsidRPr="00512E92">
        <w:t> = .21).</w:t>
      </w:r>
    </w:p>
    <w:p w14:paraId="1FB70B36" w14:textId="77777777" w:rsidR="00151260" w:rsidRDefault="00151260" w:rsidP="009740B9">
      <w:pPr>
        <w:spacing w:after="0"/>
        <w:rPr>
          <w:b/>
          <w:bCs/>
        </w:rPr>
        <w:sectPr w:rsidR="00151260" w:rsidSect="00013176">
          <w:pgSz w:w="12240" w:h="15840"/>
          <w:pgMar w:top="1080" w:right="1080" w:bottom="1080" w:left="1080" w:header="720" w:footer="720" w:gutter="0"/>
          <w:cols w:space="720"/>
          <w:docGrid w:linePitch="360"/>
        </w:sectPr>
      </w:pPr>
    </w:p>
    <w:p w14:paraId="6FF62663" w14:textId="77777777" w:rsidR="00512E92" w:rsidRPr="000F7FDB" w:rsidRDefault="00512E92" w:rsidP="00A263B2">
      <w:pPr>
        <w:pStyle w:val="NoSpacing"/>
        <w:rPr>
          <w:color w:val="FF0000"/>
        </w:rPr>
      </w:pPr>
      <w:r w:rsidRPr="00A263B2">
        <w:rPr>
          <w:b/>
          <w:bCs/>
        </w:rPr>
        <w:t>Table 2. </w:t>
      </w:r>
      <w:r w:rsidRPr="00A263B2">
        <w:t>PT/OT referral subset stratified by reported race and/or ethnicity</w:t>
      </w:r>
    </w:p>
    <w:tbl>
      <w:tblPr>
        <w:tblStyle w:val="TableGrid"/>
        <w:tblW w:w="0" w:type="auto"/>
        <w:tblLook w:val="04A0" w:firstRow="1" w:lastRow="0" w:firstColumn="1" w:lastColumn="0" w:noHBand="0" w:noVBand="1"/>
      </w:tblPr>
      <w:tblGrid>
        <w:gridCol w:w="5439"/>
        <w:gridCol w:w="2864"/>
        <w:gridCol w:w="1421"/>
        <w:gridCol w:w="1370"/>
        <w:gridCol w:w="1672"/>
        <w:gridCol w:w="904"/>
      </w:tblGrid>
      <w:tr w:rsidR="00512E92" w:rsidRPr="00512E92" w14:paraId="1D598E80" w14:textId="77777777" w:rsidTr="00151260">
        <w:tc>
          <w:tcPr>
            <w:tcW w:w="0" w:type="auto"/>
            <w:hideMark/>
          </w:tcPr>
          <w:p w14:paraId="512B891E" w14:textId="77777777" w:rsidR="00512E92" w:rsidRPr="00512E92" w:rsidRDefault="00512E92" w:rsidP="00512E92">
            <w:pPr>
              <w:rPr>
                <w:b/>
                <w:bCs/>
              </w:rPr>
            </w:pPr>
            <w:r w:rsidRPr="00512E92">
              <w:rPr>
                <w:b/>
                <w:bCs/>
              </w:rPr>
              <w:t>Variable</w:t>
            </w:r>
          </w:p>
        </w:tc>
        <w:tc>
          <w:tcPr>
            <w:tcW w:w="0" w:type="auto"/>
            <w:hideMark/>
          </w:tcPr>
          <w:p w14:paraId="0E382622" w14:textId="77777777" w:rsidR="00512E92" w:rsidRPr="00512E92" w:rsidRDefault="00512E92" w:rsidP="00512E92">
            <w:pPr>
              <w:rPr>
                <w:b/>
                <w:bCs/>
              </w:rPr>
            </w:pPr>
            <w:r w:rsidRPr="00512E92">
              <w:rPr>
                <w:b/>
                <w:bCs/>
              </w:rPr>
              <w:t>Black or African American, non-Hispanic</w:t>
            </w:r>
          </w:p>
        </w:tc>
        <w:tc>
          <w:tcPr>
            <w:tcW w:w="0" w:type="auto"/>
            <w:hideMark/>
          </w:tcPr>
          <w:p w14:paraId="1B1B9EDA" w14:textId="77777777" w:rsidR="00512E92" w:rsidRPr="00512E92" w:rsidRDefault="00512E92" w:rsidP="00512E92">
            <w:pPr>
              <w:rPr>
                <w:b/>
                <w:bCs/>
              </w:rPr>
            </w:pPr>
            <w:r w:rsidRPr="00512E92">
              <w:rPr>
                <w:b/>
                <w:bCs/>
              </w:rPr>
              <w:t>Hispanic</w:t>
            </w:r>
          </w:p>
        </w:tc>
        <w:tc>
          <w:tcPr>
            <w:tcW w:w="0" w:type="auto"/>
            <w:hideMark/>
          </w:tcPr>
          <w:p w14:paraId="0DA9C307" w14:textId="77777777" w:rsidR="00512E92" w:rsidRPr="00512E92" w:rsidRDefault="00512E92" w:rsidP="00512E92">
            <w:pPr>
              <w:rPr>
                <w:b/>
                <w:bCs/>
              </w:rPr>
            </w:pPr>
            <w:r w:rsidRPr="00512E92">
              <w:rPr>
                <w:b/>
                <w:bCs/>
              </w:rPr>
              <w:t>Other</w:t>
            </w:r>
          </w:p>
        </w:tc>
        <w:tc>
          <w:tcPr>
            <w:tcW w:w="0" w:type="auto"/>
            <w:hideMark/>
          </w:tcPr>
          <w:p w14:paraId="44AB8F00" w14:textId="77777777" w:rsidR="00512E92" w:rsidRPr="00512E92" w:rsidRDefault="00512E92" w:rsidP="00512E92">
            <w:pPr>
              <w:rPr>
                <w:b/>
                <w:bCs/>
              </w:rPr>
            </w:pPr>
            <w:r w:rsidRPr="00512E92">
              <w:rPr>
                <w:b/>
                <w:bCs/>
              </w:rPr>
              <w:t>White, non-Hispanic</w:t>
            </w:r>
          </w:p>
        </w:tc>
        <w:tc>
          <w:tcPr>
            <w:tcW w:w="0" w:type="auto"/>
            <w:hideMark/>
          </w:tcPr>
          <w:p w14:paraId="0499DA54" w14:textId="77777777" w:rsidR="00512E92" w:rsidRPr="00512E92" w:rsidRDefault="00512E92" w:rsidP="00512E92">
            <w:pPr>
              <w:rPr>
                <w:b/>
                <w:bCs/>
              </w:rPr>
            </w:pPr>
            <w:r w:rsidRPr="00512E92">
              <w:rPr>
                <w:b/>
                <w:bCs/>
                <w:i/>
                <w:iCs/>
              </w:rPr>
              <w:t>p</w:t>
            </w:r>
            <w:r w:rsidRPr="00512E92">
              <w:rPr>
                <w:b/>
                <w:bCs/>
              </w:rPr>
              <w:t> Value</w:t>
            </w:r>
          </w:p>
        </w:tc>
      </w:tr>
      <w:tr w:rsidR="00512E92" w:rsidRPr="00512E92" w14:paraId="78AA933F" w14:textId="77777777" w:rsidTr="00151260">
        <w:tc>
          <w:tcPr>
            <w:tcW w:w="0" w:type="auto"/>
            <w:hideMark/>
          </w:tcPr>
          <w:p w14:paraId="0FBC9101" w14:textId="77777777" w:rsidR="00512E92" w:rsidRPr="00512E92" w:rsidRDefault="00512E92" w:rsidP="00512E92">
            <w:r w:rsidRPr="00512E92">
              <w:rPr>
                <w:i/>
                <w:iCs/>
              </w:rPr>
              <w:t>n</w:t>
            </w:r>
          </w:p>
        </w:tc>
        <w:tc>
          <w:tcPr>
            <w:tcW w:w="0" w:type="auto"/>
            <w:hideMark/>
          </w:tcPr>
          <w:p w14:paraId="5013984C" w14:textId="77777777" w:rsidR="00512E92" w:rsidRPr="00512E92" w:rsidRDefault="00512E92" w:rsidP="00512E92">
            <w:r w:rsidRPr="00512E92">
              <w:t>262</w:t>
            </w:r>
          </w:p>
        </w:tc>
        <w:tc>
          <w:tcPr>
            <w:tcW w:w="0" w:type="auto"/>
            <w:hideMark/>
          </w:tcPr>
          <w:p w14:paraId="1AC679A6" w14:textId="77777777" w:rsidR="00512E92" w:rsidRPr="00512E92" w:rsidRDefault="00512E92" w:rsidP="00512E92">
            <w:r w:rsidRPr="00512E92">
              <w:t>815</w:t>
            </w:r>
          </w:p>
        </w:tc>
        <w:tc>
          <w:tcPr>
            <w:tcW w:w="0" w:type="auto"/>
            <w:hideMark/>
          </w:tcPr>
          <w:p w14:paraId="4B358735" w14:textId="77777777" w:rsidR="00512E92" w:rsidRPr="00512E92" w:rsidRDefault="00512E92" w:rsidP="00512E92">
            <w:r w:rsidRPr="00512E92">
              <w:t>294</w:t>
            </w:r>
          </w:p>
        </w:tc>
        <w:tc>
          <w:tcPr>
            <w:tcW w:w="0" w:type="auto"/>
            <w:hideMark/>
          </w:tcPr>
          <w:p w14:paraId="5F90D50B" w14:textId="77777777" w:rsidR="00512E92" w:rsidRPr="00512E92" w:rsidRDefault="00512E92" w:rsidP="00512E92">
            <w:r w:rsidRPr="00512E92">
              <w:t>1706</w:t>
            </w:r>
          </w:p>
        </w:tc>
        <w:tc>
          <w:tcPr>
            <w:tcW w:w="0" w:type="auto"/>
            <w:hideMark/>
          </w:tcPr>
          <w:p w14:paraId="5249EA33" w14:textId="77777777" w:rsidR="00512E92" w:rsidRPr="00512E92" w:rsidRDefault="00512E92" w:rsidP="00512E92"/>
        </w:tc>
      </w:tr>
      <w:tr w:rsidR="00512E92" w:rsidRPr="00512E92" w14:paraId="0EC4758E" w14:textId="77777777" w:rsidTr="00151260">
        <w:tc>
          <w:tcPr>
            <w:tcW w:w="0" w:type="auto"/>
            <w:hideMark/>
          </w:tcPr>
          <w:p w14:paraId="42DFC73B" w14:textId="77777777" w:rsidR="00512E92" w:rsidRPr="00512E92" w:rsidRDefault="00512E92" w:rsidP="00512E92">
            <w:r w:rsidRPr="00512E92">
              <w:t>Age (years), mean (SD)</w:t>
            </w:r>
          </w:p>
        </w:tc>
        <w:tc>
          <w:tcPr>
            <w:tcW w:w="0" w:type="auto"/>
            <w:hideMark/>
          </w:tcPr>
          <w:p w14:paraId="1DEAF947" w14:textId="77777777" w:rsidR="00512E92" w:rsidRPr="00512E92" w:rsidRDefault="00512E92" w:rsidP="00512E92">
            <w:r w:rsidRPr="00512E92">
              <w:t>65.54 (14.94)</w:t>
            </w:r>
          </w:p>
        </w:tc>
        <w:tc>
          <w:tcPr>
            <w:tcW w:w="0" w:type="auto"/>
            <w:hideMark/>
          </w:tcPr>
          <w:p w14:paraId="5A69E046" w14:textId="77777777" w:rsidR="00512E92" w:rsidRPr="00512E92" w:rsidRDefault="00512E92" w:rsidP="00512E92">
            <w:r w:rsidRPr="00512E92">
              <w:t>62.31 (15.52)</w:t>
            </w:r>
          </w:p>
        </w:tc>
        <w:tc>
          <w:tcPr>
            <w:tcW w:w="0" w:type="auto"/>
            <w:hideMark/>
          </w:tcPr>
          <w:p w14:paraId="2ACDC236" w14:textId="77777777" w:rsidR="00512E92" w:rsidRPr="00512E92" w:rsidRDefault="00512E92" w:rsidP="00512E92">
            <w:r w:rsidRPr="00512E92">
              <w:t>66.07 (16.61)</w:t>
            </w:r>
          </w:p>
        </w:tc>
        <w:tc>
          <w:tcPr>
            <w:tcW w:w="0" w:type="auto"/>
            <w:hideMark/>
          </w:tcPr>
          <w:p w14:paraId="32A050DC" w14:textId="77777777" w:rsidR="00512E92" w:rsidRPr="00512E92" w:rsidRDefault="00512E92" w:rsidP="00512E92">
            <w:r w:rsidRPr="00512E92">
              <w:t>71.23 (13.94)</w:t>
            </w:r>
          </w:p>
        </w:tc>
        <w:tc>
          <w:tcPr>
            <w:tcW w:w="0" w:type="auto"/>
            <w:hideMark/>
          </w:tcPr>
          <w:p w14:paraId="4B4AC716" w14:textId="77777777" w:rsidR="00512E92" w:rsidRPr="00512E92" w:rsidRDefault="00512E92" w:rsidP="00512E92">
            <w:r w:rsidRPr="00512E92">
              <w:t>&lt;.001</w:t>
            </w:r>
          </w:p>
        </w:tc>
      </w:tr>
      <w:tr w:rsidR="00512E92" w:rsidRPr="00512E92" w14:paraId="3287083D" w14:textId="77777777" w:rsidTr="00151260">
        <w:tc>
          <w:tcPr>
            <w:tcW w:w="0" w:type="auto"/>
            <w:hideMark/>
          </w:tcPr>
          <w:p w14:paraId="21DE84E8" w14:textId="77777777" w:rsidR="00512E92" w:rsidRPr="00512E92" w:rsidRDefault="00512E92" w:rsidP="00512E92">
            <w:r w:rsidRPr="00512E92">
              <w:t>Categorical age (%)</w:t>
            </w:r>
          </w:p>
        </w:tc>
        <w:tc>
          <w:tcPr>
            <w:tcW w:w="0" w:type="auto"/>
            <w:hideMark/>
          </w:tcPr>
          <w:p w14:paraId="709D7439" w14:textId="77777777" w:rsidR="00512E92" w:rsidRPr="00512E92" w:rsidRDefault="00512E92" w:rsidP="00512E92"/>
        </w:tc>
        <w:tc>
          <w:tcPr>
            <w:tcW w:w="0" w:type="auto"/>
            <w:hideMark/>
          </w:tcPr>
          <w:p w14:paraId="63809488" w14:textId="77777777" w:rsidR="00512E92" w:rsidRPr="00512E92" w:rsidRDefault="00512E92" w:rsidP="00512E92"/>
        </w:tc>
        <w:tc>
          <w:tcPr>
            <w:tcW w:w="0" w:type="auto"/>
            <w:hideMark/>
          </w:tcPr>
          <w:p w14:paraId="56CF1FEA" w14:textId="77777777" w:rsidR="00512E92" w:rsidRPr="00512E92" w:rsidRDefault="00512E92" w:rsidP="00512E92"/>
        </w:tc>
        <w:tc>
          <w:tcPr>
            <w:tcW w:w="0" w:type="auto"/>
            <w:hideMark/>
          </w:tcPr>
          <w:p w14:paraId="63082D2C" w14:textId="77777777" w:rsidR="00512E92" w:rsidRPr="00512E92" w:rsidRDefault="00512E92" w:rsidP="00512E92"/>
        </w:tc>
        <w:tc>
          <w:tcPr>
            <w:tcW w:w="0" w:type="auto"/>
            <w:hideMark/>
          </w:tcPr>
          <w:p w14:paraId="4BB9D0AB" w14:textId="77777777" w:rsidR="00512E92" w:rsidRPr="00512E92" w:rsidRDefault="00512E92" w:rsidP="00512E92">
            <w:r w:rsidRPr="00512E92">
              <w:t>&lt;.001</w:t>
            </w:r>
          </w:p>
        </w:tc>
      </w:tr>
      <w:tr w:rsidR="00512E92" w:rsidRPr="00512E92" w14:paraId="50CD4188" w14:textId="77777777" w:rsidTr="00151260">
        <w:tc>
          <w:tcPr>
            <w:tcW w:w="0" w:type="auto"/>
            <w:hideMark/>
          </w:tcPr>
          <w:p w14:paraId="0153D705" w14:textId="77777777" w:rsidR="00512E92" w:rsidRPr="00512E92" w:rsidRDefault="00512E92" w:rsidP="00D857CD">
            <w:pPr>
              <w:ind w:left="244"/>
            </w:pPr>
            <w:r w:rsidRPr="00512E92">
              <w:t>≥65</w:t>
            </w:r>
          </w:p>
        </w:tc>
        <w:tc>
          <w:tcPr>
            <w:tcW w:w="0" w:type="auto"/>
            <w:hideMark/>
          </w:tcPr>
          <w:p w14:paraId="086C798A" w14:textId="77777777" w:rsidR="00512E92" w:rsidRPr="00512E92" w:rsidRDefault="00512E92" w:rsidP="00512E92">
            <w:r w:rsidRPr="00512E92">
              <w:t>145 (55.3)</w:t>
            </w:r>
          </w:p>
        </w:tc>
        <w:tc>
          <w:tcPr>
            <w:tcW w:w="0" w:type="auto"/>
            <w:hideMark/>
          </w:tcPr>
          <w:p w14:paraId="447F68BE" w14:textId="77777777" w:rsidR="00512E92" w:rsidRPr="00512E92" w:rsidRDefault="00512E92" w:rsidP="00512E92">
            <w:r w:rsidRPr="00512E92">
              <w:t>378 (46.4)</w:t>
            </w:r>
          </w:p>
        </w:tc>
        <w:tc>
          <w:tcPr>
            <w:tcW w:w="0" w:type="auto"/>
            <w:hideMark/>
          </w:tcPr>
          <w:p w14:paraId="66E21C8C" w14:textId="77777777" w:rsidR="00512E92" w:rsidRPr="00512E92" w:rsidRDefault="00512E92" w:rsidP="00512E92">
            <w:r w:rsidRPr="00512E92">
              <w:t>176 (59.9)</w:t>
            </w:r>
          </w:p>
        </w:tc>
        <w:tc>
          <w:tcPr>
            <w:tcW w:w="0" w:type="auto"/>
            <w:hideMark/>
          </w:tcPr>
          <w:p w14:paraId="0B6E0F03" w14:textId="77777777" w:rsidR="00512E92" w:rsidRPr="00512E92" w:rsidRDefault="00512E92" w:rsidP="00512E92">
            <w:r w:rsidRPr="00512E92">
              <w:t>1235 (72.4)</w:t>
            </w:r>
          </w:p>
        </w:tc>
        <w:tc>
          <w:tcPr>
            <w:tcW w:w="0" w:type="auto"/>
            <w:hideMark/>
          </w:tcPr>
          <w:p w14:paraId="1842AC00" w14:textId="77777777" w:rsidR="00512E92" w:rsidRPr="00512E92" w:rsidRDefault="00512E92" w:rsidP="00512E92"/>
        </w:tc>
      </w:tr>
      <w:tr w:rsidR="00512E92" w:rsidRPr="00512E92" w14:paraId="4A72117D" w14:textId="77777777" w:rsidTr="00151260">
        <w:tc>
          <w:tcPr>
            <w:tcW w:w="0" w:type="auto"/>
            <w:hideMark/>
          </w:tcPr>
          <w:p w14:paraId="6D57EDD2" w14:textId="77777777" w:rsidR="00512E92" w:rsidRPr="00512E92" w:rsidRDefault="00512E92" w:rsidP="00D857CD">
            <w:pPr>
              <w:ind w:left="244"/>
            </w:pPr>
            <w:r w:rsidRPr="00512E92">
              <w:t>&gt;40–&lt;65</w:t>
            </w:r>
          </w:p>
        </w:tc>
        <w:tc>
          <w:tcPr>
            <w:tcW w:w="0" w:type="auto"/>
            <w:hideMark/>
          </w:tcPr>
          <w:p w14:paraId="614B9550" w14:textId="77777777" w:rsidR="00512E92" w:rsidRPr="00512E92" w:rsidRDefault="00512E92" w:rsidP="00512E92">
            <w:r w:rsidRPr="00512E92">
              <w:t>97 (37.0)</w:t>
            </w:r>
          </w:p>
        </w:tc>
        <w:tc>
          <w:tcPr>
            <w:tcW w:w="0" w:type="auto"/>
            <w:hideMark/>
          </w:tcPr>
          <w:p w14:paraId="2BABFA00" w14:textId="77777777" w:rsidR="00512E92" w:rsidRPr="00512E92" w:rsidRDefault="00512E92" w:rsidP="00512E92">
            <w:r w:rsidRPr="00512E92">
              <w:t>367 (45.0)</w:t>
            </w:r>
          </w:p>
        </w:tc>
        <w:tc>
          <w:tcPr>
            <w:tcW w:w="0" w:type="auto"/>
            <w:hideMark/>
          </w:tcPr>
          <w:p w14:paraId="7FA2A6F7" w14:textId="77777777" w:rsidR="00512E92" w:rsidRPr="00512E92" w:rsidRDefault="00512E92" w:rsidP="00512E92">
            <w:r w:rsidRPr="00512E92">
              <w:t>92 (31.3)</w:t>
            </w:r>
          </w:p>
        </w:tc>
        <w:tc>
          <w:tcPr>
            <w:tcW w:w="0" w:type="auto"/>
            <w:hideMark/>
          </w:tcPr>
          <w:p w14:paraId="1DEC5130" w14:textId="77777777" w:rsidR="00512E92" w:rsidRPr="00512E92" w:rsidRDefault="00512E92" w:rsidP="00512E92">
            <w:r w:rsidRPr="00512E92">
              <w:t>418 (24.5)</w:t>
            </w:r>
          </w:p>
        </w:tc>
        <w:tc>
          <w:tcPr>
            <w:tcW w:w="0" w:type="auto"/>
            <w:hideMark/>
          </w:tcPr>
          <w:p w14:paraId="0DF350DE" w14:textId="77777777" w:rsidR="00512E92" w:rsidRPr="00512E92" w:rsidRDefault="00512E92" w:rsidP="00512E92"/>
        </w:tc>
      </w:tr>
      <w:tr w:rsidR="00512E92" w:rsidRPr="00512E92" w14:paraId="1BACA5A3" w14:textId="77777777" w:rsidTr="00151260">
        <w:tc>
          <w:tcPr>
            <w:tcW w:w="0" w:type="auto"/>
            <w:hideMark/>
          </w:tcPr>
          <w:p w14:paraId="1515D522" w14:textId="77777777" w:rsidR="00512E92" w:rsidRPr="00512E92" w:rsidRDefault="00512E92" w:rsidP="00D857CD">
            <w:pPr>
              <w:ind w:left="244"/>
            </w:pPr>
            <w:r w:rsidRPr="00512E92">
              <w:t>≤40</w:t>
            </w:r>
          </w:p>
        </w:tc>
        <w:tc>
          <w:tcPr>
            <w:tcW w:w="0" w:type="auto"/>
            <w:hideMark/>
          </w:tcPr>
          <w:p w14:paraId="019E4256" w14:textId="77777777" w:rsidR="00512E92" w:rsidRPr="00512E92" w:rsidRDefault="00512E92" w:rsidP="00512E92">
            <w:r w:rsidRPr="00512E92">
              <w:t>20 (7.6)</w:t>
            </w:r>
          </w:p>
        </w:tc>
        <w:tc>
          <w:tcPr>
            <w:tcW w:w="0" w:type="auto"/>
            <w:hideMark/>
          </w:tcPr>
          <w:p w14:paraId="2F638D93" w14:textId="77777777" w:rsidR="00512E92" w:rsidRPr="00512E92" w:rsidRDefault="00512E92" w:rsidP="00512E92">
            <w:r w:rsidRPr="00512E92">
              <w:t>70 (8.6)</w:t>
            </w:r>
          </w:p>
        </w:tc>
        <w:tc>
          <w:tcPr>
            <w:tcW w:w="0" w:type="auto"/>
            <w:hideMark/>
          </w:tcPr>
          <w:p w14:paraId="193AF9F3" w14:textId="77777777" w:rsidR="00512E92" w:rsidRPr="00512E92" w:rsidRDefault="00512E92" w:rsidP="00512E92">
            <w:r w:rsidRPr="00512E92">
              <w:t>26 (8.8)</w:t>
            </w:r>
          </w:p>
        </w:tc>
        <w:tc>
          <w:tcPr>
            <w:tcW w:w="0" w:type="auto"/>
            <w:hideMark/>
          </w:tcPr>
          <w:p w14:paraId="0693B171" w14:textId="77777777" w:rsidR="00512E92" w:rsidRPr="00512E92" w:rsidRDefault="00512E92" w:rsidP="00512E92">
            <w:r w:rsidRPr="00512E92">
              <w:t>53 (3.1)</w:t>
            </w:r>
          </w:p>
        </w:tc>
        <w:tc>
          <w:tcPr>
            <w:tcW w:w="0" w:type="auto"/>
            <w:hideMark/>
          </w:tcPr>
          <w:p w14:paraId="6B0AE2D3" w14:textId="77777777" w:rsidR="00512E92" w:rsidRPr="00512E92" w:rsidRDefault="00512E92" w:rsidP="00512E92"/>
        </w:tc>
      </w:tr>
      <w:tr w:rsidR="00512E92" w:rsidRPr="00512E92" w14:paraId="301149D4" w14:textId="77777777" w:rsidTr="00151260">
        <w:tc>
          <w:tcPr>
            <w:tcW w:w="0" w:type="auto"/>
            <w:hideMark/>
          </w:tcPr>
          <w:p w14:paraId="495B2C84" w14:textId="77777777" w:rsidR="00512E92" w:rsidRPr="00512E92" w:rsidRDefault="00512E92" w:rsidP="00512E92">
            <w:r w:rsidRPr="00512E92">
              <w:t>Male (%)</w:t>
            </w:r>
          </w:p>
        </w:tc>
        <w:tc>
          <w:tcPr>
            <w:tcW w:w="0" w:type="auto"/>
            <w:hideMark/>
          </w:tcPr>
          <w:p w14:paraId="49C796AC" w14:textId="77777777" w:rsidR="00512E92" w:rsidRPr="00512E92" w:rsidRDefault="00512E92" w:rsidP="00512E92">
            <w:r w:rsidRPr="00512E92">
              <w:t>138 (52.7)</w:t>
            </w:r>
          </w:p>
        </w:tc>
        <w:tc>
          <w:tcPr>
            <w:tcW w:w="0" w:type="auto"/>
            <w:hideMark/>
          </w:tcPr>
          <w:p w14:paraId="08EC32B5" w14:textId="77777777" w:rsidR="00512E92" w:rsidRPr="00512E92" w:rsidRDefault="00512E92" w:rsidP="00512E92">
            <w:r w:rsidRPr="00512E92">
              <w:t>450 (55.2)</w:t>
            </w:r>
          </w:p>
        </w:tc>
        <w:tc>
          <w:tcPr>
            <w:tcW w:w="0" w:type="auto"/>
            <w:hideMark/>
          </w:tcPr>
          <w:p w14:paraId="686204A5" w14:textId="77777777" w:rsidR="00512E92" w:rsidRPr="00512E92" w:rsidRDefault="00512E92" w:rsidP="00512E92">
            <w:r w:rsidRPr="00512E92">
              <w:t>158 (53.7)</w:t>
            </w:r>
          </w:p>
        </w:tc>
        <w:tc>
          <w:tcPr>
            <w:tcW w:w="0" w:type="auto"/>
            <w:hideMark/>
          </w:tcPr>
          <w:p w14:paraId="1359254E" w14:textId="77777777" w:rsidR="00512E92" w:rsidRPr="00512E92" w:rsidRDefault="00512E92" w:rsidP="00512E92">
            <w:r w:rsidRPr="00512E92">
              <w:t>932 (54.6)</w:t>
            </w:r>
          </w:p>
        </w:tc>
        <w:tc>
          <w:tcPr>
            <w:tcW w:w="0" w:type="auto"/>
            <w:hideMark/>
          </w:tcPr>
          <w:p w14:paraId="5DF8E25F" w14:textId="77777777" w:rsidR="00512E92" w:rsidRPr="00512E92" w:rsidRDefault="00512E92" w:rsidP="00512E92">
            <w:r w:rsidRPr="00512E92">
              <w:t>.897</w:t>
            </w:r>
          </w:p>
        </w:tc>
      </w:tr>
      <w:tr w:rsidR="00512E92" w:rsidRPr="00512E92" w14:paraId="611694A4" w14:textId="77777777" w:rsidTr="00151260">
        <w:tc>
          <w:tcPr>
            <w:tcW w:w="0" w:type="auto"/>
            <w:hideMark/>
          </w:tcPr>
          <w:p w14:paraId="224A1266" w14:textId="77777777" w:rsidR="00512E92" w:rsidRPr="00512E92" w:rsidRDefault="00512E92" w:rsidP="00512E92">
            <w:r w:rsidRPr="00512E92">
              <w:t>Patient is not independent with ADLs/mobility (%)</w:t>
            </w:r>
          </w:p>
        </w:tc>
        <w:tc>
          <w:tcPr>
            <w:tcW w:w="0" w:type="auto"/>
            <w:hideMark/>
          </w:tcPr>
          <w:p w14:paraId="0EB0985E" w14:textId="77777777" w:rsidR="00512E92" w:rsidRPr="00512E92" w:rsidRDefault="00512E92" w:rsidP="00512E92">
            <w:r w:rsidRPr="00512E92">
              <w:t>50 (19.1)</w:t>
            </w:r>
          </w:p>
        </w:tc>
        <w:tc>
          <w:tcPr>
            <w:tcW w:w="0" w:type="auto"/>
            <w:hideMark/>
          </w:tcPr>
          <w:p w14:paraId="27D2024D" w14:textId="77777777" w:rsidR="00512E92" w:rsidRPr="00512E92" w:rsidRDefault="00512E92" w:rsidP="00512E92">
            <w:r w:rsidRPr="00512E92">
              <w:t>132 (16.2)</w:t>
            </w:r>
          </w:p>
        </w:tc>
        <w:tc>
          <w:tcPr>
            <w:tcW w:w="0" w:type="auto"/>
            <w:hideMark/>
          </w:tcPr>
          <w:p w14:paraId="3EAF07A2" w14:textId="77777777" w:rsidR="00512E92" w:rsidRPr="00512E92" w:rsidRDefault="00512E92" w:rsidP="00512E92">
            <w:r w:rsidRPr="00512E92">
              <w:t>69 (23.5)</w:t>
            </w:r>
          </w:p>
        </w:tc>
        <w:tc>
          <w:tcPr>
            <w:tcW w:w="0" w:type="auto"/>
            <w:hideMark/>
          </w:tcPr>
          <w:p w14:paraId="5BC4AC83" w14:textId="77777777" w:rsidR="00512E92" w:rsidRPr="00512E92" w:rsidRDefault="00512E92" w:rsidP="00512E92">
            <w:r w:rsidRPr="00512E92">
              <w:t>442 (25.9)</w:t>
            </w:r>
          </w:p>
        </w:tc>
        <w:tc>
          <w:tcPr>
            <w:tcW w:w="0" w:type="auto"/>
            <w:hideMark/>
          </w:tcPr>
          <w:p w14:paraId="231B158D" w14:textId="77777777" w:rsidR="00512E92" w:rsidRPr="00512E92" w:rsidRDefault="00512E92" w:rsidP="00512E92">
            <w:r w:rsidRPr="00512E92">
              <w:t>&lt;.001</w:t>
            </w:r>
          </w:p>
        </w:tc>
      </w:tr>
      <w:tr w:rsidR="00512E92" w:rsidRPr="00512E92" w14:paraId="5E0ED272" w14:textId="77777777" w:rsidTr="00151260">
        <w:tc>
          <w:tcPr>
            <w:tcW w:w="0" w:type="auto"/>
            <w:hideMark/>
          </w:tcPr>
          <w:p w14:paraId="3A51504A" w14:textId="77777777" w:rsidR="00512E92" w:rsidRPr="00512E92" w:rsidRDefault="00512E92" w:rsidP="00512E92">
            <w:r w:rsidRPr="00512E92">
              <w:t>Assistive mobility device used (%)</w:t>
            </w:r>
          </w:p>
        </w:tc>
        <w:tc>
          <w:tcPr>
            <w:tcW w:w="0" w:type="auto"/>
            <w:hideMark/>
          </w:tcPr>
          <w:p w14:paraId="5C81F242" w14:textId="77777777" w:rsidR="00512E92" w:rsidRPr="00512E92" w:rsidRDefault="00512E92" w:rsidP="00512E92">
            <w:r w:rsidRPr="00512E92">
              <w:t>66 (25.2)</w:t>
            </w:r>
          </w:p>
        </w:tc>
        <w:tc>
          <w:tcPr>
            <w:tcW w:w="0" w:type="auto"/>
            <w:hideMark/>
          </w:tcPr>
          <w:p w14:paraId="0037C3D8" w14:textId="77777777" w:rsidR="00512E92" w:rsidRPr="00512E92" w:rsidRDefault="00512E92" w:rsidP="00512E92">
            <w:r w:rsidRPr="00512E92">
              <w:t>111 (13.6)</w:t>
            </w:r>
          </w:p>
        </w:tc>
        <w:tc>
          <w:tcPr>
            <w:tcW w:w="0" w:type="auto"/>
            <w:hideMark/>
          </w:tcPr>
          <w:p w14:paraId="7660DE3A" w14:textId="77777777" w:rsidR="00512E92" w:rsidRPr="00512E92" w:rsidRDefault="00512E92" w:rsidP="00512E92">
            <w:r w:rsidRPr="00512E92">
              <w:t>41 (13.9)</w:t>
            </w:r>
          </w:p>
        </w:tc>
        <w:tc>
          <w:tcPr>
            <w:tcW w:w="0" w:type="auto"/>
            <w:hideMark/>
          </w:tcPr>
          <w:p w14:paraId="7D3A5014" w14:textId="77777777" w:rsidR="00512E92" w:rsidRPr="00512E92" w:rsidRDefault="00512E92" w:rsidP="00512E92">
            <w:r w:rsidRPr="00512E92">
              <w:t>451 (25.9)</w:t>
            </w:r>
          </w:p>
        </w:tc>
        <w:tc>
          <w:tcPr>
            <w:tcW w:w="0" w:type="auto"/>
            <w:hideMark/>
          </w:tcPr>
          <w:p w14:paraId="411F04FA" w14:textId="77777777" w:rsidR="00512E92" w:rsidRPr="00512E92" w:rsidRDefault="00512E92" w:rsidP="00512E92">
            <w:r w:rsidRPr="00512E92">
              <w:t>&lt;.001</w:t>
            </w:r>
          </w:p>
        </w:tc>
      </w:tr>
      <w:tr w:rsidR="00512E92" w:rsidRPr="00512E92" w14:paraId="7F3B977C" w14:textId="77777777" w:rsidTr="00151260">
        <w:tc>
          <w:tcPr>
            <w:tcW w:w="0" w:type="auto"/>
            <w:hideMark/>
          </w:tcPr>
          <w:p w14:paraId="79AC4144" w14:textId="77777777" w:rsidR="00512E92" w:rsidRPr="00512E92" w:rsidRDefault="00512E92" w:rsidP="00512E92">
            <w:r w:rsidRPr="00512E92">
              <w:t>Patient using mobility device AND not independent with ADLs and/or mobility (%)</w:t>
            </w:r>
          </w:p>
        </w:tc>
        <w:tc>
          <w:tcPr>
            <w:tcW w:w="0" w:type="auto"/>
            <w:hideMark/>
          </w:tcPr>
          <w:p w14:paraId="6050D672" w14:textId="77777777" w:rsidR="00512E92" w:rsidRPr="00512E92" w:rsidRDefault="00512E92" w:rsidP="00512E92">
            <w:r w:rsidRPr="00512E92">
              <w:t>23 (8.8)</w:t>
            </w:r>
          </w:p>
        </w:tc>
        <w:tc>
          <w:tcPr>
            <w:tcW w:w="0" w:type="auto"/>
            <w:hideMark/>
          </w:tcPr>
          <w:p w14:paraId="183FC04A" w14:textId="77777777" w:rsidR="00512E92" w:rsidRPr="00512E92" w:rsidRDefault="00512E92" w:rsidP="00512E92">
            <w:r w:rsidRPr="00512E92">
              <w:t>38 (4.7)</w:t>
            </w:r>
          </w:p>
        </w:tc>
        <w:tc>
          <w:tcPr>
            <w:tcW w:w="0" w:type="auto"/>
            <w:hideMark/>
          </w:tcPr>
          <w:p w14:paraId="60C0876F" w14:textId="45BC03DE" w:rsidR="00512E92" w:rsidRPr="00512E92" w:rsidRDefault="00512E92" w:rsidP="00512E92">
            <w:r w:rsidRPr="00512E92">
              <w:t>&lt;20</w:t>
            </w:r>
            <w:r w:rsidRPr="00E5631F">
              <w:t>a</w:t>
            </w:r>
          </w:p>
        </w:tc>
        <w:tc>
          <w:tcPr>
            <w:tcW w:w="0" w:type="auto"/>
            <w:hideMark/>
          </w:tcPr>
          <w:p w14:paraId="5518A223" w14:textId="77777777" w:rsidR="00512E92" w:rsidRPr="00512E92" w:rsidRDefault="00512E92" w:rsidP="00512E92">
            <w:r w:rsidRPr="00512E92">
              <w:t>189 (11.1)</w:t>
            </w:r>
          </w:p>
        </w:tc>
        <w:tc>
          <w:tcPr>
            <w:tcW w:w="0" w:type="auto"/>
            <w:hideMark/>
          </w:tcPr>
          <w:p w14:paraId="2D10F960" w14:textId="77777777" w:rsidR="00512E92" w:rsidRPr="00512E92" w:rsidRDefault="00512E92" w:rsidP="00512E92">
            <w:r w:rsidRPr="00512E92">
              <w:t>&lt;.001</w:t>
            </w:r>
          </w:p>
        </w:tc>
      </w:tr>
      <w:tr w:rsidR="00512E92" w:rsidRPr="00512E92" w14:paraId="42780B84" w14:textId="77777777" w:rsidTr="00151260">
        <w:tc>
          <w:tcPr>
            <w:tcW w:w="0" w:type="auto"/>
            <w:hideMark/>
          </w:tcPr>
          <w:p w14:paraId="2C2F786B" w14:textId="77777777" w:rsidR="00512E92" w:rsidRPr="00512E92" w:rsidRDefault="00512E92" w:rsidP="00512E92">
            <w:r w:rsidRPr="00512E92">
              <w:t>Payer source (%)</w:t>
            </w:r>
          </w:p>
        </w:tc>
        <w:tc>
          <w:tcPr>
            <w:tcW w:w="0" w:type="auto"/>
            <w:hideMark/>
          </w:tcPr>
          <w:p w14:paraId="342B6AD4" w14:textId="77777777" w:rsidR="00512E92" w:rsidRPr="00512E92" w:rsidRDefault="00512E92" w:rsidP="00512E92"/>
        </w:tc>
        <w:tc>
          <w:tcPr>
            <w:tcW w:w="0" w:type="auto"/>
            <w:hideMark/>
          </w:tcPr>
          <w:p w14:paraId="00AE0536" w14:textId="77777777" w:rsidR="00512E92" w:rsidRPr="00512E92" w:rsidRDefault="00512E92" w:rsidP="00512E92"/>
        </w:tc>
        <w:tc>
          <w:tcPr>
            <w:tcW w:w="0" w:type="auto"/>
            <w:hideMark/>
          </w:tcPr>
          <w:p w14:paraId="2F0A92F4" w14:textId="77777777" w:rsidR="00512E92" w:rsidRPr="00512E92" w:rsidRDefault="00512E92" w:rsidP="00512E92"/>
        </w:tc>
        <w:tc>
          <w:tcPr>
            <w:tcW w:w="0" w:type="auto"/>
            <w:hideMark/>
          </w:tcPr>
          <w:p w14:paraId="43B4662B" w14:textId="77777777" w:rsidR="00512E92" w:rsidRPr="00512E92" w:rsidRDefault="00512E92" w:rsidP="00512E92"/>
        </w:tc>
        <w:tc>
          <w:tcPr>
            <w:tcW w:w="0" w:type="auto"/>
            <w:hideMark/>
          </w:tcPr>
          <w:p w14:paraId="7AC0688E" w14:textId="77777777" w:rsidR="00512E92" w:rsidRPr="00512E92" w:rsidRDefault="00512E92" w:rsidP="00512E92">
            <w:r w:rsidRPr="00512E92">
              <w:t>&lt;.001</w:t>
            </w:r>
          </w:p>
        </w:tc>
      </w:tr>
      <w:tr w:rsidR="00512E92" w:rsidRPr="00512E92" w14:paraId="5954CEAB" w14:textId="77777777" w:rsidTr="00151260">
        <w:tc>
          <w:tcPr>
            <w:tcW w:w="0" w:type="auto"/>
            <w:hideMark/>
          </w:tcPr>
          <w:p w14:paraId="125EB194" w14:textId="77777777" w:rsidR="00512E92" w:rsidRPr="00512E92" w:rsidRDefault="00512E92" w:rsidP="00D857CD">
            <w:pPr>
              <w:ind w:left="244"/>
            </w:pPr>
            <w:r w:rsidRPr="00512E92">
              <w:t>Commercial</w:t>
            </w:r>
          </w:p>
        </w:tc>
        <w:tc>
          <w:tcPr>
            <w:tcW w:w="0" w:type="auto"/>
            <w:hideMark/>
          </w:tcPr>
          <w:p w14:paraId="55CF4073" w14:textId="77777777" w:rsidR="00512E92" w:rsidRPr="00512E92" w:rsidRDefault="00512E92" w:rsidP="00512E92">
            <w:r w:rsidRPr="00512E92">
              <w:t>37 (14.1)</w:t>
            </w:r>
          </w:p>
        </w:tc>
        <w:tc>
          <w:tcPr>
            <w:tcW w:w="0" w:type="auto"/>
            <w:hideMark/>
          </w:tcPr>
          <w:p w14:paraId="0AE852C6" w14:textId="77777777" w:rsidR="00512E92" w:rsidRPr="00512E92" w:rsidRDefault="00512E92" w:rsidP="00512E92">
            <w:r w:rsidRPr="00512E92">
              <w:t>137 (16.8)</w:t>
            </w:r>
          </w:p>
        </w:tc>
        <w:tc>
          <w:tcPr>
            <w:tcW w:w="0" w:type="auto"/>
            <w:hideMark/>
          </w:tcPr>
          <w:p w14:paraId="0DBC24FD" w14:textId="77777777" w:rsidR="00512E92" w:rsidRPr="00512E92" w:rsidRDefault="00512E92" w:rsidP="00512E92">
            <w:r w:rsidRPr="00512E92">
              <w:t>49 (16.7)</w:t>
            </w:r>
          </w:p>
        </w:tc>
        <w:tc>
          <w:tcPr>
            <w:tcW w:w="0" w:type="auto"/>
            <w:hideMark/>
          </w:tcPr>
          <w:p w14:paraId="05E3B416" w14:textId="77777777" w:rsidR="00512E92" w:rsidRPr="00512E92" w:rsidRDefault="00512E92" w:rsidP="00512E92">
            <w:r w:rsidRPr="00512E92">
              <w:t>263 (15.4)</w:t>
            </w:r>
          </w:p>
        </w:tc>
        <w:tc>
          <w:tcPr>
            <w:tcW w:w="0" w:type="auto"/>
            <w:hideMark/>
          </w:tcPr>
          <w:p w14:paraId="0B806FFC" w14:textId="77777777" w:rsidR="00512E92" w:rsidRPr="00512E92" w:rsidRDefault="00512E92" w:rsidP="00512E92"/>
        </w:tc>
      </w:tr>
      <w:tr w:rsidR="00512E92" w:rsidRPr="00512E92" w14:paraId="7F087B20" w14:textId="77777777" w:rsidTr="00151260">
        <w:tc>
          <w:tcPr>
            <w:tcW w:w="0" w:type="auto"/>
            <w:hideMark/>
          </w:tcPr>
          <w:p w14:paraId="258951D6" w14:textId="77777777" w:rsidR="00512E92" w:rsidRPr="00512E92" w:rsidRDefault="00512E92" w:rsidP="00D857CD">
            <w:pPr>
              <w:ind w:left="244"/>
            </w:pPr>
            <w:r w:rsidRPr="00512E92">
              <w:t>Medicaid</w:t>
            </w:r>
          </w:p>
        </w:tc>
        <w:tc>
          <w:tcPr>
            <w:tcW w:w="0" w:type="auto"/>
            <w:hideMark/>
          </w:tcPr>
          <w:p w14:paraId="20153ECF" w14:textId="77777777" w:rsidR="00512E92" w:rsidRPr="00512E92" w:rsidRDefault="00512E92" w:rsidP="00512E92">
            <w:r w:rsidRPr="00512E92">
              <w:t>57 (21.8)</w:t>
            </w:r>
          </w:p>
        </w:tc>
        <w:tc>
          <w:tcPr>
            <w:tcW w:w="0" w:type="auto"/>
            <w:hideMark/>
          </w:tcPr>
          <w:p w14:paraId="6A174A49" w14:textId="77777777" w:rsidR="00512E92" w:rsidRPr="00512E92" w:rsidRDefault="00512E92" w:rsidP="00512E92">
            <w:r w:rsidRPr="00512E92">
              <w:t>189 (23.2)</w:t>
            </w:r>
          </w:p>
        </w:tc>
        <w:tc>
          <w:tcPr>
            <w:tcW w:w="0" w:type="auto"/>
            <w:hideMark/>
          </w:tcPr>
          <w:p w14:paraId="1A89D07A" w14:textId="77777777" w:rsidR="00512E92" w:rsidRPr="00512E92" w:rsidRDefault="00512E92" w:rsidP="00512E92">
            <w:r w:rsidRPr="00512E92">
              <w:t>62 (21.1)</w:t>
            </w:r>
          </w:p>
        </w:tc>
        <w:tc>
          <w:tcPr>
            <w:tcW w:w="0" w:type="auto"/>
            <w:hideMark/>
          </w:tcPr>
          <w:p w14:paraId="340F98C2" w14:textId="77777777" w:rsidR="00512E92" w:rsidRPr="00512E92" w:rsidRDefault="00512E92" w:rsidP="00512E92">
            <w:r w:rsidRPr="00512E92">
              <w:t>131 (7.7)</w:t>
            </w:r>
          </w:p>
        </w:tc>
        <w:tc>
          <w:tcPr>
            <w:tcW w:w="0" w:type="auto"/>
            <w:hideMark/>
          </w:tcPr>
          <w:p w14:paraId="55642C68" w14:textId="77777777" w:rsidR="00512E92" w:rsidRPr="00512E92" w:rsidRDefault="00512E92" w:rsidP="00512E92"/>
        </w:tc>
      </w:tr>
      <w:tr w:rsidR="00512E92" w:rsidRPr="00512E92" w14:paraId="1F6A2871" w14:textId="77777777" w:rsidTr="00151260">
        <w:tc>
          <w:tcPr>
            <w:tcW w:w="0" w:type="auto"/>
            <w:hideMark/>
          </w:tcPr>
          <w:p w14:paraId="036889AB" w14:textId="77777777" w:rsidR="00512E92" w:rsidRPr="00512E92" w:rsidRDefault="00512E92" w:rsidP="00D857CD">
            <w:pPr>
              <w:ind w:left="244"/>
            </w:pPr>
            <w:r w:rsidRPr="00512E92">
              <w:t>Medicare</w:t>
            </w:r>
          </w:p>
        </w:tc>
        <w:tc>
          <w:tcPr>
            <w:tcW w:w="0" w:type="auto"/>
            <w:hideMark/>
          </w:tcPr>
          <w:p w14:paraId="5C760F28" w14:textId="77777777" w:rsidR="00512E92" w:rsidRPr="00512E92" w:rsidRDefault="00512E92" w:rsidP="00512E92">
            <w:r w:rsidRPr="00512E92">
              <w:t>153 (58.4)</w:t>
            </w:r>
          </w:p>
        </w:tc>
        <w:tc>
          <w:tcPr>
            <w:tcW w:w="0" w:type="auto"/>
            <w:hideMark/>
          </w:tcPr>
          <w:p w14:paraId="3830478D" w14:textId="77777777" w:rsidR="00512E92" w:rsidRPr="00512E92" w:rsidRDefault="00512E92" w:rsidP="00512E92">
            <w:r w:rsidRPr="00512E92">
              <w:t>337 (41.3)</w:t>
            </w:r>
          </w:p>
        </w:tc>
        <w:tc>
          <w:tcPr>
            <w:tcW w:w="0" w:type="auto"/>
            <w:hideMark/>
          </w:tcPr>
          <w:p w14:paraId="2F35B3C8" w14:textId="77777777" w:rsidR="00512E92" w:rsidRPr="00512E92" w:rsidRDefault="00512E92" w:rsidP="00512E92">
            <w:r w:rsidRPr="00512E92">
              <w:t>148 (50.3)</w:t>
            </w:r>
          </w:p>
        </w:tc>
        <w:tc>
          <w:tcPr>
            <w:tcW w:w="0" w:type="auto"/>
            <w:hideMark/>
          </w:tcPr>
          <w:p w14:paraId="3A3EC50A" w14:textId="77777777" w:rsidR="00512E92" w:rsidRPr="00512E92" w:rsidRDefault="00512E92" w:rsidP="00512E92">
            <w:r w:rsidRPr="00512E92">
              <w:t>1235 (72.4)</w:t>
            </w:r>
          </w:p>
        </w:tc>
        <w:tc>
          <w:tcPr>
            <w:tcW w:w="0" w:type="auto"/>
            <w:hideMark/>
          </w:tcPr>
          <w:p w14:paraId="1519F21E" w14:textId="77777777" w:rsidR="00512E92" w:rsidRPr="00512E92" w:rsidRDefault="00512E92" w:rsidP="00512E92"/>
        </w:tc>
      </w:tr>
      <w:tr w:rsidR="00512E92" w:rsidRPr="00512E92" w14:paraId="7141E1E6" w14:textId="77777777" w:rsidTr="00151260">
        <w:tc>
          <w:tcPr>
            <w:tcW w:w="0" w:type="auto"/>
            <w:hideMark/>
          </w:tcPr>
          <w:p w14:paraId="469E2BBA" w14:textId="77777777" w:rsidR="00512E92" w:rsidRPr="00512E92" w:rsidRDefault="00512E92" w:rsidP="00D857CD">
            <w:pPr>
              <w:ind w:left="244"/>
            </w:pPr>
            <w:r w:rsidRPr="00512E92">
              <w:t>Other/unknown</w:t>
            </w:r>
          </w:p>
        </w:tc>
        <w:tc>
          <w:tcPr>
            <w:tcW w:w="0" w:type="auto"/>
            <w:hideMark/>
          </w:tcPr>
          <w:p w14:paraId="3D004CA5" w14:textId="77777777" w:rsidR="00512E92" w:rsidRPr="00512E92" w:rsidRDefault="00512E92" w:rsidP="00512E92">
            <w:r w:rsidRPr="00512E92">
              <w:t>15 (5.7)</w:t>
            </w:r>
          </w:p>
        </w:tc>
        <w:tc>
          <w:tcPr>
            <w:tcW w:w="0" w:type="auto"/>
            <w:hideMark/>
          </w:tcPr>
          <w:p w14:paraId="4F893A1F" w14:textId="77777777" w:rsidR="00512E92" w:rsidRPr="00512E92" w:rsidRDefault="00512E92" w:rsidP="00512E92">
            <w:r w:rsidRPr="00512E92">
              <w:t>152 (18.7)</w:t>
            </w:r>
          </w:p>
        </w:tc>
        <w:tc>
          <w:tcPr>
            <w:tcW w:w="0" w:type="auto"/>
            <w:hideMark/>
          </w:tcPr>
          <w:p w14:paraId="5E878B7B" w14:textId="77777777" w:rsidR="00512E92" w:rsidRPr="00512E92" w:rsidRDefault="00512E92" w:rsidP="00512E92">
            <w:r w:rsidRPr="00512E92">
              <w:t>35 (11.9)</w:t>
            </w:r>
          </w:p>
        </w:tc>
        <w:tc>
          <w:tcPr>
            <w:tcW w:w="0" w:type="auto"/>
            <w:hideMark/>
          </w:tcPr>
          <w:p w14:paraId="10FECDD2" w14:textId="77777777" w:rsidR="00512E92" w:rsidRPr="00512E92" w:rsidRDefault="00512E92" w:rsidP="00512E92">
            <w:r w:rsidRPr="00512E92">
              <w:t>77 (4.5)</w:t>
            </w:r>
          </w:p>
        </w:tc>
        <w:tc>
          <w:tcPr>
            <w:tcW w:w="0" w:type="auto"/>
            <w:hideMark/>
          </w:tcPr>
          <w:p w14:paraId="1A2AA67E" w14:textId="77777777" w:rsidR="00512E92" w:rsidRPr="00512E92" w:rsidRDefault="00512E92" w:rsidP="00512E92"/>
        </w:tc>
      </w:tr>
      <w:tr w:rsidR="00512E92" w:rsidRPr="00512E92" w14:paraId="18F70973" w14:textId="77777777" w:rsidTr="00151260">
        <w:tc>
          <w:tcPr>
            <w:tcW w:w="0" w:type="auto"/>
            <w:hideMark/>
          </w:tcPr>
          <w:p w14:paraId="07842241" w14:textId="77777777" w:rsidR="00512E92" w:rsidRPr="00512E92" w:rsidRDefault="00512E92" w:rsidP="00512E92">
            <w:r w:rsidRPr="00512E92">
              <w:t>Translation services utilized for language (%)</w:t>
            </w:r>
          </w:p>
        </w:tc>
        <w:tc>
          <w:tcPr>
            <w:tcW w:w="0" w:type="auto"/>
            <w:hideMark/>
          </w:tcPr>
          <w:p w14:paraId="7322C817" w14:textId="4FE4A671" w:rsidR="00512E92" w:rsidRPr="00512E92" w:rsidRDefault="00512E92" w:rsidP="00512E92">
            <w:r w:rsidRPr="00512E92">
              <w:t>&lt;20</w:t>
            </w:r>
            <w:r w:rsidRPr="00E5631F">
              <w:t>a</w:t>
            </w:r>
          </w:p>
        </w:tc>
        <w:tc>
          <w:tcPr>
            <w:tcW w:w="0" w:type="auto"/>
            <w:hideMark/>
          </w:tcPr>
          <w:p w14:paraId="18630834" w14:textId="77777777" w:rsidR="00512E92" w:rsidRPr="00512E92" w:rsidRDefault="00512E92" w:rsidP="00512E92">
            <w:r w:rsidRPr="00512E92">
              <w:t>374 (45.9)</w:t>
            </w:r>
          </w:p>
        </w:tc>
        <w:tc>
          <w:tcPr>
            <w:tcW w:w="0" w:type="auto"/>
            <w:hideMark/>
          </w:tcPr>
          <w:p w14:paraId="2A3E7175" w14:textId="77777777" w:rsidR="00512E92" w:rsidRPr="00512E92" w:rsidRDefault="00512E92" w:rsidP="00512E92">
            <w:r w:rsidRPr="00512E92">
              <w:t>82 (27.9)</w:t>
            </w:r>
          </w:p>
        </w:tc>
        <w:tc>
          <w:tcPr>
            <w:tcW w:w="0" w:type="auto"/>
            <w:hideMark/>
          </w:tcPr>
          <w:p w14:paraId="389362AE" w14:textId="493C1BF3" w:rsidR="00512E92" w:rsidRPr="00512E92" w:rsidRDefault="00512E92" w:rsidP="00512E92">
            <w:r w:rsidRPr="00512E92">
              <w:t>&lt;20</w:t>
            </w:r>
            <w:r w:rsidRPr="00E5631F">
              <w:t>a</w:t>
            </w:r>
          </w:p>
        </w:tc>
        <w:tc>
          <w:tcPr>
            <w:tcW w:w="0" w:type="auto"/>
            <w:hideMark/>
          </w:tcPr>
          <w:p w14:paraId="093D8A80" w14:textId="77777777" w:rsidR="00512E92" w:rsidRPr="00512E92" w:rsidRDefault="00512E92" w:rsidP="00512E92">
            <w:r w:rsidRPr="00512E92">
              <w:t>&lt;.001</w:t>
            </w:r>
          </w:p>
        </w:tc>
      </w:tr>
      <w:tr w:rsidR="00512E92" w:rsidRPr="00512E92" w14:paraId="0EE5F64E" w14:textId="77777777" w:rsidTr="00151260">
        <w:tc>
          <w:tcPr>
            <w:tcW w:w="0" w:type="auto"/>
            <w:hideMark/>
          </w:tcPr>
          <w:p w14:paraId="5832360D" w14:textId="77777777" w:rsidR="00512E92" w:rsidRPr="00512E92" w:rsidRDefault="00512E92" w:rsidP="00512E92">
            <w:r w:rsidRPr="00512E92">
              <w:t>Mean body mass index (SD)</w:t>
            </w:r>
          </w:p>
        </w:tc>
        <w:tc>
          <w:tcPr>
            <w:tcW w:w="0" w:type="auto"/>
            <w:hideMark/>
          </w:tcPr>
          <w:p w14:paraId="1950702F" w14:textId="77777777" w:rsidR="00512E92" w:rsidRPr="00512E92" w:rsidRDefault="00512E92" w:rsidP="00512E92">
            <w:r w:rsidRPr="00512E92">
              <w:t>31.13 (7.49)</w:t>
            </w:r>
          </w:p>
        </w:tc>
        <w:tc>
          <w:tcPr>
            <w:tcW w:w="0" w:type="auto"/>
            <w:hideMark/>
          </w:tcPr>
          <w:p w14:paraId="3DEC7E49" w14:textId="77777777" w:rsidR="00512E92" w:rsidRPr="00512E92" w:rsidRDefault="00512E92" w:rsidP="00512E92">
            <w:r w:rsidRPr="00512E92">
              <w:t>31.61 (8.10)</w:t>
            </w:r>
          </w:p>
        </w:tc>
        <w:tc>
          <w:tcPr>
            <w:tcW w:w="0" w:type="auto"/>
            <w:hideMark/>
          </w:tcPr>
          <w:p w14:paraId="34B58DBD" w14:textId="77777777" w:rsidR="00512E92" w:rsidRPr="00512E92" w:rsidRDefault="00512E92" w:rsidP="00512E92">
            <w:r w:rsidRPr="00512E92">
              <w:t>27.81 (6.61)</w:t>
            </w:r>
          </w:p>
        </w:tc>
        <w:tc>
          <w:tcPr>
            <w:tcW w:w="0" w:type="auto"/>
            <w:hideMark/>
          </w:tcPr>
          <w:p w14:paraId="340B4F9F" w14:textId="77777777" w:rsidR="00512E92" w:rsidRPr="00512E92" w:rsidRDefault="00512E92" w:rsidP="00512E92">
            <w:r w:rsidRPr="00512E92">
              <w:t>29.88 (7.86)</w:t>
            </w:r>
          </w:p>
        </w:tc>
        <w:tc>
          <w:tcPr>
            <w:tcW w:w="0" w:type="auto"/>
            <w:hideMark/>
          </w:tcPr>
          <w:p w14:paraId="30FA56F0" w14:textId="77777777" w:rsidR="00512E92" w:rsidRPr="00512E92" w:rsidRDefault="00512E92" w:rsidP="00512E92">
            <w:r w:rsidRPr="00512E92">
              <w:t>&lt;.001</w:t>
            </w:r>
          </w:p>
        </w:tc>
      </w:tr>
      <w:tr w:rsidR="00512E92" w:rsidRPr="00512E92" w14:paraId="71BDA95A" w14:textId="77777777" w:rsidTr="00151260">
        <w:tc>
          <w:tcPr>
            <w:tcW w:w="0" w:type="auto"/>
            <w:hideMark/>
          </w:tcPr>
          <w:p w14:paraId="2726BBE5" w14:textId="77777777" w:rsidR="00512E92" w:rsidRPr="00512E92" w:rsidRDefault="00512E92" w:rsidP="00512E92">
            <w:r w:rsidRPr="00512E92">
              <w:t>Discharged to home (%)</w:t>
            </w:r>
          </w:p>
        </w:tc>
        <w:tc>
          <w:tcPr>
            <w:tcW w:w="0" w:type="auto"/>
            <w:hideMark/>
          </w:tcPr>
          <w:p w14:paraId="14030474" w14:textId="77777777" w:rsidR="00512E92" w:rsidRPr="00512E92" w:rsidRDefault="00512E92" w:rsidP="00512E92">
            <w:r w:rsidRPr="00512E92">
              <w:t>114 (43.5)</w:t>
            </w:r>
          </w:p>
        </w:tc>
        <w:tc>
          <w:tcPr>
            <w:tcW w:w="0" w:type="auto"/>
            <w:hideMark/>
          </w:tcPr>
          <w:p w14:paraId="52CE9BD3" w14:textId="77777777" w:rsidR="00512E92" w:rsidRPr="00512E92" w:rsidRDefault="00512E92" w:rsidP="00512E92">
            <w:r w:rsidRPr="00512E92">
              <w:t>414 (50.8)</w:t>
            </w:r>
          </w:p>
        </w:tc>
        <w:tc>
          <w:tcPr>
            <w:tcW w:w="0" w:type="auto"/>
            <w:hideMark/>
          </w:tcPr>
          <w:p w14:paraId="5B3CC4A5" w14:textId="77777777" w:rsidR="00512E92" w:rsidRPr="00512E92" w:rsidRDefault="00512E92" w:rsidP="00512E92">
            <w:r w:rsidRPr="00512E92">
              <w:t>142 (48.3)</w:t>
            </w:r>
          </w:p>
        </w:tc>
        <w:tc>
          <w:tcPr>
            <w:tcW w:w="0" w:type="auto"/>
            <w:hideMark/>
          </w:tcPr>
          <w:p w14:paraId="4550C35C" w14:textId="77777777" w:rsidR="00512E92" w:rsidRPr="00512E92" w:rsidRDefault="00512E92" w:rsidP="00512E92">
            <w:r w:rsidRPr="00512E92">
              <w:t>716 (42.0)</w:t>
            </w:r>
          </w:p>
        </w:tc>
        <w:tc>
          <w:tcPr>
            <w:tcW w:w="0" w:type="auto"/>
            <w:hideMark/>
          </w:tcPr>
          <w:p w14:paraId="46637CF5" w14:textId="77777777" w:rsidR="00512E92" w:rsidRPr="00512E92" w:rsidRDefault="00512E92" w:rsidP="00512E92">
            <w:r w:rsidRPr="00512E92">
              <w:t>&lt;.001</w:t>
            </w:r>
          </w:p>
        </w:tc>
      </w:tr>
      <w:tr w:rsidR="00512E92" w:rsidRPr="00512E92" w14:paraId="7584C430" w14:textId="77777777" w:rsidTr="00151260">
        <w:tc>
          <w:tcPr>
            <w:tcW w:w="0" w:type="auto"/>
            <w:hideMark/>
          </w:tcPr>
          <w:p w14:paraId="1416E68C" w14:textId="77777777" w:rsidR="00512E92" w:rsidRPr="00512E92" w:rsidRDefault="00512E92" w:rsidP="00512E92">
            <w:r w:rsidRPr="00512E92">
              <w:t>Admitted to the ICU (%)</w:t>
            </w:r>
          </w:p>
        </w:tc>
        <w:tc>
          <w:tcPr>
            <w:tcW w:w="0" w:type="auto"/>
            <w:hideMark/>
          </w:tcPr>
          <w:p w14:paraId="4D973E48" w14:textId="77777777" w:rsidR="00512E92" w:rsidRPr="00512E92" w:rsidRDefault="00512E92" w:rsidP="00512E92">
            <w:r w:rsidRPr="00512E92">
              <w:t>114 (43.5)</w:t>
            </w:r>
          </w:p>
        </w:tc>
        <w:tc>
          <w:tcPr>
            <w:tcW w:w="0" w:type="auto"/>
            <w:hideMark/>
          </w:tcPr>
          <w:p w14:paraId="3E3D3D8D" w14:textId="77777777" w:rsidR="00512E92" w:rsidRPr="00512E92" w:rsidRDefault="00512E92" w:rsidP="00512E92">
            <w:r w:rsidRPr="00512E92">
              <w:t>406 (49.8)</w:t>
            </w:r>
          </w:p>
        </w:tc>
        <w:tc>
          <w:tcPr>
            <w:tcW w:w="0" w:type="auto"/>
            <w:hideMark/>
          </w:tcPr>
          <w:p w14:paraId="4E6F2B8E" w14:textId="77777777" w:rsidR="00512E92" w:rsidRPr="00512E92" w:rsidRDefault="00512E92" w:rsidP="00512E92">
            <w:r w:rsidRPr="00512E92">
              <w:t>126 (42.9)</w:t>
            </w:r>
          </w:p>
        </w:tc>
        <w:tc>
          <w:tcPr>
            <w:tcW w:w="0" w:type="auto"/>
            <w:hideMark/>
          </w:tcPr>
          <w:p w14:paraId="19E6BE8E" w14:textId="77777777" w:rsidR="00512E92" w:rsidRPr="00512E92" w:rsidRDefault="00512E92" w:rsidP="00512E92">
            <w:r w:rsidRPr="00512E92">
              <w:t>447 (26.2)</w:t>
            </w:r>
          </w:p>
        </w:tc>
        <w:tc>
          <w:tcPr>
            <w:tcW w:w="0" w:type="auto"/>
            <w:hideMark/>
          </w:tcPr>
          <w:p w14:paraId="44290A81" w14:textId="77777777" w:rsidR="00512E92" w:rsidRPr="00512E92" w:rsidRDefault="00512E92" w:rsidP="00512E92">
            <w:r w:rsidRPr="00512E92">
              <w:t>&lt;.001</w:t>
            </w:r>
          </w:p>
        </w:tc>
      </w:tr>
      <w:tr w:rsidR="00512E92" w:rsidRPr="00512E92" w14:paraId="75574BE2" w14:textId="77777777" w:rsidTr="00151260">
        <w:tc>
          <w:tcPr>
            <w:tcW w:w="0" w:type="auto"/>
            <w:hideMark/>
          </w:tcPr>
          <w:p w14:paraId="016750AA" w14:textId="77777777" w:rsidR="00512E92" w:rsidRPr="00512E92" w:rsidRDefault="00512E92" w:rsidP="00512E92">
            <w:r w:rsidRPr="00512E92">
              <w:t>Median days to ICU admission [IQR]</w:t>
            </w:r>
          </w:p>
        </w:tc>
        <w:tc>
          <w:tcPr>
            <w:tcW w:w="0" w:type="auto"/>
            <w:hideMark/>
          </w:tcPr>
          <w:p w14:paraId="738E3A89" w14:textId="77777777" w:rsidR="00512E92" w:rsidRPr="00512E92" w:rsidRDefault="00512E92" w:rsidP="00512E92">
            <w:r w:rsidRPr="00512E92">
              <w:t>0.90 [0.60, 3.05]</w:t>
            </w:r>
          </w:p>
        </w:tc>
        <w:tc>
          <w:tcPr>
            <w:tcW w:w="0" w:type="auto"/>
            <w:hideMark/>
          </w:tcPr>
          <w:p w14:paraId="32687D20" w14:textId="77777777" w:rsidR="00512E92" w:rsidRPr="00512E92" w:rsidRDefault="00512E92" w:rsidP="00512E92">
            <w:r w:rsidRPr="00512E92">
              <w:t>0.90 [0.60, 2.18]</w:t>
            </w:r>
          </w:p>
        </w:tc>
        <w:tc>
          <w:tcPr>
            <w:tcW w:w="0" w:type="auto"/>
            <w:hideMark/>
          </w:tcPr>
          <w:p w14:paraId="6D951475" w14:textId="77777777" w:rsidR="00512E92" w:rsidRPr="00512E92" w:rsidRDefault="00512E92" w:rsidP="00512E92">
            <w:r w:rsidRPr="00512E92">
              <w:t>0.90 [0.60, 2.58]</w:t>
            </w:r>
          </w:p>
        </w:tc>
        <w:tc>
          <w:tcPr>
            <w:tcW w:w="0" w:type="auto"/>
            <w:hideMark/>
          </w:tcPr>
          <w:p w14:paraId="0B3EB28F" w14:textId="77777777" w:rsidR="00512E92" w:rsidRPr="00512E92" w:rsidRDefault="00512E92" w:rsidP="00512E92">
            <w:r w:rsidRPr="00512E92">
              <w:t>1.00 [0.70, 2.85]</w:t>
            </w:r>
          </w:p>
        </w:tc>
        <w:tc>
          <w:tcPr>
            <w:tcW w:w="0" w:type="auto"/>
            <w:hideMark/>
          </w:tcPr>
          <w:p w14:paraId="7F54DAB5" w14:textId="20543E75" w:rsidR="00512E92" w:rsidRPr="00512E92" w:rsidRDefault="00512E92" w:rsidP="00512E92">
            <w:r w:rsidRPr="00512E92">
              <w:t>.223</w:t>
            </w:r>
            <w:r w:rsidRPr="00E5631F">
              <w:t>b</w:t>
            </w:r>
          </w:p>
        </w:tc>
      </w:tr>
      <w:tr w:rsidR="00512E92" w:rsidRPr="00512E92" w14:paraId="29172E5B" w14:textId="77777777" w:rsidTr="00151260">
        <w:tc>
          <w:tcPr>
            <w:tcW w:w="0" w:type="auto"/>
            <w:hideMark/>
          </w:tcPr>
          <w:p w14:paraId="3107204D" w14:textId="77777777" w:rsidR="00512E92" w:rsidRPr="00512E92" w:rsidRDefault="00512E92" w:rsidP="00512E92">
            <w:r w:rsidRPr="00512E92">
              <w:t>Use of mechanical ventilation (%)</w:t>
            </w:r>
          </w:p>
        </w:tc>
        <w:tc>
          <w:tcPr>
            <w:tcW w:w="0" w:type="auto"/>
            <w:hideMark/>
          </w:tcPr>
          <w:p w14:paraId="796F05E8" w14:textId="77777777" w:rsidR="00512E92" w:rsidRPr="00512E92" w:rsidRDefault="00512E92" w:rsidP="00512E92">
            <w:r w:rsidRPr="00512E92">
              <w:t>79 (30.2)</w:t>
            </w:r>
          </w:p>
        </w:tc>
        <w:tc>
          <w:tcPr>
            <w:tcW w:w="0" w:type="auto"/>
            <w:hideMark/>
          </w:tcPr>
          <w:p w14:paraId="3342909D" w14:textId="77777777" w:rsidR="00512E92" w:rsidRPr="00512E92" w:rsidRDefault="00512E92" w:rsidP="00512E92">
            <w:r w:rsidRPr="00512E92">
              <w:t>282 (34.6)</w:t>
            </w:r>
          </w:p>
        </w:tc>
        <w:tc>
          <w:tcPr>
            <w:tcW w:w="0" w:type="auto"/>
            <w:hideMark/>
          </w:tcPr>
          <w:p w14:paraId="1BB2B047" w14:textId="77777777" w:rsidR="00512E92" w:rsidRPr="00512E92" w:rsidRDefault="00512E92" w:rsidP="00512E92">
            <w:r w:rsidRPr="00512E92">
              <w:t>79 (26.9)</w:t>
            </w:r>
          </w:p>
        </w:tc>
        <w:tc>
          <w:tcPr>
            <w:tcW w:w="0" w:type="auto"/>
            <w:hideMark/>
          </w:tcPr>
          <w:p w14:paraId="31215415" w14:textId="77777777" w:rsidR="00512E92" w:rsidRPr="00512E92" w:rsidRDefault="00512E92" w:rsidP="00512E92">
            <w:r w:rsidRPr="00512E92">
              <w:t>231 (13.5)</w:t>
            </w:r>
          </w:p>
        </w:tc>
        <w:tc>
          <w:tcPr>
            <w:tcW w:w="0" w:type="auto"/>
            <w:hideMark/>
          </w:tcPr>
          <w:p w14:paraId="66A37D9F" w14:textId="77777777" w:rsidR="00512E92" w:rsidRPr="00512E92" w:rsidRDefault="00512E92" w:rsidP="00512E92">
            <w:r w:rsidRPr="00512E92">
              <w:t>&lt;.001</w:t>
            </w:r>
          </w:p>
        </w:tc>
      </w:tr>
      <w:tr w:rsidR="00512E92" w:rsidRPr="00512E92" w14:paraId="4F795D66" w14:textId="77777777" w:rsidTr="00151260">
        <w:tc>
          <w:tcPr>
            <w:tcW w:w="0" w:type="auto"/>
            <w:hideMark/>
          </w:tcPr>
          <w:p w14:paraId="795A1A9E" w14:textId="77777777" w:rsidR="00512E92" w:rsidRPr="00512E92" w:rsidRDefault="00512E92" w:rsidP="00512E92">
            <w:r w:rsidRPr="00512E92">
              <w:t>Median hospital length of stay [IQR]</w:t>
            </w:r>
          </w:p>
        </w:tc>
        <w:tc>
          <w:tcPr>
            <w:tcW w:w="0" w:type="auto"/>
            <w:hideMark/>
          </w:tcPr>
          <w:p w14:paraId="10BC1D22" w14:textId="77777777" w:rsidR="00512E92" w:rsidRPr="00512E92" w:rsidRDefault="00512E92" w:rsidP="00512E92">
            <w:r w:rsidRPr="00512E92">
              <w:t>9.0 [4.0, 18.0]</w:t>
            </w:r>
          </w:p>
        </w:tc>
        <w:tc>
          <w:tcPr>
            <w:tcW w:w="0" w:type="auto"/>
            <w:hideMark/>
          </w:tcPr>
          <w:p w14:paraId="1BB64D0A" w14:textId="77777777" w:rsidR="00512E92" w:rsidRPr="00512E92" w:rsidRDefault="00512E92" w:rsidP="00512E92">
            <w:r w:rsidRPr="00512E92">
              <w:t>11.0 [5.0, 21.0]</w:t>
            </w:r>
          </w:p>
        </w:tc>
        <w:tc>
          <w:tcPr>
            <w:tcW w:w="0" w:type="auto"/>
            <w:hideMark/>
          </w:tcPr>
          <w:p w14:paraId="3BB62823" w14:textId="77777777" w:rsidR="00512E92" w:rsidRPr="00512E92" w:rsidRDefault="00512E92" w:rsidP="00512E92">
            <w:r w:rsidRPr="00512E92">
              <w:t>8.0 [5.0, 17.0]</w:t>
            </w:r>
          </w:p>
        </w:tc>
        <w:tc>
          <w:tcPr>
            <w:tcW w:w="0" w:type="auto"/>
            <w:hideMark/>
          </w:tcPr>
          <w:p w14:paraId="562EA6B2" w14:textId="77777777" w:rsidR="00512E92" w:rsidRPr="00512E92" w:rsidRDefault="00512E92" w:rsidP="00512E92">
            <w:r w:rsidRPr="00512E92">
              <w:t>7.0 [4.0, 12.0]</w:t>
            </w:r>
          </w:p>
        </w:tc>
        <w:tc>
          <w:tcPr>
            <w:tcW w:w="0" w:type="auto"/>
            <w:hideMark/>
          </w:tcPr>
          <w:p w14:paraId="56BDEEA7" w14:textId="7F32FD59" w:rsidR="00512E92" w:rsidRPr="00512E92" w:rsidRDefault="00512E92" w:rsidP="00512E92">
            <w:r w:rsidRPr="00512E92">
              <w:t>&lt;.001</w:t>
            </w:r>
            <w:r w:rsidRPr="00E5631F">
              <w:t>b</w:t>
            </w:r>
          </w:p>
        </w:tc>
      </w:tr>
      <w:tr w:rsidR="00512E92" w:rsidRPr="00512E92" w14:paraId="63DC403C" w14:textId="77777777" w:rsidTr="00151260">
        <w:tc>
          <w:tcPr>
            <w:tcW w:w="0" w:type="auto"/>
            <w:hideMark/>
          </w:tcPr>
          <w:p w14:paraId="7E00FEFF" w14:textId="77777777" w:rsidR="00512E92" w:rsidRPr="00512E92" w:rsidRDefault="00512E92" w:rsidP="00512E92">
            <w:r w:rsidRPr="00512E92">
              <w:t>In-hospital death (%)</w:t>
            </w:r>
          </w:p>
        </w:tc>
        <w:tc>
          <w:tcPr>
            <w:tcW w:w="0" w:type="auto"/>
            <w:hideMark/>
          </w:tcPr>
          <w:p w14:paraId="074380E4" w14:textId="77777777" w:rsidR="00512E92" w:rsidRPr="00512E92" w:rsidRDefault="00512E92" w:rsidP="00512E92">
            <w:r w:rsidRPr="00512E92">
              <w:t>27 (10.3)</w:t>
            </w:r>
          </w:p>
        </w:tc>
        <w:tc>
          <w:tcPr>
            <w:tcW w:w="0" w:type="auto"/>
            <w:hideMark/>
          </w:tcPr>
          <w:p w14:paraId="43B44EDE" w14:textId="77777777" w:rsidR="00512E92" w:rsidRPr="00512E92" w:rsidRDefault="00512E92" w:rsidP="00512E92">
            <w:r w:rsidRPr="00512E92">
              <w:t>87 (10.7)</w:t>
            </w:r>
          </w:p>
        </w:tc>
        <w:tc>
          <w:tcPr>
            <w:tcW w:w="0" w:type="auto"/>
            <w:hideMark/>
          </w:tcPr>
          <w:p w14:paraId="774282A5" w14:textId="77777777" w:rsidR="00512E92" w:rsidRPr="00512E92" w:rsidRDefault="00512E92" w:rsidP="00512E92">
            <w:r w:rsidRPr="00512E92">
              <w:t>43 (14.6)</w:t>
            </w:r>
          </w:p>
        </w:tc>
        <w:tc>
          <w:tcPr>
            <w:tcW w:w="0" w:type="auto"/>
            <w:hideMark/>
          </w:tcPr>
          <w:p w14:paraId="4D9AF8A4" w14:textId="77777777" w:rsidR="00512E92" w:rsidRPr="00512E92" w:rsidRDefault="00512E92" w:rsidP="00512E92">
            <w:r w:rsidRPr="00512E92">
              <w:t>180 (10.6)</w:t>
            </w:r>
          </w:p>
        </w:tc>
        <w:tc>
          <w:tcPr>
            <w:tcW w:w="0" w:type="auto"/>
            <w:hideMark/>
          </w:tcPr>
          <w:p w14:paraId="4D41796E" w14:textId="77777777" w:rsidR="00512E92" w:rsidRPr="00512E92" w:rsidRDefault="00512E92" w:rsidP="00512E92">
            <w:r w:rsidRPr="00512E92">
              <w:t>.21</w:t>
            </w:r>
          </w:p>
        </w:tc>
      </w:tr>
    </w:tbl>
    <w:p w14:paraId="13991E62" w14:textId="77777777" w:rsidR="00512E92" w:rsidRPr="00512E92" w:rsidRDefault="00512E92" w:rsidP="00BD1265">
      <w:pPr>
        <w:pStyle w:val="NoSpacing"/>
      </w:pPr>
      <w:r w:rsidRPr="00512E92">
        <w:t>Abbreviations: ADL, activities of daily living; ICU, intensive care unit; IQR, interquartile range; OT, occupational therapy; PT, physical therapy.</w:t>
      </w:r>
    </w:p>
    <w:p w14:paraId="55D9AD03" w14:textId="211F9702" w:rsidR="00512E92" w:rsidRPr="00512E92" w:rsidRDefault="00512E92" w:rsidP="00BD1265">
      <w:pPr>
        <w:pStyle w:val="NoSpacing"/>
      </w:pPr>
      <w:r w:rsidRPr="00512E92">
        <w:rPr>
          <w:vertAlign w:val="superscript"/>
        </w:rPr>
        <w:t>a</w:t>
      </w:r>
      <w:r w:rsidRPr="00512E92">
        <w:t> Suppressed count.</w:t>
      </w:r>
    </w:p>
    <w:p w14:paraId="1ACF3C1C" w14:textId="77777777" w:rsidR="00512E92" w:rsidRPr="00512E92" w:rsidRDefault="00512E92" w:rsidP="00BD1265">
      <w:pPr>
        <w:pStyle w:val="NoSpacing"/>
      </w:pPr>
      <w:r w:rsidRPr="00512E92">
        <w:rPr>
          <w:vertAlign w:val="superscript"/>
        </w:rPr>
        <w:t>b</w:t>
      </w:r>
      <w:r w:rsidRPr="00512E92">
        <w:t> Nonparametric testing.</w:t>
      </w:r>
    </w:p>
    <w:p w14:paraId="1EC23A57" w14:textId="77777777" w:rsidR="00BD1265" w:rsidRDefault="00BD1265" w:rsidP="00512E92"/>
    <w:p w14:paraId="0B821449" w14:textId="77777777" w:rsidR="00AF61F7" w:rsidRDefault="00AF61F7" w:rsidP="00512E92">
      <w:pPr>
        <w:sectPr w:rsidR="00AF61F7" w:rsidSect="00151260">
          <w:pgSz w:w="15840" w:h="12240" w:orient="landscape"/>
          <w:pgMar w:top="1080" w:right="1080" w:bottom="1080" w:left="1080" w:header="720" w:footer="720" w:gutter="0"/>
          <w:cols w:space="720"/>
          <w:docGrid w:linePitch="360"/>
        </w:sectPr>
      </w:pPr>
    </w:p>
    <w:p w14:paraId="1B41C6DB" w14:textId="15B7F3C9" w:rsidR="00512E92" w:rsidRPr="00512E92" w:rsidRDefault="00512E92" w:rsidP="00512E92">
      <w:r w:rsidRPr="00512E92">
        <w:t>In adjusted analyses, Hispanic ethnicity (vs. White, non-Hispanic) and male sex remained independently associated with reduced odds of receipt of PT and/or OT referral (</w:t>
      </w:r>
      <w:r w:rsidRPr="00512E92">
        <w:rPr>
          <w:i/>
          <w:iCs/>
        </w:rPr>
        <w:t>p</w:t>
      </w:r>
      <w:r w:rsidRPr="00512E92">
        <w:t> &lt; .01) (Table </w:t>
      </w:r>
      <w:r w:rsidRPr="00E5631F">
        <w:rPr>
          <w:b/>
          <w:bCs/>
        </w:rPr>
        <w:t>3</w:t>
      </w:r>
      <w:r w:rsidRPr="00512E92">
        <w:t>). Increased age, greater illness severity, Medicaid or Medicare insurance status (vs. commercial payer), and patients who were nonindependent with ADLs and mobility at baseline were more likely to receive a referral for PT and/or OT. To explore whether the association with Hispanic ethnicity was related to a language barrier, we included the need for translation services in the model. In total, 333 (21%) ICU patients and 745 (16%) floor patients required translation services. Patients who identified as a racial or ethnic minority and required translation services were significantly less likely to receive PT and/or OT referral (</w:t>
      </w:r>
      <w:r w:rsidRPr="00512E92">
        <w:rPr>
          <w:i/>
          <w:iCs/>
        </w:rPr>
        <w:t>p</w:t>
      </w:r>
      <w:r w:rsidRPr="00512E92">
        <w:t> &lt; .01; reference: patients who do not identify as a racial or ethnic minority, regardless of interpreter use). Conversely, there was no difference in receipt of referral for identified racial/ethnic minorities who did not require translation services (</w:t>
      </w:r>
      <w:r w:rsidRPr="00512E92">
        <w:rPr>
          <w:i/>
          <w:iCs/>
        </w:rPr>
        <w:t>p</w:t>
      </w:r>
      <w:r w:rsidRPr="00512E92">
        <w:t> = .25). Finally, to explore the impact of illness severity on this relationship, we stratified by ICU status and found that the disparities were more pronounced amongst patients admitted to the hospital floor compared with those admitted to the intensive care unit (Figure </w:t>
      </w:r>
      <w:r w:rsidRPr="00E5631F">
        <w:rPr>
          <w:b/>
          <w:bCs/>
        </w:rPr>
        <w:t>S1</w:t>
      </w:r>
      <w:r w:rsidRPr="00512E92">
        <w:t>).</w:t>
      </w:r>
    </w:p>
    <w:p w14:paraId="45767A61" w14:textId="77777777" w:rsidR="00512E92" w:rsidRPr="00512E92" w:rsidRDefault="00512E92" w:rsidP="00AF61F7">
      <w:pPr>
        <w:spacing w:after="0"/>
      </w:pPr>
      <w:r w:rsidRPr="00512E92">
        <w:rPr>
          <w:b/>
          <w:bCs/>
        </w:rPr>
        <w:t>Table 3. </w:t>
      </w:r>
      <w:r w:rsidRPr="00512E92">
        <w:t>Multivariable model of PT/OT referral by race/ethnicity (</w:t>
      </w:r>
      <w:r w:rsidRPr="00512E92">
        <w:rPr>
          <w:i/>
          <w:iCs/>
        </w:rPr>
        <w:t>n</w:t>
      </w:r>
      <w:r w:rsidRPr="00512E92">
        <w:t> = 6153)</w:t>
      </w:r>
    </w:p>
    <w:tbl>
      <w:tblPr>
        <w:tblStyle w:val="TableGrid"/>
        <w:tblW w:w="0" w:type="auto"/>
        <w:tblLook w:val="04A0" w:firstRow="1" w:lastRow="0" w:firstColumn="1" w:lastColumn="0" w:noHBand="0" w:noVBand="1"/>
      </w:tblPr>
      <w:tblGrid>
        <w:gridCol w:w="4851"/>
        <w:gridCol w:w="1681"/>
        <w:gridCol w:w="2027"/>
        <w:gridCol w:w="607"/>
        <w:gridCol w:w="904"/>
      </w:tblGrid>
      <w:tr w:rsidR="00894CA2" w:rsidRPr="00512E92" w14:paraId="4709170F" w14:textId="77777777" w:rsidTr="00894CA2">
        <w:tc>
          <w:tcPr>
            <w:tcW w:w="0" w:type="auto"/>
            <w:hideMark/>
          </w:tcPr>
          <w:p w14:paraId="6D41A544" w14:textId="77777777" w:rsidR="00894CA2" w:rsidRPr="00512E92" w:rsidRDefault="00894CA2" w:rsidP="00512E92"/>
        </w:tc>
        <w:tc>
          <w:tcPr>
            <w:tcW w:w="0" w:type="auto"/>
            <w:hideMark/>
          </w:tcPr>
          <w:p w14:paraId="0A6E0D3B" w14:textId="77777777" w:rsidR="00894CA2" w:rsidRPr="00512E92" w:rsidRDefault="00894CA2" w:rsidP="00512E92">
            <w:pPr>
              <w:rPr>
                <w:b/>
                <w:bCs/>
              </w:rPr>
            </w:pPr>
            <w:r w:rsidRPr="00512E92">
              <w:rPr>
                <w:b/>
                <w:bCs/>
              </w:rPr>
              <w:t>Adjusted odds ratio</w:t>
            </w:r>
          </w:p>
        </w:tc>
        <w:tc>
          <w:tcPr>
            <w:tcW w:w="0" w:type="auto"/>
            <w:hideMark/>
          </w:tcPr>
          <w:p w14:paraId="55905074" w14:textId="77777777" w:rsidR="00894CA2" w:rsidRPr="00512E92" w:rsidRDefault="00894CA2" w:rsidP="00512E92">
            <w:pPr>
              <w:rPr>
                <w:b/>
                <w:bCs/>
              </w:rPr>
            </w:pPr>
            <w:r w:rsidRPr="00512E92">
              <w:rPr>
                <w:b/>
                <w:bCs/>
              </w:rPr>
              <w:t>95% Confidence interval</w:t>
            </w:r>
          </w:p>
        </w:tc>
        <w:tc>
          <w:tcPr>
            <w:tcW w:w="0" w:type="auto"/>
          </w:tcPr>
          <w:p w14:paraId="3AFE36B9" w14:textId="34D474C4" w:rsidR="00894CA2" w:rsidRPr="00512E92" w:rsidRDefault="00894CA2" w:rsidP="00512E92">
            <w:pPr>
              <w:rPr>
                <w:b/>
                <w:bCs/>
              </w:rPr>
            </w:pPr>
          </w:p>
        </w:tc>
        <w:tc>
          <w:tcPr>
            <w:tcW w:w="0" w:type="auto"/>
            <w:hideMark/>
          </w:tcPr>
          <w:p w14:paraId="45862A14" w14:textId="77777777" w:rsidR="00894CA2" w:rsidRPr="00512E92" w:rsidRDefault="00894CA2" w:rsidP="00512E92">
            <w:pPr>
              <w:rPr>
                <w:b/>
                <w:bCs/>
              </w:rPr>
            </w:pPr>
          </w:p>
        </w:tc>
      </w:tr>
      <w:tr w:rsidR="00894CA2" w:rsidRPr="00512E92" w14:paraId="2463158B" w14:textId="77777777" w:rsidTr="00894CA2">
        <w:tc>
          <w:tcPr>
            <w:tcW w:w="0" w:type="auto"/>
            <w:hideMark/>
          </w:tcPr>
          <w:p w14:paraId="42C67377" w14:textId="77777777" w:rsidR="00512E92" w:rsidRPr="00512E92" w:rsidRDefault="00512E92" w:rsidP="00512E92">
            <w:pPr>
              <w:rPr>
                <w:b/>
                <w:bCs/>
              </w:rPr>
            </w:pPr>
            <w:r w:rsidRPr="00512E92">
              <w:rPr>
                <w:b/>
                <w:bCs/>
              </w:rPr>
              <w:t>Variable</w:t>
            </w:r>
          </w:p>
        </w:tc>
        <w:tc>
          <w:tcPr>
            <w:tcW w:w="0" w:type="auto"/>
            <w:hideMark/>
          </w:tcPr>
          <w:p w14:paraId="52486DFA" w14:textId="77777777" w:rsidR="00512E92" w:rsidRPr="00512E92" w:rsidRDefault="00512E92" w:rsidP="00512E92">
            <w:pPr>
              <w:rPr>
                <w:b/>
                <w:bCs/>
              </w:rPr>
            </w:pPr>
            <w:r w:rsidRPr="00512E92">
              <w:rPr>
                <w:b/>
                <w:bCs/>
              </w:rPr>
              <w:t>Est</w:t>
            </w:r>
          </w:p>
        </w:tc>
        <w:tc>
          <w:tcPr>
            <w:tcW w:w="0" w:type="auto"/>
            <w:hideMark/>
          </w:tcPr>
          <w:p w14:paraId="3FAFF02E" w14:textId="77777777" w:rsidR="00512E92" w:rsidRPr="00512E92" w:rsidRDefault="00512E92" w:rsidP="00512E92">
            <w:pPr>
              <w:rPr>
                <w:b/>
                <w:bCs/>
              </w:rPr>
            </w:pPr>
            <w:r w:rsidRPr="00512E92">
              <w:rPr>
                <w:b/>
                <w:bCs/>
              </w:rPr>
              <w:t>LL</w:t>
            </w:r>
          </w:p>
        </w:tc>
        <w:tc>
          <w:tcPr>
            <w:tcW w:w="0" w:type="auto"/>
            <w:hideMark/>
          </w:tcPr>
          <w:p w14:paraId="5B9DDED0" w14:textId="77777777" w:rsidR="00512E92" w:rsidRPr="00512E92" w:rsidRDefault="00512E92" w:rsidP="00512E92">
            <w:pPr>
              <w:rPr>
                <w:b/>
                <w:bCs/>
              </w:rPr>
            </w:pPr>
            <w:r w:rsidRPr="00512E92">
              <w:rPr>
                <w:b/>
                <w:bCs/>
              </w:rPr>
              <w:t>UL</w:t>
            </w:r>
          </w:p>
        </w:tc>
        <w:tc>
          <w:tcPr>
            <w:tcW w:w="0" w:type="auto"/>
            <w:hideMark/>
          </w:tcPr>
          <w:p w14:paraId="5279C40D" w14:textId="77777777" w:rsidR="00512E92" w:rsidRPr="00512E92" w:rsidRDefault="00512E92" w:rsidP="00512E92">
            <w:pPr>
              <w:rPr>
                <w:b/>
                <w:bCs/>
              </w:rPr>
            </w:pPr>
            <w:r w:rsidRPr="00512E92">
              <w:rPr>
                <w:b/>
                <w:bCs/>
                <w:i/>
                <w:iCs/>
              </w:rPr>
              <w:t>p</w:t>
            </w:r>
            <w:r w:rsidRPr="00512E92">
              <w:rPr>
                <w:b/>
                <w:bCs/>
              </w:rPr>
              <w:t> Value</w:t>
            </w:r>
          </w:p>
        </w:tc>
      </w:tr>
      <w:tr w:rsidR="00894CA2" w:rsidRPr="00512E92" w14:paraId="576E1F52" w14:textId="77777777" w:rsidTr="00894CA2">
        <w:tc>
          <w:tcPr>
            <w:tcW w:w="0" w:type="auto"/>
            <w:hideMark/>
          </w:tcPr>
          <w:p w14:paraId="3D32C24F" w14:textId="77777777" w:rsidR="00894CA2" w:rsidRPr="00512E92" w:rsidRDefault="00894CA2" w:rsidP="00512E92">
            <w:r w:rsidRPr="00512E92">
              <w:t>Race/ethnicity (REF: White, non-Hispanic)</w:t>
            </w:r>
          </w:p>
        </w:tc>
        <w:tc>
          <w:tcPr>
            <w:tcW w:w="0" w:type="auto"/>
          </w:tcPr>
          <w:p w14:paraId="5F551B40" w14:textId="77777777" w:rsidR="00894CA2" w:rsidRPr="00512E92" w:rsidRDefault="00894CA2" w:rsidP="00512E92"/>
        </w:tc>
        <w:tc>
          <w:tcPr>
            <w:tcW w:w="0" w:type="auto"/>
          </w:tcPr>
          <w:p w14:paraId="5F035C30" w14:textId="77777777" w:rsidR="00894CA2" w:rsidRPr="00512E92" w:rsidRDefault="00894CA2" w:rsidP="00512E92"/>
        </w:tc>
        <w:tc>
          <w:tcPr>
            <w:tcW w:w="0" w:type="auto"/>
          </w:tcPr>
          <w:p w14:paraId="1EF47388" w14:textId="77777777" w:rsidR="00894CA2" w:rsidRPr="00512E92" w:rsidRDefault="00894CA2" w:rsidP="00512E92"/>
        </w:tc>
        <w:tc>
          <w:tcPr>
            <w:tcW w:w="0" w:type="auto"/>
          </w:tcPr>
          <w:p w14:paraId="083E41C7" w14:textId="71B4B939" w:rsidR="00894CA2" w:rsidRPr="00512E92" w:rsidRDefault="00894CA2" w:rsidP="00512E92"/>
        </w:tc>
      </w:tr>
      <w:tr w:rsidR="00894CA2" w:rsidRPr="00512E92" w14:paraId="2072F662" w14:textId="77777777" w:rsidTr="00894CA2">
        <w:tc>
          <w:tcPr>
            <w:tcW w:w="0" w:type="auto"/>
            <w:hideMark/>
          </w:tcPr>
          <w:p w14:paraId="36B47730" w14:textId="77777777" w:rsidR="00512E92" w:rsidRPr="00512E92" w:rsidRDefault="00512E92" w:rsidP="00C40224">
            <w:pPr>
              <w:ind w:left="334"/>
            </w:pPr>
            <w:r w:rsidRPr="00512E92">
              <w:t>Black or African American, non-Hispanic</w:t>
            </w:r>
          </w:p>
        </w:tc>
        <w:tc>
          <w:tcPr>
            <w:tcW w:w="0" w:type="auto"/>
            <w:hideMark/>
          </w:tcPr>
          <w:p w14:paraId="444D4394" w14:textId="77777777" w:rsidR="00512E92" w:rsidRPr="00512E92" w:rsidRDefault="00512E92" w:rsidP="00512E92">
            <w:r w:rsidRPr="00512E92">
              <w:t>1.02</w:t>
            </w:r>
          </w:p>
        </w:tc>
        <w:tc>
          <w:tcPr>
            <w:tcW w:w="0" w:type="auto"/>
            <w:hideMark/>
          </w:tcPr>
          <w:p w14:paraId="6326681E" w14:textId="77777777" w:rsidR="00512E92" w:rsidRPr="00512E92" w:rsidRDefault="00512E92" w:rsidP="00512E92">
            <w:r w:rsidRPr="00512E92">
              <w:t>0.80</w:t>
            </w:r>
          </w:p>
        </w:tc>
        <w:tc>
          <w:tcPr>
            <w:tcW w:w="0" w:type="auto"/>
            <w:hideMark/>
          </w:tcPr>
          <w:p w14:paraId="5375418E" w14:textId="77777777" w:rsidR="00512E92" w:rsidRPr="00512E92" w:rsidRDefault="00512E92" w:rsidP="00512E92">
            <w:r w:rsidRPr="00512E92">
              <w:t>1.29</w:t>
            </w:r>
          </w:p>
        </w:tc>
        <w:tc>
          <w:tcPr>
            <w:tcW w:w="0" w:type="auto"/>
            <w:hideMark/>
          </w:tcPr>
          <w:p w14:paraId="5460CBB0" w14:textId="77777777" w:rsidR="00512E92" w:rsidRPr="00512E92" w:rsidRDefault="00512E92" w:rsidP="00512E92">
            <w:r w:rsidRPr="00512E92">
              <w:t>.87</w:t>
            </w:r>
          </w:p>
        </w:tc>
      </w:tr>
      <w:tr w:rsidR="00894CA2" w:rsidRPr="00512E92" w14:paraId="35464EF1" w14:textId="77777777" w:rsidTr="00894CA2">
        <w:tc>
          <w:tcPr>
            <w:tcW w:w="0" w:type="auto"/>
            <w:hideMark/>
          </w:tcPr>
          <w:p w14:paraId="7562C01A" w14:textId="77777777" w:rsidR="00512E92" w:rsidRPr="00512E92" w:rsidRDefault="00512E92" w:rsidP="00C40224">
            <w:pPr>
              <w:ind w:left="334"/>
            </w:pPr>
            <w:r w:rsidRPr="00512E92">
              <w:t>Hispanic</w:t>
            </w:r>
          </w:p>
        </w:tc>
        <w:tc>
          <w:tcPr>
            <w:tcW w:w="0" w:type="auto"/>
            <w:hideMark/>
          </w:tcPr>
          <w:p w14:paraId="68708F9E" w14:textId="77777777" w:rsidR="00512E92" w:rsidRPr="00512E92" w:rsidRDefault="00512E92" w:rsidP="00512E92">
            <w:r w:rsidRPr="00512E92">
              <w:t>0.78</w:t>
            </w:r>
          </w:p>
        </w:tc>
        <w:tc>
          <w:tcPr>
            <w:tcW w:w="0" w:type="auto"/>
            <w:hideMark/>
          </w:tcPr>
          <w:p w14:paraId="41428913" w14:textId="77777777" w:rsidR="00512E92" w:rsidRPr="00512E92" w:rsidRDefault="00512E92" w:rsidP="00512E92">
            <w:r w:rsidRPr="00512E92">
              <w:t>0.67</w:t>
            </w:r>
          </w:p>
        </w:tc>
        <w:tc>
          <w:tcPr>
            <w:tcW w:w="0" w:type="auto"/>
            <w:hideMark/>
          </w:tcPr>
          <w:p w14:paraId="30916E3A" w14:textId="77777777" w:rsidR="00512E92" w:rsidRPr="00512E92" w:rsidRDefault="00512E92" w:rsidP="00512E92">
            <w:r w:rsidRPr="00512E92">
              <w:t>0.91</w:t>
            </w:r>
          </w:p>
        </w:tc>
        <w:tc>
          <w:tcPr>
            <w:tcW w:w="0" w:type="auto"/>
            <w:hideMark/>
          </w:tcPr>
          <w:p w14:paraId="563E761E" w14:textId="77777777" w:rsidR="00512E92" w:rsidRPr="00512E92" w:rsidRDefault="00512E92" w:rsidP="00512E92">
            <w:r w:rsidRPr="00512E92">
              <w:t>.001</w:t>
            </w:r>
          </w:p>
        </w:tc>
      </w:tr>
      <w:tr w:rsidR="00894CA2" w:rsidRPr="00512E92" w14:paraId="43876298" w14:textId="77777777" w:rsidTr="00894CA2">
        <w:tc>
          <w:tcPr>
            <w:tcW w:w="0" w:type="auto"/>
            <w:hideMark/>
          </w:tcPr>
          <w:p w14:paraId="654F388F" w14:textId="77777777" w:rsidR="00512E92" w:rsidRPr="00512E92" w:rsidRDefault="00512E92" w:rsidP="00C40224">
            <w:pPr>
              <w:ind w:left="334"/>
            </w:pPr>
            <w:r w:rsidRPr="00512E92">
              <w:t>Other</w:t>
            </w:r>
          </w:p>
        </w:tc>
        <w:tc>
          <w:tcPr>
            <w:tcW w:w="0" w:type="auto"/>
            <w:hideMark/>
          </w:tcPr>
          <w:p w14:paraId="2B39AAF4" w14:textId="77777777" w:rsidR="00512E92" w:rsidRPr="00512E92" w:rsidRDefault="00512E92" w:rsidP="00512E92">
            <w:r w:rsidRPr="00512E92">
              <w:t>1.02</w:t>
            </w:r>
          </w:p>
        </w:tc>
        <w:tc>
          <w:tcPr>
            <w:tcW w:w="0" w:type="auto"/>
            <w:hideMark/>
          </w:tcPr>
          <w:p w14:paraId="5E6026C9" w14:textId="77777777" w:rsidR="00512E92" w:rsidRPr="00512E92" w:rsidRDefault="00512E92" w:rsidP="00512E92">
            <w:r w:rsidRPr="00512E92">
              <w:t>0.81</w:t>
            </w:r>
          </w:p>
        </w:tc>
        <w:tc>
          <w:tcPr>
            <w:tcW w:w="0" w:type="auto"/>
            <w:hideMark/>
          </w:tcPr>
          <w:p w14:paraId="29BCC630" w14:textId="77777777" w:rsidR="00512E92" w:rsidRPr="00512E92" w:rsidRDefault="00512E92" w:rsidP="00512E92">
            <w:r w:rsidRPr="00512E92">
              <w:t>1.28</w:t>
            </w:r>
          </w:p>
        </w:tc>
        <w:tc>
          <w:tcPr>
            <w:tcW w:w="0" w:type="auto"/>
            <w:hideMark/>
          </w:tcPr>
          <w:p w14:paraId="4A0BD8C2" w14:textId="77777777" w:rsidR="00512E92" w:rsidRPr="00512E92" w:rsidRDefault="00512E92" w:rsidP="00512E92">
            <w:r w:rsidRPr="00512E92">
              <w:t>.87</w:t>
            </w:r>
          </w:p>
        </w:tc>
      </w:tr>
      <w:tr w:rsidR="00894CA2" w:rsidRPr="00512E92" w14:paraId="60C560AD" w14:textId="77777777" w:rsidTr="00894CA2">
        <w:tc>
          <w:tcPr>
            <w:tcW w:w="0" w:type="auto"/>
            <w:hideMark/>
          </w:tcPr>
          <w:p w14:paraId="3BDE2C13" w14:textId="77777777" w:rsidR="00512E92" w:rsidRPr="00512E92" w:rsidRDefault="00512E92" w:rsidP="00512E92">
            <w:r w:rsidRPr="00512E92">
              <w:t>Admission to the intensive care unit</w:t>
            </w:r>
          </w:p>
        </w:tc>
        <w:tc>
          <w:tcPr>
            <w:tcW w:w="0" w:type="auto"/>
            <w:hideMark/>
          </w:tcPr>
          <w:p w14:paraId="554D99FC" w14:textId="77777777" w:rsidR="00512E92" w:rsidRPr="00512E92" w:rsidRDefault="00512E92" w:rsidP="00512E92">
            <w:r w:rsidRPr="00512E92">
              <w:t>1.63</w:t>
            </w:r>
          </w:p>
        </w:tc>
        <w:tc>
          <w:tcPr>
            <w:tcW w:w="0" w:type="auto"/>
            <w:hideMark/>
          </w:tcPr>
          <w:p w14:paraId="1D194485" w14:textId="77777777" w:rsidR="00512E92" w:rsidRPr="00512E92" w:rsidRDefault="00512E92" w:rsidP="00512E92">
            <w:r w:rsidRPr="00512E92">
              <w:t>1.37</w:t>
            </w:r>
          </w:p>
        </w:tc>
        <w:tc>
          <w:tcPr>
            <w:tcW w:w="0" w:type="auto"/>
            <w:hideMark/>
          </w:tcPr>
          <w:p w14:paraId="6D667256" w14:textId="77777777" w:rsidR="00512E92" w:rsidRPr="00512E92" w:rsidRDefault="00512E92" w:rsidP="00512E92">
            <w:r w:rsidRPr="00512E92">
              <w:t>1.94</w:t>
            </w:r>
          </w:p>
        </w:tc>
        <w:tc>
          <w:tcPr>
            <w:tcW w:w="0" w:type="auto"/>
            <w:hideMark/>
          </w:tcPr>
          <w:p w14:paraId="0E3D4D26" w14:textId="77777777" w:rsidR="00512E92" w:rsidRPr="00512E92" w:rsidRDefault="00512E92" w:rsidP="00512E92">
            <w:r w:rsidRPr="00512E92">
              <w:t>&lt;.001</w:t>
            </w:r>
          </w:p>
        </w:tc>
      </w:tr>
      <w:tr w:rsidR="00894CA2" w:rsidRPr="00512E92" w14:paraId="39B3C238" w14:textId="77777777" w:rsidTr="00894CA2">
        <w:tc>
          <w:tcPr>
            <w:tcW w:w="0" w:type="auto"/>
            <w:hideMark/>
          </w:tcPr>
          <w:p w14:paraId="0F1ABDB1" w14:textId="77777777" w:rsidR="00512E92" w:rsidRPr="00512E92" w:rsidRDefault="00512E92" w:rsidP="00512E92">
            <w:r w:rsidRPr="00512E92">
              <w:t>Age (per 10-year period)</w:t>
            </w:r>
          </w:p>
        </w:tc>
        <w:tc>
          <w:tcPr>
            <w:tcW w:w="0" w:type="auto"/>
            <w:hideMark/>
          </w:tcPr>
          <w:p w14:paraId="0FEBF7E9" w14:textId="77777777" w:rsidR="00512E92" w:rsidRPr="00512E92" w:rsidRDefault="00512E92" w:rsidP="00512E92">
            <w:r w:rsidRPr="00512E92">
              <w:t>1.53</w:t>
            </w:r>
          </w:p>
        </w:tc>
        <w:tc>
          <w:tcPr>
            <w:tcW w:w="0" w:type="auto"/>
            <w:hideMark/>
          </w:tcPr>
          <w:p w14:paraId="6A92597E" w14:textId="77777777" w:rsidR="00512E92" w:rsidRPr="00512E92" w:rsidRDefault="00512E92" w:rsidP="00512E92">
            <w:r w:rsidRPr="00512E92">
              <w:t>1.46</w:t>
            </w:r>
          </w:p>
        </w:tc>
        <w:tc>
          <w:tcPr>
            <w:tcW w:w="0" w:type="auto"/>
            <w:hideMark/>
          </w:tcPr>
          <w:p w14:paraId="0B802B4A" w14:textId="77777777" w:rsidR="00512E92" w:rsidRPr="00512E92" w:rsidRDefault="00512E92" w:rsidP="00512E92">
            <w:r w:rsidRPr="00512E92">
              <w:t>1.62</w:t>
            </w:r>
          </w:p>
        </w:tc>
        <w:tc>
          <w:tcPr>
            <w:tcW w:w="0" w:type="auto"/>
            <w:hideMark/>
          </w:tcPr>
          <w:p w14:paraId="4F097AAB" w14:textId="77777777" w:rsidR="00512E92" w:rsidRPr="00512E92" w:rsidRDefault="00512E92" w:rsidP="00512E92">
            <w:r w:rsidRPr="00512E92">
              <w:t>&lt;.001</w:t>
            </w:r>
          </w:p>
        </w:tc>
      </w:tr>
      <w:tr w:rsidR="00894CA2" w:rsidRPr="00512E92" w14:paraId="625E3F30" w14:textId="77777777" w:rsidTr="00894CA2">
        <w:tc>
          <w:tcPr>
            <w:tcW w:w="0" w:type="auto"/>
            <w:hideMark/>
          </w:tcPr>
          <w:p w14:paraId="402EBEDA" w14:textId="77777777" w:rsidR="00512E92" w:rsidRPr="00512E92" w:rsidRDefault="00512E92" w:rsidP="00512E92">
            <w:r w:rsidRPr="00512E92">
              <w:t>Hospital days</w:t>
            </w:r>
          </w:p>
        </w:tc>
        <w:tc>
          <w:tcPr>
            <w:tcW w:w="0" w:type="auto"/>
            <w:hideMark/>
          </w:tcPr>
          <w:p w14:paraId="5C5C893C" w14:textId="77777777" w:rsidR="00512E92" w:rsidRPr="00512E92" w:rsidRDefault="00512E92" w:rsidP="00512E92">
            <w:r w:rsidRPr="00512E92">
              <w:t>1.14</w:t>
            </w:r>
          </w:p>
        </w:tc>
        <w:tc>
          <w:tcPr>
            <w:tcW w:w="0" w:type="auto"/>
            <w:hideMark/>
          </w:tcPr>
          <w:p w14:paraId="6509AD0B" w14:textId="77777777" w:rsidR="00512E92" w:rsidRPr="00512E92" w:rsidRDefault="00512E92" w:rsidP="00512E92">
            <w:r w:rsidRPr="00512E92">
              <w:t>1.12</w:t>
            </w:r>
          </w:p>
        </w:tc>
        <w:tc>
          <w:tcPr>
            <w:tcW w:w="0" w:type="auto"/>
            <w:hideMark/>
          </w:tcPr>
          <w:p w14:paraId="3F406E91" w14:textId="77777777" w:rsidR="00512E92" w:rsidRPr="00512E92" w:rsidRDefault="00512E92" w:rsidP="00512E92">
            <w:r w:rsidRPr="00512E92">
              <w:t>1.15</w:t>
            </w:r>
          </w:p>
        </w:tc>
        <w:tc>
          <w:tcPr>
            <w:tcW w:w="0" w:type="auto"/>
            <w:hideMark/>
          </w:tcPr>
          <w:p w14:paraId="25DE75E9" w14:textId="77777777" w:rsidR="00512E92" w:rsidRPr="00512E92" w:rsidRDefault="00512E92" w:rsidP="00512E92">
            <w:r w:rsidRPr="00512E92">
              <w:t>&lt;.001</w:t>
            </w:r>
          </w:p>
        </w:tc>
      </w:tr>
      <w:tr w:rsidR="00894CA2" w:rsidRPr="00512E92" w14:paraId="66198461" w14:textId="77777777" w:rsidTr="00894CA2">
        <w:tc>
          <w:tcPr>
            <w:tcW w:w="0" w:type="auto"/>
            <w:hideMark/>
          </w:tcPr>
          <w:p w14:paraId="54AB0295" w14:textId="77777777" w:rsidR="00512E92" w:rsidRPr="00512E92" w:rsidRDefault="00512E92" w:rsidP="00512E92">
            <w:r w:rsidRPr="00512E92">
              <w:t>Male gender</w:t>
            </w:r>
          </w:p>
        </w:tc>
        <w:tc>
          <w:tcPr>
            <w:tcW w:w="0" w:type="auto"/>
            <w:hideMark/>
          </w:tcPr>
          <w:p w14:paraId="3F8EE86B" w14:textId="77777777" w:rsidR="00512E92" w:rsidRPr="00512E92" w:rsidRDefault="00512E92" w:rsidP="00512E92">
            <w:r w:rsidRPr="00512E92">
              <w:t>0.83</w:t>
            </w:r>
          </w:p>
        </w:tc>
        <w:tc>
          <w:tcPr>
            <w:tcW w:w="0" w:type="auto"/>
            <w:hideMark/>
          </w:tcPr>
          <w:p w14:paraId="687725FD" w14:textId="77777777" w:rsidR="00512E92" w:rsidRPr="00512E92" w:rsidRDefault="00512E92" w:rsidP="00512E92">
            <w:r w:rsidRPr="00512E92">
              <w:t>0.73</w:t>
            </w:r>
          </w:p>
        </w:tc>
        <w:tc>
          <w:tcPr>
            <w:tcW w:w="0" w:type="auto"/>
            <w:hideMark/>
          </w:tcPr>
          <w:p w14:paraId="3DF941F0" w14:textId="77777777" w:rsidR="00512E92" w:rsidRPr="00512E92" w:rsidRDefault="00512E92" w:rsidP="00512E92">
            <w:r w:rsidRPr="00512E92">
              <w:t>0.94</w:t>
            </w:r>
          </w:p>
        </w:tc>
        <w:tc>
          <w:tcPr>
            <w:tcW w:w="0" w:type="auto"/>
            <w:hideMark/>
          </w:tcPr>
          <w:p w14:paraId="1E6364AA" w14:textId="77777777" w:rsidR="00512E92" w:rsidRPr="00512E92" w:rsidRDefault="00512E92" w:rsidP="00512E92">
            <w:r w:rsidRPr="00512E92">
              <w:t>0.003</w:t>
            </w:r>
          </w:p>
        </w:tc>
      </w:tr>
      <w:tr w:rsidR="00894CA2" w:rsidRPr="00512E92" w14:paraId="0395B065" w14:textId="77777777" w:rsidTr="00894CA2">
        <w:tc>
          <w:tcPr>
            <w:tcW w:w="0" w:type="auto"/>
            <w:hideMark/>
          </w:tcPr>
          <w:p w14:paraId="78461AFB" w14:textId="77777777" w:rsidR="00894CA2" w:rsidRPr="00512E92" w:rsidRDefault="00894CA2" w:rsidP="00512E92">
            <w:r w:rsidRPr="00512E92">
              <w:t>Payer source (REF: commercial/managed)</w:t>
            </w:r>
          </w:p>
        </w:tc>
        <w:tc>
          <w:tcPr>
            <w:tcW w:w="0" w:type="auto"/>
          </w:tcPr>
          <w:p w14:paraId="13659908" w14:textId="77777777" w:rsidR="00894CA2" w:rsidRPr="00512E92" w:rsidRDefault="00894CA2" w:rsidP="00512E92"/>
        </w:tc>
        <w:tc>
          <w:tcPr>
            <w:tcW w:w="0" w:type="auto"/>
          </w:tcPr>
          <w:p w14:paraId="3BAC844D" w14:textId="77777777" w:rsidR="00894CA2" w:rsidRPr="00512E92" w:rsidRDefault="00894CA2" w:rsidP="00512E92"/>
        </w:tc>
        <w:tc>
          <w:tcPr>
            <w:tcW w:w="0" w:type="auto"/>
          </w:tcPr>
          <w:p w14:paraId="21559AD4" w14:textId="77777777" w:rsidR="00894CA2" w:rsidRPr="00512E92" w:rsidRDefault="00894CA2" w:rsidP="00512E92"/>
        </w:tc>
        <w:tc>
          <w:tcPr>
            <w:tcW w:w="0" w:type="auto"/>
          </w:tcPr>
          <w:p w14:paraId="7BF86709" w14:textId="1C9BD561" w:rsidR="00894CA2" w:rsidRPr="00512E92" w:rsidRDefault="00894CA2" w:rsidP="00512E92"/>
        </w:tc>
      </w:tr>
      <w:tr w:rsidR="00894CA2" w:rsidRPr="00512E92" w14:paraId="229FA193" w14:textId="77777777" w:rsidTr="00894CA2">
        <w:tc>
          <w:tcPr>
            <w:tcW w:w="0" w:type="auto"/>
            <w:hideMark/>
          </w:tcPr>
          <w:p w14:paraId="209CCA5E" w14:textId="77777777" w:rsidR="00512E92" w:rsidRPr="00512E92" w:rsidRDefault="00512E92" w:rsidP="00C40224">
            <w:pPr>
              <w:ind w:left="334"/>
            </w:pPr>
            <w:r w:rsidRPr="00512E92">
              <w:t>Medicaid</w:t>
            </w:r>
          </w:p>
        </w:tc>
        <w:tc>
          <w:tcPr>
            <w:tcW w:w="0" w:type="auto"/>
            <w:hideMark/>
          </w:tcPr>
          <w:p w14:paraId="3A0C2A0D" w14:textId="77777777" w:rsidR="00512E92" w:rsidRPr="00512E92" w:rsidRDefault="00512E92" w:rsidP="00512E92">
            <w:r w:rsidRPr="00512E92">
              <w:t>1.71</w:t>
            </w:r>
          </w:p>
        </w:tc>
        <w:tc>
          <w:tcPr>
            <w:tcW w:w="0" w:type="auto"/>
            <w:hideMark/>
          </w:tcPr>
          <w:p w14:paraId="7FB60D82" w14:textId="77777777" w:rsidR="00512E92" w:rsidRPr="00512E92" w:rsidRDefault="00512E92" w:rsidP="00512E92">
            <w:r w:rsidRPr="00512E92">
              <w:t>1.40</w:t>
            </w:r>
          </w:p>
        </w:tc>
        <w:tc>
          <w:tcPr>
            <w:tcW w:w="0" w:type="auto"/>
            <w:hideMark/>
          </w:tcPr>
          <w:p w14:paraId="06313DCC" w14:textId="77777777" w:rsidR="00512E92" w:rsidRPr="00512E92" w:rsidRDefault="00512E92" w:rsidP="00512E92">
            <w:r w:rsidRPr="00512E92">
              <w:t>2.09</w:t>
            </w:r>
          </w:p>
        </w:tc>
        <w:tc>
          <w:tcPr>
            <w:tcW w:w="0" w:type="auto"/>
            <w:hideMark/>
          </w:tcPr>
          <w:p w14:paraId="2A1C8178" w14:textId="77777777" w:rsidR="00512E92" w:rsidRPr="00512E92" w:rsidRDefault="00512E92" w:rsidP="00512E92">
            <w:r w:rsidRPr="00512E92">
              <w:t>&lt;.001</w:t>
            </w:r>
          </w:p>
        </w:tc>
      </w:tr>
      <w:tr w:rsidR="00894CA2" w:rsidRPr="00512E92" w14:paraId="48D3C255" w14:textId="77777777" w:rsidTr="00894CA2">
        <w:tc>
          <w:tcPr>
            <w:tcW w:w="0" w:type="auto"/>
            <w:hideMark/>
          </w:tcPr>
          <w:p w14:paraId="61065B18" w14:textId="77777777" w:rsidR="00512E92" w:rsidRPr="00512E92" w:rsidRDefault="00512E92" w:rsidP="00C40224">
            <w:pPr>
              <w:ind w:left="334"/>
            </w:pPr>
            <w:r w:rsidRPr="00512E92">
              <w:t>Medicare</w:t>
            </w:r>
          </w:p>
        </w:tc>
        <w:tc>
          <w:tcPr>
            <w:tcW w:w="0" w:type="auto"/>
            <w:hideMark/>
          </w:tcPr>
          <w:p w14:paraId="4BE187A0" w14:textId="77777777" w:rsidR="00512E92" w:rsidRPr="00512E92" w:rsidRDefault="00512E92" w:rsidP="00512E92">
            <w:r w:rsidRPr="00512E92">
              <w:t>2.18</w:t>
            </w:r>
          </w:p>
        </w:tc>
        <w:tc>
          <w:tcPr>
            <w:tcW w:w="0" w:type="auto"/>
            <w:hideMark/>
          </w:tcPr>
          <w:p w14:paraId="261CF226" w14:textId="77777777" w:rsidR="00512E92" w:rsidRPr="00512E92" w:rsidRDefault="00512E92" w:rsidP="00512E92">
            <w:r w:rsidRPr="00512E92">
              <w:t>1.81</w:t>
            </w:r>
          </w:p>
        </w:tc>
        <w:tc>
          <w:tcPr>
            <w:tcW w:w="0" w:type="auto"/>
            <w:hideMark/>
          </w:tcPr>
          <w:p w14:paraId="3F825A4C" w14:textId="77777777" w:rsidR="00512E92" w:rsidRPr="00512E92" w:rsidRDefault="00512E92" w:rsidP="00512E92">
            <w:r w:rsidRPr="00512E92">
              <w:t>2.62</w:t>
            </w:r>
          </w:p>
        </w:tc>
        <w:tc>
          <w:tcPr>
            <w:tcW w:w="0" w:type="auto"/>
            <w:hideMark/>
          </w:tcPr>
          <w:p w14:paraId="06CEDBD2" w14:textId="77777777" w:rsidR="00512E92" w:rsidRPr="00512E92" w:rsidRDefault="00512E92" w:rsidP="00512E92">
            <w:r w:rsidRPr="00512E92">
              <w:t>&lt;.001</w:t>
            </w:r>
          </w:p>
        </w:tc>
      </w:tr>
      <w:tr w:rsidR="00894CA2" w:rsidRPr="00512E92" w14:paraId="214E6DB1" w14:textId="77777777" w:rsidTr="00894CA2">
        <w:tc>
          <w:tcPr>
            <w:tcW w:w="0" w:type="auto"/>
            <w:hideMark/>
          </w:tcPr>
          <w:p w14:paraId="7ED315CF" w14:textId="77777777" w:rsidR="00512E92" w:rsidRPr="00512E92" w:rsidRDefault="00512E92" w:rsidP="00C40224">
            <w:pPr>
              <w:ind w:left="334"/>
            </w:pPr>
            <w:r w:rsidRPr="00512E92">
              <w:t>Other/unknown</w:t>
            </w:r>
          </w:p>
        </w:tc>
        <w:tc>
          <w:tcPr>
            <w:tcW w:w="0" w:type="auto"/>
            <w:hideMark/>
          </w:tcPr>
          <w:p w14:paraId="02F8ABBA" w14:textId="77777777" w:rsidR="00512E92" w:rsidRPr="00512E92" w:rsidRDefault="00512E92" w:rsidP="00512E92">
            <w:r w:rsidRPr="00512E92">
              <w:t>1.24</w:t>
            </w:r>
          </w:p>
        </w:tc>
        <w:tc>
          <w:tcPr>
            <w:tcW w:w="0" w:type="auto"/>
            <w:hideMark/>
          </w:tcPr>
          <w:p w14:paraId="18E0A60F" w14:textId="77777777" w:rsidR="00512E92" w:rsidRPr="00512E92" w:rsidRDefault="00512E92" w:rsidP="00512E92">
            <w:r w:rsidRPr="00512E92">
              <w:t>1.00</w:t>
            </w:r>
          </w:p>
        </w:tc>
        <w:tc>
          <w:tcPr>
            <w:tcW w:w="0" w:type="auto"/>
            <w:hideMark/>
          </w:tcPr>
          <w:p w14:paraId="7D4F5CB9" w14:textId="77777777" w:rsidR="00512E92" w:rsidRPr="00512E92" w:rsidRDefault="00512E92" w:rsidP="00512E92">
            <w:r w:rsidRPr="00512E92">
              <w:t>1.55</w:t>
            </w:r>
          </w:p>
        </w:tc>
        <w:tc>
          <w:tcPr>
            <w:tcW w:w="0" w:type="auto"/>
            <w:hideMark/>
          </w:tcPr>
          <w:p w14:paraId="68A51CCA" w14:textId="77777777" w:rsidR="00512E92" w:rsidRPr="00512E92" w:rsidRDefault="00512E92" w:rsidP="00512E92">
            <w:r w:rsidRPr="00512E92">
              <w:t>.05</w:t>
            </w:r>
          </w:p>
        </w:tc>
      </w:tr>
      <w:tr w:rsidR="00894CA2" w:rsidRPr="00512E92" w14:paraId="2CE3F756" w14:textId="77777777" w:rsidTr="00894CA2">
        <w:tc>
          <w:tcPr>
            <w:tcW w:w="0" w:type="auto"/>
            <w:hideMark/>
          </w:tcPr>
          <w:p w14:paraId="0492325A" w14:textId="77777777" w:rsidR="00894CA2" w:rsidRPr="00512E92" w:rsidRDefault="00894CA2" w:rsidP="00512E92">
            <w:r w:rsidRPr="00512E92">
              <w:t>Categorical time (REF: Jan 2021–April 202</w:t>
            </w:r>
          </w:p>
        </w:tc>
        <w:tc>
          <w:tcPr>
            <w:tcW w:w="0" w:type="auto"/>
          </w:tcPr>
          <w:p w14:paraId="77A24CD5" w14:textId="77777777" w:rsidR="00894CA2" w:rsidRPr="00512E92" w:rsidRDefault="00894CA2" w:rsidP="00512E92"/>
        </w:tc>
        <w:tc>
          <w:tcPr>
            <w:tcW w:w="0" w:type="auto"/>
          </w:tcPr>
          <w:p w14:paraId="286A72AE" w14:textId="77777777" w:rsidR="00894CA2" w:rsidRPr="00512E92" w:rsidRDefault="00894CA2" w:rsidP="00512E92"/>
        </w:tc>
        <w:tc>
          <w:tcPr>
            <w:tcW w:w="0" w:type="auto"/>
          </w:tcPr>
          <w:p w14:paraId="16BE34E3" w14:textId="77777777" w:rsidR="00894CA2" w:rsidRPr="00512E92" w:rsidRDefault="00894CA2" w:rsidP="00512E92"/>
        </w:tc>
        <w:tc>
          <w:tcPr>
            <w:tcW w:w="0" w:type="auto"/>
          </w:tcPr>
          <w:p w14:paraId="58D2DFE3" w14:textId="0FF9FE01" w:rsidR="00894CA2" w:rsidRPr="00512E92" w:rsidRDefault="00894CA2" w:rsidP="00512E92"/>
        </w:tc>
      </w:tr>
      <w:tr w:rsidR="00894CA2" w:rsidRPr="00512E92" w14:paraId="447E1646" w14:textId="77777777" w:rsidTr="00894CA2">
        <w:tc>
          <w:tcPr>
            <w:tcW w:w="0" w:type="auto"/>
            <w:hideMark/>
          </w:tcPr>
          <w:p w14:paraId="409458FC" w14:textId="77777777" w:rsidR="00512E92" w:rsidRPr="00512E92" w:rsidRDefault="00512E92" w:rsidP="00C40224">
            <w:pPr>
              <w:ind w:left="334"/>
            </w:pPr>
            <w:r w:rsidRPr="00512E92">
              <w:t>March 2020–May 2020</w:t>
            </w:r>
          </w:p>
        </w:tc>
        <w:tc>
          <w:tcPr>
            <w:tcW w:w="0" w:type="auto"/>
            <w:hideMark/>
          </w:tcPr>
          <w:p w14:paraId="1626A4F9" w14:textId="77777777" w:rsidR="00512E92" w:rsidRPr="00512E92" w:rsidRDefault="00512E92" w:rsidP="00512E92">
            <w:r w:rsidRPr="00512E92">
              <w:t>0.67</w:t>
            </w:r>
          </w:p>
        </w:tc>
        <w:tc>
          <w:tcPr>
            <w:tcW w:w="0" w:type="auto"/>
            <w:hideMark/>
          </w:tcPr>
          <w:p w14:paraId="6393ADBC" w14:textId="77777777" w:rsidR="00512E92" w:rsidRPr="00512E92" w:rsidRDefault="00512E92" w:rsidP="00512E92">
            <w:r w:rsidRPr="00512E92">
              <w:t>0.55</w:t>
            </w:r>
          </w:p>
        </w:tc>
        <w:tc>
          <w:tcPr>
            <w:tcW w:w="0" w:type="auto"/>
            <w:hideMark/>
          </w:tcPr>
          <w:p w14:paraId="337CF7DD" w14:textId="77777777" w:rsidR="00512E92" w:rsidRPr="00512E92" w:rsidRDefault="00512E92" w:rsidP="00512E92">
            <w:r w:rsidRPr="00512E92">
              <w:t>0.82</w:t>
            </w:r>
          </w:p>
        </w:tc>
        <w:tc>
          <w:tcPr>
            <w:tcW w:w="0" w:type="auto"/>
            <w:hideMark/>
          </w:tcPr>
          <w:p w14:paraId="5C3DA8B5" w14:textId="77777777" w:rsidR="00512E92" w:rsidRPr="00512E92" w:rsidRDefault="00512E92" w:rsidP="00512E92">
            <w:r w:rsidRPr="00512E92">
              <w:t>&lt;.001</w:t>
            </w:r>
          </w:p>
        </w:tc>
      </w:tr>
      <w:tr w:rsidR="00894CA2" w:rsidRPr="00512E92" w14:paraId="63C3DAB8" w14:textId="77777777" w:rsidTr="00894CA2">
        <w:tc>
          <w:tcPr>
            <w:tcW w:w="0" w:type="auto"/>
            <w:hideMark/>
          </w:tcPr>
          <w:p w14:paraId="34295233" w14:textId="77777777" w:rsidR="00512E92" w:rsidRPr="00512E92" w:rsidRDefault="00512E92" w:rsidP="00C40224">
            <w:pPr>
              <w:ind w:left="334"/>
            </w:pPr>
            <w:r w:rsidRPr="00512E92">
              <w:t>June 2020–Sept 2020</w:t>
            </w:r>
          </w:p>
        </w:tc>
        <w:tc>
          <w:tcPr>
            <w:tcW w:w="0" w:type="auto"/>
            <w:hideMark/>
          </w:tcPr>
          <w:p w14:paraId="30432F0B" w14:textId="77777777" w:rsidR="00512E92" w:rsidRPr="00512E92" w:rsidRDefault="00512E92" w:rsidP="00512E92">
            <w:r w:rsidRPr="00512E92">
              <w:t>0.81</w:t>
            </w:r>
          </w:p>
        </w:tc>
        <w:tc>
          <w:tcPr>
            <w:tcW w:w="0" w:type="auto"/>
            <w:hideMark/>
          </w:tcPr>
          <w:p w14:paraId="1C707B89" w14:textId="77777777" w:rsidR="00512E92" w:rsidRPr="00512E92" w:rsidRDefault="00512E92" w:rsidP="00512E92">
            <w:r w:rsidRPr="00512E92">
              <w:t>0.64</w:t>
            </w:r>
          </w:p>
        </w:tc>
        <w:tc>
          <w:tcPr>
            <w:tcW w:w="0" w:type="auto"/>
            <w:hideMark/>
          </w:tcPr>
          <w:p w14:paraId="223FF5A3" w14:textId="77777777" w:rsidR="00512E92" w:rsidRPr="00512E92" w:rsidRDefault="00512E92" w:rsidP="00512E92">
            <w:r w:rsidRPr="00512E92">
              <w:t>1.03</w:t>
            </w:r>
          </w:p>
        </w:tc>
        <w:tc>
          <w:tcPr>
            <w:tcW w:w="0" w:type="auto"/>
            <w:hideMark/>
          </w:tcPr>
          <w:p w14:paraId="0ABF30E8" w14:textId="77777777" w:rsidR="00512E92" w:rsidRPr="00512E92" w:rsidRDefault="00512E92" w:rsidP="00512E92">
            <w:r w:rsidRPr="00512E92">
              <w:t>.08</w:t>
            </w:r>
          </w:p>
        </w:tc>
      </w:tr>
      <w:tr w:rsidR="00894CA2" w:rsidRPr="00512E92" w14:paraId="713DFF97" w14:textId="77777777" w:rsidTr="00894CA2">
        <w:tc>
          <w:tcPr>
            <w:tcW w:w="0" w:type="auto"/>
            <w:hideMark/>
          </w:tcPr>
          <w:p w14:paraId="6BAAA5A6" w14:textId="32795E3D" w:rsidR="00512E92" w:rsidRPr="00512E92" w:rsidRDefault="00512E92" w:rsidP="00C40224">
            <w:pPr>
              <w:ind w:left="334"/>
            </w:pPr>
            <w:r w:rsidRPr="00512E92">
              <w:t>Oct 2020–Dec 202</w:t>
            </w:r>
            <w:r w:rsidR="00C40224">
              <w:t>0</w:t>
            </w:r>
          </w:p>
        </w:tc>
        <w:tc>
          <w:tcPr>
            <w:tcW w:w="0" w:type="auto"/>
            <w:hideMark/>
          </w:tcPr>
          <w:p w14:paraId="0CA1C539" w14:textId="77777777" w:rsidR="00512E92" w:rsidRPr="00512E92" w:rsidRDefault="00512E92" w:rsidP="00512E92">
            <w:r w:rsidRPr="00512E92">
              <w:t>0.73</w:t>
            </w:r>
          </w:p>
        </w:tc>
        <w:tc>
          <w:tcPr>
            <w:tcW w:w="0" w:type="auto"/>
            <w:hideMark/>
          </w:tcPr>
          <w:p w14:paraId="3517CF2F" w14:textId="77777777" w:rsidR="00512E92" w:rsidRPr="00512E92" w:rsidRDefault="00512E92" w:rsidP="00512E92">
            <w:r w:rsidRPr="00512E92">
              <w:t>0.63</w:t>
            </w:r>
          </w:p>
        </w:tc>
        <w:tc>
          <w:tcPr>
            <w:tcW w:w="0" w:type="auto"/>
            <w:hideMark/>
          </w:tcPr>
          <w:p w14:paraId="6D740FBE" w14:textId="77777777" w:rsidR="00512E92" w:rsidRPr="00512E92" w:rsidRDefault="00512E92" w:rsidP="00512E92">
            <w:r w:rsidRPr="00512E92">
              <w:t>0.86</w:t>
            </w:r>
          </w:p>
        </w:tc>
        <w:tc>
          <w:tcPr>
            <w:tcW w:w="0" w:type="auto"/>
            <w:hideMark/>
          </w:tcPr>
          <w:p w14:paraId="188CEBC7" w14:textId="77777777" w:rsidR="00512E92" w:rsidRPr="00512E92" w:rsidRDefault="00512E92" w:rsidP="00512E92">
            <w:r w:rsidRPr="00512E92">
              <w:t>&lt;.001</w:t>
            </w:r>
          </w:p>
        </w:tc>
      </w:tr>
      <w:tr w:rsidR="00894CA2" w:rsidRPr="00512E92" w14:paraId="7D6876FB" w14:textId="77777777" w:rsidTr="00894CA2">
        <w:tc>
          <w:tcPr>
            <w:tcW w:w="0" w:type="auto"/>
            <w:hideMark/>
          </w:tcPr>
          <w:p w14:paraId="72833CF0" w14:textId="77777777" w:rsidR="00512E92" w:rsidRPr="00512E92" w:rsidRDefault="00512E92" w:rsidP="00512E92">
            <w:r w:rsidRPr="00512E92">
              <w:t>Nonindependent with activities of daily living/mobility, prehospital</w:t>
            </w:r>
          </w:p>
        </w:tc>
        <w:tc>
          <w:tcPr>
            <w:tcW w:w="0" w:type="auto"/>
            <w:hideMark/>
          </w:tcPr>
          <w:p w14:paraId="2FC5B169" w14:textId="77777777" w:rsidR="00512E92" w:rsidRPr="00512E92" w:rsidRDefault="00512E92" w:rsidP="00512E92">
            <w:r w:rsidRPr="00512E92">
              <w:t>2.23</w:t>
            </w:r>
          </w:p>
        </w:tc>
        <w:tc>
          <w:tcPr>
            <w:tcW w:w="0" w:type="auto"/>
            <w:hideMark/>
          </w:tcPr>
          <w:p w14:paraId="4E33C41D" w14:textId="77777777" w:rsidR="00512E92" w:rsidRPr="00512E92" w:rsidRDefault="00512E92" w:rsidP="00512E92">
            <w:r w:rsidRPr="00512E92">
              <w:t>1.85</w:t>
            </w:r>
          </w:p>
        </w:tc>
        <w:tc>
          <w:tcPr>
            <w:tcW w:w="0" w:type="auto"/>
            <w:hideMark/>
          </w:tcPr>
          <w:p w14:paraId="32F76481" w14:textId="77777777" w:rsidR="00512E92" w:rsidRPr="00512E92" w:rsidRDefault="00512E92" w:rsidP="00512E92">
            <w:r w:rsidRPr="00512E92">
              <w:t>2.68</w:t>
            </w:r>
          </w:p>
        </w:tc>
        <w:tc>
          <w:tcPr>
            <w:tcW w:w="0" w:type="auto"/>
            <w:hideMark/>
          </w:tcPr>
          <w:p w14:paraId="57D765C7" w14:textId="77777777" w:rsidR="00512E92" w:rsidRPr="00512E92" w:rsidRDefault="00512E92" w:rsidP="00512E92">
            <w:r w:rsidRPr="00512E92">
              <w:t>&lt;.001</w:t>
            </w:r>
          </w:p>
        </w:tc>
      </w:tr>
    </w:tbl>
    <w:p w14:paraId="2BA96668" w14:textId="77777777" w:rsidR="00512E92" w:rsidRDefault="00512E92" w:rsidP="00894CA2">
      <w:pPr>
        <w:pStyle w:val="NoSpacing"/>
      </w:pPr>
      <w:r w:rsidRPr="00512E92">
        <w:t>Abbreviations: EST, estimate; LL, lower limit; OT, occupational therapy; PT, physical therapy; UL, upper limit.</w:t>
      </w:r>
    </w:p>
    <w:p w14:paraId="491DE341" w14:textId="77777777" w:rsidR="00894CA2" w:rsidRPr="00512E92" w:rsidRDefault="00894CA2" w:rsidP="00894CA2">
      <w:pPr>
        <w:pStyle w:val="NoSpacing"/>
      </w:pPr>
    </w:p>
    <w:p w14:paraId="1CCA7AED" w14:textId="28530EFF" w:rsidR="00512E92" w:rsidRPr="00512E92" w:rsidRDefault="00512E92" w:rsidP="00512E92">
      <w:r w:rsidRPr="00512E92">
        <w:t>In adjusted analyses stratified by gender, males who were Hispanic (adjusted OR [aOR], 0.7, 95% confidence interval [CI]: 0.5–0.8, </w:t>
      </w:r>
      <w:r w:rsidRPr="00512E92">
        <w:rPr>
          <w:i/>
          <w:iCs/>
        </w:rPr>
        <w:t>p</w:t>
      </w:r>
      <w:r w:rsidRPr="00512E92">
        <w:t> &lt; .001) had significantly lower odds of receiving a referral for PT and/or OT consultation compared with males who were non-Hispanic, White. In the same adjusted analysis, there was not a significant difference in the odds of referral for PT and/or OT consultation for females who were Hispanic compared with White females who were non-Hispanic (</w:t>
      </w:r>
      <w:r w:rsidRPr="00512E92">
        <w:rPr>
          <w:i/>
          <w:iCs/>
        </w:rPr>
        <w:t>p</w:t>
      </w:r>
      <w:r w:rsidRPr="00512E92">
        <w:t> = .67) (Table </w:t>
      </w:r>
      <w:r w:rsidRPr="00E5631F">
        <w:rPr>
          <w:b/>
          <w:bCs/>
        </w:rPr>
        <w:t>S1</w:t>
      </w:r>
      <w:r w:rsidRPr="00512E92">
        <w:t>).</w:t>
      </w:r>
    </w:p>
    <w:p w14:paraId="1EDA9317" w14:textId="3CC9C455" w:rsidR="00512E92" w:rsidRPr="00512E92" w:rsidRDefault="00512E92" w:rsidP="00512E92">
      <w:r w:rsidRPr="00512E92">
        <w:t>In a subset of patients (</w:t>
      </w:r>
      <w:r w:rsidRPr="00512E92">
        <w:rPr>
          <w:i/>
          <w:iCs/>
        </w:rPr>
        <w:t>n</w:t>
      </w:r>
      <w:r w:rsidRPr="00512E92">
        <w:t> = 2218) with available data on receipt of PT and/or OT services (Table </w:t>
      </w:r>
      <w:r w:rsidRPr="00E5631F">
        <w:rPr>
          <w:b/>
          <w:bCs/>
        </w:rPr>
        <w:t>S3</w:t>
      </w:r>
      <w:r w:rsidRPr="00512E92">
        <w:t>), Hispanic ethnicity was similarly associated with a reduced proportion of ever receiving PT and/or OT, after adjustment for age, sex, and severity of illness (aOR: 0.6, 95% CI: 0.5–0.8, </w:t>
      </w:r>
      <w:r w:rsidRPr="00512E92">
        <w:rPr>
          <w:i/>
          <w:iCs/>
        </w:rPr>
        <w:t>p</w:t>
      </w:r>
      <w:r w:rsidRPr="00512E92">
        <w:t> = .001). Increased age (aOR per 10 years: 1.3, 95% CI: 1.2–1.5, </w:t>
      </w:r>
      <w:r w:rsidRPr="00512E92">
        <w:rPr>
          <w:i/>
          <w:iCs/>
        </w:rPr>
        <w:t>p</w:t>
      </w:r>
      <w:r w:rsidRPr="00512E92">
        <w:t> &lt; .002), greater illness severity (ICU admission aOR: 2.2, 95% CI: 1.7–2.9, </w:t>
      </w:r>
      <w:r w:rsidRPr="00512E92">
        <w:rPr>
          <w:i/>
          <w:iCs/>
        </w:rPr>
        <w:t>p</w:t>
      </w:r>
      <w:r w:rsidRPr="00512E92">
        <w:t> &lt; .001; length of stay aOR: 1.1, 95% CI: 1.1–1.1, </w:t>
      </w:r>
      <w:r w:rsidRPr="00512E92">
        <w:rPr>
          <w:i/>
          <w:iCs/>
        </w:rPr>
        <w:t>p</w:t>
      </w:r>
      <w:r w:rsidRPr="00512E92">
        <w:t> &lt; .001), baseline nonindependence (aOR: 2.2, 95% CI: 1.6–3.0; </w:t>
      </w:r>
      <w:r w:rsidRPr="00512E92">
        <w:rPr>
          <w:i/>
          <w:iCs/>
        </w:rPr>
        <w:t>p</w:t>
      </w:r>
      <w:r w:rsidRPr="00512E92">
        <w:t> &lt; .001), and noncommercial payers (Medicare aOR: 1.9, 95% CI: 1.3–2.6, </w:t>
      </w:r>
      <w:r w:rsidRPr="00512E92">
        <w:rPr>
          <w:i/>
          <w:iCs/>
        </w:rPr>
        <w:t>p</w:t>
      </w:r>
      <w:r w:rsidRPr="00512E92">
        <w:t> &lt; .001; Medicaid aOR: 1.6, 95% CI: 1.1–2.2, </w:t>
      </w:r>
      <w:r w:rsidRPr="00512E92">
        <w:rPr>
          <w:i/>
          <w:iCs/>
        </w:rPr>
        <w:t>p</w:t>
      </w:r>
      <w:r w:rsidRPr="00512E92">
        <w:t> = .01) remained associated with receipt of PT and/or OT.</w:t>
      </w:r>
    </w:p>
    <w:p w14:paraId="4249ADA6" w14:textId="77777777" w:rsidR="00512E92" w:rsidRPr="00512E92" w:rsidRDefault="00512E92" w:rsidP="00894CA2">
      <w:pPr>
        <w:pStyle w:val="Heading1"/>
      </w:pPr>
      <w:r w:rsidRPr="00512E92">
        <w:t>DISCUSSION</w:t>
      </w:r>
    </w:p>
    <w:p w14:paraId="1F97A069" w14:textId="77777777" w:rsidR="00512E92" w:rsidRPr="00512E92" w:rsidRDefault="00512E92" w:rsidP="00512E92">
      <w:r w:rsidRPr="00512E92">
        <w:t>This analysis aimed to test whether referral to and delivery of rehabilitation therapy services differed among racial/ethnic minority patients compared with non-Hispanic White patients, contributing to poorer outcomes in this population. Furthermore, we explored potential explanations for disparate allocation if present. In a diverse cohort of patients hospitalized for COVID-19 across a regional healthcare system, referral rates for PT and/or OT were significantly lower among patients who were Hispanic compared with patients who were non-Hispanic White, after adjustment for available demographic and illness severity variables. Furthermore, in a subanalysis of patients with available billing data for PT and/or OT services received, patients who were Hispanic were also less likely to actually receive these rehabilitation therapy services compared with patients who were non-Hispanic White.</w:t>
      </w:r>
    </w:p>
    <w:p w14:paraId="16F18D3A" w14:textId="7A23E175" w:rsidR="00512E92" w:rsidRPr="00512E92" w:rsidRDefault="00512E92" w:rsidP="00512E92">
      <w:r w:rsidRPr="00512E92">
        <w:t>There are many possible explanations for these disparities observed with both referral rates and receipt of rehabilitation therapy services. Notably, patients who were Hispanic in our cohort were younger and more independent at baseline. Yet, studies of hospitalized COVID patients report longer-term impairments often with new disabilities despite normal function at baseline.</w:t>
      </w:r>
      <w:r w:rsidRPr="00E5631F">
        <w:rPr>
          <w:vertAlign w:val="superscript"/>
        </w:rPr>
        <w:t>8</w:t>
      </w:r>
      <w:r w:rsidRPr="00512E92">
        <w:t xml:space="preserve"> These factors may impact a provider's clinical decision-making surrounding referral to PT and/or OT as well as rehabilitation therapist's decisions on which patients to evaluate and/or treat at the bedside. Physical therapists and occupational therapists within acute care hospitals are often consulted to assist with discharge planning, especially for patients who may require placement and/or </w:t>
      </w:r>
      <w:proofErr w:type="spellStart"/>
      <w:r w:rsidRPr="00512E92">
        <w:t>postacute</w:t>
      </w:r>
      <w:proofErr w:type="spellEnd"/>
      <w:r w:rsidRPr="00512E92">
        <w:t xml:space="preserve"> care rehabilitation.</w:t>
      </w:r>
      <w:r w:rsidRPr="00E5631F">
        <w:rPr>
          <w:vertAlign w:val="superscript"/>
        </w:rPr>
        <w:t>23</w:t>
      </w:r>
      <w:r w:rsidRPr="00512E92">
        <w:rPr>
          <w:vertAlign w:val="superscript"/>
        </w:rPr>
        <w:t>, </w:t>
      </w:r>
      <w:r w:rsidRPr="00E5631F">
        <w:rPr>
          <w:vertAlign w:val="superscript"/>
        </w:rPr>
        <w:t>24</w:t>
      </w:r>
      <w:r w:rsidRPr="00512E92">
        <w:t> Therefore, acute care rehabilitation therapy practices may not prioritize patients who are physically and functionally able to discharge home, even when these patients exhibit new impairments and/or are at risk for long term functional issues.</w:t>
      </w:r>
      <w:r w:rsidRPr="00E5631F">
        <w:rPr>
          <w:vertAlign w:val="superscript"/>
        </w:rPr>
        <w:t>24</w:t>
      </w:r>
    </w:p>
    <w:p w14:paraId="4BC39C92" w14:textId="457CA1FD" w:rsidR="00512E92" w:rsidRPr="00512E92" w:rsidRDefault="00512E92" w:rsidP="00512E92">
      <w:r w:rsidRPr="00512E92">
        <w:t>Translation services may contribute to inequity of rehabilitation therapy delivery, as a potentially modifiable factor. Patients requiring translation services were significantly less likely to receive these referrals compared with English-speaking patients. Inaccessible or inadequate translation services increase cost, prolong lengths of stay, and increase errors among care teams caring for patients with limited English proficiency.</w:t>
      </w:r>
      <w:r w:rsidRPr="00E5631F">
        <w:rPr>
          <w:vertAlign w:val="superscript"/>
        </w:rPr>
        <w:t>25</w:t>
      </w:r>
      <w:r w:rsidRPr="00512E92">
        <w:t> Translation services for patients with COVID-19 in our hospital occur via video bedside translators. Although access is usually not a barrier, the perceived necessary time needed for translation may be a barrier to initial referral amongst medical providers.</w:t>
      </w:r>
    </w:p>
    <w:p w14:paraId="2A5A7737" w14:textId="77777777" w:rsidR="00512E92" w:rsidRPr="00512E92" w:rsidRDefault="00512E92" w:rsidP="00512E92">
      <w:r w:rsidRPr="00512E92">
        <w:t>The observed disparities in referral rates and delivery of therapy services may reflect overall differences in access to care for patients of Hispanic identity. Interestingly, we saw temporal variation in referral rates and delivery of services that appeared to correspond with clinical COVID-19 surges. Insurance coverage in our cohort was a significant predictor of therapy referral and delivery; this association is likely confounded by age and comorbid illness since patients with Medicare represent a commonly identified group who require therapy services due to advanced age and potential frailty. Contrary to these confounding factors, patients who are Hispanic had the lowest proportion of Medicare beneficiaries and the highest proportion of Medicaid and other/unknown beneficiaries, suggesting that this group is likely underinsured. In this situation, providers may not place a referral for rehabilitation therapy for patients with Medicaid or unknown insurance status, assuming there is a potential for increased out-of-pocket costs. Overall, we found that Medicaid and unknown insurance were associated with greater odds of rehabilitation referral. Indeed, providing in-hospital rehabilitation services to underinsured or uninsured individuals may be important to prioritize because it may not be financially feasible for these individuals to receive home- nor outpatient-based rehabilitation services following hospital discharge; this lack of access to rehabilitation services across the care continuum increases the risk of perpetuating posthospital impairments contributing to long-term morbidity.</w:t>
      </w:r>
    </w:p>
    <w:p w14:paraId="6B9C3B37" w14:textId="6C86E286" w:rsidR="00512E92" w:rsidRPr="00512E92" w:rsidRDefault="00512E92" w:rsidP="00512E92">
      <w:r w:rsidRPr="00512E92">
        <w:t>Importantly, implicit bias may influence both the referral for PT/OT services and the delivery of therapy services. Disparities in care continue to exist, and those with limited financial resources and those of racial minorities or Hispanic ethnicity appear to be most impacted. Recent studies have demonstrated lower specialist referrals among Black compared with white patients.</w:t>
      </w:r>
      <w:r w:rsidRPr="00E5631F">
        <w:rPr>
          <w:vertAlign w:val="superscript"/>
        </w:rPr>
        <w:t>26</w:t>
      </w:r>
      <w:r w:rsidRPr="00512E92">
        <w:rPr>
          <w:vertAlign w:val="superscript"/>
        </w:rPr>
        <w:t>, </w:t>
      </w:r>
      <w:r w:rsidRPr="00E5631F">
        <w:rPr>
          <w:vertAlign w:val="superscript"/>
        </w:rPr>
        <w:t>27</w:t>
      </w:r>
      <w:r w:rsidRPr="00512E92">
        <w:t> Little is known about implicit biases present in receipt of inpatient PT and OT services; however, Hispanic older adults are significantly less likely to be referred for home health services compared with non-Hispanic White patients, a finding driven primarily by insurance coverage.</w:t>
      </w:r>
      <w:r w:rsidRPr="00E5631F">
        <w:rPr>
          <w:vertAlign w:val="superscript"/>
        </w:rPr>
        <w:t>28</w:t>
      </w:r>
      <w:r w:rsidRPr="00512E92">
        <w:t> Furthermore, in a separate study, both Hispanic and Black patients were significantly less likely than non-Hispanic White patients to receive intensive rehabilitation following traumatic brain injury, and this difference persisted in the Medicare population, indicating that factors other than insurance coverage contributed to this observed disparity.</w:t>
      </w:r>
      <w:r w:rsidRPr="00E5631F">
        <w:rPr>
          <w:vertAlign w:val="superscript"/>
        </w:rPr>
        <w:t>29</w:t>
      </w:r>
      <w:r w:rsidRPr="00512E92">
        <w:t> Identifying factors related to and working to overcome implicit bias is imperative in providing equitable care for all.</w:t>
      </w:r>
    </w:p>
    <w:p w14:paraId="63989CB2" w14:textId="6F9455F0" w:rsidR="00512E92" w:rsidRPr="00512E92" w:rsidRDefault="00512E92" w:rsidP="00512E92">
      <w:r w:rsidRPr="00512E92">
        <w:t>Patients hospitalized for COVID-19, especially those requiring critical care, are likely to experience significant in-hospital morbidity and are at high risk for posthospital functional impairment.</w:t>
      </w:r>
      <w:r w:rsidRPr="00E5631F">
        <w:rPr>
          <w:vertAlign w:val="superscript"/>
        </w:rPr>
        <w:t>6</w:t>
      </w:r>
      <w:r w:rsidRPr="00512E92">
        <w:rPr>
          <w:vertAlign w:val="superscript"/>
        </w:rPr>
        <w:t>, </w:t>
      </w:r>
      <w:r w:rsidRPr="00E5631F">
        <w:rPr>
          <w:vertAlign w:val="superscript"/>
        </w:rPr>
        <w:t>7</w:t>
      </w:r>
      <w:r w:rsidRPr="00512E92">
        <w:t> There is a significant need to equitably identify all individuals who demonstrate the need for rehabilitation services during their hospital stay to ensure their needs are met both during and after hospitalization. Additionally, after identification, it is vital to ensure appropriate and equitable allocation of rehabilitation services. The present analysis identified that Hispanic males had significantly lower odds of both receiving a referral for PT/OT and bedside rehabilitation services. The limitations of a retrospective data set analysis, however, restrict our ability to identify why this inequity occurred, especially when one considers the inherent multilevel complexity of a healthcare system during a pandemic. Emerging literature surrounding processes for the identification of patients who may benefit from rehabilitation services during hospitalization suggest that healthcare systems that integrate the multidisciplinary measurement of physical function and mobility appear to result in more appropriate therapy referrals and visits for patients with more severe impairments.</w:t>
      </w:r>
      <w:r w:rsidRPr="00E5631F">
        <w:rPr>
          <w:vertAlign w:val="superscript"/>
        </w:rPr>
        <w:t>30</w:t>
      </w:r>
      <w:r w:rsidRPr="00512E92">
        <w:rPr>
          <w:vertAlign w:val="superscript"/>
        </w:rPr>
        <w:t>, </w:t>
      </w:r>
      <w:r w:rsidRPr="00E5631F">
        <w:rPr>
          <w:vertAlign w:val="superscript"/>
        </w:rPr>
        <w:t>31</w:t>
      </w:r>
      <w:r w:rsidRPr="00512E92">
        <w:t> It is unknown if the use of standardized screening procedures and objective measures of physical function would help address systemic health disparities such as those identified in the present analysis.</w:t>
      </w:r>
    </w:p>
    <w:p w14:paraId="70C05245" w14:textId="77777777" w:rsidR="00512E92" w:rsidRPr="00512E92" w:rsidRDefault="00512E92" w:rsidP="00512E92">
      <w:r w:rsidRPr="00512E92">
        <w:t>There are several important limitations to our current study. Retrospective, administrative clinical data limit our ability to fully explain disparities observed in the data, especially given the presence of missing data and unknown reliability and validity of some of the documentation constructs. Data pertaining to reasons for lack of both referral and delivery of PT/OT services were not available in the data set; for example, it is possible that some patients declined services due to ongoing symptoms or lack of desire for therapy. Additionally, we are unable to obtain information about provider practices regarding placement of referrals for rehabilitation therapy nor about PT/OT practices regarding service delivery; as a result, there are likely multilevel factors affecting these care decisions that are not accounted for within our current analysis. Similarly, it is recognized that mobility culture within individual hospitals can vary significantly. We attempted to control for this by including hospital region as a mixed effect in our model, but were not able to adjust by individual hospital due to data-sharing limitations and small numbers of included individuals. We were also limited in incorporating only sociodemographic information available in the EHR. Many social determinants of health such as proximity to care, health literacy, annual income, and access to culturally appropriate care are not standard constructs included in the EHR. Likewise, hospital-level factors may alter the placement of referrals and delivery of rehabilitation services, including hospital culture, staffing, standards of care, and provider experience; however, these factors are not available within our current data set. Future studies should aim to better understand social determinants of health as they relate to therapy resource allocation within and after acute care hospitalization. Finally, while we adjusted for the markers of illness severity available within the data set, there is likely residual confounding by illness severity that explains some of the variances in referral rates and delivery.</w:t>
      </w:r>
    </w:p>
    <w:p w14:paraId="1D2119B4" w14:textId="77777777" w:rsidR="00512E92" w:rsidRPr="00512E92" w:rsidRDefault="00512E92" w:rsidP="00894CA2">
      <w:pPr>
        <w:pStyle w:val="Heading1"/>
      </w:pPr>
      <w:r w:rsidRPr="00512E92">
        <w:t>CONCLUSIONS</w:t>
      </w:r>
    </w:p>
    <w:p w14:paraId="19E3D2F4" w14:textId="77777777" w:rsidR="00512E92" w:rsidRPr="00512E92" w:rsidRDefault="00512E92" w:rsidP="00512E92">
      <w:r w:rsidRPr="00512E92">
        <w:t>In a diverse cohort of patients hospitalized for COVID-19 across a regional healthcare system, referral rates, and delivery of PT and/or OT services was significantly reduced for Hispanic patients compared with non-Hispanic White patients after adjusting for potential confounding. We identified the use of interpreter service and insurance payer mix as potentially modifiable factors associated with these disparities. Future studies should determine the risk of poor long-term outcomes amongst this population to better inform inpatient staffing models and to better target acute services to groups with a high likelihood of improved functional recovery and explore methods for ensuring equitable allocation of rehabilitative resources in hospitalized patients.</w:t>
      </w:r>
    </w:p>
    <w:p w14:paraId="542095D5" w14:textId="77777777" w:rsidR="00512E92" w:rsidRPr="00512E92" w:rsidRDefault="00512E92" w:rsidP="00894CA2">
      <w:pPr>
        <w:pStyle w:val="Heading1"/>
      </w:pPr>
      <w:r w:rsidRPr="00512E92">
        <w:t>ACKNOWLEDGMENTS</w:t>
      </w:r>
    </w:p>
    <w:p w14:paraId="0120F941" w14:textId="5E6A2320" w:rsidR="00512E92" w:rsidRPr="00512E92" w:rsidRDefault="00512E92" w:rsidP="00512E92">
      <w:r w:rsidRPr="00512E92">
        <w:t>The current project is supported by NIH/NIA R01 AG 054366-05S1 (to Kristine M. Erlandson and Jennifer Stevens-Lapsley, MPI). Dr. Jolley is supported by NIH/NIAAA K23 AA 026315-05. Dr. Capin is supported by NIH/NIA F32-AG066274, Advanced Geriatrics Fellowship from the United States (US) Department of Veterans Affairs Geriatric Research Education and Clinical Center, and Academy of Orthopedic Physical Therapy Career Development Award. Ms. Heery is supported by NIH/NCATS Colorado CTSA Grant Number TL1 TR002533. This project is supported by Health Data Compass Data Warehouse (</w:t>
      </w:r>
      <w:r w:rsidRPr="00E5631F">
        <w:rPr>
          <w:b/>
          <w:bCs/>
        </w:rPr>
        <w:t>healthdatacompass.org</w:t>
      </w:r>
      <w:r w:rsidRPr="00512E92">
        <w:t>). REDCap Database is supported by NIH/NCATS Colorado CTSA Grant Number UL1 TR002535. Rapid Response Data for Discoveries (R2D2) is funded by the Gordon and Betty Moore Foundation </w:t>
      </w:r>
      <w:r w:rsidRPr="00E5631F">
        <w:rPr>
          <w:b/>
          <w:bCs/>
        </w:rPr>
        <w:t>https://covid19questions.org/</w:t>
      </w:r>
      <w:r w:rsidRPr="00512E92">
        <w:t>. The contents are the authors' sole responsibility and do not necessarily represent official NIH views.</w:t>
      </w:r>
    </w:p>
    <w:p w14:paraId="6906E32A" w14:textId="77777777" w:rsidR="00512E92" w:rsidRPr="00512E92" w:rsidRDefault="00512E92" w:rsidP="00894CA2">
      <w:pPr>
        <w:pStyle w:val="Heading1"/>
      </w:pPr>
      <w:r w:rsidRPr="00512E92">
        <w:t>CONFLICT OF INTEREST</w:t>
      </w:r>
    </w:p>
    <w:p w14:paraId="4845B712" w14:textId="77777777" w:rsidR="00512E92" w:rsidRPr="00512E92" w:rsidRDefault="00512E92" w:rsidP="00512E92">
      <w:r w:rsidRPr="00512E92">
        <w:t>The authors declare that there are no conflicts of interest.</w:t>
      </w:r>
    </w:p>
    <w:p w14:paraId="775E6224" w14:textId="6E09B313" w:rsidR="00512E92" w:rsidRDefault="00512E92" w:rsidP="00512E92">
      <w:pPr>
        <w:pStyle w:val="Heading1"/>
      </w:pPr>
      <w:r>
        <w:t xml:space="preserve">References </w:t>
      </w:r>
    </w:p>
    <w:p w14:paraId="452457A8" w14:textId="26F356F4" w:rsidR="00512E92" w:rsidRPr="00512E92" w:rsidRDefault="00512E92" w:rsidP="00E5631F">
      <w:pPr>
        <w:pStyle w:val="ListParagraph"/>
        <w:numPr>
          <w:ilvl w:val="0"/>
          <w:numId w:val="5"/>
        </w:numPr>
        <w:spacing w:after="0"/>
      </w:pPr>
      <w:r w:rsidRPr="00512E92">
        <w:t>Gill TM, Allore HG, Holford TR, Guo Z. Hospitalization, restricted activity, and the development of disability among older persons. </w:t>
      </w:r>
      <w:r w:rsidRPr="00E5631F">
        <w:rPr>
          <w:i/>
          <w:iCs/>
        </w:rPr>
        <w:t>JAMA</w:t>
      </w:r>
      <w:r w:rsidRPr="00512E92">
        <w:t>. 2004; </w:t>
      </w:r>
      <w:r w:rsidRPr="00E5631F">
        <w:rPr>
          <w:b/>
          <w:bCs/>
        </w:rPr>
        <w:t>292</w:t>
      </w:r>
      <w:r w:rsidRPr="00512E92">
        <w:t>(17): 2115- 2124.</w:t>
      </w:r>
    </w:p>
    <w:p w14:paraId="253267D7" w14:textId="605BA721" w:rsidR="00512E92" w:rsidRPr="00512E92" w:rsidRDefault="00512E92" w:rsidP="00E5631F">
      <w:pPr>
        <w:pStyle w:val="ListParagraph"/>
        <w:numPr>
          <w:ilvl w:val="0"/>
          <w:numId w:val="5"/>
        </w:numPr>
        <w:spacing w:after="0"/>
      </w:pPr>
      <w:r w:rsidRPr="00512E92">
        <w:t>Kortebein P. Rehabilitation for hospital-associated deconditioning. </w:t>
      </w:r>
      <w:r w:rsidRPr="00E5631F">
        <w:rPr>
          <w:i/>
          <w:iCs/>
        </w:rPr>
        <w:t>Am J Phys Med Rehabil</w:t>
      </w:r>
      <w:r w:rsidRPr="00512E92">
        <w:t>. 2009; </w:t>
      </w:r>
      <w:r w:rsidRPr="00E5631F">
        <w:rPr>
          <w:b/>
          <w:bCs/>
        </w:rPr>
        <w:t>88</w:t>
      </w:r>
      <w:r w:rsidRPr="00512E92">
        <w:t>(1): 66- 77.</w:t>
      </w:r>
    </w:p>
    <w:p w14:paraId="69E5D8EF" w14:textId="095AA591" w:rsidR="00512E92" w:rsidRPr="00512E92" w:rsidRDefault="00512E92" w:rsidP="00E5631F">
      <w:pPr>
        <w:pStyle w:val="ListParagraph"/>
        <w:numPr>
          <w:ilvl w:val="0"/>
          <w:numId w:val="5"/>
        </w:numPr>
        <w:spacing w:after="0"/>
      </w:pPr>
      <w:r w:rsidRPr="00512E92">
        <w:t>Herridge MS, Cheung AM, Tansey CM, et al. One-year outcomes in survivors of the acute respiratory distress syndrome. </w:t>
      </w:r>
      <w:r w:rsidRPr="00E5631F">
        <w:rPr>
          <w:i/>
          <w:iCs/>
        </w:rPr>
        <w:t>N Engl J Med</w:t>
      </w:r>
      <w:r w:rsidRPr="00512E92">
        <w:t>. 2003; </w:t>
      </w:r>
      <w:r w:rsidRPr="00E5631F">
        <w:rPr>
          <w:b/>
          <w:bCs/>
        </w:rPr>
        <w:t>348</w:t>
      </w:r>
      <w:r w:rsidRPr="00512E92">
        <w:t>(8): 683- 693.</w:t>
      </w:r>
    </w:p>
    <w:p w14:paraId="388AA58B" w14:textId="758E61C5" w:rsidR="00512E92" w:rsidRPr="00512E92" w:rsidRDefault="00512E92" w:rsidP="00E5631F">
      <w:pPr>
        <w:pStyle w:val="ListParagraph"/>
        <w:numPr>
          <w:ilvl w:val="0"/>
          <w:numId w:val="5"/>
        </w:numPr>
        <w:spacing w:after="0"/>
      </w:pPr>
      <w:r w:rsidRPr="00512E92">
        <w:t>Herridge MS, Tansey CM, Matte A, et al. Functional disability 5 years after acute respiratory distress syndrome. </w:t>
      </w:r>
      <w:r w:rsidRPr="00E5631F">
        <w:rPr>
          <w:i/>
          <w:iCs/>
        </w:rPr>
        <w:t>N Engl J Med</w:t>
      </w:r>
      <w:r w:rsidRPr="00512E92">
        <w:t>. 2011; </w:t>
      </w:r>
      <w:r w:rsidRPr="00E5631F">
        <w:rPr>
          <w:b/>
          <w:bCs/>
        </w:rPr>
        <w:t>364</w:t>
      </w:r>
      <w:r w:rsidRPr="00512E92">
        <w:t>(14): 1293- 1304.</w:t>
      </w:r>
    </w:p>
    <w:p w14:paraId="51637D16" w14:textId="7249C850" w:rsidR="00512E92" w:rsidRPr="00512E92" w:rsidRDefault="00512E92" w:rsidP="00E5631F">
      <w:pPr>
        <w:pStyle w:val="ListParagraph"/>
        <w:numPr>
          <w:ilvl w:val="0"/>
          <w:numId w:val="5"/>
        </w:numPr>
        <w:spacing w:after="0"/>
      </w:pPr>
      <w:r w:rsidRPr="00512E92">
        <w:t>Ferrante LE, Pisani MA, Murphy TE, Gahbauer EA, Leo-Summers LS, Gill TM. Functional trajectories among older persons before and after critical illness. </w:t>
      </w:r>
      <w:r w:rsidRPr="00E5631F">
        <w:rPr>
          <w:i/>
          <w:iCs/>
        </w:rPr>
        <w:t>JAMA Intern Med</w:t>
      </w:r>
      <w:r w:rsidRPr="00512E92">
        <w:t>. 2015; </w:t>
      </w:r>
      <w:r w:rsidRPr="00E5631F">
        <w:rPr>
          <w:b/>
          <w:bCs/>
        </w:rPr>
        <w:t>175</w:t>
      </w:r>
      <w:r w:rsidRPr="00512E92">
        <w:t>(4): 523- 529.</w:t>
      </w:r>
    </w:p>
    <w:p w14:paraId="7492002B" w14:textId="139687BF" w:rsidR="00512E92" w:rsidRPr="00512E92" w:rsidRDefault="00512E92" w:rsidP="00E5631F">
      <w:pPr>
        <w:pStyle w:val="ListParagraph"/>
        <w:numPr>
          <w:ilvl w:val="0"/>
          <w:numId w:val="5"/>
        </w:numPr>
        <w:spacing w:after="0"/>
      </w:pPr>
      <w:r w:rsidRPr="00512E92">
        <w:t xml:space="preserve">Leite VF, Rampim DB, Jorge VC, et al. Persistent </w:t>
      </w:r>
      <w:proofErr w:type="gramStart"/>
      <w:r w:rsidRPr="00512E92">
        <w:t>symptoms</w:t>
      </w:r>
      <w:proofErr w:type="gramEnd"/>
      <w:r w:rsidRPr="00512E92">
        <w:t xml:space="preserve"> and disability after COVID-19 hospitalization: data from a comprehensive telerehabilitation program. </w:t>
      </w:r>
      <w:r w:rsidRPr="00E5631F">
        <w:rPr>
          <w:i/>
          <w:iCs/>
        </w:rPr>
        <w:t>Arch Phys Med Rehabil</w:t>
      </w:r>
      <w:r w:rsidRPr="00512E92">
        <w:t>. 2021; </w:t>
      </w:r>
      <w:r w:rsidRPr="00E5631F">
        <w:rPr>
          <w:b/>
          <w:bCs/>
        </w:rPr>
        <w:t>102</w:t>
      </w:r>
      <w:r w:rsidRPr="00512E92">
        <w:t>: 1308- 1316.</w:t>
      </w:r>
    </w:p>
    <w:p w14:paraId="20A52B71" w14:textId="10E26668" w:rsidR="00512E92" w:rsidRPr="00512E92" w:rsidRDefault="00512E92" w:rsidP="00E5631F">
      <w:pPr>
        <w:pStyle w:val="ListParagraph"/>
        <w:numPr>
          <w:ilvl w:val="0"/>
          <w:numId w:val="5"/>
        </w:numPr>
        <w:spacing w:after="0"/>
      </w:pPr>
      <w:r w:rsidRPr="00512E92">
        <w:t>Paneroni M, Vogiatzis I, Bertacchini L, Simonelli C, Vitacca M. Predictors of low physical function in patients with COVID-19 with acute respiratory failure admitted to a subacute unit. </w:t>
      </w:r>
      <w:r w:rsidRPr="00E5631F">
        <w:rPr>
          <w:i/>
          <w:iCs/>
        </w:rPr>
        <w:t>Arch Phys Med Rehabil</w:t>
      </w:r>
      <w:r w:rsidRPr="00512E92">
        <w:t>. 2021; </w:t>
      </w:r>
      <w:r w:rsidRPr="00E5631F">
        <w:rPr>
          <w:b/>
          <w:bCs/>
        </w:rPr>
        <w:t>102</w:t>
      </w:r>
      <w:r w:rsidRPr="00512E92">
        <w:t>(6): 1228- 1231.</w:t>
      </w:r>
    </w:p>
    <w:p w14:paraId="04BD2E6E" w14:textId="587F6A36" w:rsidR="00512E92" w:rsidRPr="00512E92" w:rsidRDefault="00512E92" w:rsidP="00E5631F">
      <w:pPr>
        <w:pStyle w:val="ListParagraph"/>
        <w:numPr>
          <w:ilvl w:val="0"/>
          <w:numId w:val="5"/>
        </w:numPr>
        <w:spacing w:after="0"/>
      </w:pPr>
      <w:r w:rsidRPr="00512E92">
        <w:t>Iwashyna TJ, Kamphuis LA, Gundel SJ, et al. Continuing cardiopulmonary symptoms, disability, and financial toxicity one month after hospitalization for 3rd wave COVID-19: early results from a U.S. Nationwide Cohort. </w:t>
      </w:r>
      <w:r w:rsidRPr="00E5631F">
        <w:rPr>
          <w:i/>
          <w:iCs/>
        </w:rPr>
        <w:t>J Hosp Med</w:t>
      </w:r>
      <w:r w:rsidRPr="00512E92">
        <w:t>. 2021; </w:t>
      </w:r>
      <w:r w:rsidRPr="00E5631F">
        <w:rPr>
          <w:b/>
          <w:bCs/>
        </w:rPr>
        <w:t>16</w:t>
      </w:r>
      <w:r w:rsidRPr="00512E92">
        <w:t>: 531- 537.</w:t>
      </w:r>
    </w:p>
    <w:p w14:paraId="010DF5E5" w14:textId="2B1A8FEE" w:rsidR="00512E92" w:rsidRPr="00512E92" w:rsidRDefault="00512E92" w:rsidP="00E5631F">
      <w:pPr>
        <w:pStyle w:val="ListParagraph"/>
        <w:numPr>
          <w:ilvl w:val="0"/>
          <w:numId w:val="5"/>
        </w:numPr>
        <w:spacing w:after="0"/>
      </w:pPr>
      <w:r w:rsidRPr="00512E92">
        <w:t>Simpson R, Robinson L. Rehabilitation after critical illness in people with COVID-19 infection. </w:t>
      </w:r>
      <w:r w:rsidRPr="00E5631F">
        <w:rPr>
          <w:i/>
          <w:iCs/>
        </w:rPr>
        <w:t>Am J Phys Med Rehabil</w:t>
      </w:r>
      <w:r w:rsidRPr="00512E92">
        <w:t>. 2020; </w:t>
      </w:r>
      <w:r w:rsidRPr="00E5631F">
        <w:rPr>
          <w:b/>
          <w:bCs/>
        </w:rPr>
        <w:t>99</w:t>
      </w:r>
      <w:r w:rsidRPr="00512E92">
        <w:t>(6): 470- 474.</w:t>
      </w:r>
    </w:p>
    <w:p w14:paraId="638F3872" w14:textId="52A6C330" w:rsidR="00512E92" w:rsidRPr="00512E92" w:rsidRDefault="00512E92" w:rsidP="00E5631F">
      <w:pPr>
        <w:pStyle w:val="ListParagraph"/>
        <w:numPr>
          <w:ilvl w:val="0"/>
          <w:numId w:val="5"/>
        </w:numPr>
        <w:spacing w:after="0"/>
      </w:pPr>
      <w:r w:rsidRPr="00512E92">
        <w:t>Olezene CS, Hansen E, Steere HK, et al. Functional outcomes in the inpatient rehabilitation setting following severe COVID-19 infection. </w:t>
      </w:r>
      <w:r w:rsidRPr="00E5631F">
        <w:rPr>
          <w:i/>
          <w:iCs/>
        </w:rPr>
        <w:t>PLoS ONE</w:t>
      </w:r>
      <w:r w:rsidRPr="00512E92">
        <w:t>. 2021; </w:t>
      </w:r>
      <w:r w:rsidRPr="00E5631F">
        <w:rPr>
          <w:b/>
          <w:bCs/>
        </w:rPr>
        <w:t>16</w:t>
      </w:r>
      <w:r w:rsidRPr="00512E92">
        <w:t>(3</w:t>
      </w:r>
      <w:proofErr w:type="gramStart"/>
      <w:r w:rsidRPr="00512E92">
        <w:t>):e</w:t>
      </w:r>
      <w:proofErr w:type="gramEnd"/>
      <w:r w:rsidRPr="00512E92">
        <w:t>0248824.</w:t>
      </w:r>
    </w:p>
    <w:p w14:paraId="1A393C5A" w14:textId="6D40546F" w:rsidR="00512E92" w:rsidRPr="00512E92" w:rsidRDefault="00512E92" w:rsidP="00E5631F">
      <w:pPr>
        <w:pStyle w:val="ListParagraph"/>
        <w:numPr>
          <w:ilvl w:val="0"/>
          <w:numId w:val="5"/>
        </w:numPr>
        <w:spacing w:after="0"/>
      </w:pPr>
      <w:r w:rsidRPr="00512E92">
        <w:t>Zampogna E, Paneroni M, Belli S, et al. Pulmonary rehabilitation in patients recovering from COVID-19. </w:t>
      </w:r>
      <w:r w:rsidRPr="00E5631F">
        <w:rPr>
          <w:i/>
          <w:iCs/>
        </w:rPr>
        <w:t>Respiration</w:t>
      </w:r>
      <w:r w:rsidRPr="00512E92">
        <w:t>. 2021; </w:t>
      </w:r>
      <w:r w:rsidRPr="00E5631F">
        <w:rPr>
          <w:b/>
          <w:bCs/>
        </w:rPr>
        <w:t>100</w:t>
      </w:r>
      <w:r w:rsidRPr="00512E92">
        <w:t>(5): 416- 422.</w:t>
      </w:r>
    </w:p>
    <w:p w14:paraId="7251FCE5" w14:textId="49CD9984" w:rsidR="00512E92" w:rsidRPr="00512E92" w:rsidRDefault="00512E92" w:rsidP="00E5631F">
      <w:pPr>
        <w:pStyle w:val="ListParagraph"/>
        <w:numPr>
          <w:ilvl w:val="0"/>
          <w:numId w:val="5"/>
        </w:numPr>
        <w:spacing w:after="0"/>
      </w:pPr>
      <w:r w:rsidRPr="00512E92">
        <w:t>Schweickert WD, Pohlman MC, Pohlman AS, et al. Early physical and occupational therapy in mechanically ventilated, critically ill patients: a Randomised Controlled Trial. </w:t>
      </w:r>
      <w:r w:rsidRPr="00E5631F">
        <w:rPr>
          <w:i/>
          <w:iCs/>
        </w:rPr>
        <w:t>Lancet</w:t>
      </w:r>
      <w:r w:rsidRPr="00512E92">
        <w:t>. 2009; </w:t>
      </w:r>
      <w:r w:rsidRPr="00E5631F">
        <w:rPr>
          <w:b/>
          <w:bCs/>
        </w:rPr>
        <w:t>373</w:t>
      </w:r>
      <w:r w:rsidRPr="00512E92">
        <w:t>(9678): 1874- 1882.</w:t>
      </w:r>
    </w:p>
    <w:p w14:paraId="4EC2FD2E" w14:textId="303707F7" w:rsidR="00512E92" w:rsidRPr="00512E92" w:rsidRDefault="00512E92" w:rsidP="00E5631F">
      <w:pPr>
        <w:pStyle w:val="ListParagraph"/>
        <w:numPr>
          <w:ilvl w:val="0"/>
          <w:numId w:val="5"/>
        </w:numPr>
        <w:spacing w:after="0"/>
      </w:pPr>
      <w:r w:rsidRPr="00512E92">
        <w:t xml:space="preserve">Morris PE, Berry MJ, Files DC, et al. Standardized </w:t>
      </w:r>
      <w:proofErr w:type="gramStart"/>
      <w:r w:rsidRPr="00512E92">
        <w:t>rehabilitation</w:t>
      </w:r>
      <w:proofErr w:type="gramEnd"/>
      <w:r w:rsidRPr="00512E92">
        <w:t xml:space="preserve"> and hospital length of stay among patients with acute respiratory failure: a Randomized Clinical Trial. </w:t>
      </w:r>
      <w:r w:rsidRPr="00E5631F">
        <w:rPr>
          <w:i/>
          <w:iCs/>
        </w:rPr>
        <w:t>JAMA</w:t>
      </w:r>
      <w:r w:rsidRPr="00512E92">
        <w:t>. 2016; </w:t>
      </w:r>
      <w:r w:rsidRPr="00E5631F">
        <w:rPr>
          <w:b/>
          <w:bCs/>
        </w:rPr>
        <w:t>315</w:t>
      </w:r>
      <w:r w:rsidRPr="00512E92">
        <w:t>(24): 2694- 2702.</w:t>
      </w:r>
    </w:p>
    <w:p w14:paraId="6E2180DE" w14:textId="140961C5" w:rsidR="00512E92" w:rsidRPr="00512E92" w:rsidRDefault="00512E92" w:rsidP="00E5631F">
      <w:pPr>
        <w:pStyle w:val="ListParagraph"/>
        <w:numPr>
          <w:ilvl w:val="0"/>
          <w:numId w:val="5"/>
        </w:numPr>
        <w:spacing w:after="0"/>
      </w:pPr>
      <w:r w:rsidRPr="00512E92">
        <w:t>Eggmann S, Kindler A, Perren A, et al. Early physical therapist interventions for patients with COVID-19 in the acute care hospital: a case report series. </w:t>
      </w:r>
      <w:r w:rsidRPr="00E5631F">
        <w:rPr>
          <w:i/>
          <w:iCs/>
        </w:rPr>
        <w:t>Phys Ther</w:t>
      </w:r>
      <w:r w:rsidRPr="00512E92">
        <w:t>. 2021; </w:t>
      </w:r>
      <w:r w:rsidRPr="00E5631F">
        <w:rPr>
          <w:b/>
          <w:bCs/>
        </w:rPr>
        <w:t>101</w:t>
      </w:r>
      <w:r w:rsidRPr="00512E92">
        <w:t>(1): 1574.</w:t>
      </w:r>
    </w:p>
    <w:p w14:paraId="09C574D8" w14:textId="474DB937" w:rsidR="00512E92" w:rsidRPr="00512E92" w:rsidRDefault="00512E92" w:rsidP="00E5631F">
      <w:pPr>
        <w:pStyle w:val="ListParagraph"/>
        <w:numPr>
          <w:ilvl w:val="0"/>
          <w:numId w:val="5"/>
        </w:numPr>
        <w:spacing w:after="0"/>
      </w:pPr>
      <w:r w:rsidRPr="00512E92">
        <w:t>Johnson JK, Lapin B, Green K, Stilphen M. Frequency of physical therapist intervention is associated with mobility status and disposition at hospital discharge for patients with COVID-19. </w:t>
      </w:r>
      <w:r w:rsidRPr="00E5631F">
        <w:rPr>
          <w:i/>
          <w:iCs/>
        </w:rPr>
        <w:t>Phys Ther</w:t>
      </w:r>
      <w:r w:rsidRPr="00512E92">
        <w:t>. 2021; </w:t>
      </w:r>
      <w:r w:rsidRPr="00E5631F">
        <w:rPr>
          <w:b/>
          <w:bCs/>
        </w:rPr>
        <w:t>101</w:t>
      </w:r>
      <w:r w:rsidRPr="00512E92">
        <w:t>(1): 1708.</w:t>
      </w:r>
    </w:p>
    <w:p w14:paraId="2A606F7A" w14:textId="79E60E6C" w:rsidR="00512E92" w:rsidRPr="00512E92" w:rsidRDefault="00512E92" w:rsidP="00E5631F">
      <w:pPr>
        <w:pStyle w:val="ListParagraph"/>
        <w:numPr>
          <w:ilvl w:val="0"/>
          <w:numId w:val="5"/>
        </w:numPr>
        <w:spacing w:after="0"/>
      </w:pPr>
      <w:r w:rsidRPr="00512E92">
        <w:t>Piquet V, Luczak C, Seiler F, et al. Do patients with COVID-19 benefit from rehabilitation? Functional outcomes of the first 100 patients in a COVID-19 rehabilitation unit. </w:t>
      </w:r>
      <w:r w:rsidRPr="00E5631F">
        <w:rPr>
          <w:i/>
          <w:iCs/>
        </w:rPr>
        <w:t>Arch Phys Med Rehabil</w:t>
      </w:r>
      <w:r w:rsidRPr="00512E92">
        <w:t>. 2021; </w:t>
      </w:r>
      <w:r w:rsidRPr="00E5631F">
        <w:rPr>
          <w:b/>
          <w:bCs/>
        </w:rPr>
        <w:t>102</w:t>
      </w:r>
      <w:r w:rsidRPr="00512E92">
        <w:t>(6): 1067- 1074.</w:t>
      </w:r>
    </w:p>
    <w:p w14:paraId="57D17459" w14:textId="466CD0AE" w:rsidR="00512E92" w:rsidRPr="00512E92" w:rsidRDefault="00512E92" w:rsidP="00E5631F">
      <w:pPr>
        <w:pStyle w:val="ListParagraph"/>
        <w:numPr>
          <w:ilvl w:val="0"/>
          <w:numId w:val="5"/>
        </w:numPr>
        <w:spacing w:after="0"/>
      </w:pPr>
      <w:r w:rsidRPr="00512E92">
        <w:t>Prvu Bettger J, Thoumi A, Marquevich V, et al. COVID-19: maintaining essential rehabilitation services across the care continuum. </w:t>
      </w:r>
      <w:r w:rsidRPr="00E5631F">
        <w:rPr>
          <w:i/>
          <w:iCs/>
        </w:rPr>
        <w:t>BMJ Glob Health</w:t>
      </w:r>
      <w:r w:rsidRPr="00512E92">
        <w:t>. 2020; </w:t>
      </w:r>
      <w:r w:rsidRPr="00E5631F">
        <w:rPr>
          <w:b/>
          <w:bCs/>
        </w:rPr>
        <w:t>5</w:t>
      </w:r>
      <w:r w:rsidRPr="00512E92">
        <w:t>(5</w:t>
      </w:r>
      <w:proofErr w:type="gramStart"/>
      <w:r w:rsidRPr="00512E92">
        <w:t>):e</w:t>
      </w:r>
      <w:proofErr w:type="gramEnd"/>
      <w:r w:rsidRPr="00512E92">
        <w:t>002670.</w:t>
      </w:r>
    </w:p>
    <w:p w14:paraId="7B8C4E19" w14:textId="5B052854" w:rsidR="00512E92" w:rsidRPr="00512E92" w:rsidRDefault="00512E92" w:rsidP="00E5631F">
      <w:pPr>
        <w:pStyle w:val="ListParagraph"/>
        <w:numPr>
          <w:ilvl w:val="0"/>
          <w:numId w:val="5"/>
        </w:numPr>
        <w:spacing w:after="0"/>
      </w:pPr>
      <w:r w:rsidRPr="00512E92">
        <w:t>COVID-19 racial and ethnic health disparities: disparities in COVID-19-associated hospitalizations. Centers for Disease Control and Prevention. Health Equity-Promoting Fair Access to Health Website. National Center for Immunization and Respiratory Diseases (NCIRD) DoVD. May 17, 2021. Accessed May 27, 2021. </w:t>
      </w:r>
      <w:r w:rsidRPr="00E5631F">
        <w:t>https://www.cdc.gov/coronavirus/2019-ncov/community/health-equity/racial-ethnic-disparities/disparities-hospitalization.html</w:t>
      </w:r>
    </w:p>
    <w:p w14:paraId="33FEB203" w14:textId="40C41002" w:rsidR="00512E92" w:rsidRPr="00512E92" w:rsidRDefault="00512E92" w:rsidP="00E5631F">
      <w:pPr>
        <w:pStyle w:val="ListParagraph"/>
        <w:numPr>
          <w:ilvl w:val="0"/>
          <w:numId w:val="5"/>
        </w:numPr>
        <w:spacing w:after="0"/>
      </w:pPr>
      <w:r w:rsidRPr="00512E92">
        <w:t>McWilliams D, Weblin J, Hodson J, Veenith T, Whitehouse T, Snelson C. Rehabilitation Levels in patients with COVID-19 admitted to intensive care requiring invasive ventilation. An observational study. </w:t>
      </w:r>
      <w:r w:rsidRPr="00E5631F">
        <w:rPr>
          <w:i/>
          <w:iCs/>
        </w:rPr>
        <w:t>Ann Am Thorac Soc</w:t>
      </w:r>
      <w:r w:rsidRPr="00512E92">
        <w:t>. 2021; </w:t>
      </w:r>
      <w:r w:rsidRPr="00E5631F">
        <w:rPr>
          <w:b/>
          <w:bCs/>
        </w:rPr>
        <w:t>18</w:t>
      </w:r>
      <w:r w:rsidRPr="00512E92">
        <w:t>(1): 122- 129.</w:t>
      </w:r>
    </w:p>
    <w:p w14:paraId="0F5560CE" w14:textId="69E9A5E4" w:rsidR="00512E92" w:rsidRPr="00512E92" w:rsidRDefault="00512E92" w:rsidP="00E5631F">
      <w:pPr>
        <w:pStyle w:val="ListParagraph"/>
        <w:numPr>
          <w:ilvl w:val="0"/>
          <w:numId w:val="5"/>
        </w:numPr>
        <w:spacing w:after="0"/>
      </w:pPr>
      <w:r w:rsidRPr="00512E92">
        <w:t>Joseph NP, Reid NJ, Som A, et al. Racial and ethnic disparities in disease severity on admission chest radiographs among patients admitted with confirmed coronavirus disease 2019: a Retrospective Cohort Study. </w:t>
      </w:r>
      <w:r w:rsidRPr="00E5631F">
        <w:rPr>
          <w:i/>
          <w:iCs/>
        </w:rPr>
        <w:t>Radiology</w:t>
      </w:r>
      <w:r w:rsidRPr="00512E92">
        <w:t>. 2020; </w:t>
      </w:r>
      <w:r w:rsidRPr="00E5631F">
        <w:rPr>
          <w:b/>
          <w:bCs/>
        </w:rPr>
        <w:t>297</w:t>
      </w:r>
      <w:r w:rsidRPr="00512E92">
        <w:t>(3): E303- E312.</w:t>
      </w:r>
    </w:p>
    <w:p w14:paraId="241F51A0" w14:textId="3D15993E" w:rsidR="00512E92" w:rsidRPr="00512E92" w:rsidRDefault="00512E92" w:rsidP="00E5631F">
      <w:pPr>
        <w:pStyle w:val="ListParagraph"/>
        <w:numPr>
          <w:ilvl w:val="0"/>
          <w:numId w:val="5"/>
        </w:numPr>
        <w:spacing w:after="0"/>
      </w:pPr>
      <w:r w:rsidRPr="00512E92">
        <w:t>Landon BE, Onnela J-P, Meneades L, O'Malley AJ, Keating NL. Assessment of racial disparities in primary care physician specialty referrals. </w:t>
      </w:r>
      <w:r w:rsidRPr="00E5631F">
        <w:rPr>
          <w:i/>
          <w:iCs/>
        </w:rPr>
        <w:t>JAMA Network Open</w:t>
      </w:r>
      <w:r w:rsidRPr="00512E92">
        <w:t>. 2021; </w:t>
      </w:r>
      <w:r w:rsidRPr="00E5631F">
        <w:rPr>
          <w:b/>
          <w:bCs/>
        </w:rPr>
        <w:t>4</w:t>
      </w:r>
      <w:r w:rsidRPr="00512E92">
        <w:t>(1</w:t>
      </w:r>
      <w:proofErr w:type="gramStart"/>
      <w:r w:rsidRPr="00512E92">
        <w:t>):e</w:t>
      </w:r>
      <w:proofErr w:type="gramEnd"/>
      <w:r w:rsidRPr="00512E92">
        <w:t>2029238.</w:t>
      </w:r>
    </w:p>
    <w:p w14:paraId="53FE3250" w14:textId="4B790A2C" w:rsidR="00512E92" w:rsidRPr="00512E92" w:rsidRDefault="00512E92" w:rsidP="00E5631F">
      <w:pPr>
        <w:pStyle w:val="ListParagraph"/>
        <w:numPr>
          <w:ilvl w:val="0"/>
          <w:numId w:val="5"/>
        </w:numPr>
        <w:spacing w:after="0"/>
      </w:pPr>
      <w:r w:rsidRPr="00512E92">
        <w:t>Kim J. Privacy-protecting, reliable response data discovery using COVID-19 patient observations. </w:t>
      </w:r>
      <w:r w:rsidRPr="00E5631F">
        <w:rPr>
          <w:i/>
          <w:iCs/>
        </w:rPr>
        <w:t>J Am Med Inform Assoc</w:t>
      </w:r>
      <w:r w:rsidRPr="00512E92">
        <w:t>. 2021; </w:t>
      </w:r>
      <w:r w:rsidRPr="00E5631F">
        <w:rPr>
          <w:b/>
          <w:bCs/>
        </w:rPr>
        <w:t>28</w:t>
      </w:r>
      <w:r w:rsidRPr="00512E92">
        <w:t>(8): 1765- 1776.</w:t>
      </w:r>
    </w:p>
    <w:p w14:paraId="11D3E8ED" w14:textId="672E5124" w:rsidR="00512E92" w:rsidRPr="00512E92" w:rsidRDefault="00512E92" w:rsidP="00E5631F">
      <w:pPr>
        <w:pStyle w:val="ListParagraph"/>
        <w:numPr>
          <w:ilvl w:val="0"/>
          <w:numId w:val="5"/>
        </w:numPr>
        <w:spacing w:after="0"/>
      </w:pPr>
      <w:r w:rsidRPr="00512E92">
        <w:t>Falvey JR, Burke RE, Ridgeway KJ, Malone DJ, Forster JE, Stevens-Lapsley JE. Involvement of acute care physical therapists in care transitions for older adults following acute hospitalization: a cross-sectional national survey. </w:t>
      </w:r>
      <w:r w:rsidRPr="00E5631F">
        <w:rPr>
          <w:i/>
          <w:iCs/>
        </w:rPr>
        <w:t>J Geriatr Phys Ther</w:t>
      </w:r>
      <w:r w:rsidRPr="00512E92">
        <w:t>. 2019; </w:t>
      </w:r>
      <w:r w:rsidRPr="00E5631F">
        <w:rPr>
          <w:b/>
          <w:bCs/>
        </w:rPr>
        <w:t>42</w:t>
      </w:r>
      <w:r w:rsidRPr="00512E92">
        <w:t>(3): E73- E80.</w:t>
      </w:r>
    </w:p>
    <w:p w14:paraId="2CB964BE" w14:textId="4E39F97C" w:rsidR="00512E92" w:rsidRPr="00512E92" w:rsidRDefault="00512E92" w:rsidP="00E5631F">
      <w:pPr>
        <w:pStyle w:val="ListParagraph"/>
        <w:numPr>
          <w:ilvl w:val="0"/>
          <w:numId w:val="5"/>
        </w:numPr>
        <w:spacing w:after="0"/>
      </w:pPr>
      <w:r w:rsidRPr="00512E92">
        <w:t>Jette DU, Brown R, Collette N, Friant W, Graves L. Physical therapists' management of patients in the acute care setting: an observational study. </w:t>
      </w:r>
      <w:r w:rsidRPr="00E5631F">
        <w:rPr>
          <w:i/>
          <w:iCs/>
        </w:rPr>
        <w:t>Phys Ther</w:t>
      </w:r>
      <w:r w:rsidRPr="00512E92">
        <w:t>. 2009; </w:t>
      </w:r>
      <w:r w:rsidRPr="00E5631F">
        <w:rPr>
          <w:b/>
          <w:bCs/>
        </w:rPr>
        <w:t>89</w:t>
      </w:r>
      <w:r w:rsidRPr="00512E92">
        <w:t>(11): 1158- 1181.</w:t>
      </w:r>
    </w:p>
    <w:p w14:paraId="2F1193E3" w14:textId="211EB7EE" w:rsidR="00512E92" w:rsidRPr="00512E92" w:rsidRDefault="00512E92" w:rsidP="00E5631F">
      <w:pPr>
        <w:pStyle w:val="ListParagraph"/>
        <w:numPr>
          <w:ilvl w:val="0"/>
          <w:numId w:val="5"/>
        </w:numPr>
        <w:spacing w:after="0"/>
      </w:pPr>
      <w:r w:rsidRPr="00512E92">
        <w:t>Al Shamsi H, Almutairi AG, Al Mashrafi S, Al, Kalbani T. Implications of language barriers for healthcare: a systematic review. </w:t>
      </w:r>
      <w:r w:rsidRPr="00E5631F">
        <w:rPr>
          <w:i/>
          <w:iCs/>
        </w:rPr>
        <w:t>Oman Med J</w:t>
      </w:r>
      <w:r w:rsidRPr="00512E92">
        <w:t>. 2020; </w:t>
      </w:r>
      <w:r w:rsidRPr="00E5631F">
        <w:rPr>
          <w:b/>
          <w:bCs/>
        </w:rPr>
        <w:t>35</w:t>
      </w:r>
      <w:r w:rsidRPr="00512E92">
        <w:t>(2</w:t>
      </w:r>
      <w:proofErr w:type="gramStart"/>
      <w:r w:rsidRPr="00512E92">
        <w:t>):e</w:t>
      </w:r>
      <w:proofErr w:type="gramEnd"/>
      <w:r w:rsidRPr="00512E92">
        <w:t>122.</w:t>
      </w:r>
    </w:p>
    <w:p w14:paraId="0A27815E" w14:textId="62EB6849" w:rsidR="00512E92" w:rsidRPr="00512E92" w:rsidRDefault="00512E92" w:rsidP="00E5631F">
      <w:pPr>
        <w:pStyle w:val="ListParagraph"/>
        <w:numPr>
          <w:ilvl w:val="0"/>
          <w:numId w:val="5"/>
        </w:numPr>
        <w:spacing w:after="0"/>
      </w:pPr>
      <w:r w:rsidRPr="00512E92">
        <w:t>Miller T, Carter SV, Smith BA. Disparities in acute decompensated heart failure. </w:t>
      </w:r>
      <w:r w:rsidRPr="00E5631F">
        <w:rPr>
          <w:i/>
          <w:iCs/>
        </w:rPr>
        <w:t>Curr Opin Cardiol</w:t>
      </w:r>
      <w:r w:rsidRPr="00512E92">
        <w:t>. 2021; </w:t>
      </w:r>
      <w:r w:rsidRPr="00E5631F">
        <w:rPr>
          <w:b/>
          <w:bCs/>
        </w:rPr>
        <w:t>36</w:t>
      </w:r>
      <w:r w:rsidRPr="00512E92">
        <w:t>(3): 335- 339.</w:t>
      </w:r>
    </w:p>
    <w:p w14:paraId="4F75BF9E" w14:textId="0CAA7ED1" w:rsidR="00512E92" w:rsidRPr="00512E92" w:rsidRDefault="00512E92" w:rsidP="00E5631F">
      <w:pPr>
        <w:pStyle w:val="ListParagraph"/>
        <w:numPr>
          <w:ilvl w:val="0"/>
          <w:numId w:val="5"/>
        </w:numPr>
        <w:spacing w:after="0"/>
      </w:pPr>
      <w:r w:rsidRPr="00512E92">
        <w:t>Al Shamsi H, Almutairi AG, Al Mashrafi S, Al Kalbani T. Geographic variation and disparities in total joint replacement use for medicare beneficiaries: 2009 to 2017. </w:t>
      </w:r>
      <w:r w:rsidRPr="00E5631F">
        <w:rPr>
          <w:i/>
          <w:iCs/>
        </w:rPr>
        <w:t>J Bone Joint Surg Am</w:t>
      </w:r>
      <w:r w:rsidRPr="00512E92">
        <w:t>. 2020; </w:t>
      </w:r>
      <w:r w:rsidRPr="00E5631F">
        <w:rPr>
          <w:b/>
          <w:bCs/>
        </w:rPr>
        <w:t>102</w:t>
      </w:r>
      <w:r w:rsidRPr="00512E92">
        <w:t>(24): 2120- 2128.</w:t>
      </w:r>
    </w:p>
    <w:p w14:paraId="34D5639A" w14:textId="56DA7328" w:rsidR="00512E92" w:rsidRPr="00512E92" w:rsidRDefault="00512E92" w:rsidP="00E5631F">
      <w:pPr>
        <w:pStyle w:val="ListParagraph"/>
        <w:numPr>
          <w:ilvl w:val="0"/>
          <w:numId w:val="5"/>
        </w:numPr>
        <w:spacing w:after="0"/>
      </w:pPr>
      <w:r w:rsidRPr="00512E92">
        <w:t>Miller T, Carter SV, Smith BA. Differences in transitional care provided to Mexican American and non-Hispanic White older adults. </w:t>
      </w:r>
      <w:r w:rsidRPr="00E5631F">
        <w:rPr>
          <w:i/>
          <w:iCs/>
        </w:rPr>
        <w:t>J Transcult Nurs</w:t>
      </w:r>
      <w:r w:rsidRPr="00512E92">
        <w:t>. 2017; </w:t>
      </w:r>
      <w:r w:rsidRPr="00E5631F">
        <w:rPr>
          <w:b/>
          <w:bCs/>
        </w:rPr>
        <w:t>28</w:t>
      </w:r>
      <w:r w:rsidRPr="00512E92">
        <w:t>(2): 159- 167.</w:t>
      </w:r>
    </w:p>
    <w:p w14:paraId="2DAED436" w14:textId="03D900E4" w:rsidR="00512E92" w:rsidRPr="00512E92" w:rsidRDefault="00512E92" w:rsidP="00E5631F">
      <w:pPr>
        <w:pStyle w:val="ListParagraph"/>
        <w:numPr>
          <w:ilvl w:val="0"/>
          <w:numId w:val="5"/>
        </w:numPr>
        <w:spacing w:after="0"/>
      </w:pPr>
      <w:r w:rsidRPr="00512E92">
        <w:t>Meagher AD, Beadles CA, Doorey J, Charles AG. Racial and ethnic disparities in discharge to rehabilitation following traumatic brain injury. </w:t>
      </w:r>
      <w:r w:rsidRPr="00E5631F">
        <w:rPr>
          <w:i/>
          <w:iCs/>
        </w:rPr>
        <w:t>J Neurosurg</w:t>
      </w:r>
      <w:r w:rsidRPr="00512E92">
        <w:t>. 2015; </w:t>
      </w:r>
      <w:r w:rsidRPr="00E5631F">
        <w:rPr>
          <w:b/>
          <w:bCs/>
        </w:rPr>
        <w:t>122</w:t>
      </w:r>
      <w:r w:rsidRPr="00512E92">
        <w:t>(3): 595- 601.</w:t>
      </w:r>
    </w:p>
    <w:p w14:paraId="299BE2F0" w14:textId="2D0F0A01" w:rsidR="00512E92" w:rsidRPr="00512E92" w:rsidRDefault="00512E92" w:rsidP="00E5631F">
      <w:pPr>
        <w:pStyle w:val="ListParagraph"/>
        <w:numPr>
          <w:ilvl w:val="0"/>
          <w:numId w:val="5"/>
        </w:numPr>
        <w:spacing w:after="0"/>
      </w:pPr>
      <w:r w:rsidRPr="00512E92">
        <w:t>Crist JD, Koerner KM, Hepworth JT, et al. Using systematic functional measurements in the acute hospital setting to combat the immobility harm. </w:t>
      </w:r>
      <w:r w:rsidRPr="00E5631F">
        <w:rPr>
          <w:i/>
          <w:iCs/>
        </w:rPr>
        <w:t>Arch Phys Med Rehabil</w:t>
      </w:r>
      <w:r w:rsidRPr="00512E92">
        <w:t>. 2020; </w:t>
      </w:r>
      <w:r w:rsidRPr="00E5631F">
        <w:rPr>
          <w:b/>
          <w:bCs/>
        </w:rPr>
        <w:t>28</w:t>
      </w:r>
      <w:r w:rsidRPr="00512E92">
        <w:t>: 159- 167.</w:t>
      </w:r>
    </w:p>
    <w:p w14:paraId="0527D6D1" w14:textId="47A60D22" w:rsidR="00512E92" w:rsidRPr="00512E92" w:rsidRDefault="00512E92" w:rsidP="00E5631F">
      <w:pPr>
        <w:pStyle w:val="ListParagraph"/>
        <w:numPr>
          <w:ilvl w:val="0"/>
          <w:numId w:val="5"/>
        </w:numPr>
        <w:spacing w:after="0"/>
      </w:pPr>
      <w:r w:rsidRPr="00512E92">
        <w:t>Meagher AD, Beadles CA, Doorey J, Charles AG. Choosing Wisely Together: physical and occupational therapy consultation for acute neurology inpatients. </w:t>
      </w:r>
      <w:r w:rsidRPr="00E5631F">
        <w:rPr>
          <w:i/>
          <w:iCs/>
        </w:rPr>
        <w:t>Neurohospitalist</w:t>
      </w:r>
      <w:r w:rsidRPr="00512E92">
        <w:t>. 2018; </w:t>
      </w:r>
      <w:r w:rsidRPr="00E5631F">
        <w:rPr>
          <w:b/>
          <w:bCs/>
        </w:rPr>
        <w:t>8</w:t>
      </w:r>
      <w:r w:rsidRPr="00512E92">
        <w:t>(2): 53- 59.</w:t>
      </w:r>
    </w:p>
    <w:sectPr w:rsidR="00512E92" w:rsidRPr="00512E92" w:rsidSect="00AF61F7">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94A12"/>
    <w:multiLevelType w:val="multilevel"/>
    <w:tmpl w:val="A2763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6994750"/>
    <w:multiLevelType w:val="multilevel"/>
    <w:tmpl w:val="1C985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6A5267B"/>
    <w:multiLevelType w:val="multilevel"/>
    <w:tmpl w:val="E3361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09023B2"/>
    <w:multiLevelType w:val="hybridMultilevel"/>
    <w:tmpl w:val="4AE6AF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8507620"/>
    <w:multiLevelType w:val="multilevel"/>
    <w:tmpl w:val="117AB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98367774">
    <w:abstractNumId w:val="4"/>
  </w:num>
  <w:num w:numId="2" w16cid:durableId="24991072">
    <w:abstractNumId w:val="2"/>
  </w:num>
  <w:num w:numId="3" w16cid:durableId="475802229">
    <w:abstractNumId w:val="0"/>
  </w:num>
  <w:num w:numId="4" w16cid:durableId="1587811405">
    <w:abstractNumId w:val="1"/>
  </w:num>
  <w:num w:numId="5" w16cid:durableId="13282856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6Dk+Pw42XB8DR5YyQLcJAe4H2S5E+JeREF8H4IaM0hBUk5hSzL7YVGQXEKIOkZjEEABr60UYriYQAu+9BURnTg==" w:salt="a5nfNXTqtmVPNqDcyaLtv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DB"/>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1260"/>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20C5"/>
    <w:rsid w:val="00224240"/>
    <w:rsid w:val="00226FA2"/>
    <w:rsid w:val="0023079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99B"/>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17FD0"/>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343F"/>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3F296F"/>
    <w:rsid w:val="004010E3"/>
    <w:rsid w:val="004055B8"/>
    <w:rsid w:val="0040709D"/>
    <w:rsid w:val="004122F9"/>
    <w:rsid w:val="004124D3"/>
    <w:rsid w:val="004139BA"/>
    <w:rsid w:val="00414591"/>
    <w:rsid w:val="00421CBC"/>
    <w:rsid w:val="0043008C"/>
    <w:rsid w:val="00430B91"/>
    <w:rsid w:val="004374EF"/>
    <w:rsid w:val="00440F61"/>
    <w:rsid w:val="004438AD"/>
    <w:rsid w:val="004441CB"/>
    <w:rsid w:val="0044678F"/>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2E92"/>
    <w:rsid w:val="005175E9"/>
    <w:rsid w:val="00520368"/>
    <w:rsid w:val="0052658A"/>
    <w:rsid w:val="00533270"/>
    <w:rsid w:val="00540146"/>
    <w:rsid w:val="00543C22"/>
    <w:rsid w:val="0054405B"/>
    <w:rsid w:val="0054567F"/>
    <w:rsid w:val="00546B44"/>
    <w:rsid w:val="00553291"/>
    <w:rsid w:val="005546FF"/>
    <w:rsid w:val="00556B72"/>
    <w:rsid w:val="005605E4"/>
    <w:rsid w:val="005606BF"/>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0C79"/>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4461"/>
    <w:rsid w:val="00645D2C"/>
    <w:rsid w:val="00647250"/>
    <w:rsid w:val="00650724"/>
    <w:rsid w:val="006517B5"/>
    <w:rsid w:val="00652076"/>
    <w:rsid w:val="00653DA3"/>
    <w:rsid w:val="00654D37"/>
    <w:rsid w:val="00660A9B"/>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39D0"/>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46B3B"/>
    <w:rsid w:val="00757D89"/>
    <w:rsid w:val="0076194B"/>
    <w:rsid w:val="00763676"/>
    <w:rsid w:val="00772776"/>
    <w:rsid w:val="00776E56"/>
    <w:rsid w:val="00781619"/>
    <w:rsid w:val="00784CEF"/>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CA2"/>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40B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263B2"/>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1F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56E6D"/>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1265"/>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0224"/>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03A"/>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0926"/>
    <w:rsid w:val="00D63BEC"/>
    <w:rsid w:val="00D65A57"/>
    <w:rsid w:val="00D66306"/>
    <w:rsid w:val="00D66B18"/>
    <w:rsid w:val="00D726DB"/>
    <w:rsid w:val="00D73164"/>
    <w:rsid w:val="00D77E53"/>
    <w:rsid w:val="00D8135F"/>
    <w:rsid w:val="00D81DD5"/>
    <w:rsid w:val="00D857CD"/>
    <w:rsid w:val="00D87BB8"/>
    <w:rsid w:val="00D90BD9"/>
    <w:rsid w:val="00D932C5"/>
    <w:rsid w:val="00D939A7"/>
    <w:rsid w:val="00D94A04"/>
    <w:rsid w:val="00D9581C"/>
    <w:rsid w:val="00D95DCB"/>
    <w:rsid w:val="00D96228"/>
    <w:rsid w:val="00DA5459"/>
    <w:rsid w:val="00DA619A"/>
    <w:rsid w:val="00DB357A"/>
    <w:rsid w:val="00DB4233"/>
    <w:rsid w:val="00DB5097"/>
    <w:rsid w:val="00DC28CD"/>
    <w:rsid w:val="00DC4F7C"/>
    <w:rsid w:val="00DC7134"/>
    <w:rsid w:val="00DC7C2C"/>
    <w:rsid w:val="00DD2256"/>
    <w:rsid w:val="00DD4B55"/>
    <w:rsid w:val="00DD5871"/>
    <w:rsid w:val="00DE29DC"/>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631F"/>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6783"/>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4A04"/>
  </w:style>
  <w:style w:type="paragraph" w:styleId="Heading1">
    <w:name w:val="heading 1"/>
    <w:basedOn w:val="Normal"/>
    <w:next w:val="Normal"/>
    <w:link w:val="Heading1Char"/>
    <w:uiPriority w:val="9"/>
    <w:qFormat/>
    <w:rsid w:val="00D94A04"/>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94A04"/>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94A04"/>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94A04"/>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94A04"/>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94A04"/>
    <w:pPr>
      <w:keepNext/>
      <w:keepLines/>
      <w:spacing w:before="40" w:after="0"/>
      <w:outlineLvl w:val="5"/>
    </w:pPr>
  </w:style>
  <w:style w:type="paragraph" w:styleId="Heading7">
    <w:name w:val="heading 7"/>
    <w:basedOn w:val="Normal"/>
    <w:next w:val="Normal"/>
    <w:link w:val="Heading7Char"/>
    <w:uiPriority w:val="9"/>
    <w:semiHidden/>
    <w:unhideWhenUsed/>
    <w:qFormat/>
    <w:rsid w:val="00D94A04"/>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94A04"/>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94A04"/>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4A04"/>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94A04"/>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94A04"/>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94A04"/>
    <w:rPr>
      <w:i/>
      <w:iCs/>
    </w:rPr>
  </w:style>
  <w:style w:type="character" w:customStyle="1" w:styleId="Heading5Char">
    <w:name w:val="Heading 5 Char"/>
    <w:basedOn w:val="DefaultParagraphFont"/>
    <w:link w:val="Heading5"/>
    <w:uiPriority w:val="9"/>
    <w:semiHidden/>
    <w:rsid w:val="00D94A04"/>
    <w:rPr>
      <w:color w:val="404040" w:themeColor="text1" w:themeTint="BF"/>
    </w:rPr>
  </w:style>
  <w:style w:type="character" w:customStyle="1" w:styleId="Heading6Char">
    <w:name w:val="Heading 6 Char"/>
    <w:basedOn w:val="DefaultParagraphFont"/>
    <w:link w:val="Heading6"/>
    <w:uiPriority w:val="9"/>
    <w:semiHidden/>
    <w:rsid w:val="00D94A04"/>
  </w:style>
  <w:style w:type="character" w:customStyle="1" w:styleId="Heading7Char">
    <w:name w:val="Heading 7 Char"/>
    <w:basedOn w:val="DefaultParagraphFont"/>
    <w:link w:val="Heading7"/>
    <w:uiPriority w:val="9"/>
    <w:semiHidden/>
    <w:rsid w:val="00D94A0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94A04"/>
    <w:rPr>
      <w:color w:val="262626" w:themeColor="text1" w:themeTint="D9"/>
      <w:sz w:val="21"/>
      <w:szCs w:val="21"/>
    </w:rPr>
  </w:style>
  <w:style w:type="character" w:customStyle="1" w:styleId="Heading9Char">
    <w:name w:val="Heading 9 Char"/>
    <w:basedOn w:val="DefaultParagraphFont"/>
    <w:link w:val="Heading9"/>
    <w:uiPriority w:val="9"/>
    <w:semiHidden/>
    <w:rsid w:val="00D94A04"/>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94A04"/>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94A04"/>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94A04"/>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94A04"/>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94A04"/>
    <w:rPr>
      <w:color w:val="5A5A5A" w:themeColor="text1" w:themeTint="A5"/>
      <w:spacing w:val="15"/>
    </w:rPr>
  </w:style>
  <w:style w:type="character" w:styleId="Strong">
    <w:name w:val="Strong"/>
    <w:basedOn w:val="DefaultParagraphFont"/>
    <w:uiPriority w:val="22"/>
    <w:qFormat/>
    <w:rsid w:val="00D94A04"/>
    <w:rPr>
      <w:b/>
      <w:bCs/>
      <w:color w:val="auto"/>
    </w:rPr>
  </w:style>
  <w:style w:type="character" w:styleId="Emphasis">
    <w:name w:val="Emphasis"/>
    <w:basedOn w:val="DefaultParagraphFont"/>
    <w:uiPriority w:val="20"/>
    <w:qFormat/>
    <w:rsid w:val="00D94A04"/>
    <w:rPr>
      <w:i/>
      <w:iCs/>
      <w:color w:val="auto"/>
    </w:rPr>
  </w:style>
  <w:style w:type="paragraph" w:styleId="NoSpacing">
    <w:name w:val="No Spacing"/>
    <w:uiPriority w:val="1"/>
    <w:qFormat/>
    <w:rsid w:val="00D94A04"/>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94A04"/>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94A04"/>
    <w:rPr>
      <w:i/>
      <w:iCs/>
      <w:color w:val="404040" w:themeColor="text1" w:themeTint="BF"/>
    </w:rPr>
  </w:style>
  <w:style w:type="paragraph" w:styleId="IntenseQuote">
    <w:name w:val="Intense Quote"/>
    <w:basedOn w:val="Normal"/>
    <w:next w:val="Normal"/>
    <w:link w:val="IntenseQuoteChar"/>
    <w:uiPriority w:val="30"/>
    <w:qFormat/>
    <w:rsid w:val="00D94A04"/>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94A04"/>
    <w:rPr>
      <w:i/>
      <w:iCs/>
      <w:color w:val="404040" w:themeColor="text1" w:themeTint="BF"/>
    </w:rPr>
  </w:style>
  <w:style w:type="character" w:styleId="SubtleEmphasis">
    <w:name w:val="Subtle Emphasis"/>
    <w:basedOn w:val="DefaultParagraphFont"/>
    <w:uiPriority w:val="19"/>
    <w:qFormat/>
    <w:rsid w:val="00D94A04"/>
    <w:rPr>
      <w:i/>
      <w:iCs/>
      <w:color w:val="404040" w:themeColor="text1" w:themeTint="BF"/>
    </w:rPr>
  </w:style>
  <w:style w:type="character" w:styleId="IntenseEmphasis">
    <w:name w:val="Intense Emphasis"/>
    <w:basedOn w:val="DefaultParagraphFont"/>
    <w:uiPriority w:val="21"/>
    <w:qFormat/>
    <w:rsid w:val="00D94A04"/>
    <w:rPr>
      <w:b/>
      <w:bCs/>
      <w:i/>
      <w:iCs/>
      <w:color w:val="auto"/>
    </w:rPr>
  </w:style>
  <w:style w:type="character" w:styleId="SubtleReference">
    <w:name w:val="Subtle Reference"/>
    <w:basedOn w:val="DefaultParagraphFont"/>
    <w:uiPriority w:val="31"/>
    <w:qFormat/>
    <w:rsid w:val="00D94A04"/>
    <w:rPr>
      <w:smallCaps/>
      <w:color w:val="404040" w:themeColor="text1" w:themeTint="BF"/>
    </w:rPr>
  </w:style>
  <w:style w:type="character" w:styleId="IntenseReference">
    <w:name w:val="Intense Reference"/>
    <w:basedOn w:val="DefaultParagraphFont"/>
    <w:uiPriority w:val="32"/>
    <w:qFormat/>
    <w:rsid w:val="00D94A04"/>
    <w:rPr>
      <w:b/>
      <w:bCs/>
      <w:smallCaps/>
      <w:color w:val="404040" w:themeColor="text1" w:themeTint="BF"/>
      <w:spacing w:val="5"/>
    </w:rPr>
  </w:style>
  <w:style w:type="character" w:styleId="BookTitle">
    <w:name w:val="Book Title"/>
    <w:basedOn w:val="DefaultParagraphFont"/>
    <w:uiPriority w:val="33"/>
    <w:qFormat/>
    <w:rsid w:val="00D94A04"/>
    <w:rPr>
      <w:b/>
      <w:bCs/>
      <w:i/>
      <w:iCs/>
      <w:spacing w:val="5"/>
    </w:rPr>
  </w:style>
  <w:style w:type="paragraph" w:styleId="TOCHeading">
    <w:name w:val="TOC Heading"/>
    <w:basedOn w:val="Heading1"/>
    <w:next w:val="Normal"/>
    <w:uiPriority w:val="39"/>
    <w:semiHidden/>
    <w:unhideWhenUsed/>
    <w:qFormat/>
    <w:rsid w:val="00D94A04"/>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12E92"/>
    <w:rPr>
      <w:color w:val="0563C1" w:themeColor="hyperlink"/>
      <w:u w:val="single"/>
    </w:rPr>
  </w:style>
  <w:style w:type="character" w:styleId="UnresolvedMention">
    <w:name w:val="Unresolved Mention"/>
    <w:basedOn w:val="DefaultParagraphFont"/>
    <w:uiPriority w:val="99"/>
    <w:semiHidden/>
    <w:unhideWhenUsed/>
    <w:rsid w:val="00512E92"/>
    <w:rPr>
      <w:color w:val="605E5C"/>
      <w:shd w:val="clear" w:color="auto" w:fill="E1DFDD"/>
    </w:rPr>
  </w:style>
  <w:style w:type="paragraph" w:customStyle="1" w:styleId="msonormal0">
    <w:name w:val="msonormal"/>
    <w:basedOn w:val="Normal"/>
    <w:rsid w:val="00512E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llet">
    <w:name w:val="bullet"/>
    <w:basedOn w:val="DefaultParagraphFont"/>
    <w:rsid w:val="00512E92"/>
  </w:style>
  <w:style w:type="character" w:customStyle="1" w:styleId="author">
    <w:name w:val="author"/>
    <w:basedOn w:val="DefaultParagraphFont"/>
    <w:rsid w:val="00512E92"/>
  </w:style>
  <w:style w:type="character" w:customStyle="1" w:styleId="articletitle">
    <w:name w:val="articletitle"/>
    <w:basedOn w:val="DefaultParagraphFont"/>
    <w:rsid w:val="00512E92"/>
  </w:style>
  <w:style w:type="character" w:customStyle="1" w:styleId="pubyear">
    <w:name w:val="pubyear"/>
    <w:basedOn w:val="DefaultParagraphFont"/>
    <w:rsid w:val="00512E92"/>
  </w:style>
  <w:style w:type="character" w:customStyle="1" w:styleId="vol">
    <w:name w:val="vol"/>
    <w:basedOn w:val="DefaultParagraphFont"/>
    <w:rsid w:val="00512E92"/>
  </w:style>
  <w:style w:type="character" w:customStyle="1" w:styleId="citedissue">
    <w:name w:val="citedissue"/>
    <w:basedOn w:val="DefaultParagraphFont"/>
    <w:rsid w:val="00512E92"/>
  </w:style>
  <w:style w:type="character" w:customStyle="1" w:styleId="pagefirst">
    <w:name w:val="pagefirst"/>
    <w:basedOn w:val="DefaultParagraphFont"/>
    <w:rsid w:val="00512E92"/>
  </w:style>
  <w:style w:type="character" w:customStyle="1" w:styleId="pagelast">
    <w:name w:val="pagelast"/>
    <w:basedOn w:val="DefaultParagraphFont"/>
    <w:rsid w:val="00512E92"/>
  </w:style>
  <w:style w:type="character" w:styleId="FollowedHyperlink">
    <w:name w:val="FollowedHyperlink"/>
    <w:basedOn w:val="DefaultParagraphFont"/>
    <w:uiPriority w:val="99"/>
    <w:semiHidden/>
    <w:unhideWhenUsed/>
    <w:rsid w:val="00512E92"/>
    <w:rPr>
      <w:color w:val="800080"/>
      <w:u w:val="single"/>
    </w:rPr>
  </w:style>
  <w:style w:type="character" w:customStyle="1" w:styleId="openurl">
    <w:name w:val="openurl"/>
    <w:basedOn w:val="DefaultParagraphFont"/>
    <w:rsid w:val="00512E92"/>
  </w:style>
  <w:style w:type="character" w:customStyle="1" w:styleId="othertitle">
    <w:name w:val="othertitle"/>
    <w:basedOn w:val="DefaultParagraphFont"/>
    <w:rsid w:val="00512E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77983">
      <w:bodyDiv w:val="1"/>
      <w:marLeft w:val="0"/>
      <w:marRight w:val="0"/>
      <w:marTop w:val="0"/>
      <w:marBottom w:val="0"/>
      <w:divBdr>
        <w:top w:val="none" w:sz="0" w:space="0" w:color="auto"/>
        <w:left w:val="none" w:sz="0" w:space="0" w:color="auto"/>
        <w:bottom w:val="none" w:sz="0" w:space="0" w:color="auto"/>
        <w:right w:val="none" w:sz="0" w:space="0" w:color="auto"/>
      </w:divBdr>
      <w:divsChild>
        <w:div w:id="1375033276">
          <w:marLeft w:val="0"/>
          <w:marRight w:val="0"/>
          <w:marTop w:val="0"/>
          <w:marBottom w:val="0"/>
          <w:divBdr>
            <w:top w:val="none" w:sz="0" w:space="0" w:color="auto"/>
            <w:left w:val="none" w:sz="0" w:space="0" w:color="auto"/>
            <w:bottom w:val="none" w:sz="0" w:space="0" w:color="auto"/>
            <w:right w:val="none" w:sz="0" w:space="0" w:color="auto"/>
          </w:divBdr>
        </w:div>
        <w:div w:id="1988585603">
          <w:marLeft w:val="0"/>
          <w:marRight w:val="0"/>
          <w:marTop w:val="0"/>
          <w:marBottom w:val="0"/>
          <w:divBdr>
            <w:top w:val="none" w:sz="0" w:space="0" w:color="auto"/>
            <w:left w:val="none" w:sz="0" w:space="0" w:color="auto"/>
            <w:bottom w:val="none" w:sz="0" w:space="0" w:color="auto"/>
            <w:right w:val="none" w:sz="0" w:space="0" w:color="auto"/>
          </w:divBdr>
        </w:div>
        <w:div w:id="5602161">
          <w:marLeft w:val="0"/>
          <w:marRight w:val="0"/>
          <w:marTop w:val="0"/>
          <w:marBottom w:val="0"/>
          <w:divBdr>
            <w:top w:val="none" w:sz="0" w:space="0" w:color="auto"/>
            <w:left w:val="none" w:sz="0" w:space="0" w:color="auto"/>
            <w:bottom w:val="none" w:sz="0" w:space="0" w:color="auto"/>
            <w:right w:val="none" w:sz="0" w:space="0" w:color="auto"/>
          </w:divBdr>
        </w:div>
        <w:div w:id="1304193047">
          <w:marLeft w:val="0"/>
          <w:marRight w:val="0"/>
          <w:marTop w:val="0"/>
          <w:marBottom w:val="0"/>
          <w:divBdr>
            <w:top w:val="none" w:sz="0" w:space="0" w:color="auto"/>
            <w:left w:val="none" w:sz="0" w:space="0" w:color="auto"/>
            <w:bottom w:val="none" w:sz="0" w:space="0" w:color="auto"/>
            <w:right w:val="none" w:sz="0" w:space="0" w:color="auto"/>
          </w:divBdr>
        </w:div>
        <w:div w:id="1866628873">
          <w:marLeft w:val="0"/>
          <w:marRight w:val="0"/>
          <w:marTop w:val="0"/>
          <w:marBottom w:val="0"/>
          <w:divBdr>
            <w:top w:val="none" w:sz="0" w:space="0" w:color="auto"/>
            <w:left w:val="none" w:sz="0" w:space="0" w:color="auto"/>
            <w:bottom w:val="none" w:sz="0" w:space="0" w:color="auto"/>
            <w:right w:val="none" w:sz="0" w:space="0" w:color="auto"/>
          </w:divBdr>
        </w:div>
        <w:div w:id="761872770">
          <w:marLeft w:val="0"/>
          <w:marRight w:val="0"/>
          <w:marTop w:val="0"/>
          <w:marBottom w:val="0"/>
          <w:divBdr>
            <w:top w:val="none" w:sz="0" w:space="0" w:color="auto"/>
            <w:left w:val="none" w:sz="0" w:space="0" w:color="auto"/>
            <w:bottom w:val="none" w:sz="0" w:space="0" w:color="auto"/>
            <w:right w:val="none" w:sz="0" w:space="0" w:color="auto"/>
          </w:divBdr>
        </w:div>
        <w:div w:id="590504561">
          <w:marLeft w:val="0"/>
          <w:marRight w:val="0"/>
          <w:marTop w:val="0"/>
          <w:marBottom w:val="0"/>
          <w:divBdr>
            <w:top w:val="none" w:sz="0" w:space="0" w:color="auto"/>
            <w:left w:val="none" w:sz="0" w:space="0" w:color="auto"/>
            <w:bottom w:val="none" w:sz="0" w:space="0" w:color="auto"/>
            <w:right w:val="none" w:sz="0" w:space="0" w:color="auto"/>
          </w:divBdr>
        </w:div>
        <w:div w:id="663969585">
          <w:marLeft w:val="0"/>
          <w:marRight w:val="0"/>
          <w:marTop w:val="0"/>
          <w:marBottom w:val="0"/>
          <w:divBdr>
            <w:top w:val="none" w:sz="0" w:space="0" w:color="auto"/>
            <w:left w:val="none" w:sz="0" w:space="0" w:color="auto"/>
            <w:bottom w:val="none" w:sz="0" w:space="0" w:color="auto"/>
            <w:right w:val="none" w:sz="0" w:space="0" w:color="auto"/>
          </w:divBdr>
        </w:div>
        <w:div w:id="170797458">
          <w:marLeft w:val="0"/>
          <w:marRight w:val="0"/>
          <w:marTop w:val="0"/>
          <w:marBottom w:val="0"/>
          <w:divBdr>
            <w:top w:val="none" w:sz="0" w:space="0" w:color="auto"/>
            <w:left w:val="none" w:sz="0" w:space="0" w:color="auto"/>
            <w:bottom w:val="none" w:sz="0" w:space="0" w:color="auto"/>
            <w:right w:val="none" w:sz="0" w:space="0" w:color="auto"/>
          </w:divBdr>
        </w:div>
        <w:div w:id="1665472786">
          <w:marLeft w:val="0"/>
          <w:marRight w:val="0"/>
          <w:marTop w:val="0"/>
          <w:marBottom w:val="0"/>
          <w:divBdr>
            <w:top w:val="none" w:sz="0" w:space="0" w:color="auto"/>
            <w:left w:val="none" w:sz="0" w:space="0" w:color="auto"/>
            <w:bottom w:val="none" w:sz="0" w:space="0" w:color="auto"/>
            <w:right w:val="none" w:sz="0" w:space="0" w:color="auto"/>
          </w:divBdr>
        </w:div>
        <w:div w:id="1637950018">
          <w:marLeft w:val="0"/>
          <w:marRight w:val="0"/>
          <w:marTop w:val="0"/>
          <w:marBottom w:val="0"/>
          <w:divBdr>
            <w:top w:val="none" w:sz="0" w:space="0" w:color="auto"/>
            <w:left w:val="none" w:sz="0" w:space="0" w:color="auto"/>
            <w:bottom w:val="none" w:sz="0" w:space="0" w:color="auto"/>
            <w:right w:val="none" w:sz="0" w:space="0" w:color="auto"/>
          </w:divBdr>
        </w:div>
        <w:div w:id="1304235192">
          <w:marLeft w:val="0"/>
          <w:marRight w:val="0"/>
          <w:marTop w:val="0"/>
          <w:marBottom w:val="0"/>
          <w:divBdr>
            <w:top w:val="none" w:sz="0" w:space="0" w:color="auto"/>
            <w:left w:val="none" w:sz="0" w:space="0" w:color="auto"/>
            <w:bottom w:val="none" w:sz="0" w:space="0" w:color="auto"/>
            <w:right w:val="none" w:sz="0" w:space="0" w:color="auto"/>
          </w:divBdr>
        </w:div>
        <w:div w:id="1769232238">
          <w:marLeft w:val="0"/>
          <w:marRight w:val="0"/>
          <w:marTop w:val="0"/>
          <w:marBottom w:val="0"/>
          <w:divBdr>
            <w:top w:val="none" w:sz="0" w:space="0" w:color="auto"/>
            <w:left w:val="none" w:sz="0" w:space="0" w:color="auto"/>
            <w:bottom w:val="none" w:sz="0" w:space="0" w:color="auto"/>
            <w:right w:val="none" w:sz="0" w:space="0" w:color="auto"/>
          </w:divBdr>
        </w:div>
        <w:div w:id="1150292208">
          <w:marLeft w:val="0"/>
          <w:marRight w:val="0"/>
          <w:marTop w:val="0"/>
          <w:marBottom w:val="0"/>
          <w:divBdr>
            <w:top w:val="none" w:sz="0" w:space="0" w:color="auto"/>
            <w:left w:val="none" w:sz="0" w:space="0" w:color="auto"/>
            <w:bottom w:val="none" w:sz="0" w:space="0" w:color="auto"/>
            <w:right w:val="none" w:sz="0" w:space="0" w:color="auto"/>
          </w:divBdr>
        </w:div>
        <w:div w:id="1284965376">
          <w:marLeft w:val="0"/>
          <w:marRight w:val="0"/>
          <w:marTop w:val="0"/>
          <w:marBottom w:val="0"/>
          <w:divBdr>
            <w:top w:val="none" w:sz="0" w:space="0" w:color="auto"/>
            <w:left w:val="none" w:sz="0" w:space="0" w:color="auto"/>
            <w:bottom w:val="none" w:sz="0" w:space="0" w:color="auto"/>
            <w:right w:val="none" w:sz="0" w:space="0" w:color="auto"/>
          </w:divBdr>
        </w:div>
        <w:div w:id="2058964050">
          <w:marLeft w:val="0"/>
          <w:marRight w:val="0"/>
          <w:marTop w:val="0"/>
          <w:marBottom w:val="0"/>
          <w:divBdr>
            <w:top w:val="none" w:sz="0" w:space="0" w:color="auto"/>
            <w:left w:val="none" w:sz="0" w:space="0" w:color="auto"/>
            <w:bottom w:val="none" w:sz="0" w:space="0" w:color="auto"/>
            <w:right w:val="none" w:sz="0" w:space="0" w:color="auto"/>
          </w:divBdr>
        </w:div>
        <w:div w:id="81685014">
          <w:marLeft w:val="0"/>
          <w:marRight w:val="0"/>
          <w:marTop w:val="0"/>
          <w:marBottom w:val="0"/>
          <w:divBdr>
            <w:top w:val="none" w:sz="0" w:space="0" w:color="auto"/>
            <w:left w:val="none" w:sz="0" w:space="0" w:color="auto"/>
            <w:bottom w:val="none" w:sz="0" w:space="0" w:color="auto"/>
            <w:right w:val="none" w:sz="0" w:space="0" w:color="auto"/>
          </w:divBdr>
        </w:div>
        <w:div w:id="1668634212">
          <w:marLeft w:val="0"/>
          <w:marRight w:val="0"/>
          <w:marTop w:val="0"/>
          <w:marBottom w:val="0"/>
          <w:divBdr>
            <w:top w:val="none" w:sz="0" w:space="0" w:color="auto"/>
            <w:left w:val="none" w:sz="0" w:space="0" w:color="auto"/>
            <w:bottom w:val="none" w:sz="0" w:space="0" w:color="auto"/>
            <w:right w:val="none" w:sz="0" w:space="0" w:color="auto"/>
          </w:divBdr>
        </w:div>
        <w:div w:id="1814709623">
          <w:marLeft w:val="0"/>
          <w:marRight w:val="0"/>
          <w:marTop w:val="0"/>
          <w:marBottom w:val="0"/>
          <w:divBdr>
            <w:top w:val="none" w:sz="0" w:space="0" w:color="auto"/>
            <w:left w:val="none" w:sz="0" w:space="0" w:color="auto"/>
            <w:bottom w:val="none" w:sz="0" w:space="0" w:color="auto"/>
            <w:right w:val="none" w:sz="0" w:space="0" w:color="auto"/>
          </w:divBdr>
        </w:div>
        <w:div w:id="1879660137">
          <w:marLeft w:val="0"/>
          <w:marRight w:val="0"/>
          <w:marTop w:val="0"/>
          <w:marBottom w:val="0"/>
          <w:divBdr>
            <w:top w:val="none" w:sz="0" w:space="0" w:color="auto"/>
            <w:left w:val="none" w:sz="0" w:space="0" w:color="auto"/>
            <w:bottom w:val="none" w:sz="0" w:space="0" w:color="auto"/>
            <w:right w:val="none" w:sz="0" w:space="0" w:color="auto"/>
          </w:divBdr>
        </w:div>
        <w:div w:id="760102872">
          <w:marLeft w:val="0"/>
          <w:marRight w:val="0"/>
          <w:marTop w:val="0"/>
          <w:marBottom w:val="0"/>
          <w:divBdr>
            <w:top w:val="none" w:sz="0" w:space="0" w:color="auto"/>
            <w:left w:val="none" w:sz="0" w:space="0" w:color="auto"/>
            <w:bottom w:val="none" w:sz="0" w:space="0" w:color="auto"/>
            <w:right w:val="none" w:sz="0" w:space="0" w:color="auto"/>
          </w:divBdr>
        </w:div>
        <w:div w:id="1574319455">
          <w:marLeft w:val="0"/>
          <w:marRight w:val="0"/>
          <w:marTop w:val="0"/>
          <w:marBottom w:val="0"/>
          <w:divBdr>
            <w:top w:val="none" w:sz="0" w:space="0" w:color="auto"/>
            <w:left w:val="none" w:sz="0" w:space="0" w:color="auto"/>
            <w:bottom w:val="none" w:sz="0" w:space="0" w:color="auto"/>
            <w:right w:val="none" w:sz="0" w:space="0" w:color="auto"/>
          </w:divBdr>
        </w:div>
        <w:div w:id="632174131">
          <w:marLeft w:val="0"/>
          <w:marRight w:val="0"/>
          <w:marTop w:val="0"/>
          <w:marBottom w:val="0"/>
          <w:divBdr>
            <w:top w:val="none" w:sz="0" w:space="0" w:color="auto"/>
            <w:left w:val="none" w:sz="0" w:space="0" w:color="auto"/>
            <w:bottom w:val="none" w:sz="0" w:space="0" w:color="auto"/>
            <w:right w:val="none" w:sz="0" w:space="0" w:color="auto"/>
          </w:divBdr>
        </w:div>
        <w:div w:id="1369598703">
          <w:marLeft w:val="0"/>
          <w:marRight w:val="0"/>
          <w:marTop w:val="0"/>
          <w:marBottom w:val="0"/>
          <w:divBdr>
            <w:top w:val="none" w:sz="0" w:space="0" w:color="auto"/>
            <w:left w:val="none" w:sz="0" w:space="0" w:color="auto"/>
            <w:bottom w:val="none" w:sz="0" w:space="0" w:color="auto"/>
            <w:right w:val="none" w:sz="0" w:space="0" w:color="auto"/>
          </w:divBdr>
        </w:div>
        <w:div w:id="1969050891">
          <w:marLeft w:val="0"/>
          <w:marRight w:val="0"/>
          <w:marTop w:val="0"/>
          <w:marBottom w:val="0"/>
          <w:divBdr>
            <w:top w:val="none" w:sz="0" w:space="0" w:color="auto"/>
            <w:left w:val="none" w:sz="0" w:space="0" w:color="auto"/>
            <w:bottom w:val="none" w:sz="0" w:space="0" w:color="auto"/>
            <w:right w:val="none" w:sz="0" w:space="0" w:color="auto"/>
          </w:divBdr>
        </w:div>
        <w:div w:id="626856526">
          <w:marLeft w:val="0"/>
          <w:marRight w:val="0"/>
          <w:marTop w:val="0"/>
          <w:marBottom w:val="0"/>
          <w:divBdr>
            <w:top w:val="none" w:sz="0" w:space="0" w:color="auto"/>
            <w:left w:val="none" w:sz="0" w:space="0" w:color="auto"/>
            <w:bottom w:val="none" w:sz="0" w:space="0" w:color="auto"/>
            <w:right w:val="none" w:sz="0" w:space="0" w:color="auto"/>
          </w:divBdr>
        </w:div>
        <w:div w:id="1260023916">
          <w:marLeft w:val="0"/>
          <w:marRight w:val="0"/>
          <w:marTop w:val="0"/>
          <w:marBottom w:val="0"/>
          <w:divBdr>
            <w:top w:val="none" w:sz="0" w:space="0" w:color="auto"/>
            <w:left w:val="none" w:sz="0" w:space="0" w:color="auto"/>
            <w:bottom w:val="none" w:sz="0" w:space="0" w:color="auto"/>
            <w:right w:val="none" w:sz="0" w:space="0" w:color="auto"/>
          </w:divBdr>
        </w:div>
        <w:div w:id="37583538">
          <w:marLeft w:val="0"/>
          <w:marRight w:val="0"/>
          <w:marTop w:val="0"/>
          <w:marBottom w:val="0"/>
          <w:divBdr>
            <w:top w:val="none" w:sz="0" w:space="0" w:color="auto"/>
            <w:left w:val="none" w:sz="0" w:space="0" w:color="auto"/>
            <w:bottom w:val="none" w:sz="0" w:space="0" w:color="auto"/>
            <w:right w:val="none" w:sz="0" w:space="0" w:color="auto"/>
          </w:divBdr>
        </w:div>
        <w:div w:id="701631464">
          <w:marLeft w:val="0"/>
          <w:marRight w:val="0"/>
          <w:marTop w:val="0"/>
          <w:marBottom w:val="0"/>
          <w:divBdr>
            <w:top w:val="none" w:sz="0" w:space="0" w:color="auto"/>
            <w:left w:val="none" w:sz="0" w:space="0" w:color="auto"/>
            <w:bottom w:val="none" w:sz="0" w:space="0" w:color="auto"/>
            <w:right w:val="none" w:sz="0" w:space="0" w:color="auto"/>
          </w:divBdr>
        </w:div>
        <w:div w:id="1369572739">
          <w:marLeft w:val="0"/>
          <w:marRight w:val="0"/>
          <w:marTop w:val="0"/>
          <w:marBottom w:val="0"/>
          <w:divBdr>
            <w:top w:val="none" w:sz="0" w:space="0" w:color="auto"/>
            <w:left w:val="none" w:sz="0" w:space="0" w:color="auto"/>
            <w:bottom w:val="none" w:sz="0" w:space="0" w:color="auto"/>
            <w:right w:val="none" w:sz="0" w:space="0" w:color="auto"/>
          </w:divBdr>
        </w:div>
      </w:divsChild>
    </w:div>
    <w:div w:id="212814660">
      <w:bodyDiv w:val="1"/>
      <w:marLeft w:val="0"/>
      <w:marRight w:val="0"/>
      <w:marTop w:val="0"/>
      <w:marBottom w:val="0"/>
      <w:divBdr>
        <w:top w:val="none" w:sz="0" w:space="0" w:color="auto"/>
        <w:left w:val="none" w:sz="0" w:space="0" w:color="auto"/>
        <w:bottom w:val="none" w:sz="0" w:space="0" w:color="auto"/>
        <w:right w:val="none" w:sz="0" w:space="0" w:color="auto"/>
      </w:divBdr>
      <w:divsChild>
        <w:div w:id="1503424929">
          <w:marLeft w:val="0"/>
          <w:marRight w:val="0"/>
          <w:marTop w:val="0"/>
          <w:marBottom w:val="0"/>
          <w:divBdr>
            <w:top w:val="none" w:sz="0" w:space="0" w:color="auto"/>
            <w:left w:val="none" w:sz="0" w:space="0" w:color="auto"/>
            <w:bottom w:val="none" w:sz="0" w:space="0" w:color="auto"/>
            <w:right w:val="none" w:sz="0" w:space="0" w:color="auto"/>
          </w:divBdr>
          <w:divsChild>
            <w:div w:id="100299803">
              <w:marLeft w:val="0"/>
              <w:marRight w:val="0"/>
              <w:marTop w:val="0"/>
              <w:marBottom w:val="0"/>
              <w:divBdr>
                <w:top w:val="none" w:sz="0" w:space="0" w:color="auto"/>
                <w:left w:val="none" w:sz="0" w:space="0" w:color="auto"/>
                <w:bottom w:val="none" w:sz="0" w:space="0" w:color="auto"/>
                <w:right w:val="none" w:sz="0" w:space="0" w:color="auto"/>
              </w:divBdr>
            </w:div>
          </w:divsChild>
        </w:div>
        <w:div w:id="2106799790">
          <w:marLeft w:val="0"/>
          <w:marRight w:val="0"/>
          <w:marTop w:val="0"/>
          <w:marBottom w:val="0"/>
          <w:divBdr>
            <w:top w:val="none" w:sz="0" w:space="0" w:color="auto"/>
            <w:left w:val="none" w:sz="0" w:space="0" w:color="auto"/>
            <w:bottom w:val="none" w:sz="0" w:space="0" w:color="auto"/>
            <w:right w:val="none" w:sz="0" w:space="0" w:color="auto"/>
          </w:divBdr>
          <w:divsChild>
            <w:div w:id="856843621">
              <w:marLeft w:val="0"/>
              <w:marRight w:val="0"/>
              <w:marTop w:val="0"/>
              <w:marBottom w:val="0"/>
              <w:divBdr>
                <w:top w:val="none" w:sz="0" w:space="0" w:color="auto"/>
                <w:left w:val="none" w:sz="0" w:space="0" w:color="auto"/>
                <w:bottom w:val="none" w:sz="0" w:space="0" w:color="auto"/>
                <w:right w:val="none" w:sz="0" w:space="0" w:color="auto"/>
              </w:divBdr>
            </w:div>
            <w:div w:id="1865439365">
              <w:marLeft w:val="0"/>
              <w:marRight w:val="0"/>
              <w:marTop w:val="0"/>
              <w:marBottom w:val="0"/>
              <w:divBdr>
                <w:top w:val="none" w:sz="0" w:space="0" w:color="auto"/>
                <w:left w:val="none" w:sz="0" w:space="0" w:color="auto"/>
                <w:bottom w:val="none" w:sz="0" w:space="0" w:color="auto"/>
                <w:right w:val="none" w:sz="0" w:space="0" w:color="auto"/>
              </w:divBdr>
            </w:div>
          </w:divsChild>
        </w:div>
        <w:div w:id="781462866">
          <w:marLeft w:val="0"/>
          <w:marRight w:val="0"/>
          <w:marTop w:val="0"/>
          <w:marBottom w:val="0"/>
          <w:divBdr>
            <w:top w:val="none" w:sz="0" w:space="0" w:color="auto"/>
            <w:left w:val="none" w:sz="0" w:space="0" w:color="auto"/>
            <w:bottom w:val="none" w:sz="0" w:space="0" w:color="auto"/>
            <w:right w:val="none" w:sz="0" w:space="0" w:color="auto"/>
          </w:divBdr>
          <w:divsChild>
            <w:div w:id="1028142699">
              <w:marLeft w:val="0"/>
              <w:marRight w:val="0"/>
              <w:marTop w:val="0"/>
              <w:marBottom w:val="0"/>
              <w:divBdr>
                <w:top w:val="none" w:sz="0" w:space="0" w:color="auto"/>
                <w:left w:val="none" w:sz="0" w:space="0" w:color="auto"/>
                <w:bottom w:val="none" w:sz="0" w:space="0" w:color="auto"/>
                <w:right w:val="none" w:sz="0" w:space="0" w:color="auto"/>
              </w:divBdr>
            </w:div>
          </w:divsChild>
        </w:div>
        <w:div w:id="972752793">
          <w:marLeft w:val="0"/>
          <w:marRight w:val="0"/>
          <w:marTop w:val="0"/>
          <w:marBottom w:val="0"/>
          <w:divBdr>
            <w:top w:val="none" w:sz="0" w:space="0" w:color="auto"/>
            <w:left w:val="none" w:sz="0" w:space="0" w:color="auto"/>
            <w:bottom w:val="none" w:sz="0" w:space="0" w:color="auto"/>
            <w:right w:val="none" w:sz="0" w:space="0" w:color="auto"/>
          </w:divBdr>
        </w:div>
        <w:div w:id="375667304">
          <w:marLeft w:val="0"/>
          <w:marRight w:val="0"/>
          <w:marTop w:val="0"/>
          <w:marBottom w:val="0"/>
          <w:divBdr>
            <w:top w:val="none" w:sz="0" w:space="0" w:color="auto"/>
            <w:left w:val="none" w:sz="0" w:space="0" w:color="auto"/>
            <w:bottom w:val="none" w:sz="0" w:space="0" w:color="auto"/>
            <w:right w:val="none" w:sz="0" w:space="0" w:color="auto"/>
          </w:divBdr>
          <w:divsChild>
            <w:div w:id="1883861296">
              <w:marLeft w:val="0"/>
              <w:marRight w:val="0"/>
              <w:marTop w:val="0"/>
              <w:marBottom w:val="0"/>
              <w:divBdr>
                <w:top w:val="none" w:sz="0" w:space="0" w:color="auto"/>
                <w:left w:val="none" w:sz="0" w:space="0" w:color="auto"/>
                <w:bottom w:val="none" w:sz="0" w:space="0" w:color="auto"/>
                <w:right w:val="none" w:sz="0" w:space="0" w:color="auto"/>
              </w:divBdr>
            </w:div>
            <w:div w:id="137578975">
              <w:marLeft w:val="0"/>
              <w:marRight w:val="0"/>
              <w:marTop w:val="0"/>
              <w:marBottom w:val="0"/>
              <w:divBdr>
                <w:top w:val="none" w:sz="0" w:space="0" w:color="auto"/>
                <w:left w:val="none" w:sz="0" w:space="0" w:color="auto"/>
                <w:bottom w:val="none" w:sz="0" w:space="0" w:color="auto"/>
                <w:right w:val="none" w:sz="0" w:space="0" w:color="auto"/>
              </w:divBdr>
            </w:div>
          </w:divsChild>
        </w:div>
        <w:div w:id="2126267322">
          <w:marLeft w:val="0"/>
          <w:marRight w:val="0"/>
          <w:marTop w:val="0"/>
          <w:marBottom w:val="0"/>
          <w:divBdr>
            <w:top w:val="none" w:sz="0" w:space="0" w:color="auto"/>
            <w:left w:val="none" w:sz="0" w:space="0" w:color="auto"/>
            <w:bottom w:val="none" w:sz="0" w:space="0" w:color="auto"/>
            <w:right w:val="none" w:sz="0" w:space="0" w:color="auto"/>
          </w:divBdr>
          <w:divsChild>
            <w:div w:id="1363901463">
              <w:marLeft w:val="0"/>
              <w:marRight w:val="0"/>
              <w:marTop w:val="0"/>
              <w:marBottom w:val="0"/>
              <w:divBdr>
                <w:top w:val="none" w:sz="0" w:space="0" w:color="auto"/>
                <w:left w:val="none" w:sz="0" w:space="0" w:color="auto"/>
                <w:bottom w:val="none" w:sz="0" w:space="0" w:color="auto"/>
                <w:right w:val="none" w:sz="0" w:space="0" w:color="auto"/>
              </w:divBdr>
            </w:div>
            <w:div w:id="1715038582">
              <w:marLeft w:val="0"/>
              <w:marRight w:val="0"/>
              <w:marTop w:val="0"/>
              <w:marBottom w:val="0"/>
              <w:divBdr>
                <w:top w:val="none" w:sz="0" w:space="0" w:color="auto"/>
                <w:left w:val="none" w:sz="0" w:space="0" w:color="auto"/>
                <w:bottom w:val="none" w:sz="0" w:space="0" w:color="auto"/>
                <w:right w:val="none" w:sz="0" w:space="0" w:color="auto"/>
              </w:divBdr>
            </w:div>
          </w:divsChild>
        </w:div>
        <w:div w:id="4055670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2/jhm.12785"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6296782C-C1DB-429E-97BB-3418C80FB8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13</Pages>
  <Words>5668</Words>
  <Characters>32314</Characters>
  <Application>Microsoft Office Word</Application>
  <DocSecurity>8</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36</cp:revision>
  <dcterms:created xsi:type="dcterms:W3CDTF">2022-09-26T18:03:00Z</dcterms:created>
  <dcterms:modified xsi:type="dcterms:W3CDTF">2022-11-14T16:03:00Z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