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E9D4543" w:rsidR="000A7622" w:rsidRPr="00C04F25" w:rsidRDefault="0088261C" w:rsidP="00D14423">
      <w:pPr>
        <w:autoSpaceDE w:val="0"/>
        <w:autoSpaceDN w:val="0"/>
        <w:adjustRightInd w:val="0"/>
        <w:rPr>
          <w:rFonts w:cstheme="minorHAnsi"/>
          <w:b/>
          <w:bCs/>
          <w:i/>
          <w:iCs/>
          <w:sz w:val="32"/>
          <w:szCs w:val="32"/>
        </w:rPr>
      </w:pPr>
      <w:r>
        <w:rPr>
          <w:rFonts w:cstheme="minorHAnsi"/>
          <w:b/>
          <w:bCs/>
          <w:i/>
          <w:iCs/>
          <w:sz w:val="32"/>
          <w:szCs w:val="32"/>
        </w:rPr>
        <w:t xml:space="preserve">Physical Therapy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Health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63B7A97F" w14:textId="5896AB3F" w:rsidR="00237B6C" w:rsidRPr="00237B6C" w:rsidRDefault="00650AE9" w:rsidP="00237B6C">
      <w:pPr>
        <w:rPr>
          <w:rFonts w:cstheme="minorHAnsi"/>
          <w:sz w:val="24"/>
          <w:szCs w:val="24"/>
        </w:rPr>
      </w:pPr>
      <w:r>
        <w:rPr>
          <w:rFonts w:cstheme="minorHAnsi"/>
          <w:i/>
          <w:sz w:val="24"/>
          <w:szCs w:val="24"/>
          <w:lang w:val="fr-FR"/>
        </w:rPr>
        <w:t>BMC Geriatrics</w:t>
      </w:r>
      <w:r w:rsidR="000A7622" w:rsidRPr="00C04F25">
        <w:rPr>
          <w:rFonts w:cstheme="minorHAnsi"/>
          <w:sz w:val="24"/>
          <w:szCs w:val="24"/>
          <w:lang w:val="fr-FR"/>
        </w:rPr>
        <w:t xml:space="preserve">, Vol. </w:t>
      </w:r>
      <w:r>
        <w:rPr>
          <w:rFonts w:cstheme="minorHAnsi"/>
          <w:sz w:val="24"/>
          <w:szCs w:val="24"/>
          <w:lang w:val="fr-FR"/>
        </w:rPr>
        <w:t>22</w:t>
      </w:r>
      <w:r w:rsidR="000A7622" w:rsidRPr="00C04F25">
        <w:rPr>
          <w:rFonts w:cstheme="minorHAnsi"/>
          <w:sz w:val="24"/>
          <w:szCs w:val="24"/>
          <w:lang w:val="fr-FR"/>
        </w:rPr>
        <w:t xml:space="preserve">, No. </w:t>
      </w:r>
      <w:r>
        <w:rPr>
          <w:rFonts w:cstheme="minorHAnsi"/>
          <w:sz w:val="24"/>
          <w:szCs w:val="24"/>
          <w:lang w:val="fr-FR"/>
        </w:rPr>
        <w:t>1</w:t>
      </w:r>
      <w:r w:rsidR="000A7622" w:rsidRPr="00C04F25">
        <w:rPr>
          <w:rFonts w:cstheme="minorHAnsi"/>
          <w:sz w:val="24"/>
          <w:szCs w:val="24"/>
          <w:lang w:val="fr-FR"/>
        </w:rPr>
        <w:t xml:space="preserve"> (</w:t>
      </w:r>
      <w:r>
        <w:rPr>
          <w:rFonts w:cstheme="minorHAnsi"/>
          <w:sz w:val="24"/>
          <w:szCs w:val="24"/>
          <w:lang w:val="fr-FR"/>
        </w:rPr>
        <w:t>March 2022</w:t>
      </w:r>
      <w:r w:rsidR="000A7622" w:rsidRPr="00C04F25">
        <w:rPr>
          <w:rFonts w:cstheme="minorHAnsi"/>
          <w:sz w:val="24"/>
          <w:szCs w:val="24"/>
          <w:lang w:val="fr-FR"/>
        </w:rPr>
        <w:t xml:space="preserve">): </w:t>
      </w:r>
      <w:r w:rsidR="008437CF">
        <w:rPr>
          <w:rFonts w:cstheme="minorHAnsi"/>
          <w:sz w:val="24"/>
          <w:szCs w:val="24"/>
          <w:lang w:val="fr-FR"/>
        </w:rPr>
        <w:t>251</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8437CF">
        <w:rPr>
          <w:rFonts w:cstheme="minorHAnsi"/>
          <w:sz w:val="24"/>
          <w:szCs w:val="24"/>
        </w:rPr>
        <w:t>2022 The Authors</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bookmarkStart w:id="2" w:name="Prospective_telehealth_analysis_of_funct"/>
      <w:bookmarkStart w:id="3" w:name="Abstract_"/>
      <w:bookmarkStart w:id="4" w:name="Background:_"/>
      <w:bookmarkStart w:id="5" w:name="Methods:_"/>
      <w:bookmarkStart w:id="6" w:name="Results:_"/>
      <w:bookmarkStart w:id="7" w:name="Conclusions:_"/>
      <w:bookmarkEnd w:id="2"/>
      <w:bookmarkEnd w:id="3"/>
      <w:bookmarkEnd w:id="4"/>
      <w:bookmarkEnd w:id="5"/>
      <w:bookmarkEnd w:id="6"/>
      <w:bookmarkEnd w:id="7"/>
      <w:r w:rsidR="00237B6C" w:rsidRPr="00237B6C">
        <w:rPr>
          <w:rFonts w:cstheme="minorHAnsi"/>
          <w:sz w:val="24"/>
          <w:szCs w:val="24"/>
        </w:rPr>
        <w:t xml:space="preserve">This article </w:t>
      </w:r>
      <w:bookmarkStart w:id="8" w:name="Background"/>
      <w:bookmarkEnd w:id="8"/>
      <w:r w:rsidR="00237B6C" w:rsidRPr="00237B6C">
        <w:rPr>
          <w:rFonts w:cstheme="minorHAnsi"/>
          <w:sz w:val="24"/>
          <w:szCs w:val="24"/>
        </w:rPr>
        <w:t>is licensed under a Creative Commons Attribution 4.0 International License, which</w:t>
      </w:r>
      <w:r w:rsidR="00237B6C">
        <w:rPr>
          <w:rFonts w:cstheme="minorHAnsi"/>
          <w:sz w:val="24"/>
          <w:szCs w:val="24"/>
        </w:rPr>
        <w:t xml:space="preserve"> </w:t>
      </w:r>
      <w:r w:rsidR="00237B6C" w:rsidRPr="00237B6C">
        <w:rPr>
          <w:rFonts w:cstheme="minorHAnsi"/>
          <w:sz w:val="24"/>
          <w:szCs w:val="24"/>
        </w:rPr>
        <w:t>permits use, sharing, adaptation, dis</w:t>
      </w:r>
      <w:r w:rsidR="00237B6C">
        <w:rPr>
          <w:rFonts w:cstheme="minorHAnsi"/>
          <w:sz w:val="24"/>
          <w:szCs w:val="24"/>
        </w:rPr>
        <w:t>t</w:t>
      </w:r>
      <w:r w:rsidR="00237B6C" w:rsidRPr="00237B6C">
        <w:rPr>
          <w:rFonts w:cstheme="minorHAnsi"/>
          <w:sz w:val="24"/>
          <w:szCs w:val="24"/>
        </w:rPr>
        <w:t>ribution and reproduction in any medium or format, as long as you give appropriate credit to the original author(s) and the source, provide a link to the Creative Commons licence, and indicate if changes were made. The images or other third party material in this article are included in the article’s Creative Commons licence, unless indicated otherwise in a credit line to the material. If material is not included in the article’s Creative Commons licence and your intended use is not permitted by statutory regulation or exceeds the permitted use, you will need to obtain permission directly from the copyright holder. To view a copy of this licence, visit http://creativecommons.org/licenses/by/4.0/. The Creative Commons Public Domain Dedication waiver (http://creativecommons.org/publicdomain/zero/1.0/) applies to the data made available in this article, unless otherwise stated in a credit line to the data.</w:t>
      </w:r>
    </w:p>
    <w:p w14:paraId="2A38AFE1" w14:textId="17EE63C0" w:rsidR="000A7622" w:rsidRPr="00C04F25" w:rsidRDefault="000A7622" w:rsidP="00D14423">
      <w:pPr>
        <w:rPr>
          <w:rFonts w:cstheme="minorHAnsi"/>
          <w:sz w:val="24"/>
          <w:szCs w:val="24"/>
        </w:rPr>
      </w:pPr>
      <w:r w:rsidRPr="00C04F25">
        <w:rPr>
          <w:rFonts w:cstheme="minorHAnsi"/>
          <w:sz w:val="24"/>
          <w:szCs w:val="24"/>
        </w:rPr>
        <w:t xml:space="preserve">. </w:t>
      </w:r>
    </w:p>
    <w:bookmarkEnd w:id="1"/>
    <w:p w14:paraId="5BC0075B" w14:textId="3E066754" w:rsidR="000A7622" w:rsidRDefault="000A7622" w:rsidP="000A7622">
      <w:pPr>
        <w:rPr>
          <w:rFonts w:cstheme="minorHAnsi"/>
        </w:rPr>
      </w:pPr>
    </w:p>
    <w:p w14:paraId="16B6CE2C" w14:textId="69AD7434" w:rsidR="00414591" w:rsidRDefault="0068206B" w:rsidP="0068206B">
      <w:pPr>
        <w:pStyle w:val="Title"/>
      </w:pPr>
      <w:r w:rsidRPr="0068206B">
        <w:t>Prospective Telehealth Analysis of Functional Performance, Frailty, Quality of Life, and Mental Health after COVID-19 hospitalization</w:t>
      </w:r>
    </w:p>
    <w:p w14:paraId="4B1E3B36" w14:textId="77777777" w:rsidR="0088261C" w:rsidRDefault="0088261C" w:rsidP="0068206B"/>
    <w:p w14:paraId="2F4AD7C9" w14:textId="77777777" w:rsidR="001904ED" w:rsidRPr="00B21A60" w:rsidRDefault="001904ED" w:rsidP="00B21A60">
      <w:pPr>
        <w:pStyle w:val="NoSpacing"/>
        <w:rPr>
          <w:sz w:val="32"/>
          <w:szCs w:val="32"/>
        </w:rPr>
      </w:pPr>
      <w:r w:rsidRPr="00B21A60">
        <w:rPr>
          <w:sz w:val="32"/>
          <w:szCs w:val="32"/>
        </w:rPr>
        <w:t>Jacob J. Capin</w:t>
      </w:r>
    </w:p>
    <w:p w14:paraId="16ABD0DF" w14:textId="77777777" w:rsidR="000357CD" w:rsidRPr="00B21A60" w:rsidRDefault="000357CD" w:rsidP="00B21A60">
      <w:pPr>
        <w:pStyle w:val="NoSpacing"/>
        <w:rPr>
          <w:sz w:val="24"/>
          <w:szCs w:val="24"/>
        </w:rPr>
      </w:pPr>
      <w:r w:rsidRPr="00B21A60">
        <w:rPr>
          <w:sz w:val="24"/>
          <w:szCs w:val="24"/>
        </w:rPr>
        <w:t>Physical Therapy Program, Department of Physical Medicine and Rehabilitation, University of Colorado Anschutz Medical Campus, Aurora, CO, USA</w:t>
      </w:r>
    </w:p>
    <w:p w14:paraId="5878C0EB" w14:textId="77777777" w:rsidR="000357CD" w:rsidRPr="00B21A60" w:rsidRDefault="000357CD" w:rsidP="00B21A60">
      <w:pPr>
        <w:pStyle w:val="NoSpacing"/>
        <w:rPr>
          <w:sz w:val="24"/>
          <w:szCs w:val="24"/>
        </w:rPr>
      </w:pPr>
      <w:r w:rsidRPr="00B21A60">
        <w:rPr>
          <w:sz w:val="24"/>
          <w:szCs w:val="24"/>
        </w:rPr>
        <w:lastRenderedPageBreak/>
        <w:t>Department of Physical Therapy, Marquette University, Milwaukee, WI, USA</w:t>
      </w:r>
    </w:p>
    <w:p w14:paraId="25543964" w14:textId="2B8DE345" w:rsidR="001904ED" w:rsidRPr="00B21A60" w:rsidRDefault="000357CD" w:rsidP="00B21A60">
      <w:pPr>
        <w:pStyle w:val="NoSpacing"/>
        <w:rPr>
          <w:sz w:val="24"/>
          <w:szCs w:val="24"/>
        </w:rPr>
      </w:pPr>
      <w:r w:rsidRPr="00B21A60">
        <w:rPr>
          <w:sz w:val="24"/>
          <w:szCs w:val="24"/>
        </w:rPr>
        <w:t>Eastern Colorado Veterans Affairs Geriatric Research Education and Clinical Center (GRECC), Aurora, CO, USA</w:t>
      </w:r>
    </w:p>
    <w:p w14:paraId="79432209" w14:textId="77777777" w:rsidR="001904ED" w:rsidRPr="00B21A60" w:rsidRDefault="001904ED" w:rsidP="00B21A60">
      <w:pPr>
        <w:pStyle w:val="NoSpacing"/>
        <w:rPr>
          <w:sz w:val="32"/>
          <w:szCs w:val="32"/>
        </w:rPr>
      </w:pPr>
      <w:r w:rsidRPr="00B21A60">
        <w:rPr>
          <w:sz w:val="32"/>
          <w:szCs w:val="32"/>
        </w:rPr>
        <w:t>Melissa P. Wilson</w:t>
      </w:r>
    </w:p>
    <w:p w14:paraId="3391C3C2" w14:textId="4FD741C4" w:rsidR="001904ED" w:rsidRPr="00B21A60" w:rsidRDefault="000357CD" w:rsidP="00B21A60">
      <w:pPr>
        <w:pStyle w:val="NoSpacing"/>
        <w:rPr>
          <w:sz w:val="24"/>
          <w:szCs w:val="24"/>
        </w:rPr>
      </w:pPr>
      <w:r w:rsidRPr="00B21A60">
        <w:rPr>
          <w:sz w:val="24"/>
          <w:szCs w:val="24"/>
        </w:rPr>
        <w:t>Department of Bioinformatics and Personalized Medicine, University of Colorado Anschutz Medical Campus, Aurora, CO, USA</w:t>
      </w:r>
    </w:p>
    <w:p w14:paraId="447363D0" w14:textId="77777777" w:rsidR="001904ED" w:rsidRPr="00B21A60" w:rsidRDefault="001904ED" w:rsidP="00B21A60">
      <w:pPr>
        <w:pStyle w:val="NoSpacing"/>
        <w:rPr>
          <w:sz w:val="32"/>
          <w:szCs w:val="32"/>
        </w:rPr>
      </w:pPr>
      <w:r w:rsidRPr="00B21A60">
        <w:rPr>
          <w:sz w:val="32"/>
          <w:szCs w:val="32"/>
        </w:rPr>
        <w:t>Kristine Hare</w:t>
      </w:r>
    </w:p>
    <w:p w14:paraId="4F3A0512" w14:textId="341E02B1" w:rsidR="001904ED" w:rsidRPr="00B21A60" w:rsidRDefault="00F547B7" w:rsidP="00B21A60">
      <w:pPr>
        <w:pStyle w:val="NoSpacing"/>
        <w:rPr>
          <w:sz w:val="24"/>
          <w:szCs w:val="24"/>
        </w:rPr>
      </w:pPr>
      <w:r w:rsidRPr="00B21A60">
        <w:rPr>
          <w:sz w:val="24"/>
          <w:szCs w:val="24"/>
        </w:rPr>
        <w:t>Physical Therapy Program, Department of Physical Medicine and Rehabilitation, University of Colorado Anschutz Medical Campus, Aurora, CO, USA</w:t>
      </w:r>
    </w:p>
    <w:p w14:paraId="1395384E" w14:textId="77777777" w:rsidR="001904ED" w:rsidRPr="00B21A60" w:rsidRDefault="001904ED" w:rsidP="00B21A60">
      <w:pPr>
        <w:pStyle w:val="NoSpacing"/>
        <w:rPr>
          <w:sz w:val="32"/>
          <w:szCs w:val="32"/>
        </w:rPr>
      </w:pPr>
      <w:r w:rsidRPr="00B21A60">
        <w:rPr>
          <w:sz w:val="32"/>
          <w:szCs w:val="32"/>
        </w:rPr>
        <w:t>Swati Vempati</w:t>
      </w:r>
    </w:p>
    <w:p w14:paraId="64352C7E" w14:textId="774BEA52" w:rsidR="001904ED" w:rsidRPr="00B21A60" w:rsidRDefault="00F547B7" w:rsidP="00B21A60">
      <w:pPr>
        <w:pStyle w:val="NoSpacing"/>
        <w:rPr>
          <w:sz w:val="24"/>
          <w:szCs w:val="24"/>
        </w:rPr>
      </w:pPr>
      <w:r w:rsidRPr="00B21A60">
        <w:rPr>
          <w:sz w:val="24"/>
          <w:szCs w:val="24"/>
        </w:rPr>
        <w:t>Division of Infectious Diseases, University of Colorado Anschutz Medical Campus, 12700 E. 19th Ave, Mail Stop B168, Aurora, CO, 80045, USA</w:t>
      </w:r>
    </w:p>
    <w:p w14:paraId="31E30ED5" w14:textId="77777777" w:rsidR="001904ED" w:rsidRPr="00B21A60" w:rsidRDefault="001904ED" w:rsidP="00B21A60">
      <w:pPr>
        <w:pStyle w:val="NoSpacing"/>
        <w:rPr>
          <w:sz w:val="32"/>
          <w:szCs w:val="32"/>
        </w:rPr>
      </w:pPr>
      <w:r w:rsidRPr="00B21A60">
        <w:rPr>
          <w:sz w:val="32"/>
          <w:szCs w:val="32"/>
        </w:rPr>
        <w:t>Carley E. Little</w:t>
      </w:r>
    </w:p>
    <w:p w14:paraId="59FCD583" w14:textId="3FD78B03" w:rsidR="001904ED" w:rsidRPr="00B21A60" w:rsidRDefault="00F547B7" w:rsidP="00B21A60">
      <w:pPr>
        <w:pStyle w:val="NoSpacing"/>
        <w:rPr>
          <w:sz w:val="24"/>
          <w:szCs w:val="24"/>
        </w:rPr>
      </w:pPr>
      <w:r w:rsidRPr="00B21A60">
        <w:rPr>
          <w:sz w:val="24"/>
          <w:szCs w:val="24"/>
        </w:rPr>
        <w:t>School of Medicine, University of Colorado Anschutz Medical Campus, Aurora, CO, USA</w:t>
      </w:r>
    </w:p>
    <w:p w14:paraId="40C05623" w14:textId="77777777" w:rsidR="001904ED" w:rsidRPr="00B21A60" w:rsidRDefault="001904ED" w:rsidP="00B21A60">
      <w:pPr>
        <w:pStyle w:val="NoSpacing"/>
        <w:rPr>
          <w:sz w:val="32"/>
          <w:szCs w:val="32"/>
        </w:rPr>
      </w:pPr>
      <w:r w:rsidRPr="00B21A60">
        <w:rPr>
          <w:sz w:val="32"/>
          <w:szCs w:val="32"/>
        </w:rPr>
        <w:t>Donna McGregor</w:t>
      </w:r>
    </w:p>
    <w:p w14:paraId="1F847421" w14:textId="3D912873" w:rsidR="001904ED" w:rsidRPr="00B21A60" w:rsidRDefault="00840813" w:rsidP="00B21A60">
      <w:pPr>
        <w:pStyle w:val="NoSpacing"/>
        <w:rPr>
          <w:sz w:val="24"/>
          <w:szCs w:val="24"/>
        </w:rPr>
      </w:pPr>
      <w:r w:rsidRPr="00B21A60">
        <w:rPr>
          <w:sz w:val="24"/>
          <w:szCs w:val="24"/>
        </w:rPr>
        <w:t>Division of Infectious Diseases, University of Colorado Anschutz Medical Campus, 12700 E. 19th Ave, Mail Stop B168, Aurora, CO, 80045, USA</w:t>
      </w:r>
    </w:p>
    <w:p w14:paraId="08359FCC" w14:textId="77777777" w:rsidR="001904ED" w:rsidRPr="00B21A60" w:rsidRDefault="001904ED" w:rsidP="00B21A60">
      <w:pPr>
        <w:pStyle w:val="NoSpacing"/>
        <w:rPr>
          <w:sz w:val="32"/>
          <w:szCs w:val="32"/>
        </w:rPr>
      </w:pPr>
      <w:r w:rsidRPr="00B21A60">
        <w:rPr>
          <w:sz w:val="32"/>
          <w:szCs w:val="32"/>
        </w:rPr>
        <w:t>Jose Castillo-Mancilla</w:t>
      </w:r>
    </w:p>
    <w:p w14:paraId="0D3A8F53" w14:textId="653D69AD" w:rsidR="001904ED" w:rsidRPr="00B21A60" w:rsidRDefault="00840813" w:rsidP="00B21A60">
      <w:pPr>
        <w:pStyle w:val="NoSpacing"/>
        <w:rPr>
          <w:sz w:val="24"/>
          <w:szCs w:val="24"/>
        </w:rPr>
      </w:pPr>
      <w:r w:rsidRPr="00B21A60">
        <w:rPr>
          <w:sz w:val="24"/>
          <w:szCs w:val="24"/>
        </w:rPr>
        <w:t>Division of Infectious Diseases, University of Colorado Anschutz Medical Campus, 12700 E. 19th Ave, Mail Stop B168, Aurora, CO, 80045, USA</w:t>
      </w:r>
    </w:p>
    <w:p w14:paraId="43032D85" w14:textId="77777777" w:rsidR="001904ED" w:rsidRPr="00B21A60" w:rsidRDefault="001904ED" w:rsidP="00B21A60">
      <w:pPr>
        <w:pStyle w:val="NoSpacing"/>
        <w:rPr>
          <w:sz w:val="32"/>
          <w:szCs w:val="32"/>
        </w:rPr>
      </w:pPr>
      <w:r w:rsidRPr="00B21A60">
        <w:rPr>
          <w:sz w:val="32"/>
          <w:szCs w:val="32"/>
        </w:rPr>
        <w:t>Jennifer E. Stevens-Lapsley</w:t>
      </w:r>
    </w:p>
    <w:p w14:paraId="1BB47450" w14:textId="77777777" w:rsidR="00840813" w:rsidRPr="00B21A60" w:rsidRDefault="00840813" w:rsidP="00B21A60">
      <w:pPr>
        <w:pStyle w:val="NoSpacing"/>
        <w:rPr>
          <w:sz w:val="24"/>
          <w:szCs w:val="24"/>
        </w:rPr>
      </w:pPr>
      <w:r w:rsidRPr="00B21A60">
        <w:rPr>
          <w:sz w:val="24"/>
          <w:szCs w:val="24"/>
        </w:rPr>
        <w:t>Physical Therapy Program, Department of Physical Medicine and Rehabilitation, University of Colorado Anschutz Medical Campus, Aurora, CO, USA</w:t>
      </w:r>
    </w:p>
    <w:p w14:paraId="5DB31E12" w14:textId="74DEE77E" w:rsidR="001904ED" w:rsidRPr="00B21A60" w:rsidRDefault="00840813" w:rsidP="00B21A60">
      <w:pPr>
        <w:pStyle w:val="NoSpacing"/>
        <w:rPr>
          <w:sz w:val="24"/>
          <w:szCs w:val="24"/>
        </w:rPr>
      </w:pPr>
      <w:r w:rsidRPr="00B21A60">
        <w:rPr>
          <w:sz w:val="24"/>
          <w:szCs w:val="24"/>
        </w:rPr>
        <w:t>Eastern Colorado Veterans Affairs Geriatric Research Education and Clinical Center (GRECC), Aurora, CO, USA</w:t>
      </w:r>
    </w:p>
    <w:p w14:paraId="12B44E77" w14:textId="77777777" w:rsidR="001904ED" w:rsidRPr="00B21A60" w:rsidRDefault="001904ED" w:rsidP="00B21A60">
      <w:pPr>
        <w:pStyle w:val="NoSpacing"/>
        <w:rPr>
          <w:sz w:val="32"/>
          <w:szCs w:val="32"/>
        </w:rPr>
      </w:pPr>
      <w:r w:rsidRPr="00B21A60">
        <w:rPr>
          <w:sz w:val="32"/>
          <w:szCs w:val="32"/>
        </w:rPr>
        <w:t>Sarah E. Jolley</w:t>
      </w:r>
    </w:p>
    <w:p w14:paraId="7F8D7548" w14:textId="3B04F8DF" w:rsidR="001904ED" w:rsidRPr="00B21A60" w:rsidRDefault="00B21A60" w:rsidP="00B21A60">
      <w:pPr>
        <w:pStyle w:val="NoSpacing"/>
        <w:rPr>
          <w:sz w:val="24"/>
          <w:szCs w:val="24"/>
        </w:rPr>
      </w:pPr>
      <w:r w:rsidRPr="00B21A60">
        <w:rPr>
          <w:sz w:val="24"/>
          <w:szCs w:val="24"/>
        </w:rPr>
        <w:t>Division of Pulmonary and Critical Care Medicine, University of Colorado Anschutz Medical Campus, Aurora, CO, USA</w:t>
      </w:r>
    </w:p>
    <w:p w14:paraId="086C3A02" w14:textId="2A32F27D" w:rsidR="0068206B" w:rsidRPr="00B21A60" w:rsidRDefault="001904ED" w:rsidP="00B21A60">
      <w:pPr>
        <w:pStyle w:val="NoSpacing"/>
        <w:rPr>
          <w:sz w:val="32"/>
          <w:szCs w:val="32"/>
        </w:rPr>
      </w:pPr>
      <w:r w:rsidRPr="00B21A60">
        <w:rPr>
          <w:sz w:val="32"/>
          <w:szCs w:val="32"/>
        </w:rPr>
        <w:t>Kristine M. Erlandson</w:t>
      </w:r>
    </w:p>
    <w:p w14:paraId="590AB2BD" w14:textId="7869B36C" w:rsidR="001904ED" w:rsidRPr="00B21A60" w:rsidRDefault="00B21A60" w:rsidP="00B21A60">
      <w:pPr>
        <w:pStyle w:val="NoSpacing"/>
        <w:rPr>
          <w:sz w:val="24"/>
          <w:szCs w:val="24"/>
        </w:rPr>
      </w:pPr>
      <w:r w:rsidRPr="00B21A60">
        <w:rPr>
          <w:sz w:val="24"/>
          <w:szCs w:val="24"/>
        </w:rPr>
        <w:t>Division of Infectious Diseases, University of Colorado Anschutz Medical Campus, 12700 E. 19th Ave, Mail Stop B168, Aurora, CO, 80045, USA</w:t>
      </w:r>
    </w:p>
    <w:p w14:paraId="35C557A2" w14:textId="77777777" w:rsidR="001904ED" w:rsidRDefault="001904ED" w:rsidP="0068206B"/>
    <w:p w14:paraId="1FC04985" w14:textId="77777777" w:rsidR="00B21A60" w:rsidRDefault="00B21A60" w:rsidP="00B21A60">
      <w:pPr>
        <w:pStyle w:val="Heading1"/>
      </w:pPr>
      <w:r>
        <w:t>Abstract</w:t>
      </w:r>
    </w:p>
    <w:p w14:paraId="313F954B" w14:textId="77777777" w:rsidR="001B5117" w:rsidRPr="001B5117" w:rsidRDefault="001B5117" w:rsidP="001B5117">
      <w:pPr>
        <w:pStyle w:val="Heading2"/>
      </w:pPr>
      <w:r w:rsidRPr="001B5117">
        <w:t>Background</w:t>
      </w:r>
    </w:p>
    <w:p w14:paraId="6F4F1BAF" w14:textId="77777777" w:rsidR="001B5117" w:rsidRPr="001B5117" w:rsidRDefault="001B5117" w:rsidP="001B5117">
      <w:r w:rsidRPr="001B5117">
        <w:t>COVID-19 is a global pandemic with poorly understood long-term consequences. Determining the trajectory of recovery following COVID-19 hospitalization is critical for prioritizing care, allocating resources, facilitating prognosis, and informing rehabilitation. The purpose of this study was to prospectively evaluate recovery following COVID-19 hospitalization.</w:t>
      </w:r>
    </w:p>
    <w:p w14:paraId="48E606AE" w14:textId="77777777" w:rsidR="001B5117" w:rsidRPr="001B5117" w:rsidRDefault="001B5117" w:rsidP="001B5117">
      <w:pPr>
        <w:pStyle w:val="Heading2"/>
      </w:pPr>
      <w:r w:rsidRPr="001B5117">
        <w:t>Methods</w:t>
      </w:r>
    </w:p>
    <w:p w14:paraId="3B9B0FA9" w14:textId="77777777" w:rsidR="001B5117" w:rsidRPr="001B5117" w:rsidRDefault="001B5117" w:rsidP="001B5117">
      <w:r w:rsidRPr="001B5117">
        <w:t>Participants age 18 years or older who were hospitalized for ≥24 h due to COVID-19 completed phone/video call virtual assessments (including the 10-time chair rise test) and survey forms at three time points (2–6, 12, and 18 weeks) after hospital discharge. Univariate logistic and linear regression models assessed the associations of the outcomes with primary predictors (categorical age, sex, race/ethnicity group, and categorical pre-hospitalization frailty) at baseline; the same were used to assess differences in change from week 2–6 (continuous outcomes) or outcome persistence/worsening (categorical) at last contact.</w:t>
      </w:r>
    </w:p>
    <w:p w14:paraId="46B4A70D" w14:textId="77777777" w:rsidR="001B5117" w:rsidRPr="001B5117" w:rsidRDefault="001B5117" w:rsidP="001B5117">
      <w:pPr>
        <w:pStyle w:val="Heading2"/>
      </w:pPr>
      <w:r w:rsidRPr="001B5117">
        <w:t>Results</w:t>
      </w:r>
    </w:p>
    <w:p w14:paraId="1B7983B4" w14:textId="77777777" w:rsidR="001B5117" w:rsidRPr="001B5117" w:rsidRDefault="001B5117" w:rsidP="001B5117">
      <w:r w:rsidRPr="001B5117">
        <w:t>One hundred nine adults (age 53.0 [standard deviation 13.1]; 53% female) participated including 43 (39%) age 60 or greater; 59% identified as an ethnic and/or racial minority. Over 18 weeks, the mean time to complete the 10-time chair rise test decreased (i.e., improved) by 6.0 s (95% CI: 4.1, 7.9 s; </w:t>
      </w:r>
      <w:r w:rsidRPr="001B5117">
        <w:rPr>
          <w:i/>
          <w:iCs/>
        </w:rPr>
        <w:t>p</w:t>
      </w:r>
      <w:r w:rsidRPr="001B5117">
        <w:t> &lt; 0.001); this change did not differ by pre-hospital frailty, race/ethnicity group, or sex, but those age ≥ 60 had greater improvement. At weeks 2–6, 67% of participants reported a worse Clinical Frailty Scale category compared to their pre-hospitalization level, whereas 42% reported a worse frailty score at 18 weeks. Participants who did not return to pre-hospitalization levels were more likely to be female, younger, and report a pre-hospitalization category of ‘very fit’ or ‘well’.</w:t>
      </w:r>
    </w:p>
    <w:p w14:paraId="1FBE4C09" w14:textId="77777777" w:rsidR="001B5117" w:rsidRPr="001B5117" w:rsidRDefault="001B5117" w:rsidP="001B5117">
      <w:pPr>
        <w:pStyle w:val="Heading2"/>
      </w:pPr>
      <w:r w:rsidRPr="001B5117">
        <w:t>Conclusions</w:t>
      </w:r>
    </w:p>
    <w:p w14:paraId="6277BF39" w14:textId="77777777" w:rsidR="001B5117" w:rsidRPr="001B5117" w:rsidRDefault="001B5117" w:rsidP="001B5117">
      <w:r w:rsidRPr="001B5117">
        <w:t>We found that functional performance improved from weeks 2–6 to 18 weeks of follow-up; that incident clinical frailty developed in some individuals following COVID-19; and that age, sex, race/ethnicity, and pre-hospitalization frailty status may impact recovery from COVID-19. Notably, individuals age 60 and older were more likely than those under age 45 years to return to their pre-hospitalization status and to make greater improvements in functional performance. The results of the present study provide insight into the trajectory of recovery among a representative cohort of individuals hospitalized due to COVID-19.</w:t>
      </w:r>
    </w:p>
    <w:p w14:paraId="56D1716A" w14:textId="787038D4" w:rsidR="0068206B" w:rsidRPr="0068206B" w:rsidRDefault="0068206B" w:rsidP="001B5117">
      <w:pPr>
        <w:pStyle w:val="Heading1"/>
      </w:pPr>
      <w:r w:rsidRPr="0068206B">
        <w:t>Background</w:t>
      </w:r>
    </w:p>
    <w:p w14:paraId="3BF8C0A8" w14:textId="4865F0AB" w:rsidR="0068206B" w:rsidRPr="0068206B" w:rsidRDefault="0068206B" w:rsidP="0068206B">
      <w:r w:rsidRPr="0068206B">
        <w:t>Coronavirus disease (COVID)-19 is a global pandemic with poorly understood long-term consequences. Recent data suggest that even mild cases of COVID-19 can result in significant long-term morbidity [</w:t>
      </w:r>
      <w:r w:rsidRPr="00650AE9">
        <w:t>1</w:t>
      </w:r>
      <w:r w:rsidRPr="0068206B">
        <w:t>]. Determining the trajectory of recovery in patients following COVID-19 hospitalization is critical for prioritizing care, allocating resources, facilitating prognosis, and informing rehabilitation.</w:t>
      </w:r>
    </w:p>
    <w:p w14:paraId="5103BC01" w14:textId="13631077" w:rsidR="0068206B" w:rsidRPr="0068206B" w:rsidRDefault="0068206B" w:rsidP="0068206B">
      <w:r w:rsidRPr="0068206B">
        <w:t>Post-acute sequelae of COVID-19 (PASC), often defined as symptoms persisting at least 4 weeks beyond initial symptom onset, may affect many organ systems including pulmonary, hematologic, cardiovascular, neuropsychiatric, renal, endocrine, gastrointestinal, hepatobiliary, and dermatologic [</w:t>
      </w:r>
      <w:r w:rsidRPr="00650AE9">
        <w:t>2</w:t>
      </w:r>
      <w:r w:rsidRPr="0068206B">
        <w:t>]. Sixty days after hospital discharge, cardiopulmonary symptoms such as cough and dyspnea, difficulty completing activities of daily living, inability to return fully to work, and emotional disturbances are among the most commonly reported symptoms [</w:t>
      </w:r>
      <w:r w:rsidRPr="00650AE9">
        <w:t>3</w:t>
      </w:r>
      <w:r w:rsidRPr="0068206B">
        <w:t>]. Six months after hospital discharge, the most common symptoms reported by 1733 COVID-19 survivors from Wuhan, China were fatigue or muscle weakness (63%), sleep difficulties (26%), and anxiety and/or depression (23%); nearly one-quarter had 6-min walk test (6-MWT) values below the lower limit of the normal range [</w:t>
      </w:r>
      <w:r w:rsidRPr="00650AE9">
        <w:t>4</w:t>
      </w:r>
      <w:r w:rsidRPr="0068206B">
        <w:t>]. These studies suggest a high prevalence of symptoms and functional limitations persist for weeks to months in patients after COVID-19 hospitalization.</w:t>
      </w:r>
    </w:p>
    <w:p w14:paraId="17505D70" w14:textId="0616D6EB" w:rsidR="0068206B" w:rsidRPr="0068206B" w:rsidRDefault="0068206B" w:rsidP="0068206B">
      <w:r w:rsidRPr="0068206B">
        <w:t>Although the aforementioned studies and others [</w:t>
      </w:r>
      <w:r w:rsidRPr="00650AE9">
        <w:t>2</w:t>
      </w:r>
      <w:r w:rsidRPr="0068206B">
        <w:t>,</w:t>
      </w:r>
      <w:r w:rsidRPr="00650AE9">
        <w:t>3</w:t>
      </w:r>
      <w:r w:rsidRPr="0068206B">
        <w:t>,</w:t>
      </w:r>
      <w:r w:rsidRPr="00650AE9">
        <w:t>4</w:t>
      </w:r>
      <w:r w:rsidRPr="0068206B">
        <w:t>,</w:t>
      </w:r>
      <w:r w:rsidRPr="00650AE9">
        <w:t>5</w:t>
      </w:r>
      <w:r w:rsidRPr="0068206B">
        <w:t>,</w:t>
      </w:r>
      <w:r w:rsidRPr="00650AE9">
        <w:t>6</w:t>
      </w:r>
      <w:r w:rsidRPr="0068206B">
        <w:t>,</w:t>
      </w:r>
      <w:r w:rsidRPr="00650AE9">
        <w:t>7</w:t>
      </w:r>
      <w:r w:rsidRPr="0068206B">
        <w:t>,</w:t>
      </w:r>
      <w:r w:rsidRPr="00650AE9">
        <w:t>8</w:t>
      </w:r>
      <w:r w:rsidRPr="0068206B">
        <w:t>] have begun to inform clinical practice and prognosis for patients with post-acute sequelae of COVID-19 (PASC), limitations to our understanding of the sequelae of COVID-19 remain. Most studies to date are limited to one cross-sectional evaluation [</w:t>
      </w:r>
      <w:r w:rsidRPr="00650AE9">
        <w:t>2</w:t>
      </w:r>
      <w:r w:rsidRPr="0068206B">
        <w:t>,</w:t>
      </w:r>
      <w:r w:rsidRPr="00650AE9">
        <w:t>3</w:t>
      </w:r>
      <w:r w:rsidRPr="0068206B">
        <w:t>,</w:t>
      </w:r>
      <w:r w:rsidRPr="00650AE9">
        <w:t>4</w:t>
      </w:r>
      <w:r w:rsidRPr="0068206B">
        <w:t>,</w:t>
      </w:r>
      <w:r w:rsidRPr="00650AE9">
        <w:t>5</w:t>
      </w:r>
      <w:r w:rsidRPr="0068206B">
        <w:t>,</w:t>
      </w:r>
      <w:r w:rsidRPr="00650AE9">
        <w:t>6</w:t>
      </w:r>
      <w:r w:rsidRPr="0068206B">
        <w:t>,</w:t>
      </w:r>
      <w:r w:rsidRPr="00650AE9">
        <w:t>7</w:t>
      </w:r>
      <w:r w:rsidRPr="0068206B">
        <w:t>], rather than longitudinal follow-up. Several studies have been performed at post-COVID clinics [</w:t>
      </w:r>
      <w:r w:rsidRPr="00650AE9">
        <w:t>5</w:t>
      </w:r>
      <w:r w:rsidRPr="0068206B">
        <w:t>, </w:t>
      </w:r>
      <w:r w:rsidRPr="00650AE9">
        <w:t>7</w:t>
      </w:r>
      <w:r w:rsidRPr="0068206B">
        <w:t>], in rehabilitation units [</w:t>
      </w:r>
      <w:r w:rsidRPr="00650AE9">
        <w:t>9</w:t>
      </w:r>
      <w:r w:rsidRPr="0068206B">
        <w:t>], or through social media outreach of COVID-19 support groups [</w:t>
      </w:r>
      <w:r w:rsidRPr="00650AE9">
        <w:t>10</w:t>
      </w:r>
      <w:r w:rsidRPr="0068206B">
        <w:t>], which could bias towards individuals with persistent or more severe symptoms. Another limitation of prior work is a dearth of performance-based functional assessments, as many studies rely heavily or exclusively on chart review and/or patient-reported outcomes [</w:t>
      </w:r>
      <w:r w:rsidRPr="00650AE9">
        <w:t>3</w:t>
      </w:r>
      <w:r w:rsidRPr="0068206B">
        <w:t>, </w:t>
      </w:r>
      <w:r w:rsidRPr="00650AE9">
        <w:t>6</w:t>
      </w:r>
      <w:r w:rsidRPr="0068206B">
        <w:t>, </w:t>
      </w:r>
      <w:r w:rsidRPr="00650AE9">
        <w:t>7</w:t>
      </w:r>
      <w:r w:rsidRPr="0068206B">
        <w:t>]. Similarly, while many studies have identified frailty as a strong predictor of COVID-19 disease severity and mortality [</w:t>
      </w:r>
      <w:r w:rsidRPr="00650AE9">
        <w:t>11</w:t>
      </w:r>
      <w:r w:rsidRPr="0068206B">
        <w:t>,</w:t>
      </w:r>
      <w:r w:rsidRPr="00650AE9">
        <w:t>12</w:t>
      </w:r>
      <w:r w:rsidRPr="0068206B">
        <w:t>,</w:t>
      </w:r>
      <w:r w:rsidRPr="00650AE9">
        <w:t>13</w:t>
      </w:r>
      <w:r w:rsidRPr="0068206B">
        <w:t>,</w:t>
      </w:r>
      <w:r w:rsidRPr="00650AE9">
        <w:t>14</w:t>
      </w:r>
      <w:r w:rsidRPr="0068206B">
        <w:t>,</w:t>
      </w:r>
      <w:r w:rsidRPr="00650AE9">
        <w:t>15</w:t>
      </w:r>
      <w:r w:rsidRPr="0068206B">
        <w:t>], the effect of COVID-19 hospitalization on the development and/or progression of clinical frailty is unknown. These limitations point to a need for prospective, serial evaluation of outcomes, including performance-based functional assessments, in a representative sample of ‘all-comers’ following COVID-19 hospitalization.</w:t>
      </w:r>
    </w:p>
    <w:p w14:paraId="011D5AD2" w14:textId="77777777" w:rsidR="0068206B" w:rsidRPr="0068206B" w:rsidRDefault="0068206B" w:rsidP="0068206B">
      <w:r w:rsidRPr="0068206B">
        <w:t>The purpose of this study was to prospectively evaluate and describe recovery in patients at multiple time-points following a hospitalization due to COVID-19. We hypothesized that: 1) outcomes would improve over time (from 2 to 6 weeks post hospital discharge to 12 and 18 weeks post-discharge); 2) COVID-19 hospitalization would result in clinical frailty in some patients who did not report pre-hospitalization frailty; and 3) age, sex, race/ethnicity, and pre-hospitalization status would impact recovery from COVID-19. These a priori hypotheses were guided by: 1) the natural course of recovery experienced by most individuals following many acute illnesses; 2) the prevalence of PASC and nosocomial-related functional decline; and 3) prior studies identifying associations between patient characteristics and outcomes following COVID-19 and other diseases.</w:t>
      </w:r>
    </w:p>
    <w:p w14:paraId="5E31E88E" w14:textId="77777777" w:rsidR="0068206B" w:rsidRPr="0068206B" w:rsidRDefault="0068206B" w:rsidP="001B5117">
      <w:pPr>
        <w:pStyle w:val="Heading1"/>
      </w:pPr>
      <w:r w:rsidRPr="0068206B">
        <w:t>Methods</w:t>
      </w:r>
    </w:p>
    <w:p w14:paraId="3BB36741" w14:textId="77777777" w:rsidR="0068206B" w:rsidRPr="0068206B" w:rsidRDefault="0068206B" w:rsidP="00B832DA">
      <w:pPr>
        <w:pStyle w:val="Heading2"/>
      </w:pPr>
      <w:r w:rsidRPr="0068206B">
        <w:t>Design</w:t>
      </w:r>
    </w:p>
    <w:p w14:paraId="6C8CFB7B" w14:textId="77777777" w:rsidR="0068206B" w:rsidRPr="0068206B" w:rsidRDefault="0068206B" w:rsidP="0068206B">
      <w:r w:rsidRPr="0068206B">
        <w:t>Prospective cohort study.</w:t>
      </w:r>
    </w:p>
    <w:p w14:paraId="779899D6" w14:textId="77777777" w:rsidR="0068206B" w:rsidRPr="0068206B" w:rsidRDefault="0068206B" w:rsidP="00B832DA">
      <w:pPr>
        <w:pStyle w:val="Heading2"/>
      </w:pPr>
      <w:r w:rsidRPr="0068206B">
        <w:t>Ethics and consent to participate</w:t>
      </w:r>
    </w:p>
    <w:p w14:paraId="3452A632" w14:textId="77777777" w:rsidR="0068206B" w:rsidRPr="0068206B" w:rsidRDefault="0068206B" w:rsidP="0068206B">
      <w:r w:rsidRPr="0068206B">
        <w:t>All methods were carried out in accordance with the Declaration of Helsinki, and the study was approved by the Colorado Multiple Institutional Review Board (COMIRB 20–0703 and COMIRB 20–0690). All participants provided electronic informed consent (via REDCap).</w:t>
      </w:r>
    </w:p>
    <w:p w14:paraId="61BEA4F4" w14:textId="77777777" w:rsidR="0068206B" w:rsidRPr="0068206B" w:rsidRDefault="0068206B" w:rsidP="00B832DA">
      <w:pPr>
        <w:pStyle w:val="Heading2"/>
      </w:pPr>
      <w:r w:rsidRPr="0068206B">
        <w:t>Setting and recruitment</w:t>
      </w:r>
    </w:p>
    <w:p w14:paraId="69CB07D8" w14:textId="3BEF0304" w:rsidR="0068206B" w:rsidRPr="0068206B" w:rsidRDefault="0068206B" w:rsidP="0068206B">
      <w:r w:rsidRPr="0068206B">
        <w:t>Potential participants were identified using hospital discharge records at the University of Colorado Hospital (Aurora, CO). Individuals were eligible to participate in this study if they were at least 18 years of age and had been hospitalized due to COVID-19 for more than 24 h between March 2020 and November 2020 and subsequently discharged home (or prior place of residence); participants requiring a higher level of care (e.g., skilled nursing facility) were not included. Participants were required to speak and read either English or Spanish, be able to provide informed consent, and be able to access online questionnaires through a computer, tablet, or smart phone. While individuals could be enrolled in the study up to 18 weeks following hospital discharge, most were contacted and enrolled within the first 6 weeks. Supplemental Fig. </w:t>
      </w:r>
      <w:r w:rsidRPr="00650AE9">
        <w:t>1</w:t>
      </w:r>
      <w:r w:rsidRPr="0068206B">
        <w:t> provides a flow chart of screening and enrollment.</w:t>
      </w:r>
    </w:p>
    <w:p w14:paraId="2CF8D631" w14:textId="77777777" w:rsidR="0068206B" w:rsidRPr="0068206B" w:rsidRDefault="0068206B" w:rsidP="00B832DA">
      <w:pPr>
        <w:pStyle w:val="Heading2"/>
      </w:pPr>
      <w:r w:rsidRPr="0068206B">
        <w:t>Characteristics of participants</w:t>
      </w:r>
    </w:p>
    <w:p w14:paraId="613DDEC7" w14:textId="77777777" w:rsidR="0068206B" w:rsidRPr="0068206B" w:rsidRDefault="0068206B" w:rsidP="0068206B">
      <w:r w:rsidRPr="0068206B">
        <w:t>Characteristics of participants and of their hospitalizations were collected from medical record abstraction. Data gleaned from the medical record included duration of hospitalization, need for and duration of mechanical ventilation, need for and duration of intensive care unit (ICU) stay, comorbidities, discharge location, and need for supplemental oxygen at discharge.</w:t>
      </w:r>
    </w:p>
    <w:p w14:paraId="1D98755A" w14:textId="77777777" w:rsidR="0068206B" w:rsidRPr="0068206B" w:rsidRDefault="0068206B" w:rsidP="00B832DA">
      <w:pPr>
        <w:pStyle w:val="Heading2"/>
      </w:pPr>
      <w:r w:rsidRPr="0068206B">
        <w:t>Virtual (video or phone) visits</w:t>
      </w:r>
    </w:p>
    <w:p w14:paraId="7CDAB73D" w14:textId="77777777" w:rsidR="0068206B" w:rsidRPr="0068206B" w:rsidRDefault="0068206B" w:rsidP="0068206B">
      <w:r w:rsidRPr="0068206B">
        <w:t>Participants completed virtual research visits by video (study preference) or telephone at 2–6 weeks, 12 weeks, and 18 weeks post-hospital discharge. Participants were asked about changes in or lack of symptoms including fever, shortness of breath, cough, dizziness, confusion, fatigue, anosmia (i.e., loss of smell), and ageusia (i.e., loss of taste).</w:t>
      </w:r>
    </w:p>
    <w:p w14:paraId="6DB48C2E" w14:textId="77777777" w:rsidR="0068206B" w:rsidRPr="0068206B" w:rsidRDefault="0068206B" w:rsidP="00B832DA">
      <w:pPr>
        <w:pStyle w:val="Heading2"/>
      </w:pPr>
      <w:r w:rsidRPr="0068206B">
        <w:t>Functional performance assessment (10-time chair rise test)</w:t>
      </w:r>
    </w:p>
    <w:p w14:paraId="4272A5A4" w14:textId="7F93E0AE" w:rsidR="0068206B" w:rsidRPr="0068206B" w:rsidRDefault="0068206B" w:rsidP="0068206B">
      <w:r w:rsidRPr="0068206B">
        <w:t>The 10-time chair rise test is a component of the expanded Short Physical Performance Battery (SPPB), a validated assessment of hospitalization, morbidity, and mortality in middle-aged and older populations [</w:t>
      </w:r>
      <w:r w:rsidRPr="00650AE9">
        <w:t>16</w:t>
      </w:r>
      <w:r w:rsidRPr="0068206B">
        <w:t>,</w:t>
      </w:r>
      <w:r w:rsidRPr="00650AE9">
        <w:t>17</w:t>
      </w:r>
      <w:r w:rsidRPr="0068206B">
        <w:t>,</w:t>
      </w:r>
      <w:r w:rsidRPr="00650AE9">
        <w:t>18</w:t>
      </w:r>
      <w:r w:rsidRPr="0068206B">
        <w:t>], to capture function in higher-performing adults [</w:t>
      </w:r>
      <w:r w:rsidRPr="00650AE9">
        <w:t>19</w:t>
      </w:r>
      <w:r w:rsidRPr="0068206B">
        <w:t>]. The test is performed using a chair with no arms or padding approximately 45 cm in height (i.e., a standard kitchen table chair). For this study, testing was observed via video or, to facilitate technological challenges and allow for telephone collection for those unable or unwilling to use video, participants counted out loud as they stood from the chair while on speaker phone. The same method (video versus telephone) was used for each follow-up assessment. Participants were first asked to rise from the chair once. If the participant was unable to rise from the chair or did not feel comfortable standing, the test was stopped; otherwise, the person was subsequently asked to rise 10 times as quickly as safely possible. Chair rise time is responsive to change and predictive of outcomes [</w:t>
      </w:r>
      <w:r w:rsidRPr="00650AE9">
        <w:t>20</w:t>
      </w:r>
      <w:r w:rsidRPr="0068206B">
        <w:t>, </w:t>
      </w:r>
      <w:r w:rsidRPr="00650AE9">
        <w:t>21</w:t>
      </w:r>
      <w:r w:rsidRPr="0068206B">
        <w:t>].</w:t>
      </w:r>
    </w:p>
    <w:p w14:paraId="434951D4" w14:textId="77777777" w:rsidR="0068206B" w:rsidRPr="0068206B" w:rsidRDefault="0068206B" w:rsidP="002457DC">
      <w:pPr>
        <w:pStyle w:val="Heading2"/>
      </w:pPr>
      <w:r w:rsidRPr="0068206B">
        <w:t>Patient reported outcome measures</w:t>
      </w:r>
    </w:p>
    <w:p w14:paraId="6ED51644" w14:textId="77777777" w:rsidR="0068206B" w:rsidRPr="0068206B" w:rsidRDefault="0068206B" w:rsidP="0068206B">
      <w:r w:rsidRPr="0068206B">
        <w:t>Participants completed patient reported outcome measures via online questionnaires on REDCap and/or telephone calls during the post-hospital assessment period. All surveys were available in English and Spanish and distributed to the participant in his or her preferred language.</w:t>
      </w:r>
    </w:p>
    <w:p w14:paraId="7FC43040" w14:textId="77777777" w:rsidR="0068206B" w:rsidRPr="00967E77" w:rsidRDefault="0068206B" w:rsidP="00967E77">
      <w:pPr>
        <w:pStyle w:val="Heading3"/>
        <w:rPr>
          <w:i/>
          <w:iCs/>
        </w:rPr>
      </w:pPr>
      <w:r w:rsidRPr="00967E77">
        <w:rPr>
          <w:i/>
          <w:iCs/>
        </w:rPr>
        <w:t>Clinical frailty scale</w:t>
      </w:r>
    </w:p>
    <w:p w14:paraId="247C09B4" w14:textId="470C4E06" w:rsidR="0068206B" w:rsidRPr="0068206B" w:rsidRDefault="0068206B" w:rsidP="0068206B">
      <w:r w:rsidRPr="0068206B">
        <w:t>Participants estimated their function pre- and post-hospitalization using the Rockwood Clinical Frailty Scale [</w:t>
      </w:r>
      <w:r w:rsidRPr="00650AE9">
        <w:t>22</w:t>
      </w:r>
      <w:r w:rsidRPr="0068206B">
        <w:t>], an easy to interpret estimate of function than has been recently applied extensively to participants with COVID-19 [</w:t>
      </w:r>
      <w:r w:rsidRPr="00650AE9">
        <w:t>11</w:t>
      </w:r>
      <w:r w:rsidRPr="0068206B">
        <w:t>,</w:t>
      </w:r>
      <w:r w:rsidRPr="00650AE9">
        <w:t>12</w:t>
      </w:r>
      <w:r w:rsidRPr="0068206B">
        <w:t>,</w:t>
      </w:r>
      <w:r w:rsidRPr="00650AE9">
        <w:t>13</w:t>
      </w:r>
      <w:r w:rsidRPr="0068206B">
        <w:t>,</w:t>
      </w:r>
      <w:r w:rsidRPr="00650AE9">
        <w:t>14</w:t>
      </w:r>
      <w:r w:rsidRPr="0068206B">
        <w:t>,</w:t>
      </w:r>
      <w:r w:rsidRPr="00650AE9">
        <w:t>15</w:t>
      </w:r>
      <w:r w:rsidRPr="0068206B">
        <w:t>, </w:t>
      </w:r>
      <w:r w:rsidRPr="00650AE9">
        <w:t>23</w:t>
      </w:r>
      <w:r w:rsidRPr="0068206B">
        <w:t>]. Participants estimated pre-hospitalization frailty level at their first post-discharge follow-up assessment (typically 2–6 weeks post-discharge), and current frailty at each assessment. The scale consists of nine ordinal responses ranging from (1) very fit to (9) terminally ill. We categorized participants with scores of 1 (very fit) and 2 (well) as non-frail and participants with scores of 3 (managing well) or worse as pre-frail/frail. The Clinical Frailty Scale was administered online via REDCap.</w:t>
      </w:r>
    </w:p>
    <w:p w14:paraId="458CFB02" w14:textId="77777777" w:rsidR="0068206B" w:rsidRPr="00967E77" w:rsidRDefault="0068206B" w:rsidP="00967E77">
      <w:pPr>
        <w:pStyle w:val="Heading3"/>
        <w:rPr>
          <w:i/>
          <w:iCs/>
        </w:rPr>
      </w:pPr>
      <w:r w:rsidRPr="00967E77">
        <w:rPr>
          <w:i/>
          <w:iCs/>
        </w:rPr>
        <w:t>MRC dyspnea scale</w:t>
      </w:r>
    </w:p>
    <w:p w14:paraId="4C86538B" w14:textId="205B731A" w:rsidR="0068206B" w:rsidRPr="0068206B" w:rsidRDefault="0068206B" w:rsidP="0068206B">
      <w:r w:rsidRPr="0068206B">
        <w:t>The MRC Dyspnea Scale assesses perceived difficulty breathing by answering yes or no to five statements from, ‘I only get breathless with strenuous exercise’ to ‘I am too breathless to leave the house’ [</w:t>
      </w:r>
      <w:r w:rsidRPr="00650AE9">
        <w:t>24</w:t>
      </w:r>
      <w:r w:rsidRPr="0068206B">
        <w:t>]. The MRC Dyspnea Scale was administered during the phone/video call.</w:t>
      </w:r>
    </w:p>
    <w:p w14:paraId="583FD0D7" w14:textId="77777777" w:rsidR="0068206B" w:rsidRPr="00967E77" w:rsidRDefault="0068206B" w:rsidP="00967E77">
      <w:pPr>
        <w:pStyle w:val="Heading3"/>
        <w:rPr>
          <w:i/>
          <w:iCs/>
        </w:rPr>
      </w:pPr>
      <w:r w:rsidRPr="00967E77">
        <w:rPr>
          <w:i/>
          <w:iCs/>
        </w:rPr>
        <w:t>The World Health Organization disability assessment schedule (WHODAS 2.0)</w:t>
      </w:r>
    </w:p>
    <w:p w14:paraId="233B9DAD" w14:textId="68B9D7C6" w:rsidR="0068206B" w:rsidRPr="0068206B" w:rsidRDefault="0068206B" w:rsidP="0068206B">
      <w:r w:rsidRPr="0068206B">
        <w:t>The World Health Organization Disability Assessment Schedule 2.0 short form (WHODAS 2.0) measures disability due to health conditions including diseases, illness, injuries, mental or emotional problems, and problems with alcohol or drugs. The 12-item questionnaire covers six different adult life tasks including understanding and communication, self-care, mobility, interpersonal relationships, work and household activities, and community and civic roles. The sum score for global disability ranges from 0 (no disability) to 48 (complete disability) with higher scores representing greater (worse) disability. The WHODAS 2.0 has published normative data [</w:t>
      </w:r>
      <w:r w:rsidRPr="00650AE9">
        <w:t>25</w:t>
      </w:r>
      <w:r w:rsidRPr="0068206B">
        <w:t>] and was administered via REDCap.</w:t>
      </w:r>
    </w:p>
    <w:p w14:paraId="411CB9F5" w14:textId="77777777" w:rsidR="0068206B" w:rsidRPr="00967E77" w:rsidRDefault="0068206B" w:rsidP="00967E77">
      <w:pPr>
        <w:pStyle w:val="Heading3"/>
        <w:rPr>
          <w:i/>
          <w:iCs/>
        </w:rPr>
      </w:pPr>
      <w:r w:rsidRPr="00967E77">
        <w:rPr>
          <w:i/>
          <w:iCs/>
        </w:rPr>
        <w:t>Impact of event scale-revised (IES-6)</w:t>
      </w:r>
    </w:p>
    <w:p w14:paraId="0616CA1E" w14:textId="54B9A927" w:rsidR="0068206B" w:rsidRPr="0068206B" w:rsidRDefault="0068206B" w:rsidP="0068206B">
      <w:r w:rsidRPr="0068206B">
        <w:t>The Impact of Event Scale-Revised (IES-6) is an abbreviated six-item self-report measure that assesses subjective distress caused by traumatic events [</w:t>
      </w:r>
      <w:r w:rsidRPr="00650AE9">
        <w:t>26</w:t>
      </w:r>
      <w:r w:rsidRPr="0068206B">
        <w:t>] and has been validated in survivors of acute respiratory distress syndrome [</w:t>
      </w:r>
      <w:r w:rsidRPr="00650AE9">
        <w:t>27</w:t>
      </w:r>
      <w:r w:rsidRPr="0068206B">
        <w:t>]. Respondents indicate how much they were distressed or bothered during the past seven days, as a consequence of a recent event (i.e., hospitalization due to COVID-19). The IES-6 was administered via REDCap.</w:t>
      </w:r>
    </w:p>
    <w:p w14:paraId="335499C5" w14:textId="77777777" w:rsidR="0068206B" w:rsidRPr="0068206B" w:rsidRDefault="0068206B" w:rsidP="00967E77">
      <w:pPr>
        <w:pStyle w:val="Heading2"/>
      </w:pPr>
      <w:r w:rsidRPr="0068206B">
        <w:t>Statistical analysis</w:t>
      </w:r>
    </w:p>
    <w:p w14:paraId="4F9BEF3C" w14:textId="5EC162F3" w:rsidR="0068206B" w:rsidRPr="0068206B" w:rsidRDefault="0068206B" w:rsidP="0068206B">
      <w:r w:rsidRPr="0068206B">
        <w:t>Race and ethnicity information were combined to create four participant sub-groups: 1) White, non-Hispanic (reference group); 2) Black, non-Hispanic; 3) Hispanic (regardless of race); 4) and Other/Unknown. Due to small sample size (</w:t>
      </w:r>
      <w:r w:rsidRPr="0068206B">
        <w:rPr>
          <w:i/>
          <w:iCs/>
        </w:rPr>
        <w:t>n</w:t>
      </w:r>
      <w:r w:rsidRPr="0068206B">
        <w:t> = 6), the “Other/Unknown” group was excluded from modeling. Age was categorized into: 1) age &lt; 45 years (reference group), 2) age 45–59 years, and 3) age ≥ 60 years. Pre-hospitalization frailty was dichotomized as 1) non-frail and 2) pre-frail/frail according to the previously described Clinical Frailty Score categories. Linear regression (10-time chair rise test, WHODAS 2.0) or logistic regression (categorical outcomes) models were used to assess relationships between outcomes and primary predictors at baseline; the same were used to explore differences in improvement from week 2–6 (continuous outcomes) or persistence/worsening of outcome measure (categorical outcomes). Results were interpreted as significant in the context of the </w:t>
      </w:r>
      <w:r w:rsidRPr="0068206B">
        <w:rPr>
          <w:i/>
          <w:iCs/>
        </w:rPr>
        <w:t>p</w:t>
      </w:r>
      <w:r w:rsidRPr="0068206B">
        <w:t>-value (alpha = 0.05), estimate (odds ratio [OR], or units specified), and 95% confidence interval (CI). No adjustments were made for multiple comparisons [</w:t>
      </w:r>
      <w:r w:rsidRPr="00650AE9">
        <w:t>28</w:t>
      </w:r>
      <w:r w:rsidRPr="0068206B">
        <w:t>]. All graphic creation and data analysis was performed using R statistical software (version 4.1.1).</w:t>
      </w:r>
    </w:p>
    <w:p w14:paraId="2C35B461" w14:textId="77777777" w:rsidR="0068206B" w:rsidRPr="0068206B" w:rsidRDefault="0068206B" w:rsidP="002457DC">
      <w:pPr>
        <w:pStyle w:val="Heading1"/>
      </w:pPr>
      <w:r w:rsidRPr="0068206B">
        <w:t>Results</w:t>
      </w:r>
    </w:p>
    <w:p w14:paraId="2355B014" w14:textId="77777777" w:rsidR="0068206B" w:rsidRPr="0068206B" w:rsidRDefault="0068206B" w:rsidP="002457DC">
      <w:pPr>
        <w:pStyle w:val="Heading2"/>
      </w:pPr>
      <w:r w:rsidRPr="0068206B">
        <w:t>Participants and participant characteristics</w:t>
      </w:r>
    </w:p>
    <w:p w14:paraId="2950A3A4" w14:textId="2C9AC139" w:rsidR="0068206B" w:rsidRPr="0068206B" w:rsidRDefault="0068206B" w:rsidP="0068206B">
      <w:r w:rsidRPr="0068206B">
        <w:t>One hundred nine individuals, including 43 (39%) age 60 and older, participated in the study (Table </w:t>
      </w:r>
      <w:r w:rsidRPr="00650AE9">
        <w:t>1</w:t>
      </w:r>
      <w:r w:rsidRPr="0068206B">
        <w:t>). Categorical age distribution differed by race/ethnicity group (</w:t>
      </w:r>
      <w:r w:rsidRPr="0068206B">
        <w:rPr>
          <w:i/>
          <w:iCs/>
        </w:rPr>
        <w:t>p</w:t>
      </w:r>
      <w:r w:rsidRPr="0068206B">
        <w:t> = 0.001), with Hispanic participants tending to be &lt; 60 years of age. Detailed characteristics classified by participant age (Additional file </w:t>
      </w:r>
      <w:r w:rsidRPr="00650AE9">
        <w:t>1</w:t>
      </w:r>
      <w:r w:rsidRPr="0068206B">
        <w:t>: Appendix 1), sex (Additional file </w:t>
      </w:r>
      <w:r w:rsidRPr="00650AE9">
        <w:t>1</w:t>
      </w:r>
      <w:r w:rsidRPr="0068206B">
        <w:t>: Appendix 2), and race/ethnicity groups (Additional file </w:t>
      </w:r>
      <w:r w:rsidRPr="00650AE9">
        <w:t>1</w:t>
      </w:r>
      <w:r w:rsidRPr="0068206B">
        <w:t>: Appendix 3) may be found in the appendices. Longitudinal changes in post-hospital COVID-19 symptomatology at each assessed time point are shown in Fig. </w:t>
      </w:r>
      <w:r w:rsidRPr="00650AE9">
        <w:t>1</w:t>
      </w:r>
      <w:r w:rsidRPr="0068206B">
        <w:t>.</w:t>
      </w:r>
    </w:p>
    <w:p w14:paraId="15A2A325" w14:textId="77777777" w:rsidR="0068206B" w:rsidRPr="00E06404" w:rsidRDefault="0068206B" w:rsidP="00BE0BF6">
      <w:pPr>
        <w:spacing w:after="0"/>
        <w:rPr>
          <w:color w:val="000000" w:themeColor="text1"/>
        </w:rPr>
      </w:pPr>
      <w:r w:rsidRPr="00E06404">
        <w:rPr>
          <w:b/>
          <w:bCs/>
          <w:color w:val="000000" w:themeColor="text1"/>
        </w:rPr>
        <w:t>Table 1 Demographic, social and medical characteristics</w:t>
      </w:r>
    </w:p>
    <w:tbl>
      <w:tblPr>
        <w:tblStyle w:val="TableGrid"/>
        <w:tblW w:w="0" w:type="auto"/>
        <w:tblLook w:val="04A0" w:firstRow="1" w:lastRow="0" w:firstColumn="1" w:lastColumn="0" w:noHBand="0" w:noVBand="1"/>
      </w:tblPr>
      <w:tblGrid>
        <w:gridCol w:w="4115"/>
        <w:gridCol w:w="1341"/>
      </w:tblGrid>
      <w:tr w:rsidR="008171C9" w:rsidRPr="008171C9" w14:paraId="3CF0EE50" w14:textId="77777777" w:rsidTr="008171C9">
        <w:tc>
          <w:tcPr>
            <w:tcW w:w="0" w:type="auto"/>
            <w:hideMark/>
          </w:tcPr>
          <w:p w14:paraId="06562C2C" w14:textId="77777777" w:rsidR="008171C9" w:rsidRPr="008171C9" w:rsidRDefault="008171C9" w:rsidP="008171C9">
            <w:pPr>
              <w:pStyle w:val="NoSpacing"/>
              <w:rPr>
                <w:b/>
                <w:bCs/>
              </w:rPr>
            </w:pPr>
            <w:r w:rsidRPr="008171C9">
              <w:rPr>
                <w:b/>
                <w:bCs/>
              </w:rPr>
              <w:t>Demographics</w:t>
            </w:r>
          </w:p>
        </w:tc>
        <w:tc>
          <w:tcPr>
            <w:tcW w:w="0" w:type="auto"/>
            <w:hideMark/>
          </w:tcPr>
          <w:p w14:paraId="32E95865" w14:textId="77777777" w:rsidR="008171C9" w:rsidRPr="008171C9" w:rsidRDefault="008171C9" w:rsidP="008171C9">
            <w:pPr>
              <w:pStyle w:val="NoSpacing"/>
              <w:rPr>
                <w:b/>
                <w:bCs/>
              </w:rPr>
            </w:pPr>
            <w:r w:rsidRPr="008171C9">
              <w:rPr>
                <w:b/>
                <w:bCs/>
                <w:i/>
                <w:iCs/>
              </w:rPr>
              <w:t>N</w:t>
            </w:r>
            <w:r w:rsidRPr="008171C9">
              <w:rPr>
                <w:b/>
                <w:bCs/>
              </w:rPr>
              <w:t> = 109</w:t>
            </w:r>
          </w:p>
        </w:tc>
      </w:tr>
      <w:tr w:rsidR="008171C9" w:rsidRPr="008171C9" w14:paraId="2046416E" w14:textId="77777777" w:rsidTr="008171C9">
        <w:tc>
          <w:tcPr>
            <w:tcW w:w="0" w:type="auto"/>
            <w:hideMark/>
          </w:tcPr>
          <w:p w14:paraId="01F341D1" w14:textId="77777777" w:rsidR="008171C9" w:rsidRPr="008171C9" w:rsidRDefault="008171C9" w:rsidP="008171C9">
            <w:pPr>
              <w:pStyle w:val="NoSpacing"/>
            </w:pPr>
            <w:r w:rsidRPr="008171C9">
              <w:t>Mean age at admission (SD)</w:t>
            </w:r>
          </w:p>
        </w:tc>
        <w:tc>
          <w:tcPr>
            <w:tcW w:w="0" w:type="auto"/>
            <w:hideMark/>
          </w:tcPr>
          <w:p w14:paraId="6C309EBA" w14:textId="77777777" w:rsidR="008171C9" w:rsidRPr="008171C9" w:rsidRDefault="008171C9" w:rsidP="008171C9">
            <w:pPr>
              <w:pStyle w:val="NoSpacing"/>
            </w:pPr>
            <w:r w:rsidRPr="008171C9">
              <w:t>53.0 (13.1)</w:t>
            </w:r>
          </w:p>
        </w:tc>
      </w:tr>
      <w:tr w:rsidR="008171C9" w:rsidRPr="008171C9" w14:paraId="27681924" w14:textId="77777777" w:rsidTr="008171C9">
        <w:tc>
          <w:tcPr>
            <w:tcW w:w="0" w:type="auto"/>
            <w:hideMark/>
          </w:tcPr>
          <w:p w14:paraId="4248ED1B" w14:textId="77777777" w:rsidR="008171C9" w:rsidRPr="008171C9" w:rsidRDefault="008171C9" w:rsidP="008171C9">
            <w:pPr>
              <w:pStyle w:val="NoSpacing"/>
            </w:pPr>
            <w:r w:rsidRPr="008171C9">
              <w:t>Male (%)</w:t>
            </w:r>
          </w:p>
        </w:tc>
        <w:tc>
          <w:tcPr>
            <w:tcW w:w="0" w:type="auto"/>
            <w:hideMark/>
          </w:tcPr>
          <w:p w14:paraId="02BCFDFA" w14:textId="77777777" w:rsidR="008171C9" w:rsidRPr="008171C9" w:rsidRDefault="008171C9" w:rsidP="008171C9">
            <w:pPr>
              <w:pStyle w:val="NoSpacing"/>
            </w:pPr>
            <w:r w:rsidRPr="008171C9">
              <w:t>51 (46.8)</w:t>
            </w:r>
          </w:p>
        </w:tc>
      </w:tr>
      <w:tr w:rsidR="00BE0BF6" w:rsidRPr="008171C9" w14:paraId="17F32A06" w14:textId="77777777" w:rsidTr="002A011B">
        <w:tc>
          <w:tcPr>
            <w:tcW w:w="0" w:type="auto"/>
            <w:hideMark/>
          </w:tcPr>
          <w:p w14:paraId="177FB29D" w14:textId="77777777" w:rsidR="00BE0BF6" w:rsidRPr="008171C9" w:rsidRDefault="00BE0BF6" w:rsidP="008171C9">
            <w:pPr>
              <w:pStyle w:val="NoSpacing"/>
            </w:pPr>
            <w:r w:rsidRPr="008171C9">
              <w:t>Race/Ethnicity (%)</w:t>
            </w:r>
          </w:p>
        </w:tc>
        <w:tc>
          <w:tcPr>
            <w:tcW w:w="0" w:type="auto"/>
          </w:tcPr>
          <w:p w14:paraId="5F995232" w14:textId="0F7BB29C" w:rsidR="00BE0BF6" w:rsidRPr="008171C9" w:rsidRDefault="00BE0BF6" w:rsidP="008171C9">
            <w:pPr>
              <w:pStyle w:val="NoSpacing"/>
            </w:pPr>
          </w:p>
        </w:tc>
      </w:tr>
      <w:tr w:rsidR="008171C9" w:rsidRPr="008171C9" w14:paraId="34363351" w14:textId="77777777" w:rsidTr="008171C9">
        <w:tc>
          <w:tcPr>
            <w:tcW w:w="0" w:type="auto"/>
            <w:hideMark/>
          </w:tcPr>
          <w:p w14:paraId="669FE432" w14:textId="77777777" w:rsidR="008171C9" w:rsidRPr="008171C9" w:rsidRDefault="008171C9" w:rsidP="008171C9">
            <w:pPr>
              <w:pStyle w:val="NoSpacing"/>
            </w:pPr>
            <w:r w:rsidRPr="008171C9">
              <w:t> </w:t>
            </w:r>
            <w:r w:rsidRPr="008171C9">
              <w:t>Black/African-American, non-Hispanic</w:t>
            </w:r>
          </w:p>
        </w:tc>
        <w:tc>
          <w:tcPr>
            <w:tcW w:w="0" w:type="auto"/>
            <w:hideMark/>
          </w:tcPr>
          <w:p w14:paraId="1F023EF6" w14:textId="77777777" w:rsidR="008171C9" w:rsidRPr="008171C9" w:rsidRDefault="008171C9" w:rsidP="008171C9">
            <w:pPr>
              <w:pStyle w:val="NoSpacing"/>
            </w:pPr>
            <w:r w:rsidRPr="008171C9">
              <w:t>24 (22.0)</w:t>
            </w:r>
          </w:p>
        </w:tc>
      </w:tr>
      <w:tr w:rsidR="008171C9" w:rsidRPr="008171C9" w14:paraId="76637ADE" w14:textId="77777777" w:rsidTr="008171C9">
        <w:tc>
          <w:tcPr>
            <w:tcW w:w="0" w:type="auto"/>
            <w:hideMark/>
          </w:tcPr>
          <w:p w14:paraId="1E5B7D00" w14:textId="77777777" w:rsidR="008171C9" w:rsidRPr="008171C9" w:rsidRDefault="008171C9" w:rsidP="008171C9">
            <w:pPr>
              <w:pStyle w:val="NoSpacing"/>
            </w:pPr>
            <w:r w:rsidRPr="008171C9">
              <w:t> </w:t>
            </w:r>
            <w:r w:rsidRPr="008171C9">
              <w:t>Hispanic, regardless of race</w:t>
            </w:r>
          </w:p>
        </w:tc>
        <w:tc>
          <w:tcPr>
            <w:tcW w:w="0" w:type="auto"/>
            <w:hideMark/>
          </w:tcPr>
          <w:p w14:paraId="36D722EC" w14:textId="77777777" w:rsidR="008171C9" w:rsidRPr="008171C9" w:rsidRDefault="008171C9" w:rsidP="008171C9">
            <w:pPr>
              <w:pStyle w:val="NoSpacing"/>
            </w:pPr>
            <w:r w:rsidRPr="008171C9">
              <w:t>34 (31.2)</w:t>
            </w:r>
          </w:p>
        </w:tc>
      </w:tr>
      <w:tr w:rsidR="008171C9" w:rsidRPr="008171C9" w14:paraId="68B2DDE7" w14:textId="77777777" w:rsidTr="008171C9">
        <w:tc>
          <w:tcPr>
            <w:tcW w:w="0" w:type="auto"/>
            <w:hideMark/>
          </w:tcPr>
          <w:p w14:paraId="616D8D42" w14:textId="77777777" w:rsidR="008171C9" w:rsidRPr="008171C9" w:rsidRDefault="008171C9" w:rsidP="008171C9">
            <w:pPr>
              <w:pStyle w:val="NoSpacing"/>
            </w:pPr>
            <w:r w:rsidRPr="008171C9">
              <w:t> </w:t>
            </w:r>
            <w:r w:rsidRPr="008171C9">
              <w:t>Other race, non-Hispanic</w:t>
            </w:r>
          </w:p>
        </w:tc>
        <w:tc>
          <w:tcPr>
            <w:tcW w:w="0" w:type="auto"/>
            <w:hideMark/>
          </w:tcPr>
          <w:p w14:paraId="42D10B7F" w14:textId="77777777" w:rsidR="008171C9" w:rsidRPr="008171C9" w:rsidRDefault="008171C9" w:rsidP="008171C9">
            <w:pPr>
              <w:pStyle w:val="NoSpacing"/>
            </w:pPr>
            <w:r w:rsidRPr="008171C9">
              <w:t>6 (5.5)</w:t>
            </w:r>
          </w:p>
        </w:tc>
      </w:tr>
      <w:tr w:rsidR="008171C9" w:rsidRPr="008171C9" w14:paraId="4044182B" w14:textId="77777777" w:rsidTr="008171C9">
        <w:tc>
          <w:tcPr>
            <w:tcW w:w="0" w:type="auto"/>
            <w:hideMark/>
          </w:tcPr>
          <w:p w14:paraId="30F7CDCC" w14:textId="77777777" w:rsidR="008171C9" w:rsidRPr="008171C9" w:rsidRDefault="008171C9" w:rsidP="008171C9">
            <w:pPr>
              <w:pStyle w:val="NoSpacing"/>
            </w:pPr>
            <w:r w:rsidRPr="008171C9">
              <w:t> </w:t>
            </w:r>
            <w:r w:rsidRPr="008171C9">
              <w:t>White, non-Hispanic</w:t>
            </w:r>
          </w:p>
        </w:tc>
        <w:tc>
          <w:tcPr>
            <w:tcW w:w="0" w:type="auto"/>
            <w:hideMark/>
          </w:tcPr>
          <w:p w14:paraId="2D9ECDA6" w14:textId="77777777" w:rsidR="008171C9" w:rsidRPr="008171C9" w:rsidRDefault="008171C9" w:rsidP="008171C9">
            <w:pPr>
              <w:pStyle w:val="NoSpacing"/>
            </w:pPr>
            <w:r w:rsidRPr="008171C9">
              <w:t>45 (41.3)</w:t>
            </w:r>
          </w:p>
        </w:tc>
      </w:tr>
      <w:tr w:rsidR="00BE0BF6" w:rsidRPr="008171C9" w14:paraId="73B91D48" w14:textId="77777777" w:rsidTr="00017B3A">
        <w:tc>
          <w:tcPr>
            <w:tcW w:w="0" w:type="auto"/>
            <w:hideMark/>
          </w:tcPr>
          <w:p w14:paraId="49BAF18B" w14:textId="77777777" w:rsidR="00BE0BF6" w:rsidRPr="008171C9" w:rsidRDefault="00BE0BF6" w:rsidP="008171C9">
            <w:pPr>
              <w:pStyle w:val="NoSpacing"/>
            </w:pPr>
            <w:r w:rsidRPr="008171C9">
              <w:t>Education (%)</w:t>
            </w:r>
          </w:p>
        </w:tc>
        <w:tc>
          <w:tcPr>
            <w:tcW w:w="0" w:type="auto"/>
          </w:tcPr>
          <w:p w14:paraId="0F6012AD" w14:textId="3FF589F9" w:rsidR="00BE0BF6" w:rsidRPr="008171C9" w:rsidRDefault="00BE0BF6" w:rsidP="008171C9">
            <w:pPr>
              <w:pStyle w:val="NoSpacing"/>
            </w:pPr>
          </w:p>
        </w:tc>
      </w:tr>
      <w:tr w:rsidR="008171C9" w:rsidRPr="008171C9" w14:paraId="4A6663F1" w14:textId="77777777" w:rsidTr="008171C9">
        <w:tc>
          <w:tcPr>
            <w:tcW w:w="0" w:type="auto"/>
            <w:hideMark/>
          </w:tcPr>
          <w:p w14:paraId="1FA55A54" w14:textId="77777777" w:rsidR="008171C9" w:rsidRPr="008171C9" w:rsidRDefault="008171C9" w:rsidP="008171C9">
            <w:pPr>
              <w:pStyle w:val="NoSpacing"/>
            </w:pPr>
            <w:r w:rsidRPr="008171C9">
              <w:t> </w:t>
            </w:r>
            <w:r w:rsidRPr="008171C9">
              <w:t>Some high school</w:t>
            </w:r>
          </w:p>
        </w:tc>
        <w:tc>
          <w:tcPr>
            <w:tcW w:w="0" w:type="auto"/>
            <w:hideMark/>
          </w:tcPr>
          <w:p w14:paraId="25871611" w14:textId="77777777" w:rsidR="008171C9" w:rsidRPr="008171C9" w:rsidRDefault="008171C9" w:rsidP="008171C9">
            <w:pPr>
              <w:pStyle w:val="NoSpacing"/>
            </w:pPr>
            <w:r w:rsidRPr="008171C9">
              <w:t>5 (4.6)</w:t>
            </w:r>
          </w:p>
        </w:tc>
      </w:tr>
      <w:tr w:rsidR="008171C9" w:rsidRPr="008171C9" w14:paraId="644FFF79" w14:textId="77777777" w:rsidTr="008171C9">
        <w:tc>
          <w:tcPr>
            <w:tcW w:w="0" w:type="auto"/>
            <w:hideMark/>
          </w:tcPr>
          <w:p w14:paraId="5514DF41" w14:textId="77777777" w:rsidR="008171C9" w:rsidRPr="008171C9" w:rsidRDefault="008171C9" w:rsidP="008171C9">
            <w:pPr>
              <w:pStyle w:val="NoSpacing"/>
            </w:pPr>
            <w:r w:rsidRPr="008171C9">
              <w:t> </w:t>
            </w:r>
            <w:r w:rsidRPr="008171C9">
              <w:t>High school graduate or GED</w:t>
            </w:r>
          </w:p>
        </w:tc>
        <w:tc>
          <w:tcPr>
            <w:tcW w:w="0" w:type="auto"/>
            <w:hideMark/>
          </w:tcPr>
          <w:p w14:paraId="1CC59E20" w14:textId="77777777" w:rsidR="008171C9" w:rsidRPr="008171C9" w:rsidRDefault="008171C9" w:rsidP="008171C9">
            <w:pPr>
              <w:pStyle w:val="NoSpacing"/>
            </w:pPr>
            <w:r w:rsidRPr="008171C9">
              <w:t>12 (11.0)</w:t>
            </w:r>
          </w:p>
        </w:tc>
      </w:tr>
      <w:tr w:rsidR="008171C9" w:rsidRPr="008171C9" w14:paraId="4C154C8E" w14:textId="77777777" w:rsidTr="008171C9">
        <w:tc>
          <w:tcPr>
            <w:tcW w:w="0" w:type="auto"/>
            <w:hideMark/>
          </w:tcPr>
          <w:p w14:paraId="6C08BA98" w14:textId="77777777" w:rsidR="008171C9" w:rsidRPr="008171C9" w:rsidRDefault="008171C9" w:rsidP="008171C9">
            <w:pPr>
              <w:pStyle w:val="NoSpacing"/>
            </w:pPr>
            <w:r w:rsidRPr="008171C9">
              <w:t> </w:t>
            </w:r>
            <w:r w:rsidRPr="008171C9">
              <w:t>Some college or associate’s degree</w:t>
            </w:r>
          </w:p>
        </w:tc>
        <w:tc>
          <w:tcPr>
            <w:tcW w:w="0" w:type="auto"/>
            <w:hideMark/>
          </w:tcPr>
          <w:p w14:paraId="25EB39CE" w14:textId="77777777" w:rsidR="008171C9" w:rsidRPr="008171C9" w:rsidRDefault="008171C9" w:rsidP="008171C9">
            <w:pPr>
              <w:pStyle w:val="NoSpacing"/>
            </w:pPr>
            <w:r w:rsidRPr="008171C9">
              <w:t>23 (21.1)</w:t>
            </w:r>
          </w:p>
        </w:tc>
      </w:tr>
      <w:tr w:rsidR="008171C9" w:rsidRPr="008171C9" w14:paraId="601C0E5B" w14:textId="77777777" w:rsidTr="008171C9">
        <w:tc>
          <w:tcPr>
            <w:tcW w:w="0" w:type="auto"/>
            <w:hideMark/>
          </w:tcPr>
          <w:p w14:paraId="6826D0AE" w14:textId="77777777" w:rsidR="008171C9" w:rsidRPr="008171C9" w:rsidRDefault="008171C9" w:rsidP="008171C9">
            <w:pPr>
              <w:pStyle w:val="NoSpacing"/>
            </w:pPr>
            <w:r w:rsidRPr="008171C9">
              <w:t> </w:t>
            </w:r>
            <w:r w:rsidRPr="008171C9">
              <w:t>Completed college or bachelor’s degree</w:t>
            </w:r>
          </w:p>
        </w:tc>
        <w:tc>
          <w:tcPr>
            <w:tcW w:w="0" w:type="auto"/>
            <w:hideMark/>
          </w:tcPr>
          <w:p w14:paraId="34208F09" w14:textId="77777777" w:rsidR="008171C9" w:rsidRPr="008171C9" w:rsidRDefault="008171C9" w:rsidP="008171C9">
            <w:pPr>
              <w:pStyle w:val="NoSpacing"/>
            </w:pPr>
            <w:r w:rsidRPr="008171C9">
              <w:t>14 (12.8)</w:t>
            </w:r>
          </w:p>
        </w:tc>
      </w:tr>
      <w:tr w:rsidR="008171C9" w:rsidRPr="008171C9" w14:paraId="581489DE" w14:textId="77777777" w:rsidTr="008171C9">
        <w:tc>
          <w:tcPr>
            <w:tcW w:w="0" w:type="auto"/>
            <w:hideMark/>
          </w:tcPr>
          <w:p w14:paraId="2F5F9AD7" w14:textId="77777777" w:rsidR="008171C9" w:rsidRPr="008171C9" w:rsidRDefault="008171C9" w:rsidP="008171C9">
            <w:pPr>
              <w:pStyle w:val="NoSpacing"/>
            </w:pPr>
            <w:r w:rsidRPr="008171C9">
              <w:t> </w:t>
            </w:r>
            <w:r w:rsidRPr="008171C9">
              <w:t>Post-college (regardless of degree)</w:t>
            </w:r>
          </w:p>
        </w:tc>
        <w:tc>
          <w:tcPr>
            <w:tcW w:w="0" w:type="auto"/>
            <w:hideMark/>
          </w:tcPr>
          <w:p w14:paraId="01C40586" w14:textId="77777777" w:rsidR="008171C9" w:rsidRPr="008171C9" w:rsidRDefault="008171C9" w:rsidP="008171C9">
            <w:pPr>
              <w:pStyle w:val="NoSpacing"/>
            </w:pPr>
            <w:r w:rsidRPr="008171C9">
              <w:t>13 (11.9)</w:t>
            </w:r>
          </w:p>
        </w:tc>
      </w:tr>
      <w:tr w:rsidR="008171C9" w:rsidRPr="008171C9" w14:paraId="24D60851" w14:textId="77777777" w:rsidTr="008171C9">
        <w:tc>
          <w:tcPr>
            <w:tcW w:w="0" w:type="auto"/>
            <w:hideMark/>
          </w:tcPr>
          <w:p w14:paraId="26F9FF97" w14:textId="77777777" w:rsidR="008171C9" w:rsidRPr="008171C9" w:rsidRDefault="008171C9" w:rsidP="008171C9">
            <w:pPr>
              <w:pStyle w:val="NoSpacing"/>
            </w:pPr>
            <w:r w:rsidRPr="008171C9">
              <w:t> </w:t>
            </w:r>
            <w:r w:rsidRPr="008171C9">
              <w:t>Missing</w:t>
            </w:r>
          </w:p>
        </w:tc>
        <w:tc>
          <w:tcPr>
            <w:tcW w:w="0" w:type="auto"/>
            <w:hideMark/>
          </w:tcPr>
          <w:p w14:paraId="5FCF0A96" w14:textId="77777777" w:rsidR="008171C9" w:rsidRPr="008171C9" w:rsidRDefault="008171C9" w:rsidP="008171C9">
            <w:pPr>
              <w:pStyle w:val="NoSpacing"/>
            </w:pPr>
            <w:r w:rsidRPr="008171C9">
              <w:t>42 (38.5)</w:t>
            </w:r>
          </w:p>
        </w:tc>
      </w:tr>
      <w:tr w:rsidR="00BE0BF6" w:rsidRPr="008171C9" w14:paraId="0D1DFC60" w14:textId="77777777" w:rsidTr="00CA106C">
        <w:tc>
          <w:tcPr>
            <w:tcW w:w="0" w:type="auto"/>
            <w:hideMark/>
          </w:tcPr>
          <w:p w14:paraId="7BA1BC29" w14:textId="77777777" w:rsidR="00BE0BF6" w:rsidRPr="008171C9" w:rsidRDefault="00BE0BF6" w:rsidP="008171C9">
            <w:pPr>
              <w:pStyle w:val="NoSpacing"/>
            </w:pPr>
            <w:r w:rsidRPr="008171C9">
              <w:t>Alcohol consumption (%)</w:t>
            </w:r>
          </w:p>
        </w:tc>
        <w:tc>
          <w:tcPr>
            <w:tcW w:w="0" w:type="auto"/>
          </w:tcPr>
          <w:p w14:paraId="4209CD83" w14:textId="361C6D81" w:rsidR="00BE0BF6" w:rsidRPr="008171C9" w:rsidRDefault="00BE0BF6" w:rsidP="008171C9">
            <w:pPr>
              <w:pStyle w:val="NoSpacing"/>
            </w:pPr>
          </w:p>
        </w:tc>
      </w:tr>
      <w:tr w:rsidR="008171C9" w:rsidRPr="008171C9" w14:paraId="7AFC273D" w14:textId="77777777" w:rsidTr="008171C9">
        <w:tc>
          <w:tcPr>
            <w:tcW w:w="0" w:type="auto"/>
            <w:hideMark/>
          </w:tcPr>
          <w:p w14:paraId="5267A3EC" w14:textId="77777777" w:rsidR="008171C9" w:rsidRPr="008171C9" w:rsidRDefault="008171C9" w:rsidP="008171C9">
            <w:pPr>
              <w:pStyle w:val="NoSpacing"/>
            </w:pPr>
            <w:r w:rsidRPr="008171C9">
              <w:t> </w:t>
            </w:r>
            <w:r w:rsidRPr="008171C9">
              <w:t>Yes</w:t>
            </w:r>
          </w:p>
        </w:tc>
        <w:tc>
          <w:tcPr>
            <w:tcW w:w="0" w:type="auto"/>
            <w:hideMark/>
          </w:tcPr>
          <w:p w14:paraId="6D0885A6" w14:textId="77777777" w:rsidR="008171C9" w:rsidRPr="008171C9" w:rsidRDefault="008171C9" w:rsidP="008171C9">
            <w:pPr>
              <w:pStyle w:val="NoSpacing"/>
            </w:pPr>
            <w:r w:rsidRPr="008171C9">
              <w:t>38 (34.9)</w:t>
            </w:r>
          </w:p>
        </w:tc>
      </w:tr>
      <w:tr w:rsidR="008171C9" w:rsidRPr="008171C9" w14:paraId="42A68B03" w14:textId="77777777" w:rsidTr="008171C9">
        <w:tc>
          <w:tcPr>
            <w:tcW w:w="0" w:type="auto"/>
            <w:hideMark/>
          </w:tcPr>
          <w:p w14:paraId="367A4BC4" w14:textId="77777777" w:rsidR="008171C9" w:rsidRPr="008171C9" w:rsidRDefault="008171C9" w:rsidP="008171C9">
            <w:pPr>
              <w:pStyle w:val="NoSpacing"/>
            </w:pPr>
            <w:r w:rsidRPr="008171C9">
              <w:t> </w:t>
            </w:r>
            <w:r w:rsidRPr="008171C9">
              <w:t>No</w:t>
            </w:r>
          </w:p>
        </w:tc>
        <w:tc>
          <w:tcPr>
            <w:tcW w:w="0" w:type="auto"/>
            <w:hideMark/>
          </w:tcPr>
          <w:p w14:paraId="0CB97ABE" w14:textId="77777777" w:rsidR="008171C9" w:rsidRPr="008171C9" w:rsidRDefault="008171C9" w:rsidP="008171C9">
            <w:pPr>
              <w:pStyle w:val="NoSpacing"/>
            </w:pPr>
            <w:r w:rsidRPr="008171C9">
              <w:t>57 (52.3)</w:t>
            </w:r>
          </w:p>
        </w:tc>
      </w:tr>
      <w:tr w:rsidR="008171C9" w:rsidRPr="008171C9" w14:paraId="208A05F7" w14:textId="77777777" w:rsidTr="008171C9">
        <w:tc>
          <w:tcPr>
            <w:tcW w:w="0" w:type="auto"/>
            <w:hideMark/>
          </w:tcPr>
          <w:p w14:paraId="0A2FD094" w14:textId="77777777" w:rsidR="008171C9" w:rsidRPr="008171C9" w:rsidRDefault="008171C9" w:rsidP="008171C9">
            <w:pPr>
              <w:pStyle w:val="NoSpacing"/>
            </w:pPr>
            <w:r w:rsidRPr="008171C9">
              <w:t> </w:t>
            </w:r>
            <w:r w:rsidRPr="008171C9">
              <w:t>Unknown</w:t>
            </w:r>
          </w:p>
        </w:tc>
        <w:tc>
          <w:tcPr>
            <w:tcW w:w="0" w:type="auto"/>
            <w:hideMark/>
          </w:tcPr>
          <w:p w14:paraId="6761731D" w14:textId="77777777" w:rsidR="008171C9" w:rsidRPr="008171C9" w:rsidRDefault="008171C9" w:rsidP="008171C9">
            <w:pPr>
              <w:pStyle w:val="NoSpacing"/>
            </w:pPr>
            <w:r w:rsidRPr="008171C9">
              <w:t>14 (12.8)</w:t>
            </w:r>
          </w:p>
        </w:tc>
      </w:tr>
      <w:tr w:rsidR="00BE0BF6" w:rsidRPr="008171C9" w14:paraId="0C1AB6E2" w14:textId="77777777" w:rsidTr="009D56E9">
        <w:tc>
          <w:tcPr>
            <w:tcW w:w="0" w:type="auto"/>
            <w:hideMark/>
          </w:tcPr>
          <w:p w14:paraId="40FAFFC3" w14:textId="77777777" w:rsidR="00BE0BF6" w:rsidRPr="008171C9" w:rsidRDefault="00BE0BF6" w:rsidP="008171C9">
            <w:pPr>
              <w:pStyle w:val="NoSpacing"/>
            </w:pPr>
            <w:r w:rsidRPr="008171C9">
              <w:t>Smoker (%)</w:t>
            </w:r>
          </w:p>
        </w:tc>
        <w:tc>
          <w:tcPr>
            <w:tcW w:w="0" w:type="auto"/>
          </w:tcPr>
          <w:p w14:paraId="6A1393D1" w14:textId="71681503" w:rsidR="00BE0BF6" w:rsidRPr="008171C9" w:rsidRDefault="00BE0BF6" w:rsidP="008171C9">
            <w:pPr>
              <w:pStyle w:val="NoSpacing"/>
            </w:pPr>
          </w:p>
        </w:tc>
      </w:tr>
      <w:tr w:rsidR="008171C9" w:rsidRPr="008171C9" w14:paraId="32963B3D" w14:textId="77777777" w:rsidTr="008171C9">
        <w:tc>
          <w:tcPr>
            <w:tcW w:w="0" w:type="auto"/>
            <w:hideMark/>
          </w:tcPr>
          <w:p w14:paraId="77E6BC89" w14:textId="77777777" w:rsidR="008171C9" w:rsidRPr="008171C9" w:rsidRDefault="008171C9" w:rsidP="008171C9">
            <w:pPr>
              <w:pStyle w:val="NoSpacing"/>
            </w:pPr>
            <w:r w:rsidRPr="008171C9">
              <w:t> </w:t>
            </w:r>
            <w:r w:rsidRPr="008171C9">
              <w:t>Yes</w:t>
            </w:r>
          </w:p>
        </w:tc>
        <w:tc>
          <w:tcPr>
            <w:tcW w:w="0" w:type="auto"/>
            <w:hideMark/>
          </w:tcPr>
          <w:p w14:paraId="69DBDC10" w14:textId="77777777" w:rsidR="008171C9" w:rsidRPr="008171C9" w:rsidRDefault="008171C9" w:rsidP="008171C9">
            <w:pPr>
              <w:pStyle w:val="NoSpacing"/>
            </w:pPr>
            <w:r w:rsidRPr="008171C9">
              <w:t>29 (26.6)</w:t>
            </w:r>
          </w:p>
        </w:tc>
      </w:tr>
      <w:tr w:rsidR="008171C9" w:rsidRPr="008171C9" w14:paraId="21DCB80A" w14:textId="77777777" w:rsidTr="008171C9">
        <w:tc>
          <w:tcPr>
            <w:tcW w:w="0" w:type="auto"/>
            <w:hideMark/>
          </w:tcPr>
          <w:p w14:paraId="486B5C71" w14:textId="77777777" w:rsidR="008171C9" w:rsidRPr="008171C9" w:rsidRDefault="008171C9" w:rsidP="008171C9">
            <w:pPr>
              <w:pStyle w:val="NoSpacing"/>
            </w:pPr>
            <w:r w:rsidRPr="008171C9">
              <w:t> </w:t>
            </w:r>
            <w:r w:rsidRPr="008171C9">
              <w:t>No</w:t>
            </w:r>
          </w:p>
        </w:tc>
        <w:tc>
          <w:tcPr>
            <w:tcW w:w="0" w:type="auto"/>
            <w:hideMark/>
          </w:tcPr>
          <w:p w14:paraId="59C62740" w14:textId="77777777" w:rsidR="008171C9" w:rsidRPr="008171C9" w:rsidRDefault="008171C9" w:rsidP="008171C9">
            <w:pPr>
              <w:pStyle w:val="NoSpacing"/>
            </w:pPr>
            <w:r w:rsidRPr="008171C9">
              <w:t>74 (67.9)</w:t>
            </w:r>
          </w:p>
        </w:tc>
      </w:tr>
      <w:tr w:rsidR="008171C9" w:rsidRPr="008171C9" w14:paraId="62941BAE" w14:textId="77777777" w:rsidTr="008171C9">
        <w:tc>
          <w:tcPr>
            <w:tcW w:w="0" w:type="auto"/>
            <w:hideMark/>
          </w:tcPr>
          <w:p w14:paraId="2B8D1FCA" w14:textId="77777777" w:rsidR="008171C9" w:rsidRPr="008171C9" w:rsidRDefault="008171C9" w:rsidP="008171C9">
            <w:pPr>
              <w:pStyle w:val="NoSpacing"/>
            </w:pPr>
            <w:r w:rsidRPr="008171C9">
              <w:t> </w:t>
            </w:r>
            <w:r w:rsidRPr="008171C9">
              <w:t>Unknown</w:t>
            </w:r>
          </w:p>
        </w:tc>
        <w:tc>
          <w:tcPr>
            <w:tcW w:w="0" w:type="auto"/>
            <w:hideMark/>
          </w:tcPr>
          <w:p w14:paraId="60095F26" w14:textId="77777777" w:rsidR="008171C9" w:rsidRPr="008171C9" w:rsidRDefault="008171C9" w:rsidP="008171C9">
            <w:pPr>
              <w:pStyle w:val="NoSpacing"/>
            </w:pPr>
            <w:r w:rsidRPr="008171C9">
              <w:t>6 (5.5)</w:t>
            </w:r>
          </w:p>
        </w:tc>
      </w:tr>
      <w:tr w:rsidR="00BE0BF6" w:rsidRPr="008171C9" w14:paraId="24DAD667" w14:textId="77777777" w:rsidTr="00DB5FFB">
        <w:tc>
          <w:tcPr>
            <w:tcW w:w="0" w:type="auto"/>
            <w:hideMark/>
          </w:tcPr>
          <w:p w14:paraId="7FC687E8" w14:textId="77777777" w:rsidR="00BE0BF6" w:rsidRPr="008171C9" w:rsidRDefault="00BE0BF6" w:rsidP="008171C9">
            <w:pPr>
              <w:pStyle w:val="NoSpacing"/>
            </w:pPr>
            <w:r w:rsidRPr="008171C9">
              <w:t>Marijuana use (%)</w:t>
            </w:r>
          </w:p>
        </w:tc>
        <w:tc>
          <w:tcPr>
            <w:tcW w:w="0" w:type="auto"/>
          </w:tcPr>
          <w:p w14:paraId="66F6CB1C" w14:textId="7699A7C8" w:rsidR="00BE0BF6" w:rsidRPr="008171C9" w:rsidRDefault="00BE0BF6" w:rsidP="008171C9">
            <w:pPr>
              <w:pStyle w:val="NoSpacing"/>
            </w:pPr>
          </w:p>
        </w:tc>
      </w:tr>
      <w:tr w:rsidR="008171C9" w:rsidRPr="008171C9" w14:paraId="69D6298D" w14:textId="77777777" w:rsidTr="008171C9">
        <w:tc>
          <w:tcPr>
            <w:tcW w:w="0" w:type="auto"/>
            <w:hideMark/>
          </w:tcPr>
          <w:p w14:paraId="7A5FF01A" w14:textId="77777777" w:rsidR="008171C9" w:rsidRPr="008171C9" w:rsidRDefault="008171C9" w:rsidP="008171C9">
            <w:pPr>
              <w:pStyle w:val="NoSpacing"/>
            </w:pPr>
            <w:r w:rsidRPr="008171C9">
              <w:t> </w:t>
            </w:r>
            <w:r w:rsidRPr="008171C9">
              <w:t>Yes</w:t>
            </w:r>
          </w:p>
        </w:tc>
        <w:tc>
          <w:tcPr>
            <w:tcW w:w="0" w:type="auto"/>
            <w:hideMark/>
          </w:tcPr>
          <w:p w14:paraId="4D8B089C" w14:textId="77777777" w:rsidR="008171C9" w:rsidRPr="008171C9" w:rsidRDefault="008171C9" w:rsidP="008171C9">
            <w:pPr>
              <w:pStyle w:val="NoSpacing"/>
            </w:pPr>
            <w:r w:rsidRPr="008171C9">
              <w:t>8 (7.3)</w:t>
            </w:r>
          </w:p>
        </w:tc>
      </w:tr>
      <w:tr w:rsidR="008171C9" w:rsidRPr="008171C9" w14:paraId="7E50B337" w14:textId="77777777" w:rsidTr="008171C9">
        <w:tc>
          <w:tcPr>
            <w:tcW w:w="0" w:type="auto"/>
            <w:hideMark/>
          </w:tcPr>
          <w:p w14:paraId="5805011B" w14:textId="77777777" w:rsidR="008171C9" w:rsidRPr="008171C9" w:rsidRDefault="008171C9" w:rsidP="008171C9">
            <w:pPr>
              <w:pStyle w:val="NoSpacing"/>
            </w:pPr>
            <w:r w:rsidRPr="008171C9">
              <w:t> </w:t>
            </w:r>
            <w:r w:rsidRPr="008171C9">
              <w:t>No</w:t>
            </w:r>
          </w:p>
        </w:tc>
        <w:tc>
          <w:tcPr>
            <w:tcW w:w="0" w:type="auto"/>
            <w:hideMark/>
          </w:tcPr>
          <w:p w14:paraId="53083E73" w14:textId="77777777" w:rsidR="008171C9" w:rsidRPr="008171C9" w:rsidRDefault="008171C9" w:rsidP="008171C9">
            <w:pPr>
              <w:pStyle w:val="NoSpacing"/>
            </w:pPr>
            <w:r w:rsidRPr="008171C9">
              <w:t>62 (56.9)</w:t>
            </w:r>
          </w:p>
        </w:tc>
      </w:tr>
      <w:tr w:rsidR="008171C9" w:rsidRPr="008171C9" w14:paraId="01774582" w14:textId="77777777" w:rsidTr="008171C9">
        <w:tc>
          <w:tcPr>
            <w:tcW w:w="0" w:type="auto"/>
            <w:hideMark/>
          </w:tcPr>
          <w:p w14:paraId="78F84554" w14:textId="77777777" w:rsidR="008171C9" w:rsidRPr="008171C9" w:rsidRDefault="008171C9" w:rsidP="008171C9">
            <w:pPr>
              <w:pStyle w:val="NoSpacing"/>
            </w:pPr>
            <w:r w:rsidRPr="008171C9">
              <w:t> </w:t>
            </w:r>
            <w:r w:rsidRPr="008171C9">
              <w:t>Unknown</w:t>
            </w:r>
          </w:p>
        </w:tc>
        <w:tc>
          <w:tcPr>
            <w:tcW w:w="0" w:type="auto"/>
            <w:hideMark/>
          </w:tcPr>
          <w:p w14:paraId="6788AD8F" w14:textId="77777777" w:rsidR="008171C9" w:rsidRPr="008171C9" w:rsidRDefault="008171C9" w:rsidP="008171C9">
            <w:pPr>
              <w:pStyle w:val="NoSpacing"/>
            </w:pPr>
            <w:r w:rsidRPr="008171C9">
              <w:t>39 (35.8)</w:t>
            </w:r>
          </w:p>
        </w:tc>
      </w:tr>
      <w:tr w:rsidR="008171C9" w:rsidRPr="008171C9" w14:paraId="3DAE3E5E" w14:textId="77777777" w:rsidTr="008171C9">
        <w:tc>
          <w:tcPr>
            <w:tcW w:w="0" w:type="auto"/>
            <w:hideMark/>
          </w:tcPr>
          <w:p w14:paraId="57B237AF" w14:textId="77777777" w:rsidR="008171C9" w:rsidRPr="008171C9" w:rsidRDefault="008171C9" w:rsidP="008171C9">
            <w:pPr>
              <w:pStyle w:val="NoSpacing"/>
            </w:pPr>
            <w:r w:rsidRPr="008171C9">
              <w:t> </w:t>
            </w:r>
            <w:r w:rsidRPr="008171C9">
              <w:t>Substance abuse (%)</w:t>
            </w:r>
          </w:p>
        </w:tc>
        <w:tc>
          <w:tcPr>
            <w:tcW w:w="0" w:type="auto"/>
            <w:hideMark/>
          </w:tcPr>
          <w:p w14:paraId="6B0F1BE6" w14:textId="77777777" w:rsidR="008171C9" w:rsidRPr="008171C9" w:rsidRDefault="008171C9" w:rsidP="008171C9">
            <w:pPr>
              <w:pStyle w:val="NoSpacing"/>
            </w:pPr>
            <w:r w:rsidRPr="008171C9">
              <w:t>3 (2.8)</w:t>
            </w:r>
          </w:p>
        </w:tc>
      </w:tr>
      <w:tr w:rsidR="00BE0BF6" w:rsidRPr="008171C9" w14:paraId="43D9E150" w14:textId="77777777" w:rsidTr="00F3422A">
        <w:tc>
          <w:tcPr>
            <w:tcW w:w="0" w:type="auto"/>
            <w:hideMark/>
          </w:tcPr>
          <w:p w14:paraId="608D9C81" w14:textId="77777777" w:rsidR="00BE0BF6" w:rsidRPr="008171C9" w:rsidRDefault="00BE0BF6" w:rsidP="008171C9">
            <w:pPr>
              <w:pStyle w:val="NoSpacing"/>
              <w:rPr>
                <w:b/>
                <w:bCs/>
              </w:rPr>
            </w:pPr>
            <w:r w:rsidRPr="008171C9">
              <w:rPr>
                <w:b/>
                <w:bCs/>
              </w:rPr>
              <w:t>Comorbidities</w:t>
            </w:r>
          </w:p>
        </w:tc>
        <w:tc>
          <w:tcPr>
            <w:tcW w:w="0" w:type="auto"/>
          </w:tcPr>
          <w:p w14:paraId="609B60B5" w14:textId="0FB2FC81" w:rsidR="00BE0BF6" w:rsidRPr="008171C9" w:rsidRDefault="00BE0BF6" w:rsidP="008171C9">
            <w:pPr>
              <w:pStyle w:val="NoSpacing"/>
              <w:rPr>
                <w:b/>
                <w:bCs/>
              </w:rPr>
            </w:pPr>
          </w:p>
        </w:tc>
      </w:tr>
      <w:tr w:rsidR="008171C9" w:rsidRPr="008171C9" w14:paraId="27698075" w14:textId="77777777" w:rsidTr="008171C9">
        <w:tc>
          <w:tcPr>
            <w:tcW w:w="0" w:type="auto"/>
            <w:hideMark/>
          </w:tcPr>
          <w:p w14:paraId="18A58093" w14:textId="77777777" w:rsidR="008171C9" w:rsidRPr="008171C9" w:rsidRDefault="008171C9" w:rsidP="008171C9">
            <w:pPr>
              <w:pStyle w:val="NoSpacing"/>
            </w:pPr>
            <w:r w:rsidRPr="008171C9">
              <w:t> </w:t>
            </w:r>
            <w:r w:rsidRPr="008171C9">
              <w:t>Cardiovascular disease (%)</w:t>
            </w:r>
          </w:p>
        </w:tc>
        <w:tc>
          <w:tcPr>
            <w:tcW w:w="0" w:type="auto"/>
            <w:hideMark/>
          </w:tcPr>
          <w:p w14:paraId="204237F5" w14:textId="77777777" w:rsidR="008171C9" w:rsidRPr="008171C9" w:rsidRDefault="008171C9" w:rsidP="008171C9">
            <w:pPr>
              <w:pStyle w:val="NoSpacing"/>
            </w:pPr>
            <w:r w:rsidRPr="008171C9">
              <w:t>15 (13.8)</w:t>
            </w:r>
          </w:p>
        </w:tc>
      </w:tr>
      <w:tr w:rsidR="008171C9" w:rsidRPr="008171C9" w14:paraId="7E3617FF" w14:textId="77777777" w:rsidTr="008171C9">
        <w:tc>
          <w:tcPr>
            <w:tcW w:w="0" w:type="auto"/>
            <w:hideMark/>
          </w:tcPr>
          <w:p w14:paraId="1571C2CD" w14:textId="77777777" w:rsidR="008171C9" w:rsidRPr="008171C9" w:rsidRDefault="008171C9" w:rsidP="008171C9">
            <w:pPr>
              <w:pStyle w:val="NoSpacing"/>
            </w:pPr>
            <w:r w:rsidRPr="008171C9">
              <w:t> </w:t>
            </w:r>
            <w:r w:rsidRPr="008171C9">
              <w:t>Respiratory disease (%)</w:t>
            </w:r>
          </w:p>
        </w:tc>
        <w:tc>
          <w:tcPr>
            <w:tcW w:w="0" w:type="auto"/>
            <w:hideMark/>
          </w:tcPr>
          <w:p w14:paraId="484AF216" w14:textId="77777777" w:rsidR="008171C9" w:rsidRPr="008171C9" w:rsidRDefault="008171C9" w:rsidP="008171C9">
            <w:pPr>
              <w:pStyle w:val="NoSpacing"/>
            </w:pPr>
            <w:r w:rsidRPr="008171C9">
              <w:t>27 (24.8)</w:t>
            </w:r>
          </w:p>
        </w:tc>
      </w:tr>
      <w:tr w:rsidR="008171C9" w:rsidRPr="008171C9" w14:paraId="79A9F8CE" w14:textId="77777777" w:rsidTr="008171C9">
        <w:tc>
          <w:tcPr>
            <w:tcW w:w="0" w:type="auto"/>
            <w:hideMark/>
          </w:tcPr>
          <w:p w14:paraId="7C4381F3" w14:textId="77777777" w:rsidR="008171C9" w:rsidRPr="008171C9" w:rsidRDefault="008171C9" w:rsidP="008171C9">
            <w:pPr>
              <w:pStyle w:val="NoSpacing"/>
            </w:pPr>
            <w:r w:rsidRPr="008171C9">
              <w:t> </w:t>
            </w:r>
            <w:r w:rsidRPr="008171C9">
              <w:t>Renal disease (%)</w:t>
            </w:r>
          </w:p>
        </w:tc>
        <w:tc>
          <w:tcPr>
            <w:tcW w:w="0" w:type="auto"/>
            <w:hideMark/>
          </w:tcPr>
          <w:p w14:paraId="44DD5245" w14:textId="77777777" w:rsidR="008171C9" w:rsidRPr="008171C9" w:rsidRDefault="008171C9" w:rsidP="008171C9">
            <w:pPr>
              <w:pStyle w:val="NoSpacing"/>
            </w:pPr>
            <w:r w:rsidRPr="008171C9">
              <w:t>10 (9.2)</w:t>
            </w:r>
          </w:p>
        </w:tc>
      </w:tr>
      <w:tr w:rsidR="008171C9" w:rsidRPr="008171C9" w14:paraId="53695C32" w14:textId="77777777" w:rsidTr="008171C9">
        <w:tc>
          <w:tcPr>
            <w:tcW w:w="0" w:type="auto"/>
            <w:hideMark/>
          </w:tcPr>
          <w:p w14:paraId="08BAEB94" w14:textId="77777777" w:rsidR="008171C9" w:rsidRPr="008171C9" w:rsidRDefault="008171C9" w:rsidP="008171C9">
            <w:pPr>
              <w:pStyle w:val="NoSpacing"/>
            </w:pPr>
            <w:r w:rsidRPr="008171C9">
              <w:t> </w:t>
            </w:r>
            <w:r w:rsidRPr="008171C9">
              <w:t>Hypertension (%)</w:t>
            </w:r>
          </w:p>
        </w:tc>
        <w:tc>
          <w:tcPr>
            <w:tcW w:w="0" w:type="auto"/>
            <w:hideMark/>
          </w:tcPr>
          <w:p w14:paraId="05EC403F" w14:textId="77777777" w:rsidR="008171C9" w:rsidRPr="008171C9" w:rsidRDefault="008171C9" w:rsidP="008171C9">
            <w:pPr>
              <w:pStyle w:val="NoSpacing"/>
            </w:pPr>
            <w:r w:rsidRPr="008171C9">
              <w:t>49 (45.0)</w:t>
            </w:r>
          </w:p>
        </w:tc>
      </w:tr>
      <w:tr w:rsidR="008171C9" w:rsidRPr="008171C9" w14:paraId="7ACDB350" w14:textId="77777777" w:rsidTr="008171C9">
        <w:tc>
          <w:tcPr>
            <w:tcW w:w="0" w:type="auto"/>
            <w:hideMark/>
          </w:tcPr>
          <w:p w14:paraId="0C02C38F" w14:textId="77777777" w:rsidR="008171C9" w:rsidRPr="008171C9" w:rsidRDefault="008171C9" w:rsidP="008171C9">
            <w:pPr>
              <w:pStyle w:val="NoSpacing"/>
            </w:pPr>
            <w:r w:rsidRPr="008171C9">
              <w:t> </w:t>
            </w:r>
            <w:r w:rsidRPr="008171C9">
              <w:t>Type 2 diabetes (%)</w:t>
            </w:r>
          </w:p>
        </w:tc>
        <w:tc>
          <w:tcPr>
            <w:tcW w:w="0" w:type="auto"/>
            <w:hideMark/>
          </w:tcPr>
          <w:p w14:paraId="6114ECCF" w14:textId="77777777" w:rsidR="008171C9" w:rsidRPr="008171C9" w:rsidRDefault="008171C9" w:rsidP="008171C9">
            <w:pPr>
              <w:pStyle w:val="NoSpacing"/>
            </w:pPr>
            <w:r w:rsidRPr="008171C9">
              <w:t>37 (33.9)</w:t>
            </w:r>
          </w:p>
        </w:tc>
      </w:tr>
      <w:tr w:rsidR="008171C9" w:rsidRPr="008171C9" w14:paraId="4B2A543C" w14:textId="77777777" w:rsidTr="008171C9">
        <w:tc>
          <w:tcPr>
            <w:tcW w:w="0" w:type="auto"/>
            <w:hideMark/>
          </w:tcPr>
          <w:p w14:paraId="4064F667" w14:textId="77777777" w:rsidR="008171C9" w:rsidRPr="008171C9" w:rsidRDefault="008171C9" w:rsidP="008171C9">
            <w:pPr>
              <w:pStyle w:val="NoSpacing"/>
            </w:pPr>
            <w:r w:rsidRPr="008171C9">
              <w:t> </w:t>
            </w:r>
            <w:r w:rsidRPr="008171C9">
              <w:t>Morbid obesity (%)</w:t>
            </w:r>
          </w:p>
        </w:tc>
        <w:tc>
          <w:tcPr>
            <w:tcW w:w="0" w:type="auto"/>
            <w:hideMark/>
          </w:tcPr>
          <w:p w14:paraId="7C4DAE72" w14:textId="77777777" w:rsidR="008171C9" w:rsidRPr="008171C9" w:rsidRDefault="008171C9" w:rsidP="008171C9">
            <w:pPr>
              <w:pStyle w:val="NoSpacing"/>
            </w:pPr>
            <w:r w:rsidRPr="008171C9">
              <w:t>15 (13.8)</w:t>
            </w:r>
          </w:p>
        </w:tc>
      </w:tr>
      <w:tr w:rsidR="00BE0BF6" w:rsidRPr="008171C9" w14:paraId="1E66E319" w14:textId="77777777" w:rsidTr="000C5D7B">
        <w:tc>
          <w:tcPr>
            <w:tcW w:w="0" w:type="auto"/>
            <w:hideMark/>
          </w:tcPr>
          <w:p w14:paraId="1DAF0658" w14:textId="77777777" w:rsidR="00BE0BF6" w:rsidRPr="008171C9" w:rsidRDefault="00BE0BF6" w:rsidP="008171C9">
            <w:pPr>
              <w:pStyle w:val="NoSpacing"/>
              <w:rPr>
                <w:b/>
                <w:bCs/>
              </w:rPr>
            </w:pPr>
            <w:r w:rsidRPr="008171C9">
              <w:rPr>
                <w:b/>
                <w:bCs/>
              </w:rPr>
              <w:t>Hospital Course</w:t>
            </w:r>
          </w:p>
        </w:tc>
        <w:tc>
          <w:tcPr>
            <w:tcW w:w="0" w:type="auto"/>
          </w:tcPr>
          <w:p w14:paraId="31EE4F59" w14:textId="09CD2271" w:rsidR="00BE0BF6" w:rsidRPr="008171C9" w:rsidRDefault="00BE0BF6" w:rsidP="008171C9">
            <w:pPr>
              <w:pStyle w:val="NoSpacing"/>
              <w:rPr>
                <w:b/>
                <w:bCs/>
              </w:rPr>
            </w:pPr>
          </w:p>
        </w:tc>
      </w:tr>
      <w:tr w:rsidR="008171C9" w:rsidRPr="008171C9" w14:paraId="19A1BB42" w14:textId="77777777" w:rsidTr="008171C9">
        <w:tc>
          <w:tcPr>
            <w:tcW w:w="0" w:type="auto"/>
            <w:hideMark/>
          </w:tcPr>
          <w:p w14:paraId="6C2300C8" w14:textId="77777777" w:rsidR="008171C9" w:rsidRPr="008171C9" w:rsidRDefault="008171C9" w:rsidP="008171C9">
            <w:pPr>
              <w:pStyle w:val="NoSpacing"/>
            </w:pPr>
            <w:r w:rsidRPr="008171C9">
              <w:t> </w:t>
            </w:r>
            <w:r w:rsidRPr="008171C9">
              <w:t>Median days hospitalized [IQR]</w:t>
            </w:r>
          </w:p>
        </w:tc>
        <w:tc>
          <w:tcPr>
            <w:tcW w:w="0" w:type="auto"/>
            <w:hideMark/>
          </w:tcPr>
          <w:p w14:paraId="15E1FC88" w14:textId="77777777" w:rsidR="008171C9" w:rsidRPr="008171C9" w:rsidRDefault="008171C9" w:rsidP="008171C9">
            <w:pPr>
              <w:pStyle w:val="NoSpacing"/>
            </w:pPr>
            <w:r w:rsidRPr="008171C9">
              <w:t>4.0 [3.0, 9.0]</w:t>
            </w:r>
          </w:p>
        </w:tc>
      </w:tr>
      <w:tr w:rsidR="008171C9" w:rsidRPr="008171C9" w14:paraId="573A3776" w14:textId="77777777" w:rsidTr="008171C9">
        <w:tc>
          <w:tcPr>
            <w:tcW w:w="0" w:type="auto"/>
            <w:hideMark/>
          </w:tcPr>
          <w:p w14:paraId="6C99A240" w14:textId="77777777" w:rsidR="008171C9" w:rsidRPr="008171C9" w:rsidRDefault="008171C9" w:rsidP="008171C9">
            <w:pPr>
              <w:pStyle w:val="NoSpacing"/>
            </w:pPr>
            <w:r w:rsidRPr="008171C9">
              <w:t> </w:t>
            </w:r>
            <w:r w:rsidRPr="008171C9">
              <w:t>Admission to intensive care unit (ICU) (%)</w:t>
            </w:r>
          </w:p>
        </w:tc>
        <w:tc>
          <w:tcPr>
            <w:tcW w:w="0" w:type="auto"/>
            <w:hideMark/>
          </w:tcPr>
          <w:p w14:paraId="5CF251D5" w14:textId="77777777" w:rsidR="008171C9" w:rsidRPr="008171C9" w:rsidRDefault="008171C9" w:rsidP="008171C9">
            <w:pPr>
              <w:pStyle w:val="NoSpacing"/>
            </w:pPr>
            <w:r w:rsidRPr="008171C9">
              <w:t>28 (25.7)</w:t>
            </w:r>
          </w:p>
        </w:tc>
      </w:tr>
      <w:tr w:rsidR="008171C9" w:rsidRPr="008171C9" w14:paraId="6C91E4F6" w14:textId="77777777" w:rsidTr="008171C9">
        <w:tc>
          <w:tcPr>
            <w:tcW w:w="0" w:type="auto"/>
            <w:hideMark/>
          </w:tcPr>
          <w:p w14:paraId="6F6E96F6" w14:textId="77777777" w:rsidR="008171C9" w:rsidRPr="008171C9" w:rsidRDefault="008171C9" w:rsidP="008171C9">
            <w:pPr>
              <w:pStyle w:val="NoSpacing"/>
            </w:pPr>
            <w:r w:rsidRPr="008171C9">
              <w:t> </w:t>
            </w:r>
            <w:r w:rsidRPr="008171C9">
              <w:t>Intubated (%)</w:t>
            </w:r>
          </w:p>
        </w:tc>
        <w:tc>
          <w:tcPr>
            <w:tcW w:w="0" w:type="auto"/>
            <w:hideMark/>
          </w:tcPr>
          <w:p w14:paraId="00A24731" w14:textId="77777777" w:rsidR="008171C9" w:rsidRPr="008171C9" w:rsidRDefault="008171C9" w:rsidP="008171C9">
            <w:pPr>
              <w:pStyle w:val="NoSpacing"/>
            </w:pPr>
            <w:r w:rsidRPr="008171C9">
              <w:t>14 (12.8)</w:t>
            </w:r>
          </w:p>
        </w:tc>
      </w:tr>
      <w:tr w:rsidR="00BE0BF6" w:rsidRPr="008171C9" w14:paraId="6F6A53BA" w14:textId="77777777" w:rsidTr="00E400D8">
        <w:tc>
          <w:tcPr>
            <w:tcW w:w="0" w:type="auto"/>
            <w:hideMark/>
          </w:tcPr>
          <w:p w14:paraId="59A214D8" w14:textId="77777777" w:rsidR="00BE0BF6" w:rsidRPr="008171C9" w:rsidRDefault="00BE0BF6" w:rsidP="008171C9">
            <w:pPr>
              <w:pStyle w:val="NoSpacing"/>
            </w:pPr>
            <w:r w:rsidRPr="008171C9">
              <w:t>Discharge location (%)</w:t>
            </w:r>
          </w:p>
        </w:tc>
        <w:tc>
          <w:tcPr>
            <w:tcW w:w="0" w:type="auto"/>
          </w:tcPr>
          <w:p w14:paraId="34099A1F" w14:textId="14BE0A69" w:rsidR="00BE0BF6" w:rsidRPr="008171C9" w:rsidRDefault="00BE0BF6" w:rsidP="008171C9">
            <w:pPr>
              <w:pStyle w:val="NoSpacing"/>
            </w:pPr>
          </w:p>
        </w:tc>
      </w:tr>
      <w:tr w:rsidR="008171C9" w:rsidRPr="008171C9" w14:paraId="0F36B15E" w14:textId="77777777" w:rsidTr="008171C9">
        <w:tc>
          <w:tcPr>
            <w:tcW w:w="0" w:type="auto"/>
            <w:hideMark/>
          </w:tcPr>
          <w:p w14:paraId="5D1AF6D0" w14:textId="77777777" w:rsidR="008171C9" w:rsidRPr="008171C9" w:rsidRDefault="008171C9" w:rsidP="008171C9">
            <w:pPr>
              <w:pStyle w:val="NoSpacing"/>
            </w:pPr>
            <w:r w:rsidRPr="008171C9">
              <w:t> </w:t>
            </w:r>
            <w:r w:rsidRPr="008171C9">
              <w:t>Home</w:t>
            </w:r>
          </w:p>
        </w:tc>
        <w:tc>
          <w:tcPr>
            <w:tcW w:w="0" w:type="auto"/>
            <w:hideMark/>
          </w:tcPr>
          <w:p w14:paraId="6E7B674C" w14:textId="77777777" w:rsidR="008171C9" w:rsidRPr="008171C9" w:rsidRDefault="008171C9" w:rsidP="008171C9">
            <w:pPr>
              <w:pStyle w:val="NoSpacing"/>
            </w:pPr>
            <w:r w:rsidRPr="008171C9">
              <w:t>98 (89.9)</w:t>
            </w:r>
          </w:p>
        </w:tc>
      </w:tr>
      <w:tr w:rsidR="008171C9" w:rsidRPr="008171C9" w14:paraId="75A779C1" w14:textId="77777777" w:rsidTr="008171C9">
        <w:tc>
          <w:tcPr>
            <w:tcW w:w="0" w:type="auto"/>
            <w:hideMark/>
          </w:tcPr>
          <w:p w14:paraId="403F2636" w14:textId="77777777" w:rsidR="008171C9" w:rsidRPr="008171C9" w:rsidRDefault="008171C9" w:rsidP="008171C9">
            <w:pPr>
              <w:pStyle w:val="NoSpacing"/>
            </w:pPr>
            <w:r w:rsidRPr="008171C9">
              <w:t> </w:t>
            </w:r>
            <w:r w:rsidRPr="008171C9">
              <w:t>Home with home health</w:t>
            </w:r>
          </w:p>
        </w:tc>
        <w:tc>
          <w:tcPr>
            <w:tcW w:w="0" w:type="auto"/>
            <w:hideMark/>
          </w:tcPr>
          <w:p w14:paraId="51A9AEE5" w14:textId="77777777" w:rsidR="008171C9" w:rsidRPr="008171C9" w:rsidRDefault="008171C9" w:rsidP="008171C9">
            <w:pPr>
              <w:pStyle w:val="NoSpacing"/>
            </w:pPr>
            <w:r w:rsidRPr="008171C9">
              <w:t>4 (3.7)</w:t>
            </w:r>
          </w:p>
        </w:tc>
      </w:tr>
      <w:tr w:rsidR="008171C9" w:rsidRPr="008171C9" w14:paraId="0037C3AC" w14:textId="77777777" w:rsidTr="008171C9">
        <w:tc>
          <w:tcPr>
            <w:tcW w:w="0" w:type="auto"/>
            <w:hideMark/>
          </w:tcPr>
          <w:p w14:paraId="34F6D6E7" w14:textId="77777777" w:rsidR="008171C9" w:rsidRPr="008171C9" w:rsidRDefault="008171C9" w:rsidP="008171C9">
            <w:pPr>
              <w:pStyle w:val="NoSpacing"/>
            </w:pPr>
            <w:r w:rsidRPr="008171C9">
              <w:t> </w:t>
            </w:r>
            <w:r w:rsidRPr="008171C9">
              <w:t>Facility</w:t>
            </w:r>
          </w:p>
        </w:tc>
        <w:tc>
          <w:tcPr>
            <w:tcW w:w="0" w:type="auto"/>
            <w:hideMark/>
          </w:tcPr>
          <w:p w14:paraId="7C9F2412" w14:textId="77777777" w:rsidR="008171C9" w:rsidRPr="008171C9" w:rsidRDefault="008171C9" w:rsidP="008171C9">
            <w:pPr>
              <w:pStyle w:val="NoSpacing"/>
            </w:pPr>
            <w:r w:rsidRPr="008171C9">
              <w:t>4 (3.4)</w:t>
            </w:r>
          </w:p>
        </w:tc>
      </w:tr>
      <w:tr w:rsidR="008171C9" w:rsidRPr="008171C9" w14:paraId="7676972A" w14:textId="77777777" w:rsidTr="008171C9">
        <w:tc>
          <w:tcPr>
            <w:tcW w:w="0" w:type="auto"/>
            <w:hideMark/>
          </w:tcPr>
          <w:p w14:paraId="765A5E25" w14:textId="77777777" w:rsidR="008171C9" w:rsidRPr="008171C9" w:rsidRDefault="008171C9" w:rsidP="008171C9">
            <w:pPr>
              <w:pStyle w:val="NoSpacing"/>
            </w:pPr>
            <w:r w:rsidRPr="008171C9">
              <w:t> </w:t>
            </w:r>
            <w:r w:rsidRPr="008171C9">
              <w:t>Other</w:t>
            </w:r>
          </w:p>
        </w:tc>
        <w:tc>
          <w:tcPr>
            <w:tcW w:w="0" w:type="auto"/>
            <w:hideMark/>
          </w:tcPr>
          <w:p w14:paraId="03DAA848" w14:textId="77777777" w:rsidR="008171C9" w:rsidRPr="008171C9" w:rsidRDefault="008171C9" w:rsidP="008171C9">
            <w:pPr>
              <w:pStyle w:val="NoSpacing"/>
            </w:pPr>
            <w:r w:rsidRPr="008171C9">
              <w:t>3 (2.8)</w:t>
            </w:r>
          </w:p>
        </w:tc>
      </w:tr>
      <w:tr w:rsidR="008171C9" w:rsidRPr="008171C9" w14:paraId="7F2BB735" w14:textId="77777777" w:rsidTr="008171C9">
        <w:tc>
          <w:tcPr>
            <w:tcW w:w="0" w:type="auto"/>
            <w:hideMark/>
          </w:tcPr>
          <w:p w14:paraId="3E920B43" w14:textId="77777777" w:rsidR="008171C9" w:rsidRPr="008171C9" w:rsidRDefault="008171C9" w:rsidP="008171C9">
            <w:pPr>
              <w:pStyle w:val="NoSpacing"/>
            </w:pPr>
            <w:r w:rsidRPr="008171C9">
              <w:t> </w:t>
            </w:r>
            <w:r w:rsidRPr="008171C9">
              <w:t>Discharged on oxygen (%)</w:t>
            </w:r>
          </w:p>
        </w:tc>
        <w:tc>
          <w:tcPr>
            <w:tcW w:w="0" w:type="auto"/>
            <w:hideMark/>
          </w:tcPr>
          <w:p w14:paraId="03C6DD7D" w14:textId="77777777" w:rsidR="008171C9" w:rsidRPr="008171C9" w:rsidRDefault="008171C9" w:rsidP="008171C9">
            <w:pPr>
              <w:pStyle w:val="NoSpacing"/>
            </w:pPr>
            <w:r w:rsidRPr="008171C9">
              <w:t>56 (51.4)</w:t>
            </w:r>
          </w:p>
        </w:tc>
      </w:tr>
    </w:tbl>
    <w:p w14:paraId="510031A1" w14:textId="77777777" w:rsidR="007C491B" w:rsidRDefault="007C491B" w:rsidP="0068206B"/>
    <w:p w14:paraId="22EDB63F" w14:textId="0FD4FFAE" w:rsidR="0068206B" w:rsidRPr="0068206B" w:rsidRDefault="0068206B" w:rsidP="008171C9">
      <w:pPr>
        <w:pStyle w:val="NoSpacing"/>
      </w:pPr>
      <w:r w:rsidRPr="0068206B">
        <w:rPr>
          <w:noProof/>
        </w:rPr>
        <w:drawing>
          <wp:inline distT="0" distB="0" distL="0" distR="0" wp14:anchorId="117B973D" wp14:editId="4FEEBFEB">
            <wp:extent cx="3657600" cy="2578608"/>
            <wp:effectExtent l="0" t="0" r="0" b="0"/>
            <wp:docPr id="3" name="Picture 3" descr="figure 1">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1">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2578608"/>
                    </a:xfrm>
                    <a:prstGeom prst="rect">
                      <a:avLst/>
                    </a:prstGeom>
                    <a:noFill/>
                    <a:ln>
                      <a:noFill/>
                    </a:ln>
                  </pic:spPr>
                </pic:pic>
              </a:graphicData>
            </a:graphic>
          </wp:inline>
        </w:drawing>
      </w:r>
    </w:p>
    <w:p w14:paraId="147549C9" w14:textId="1C56FB2D" w:rsidR="0068206B" w:rsidRPr="0068206B" w:rsidRDefault="008171C9" w:rsidP="008171C9">
      <w:pPr>
        <w:pStyle w:val="NoSpacing"/>
      </w:pPr>
      <w:r w:rsidRPr="0068206B">
        <w:rPr>
          <w:b/>
          <w:bCs/>
        </w:rPr>
        <w:t>Fig. 1</w:t>
      </w:r>
      <w:r>
        <w:rPr>
          <w:b/>
          <w:bCs/>
        </w:rPr>
        <w:t xml:space="preserve"> </w:t>
      </w:r>
      <w:r w:rsidR="0068206B" w:rsidRPr="0068206B">
        <w:t>Participant-reported symptoms by survey week</w:t>
      </w:r>
    </w:p>
    <w:p w14:paraId="60B02F4E" w14:textId="77777777" w:rsidR="008171C9" w:rsidRDefault="008171C9" w:rsidP="0068206B"/>
    <w:p w14:paraId="71824411" w14:textId="0412CF87" w:rsidR="0068206B" w:rsidRPr="0068206B" w:rsidRDefault="0068206B" w:rsidP="006D5382">
      <w:pPr>
        <w:pStyle w:val="Heading2"/>
      </w:pPr>
      <w:r w:rsidRPr="0068206B">
        <w:t>Intensive care unit (ICU) admission</w:t>
      </w:r>
    </w:p>
    <w:p w14:paraId="2D7A337E" w14:textId="77777777" w:rsidR="0068206B" w:rsidRPr="0068206B" w:rsidRDefault="0068206B" w:rsidP="0068206B">
      <w:r w:rsidRPr="0068206B">
        <w:t>ICU admission occurred in 26% (28/109) of participants and differed by categorical age (</w:t>
      </w:r>
      <w:r w:rsidRPr="0068206B">
        <w:rPr>
          <w:i/>
          <w:iCs/>
        </w:rPr>
        <w:t>p</w:t>
      </w:r>
      <w:r w:rsidRPr="0068206B">
        <w:t> = 0.02). Participants age 60 and older were 76% </w:t>
      </w:r>
      <w:r w:rsidRPr="0068206B">
        <w:rPr>
          <w:i/>
          <w:iCs/>
        </w:rPr>
        <w:t>less</w:t>
      </w:r>
      <w:r w:rsidRPr="0068206B">
        <w:t> likely than participants under 45 years to be admitted to the ICU (odds ratio [OR]: 0.2 [95% CI: 0.1, 0.7], </w:t>
      </w:r>
      <w:r w:rsidRPr="0068206B">
        <w:rPr>
          <w:i/>
          <w:iCs/>
        </w:rPr>
        <w:t>p</w:t>
      </w:r>
      <w:r w:rsidRPr="0068206B">
        <w:t> = 0.010). Participants age 45–59 years were 66% </w:t>
      </w:r>
      <w:r w:rsidRPr="0068206B">
        <w:rPr>
          <w:i/>
          <w:iCs/>
        </w:rPr>
        <w:t>less</w:t>
      </w:r>
      <w:r w:rsidRPr="0068206B">
        <w:t> likely than those under 45 years to be admitted to the ICU (OR: 0.3 [95% CI: 0.1, 1.0], </w:t>
      </w:r>
      <w:r w:rsidRPr="0068206B">
        <w:rPr>
          <w:i/>
          <w:iCs/>
        </w:rPr>
        <w:t>p</w:t>
      </w:r>
      <w:r w:rsidRPr="0068206B">
        <w:t> = 0.048). ICU admission status did not differ by race/ethnicity, sex, or pre-hospitalization frailty category in our sample of post-hospital participants (</w:t>
      </w:r>
      <w:r w:rsidRPr="0068206B">
        <w:rPr>
          <w:i/>
          <w:iCs/>
        </w:rPr>
        <w:t>p</w:t>
      </w:r>
      <w:r w:rsidRPr="0068206B">
        <w:t> &gt; 0.3).</w:t>
      </w:r>
    </w:p>
    <w:p w14:paraId="4416313B" w14:textId="77777777" w:rsidR="0068206B" w:rsidRPr="0068206B" w:rsidRDefault="0068206B" w:rsidP="006D5382">
      <w:pPr>
        <w:pStyle w:val="Heading2"/>
      </w:pPr>
      <w:r w:rsidRPr="0068206B">
        <w:t>Assessment completion</w:t>
      </w:r>
    </w:p>
    <w:p w14:paraId="226B70B6" w14:textId="54698F02" w:rsidR="0068206B" w:rsidRPr="0068206B" w:rsidRDefault="0068206B" w:rsidP="0068206B">
      <w:r w:rsidRPr="0068206B">
        <w:t>A total of 247 phone/video call assessments (symptoms, 10-time chair rise test, MRC Dyspnea) and 221 survey forms (Clinical Frailty Scale, activity level, WHODAS 2.0, IES-6) were completed over the 3 time points (Additional file </w:t>
      </w:r>
      <w:r w:rsidRPr="00650AE9">
        <w:t>1</w:t>
      </w:r>
      <w:r w:rsidRPr="0068206B">
        <w:t>: Appendix 4). All 109 participants completed at least one call and 78% (85/109) of participants completed surveys at one or more time point. Participants who only participated at a single time point (</w:t>
      </w:r>
      <w:r w:rsidRPr="0068206B">
        <w:rPr>
          <w:i/>
          <w:iCs/>
        </w:rPr>
        <w:t>n</w:t>
      </w:r>
      <w:r w:rsidRPr="0068206B">
        <w:t> = 29) were more likely to be younger (mean age: 48.5 vs 54.6 years; </w:t>
      </w:r>
      <w:r w:rsidRPr="0068206B">
        <w:rPr>
          <w:i/>
          <w:iCs/>
        </w:rPr>
        <w:t>p</w:t>
      </w:r>
      <w:r w:rsidRPr="0068206B">
        <w:t> = 0.034), less likely to identify as non-Hispanic, White (21% vs 49%; </w:t>
      </w:r>
      <w:r w:rsidRPr="0068206B">
        <w:rPr>
          <w:i/>
          <w:iCs/>
        </w:rPr>
        <w:t>p</w:t>
      </w:r>
      <w:r w:rsidRPr="0068206B">
        <w:t> = 0.016), and less likely to have completed any survey (48% vs 89%; </w:t>
      </w:r>
      <w:r w:rsidRPr="0068206B">
        <w:rPr>
          <w:i/>
          <w:iCs/>
        </w:rPr>
        <w:t>p</w:t>
      </w:r>
      <w:r w:rsidRPr="0068206B">
        <w:t> &lt; 0.001), as compared to participants who had data collected at multiple time points.</w:t>
      </w:r>
    </w:p>
    <w:p w14:paraId="0ECFCC83" w14:textId="77777777" w:rsidR="0068206B" w:rsidRPr="0068206B" w:rsidRDefault="0068206B" w:rsidP="006D5382">
      <w:pPr>
        <w:pStyle w:val="Heading3"/>
      </w:pPr>
      <w:r w:rsidRPr="0068206B">
        <w:t>Functional performance</w:t>
      </w:r>
    </w:p>
    <w:p w14:paraId="54E581A0" w14:textId="77777777" w:rsidR="0068206B" w:rsidRPr="0068206B" w:rsidRDefault="0068206B" w:rsidP="006D5382">
      <w:pPr>
        <w:pStyle w:val="Heading4"/>
      </w:pPr>
      <w:r w:rsidRPr="0068206B">
        <w:t>10-time chair rise test</w:t>
      </w:r>
    </w:p>
    <w:p w14:paraId="03AAAE45" w14:textId="3FA0674F" w:rsidR="0068206B" w:rsidRPr="0068206B" w:rsidRDefault="0068206B" w:rsidP="0068206B">
      <w:r w:rsidRPr="0068206B">
        <w:t>At the week 2–6 visit, 72% (73/101) of participants completed the 10-time chair rise test (Table </w:t>
      </w:r>
      <w:r w:rsidRPr="00650AE9">
        <w:t>2</w:t>
      </w:r>
      <w:r w:rsidRPr="0068206B">
        <w:t>). Those who could versus could not complete the exercise did not differ by sex, categorical age, or race/ethnicity (Tables </w:t>
      </w:r>
      <w:r w:rsidRPr="00650AE9">
        <w:t>3</w:t>
      </w:r>
      <w:r w:rsidRPr="0068206B">
        <w:t>, </w:t>
      </w:r>
      <w:r w:rsidRPr="00650AE9">
        <w:t>4</w:t>
      </w:r>
      <w:r w:rsidRPr="0068206B">
        <w:t>, </w:t>
      </w:r>
      <w:r w:rsidRPr="00650AE9">
        <w:t>5</w:t>
      </w:r>
      <w:r w:rsidRPr="0068206B">
        <w:t> and </w:t>
      </w:r>
      <w:r w:rsidRPr="00650AE9">
        <w:t>6</w:t>
      </w:r>
      <w:r w:rsidRPr="0068206B">
        <w:t>). Females took longer than males (Table </w:t>
      </w:r>
      <w:r w:rsidRPr="00650AE9">
        <w:t>3</w:t>
      </w:r>
      <w:r w:rsidRPr="0068206B">
        <w:t>) and both African American and Hispanic participants took longer than non-Hispanic White participants (Table </w:t>
      </w:r>
      <w:r w:rsidRPr="00650AE9">
        <w:t>4</w:t>
      </w:r>
      <w:r w:rsidRPr="0068206B">
        <w:t>) to complete the 10-time chair rise test.</w:t>
      </w:r>
    </w:p>
    <w:p w14:paraId="45EC4A0F" w14:textId="77777777" w:rsidR="0068206B" w:rsidRPr="0068206B" w:rsidRDefault="0068206B" w:rsidP="00591C14">
      <w:pPr>
        <w:spacing w:after="0"/>
      </w:pPr>
      <w:r w:rsidRPr="0068206B">
        <w:rPr>
          <w:b/>
          <w:bCs/>
        </w:rPr>
        <w:t>Table 2 Responses to primary and secondary outcomes measures at 2–6, 12, and 18 weeks post-discharge are provided</w:t>
      </w:r>
    </w:p>
    <w:tbl>
      <w:tblPr>
        <w:tblStyle w:val="TableGrid"/>
        <w:tblW w:w="0" w:type="auto"/>
        <w:tblLook w:val="04A0" w:firstRow="1" w:lastRow="0" w:firstColumn="1" w:lastColumn="0" w:noHBand="0" w:noVBand="1"/>
      </w:tblPr>
      <w:tblGrid>
        <w:gridCol w:w="5372"/>
        <w:gridCol w:w="1662"/>
        <w:gridCol w:w="1518"/>
        <w:gridCol w:w="1518"/>
      </w:tblGrid>
      <w:tr w:rsidR="00D042DE" w:rsidRPr="00D042DE" w14:paraId="38F8C106" w14:textId="77777777" w:rsidTr="00BF7E71">
        <w:tc>
          <w:tcPr>
            <w:tcW w:w="0" w:type="auto"/>
            <w:hideMark/>
          </w:tcPr>
          <w:p w14:paraId="6AB7F9FB" w14:textId="39311CC7" w:rsidR="00D042DE" w:rsidRPr="000723E7" w:rsidRDefault="00D042DE" w:rsidP="00D042DE">
            <w:pPr>
              <w:pStyle w:val="NoSpacing"/>
              <w:rPr>
                <w:b/>
                <w:bCs/>
              </w:rPr>
            </w:pPr>
          </w:p>
        </w:tc>
        <w:tc>
          <w:tcPr>
            <w:tcW w:w="0" w:type="auto"/>
            <w:hideMark/>
          </w:tcPr>
          <w:p w14:paraId="2EFE07D3" w14:textId="6A79E0AD" w:rsidR="00D042DE" w:rsidRPr="000723E7" w:rsidRDefault="00D042DE" w:rsidP="00D042DE">
            <w:pPr>
              <w:pStyle w:val="NoSpacing"/>
              <w:rPr>
                <w:b/>
                <w:bCs/>
              </w:rPr>
            </w:pPr>
            <w:r w:rsidRPr="000723E7">
              <w:rPr>
                <w:b/>
                <w:bCs/>
              </w:rPr>
              <w:t>Weeks 2–6</w:t>
            </w:r>
          </w:p>
        </w:tc>
        <w:tc>
          <w:tcPr>
            <w:tcW w:w="0" w:type="auto"/>
          </w:tcPr>
          <w:p w14:paraId="197392C9" w14:textId="1F7DEE14" w:rsidR="00D042DE" w:rsidRPr="000723E7" w:rsidRDefault="00D042DE" w:rsidP="00D042DE">
            <w:pPr>
              <w:pStyle w:val="NoSpacing"/>
              <w:rPr>
                <w:b/>
                <w:bCs/>
              </w:rPr>
            </w:pPr>
            <w:r w:rsidRPr="000723E7">
              <w:rPr>
                <w:b/>
                <w:bCs/>
              </w:rPr>
              <w:t>Week 12</w:t>
            </w:r>
          </w:p>
        </w:tc>
        <w:tc>
          <w:tcPr>
            <w:tcW w:w="0" w:type="auto"/>
            <w:hideMark/>
          </w:tcPr>
          <w:p w14:paraId="627EE3DF" w14:textId="13E02837" w:rsidR="00D042DE" w:rsidRPr="000723E7" w:rsidRDefault="00D042DE" w:rsidP="00D042DE">
            <w:pPr>
              <w:pStyle w:val="NoSpacing"/>
              <w:rPr>
                <w:b/>
                <w:bCs/>
              </w:rPr>
            </w:pPr>
            <w:r w:rsidRPr="000723E7">
              <w:rPr>
                <w:b/>
                <w:bCs/>
              </w:rPr>
              <w:t>Week 18</w:t>
            </w:r>
          </w:p>
        </w:tc>
      </w:tr>
      <w:tr w:rsidR="00DC15E8" w:rsidRPr="00D042DE" w14:paraId="5151FE5E" w14:textId="77777777" w:rsidTr="00D042DE">
        <w:tc>
          <w:tcPr>
            <w:tcW w:w="0" w:type="auto"/>
            <w:hideMark/>
          </w:tcPr>
          <w:p w14:paraId="3A11C2F2" w14:textId="77777777" w:rsidR="00D042DE" w:rsidRPr="000723E7" w:rsidRDefault="00D042DE" w:rsidP="00D042DE">
            <w:pPr>
              <w:pStyle w:val="NoSpacing"/>
              <w:rPr>
                <w:b/>
                <w:bCs/>
              </w:rPr>
            </w:pPr>
            <w:r w:rsidRPr="000723E7">
              <w:rPr>
                <w:b/>
                <w:bCs/>
              </w:rPr>
              <w:t>Interview Calls Completed</w:t>
            </w:r>
          </w:p>
        </w:tc>
        <w:tc>
          <w:tcPr>
            <w:tcW w:w="0" w:type="auto"/>
            <w:hideMark/>
          </w:tcPr>
          <w:p w14:paraId="5670877E" w14:textId="77777777" w:rsidR="00D042DE" w:rsidRPr="000723E7" w:rsidRDefault="00D042DE" w:rsidP="00D042DE">
            <w:pPr>
              <w:pStyle w:val="NoSpacing"/>
              <w:rPr>
                <w:b/>
                <w:bCs/>
              </w:rPr>
            </w:pPr>
            <w:r w:rsidRPr="000723E7">
              <w:rPr>
                <w:b/>
                <w:bCs/>
                <w:i/>
                <w:iCs/>
              </w:rPr>
              <w:t>N</w:t>
            </w:r>
            <w:r w:rsidRPr="000723E7">
              <w:rPr>
                <w:b/>
                <w:bCs/>
              </w:rPr>
              <w:t> = 101</w:t>
            </w:r>
          </w:p>
        </w:tc>
        <w:tc>
          <w:tcPr>
            <w:tcW w:w="0" w:type="auto"/>
            <w:hideMark/>
          </w:tcPr>
          <w:p w14:paraId="360AD4DA" w14:textId="77777777" w:rsidR="00D042DE" w:rsidRPr="000723E7" w:rsidRDefault="00D042DE" w:rsidP="00D042DE">
            <w:pPr>
              <w:pStyle w:val="NoSpacing"/>
              <w:rPr>
                <w:b/>
                <w:bCs/>
              </w:rPr>
            </w:pPr>
            <w:r w:rsidRPr="000723E7">
              <w:rPr>
                <w:b/>
                <w:bCs/>
                <w:i/>
                <w:iCs/>
              </w:rPr>
              <w:t>N</w:t>
            </w:r>
            <w:r w:rsidRPr="000723E7">
              <w:rPr>
                <w:b/>
                <w:bCs/>
              </w:rPr>
              <w:t> = 67</w:t>
            </w:r>
          </w:p>
        </w:tc>
        <w:tc>
          <w:tcPr>
            <w:tcW w:w="0" w:type="auto"/>
            <w:hideMark/>
          </w:tcPr>
          <w:p w14:paraId="58946E22" w14:textId="77777777" w:rsidR="00D042DE" w:rsidRPr="000723E7" w:rsidRDefault="00D042DE" w:rsidP="00D042DE">
            <w:pPr>
              <w:pStyle w:val="NoSpacing"/>
              <w:rPr>
                <w:b/>
                <w:bCs/>
              </w:rPr>
            </w:pPr>
            <w:r w:rsidRPr="000723E7">
              <w:rPr>
                <w:b/>
                <w:bCs/>
                <w:i/>
                <w:iCs/>
              </w:rPr>
              <w:t>N</w:t>
            </w:r>
            <w:r w:rsidRPr="000723E7">
              <w:rPr>
                <w:b/>
                <w:bCs/>
              </w:rPr>
              <w:t> = 63</w:t>
            </w:r>
          </w:p>
        </w:tc>
      </w:tr>
      <w:tr w:rsidR="00DC15E8" w:rsidRPr="00D042DE" w14:paraId="5A8977FB" w14:textId="77777777" w:rsidTr="00591C14">
        <w:tc>
          <w:tcPr>
            <w:tcW w:w="0" w:type="auto"/>
            <w:hideMark/>
          </w:tcPr>
          <w:p w14:paraId="532A3E3C" w14:textId="63E79552" w:rsidR="00D042DE" w:rsidRPr="000723E7" w:rsidRDefault="00D042DE" w:rsidP="00D042DE">
            <w:pPr>
              <w:pStyle w:val="NoSpacing"/>
              <w:rPr>
                <w:b/>
                <w:bCs/>
              </w:rPr>
            </w:pPr>
            <w:r w:rsidRPr="000723E7">
              <w:rPr>
                <w:b/>
                <w:bCs/>
              </w:rPr>
              <w:t>10-Time Chair Rise Test</w:t>
            </w:r>
            <w:r w:rsidRPr="000723E7">
              <w:rPr>
                <w:b/>
                <w:bCs/>
                <w:vertAlign w:val="superscript"/>
              </w:rPr>
              <w:t>a</w:t>
            </w:r>
          </w:p>
        </w:tc>
        <w:tc>
          <w:tcPr>
            <w:tcW w:w="0" w:type="auto"/>
          </w:tcPr>
          <w:p w14:paraId="7F842DCA" w14:textId="77777777" w:rsidR="00D042DE" w:rsidRPr="000723E7" w:rsidRDefault="00D042DE" w:rsidP="00D042DE">
            <w:pPr>
              <w:pStyle w:val="NoSpacing"/>
              <w:rPr>
                <w:b/>
                <w:bCs/>
              </w:rPr>
            </w:pPr>
          </w:p>
        </w:tc>
        <w:tc>
          <w:tcPr>
            <w:tcW w:w="0" w:type="auto"/>
          </w:tcPr>
          <w:p w14:paraId="16A2558C" w14:textId="6BDFB087" w:rsidR="00D042DE" w:rsidRPr="000723E7" w:rsidRDefault="00D042DE" w:rsidP="00D042DE">
            <w:pPr>
              <w:pStyle w:val="NoSpacing"/>
              <w:rPr>
                <w:b/>
                <w:bCs/>
              </w:rPr>
            </w:pPr>
          </w:p>
        </w:tc>
        <w:tc>
          <w:tcPr>
            <w:tcW w:w="0" w:type="auto"/>
          </w:tcPr>
          <w:p w14:paraId="51984B31" w14:textId="3EA09D31" w:rsidR="00D042DE" w:rsidRPr="000723E7" w:rsidRDefault="00D042DE" w:rsidP="00D042DE">
            <w:pPr>
              <w:pStyle w:val="NoSpacing"/>
              <w:rPr>
                <w:b/>
                <w:bCs/>
              </w:rPr>
            </w:pPr>
          </w:p>
        </w:tc>
      </w:tr>
      <w:tr w:rsidR="00DC15E8" w:rsidRPr="00D042DE" w14:paraId="07EF49AB" w14:textId="77777777" w:rsidTr="00D042DE">
        <w:tc>
          <w:tcPr>
            <w:tcW w:w="0" w:type="auto"/>
            <w:hideMark/>
          </w:tcPr>
          <w:p w14:paraId="66CCC893" w14:textId="77777777" w:rsidR="00D042DE" w:rsidRPr="00D042DE" w:rsidRDefault="00D042DE" w:rsidP="00D042DE">
            <w:pPr>
              <w:pStyle w:val="NoSpacing"/>
            </w:pPr>
            <w:r w:rsidRPr="00D042DE">
              <w:t> </w:t>
            </w:r>
            <w:r w:rsidRPr="00D042DE">
              <w:t>Mean [95% CI] seconds; N</w:t>
            </w:r>
          </w:p>
        </w:tc>
        <w:tc>
          <w:tcPr>
            <w:tcW w:w="0" w:type="auto"/>
            <w:hideMark/>
          </w:tcPr>
          <w:p w14:paraId="59379AEC" w14:textId="77777777" w:rsidR="00D042DE" w:rsidRPr="00D042DE" w:rsidRDefault="00D042DE" w:rsidP="00D042DE">
            <w:pPr>
              <w:pStyle w:val="NoSpacing"/>
            </w:pPr>
            <w:r w:rsidRPr="00D042DE">
              <w:t>29 [26, 32]; </w:t>
            </w:r>
            <w:r w:rsidRPr="00D042DE">
              <w:rPr>
                <w:i/>
                <w:iCs/>
              </w:rPr>
              <w:t>N</w:t>
            </w:r>
            <w:r w:rsidRPr="00D042DE">
              <w:t> = 73</w:t>
            </w:r>
          </w:p>
        </w:tc>
        <w:tc>
          <w:tcPr>
            <w:tcW w:w="0" w:type="auto"/>
            <w:hideMark/>
          </w:tcPr>
          <w:p w14:paraId="453F42AD" w14:textId="77777777" w:rsidR="00D042DE" w:rsidRPr="00D042DE" w:rsidRDefault="00D042DE" w:rsidP="00D042DE">
            <w:pPr>
              <w:pStyle w:val="NoSpacing"/>
            </w:pPr>
            <w:r w:rsidRPr="00D042DE">
              <w:t>25 [22, 28]; </w:t>
            </w:r>
            <w:r w:rsidRPr="00D042DE">
              <w:rPr>
                <w:i/>
                <w:iCs/>
              </w:rPr>
              <w:t>N</w:t>
            </w:r>
            <w:r w:rsidRPr="00D042DE">
              <w:t> = 50</w:t>
            </w:r>
          </w:p>
        </w:tc>
        <w:tc>
          <w:tcPr>
            <w:tcW w:w="0" w:type="auto"/>
            <w:hideMark/>
          </w:tcPr>
          <w:p w14:paraId="26EDB2C0" w14:textId="77777777" w:rsidR="00D042DE" w:rsidRPr="00D042DE" w:rsidRDefault="00D042DE" w:rsidP="00D042DE">
            <w:pPr>
              <w:pStyle w:val="NoSpacing"/>
            </w:pPr>
            <w:r w:rsidRPr="00D042DE">
              <w:t>21 [19, 23]; </w:t>
            </w:r>
            <w:r w:rsidRPr="00D042DE">
              <w:rPr>
                <w:i/>
                <w:iCs/>
              </w:rPr>
              <w:t>N</w:t>
            </w:r>
            <w:r w:rsidRPr="00D042DE">
              <w:t> = 43</w:t>
            </w:r>
          </w:p>
        </w:tc>
      </w:tr>
      <w:tr w:rsidR="00DC15E8" w:rsidRPr="00D042DE" w14:paraId="176886FF" w14:textId="77777777" w:rsidTr="00D042DE">
        <w:tc>
          <w:tcPr>
            <w:tcW w:w="0" w:type="auto"/>
            <w:hideMark/>
          </w:tcPr>
          <w:p w14:paraId="01E9D767" w14:textId="77777777" w:rsidR="00D042DE" w:rsidRPr="00D042DE" w:rsidRDefault="00D042DE" w:rsidP="00D042DE">
            <w:pPr>
              <w:pStyle w:val="NoSpacing"/>
            </w:pPr>
            <w:r w:rsidRPr="00D042DE">
              <w:t> </w:t>
            </w:r>
            <w:r w:rsidRPr="00D042DE">
              <w:t>Unable to complete due to physical ability or safety concerns, % (n/total)</w:t>
            </w:r>
          </w:p>
        </w:tc>
        <w:tc>
          <w:tcPr>
            <w:tcW w:w="0" w:type="auto"/>
            <w:hideMark/>
          </w:tcPr>
          <w:p w14:paraId="02F93954" w14:textId="77777777" w:rsidR="00D042DE" w:rsidRPr="00D042DE" w:rsidRDefault="00D042DE" w:rsidP="00D042DE">
            <w:pPr>
              <w:pStyle w:val="NoSpacing"/>
            </w:pPr>
            <w:r w:rsidRPr="00D042DE">
              <w:t>16% (16/101)</w:t>
            </w:r>
          </w:p>
        </w:tc>
        <w:tc>
          <w:tcPr>
            <w:tcW w:w="0" w:type="auto"/>
            <w:hideMark/>
          </w:tcPr>
          <w:p w14:paraId="2E18F3C2" w14:textId="77777777" w:rsidR="00D042DE" w:rsidRPr="00D042DE" w:rsidRDefault="00D042DE" w:rsidP="00D042DE">
            <w:pPr>
              <w:pStyle w:val="NoSpacing"/>
            </w:pPr>
            <w:r w:rsidRPr="00D042DE">
              <w:t>12% (8/67)</w:t>
            </w:r>
          </w:p>
        </w:tc>
        <w:tc>
          <w:tcPr>
            <w:tcW w:w="0" w:type="auto"/>
            <w:hideMark/>
          </w:tcPr>
          <w:p w14:paraId="0E4C1259" w14:textId="77777777" w:rsidR="00D042DE" w:rsidRPr="00D042DE" w:rsidRDefault="00D042DE" w:rsidP="00D042DE">
            <w:pPr>
              <w:pStyle w:val="NoSpacing"/>
            </w:pPr>
            <w:r w:rsidRPr="00D042DE">
              <w:t>11% (7/63)</w:t>
            </w:r>
          </w:p>
        </w:tc>
      </w:tr>
      <w:tr w:rsidR="00DC15E8" w:rsidRPr="00D042DE" w14:paraId="7F1C1EA3" w14:textId="77777777" w:rsidTr="00D042DE">
        <w:tc>
          <w:tcPr>
            <w:tcW w:w="0" w:type="auto"/>
            <w:hideMark/>
          </w:tcPr>
          <w:p w14:paraId="200FB3FD" w14:textId="77777777" w:rsidR="00D042DE" w:rsidRPr="00D042DE" w:rsidRDefault="00D042DE" w:rsidP="00D042DE">
            <w:pPr>
              <w:pStyle w:val="NoSpacing"/>
            </w:pPr>
            <w:r w:rsidRPr="00D042DE">
              <w:t> </w:t>
            </w:r>
            <w:r w:rsidRPr="00D042DE">
              <w:t>Refused test (inconvenient), % (n/total)</w:t>
            </w:r>
          </w:p>
        </w:tc>
        <w:tc>
          <w:tcPr>
            <w:tcW w:w="0" w:type="auto"/>
            <w:hideMark/>
          </w:tcPr>
          <w:p w14:paraId="1578B21A" w14:textId="77777777" w:rsidR="00D042DE" w:rsidRPr="00D042DE" w:rsidRDefault="00D042DE" w:rsidP="00D042DE">
            <w:pPr>
              <w:pStyle w:val="NoSpacing"/>
            </w:pPr>
            <w:r w:rsidRPr="00D042DE">
              <w:t>12% (12/101)</w:t>
            </w:r>
          </w:p>
        </w:tc>
        <w:tc>
          <w:tcPr>
            <w:tcW w:w="0" w:type="auto"/>
            <w:hideMark/>
          </w:tcPr>
          <w:p w14:paraId="525543F8" w14:textId="77777777" w:rsidR="00D042DE" w:rsidRPr="00D042DE" w:rsidRDefault="00D042DE" w:rsidP="00D042DE">
            <w:pPr>
              <w:pStyle w:val="NoSpacing"/>
            </w:pPr>
            <w:r w:rsidRPr="00D042DE">
              <w:t>13% (9/67)</w:t>
            </w:r>
          </w:p>
        </w:tc>
        <w:tc>
          <w:tcPr>
            <w:tcW w:w="0" w:type="auto"/>
            <w:hideMark/>
          </w:tcPr>
          <w:p w14:paraId="2C1D6799" w14:textId="77777777" w:rsidR="00D042DE" w:rsidRPr="00D042DE" w:rsidRDefault="00D042DE" w:rsidP="00D042DE">
            <w:pPr>
              <w:pStyle w:val="NoSpacing"/>
            </w:pPr>
            <w:r w:rsidRPr="00D042DE">
              <w:t>21% (13/63)</w:t>
            </w:r>
          </w:p>
        </w:tc>
      </w:tr>
      <w:tr w:rsidR="00DC15E8" w:rsidRPr="00D042DE" w14:paraId="7628ACAF" w14:textId="77777777" w:rsidTr="00591C14">
        <w:tc>
          <w:tcPr>
            <w:tcW w:w="0" w:type="auto"/>
            <w:hideMark/>
          </w:tcPr>
          <w:p w14:paraId="2CEB2A33" w14:textId="77777777" w:rsidR="00DC15E8" w:rsidRPr="000723E7" w:rsidRDefault="00DC15E8" w:rsidP="00D042DE">
            <w:pPr>
              <w:pStyle w:val="NoSpacing"/>
              <w:rPr>
                <w:b/>
                <w:bCs/>
              </w:rPr>
            </w:pPr>
            <w:r w:rsidRPr="000723E7">
              <w:rPr>
                <w:b/>
                <w:bCs/>
              </w:rPr>
              <w:t>MRC Dyspnea</w:t>
            </w:r>
          </w:p>
        </w:tc>
        <w:tc>
          <w:tcPr>
            <w:tcW w:w="0" w:type="auto"/>
          </w:tcPr>
          <w:p w14:paraId="54BEB50D" w14:textId="77777777" w:rsidR="00DC15E8" w:rsidRPr="00D042DE" w:rsidRDefault="00DC15E8" w:rsidP="00D042DE">
            <w:pPr>
              <w:pStyle w:val="NoSpacing"/>
            </w:pPr>
          </w:p>
        </w:tc>
        <w:tc>
          <w:tcPr>
            <w:tcW w:w="0" w:type="auto"/>
          </w:tcPr>
          <w:p w14:paraId="33349B59" w14:textId="77777777" w:rsidR="00DC15E8" w:rsidRPr="00D042DE" w:rsidRDefault="00DC15E8" w:rsidP="00D042DE">
            <w:pPr>
              <w:pStyle w:val="NoSpacing"/>
            </w:pPr>
          </w:p>
        </w:tc>
        <w:tc>
          <w:tcPr>
            <w:tcW w:w="0" w:type="auto"/>
          </w:tcPr>
          <w:p w14:paraId="74D04D0C" w14:textId="351CCCD7" w:rsidR="00DC15E8" w:rsidRPr="00D042DE" w:rsidRDefault="00DC15E8" w:rsidP="00D042DE">
            <w:pPr>
              <w:pStyle w:val="NoSpacing"/>
            </w:pPr>
          </w:p>
        </w:tc>
      </w:tr>
      <w:tr w:rsidR="00DC15E8" w:rsidRPr="00D042DE" w14:paraId="2F5EFDF4" w14:textId="77777777" w:rsidTr="00D042DE">
        <w:tc>
          <w:tcPr>
            <w:tcW w:w="0" w:type="auto"/>
            <w:hideMark/>
          </w:tcPr>
          <w:p w14:paraId="1175A200" w14:textId="77777777" w:rsidR="00D042DE" w:rsidRPr="00D042DE" w:rsidRDefault="00D042DE" w:rsidP="00D042DE">
            <w:pPr>
              <w:pStyle w:val="NoSpacing"/>
            </w:pPr>
            <w:r w:rsidRPr="00D042DE">
              <w:t> </w:t>
            </w:r>
            <w:r w:rsidRPr="00D042DE">
              <w:t>Dyspnea only with strenuous exercise or when hurrying, % (n/total)</w:t>
            </w:r>
          </w:p>
        </w:tc>
        <w:tc>
          <w:tcPr>
            <w:tcW w:w="0" w:type="auto"/>
            <w:hideMark/>
          </w:tcPr>
          <w:p w14:paraId="68D4872E" w14:textId="77777777" w:rsidR="00D042DE" w:rsidRPr="00D042DE" w:rsidRDefault="00D042DE" w:rsidP="00D042DE">
            <w:pPr>
              <w:pStyle w:val="NoSpacing"/>
            </w:pPr>
            <w:r w:rsidRPr="00D042DE">
              <w:t>38% (38/101)</w:t>
            </w:r>
          </w:p>
        </w:tc>
        <w:tc>
          <w:tcPr>
            <w:tcW w:w="0" w:type="auto"/>
            <w:hideMark/>
          </w:tcPr>
          <w:p w14:paraId="3C52DDDB" w14:textId="77777777" w:rsidR="00D042DE" w:rsidRPr="00D042DE" w:rsidRDefault="00D042DE" w:rsidP="00D042DE">
            <w:pPr>
              <w:pStyle w:val="NoSpacing"/>
            </w:pPr>
            <w:r w:rsidRPr="00D042DE">
              <w:t>64% (43/67)</w:t>
            </w:r>
          </w:p>
        </w:tc>
        <w:tc>
          <w:tcPr>
            <w:tcW w:w="0" w:type="auto"/>
            <w:hideMark/>
          </w:tcPr>
          <w:p w14:paraId="5215F4D9" w14:textId="77777777" w:rsidR="00D042DE" w:rsidRPr="00D042DE" w:rsidRDefault="00D042DE" w:rsidP="00D042DE">
            <w:pPr>
              <w:pStyle w:val="NoSpacing"/>
            </w:pPr>
            <w:r w:rsidRPr="00D042DE">
              <w:t>71% (45/63)</w:t>
            </w:r>
          </w:p>
        </w:tc>
      </w:tr>
      <w:tr w:rsidR="00DC15E8" w:rsidRPr="00D042DE" w14:paraId="2A054723" w14:textId="77777777" w:rsidTr="00D042DE">
        <w:tc>
          <w:tcPr>
            <w:tcW w:w="0" w:type="auto"/>
            <w:hideMark/>
          </w:tcPr>
          <w:p w14:paraId="6A413A4D" w14:textId="77777777" w:rsidR="00D042DE" w:rsidRPr="00D042DE" w:rsidRDefault="00D042DE" w:rsidP="00D042DE">
            <w:pPr>
              <w:pStyle w:val="NoSpacing"/>
            </w:pPr>
            <w:r w:rsidRPr="00D042DE">
              <w:t> </w:t>
            </w:r>
            <w:r w:rsidRPr="00D042DE">
              <w:t>Walking slower than most people or stopping on level ground due to dyspnea, % (n/total)</w:t>
            </w:r>
          </w:p>
        </w:tc>
        <w:tc>
          <w:tcPr>
            <w:tcW w:w="0" w:type="auto"/>
            <w:hideMark/>
          </w:tcPr>
          <w:p w14:paraId="636692CF" w14:textId="77777777" w:rsidR="00D042DE" w:rsidRPr="00D042DE" w:rsidRDefault="00D042DE" w:rsidP="00D042DE">
            <w:pPr>
              <w:pStyle w:val="NoSpacing"/>
            </w:pPr>
            <w:r w:rsidRPr="00D042DE">
              <w:t>37% (37/101)</w:t>
            </w:r>
          </w:p>
        </w:tc>
        <w:tc>
          <w:tcPr>
            <w:tcW w:w="0" w:type="auto"/>
            <w:hideMark/>
          </w:tcPr>
          <w:p w14:paraId="711AEC2F" w14:textId="77777777" w:rsidR="00D042DE" w:rsidRPr="00D042DE" w:rsidRDefault="00D042DE" w:rsidP="00D042DE">
            <w:pPr>
              <w:pStyle w:val="NoSpacing"/>
            </w:pPr>
            <w:r w:rsidRPr="00D042DE">
              <w:t>21% (14/67)</w:t>
            </w:r>
          </w:p>
        </w:tc>
        <w:tc>
          <w:tcPr>
            <w:tcW w:w="0" w:type="auto"/>
            <w:hideMark/>
          </w:tcPr>
          <w:p w14:paraId="30E3B0E0" w14:textId="77777777" w:rsidR="00D042DE" w:rsidRPr="00D042DE" w:rsidRDefault="00D042DE" w:rsidP="00D042DE">
            <w:pPr>
              <w:pStyle w:val="NoSpacing"/>
            </w:pPr>
            <w:r w:rsidRPr="00D042DE">
              <w:t>17% (11/63)</w:t>
            </w:r>
          </w:p>
        </w:tc>
      </w:tr>
      <w:tr w:rsidR="00DC15E8" w:rsidRPr="00D042DE" w14:paraId="5EA1BFFF" w14:textId="77777777" w:rsidTr="00D042DE">
        <w:tc>
          <w:tcPr>
            <w:tcW w:w="0" w:type="auto"/>
            <w:hideMark/>
          </w:tcPr>
          <w:p w14:paraId="2786C150" w14:textId="77777777" w:rsidR="00D042DE" w:rsidRPr="00D042DE" w:rsidRDefault="00D042DE" w:rsidP="00D042DE">
            <w:pPr>
              <w:pStyle w:val="NoSpacing"/>
            </w:pPr>
            <w:r w:rsidRPr="00D042DE">
              <w:t> </w:t>
            </w:r>
            <w:r w:rsidRPr="00D042DE">
              <w:t>Dyspnea upon dressing and/or dyspnea that prevented them from leaving the house, % (n/total)</w:t>
            </w:r>
          </w:p>
        </w:tc>
        <w:tc>
          <w:tcPr>
            <w:tcW w:w="0" w:type="auto"/>
            <w:hideMark/>
          </w:tcPr>
          <w:p w14:paraId="77B2EB5B" w14:textId="77777777" w:rsidR="00D042DE" w:rsidRPr="00D042DE" w:rsidRDefault="00D042DE" w:rsidP="00D042DE">
            <w:pPr>
              <w:pStyle w:val="NoSpacing"/>
            </w:pPr>
            <w:r w:rsidRPr="00D042DE">
              <w:t>26% (26/101)</w:t>
            </w:r>
          </w:p>
        </w:tc>
        <w:tc>
          <w:tcPr>
            <w:tcW w:w="0" w:type="auto"/>
            <w:hideMark/>
          </w:tcPr>
          <w:p w14:paraId="25FC0556" w14:textId="77777777" w:rsidR="00D042DE" w:rsidRPr="00D042DE" w:rsidRDefault="00D042DE" w:rsidP="00D042DE">
            <w:pPr>
              <w:pStyle w:val="NoSpacing"/>
            </w:pPr>
            <w:r w:rsidRPr="00D042DE">
              <w:t>15% (10/67)</w:t>
            </w:r>
          </w:p>
        </w:tc>
        <w:tc>
          <w:tcPr>
            <w:tcW w:w="0" w:type="auto"/>
            <w:hideMark/>
          </w:tcPr>
          <w:p w14:paraId="506570B5" w14:textId="77777777" w:rsidR="00D042DE" w:rsidRPr="00D042DE" w:rsidRDefault="00D042DE" w:rsidP="00D042DE">
            <w:pPr>
              <w:pStyle w:val="NoSpacing"/>
            </w:pPr>
            <w:r w:rsidRPr="00D042DE">
              <w:t>11% (7/63)</w:t>
            </w:r>
          </w:p>
        </w:tc>
      </w:tr>
      <w:tr w:rsidR="00DC15E8" w:rsidRPr="00D042DE" w14:paraId="499D9A87" w14:textId="77777777" w:rsidTr="00591C14">
        <w:tc>
          <w:tcPr>
            <w:tcW w:w="0" w:type="auto"/>
            <w:hideMark/>
          </w:tcPr>
          <w:p w14:paraId="2CE0BF2B" w14:textId="77777777" w:rsidR="00DC15E8" w:rsidRPr="000723E7" w:rsidRDefault="00DC15E8" w:rsidP="00D042DE">
            <w:pPr>
              <w:pStyle w:val="NoSpacing"/>
              <w:rPr>
                <w:b/>
                <w:bCs/>
              </w:rPr>
            </w:pPr>
            <w:r w:rsidRPr="000723E7">
              <w:rPr>
                <w:b/>
                <w:bCs/>
              </w:rPr>
              <w:t>Supplemental O2 Use</w:t>
            </w:r>
          </w:p>
        </w:tc>
        <w:tc>
          <w:tcPr>
            <w:tcW w:w="0" w:type="auto"/>
          </w:tcPr>
          <w:p w14:paraId="4512A5FE" w14:textId="77777777" w:rsidR="00DC15E8" w:rsidRPr="00D042DE" w:rsidRDefault="00DC15E8" w:rsidP="00D042DE">
            <w:pPr>
              <w:pStyle w:val="NoSpacing"/>
            </w:pPr>
          </w:p>
        </w:tc>
        <w:tc>
          <w:tcPr>
            <w:tcW w:w="0" w:type="auto"/>
          </w:tcPr>
          <w:p w14:paraId="7776E526" w14:textId="77777777" w:rsidR="00DC15E8" w:rsidRPr="00D042DE" w:rsidRDefault="00DC15E8" w:rsidP="00D042DE">
            <w:pPr>
              <w:pStyle w:val="NoSpacing"/>
            </w:pPr>
          </w:p>
        </w:tc>
        <w:tc>
          <w:tcPr>
            <w:tcW w:w="0" w:type="auto"/>
          </w:tcPr>
          <w:p w14:paraId="7E4F7738" w14:textId="3AF039A8" w:rsidR="00DC15E8" w:rsidRPr="00D042DE" w:rsidRDefault="00DC15E8" w:rsidP="00D042DE">
            <w:pPr>
              <w:pStyle w:val="NoSpacing"/>
            </w:pPr>
          </w:p>
        </w:tc>
      </w:tr>
      <w:tr w:rsidR="00DC15E8" w:rsidRPr="00D042DE" w14:paraId="4FD7F6E2" w14:textId="77777777" w:rsidTr="00D042DE">
        <w:tc>
          <w:tcPr>
            <w:tcW w:w="0" w:type="auto"/>
            <w:hideMark/>
          </w:tcPr>
          <w:p w14:paraId="3E3DF832" w14:textId="77777777" w:rsidR="00D042DE" w:rsidRPr="00D042DE" w:rsidRDefault="00D042DE" w:rsidP="00D042DE">
            <w:pPr>
              <w:pStyle w:val="NoSpacing"/>
            </w:pPr>
            <w:r w:rsidRPr="00D042DE">
              <w:t> </w:t>
            </w:r>
            <w:r w:rsidRPr="00D042DE">
              <w:t>% (n/total)</w:t>
            </w:r>
          </w:p>
        </w:tc>
        <w:tc>
          <w:tcPr>
            <w:tcW w:w="0" w:type="auto"/>
            <w:hideMark/>
          </w:tcPr>
          <w:p w14:paraId="6A67771E" w14:textId="77777777" w:rsidR="00D042DE" w:rsidRPr="00D042DE" w:rsidRDefault="00D042DE" w:rsidP="00D042DE">
            <w:pPr>
              <w:pStyle w:val="NoSpacing"/>
            </w:pPr>
            <w:r w:rsidRPr="00D042DE">
              <w:t>40% (40/101)</w:t>
            </w:r>
          </w:p>
        </w:tc>
        <w:tc>
          <w:tcPr>
            <w:tcW w:w="0" w:type="auto"/>
            <w:hideMark/>
          </w:tcPr>
          <w:p w14:paraId="1E51BBC0" w14:textId="77777777" w:rsidR="00D042DE" w:rsidRPr="00D042DE" w:rsidRDefault="00D042DE" w:rsidP="00D042DE">
            <w:pPr>
              <w:pStyle w:val="NoSpacing"/>
            </w:pPr>
            <w:r w:rsidRPr="00D042DE">
              <w:t>27% (18/67)</w:t>
            </w:r>
          </w:p>
        </w:tc>
        <w:tc>
          <w:tcPr>
            <w:tcW w:w="0" w:type="auto"/>
            <w:hideMark/>
          </w:tcPr>
          <w:p w14:paraId="409C8646" w14:textId="77777777" w:rsidR="00D042DE" w:rsidRPr="00D042DE" w:rsidRDefault="00D042DE" w:rsidP="00D042DE">
            <w:pPr>
              <w:pStyle w:val="NoSpacing"/>
            </w:pPr>
            <w:r w:rsidRPr="00D042DE">
              <w:t>29% (18/63)</w:t>
            </w:r>
          </w:p>
        </w:tc>
      </w:tr>
      <w:tr w:rsidR="00DC15E8" w:rsidRPr="00D042DE" w14:paraId="1500360C" w14:textId="77777777" w:rsidTr="00591C14">
        <w:tc>
          <w:tcPr>
            <w:tcW w:w="0" w:type="auto"/>
            <w:hideMark/>
          </w:tcPr>
          <w:p w14:paraId="56E83C6C" w14:textId="77777777" w:rsidR="00DC15E8" w:rsidRPr="000723E7" w:rsidRDefault="00DC15E8" w:rsidP="00D042DE">
            <w:pPr>
              <w:pStyle w:val="NoSpacing"/>
              <w:rPr>
                <w:b/>
                <w:bCs/>
              </w:rPr>
            </w:pPr>
            <w:r w:rsidRPr="000723E7">
              <w:rPr>
                <w:b/>
                <w:bCs/>
              </w:rPr>
              <w:t>Therapy</w:t>
            </w:r>
          </w:p>
        </w:tc>
        <w:tc>
          <w:tcPr>
            <w:tcW w:w="0" w:type="auto"/>
          </w:tcPr>
          <w:p w14:paraId="2662E52F" w14:textId="77777777" w:rsidR="00DC15E8" w:rsidRPr="00D042DE" w:rsidRDefault="00DC15E8" w:rsidP="00D042DE">
            <w:pPr>
              <w:pStyle w:val="NoSpacing"/>
            </w:pPr>
          </w:p>
        </w:tc>
        <w:tc>
          <w:tcPr>
            <w:tcW w:w="0" w:type="auto"/>
          </w:tcPr>
          <w:p w14:paraId="3AFF0FC5" w14:textId="77777777" w:rsidR="00DC15E8" w:rsidRPr="00D042DE" w:rsidRDefault="00DC15E8" w:rsidP="00D042DE">
            <w:pPr>
              <w:pStyle w:val="NoSpacing"/>
            </w:pPr>
          </w:p>
        </w:tc>
        <w:tc>
          <w:tcPr>
            <w:tcW w:w="0" w:type="auto"/>
          </w:tcPr>
          <w:p w14:paraId="2B271292" w14:textId="2219E80F" w:rsidR="00DC15E8" w:rsidRPr="00D042DE" w:rsidRDefault="00DC15E8" w:rsidP="00D042DE">
            <w:pPr>
              <w:pStyle w:val="NoSpacing"/>
            </w:pPr>
          </w:p>
        </w:tc>
      </w:tr>
      <w:tr w:rsidR="00DC15E8" w:rsidRPr="00D042DE" w14:paraId="740735D4" w14:textId="77777777" w:rsidTr="00D042DE">
        <w:tc>
          <w:tcPr>
            <w:tcW w:w="0" w:type="auto"/>
            <w:hideMark/>
          </w:tcPr>
          <w:p w14:paraId="44261704" w14:textId="77777777" w:rsidR="00D042DE" w:rsidRPr="00D042DE" w:rsidRDefault="00D042DE" w:rsidP="00D042DE">
            <w:pPr>
              <w:pStyle w:val="NoSpacing"/>
            </w:pPr>
            <w:r w:rsidRPr="00D042DE">
              <w:t> </w:t>
            </w:r>
            <w:r w:rsidRPr="00D042DE">
              <w:t>In-home care, % (n/total)</w:t>
            </w:r>
          </w:p>
        </w:tc>
        <w:tc>
          <w:tcPr>
            <w:tcW w:w="0" w:type="auto"/>
            <w:hideMark/>
          </w:tcPr>
          <w:p w14:paraId="044DD830" w14:textId="77777777" w:rsidR="00D042DE" w:rsidRPr="00D042DE" w:rsidRDefault="00D042DE" w:rsidP="00D042DE">
            <w:pPr>
              <w:pStyle w:val="NoSpacing"/>
            </w:pPr>
            <w:r w:rsidRPr="00D042DE">
              <w:t>3% (3/101)</w:t>
            </w:r>
          </w:p>
        </w:tc>
        <w:tc>
          <w:tcPr>
            <w:tcW w:w="0" w:type="auto"/>
            <w:hideMark/>
          </w:tcPr>
          <w:p w14:paraId="396B53D9" w14:textId="77777777" w:rsidR="00D042DE" w:rsidRPr="00D042DE" w:rsidRDefault="00D042DE" w:rsidP="00D042DE">
            <w:pPr>
              <w:pStyle w:val="NoSpacing"/>
            </w:pPr>
            <w:r w:rsidRPr="00D042DE">
              <w:t>3% (2/67)</w:t>
            </w:r>
          </w:p>
        </w:tc>
        <w:tc>
          <w:tcPr>
            <w:tcW w:w="0" w:type="auto"/>
            <w:hideMark/>
          </w:tcPr>
          <w:p w14:paraId="657C7E53" w14:textId="77777777" w:rsidR="00D042DE" w:rsidRPr="00D042DE" w:rsidRDefault="00D042DE" w:rsidP="00D042DE">
            <w:pPr>
              <w:pStyle w:val="NoSpacing"/>
            </w:pPr>
            <w:r w:rsidRPr="00D042DE">
              <w:t>0% (0/63)</w:t>
            </w:r>
          </w:p>
        </w:tc>
      </w:tr>
      <w:tr w:rsidR="00DC15E8" w:rsidRPr="00D042DE" w14:paraId="294E971C" w14:textId="77777777" w:rsidTr="00D042DE">
        <w:tc>
          <w:tcPr>
            <w:tcW w:w="0" w:type="auto"/>
            <w:hideMark/>
          </w:tcPr>
          <w:p w14:paraId="53A8F3A3" w14:textId="77777777" w:rsidR="00D042DE" w:rsidRPr="00D042DE" w:rsidRDefault="00D042DE" w:rsidP="00D042DE">
            <w:pPr>
              <w:pStyle w:val="NoSpacing"/>
            </w:pPr>
            <w:r w:rsidRPr="00D042DE">
              <w:t> </w:t>
            </w:r>
            <w:r w:rsidRPr="00D042DE">
              <w:t>Outpatient PT and/or OT, % (n/total)</w:t>
            </w:r>
          </w:p>
        </w:tc>
        <w:tc>
          <w:tcPr>
            <w:tcW w:w="0" w:type="auto"/>
            <w:hideMark/>
          </w:tcPr>
          <w:p w14:paraId="1397842B" w14:textId="77777777" w:rsidR="00D042DE" w:rsidRPr="00D042DE" w:rsidRDefault="00D042DE" w:rsidP="00D042DE">
            <w:pPr>
              <w:pStyle w:val="NoSpacing"/>
            </w:pPr>
            <w:r w:rsidRPr="00D042DE">
              <w:t>10% (10/101)</w:t>
            </w:r>
          </w:p>
        </w:tc>
        <w:tc>
          <w:tcPr>
            <w:tcW w:w="0" w:type="auto"/>
            <w:hideMark/>
          </w:tcPr>
          <w:p w14:paraId="36B611D4" w14:textId="77777777" w:rsidR="00D042DE" w:rsidRPr="00D042DE" w:rsidRDefault="00D042DE" w:rsidP="00D042DE">
            <w:pPr>
              <w:pStyle w:val="NoSpacing"/>
            </w:pPr>
            <w:r w:rsidRPr="00D042DE">
              <w:t>3% (2/67)</w:t>
            </w:r>
          </w:p>
        </w:tc>
        <w:tc>
          <w:tcPr>
            <w:tcW w:w="0" w:type="auto"/>
            <w:hideMark/>
          </w:tcPr>
          <w:p w14:paraId="01D6D24D" w14:textId="77777777" w:rsidR="00D042DE" w:rsidRPr="00D042DE" w:rsidRDefault="00D042DE" w:rsidP="00D042DE">
            <w:pPr>
              <w:pStyle w:val="NoSpacing"/>
            </w:pPr>
            <w:r w:rsidRPr="00D042DE">
              <w:t>11% (7/63)</w:t>
            </w:r>
          </w:p>
        </w:tc>
      </w:tr>
      <w:tr w:rsidR="00DC15E8" w:rsidRPr="000723E7" w14:paraId="19B29C2B" w14:textId="77777777" w:rsidTr="00D042DE">
        <w:tc>
          <w:tcPr>
            <w:tcW w:w="0" w:type="auto"/>
            <w:hideMark/>
          </w:tcPr>
          <w:p w14:paraId="4707DD6C" w14:textId="77777777" w:rsidR="00D042DE" w:rsidRPr="000723E7" w:rsidRDefault="00D042DE" w:rsidP="00D042DE">
            <w:pPr>
              <w:pStyle w:val="NoSpacing"/>
              <w:rPr>
                <w:b/>
                <w:bCs/>
              </w:rPr>
            </w:pPr>
            <w:r w:rsidRPr="000723E7">
              <w:rPr>
                <w:b/>
                <w:bCs/>
              </w:rPr>
              <w:t> </w:t>
            </w:r>
          </w:p>
        </w:tc>
        <w:tc>
          <w:tcPr>
            <w:tcW w:w="0" w:type="auto"/>
            <w:hideMark/>
          </w:tcPr>
          <w:p w14:paraId="13C65752" w14:textId="77777777" w:rsidR="00D042DE" w:rsidRPr="000723E7" w:rsidRDefault="00D042DE" w:rsidP="00D042DE">
            <w:pPr>
              <w:pStyle w:val="NoSpacing"/>
              <w:rPr>
                <w:b/>
                <w:bCs/>
              </w:rPr>
            </w:pPr>
            <w:r w:rsidRPr="000723E7">
              <w:rPr>
                <w:b/>
                <w:bCs/>
              </w:rPr>
              <w:t>Weeks 2–6</w:t>
            </w:r>
          </w:p>
        </w:tc>
        <w:tc>
          <w:tcPr>
            <w:tcW w:w="0" w:type="auto"/>
            <w:hideMark/>
          </w:tcPr>
          <w:p w14:paraId="3B10AB86" w14:textId="77777777" w:rsidR="00D042DE" w:rsidRPr="000723E7" w:rsidRDefault="00D042DE" w:rsidP="00D042DE">
            <w:pPr>
              <w:pStyle w:val="NoSpacing"/>
              <w:rPr>
                <w:b/>
                <w:bCs/>
              </w:rPr>
            </w:pPr>
            <w:r w:rsidRPr="000723E7">
              <w:rPr>
                <w:b/>
                <w:bCs/>
              </w:rPr>
              <w:t>Week 12</w:t>
            </w:r>
          </w:p>
        </w:tc>
        <w:tc>
          <w:tcPr>
            <w:tcW w:w="0" w:type="auto"/>
            <w:hideMark/>
          </w:tcPr>
          <w:p w14:paraId="0990F924" w14:textId="77777777" w:rsidR="00D042DE" w:rsidRPr="000723E7" w:rsidRDefault="00D042DE" w:rsidP="00D042DE">
            <w:pPr>
              <w:pStyle w:val="NoSpacing"/>
              <w:rPr>
                <w:b/>
                <w:bCs/>
              </w:rPr>
            </w:pPr>
            <w:r w:rsidRPr="000723E7">
              <w:rPr>
                <w:b/>
                <w:bCs/>
              </w:rPr>
              <w:t>Week 18</w:t>
            </w:r>
          </w:p>
        </w:tc>
      </w:tr>
      <w:tr w:rsidR="00DC15E8" w:rsidRPr="000723E7" w14:paraId="32064039" w14:textId="77777777" w:rsidTr="00D042DE">
        <w:tc>
          <w:tcPr>
            <w:tcW w:w="0" w:type="auto"/>
            <w:hideMark/>
          </w:tcPr>
          <w:p w14:paraId="741DD909" w14:textId="77777777" w:rsidR="00D042DE" w:rsidRPr="000723E7" w:rsidRDefault="00D042DE" w:rsidP="00D042DE">
            <w:pPr>
              <w:pStyle w:val="NoSpacing"/>
              <w:rPr>
                <w:b/>
                <w:bCs/>
              </w:rPr>
            </w:pPr>
            <w:r w:rsidRPr="000723E7">
              <w:rPr>
                <w:b/>
                <w:bCs/>
              </w:rPr>
              <w:t>Survey Form (one or more section completed)</w:t>
            </w:r>
          </w:p>
        </w:tc>
        <w:tc>
          <w:tcPr>
            <w:tcW w:w="0" w:type="auto"/>
            <w:hideMark/>
          </w:tcPr>
          <w:p w14:paraId="381C300C" w14:textId="77777777" w:rsidR="00D042DE" w:rsidRPr="000723E7" w:rsidRDefault="00D042DE" w:rsidP="00D042DE">
            <w:pPr>
              <w:pStyle w:val="NoSpacing"/>
              <w:rPr>
                <w:b/>
                <w:bCs/>
              </w:rPr>
            </w:pPr>
            <w:r w:rsidRPr="000723E7">
              <w:rPr>
                <w:b/>
                <w:bCs/>
                <w:i/>
                <w:iCs/>
              </w:rPr>
              <w:t>N</w:t>
            </w:r>
            <w:r w:rsidRPr="000723E7">
              <w:rPr>
                <w:b/>
                <w:bCs/>
              </w:rPr>
              <w:t> = 69</w:t>
            </w:r>
          </w:p>
        </w:tc>
        <w:tc>
          <w:tcPr>
            <w:tcW w:w="0" w:type="auto"/>
            <w:hideMark/>
          </w:tcPr>
          <w:p w14:paraId="2C6C06EA" w14:textId="77777777" w:rsidR="00D042DE" w:rsidRPr="000723E7" w:rsidRDefault="00D042DE" w:rsidP="00D042DE">
            <w:pPr>
              <w:pStyle w:val="NoSpacing"/>
              <w:rPr>
                <w:b/>
                <w:bCs/>
              </w:rPr>
            </w:pPr>
            <w:r w:rsidRPr="000723E7">
              <w:rPr>
                <w:b/>
                <w:bCs/>
                <w:i/>
                <w:iCs/>
              </w:rPr>
              <w:t>N</w:t>
            </w:r>
            <w:r w:rsidRPr="000723E7">
              <w:rPr>
                <w:b/>
                <w:bCs/>
              </w:rPr>
              <w:t> = 56</w:t>
            </w:r>
          </w:p>
        </w:tc>
        <w:tc>
          <w:tcPr>
            <w:tcW w:w="0" w:type="auto"/>
            <w:hideMark/>
          </w:tcPr>
          <w:p w14:paraId="47520E95" w14:textId="77777777" w:rsidR="00D042DE" w:rsidRPr="000723E7" w:rsidRDefault="00D042DE" w:rsidP="00D042DE">
            <w:pPr>
              <w:pStyle w:val="NoSpacing"/>
              <w:rPr>
                <w:b/>
                <w:bCs/>
              </w:rPr>
            </w:pPr>
            <w:r w:rsidRPr="000723E7">
              <w:rPr>
                <w:b/>
                <w:bCs/>
                <w:i/>
                <w:iCs/>
              </w:rPr>
              <w:t>N</w:t>
            </w:r>
            <w:r w:rsidRPr="000723E7">
              <w:rPr>
                <w:b/>
                <w:bCs/>
              </w:rPr>
              <w:t> = 59</w:t>
            </w:r>
          </w:p>
        </w:tc>
      </w:tr>
      <w:tr w:rsidR="00DC15E8" w:rsidRPr="000723E7" w14:paraId="4135540F" w14:textId="77777777" w:rsidTr="00591C14">
        <w:tc>
          <w:tcPr>
            <w:tcW w:w="0" w:type="auto"/>
            <w:hideMark/>
          </w:tcPr>
          <w:p w14:paraId="61ED6DA1" w14:textId="77777777" w:rsidR="00DC15E8" w:rsidRPr="000723E7" w:rsidRDefault="00DC15E8" w:rsidP="00D042DE">
            <w:pPr>
              <w:pStyle w:val="NoSpacing"/>
              <w:rPr>
                <w:b/>
                <w:bCs/>
              </w:rPr>
            </w:pPr>
            <w:r w:rsidRPr="000723E7">
              <w:rPr>
                <w:b/>
                <w:bCs/>
              </w:rPr>
              <w:t>Reported Clinical Frailty Scale score</w:t>
            </w:r>
            <w:r w:rsidRPr="000723E7">
              <w:rPr>
                <w:b/>
                <w:bCs/>
                <w:vertAlign w:val="superscript"/>
              </w:rPr>
              <w:t>a</w:t>
            </w:r>
          </w:p>
        </w:tc>
        <w:tc>
          <w:tcPr>
            <w:tcW w:w="0" w:type="auto"/>
          </w:tcPr>
          <w:p w14:paraId="6C9392CD" w14:textId="77777777" w:rsidR="00DC15E8" w:rsidRPr="000723E7" w:rsidRDefault="00DC15E8" w:rsidP="00D042DE">
            <w:pPr>
              <w:pStyle w:val="NoSpacing"/>
              <w:rPr>
                <w:b/>
                <w:bCs/>
              </w:rPr>
            </w:pPr>
          </w:p>
        </w:tc>
        <w:tc>
          <w:tcPr>
            <w:tcW w:w="0" w:type="auto"/>
          </w:tcPr>
          <w:p w14:paraId="7473B017" w14:textId="77777777" w:rsidR="00DC15E8" w:rsidRPr="000723E7" w:rsidRDefault="00DC15E8" w:rsidP="00D042DE">
            <w:pPr>
              <w:pStyle w:val="NoSpacing"/>
              <w:rPr>
                <w:b/>
                <w:bCs/>
              </w:rPr>
            </w:pPr>
          </w:p>
        </w:tc>
        <w:tc>
          <w:tcPr>
            <w:tcW w:w="0" w:type="auto"/>
          </w:tcPr>
          <w:p w14:paraId="34DA993C" w14:textId="19C2D18A" w:rsidR="00DC15E8" w:rsidRPr="000723E7" w:rsidRDefault="00DC15E8" w:rsidP="00D042DE">
            <w:pPr>
              <w:pStyle w:val="NoSpacing"/>
              <w:rPr>
                <w:b/>
                <w:bCs/>
              </w:rPr>
            </w:pPr>
          </w:p>
        </w:tc>
      </w:tr>
      <w:tr w:rsidR="00DC15E8" w:rsidRPr="00D042DE" w14:paraId="6E5D8298" w14:textId="77777777" w:rsidTr="00D042DE">
        <w:tc>
          <w:tcPr>
            <w:tcW w:w="0" w:type="auto"/>
            <w:hideMark/>
          </w:tcPr>
          <w:p w14:paraId="35E6A54E" w14:textId="77777777" w:rsidR="00D042DE" w:rsidRPr="00D042DE" w:rsidRDefault="00D042DE" w:rsidP="00D042DE">
            <w:pPr>
              <w:pStyle w:val="NoSpacing"/>
            </w:pPr>
            <w:r w:rsidRPr="00D042DE">
              <w:t> </w:t>
            </w:r>
            <w:r w:rsidRPr="00D042DE">
              <w:t>Pre-frail/frail score, % (n/total)</w:t>
            </w:r>
          </w:p>
        </w:tc>
        <w:tc>
          <w:tcPr>
            <w:tcW w:w="0" w:type="auto"/>
            <w:hideMark/>
          </w:tcPr>
          <w:p w14:paraId="6C6083B7" w14:textId="77777777" w:rsidR="00D042DE" w:rsidRPr="00D042DE" w:rsidRDefault="00D042DE" w:rsidP="00D042DE">
            <w:pPr>
              <w:pStyle w:val="NoSpacing"/>
            </w:pPr>
            <w:r w:rsidRPr="00D042DE">
              <w:t>77% (51/66)</w:t>
            </w:r>
          </w:p>
        </w:tc>
        <w:tc>
          <w:tcPr>
            <w:tcW w:w="0" w:type="auto"/>
            <w:hideMark/>
          </w:tcPr>
          <w:p w14:paraId="4DA9F047" w14:textId="77777777" w:rsidR="00D042DE" w:rsidRPr="00D042DE" w:rsidRDefault="00D042DE" w:rsidP="00D042DE">
            <w:pPr>
              <w:pStyle w:val="NoSpacing"/>
            </w:pPr>
            <w:r w:rsidRPr="00D042DE">
              <w:t>59% (33/56)</w:t>
            </w:r>
          </w:p>
        </w:tc>
        <w:tc>
          <w:tcPr>
            <w:tcW w:w="0" w:type="auto"/>
            <w:hideMark/>
          </w:tcPr>
          <w:p w14:paraId="0B73A3BF" w14:textId="77777777" w:rsidR="00D042DE" w:rsidRPr="00D042DE" w:rsidRDefault="00D042DE" w:rsidP="00D042DE">
            <w:pPr>
              <w:pStyle w:val="NoSpacing"/>
            </w:pPr>
            <w:r w:rsidRPr="00D042DE">
              <w:t>51% (30/59)</w:t>
            </w:r>
          </w:p>
        </w:tc>
      </w:tr>
      <w:tr w:rsidR="00DC15E8" w:rsidRPr="00D042DE" w14:paraId="20F5D8E2" w14:textId="77777777" w:rsidTr="00D042DE">
        <w:tc>
          <w:tcPr>
            <w:tcW w:w="0" w:type="auto"/>
            <w:hideMark/>
          </w:tcPr>
          <w:p w14:paraId="1467E181" w14:textId="77777777" w:rsidR="00D042DE" w:rsidRPr="00D042DE" w:rsidRDefault="00D042DE" w:rsidP="00D042DE">
            <w:pPr>
              <w:pStyle w:val="NoSpacing"/>
            </w:pPr>
            <w:r w:rsidRPr="00D042DE">
              <w:t> </w:t>
            </w:r>
            <w:r w:rsidRPr="00D042DE">
              <w:t>Return to pre-hospitalized level, % (n/total)</w:t>
            </w:r>
          </w:p>
        </w:tc>
        <w:tc>
          <w:tcPr>
            <w:tcW w:w="0" w:type="auto"/>
            <w:hideMark/>
          </w:tcPr>
          <w:p w14:paraId="7042D512" w14:textId="77777777" w:rsidR="00D042DE" w:rsidRPr="00D042DE" w:rsidRDefault="00D042DE" w:rsidP="00D042DE">
            <w:pPr>
              <w:pStyle w:val="NoSpacing"/>
            </w:pPr>
            <w:r w:rsidRPr="00D042DE">
              <w:t>33% (21/64)</w:t>
            </w:r>
          </w:p>
        </w:tc>
        <w:tc>
          <w:tcPr>
            <w:tcW w:w="0" w:type="auto"/>
            <w:hideMark/>
          </w:tcPr>
          <w:p w14:paraId="4EF5111E" w14:textId="77777777" w:rsidR="00D042DE" w:rsidRPr="00D042DE" w:rsidRDefault="00D042DE" w:rsidP="00D042DE">
            <w:pPr>
              <w:pStyle w:val="NoSpacing"/>
            </w:pPr>
            <w:r w:rsidRPr="00D042DE">
              <w:t>55% (27/49)</w:t>
            </w:r>
          </w:p>
        </w:tc>
        <w:tc>
          <w:tcPr>
            <w:tcW w:w="0" w:type="auto"/>
            <w:hideMark/>
          </w:tcPr>
          <w:p w14:paraId="2A9E9639" w14:textId="77777777" w:rsidR="00D042DE" w:rsidRPr="00D042DE" w:rsidRDefault="00D042DE" w:rsidP="00D042DE">
            <w:pPr>
              <w:pStyle w:val="NoSpacing"/>
            </w:pPr>
            <w:r w:rsidRPr="00D042DE">
              <w:t>60% (29/48)</w:t>
            </w:r>
          </w:p>
        </w:tc>
      </w:tr>
      <w:tr w:rsidR="00DC15E8" w:rsidRPr="000723E7" w14:paraId="701D6CE6" w14:textId="77777777" w:rsidTr="00591C14">
        <w:tc>
          <w:tcPr>
            <w:tcW w:w="0" w:type="auto"/>
            <w:hideMark/>
          </w:tcPr>
          <w:p w14:paraId="39D698BB" w14:textId="77777777" w:rsidR="00DC15E8" w:rsidRPr="000723E7" w:rsidRDefault="00DC15E8" w:rsidP="00D042DE">
            <w:pPr>
              <w:pStyle w:val="NoSpacing"/>
              <w:rPr>
                <w:b/>
                <w:bCs/>
              </w:rPr>
            </w:pPr>
            <w:r w:rsidRPr="000723E7">
              <w:rPr>
                <w:b/>
                <w:bCs/>
              </w:rPr>
              <w:t>IES-6</w:t>
            </w:r>
          </w:p>
        </w:tc>
        <w:tc>
          <w:tcPr>
            <w:tcW w:w="0" w:type="auto"/>
          </w:tcPr>
          <w:p w14:paraId="78AE228F" w14:textId="77777777" w:rsidR="00DC15E8" w:rsidRPr="000723E7" w:rsidRDefault="00DC15E8" w:rsidP="00D042DE">
            <w:pPr>
              <w:pStyle w:val="NoSpacing"/>
              <w:rPr>
                <w:b/>
                <w:bCs/>
              </w:rPr>
            </w:pPr>
          </w:p>
        </w:tc>
        <w:tc>
          <w:tcPr>
            <w:tcW w:w="0" w:type="auto"/>
          </w:tcPr>
          <w:p w14:paraId="4B70C5FA" w14:textId="77777777" w:rsidR="00DC15E8" w:rsidRPr="000723E7" w:rsidRDefault="00DC15E8" w:rsidP="00D042DE">
            <w:pPr>
              <w:pStyle w:val="NoSpacing"/>
              <w:rPr>
                <w:b/>
                <w:bCs/>
              </w:rPr>
            </w:pPr>
          </w:p>
        </w:tc>
        <w:tc>
          <w:tcPr>
            <w:tcW w:w="0" w:type="auto"/>
          </w:tcPr>
          <w:p w14:paraId="128E1738" w14:textId="708BAF72" w:rsidR="00DC15E8" w:rsidRPr="000723E7" w:rsidRDefault="00DC15E8" w:rsidP="00D042DE">
            <w:pPr>
              <w:pStyle w:val="NoSpacing"/>
              <w:rPr>
                <w:b/>
                <w:bCs/>
              </w:rPr>
            </w:pPr>
          </w:p>
        </w:tc>
      </w:tr>
      <w:tr w:rsidR="00DC15E8" w:rsidRPr="00D042DE" w14:paraId="516B2416" w14:textId="77777777" w:rsidTr="00D042DE">
        <w:tc>
          <w:tcPr>
            <w:tcW w:w="0" w:type="auto"/>
            <w:hideMark/>
          </w:tcPr>
          <w:p w14:paraId="33E79E2E" w14:textId="77777777" w:rsidR="00D042DE" w:rsidRPr="00D042DE" w:rsidRDefault="00D042DE" w:rsidP="00D042DE">
            <w:pPr>
              <w:pStyle w:val="NoSpacing"/>
            </w:pPr>
            <w:r w:rsidRPr="00D042DE">
              <w:t> </w:t>
            </w:r>
            <w:r w:rsidRPr="00D042DE">
              <w:t>Probable PTSD, % (n/total)</w:t>
            </w:r>
          </w:p>
        </w:tc>
        <w:tc>
          <w:tcPr>
            <w:tcW w:w="0" w:type="auto"/>
            <w:hideMark/>
          </w:tcPr>
          <w:p w14:paraId="57AC1078" w14:textId="77777777" w:rsidR="00D042DE" w:rsidRPr="00D042DE" w:rsidRDefault="00D042DE" w:rsidP="00D042DE">
            <w:pPr>
              <w:pStyle w:val="NoSpacing"/>
            </w:pPr>
            <w:r w:rsidRPr="00D042DE">
              <w:t>45% (31/69)</w:t>
            </w:r>
          </w:p>
        </w:tc>
        <w:tc>
          <w:tcPr>
            <w:tcW w:w="0" w:type="auto"/>
            <w:hideMark/>
          </w:tcPr>
          <w:p w14:paraId="7F00A98D" w14:textId="77777777" w:rsidR="00D042DE" w:rsidRPr="00D042DE" w:rsidRDefault="00D042DE" w:rsidP="00D042DE">
            <w:pPr>
              <w:pStyle w:val="NoSpacing"/>
            </w:pPr>
            <w:r w:rsidRPr="00D042DE">
              <w:t>20% (11/56)</w:t>
            </w:r>
          </w:p>
        </w:tc>
        <w:tc>
          <w:tcPr>
            <w:tcW w:w="0" w:type="auto"/>
            <w:hideMark/>
          </w:tcPr>
          <w:p w14:paraId="57757DE2" w14:textId="77777777" w:rsidR="00D042DE" w:rsidRPr="00D042DE" w:rsidRDefault="00D042DE" w:rsidP="00D042DE">
            <w:pPr>
              <w:pStyle w:val="NoSpacing"/>
            </w:pPr>
            <w:r w:rsidRPr="00D042DE">
              <w:t>22% (13/59)</w:t>
            </w:r>
          </w:p>
        </w:tc>
      </w:tr>
      <w:tr w:rsidR="00DC15E8" w:rsidRPr="00D042DE" w14:paraId="5F4F6A30" w14:textId="77777777" w:rsidTr="00D042DE">
        <w:tc>
          <w:tcPr>
            <w:tcW w:w="0" w:type="auto"/>
            <w:hideMark/>
          </w:tcPr>
          <w:p w14:paraId="165449CB" w14:textId="77777777" w:rsidR="00D042DE" w:rsidRPr="00D042DE" w:rsidRDefault="00D042DE" w:rsidP="00D042DE">
            <w:pPr>
              <w:pStyle w:val="NoSpacing"/>
            </w:pPr>
            <w:r w:rsidRPr="00D042DE">
              <w:t> </w:t>
            </w:r>
            <w:r w:rsidRPr="00D042DE">
              <w:t>No PTSD, % (n/total)</w:t>
            </w:r>
          </w:p>
        </w:tc>
        <w:tc>
          <w:tcPr>
            <w:tcW w:w="0" w:type="auto"/>
            <w:hideMark/>
          </w:tcPr>
          <w:p w14:paraId="3A9FB681" w14:textId="77777777" w:rsidR="00D042DE" w:rsidRPr="00D042DE" w:rsidRDefault="00D042DE" w:rsidP="00D042DE">
            <w:pPr>
              <w:pStyle w:val="NoSpacing"/>
            </w:pPr>
            <w:r w:rsidRPr="00D042DE">
              <w:t>55% (38/69)</w:t>
            </w:r>
          </w:p>
        </w:tc>
        <w:tc>
          <w:tcPr>
            <w:tcW w:w="0" w:type="auto"/>
            <w:hideMark/>
          </w:tcPr>
          <w:p w14:paraId="1C2950D3" w14:textId="77777777" w:rsidR="00D042DE" w:rsidRPr="00D042DE" w:rsidRDefault="00D042DE" w:rsidP="00D042DE">
            <w:pPr>
              <w:pStyle w:val="NoSpacing"/>
            </w:pPr>
            <w:r w:rsidRPr="00D042DE">
              <w:t>80% (45/56)</w:t>
            </w:r>
          </w:p>
        </w:tc>
        <w:tc>
          <w:tcPr>
            <w:tcW w:w="0" w:type="auto"/>
            <w:hideMark/>
          </w:tcPr>
          <w:p w14:paraId="780E7FF2" w14:textId="77777777" w:rsidR="00D042DE" w:rsidRPr="00D042DE" w:rsidRDefault="00D042DE" w:rsidP="00D042DE">
            <w:pPr>
              <w:pStyle w:val="NoSpacing"/>
            </w:pPr>
            <w:r w:rsidRPr="00D042DE">
              <w:t>78% (46/59)</w:t>
            </w:r>
          </w:p>
        </w:tc>
      </w:tr>
      <w:tr w:rsidR="00DC15E8" w:rsidRPr="000723E7" w14:paraId="78F69EF1" w14:textId="77777777" w:rsidTr="00591C14">
        <w:tc>
          <w:tcPr>
            <w:tcW w:w="0" w:type="auto"/>
            <w:hideMark/>
          </w:tcPr>
          <w:p w14:paraId="7F1234B5" w14:textId="77777777" w:rsidR="00DC15E8" w:rsidRPr="000723E7" w:rsidRDefault="00DC15E8" w:rsidP="00D042DE">
            <w:pPr>
              <w:pStyle w:val="NoSpacing"/>
              <w:rPr>
                <w:b/>
                <w:bCs/>
              </w:rPr>
            </w:pPr>
            <w:r w:rsidRPr="000723E7">
              <w:rPr>
                <w:b/>
                <w:bCs/>
              </w:rPr>
              <w:t>WHODAS 2.0</w:t>
            </w:r>
          </w:p>
        </w:tc>
        <w:tc>
          <w:tcPr>
            <w:tcW w:w="0" w:type="auto"/>
          </w:tcPr>
          <w:p w14:paraId="787CF6EA" w14:textId="77777777" w:rsidR="00DC15E8" w:rsidRPr="000723E7" w:rsidRDefault="00DC15E8" w:rsidP="00D042DE">
            <w:pPr>
              <w:pStyle w:val="NoSpacing"/>
              <w:rPr>
                <w:b/>
                <w:bCs/>
              </w:rPr>
            </w:pPr>
          </w:p>
        </w:tc>
        <w:tc>
          <w:tcPr>
            <w:tcW w:w="0" w:type="auto"/>
          </w:tcPr>
          <w:p w14:paraId="6D197640" w14:textId="77777777" w:rsidR="00DC15E8" w:rsidRPr="000723E7" w:rsidRDefault="00DC15E8" w:rsidP="00D042DE">
            <w:pPr>
              <w:pStyle w:val="NoSpacing"/>
              <w:rPr>
                <w:b/>
                <w:bCs/>
              </w:rPr>
            </w:pPr>
          </w:p>
        </w:tc>
        <w:tc>
          <w:tcPr>
            <w:tcW w:w="0" w:type="auto"/>
          </w:tcPr>
          <w:p w14:paraId="04A99646" w14:textId="15EB4DBE" w:rsidR="00DC15E8" w:rsidRPr="000723E7" w:rsidRDefault="00DC15E8" w:rsidP="00D042DE">
            <w:pPr>
              <w:pStyle w:val="NoSpacing"/>
              <w:rPr>
                <w:b/>
                <w:bCs/>
              </w:rPr>
            </w:pPr>
          </w:p>
        </w:tc>
      </w:tr>
      <w:tr w:rsidR="00DC15E8" w:rsidRPr="00D042DE" w14:paraId="1214E6EB" w14:textId="77777777" w:rsidTr="00D042DE">
        <w:tc>
          <w:tcPr>
            <w:tcW w:w="0" w:type="auto"/>
            <w:hideMark/>
          </w:tcPr>
          <w:p w14:paraId="283C8780" w14:textId="77777777" w:rsidR="00D042DE" w:rsidRPr="00D042DE" w:rsidRDefault="00D042DE" w:rsidP="00D042DE">
            <w:pPr>
              <w:pStyle w:val="NoSpacing"/>
            </w:pPr>
            <w:r w:rsidRPr="00D042DE">
              <w:t> </w:t>
            </w:r>
            <w:r w:rsidRPr="00D042DE">
              <w:t>Mean [95% CI]; N</w:t>
            </w:r>
          </w:p>
        </w:tc>
        <w:tc>
          <w:tcPr>
            <w:tcW w:w="0" w:type="auto"/>
            <w:hideMark/>
          </w:tcPr>
          <w:p w14:paraId="35270E65" w14:textId="77777777" w:rsidR="00D042DE" w:rsidRPr="00D042DE" w:rsidRDefault="00D042DE" w:rsidP="00D042DE">
            <w:pPr>
              <w:pStyle w:val="NoSpacing"/>
            </w:pPr>
            <w:r w:rsidRPr="00D042DE">
              <w:t>15 [12, 17]; </w:t>
            </w:r>
            <w:r w:rsidRPr="00D042DE">
              <w:rPr>
                <w:i/>
                <w:iCs/>
              </w:rPr>
              <w:t>N</w:t>
            </w:r>
            <w:r w:rsidRPr="00D042DE">
              <w:t> = 66</w:t>
            </w:r>
          </w:p>
        </w:tc>
        <w:tc>
          <w:tcPr>
            <w:tcW w:w="0" w:type="auto"/>
            <w:hideMark/>
          </w:tcPr>
          <w:p w14:paraId="36600AD0" w14:textId="77777777" w:rsidR="00D042DE" w:rsidRPr="00D042DE" w:rsidRDefault="00D042DE" w:rsidP="00D042DE">
            <w:pPr>
              <w:pStyle w:val="NoSpacing"/>
            </w:pPr>
            <w:r w:rsidRPr="00D042DE">
              <w:t>9 [6, 11]; </w:t>
            </w:r>
            <w:r w:rsidRPr="00D042DE">
              <w:rPr>
                <w:i/>
                <w:iCs/>
              </w:rPr>
              <w:t>N</w:t>
            </w:r>
            <w:r w:rsidRPr="00D042DE">
              <w:t> = 56</w:t>
            </w:r>
          </w:p>
        </w:tc>
        <w:tc>
          <w:tcPr>
            <w:tcW w:w="0" w:type="auto"/>
            <w:hideMark/>
          </w:tcPr>
          <w:p w14:paraId="1D8BAA67" w14:textId="77777777" w:rsidR="00D042DE" w:rsidRPr="00D042DE" w:rsidRDefault="00D042DE" w:rsidP="00D042DE">
            <w:pPr>
              <w:pStyle w:val="NoSpacing"/>
            </w:pPr>
            <w:r w:rsidRPr="00D042DE">
              <w:t>7 [5, 9]; </w:t>
            </w:r>
            <w:r w:rsidRPr="00D042DE">
              <w:rPr>
                <w:i/>
                <w:iCs/>
              </w:rPr>
              <w:t>N</w:t>
            </w:r>
            <w:r w:rsidRPr="00D042DE">
              <w:t> = 59</w:t>
            </w:r>
          </w:p>
        </w:tc>
      </w:tr>
      <w:tr w:rsidR="00DC15E8" w:rsidRPr="000723E7" w14:paraId="568180B9" w14:textId="77777777" w:rsidTr="00591C14">
        <w:tc>
          <w:tcPr>
            <w:tcW w:w="0" w:type="auto"/>
            <w:hideMark/>
          </w:tcPr>
          <w:p w14:paraId="76A6E62C" w14:textId="77777777" w:rsidR="00DC15E8" w:rsidRPr="000723E7" w:rsidRDefault="00DC15E8" w:rsidP="00D042DE">
            <w:pPr>
              <w:pStyle w:val="NoSpacing"/>
              <w:rPr>
                <w:b/>
                <w:bCs/>
              </w:rPr>
            </w:pPr>
            <w:r w:rsidRPr="000723E7">
              <w:rPr>
                <w:b/>
                <w:bCs/>
              </w:rPr>
              <w:t>Reported exercise</w:t>
            </w:r>
          </w:p>
        </w:tc>
        <w:tc>
          <w:tcPr>
            <w:tcW w:w="0" w:type="auto"/>
          </w:tcPr>
          <w:p w14:paraId="7BD924FC" w14:textId="77777777" w:rsidR="00DC15E8" w:rsidRPr="000723E7" w:rsidRDefault="00DC15E8" w:rsidP="00D042DE">
            <w:pPr>
              <w:pStyle w:val="NoSpacing"/>
              <w:rPr>
                <w:b/>
                <w:bCs/>
              </w:rPr>
            </w:pPr>
          </w:p>
        </w:tc>
        <w:tc>
          <w:tcPr>
            <w:tcW w:w="0" w:type="auto"/>
          </w:tcPr>
          <w:p w14:paraId="546CD341" w14:textId="77777777" w:rsidR="00DC15E8" w:rsidRPr="000723E7" w:rsidRDefault="00DC15E8" w:rsidP="00D042DE">
            <w:pPr>
              <w:pStyle w:val="NoSpacing"/>
              <w:rPr>
                <w:b/>
                <w:bCs/>
              </w:rPr>
            </w:pPr>
          </w:p>
        </w:tc>
        <w:tc>
          <w:tcPr>
            <w:tcW w:w="0" w:type="auto"/>
          </w:tcPr>
          <w:p w14:paraId="46EB935F" w14:textId="26E6931F" w:rsidR="00DC15E8" w:rsidRPr="000723E7" w:rsidRDefault="00DC15E8" w:rsidP="00D042DE">
            <w:pPr>
              <w:pStyle w:val="NoSpacing"/>
              <w:rPr>
                <w:b/>
                <w:bCs/>
              </w:rPr>
            </w:pPr>
          </w:p>
        </w:tc>
      </w:tr>
      <w:tr w:rsidR="00DC15E8" w:rsidRPr="00D042DE" w14:paraId="5270DC1D" w14:textId="77777777" w:rsidTr="00D042DE">
        <w:tc>
          <w:tcPr>
            <w:tcW w:w="0" w:type="auto"/>
            <w:hideMark/>
          </w:tcPr>
          <w:p w14:paraId="4134118C" w14:textId="77777777" w:rsidR="00D042DE" w:rsidRPr="00D042DE" w:rsidRDefault="00D042DE" w:rsidP="00D042DE">
            <w:pPr>
              <w:pStyle w:val="NoSpacing"/>
            </w:pPr>
            <w:r w:rsidRPr="00D042DE">
              <w:t> </w:t>
            </w:r>
            <w:r w:rsidRPr="00D042DE">
              <w:t>Return to pre-hospitalization level, % (n/total)</w:t>
            </w:r>
          </w:p>
        </w:tc>
        <w:tc>
          <w:tcPr>
            <w:tcW w:w="0" w:type="auto"/>
            <w:hideMark/>
          </w:tcPr>
          <w:p w14:paraId="0592079F" w14:textId="77777777" w:rsidR="00D042DE" w:rsidRPr="00D042DE" w:rsidRDefault="00D042DE" w:rsidP="00D042DE">
            <w:pPr>
              <w:pStyle w:val="NoSpacing"/>
            </w:pPr>
            <w:r w:rsidRPr="00D042DE">
              <w:t>(Unavailable)</w:t>
            </w:r>
            <w:r w:rsidRPr="00D042DE">
              <w:rPr>
                <w:vertAlign w:val="superscript"/>
              </w:rPr>
              <w:t>b</w:t>
            </w:r>
          </w:p>
        </w:tc>
        <w:tc>
          <w:tcPr>
            <w:tcW w:w="0" w:type="auto"/>
            <w:hideMark/>
          </w:tcPr>
          <w:p w14:paraId="4E3B177B" w14:textId="77777777" w:rsidR="00D042DE" w:rsidRPr="00D042DE" w:rsidRDefault="00D042DE" w:rsidP="00D042DE">
            <w:pPr>
              <w:pStyle w:val="NoSpacing"/>
            </w:pPr>
            <w:r w:rsidRPr="00D042DE">
              <w:t>63% (29/46)</w:t>
            </w:r>
          </w:p>
        </w:tc>
        <w:tc>
          <w:tcPr>
            <w:tcW w:w="0" w:type="auto"/>
            <w:hideMark/>
          </w:tcPr>
          <w:p w14:paraId="4C00B6C7" w14:textId="77777777" w:rsidR="00D042DE" w:rsidRPr="00D042DE" w:rsidRDefault="00D042DE" w:rsidP="00D042DE">
            <w:pPr>
              <w:pStyle w:val="NoSpacing"/>
            </w:pPr>
            <w:r w:rsidRPr="00D042DE">
              <w:t>69% (31/45)</w:t>
            </w:r>
          </w:p>
        </w:tc>
      </w:tr>
    </w:tbl>
    <w:p w14:paraId="4EB92CFC" w14:textId="77777777" w:rsidR="00D042DE" w:rsidRPr="00D042DE" w:rsidRDefault="00D042DE" w:rsidP="00DC15E8">
      <w:r w:rsidRPr="00D042DE">
        <w:rPr>
          <w:vertAlign w:val="superscript"/>
        </w:rPr>
        <w:t>a</w:t>
      </w:r>
      <w:r w:rsidRPr="00D042DE">
        <w:t>Primary outcome; </w:t>
      </w:r>
      <w:r w:rsidRPr="00D042DE">
        <w:rPr>
          <w:vertAlign w:val="superscript"/>
        </w:rPr>
        <w:t>b</w:t>
      </w:r>
      <w:r w:rsidRPr="00D042DE">
        <w:t>data collected at weeks 12 and 18 only</w:t>
      </w:r>
    </w:p>
    <w:p w14:paraId="3B9D6120" w14:textId="2A149BED" w:rsidR="0068206B" w:rsidRPr="0068206B" w:rsidRDefault="0068206B" w:rsidP="000723E7">
      <w:pPr>
        <w:spacing w:after="0"/>
      </w:pPr>
      <w:r w:rsidRPr="0068206B">
        <w:rPr>
          <w:b/>
          <w:bCs/>
        </w:rPr>
        <w:t>Table 3 Differences in impairment among females compared to males, presented as estimate or odds ratio (OR) when indicated with (95% confidence interval) and </w:t>
      </w:r>
      <w:r w:rsidRPr="0068206B">
        <w:rPr>
          <w:b/>
          <w:bCs/>
          <w:i/>
          <w:iCs/>
        </w:rPr>
        <w:t>p</w:t>
      </w:r>
      <w:r w:rsidRPr="0068206B">
        <w:rPr>
          <w:b/>
          <w:bCs/>
        </w:rPr>
        <w:t>-values for each outcome. Estimates that are statistically significant (</w:t>
      </w:r>
      <w:r w:rsidRPr="0068206B">
        <w:rPr>
          <w:b/>
          <w:bCs/>
          <w:i/>
          <w:iCs/>
        </w:rPr>
        <w:t>p</w:t>
      </w:r>
      <w:r w:rsidRPr="0068206B">
        <w:rPr>
          <w:b/>
          <w:bCs/>
        </w:rPr>
        <w:t> &lt; 0.05) are bolded</w:t>
      </w:r>
    </w:p>
    <w:tbl>
      <w:tblPr>
        <w:tblStyle w:val="TableGrid"/>
        <w:tblW w:w="0" w:type="auto"/>
        <w:tblLook w:val="04A0" w:firstRow="1" w:lastRow="0" w:firstColumn="1" w:lastColumn="0" w:noHBand="0" w:noVBand="1"/>
      </w:tblPr>
      <w:tblGrid>
        <w:gridCol w:w="6053"/>
        <w:gridCol w:w="1984"/>
        <w:gridCol w:w="2033"/>
      </w:tblGrid>
      <w:tr w:rsidR="000723E7" w:rsidRPr="000723E7" w14:paraId="5EA6B318" w14:textId="77777777" w:rsidTr="000723E7">
        <w:tc>
          <w:tcPr>
            <w:tcW w:w="0" w:type="auto"/>
            <w:hideMark/>
          </w:tcPr>
          <w:p w14:paraId="13501D6F" w14:textId="77777777" w:rsidR="000723E7" w:rsidRPr="000723E7" w:rsidRDefault="000723E7" w:rsidP="000723E7">
            <w:pPr>
              <w:pStyle w:val="NoSpacing"/>
              <w:rPr>
                <w:b/>
                <w:bCs/>
              </w:rPr>
            </w:pPr>
            <w:r w:rsidRPr="000723E7">
              <w:rPr>
                <w:b/>
                <w:bCs/>
              </w:rPr>
              <w:t>Outcome; estimate type</w:t>
            </w:r>
          </w:p>
        </w:tc>
        <w:tc>
          <w:tcPr>
            <w:tcW w:w="0" w:type="auto"/>
            <w:hideMark/>
          </w:tcPr>
          <w:p w14:paraId="0385DBE2" w14:textId="77777777" w:rsidR="000723E7" w:rsidRPr="000723E7" w:rsidRDefault="000723E7" w:rsidP="000723E7">
            <w:pPr>
              <w:pStyle w:val="NoSpacing"/>
              <w:rPr>
                <w:b/>
                <w:bCs/>
              </w:rPr>
            </w:pPr>
            <w:r w:rsidRPr="000723E7">
              <w:rPr>
                <w:b/>
                <w:bCs/>
              </w:rPr>
              <w:t>Baseline difference</w:t>
            </w:r>
            <w:r w:rsidRPr="000723E7">
              <w:rPr>
                <w:b/>
                <w:bCs/>
              </w:rPr>
              <w:br/>
              <w:t>Est [95% CI] </w:t>
            </w:r>
            <w:r w:rsidRPr="000723E7">
              <w:rPr>
                <w:b/>
                <w:bCs/>
                <w:i/>
                <w:iCs/>
              </w:rPr>
              <w:t>P</w:t>
            </w:r>
            <w:r w:rsidRPr="000723E7">
              <w:rPr>
                <w:b/>
                <w:bCs/>
              </w:rPr>
              <w:t>-value</w:t>
            </w:r>
          </w:p>
        </w:tc>
        <w:tc>
          <w:tcPr>
            <w:tcW w:w="0" w:type="auto"/>
            <w:hideMark/>
          </w:tcPr>
          <w:p w14:paraId="41511530" w14:textId="77777777" w:rsidR="000723E7" w:rsidRPr="000723E7" w:rsidRDefault="000723E7" w:rsidP="000723E7">
            <w:pPr>
              <w:pStyle w:val="NoSpacing"/>
              <w:rPr>
                <w:b/>
                <w:bCs/>
              </w:rPr>
            </w:pPr>
            <w:r w:rsidRPr="000723E7">
              <w:rPr>
                <w:b/>
                <w:bCs/>
              </w:rPr>
              <w:t>Week 18 difference</w:t>
            </w:r>
            <w:r w:rsidRPr="000723E7">
              <w:rPr>
                <w:b/>
                <w:bCs/>
                <w:vertAlign w:val="superscript"/>
              </w:rPr>
              <w:t>*</w:t>
            </w:r>
            <w:r w:rsidRPr="000723E7">
              <w:rPr>
                <w:b/>
                <w:bCs/>
              </w:rPr>
              <w:br/>
              <w:t>Est [95% CI] </w:t>
            </w:r>
            <w:r w:rsidRPr="000723E7">
              <w:rPr>
                <w:b/>
                <w:bCs/>
                <w:i/>
                <w:iCs/>
              </w:rPr>
              <w:t>P</w:t>
            </w:r>
            <w:r w:rsidRPr="000723E7">
              <w:rPr>
                <w:b/>
                <w:bCs/>
              </w:rPr>
              <w:t>-value</w:t>
            </w:r>
          </w:p>
        </w:tc>
      </w:tr>
      <w:tr w:rsidR="000723E7" w:rsidRPr="005D7ADB" w14:paraId="52E2DFAB" w14:textId="77777777" w:rsidTr="000723E7">
        <w:tc>
          <w:tcPr>
            <w:tcW w:w="0" w:type="auto"/>
            <w:hideMark/>
          </w:tcPr>
          <w:p w14:paraId="2B8E8BD3" w14:textId="77777777" w:rsidR="000723E7" w:rsidRPr="005D7ADB" w:rsidRDefault="000723E7" w:rsidP="000723E7">
            <w:pPr>
              <w:pStyle w:val="NoSpacing"/>
              <w:rPr>
                <w:b/>
                <w:bCs/>
              </w:rPr>
            </w:pPr>
            <w:r w:rsidRPr="005D7ADB">
              <w:rPr>
                <w:b/>
                <w:bCs/>
              </w:rPr>
              <w:t>10-Time Chair Rise Test</w:t>
            </w:r>
          </w:p>
        </w:tc>
        <w:tc>
          <w:tcPr>
            <w:tcW w:w="0" w:type="auto"/>
          </w:tcPr>
          <w:p w14:paraId="1696F88B" w14:textId="77777777" w:rsidR="000723E7" w:rsidRPr="005D7ADB" w:rsidRDefault="000723E7" w:rsidP="000723E7">
            <w:pPr>
              <w:pStyle w:val="NoSpacing"/>
              <w:rPr>
                <w:b/>
                <w:bCs/>
              </w:rPr>
            </w:pPr>
          </w:p>
        </w:tc>
        <w:tc>
          <w:tcPr>
            <w:tcW w:w="0" w:type="auto"/>
          </w:tcPr>
          <w:p w14:paraId="3C3185B2" w14:textId="4A68A4FE" w:rsidR="000723E7" w:rsidRPr="005D7ADB" w:rsidRDefault="000723E7" w:rsidP="000723E7">
            <w:pPr>
              <w:pStyle w:val="NoSpacing"/>
              <w:rPr>
                <w:b/>
                <w:bCs/>
              </w:rPr>
            </w:pPr>
          </w:p>
        </w:tc>
      </w:tr>
      <w:tr w:rsidR="000723E7" w:rsidRPr="000723E7" w14:paraId="2B56D93D" w14:textId="77777777" w:rsidTr="000723E7">
        <w:tc>
          <w:tcPr>
            <w:tcW w:w="0" w:type="auto"/>
            <w:hideMark/>
          </w:tcPr>
          <w:p w14:paraId="64AB9370" w14:textId="77777777" w:rsidR="000723E7" w:rsidRPr="000723E7" w:rsidRDefault="000723E7" w:rsidP="000723E7">
            <w:pPr>
              <w:pStyle w:val="NoSpacing"/>
            </w:pPr>
            <w:r w:rsidRPr="000723E7">
              <w:t> </w:t>
            </w:r>
            <w:r w:rsidRPr="000723E7">
              <w:t>Unable to complete due to physical ability or safety concerns; OR</w:t>
            </w:r>
          </w:p>
        </w:tc>
        <w:tc>
          <w:tcPr>
            <w:tcW w:w="0" w:type="auto"/>
            <w:hideMark/>
          </w:tcPr>
          <w:p w14:paraId="2544143E" w14:textId="77777777" w:rsidR="000723E7" w:rsidRPr="000723E7" w:rsidRDefault="000723E7" w:rsidP="000723E7">
            <w:pPr>
              <w:pStyle w:val="NoSpacing"/>
            </w:pPr>
            <w:r w:rsidRPr="000723E7">
              <w:t>2.1 [0.7, 7.4]</w:t>
            </w:r>
            <w:r w:rsidRPr="000723E7">
              <w:br/>
            </w:r>
            <w:r w:rsidRPr="000723E7">
              <w:rPr>
                <w:i/>
                <w:iCs/>
              </w:rPr>
              <w:t>P</w:t>
            </w:r>
            <w:r w:rsidRPr="000723E7">
              <w:t> = 0.20</w:t>
            </w:r>
          </w:p>
        </w:tc>
        <w:tc>
          <w:tcPr>
            <w:tcW w:w="0" w:type="auto"/>
            <w:hideMark/>
          </w:tcPr>
          <w:p w14:paraId="3FC95F39" w14:textId="77777777" w:rsidR="000723E7" w:rsidRPr="000723E7" w:rsidRDefault="000723E7" w:rsidP="000723E7">
            <w:pPr>
              <w:pStyle w:val="NoSpacing"/>
            </w:pPr>
            <w:r w:rsidRPr="000723E7">
              <w:t> </w:t>
            </w:r>
          </w:p>
        </w:tc>
      </w:tr>
      <w:tr w:rsidR="000723E7" w:rsidRPr="000723E7" w14:paraId="5EEFFC84" w14:textId="77777777" w:rsidTr="000723E7">
        <w:tc>
          <w:tcPr>
            <w:tcW w:w="0" w:type="auto"/>
            <w:hideMark/>
          </w:tcPr>
          <w:p w14:paraId="3DD8B03C" w14:textId="77777777" w:rsidR="000723E7" w:rsidRPr="000723E7" w:rsidRDefault="000723E7" w:rsidP="000723E7">
            <w:pPr>
              <w:pStyle w:val="NoSpacing"/>
            </w:pPr>
            <w:r w:rsidRPr="000723E7">
              <w:t> </w:t>
            </w:r>
            <w:r w:rsidRPr="000723E7">
              <w:t>Time to complete; seconds</w:t>
            </w:r>
          </w:p>
        </w:tc>
        <w:tc>
          <w:tcPr>
            <w:tcW w:w="0" w:type="auto"/>
            <w:hideMark/>
          </w:tcPr>
          <w:p w14:paraId="3CEDB4AE" w14:textId="77777777" w:rsidR="000723E7" w:rsidRPr="005D7ADB" w:rsidRDefault="000723E7" w:rsidP="000723E7">
            <w:pPr>
              <w:pStyle w:val="NoSpacing"/>
              <w:rPr>
                <w:b/>
                <w:bCs/>
              </w:rPr>
            </w:pPr>
            <w:r w:rsidRPr="005D7ADB">
              <w:rPr>
                <w:b/>
                <w:bCs/>
              </w:rPr>
              <w:t>5.6 [0.2, 11.1]</w:t>
            </w:r>
            <w:r w:rsidRPr="005D7ADB">
              <w:rPr>
                <w:b/>
                <w:bCs/>
              </w:rPr>
              <w:br/>
            </w:r>
            <w:r w:rsidRPr="005D7ADB">
              <w:rPr>
                <w:b/>
                <w:bCs/>
                <w:i/>
                <w:iCs/>
              </w:rPr>
              <w:t>P</w:t>
            </w:r>
            <w:r w:rsidRPr="005D7ADB">
              <w:rPr>
                <w:b/>
                <w:bCs/>
              </w:rPr>
              <w:t> = 0.04</w:t>
            </w:r>
          </w:p>
        </w:tc>
        <w:tc>
          <w:tcPr>
            <w:tcW w:w="0" w:type="auto"/>
            <w:hideMark/>
          </w:tcPr>
          <w:p w14:paraId="06394A9C" w14:textId="77777777" w:rsidR="000723E7" w:rsidRPr="000723E7" w:rsidRDefault="000723E7" w:rsidP="000723E7">
            <w:pPr>
              <w:pStyle w:val="NoSpacing"/>
            </w:pPr>
            <w:r w:rsidRPr="000723E7">
              <w:t> </w:t>
            </w:r>
          </w:p>
        </w:tc>
      </w:tr>
      <w:tr w:rsidR="000723E7" w:rsidRPr="000723E7" w14:paraId="496D1016" w14:textId="77777777" w:rsidTr="000723E7">
        <w:tc>
          <w:tcPr>
            <w:tcW w:w="0" w:type="auto"/>
            <w:hideMark/>
          </w:tcPr>
          <w:p w14:paraId="37B7367C" w14:textId="77777777" w:rsidR="000723E7" w:rsidRPr="000723E7" w:rsidRDefault="000723E7" w:rsidP="000723E7">
            <w:pPr>
              <w:pStyle w:val="NoSpacing"/>
            </w:pPr>
            <w:r w:rsidRPr="000723E7">
              <w:t> </w:t>
            </w:r>
            <w:r w:rsidRPr="000723E7">
              <w:t>Change in time to complete from week 2/6; seconds</w:t>
            </w:r>
          </w:p>
        </w:tc>
        <w:tc>
          <w:tcPr>
            <w:tcW w:w="0" w:type="auto"/>
            <w:hideMark/>
          </w:tcPr>
          <w:p w14:paraId="0AB2076B" w14:textId="77777777" w:rsidR="000723E7" w:rsidRPr="000723E7" w:rsidRDefault="000723E7" w:rsidP="000723E7">
            <w:pPr>
              <w:pStyle w:val="NoSpacing"/>
            </w:pPr>
            <w:r w:rsidRPr="000723E7">
              <w:t> </w:t>
            </w:r>
          </w:p>
        </w:tc>
        <w:tc>
          <w:tcPr>
            <w:tcW w:w="0" w:type="auto"/>
            <w:hideMark/>
          </w:tcPr>
          <w:p w14:paraId="6AD35B93" w14:textId="77777777" w:rsidR="000723E7" w:rsidRPr="000723E7" w:rsidRDefault="000723E7" w:rsidP="000723E7">
            <w:pPr>
              <w:pStyle w:val="NoSpacing"/>
            </w:pPr>
            <w:r w:rsidRPr="000723E7">
              <w:t>0 [−3.2, 4.1]</w:t>
            </w:r>
            <w:r w:rsidRPr="000723E7">
              <w:br/>
            </w:r>
            <w:r w:rsidRPr="000723E7">
              <w:rPr>
                <w:i/>
                <w:iCs/>
              </w:rPr>
              <w:t>P</w:t>
            </w:r>
            <w:r w:rsidRPr="000723E7">
              <w:t> = 0.81</w:t>
            </w:r>
          </w:p>
        </w:tc>
      </w:tr>
      <w:tr w:rsidR="000723E7" w:rsidRPr="005D7ADB" w14:paraId="70E2BF15" w14:textId="77777777" w:rsidTr="000723E7">
        <w:tc>
          <w:tcPr>
            <w:tcW w:w="0" w:type="auto"/>
            <w:hideMark/>
          </w:tcPr>
          <w:p w14:paraId="73A52278" w14:textId="77777777" w:rsidR="000723E7" w:rsidRPr="005D7ADB" w:rsidRDefault="000723E7" w:rsidP="000723E7">
            <w:pPr>
              <w:pStyle w:val="NoSpacing"/>
              <w:rPr>
                <w:b/>
                <w:bCs/>
              </w:rPr>
            </w:pPr>
            <w:r w:rsidRPr="005D7ADB">
              <w:rPr>
                <w:b/>
                <w:bCs/>
              </w:rPr>
              <w:t>Clinical Frailty Scale</w:t>
            </w:r>
          </w:p>
        </w:tc>
        <w:tc>
          <w:tcPr>
            <w:tcW w:w="0" w:type="auto"/>
          </w:tcPr>
          <w:p w14:paraId="21284683" w14:textId="77777777" w:rsidR="000723E7" w:rsidRPr="005D7ADB" w:rsidRDefault="000723E7" w:rsidP="000723E7">
            <w:pPr>
              <w:pStyle w:val="NoSpacing"/>
              <w:rPr>
                <w:b/>
                <w:bCs/>
              </w:rPr>
            </w:pPr>
          </w:p>
        </w:tc>
        <w:tc>
          <w:tcPr>
            <w:tcW w:w="0" w:type="auto"/>
          </w:tcPr>
          <w:p w14:paraId="780EF53B" w14:textId="6D19036B" w:rsidR="000723E7" w:rsidRPr="005D7ADB" w:rsidRDefault="000723E7" w:rsidP="000723E7">
            <w:pPr>
              <w:pStyle w:val="NoSpacing"/>
              <w:rPr>
                <w:b/>
                <w:bCs/>
              </w:rPr>
            </w:pPr>
          </w:p>
        </w:tc>
      </w:tr>
      <w:tr w:rsidR="000723E7" w:rsidRPr="000723E7" w14:paraId="5D30EA3D" w14:textId="77777777" w:rsidTr="000723E7">
        <w:tc>
          <w:tcPr>
            <w:tcW w:w="0" w:type="auto"/>
            <w:hideMark/>
          </w:tcPr>
          <w:p w14:paraId="45C98323" w14:textId="77777777" w:rsidR="000723E7" w:rsidRPr="000723E7" w:rsidRDefault="000723E7" w:rsidP="000723E7">
            <w:pPr>
              <w:pStyle w:val="NoSpacing"/>
            </w:pPr>
            <w:r w:rsidRPr="000723E7">
              <w:t> </w:t>
            </w:r>
            <w:r w:rsidRPr="000723E7">
              <w:t>Post-hospitalization reported frailty; OR</w:t>
            </w:r>
          </w:p>
        </w:tc>
        <w:tc>
          <w:tcPr>
            <w:tcW w:w="0" w:type="auto"/>
            <w:hideMark/>
          </w:tcPr>
          <w:p w14:paraId="5EB8AEF4" w14:textId="77777777" w:rsidR="000723E7" w:rsidRPr="000723E7" w:rsidRDefault="000723E7" w:rsidP="000723E7">
            <w:pPr>
              <w:pStyle w:val="NoSpacing"/>
            </w:pPr>
            <w:r w:rsidRPr="000723E7">
              <w:t>0.8 [0.2, 2.5]</w:t>
            </w:r>
            <w:r w:rsidRPr="000723E7">
              <w:br/>
            </w:r>
            <w:r w:rsidRPr="000723E7">
              <w:rPr>
                <w:i/>
                <w:iCs/>
              </w:rPr>
              <w:t>P</w:t>
            </w:r>
            <w:r w:rsidRPr="000723E7">
              <w:t> = 0.67</w:t>
            </w:r>
          </w:p>
        </w:tc>
        <w:tc>
          <w:tcPr>
            <w:tcW w:w="0" w:type="auto"/>
            <w:hideMark/>
          </w:tcPr>
          <w:p w14:paraId="6E1CAD4A" w14:textId="77777777" w:rsidR="000723E7" w:rsidRPr="000723E7" w:rsidRDefault="000723E7" w:rsidP="000723E7">
            <w:pPr>
              <w:pStyle w:val="NoSpacing"/>
            </w:pPr>
            <w:r w:rsidRPr="000723E7">
              <w:t> </w:t>
            </w:r>
          </w:p>
        </w:tc>
      </w:tr>
      <w:tr w:rsidR="000723E7" w:rsidRPr="000723E7" w14:paraId="01EBDC15" w14:textId="77777777" w:rsidTr="000723E7">
        <w:tc>
          <w:tcPr>
            <w:tcW w:w="0" w:type="auto"/>
            <w:hideMark/>
          </w:tcPr>
          <w:p w14:paraId="389717D4" w14:textId="77777777" w:rsidR="000723E7" w:rsidRPr="000723E7" w:rsidRDefault="000723E7" w:rsidP="000723E7">
            <w:pPr>
              <w:pStyle w:val="NoSpacing"/>
            </w:pPr>
            <w:r w:rsidRPr="000723E7">
              <w:t> </w:t>
            </w:r>
            <w:r w:rsidRPr="000723E7">
              <w:t>Did not return to pre-hospitalization frailty; OR</w:t>
            </w:r>
          </w:p>
        </w:tc>
        <w:tc>
          <w:tcPr>
            <w:tcW w:w="0" w:type="auto"/>
            <w:hideMark/>
          </w:tcPr>
          <w:p w14:paraId="1779E88D" w14:textId="77777777" w:rsidR="000723E7" w:rsidRPr="000723E7" w:rsidRDefault="000723E7" w:rsidP="000723E7">
            <w:pPr>
              <w:pStyle w:val="NoSpacing"/>
            </w:pPr>
            <w:r w:rsidRPr="000723E7">
              <w:t> </w:t>
            </w:r>
          </w:p>
        </w:tc>
        <w:tc>
          <w:tcPr>
            <w:tcW w:w="0" w:type="auto"/>
            <w:hideMark/>
          </w:tcPr>
          <w:p w14:paraId="3ADB161B" w14:textId="77777777" w:rsidR="000723E7" w:rsidRPr="005D7ADB" w:rsidRDefault="000723E7" w:rsidP="000723E7">
            <w:pPr>
              <w:pStyle w:val="NoSpacing"/>
              <w:rPr>
                <w:b/>
                <w:bCs/>
              </w:rPr>
            </w:pPr>
            <w:r w:rsidRPr="005D7ADB">
              <w:rPr>
                <w:b/>
                <w:bCs/>
              </w:rPr>
              <w:t>3.4 [1.2, 10.6]</w:t>
            </w:r>
            <w:r w:rsidRPr="005D7ADB">
              <w:rPr>
                <w:b/>
                <w:bCs/>
              </w:rPr>
              <w:br/>
            </w:r>
            <w:r w:rsidRPr="005D7ADB">
              <w:rPr>
                <w:b/>
                <w:bCs/>
                <w:i/>
                <w:iCs/>
              </w:rPr>
              <w:t>P</w:t>
            </w:r>
            <w:r w:rsidRPr="005D7ADB">
              <w:rPr>
                <w:b/>
                <w:bCs/>
              </w:rPr>
              <w:t> = 0.03</w:t>
            </w:r>
          </w:p>
        </w:tc>
      </w:tr>
      <w:tr w:rsidR="000723E7" w:rsidRPr="005D7ADB" w14:paraId="142E1142" w14:textId="77777777" w:rsidTr="000723E7">
        <w:tc>
          <w:tcPr>
            <w:tcW w:w="0" w:type="auto"/>
            <w:hideMark/>
          </w:tcPr>
          <w:p w14:paraId="1B966053" w14:textId="77777777" w:rsidR="000723E7" w:rsidRPr="005D7ADB" w:rsidRDefault="000723E7" w:rsidP="000723E7">
            <w:pPr>
              <w:pStyle w:val="NoSpacing"/>
              <w:rPr>
                <w:b/>
                <w:bCs/>
              </w:rPr>
            </w:pPr>
            <w:r w:rsidRPr="005D7ADB">
              <w:rPr>
                <w:b/>
                <w:bCs/>
              </w:rPr>
              <w:t>MRC Dyspnea Scale</w:t>
            </w:r>
          </w:p>
        </w:tc>
        <w:tc>
          <w:tcPr>
            <w:tcW w:w="0" w:type="auto"/>
          </w:tcPr>
          <w:p w14:paraId="72FA233F" w14:textId="77777777" w:rsidR="000723E7" w:rsidRPr="005D7ADB" w:rsidRDefault="000723E7" w:rsidP="000723E7">
            <w:pPr>
              <w:pStyle w:val="NoSpacing"/>
              <w:rPr>
                <w:b/>
                <w:bCs/>
              </w:rPr>
            </w:pPr>
          </w:p>
        </w:tc>
        <w:tc>
          <w:tcPr>
            <w:tcW w:w="0" w:type="auto"/>
          </w:tcPr>
          <w:p w14:paraId="5066D60A" w14:textId="3FCFA269" w:rsidR="000723E7" w:rsidRPr="005D7ADB" w:rsidRDefault="000723E7" w:rsidP="000723E7">
            <w:pPr>
              <w:pStyle w:val="NoSpacing"/>
              <w:rPr>
                <w:b/>
                <w:bCs/>
              </w:rPr>
            </w:pPr>
          </w:p>
        </w:tc>
      </w:tr>
      <w:tr w:rsidR="000723E7" w:rsidRPr="000723E7" w14:paraId="7765821A" w14:textId="77777777" w:rsidTr="000723E7">
        <w:tc>
          <w:tcPr>
            <w:tcW w:w="0" w:type="auto"/>
            <w:hideMark/>
          </w:tcPr>
          <w:p w14:paraId="4658D05E" w14:textId="77777777" w:rsidR="000723E7" w:rsidRPr="000723E7" w:rsidRDefault="000723E7" w:rsidP="000723E7">
            <w:pPr>
              <w:pStyle w:val="NoSpacing"/>
            </w:pPr>
            <w:r w:rsidRPr="000723E7">
              <w:t> </w:t>
            </w:r>
            <w:r w:rsidRPr="000723E7">
              <w:t>Too SOB to leave the house and/or SOB while dressing; OR</w:t>
            </w:r>
          </w:p>
        </w:tc>
        <w:tc>
          <w:tcPr>
            <w:tcW w:w="0" w:type="auto"/>
            <w:hideMark/>
          </w:tcPr>
          <w:p w14:paraId="583E7340" w14:textId="77777777" w:rsidR="000723E7" w:rsidRPr="000723E7" w:rsidRDefault="000723E7" w:rsidP="000723E7">
            <w:pPr>
              <w:pStyle w:val="NoSpacing"/>
            </w:pPr>
            <w:r w:rsidRPr="000723E7">
              <w:t>2.0 [0.8, 5.3]</w:t>
            </w:r>
            <w:r w:rsidRPr="000723E7">
              <w:br/>
            </w:r>
            <w:r w:rsidRPr="000723E7">
              <w:rPr>
                <w:i/>
                <w:iCs/>
              </w:rPr>
              <w:t>P</w:t>
            </w:r>
            <w:r w:rsidRPr="000723E7">
              <w:t> = 0.13</w:t>
            </w:r>
          </w:p>
        </w:tc>
        <w:tc>
          <w:tcPr>
            <w:tcW w:w="0" w:type="auto"/>
            <w:hideMark/>
          </w:tcPr>
          <w:p w14:paraId="6ED83491" w14:textId="77777777" w:rsidR="000723E7" w:rsidRPr="000723E7" w:rsidRDefault="000723E7" w:rsidP="000723E7">
            <w:pPr>
              <w:pStyle w:val="NoSpacing"/>
            </w:pPr>
            <w:r w:rsidRPr="000723E7">
              <w:t> </w:t>
            </w:r>
          </w:p>
        </w:tc>
      </w:tr>
      <w:tr w:rsidR="000723E7" w:rsidRPr="000723E7" w14:paraId="622737C9" w14:textId="77777777" w:rsidTr="000723E7">
        <w:tc>
          <w:tcPr>
            <w:tcW w:w="0" w:type="auto"/>
            <w:hideMark/>
          </w:tcPr>
          <w:p w14:paraId="0C3D2126" w14:textId="77777777" w:rsidR="000723E7" w:rsidRPr="000723E7" w:rsidRDefault="000723E7" w:rsidP="000723E7">
            <w:pPr>
              <w:pStyle w:val="NoSpacing"/>
            </w:pPr>
            <w:r w:rsidRPr="000723E7">
              <w:t> </w:t>
            </w:r>
            <w:r w:rsidRPr="000723E7">
              <w:t>No improvement from week 2–6 answer; OR</w:t>
            </w:r>
          </w:p>
        </w:tc>
        <w:tc>
          <w:tcPr>
            <w:tcW w:w="0" w:type="auto"/>
            <w:hideMark/>
          </w:tcPr>
          <w:p w14:paraId="202D7278" w14:textId="77777777" w:rsidR="000723E7" w:rsidRPr="000723E7" w:rsidRDefault="000723E7" w:rsidP="000723E7">
            <w:pPr>
              <w:pStyle w:val="NoSpacing"/>
            </w:pPr>
            <w:r w:rsidRPr="000723E7">
              <w:t> </w:t>
            </w:r>
          </w:p>
        </w:tc>
        <w:tc>
          <w:tcPr>
            <w:tcW w:w="0" w:type="auto"/>
            <w:hideMark/>
          </w:tcPr>
          <w:p w14:paraId="0A8D19E6" w14:textId="77777777" w:rsidR="000723E7" w:rsidRPr="000723E7" w:rsidRDefault="000723E7" w:rsidP="000723E7">
            <w:pPr>
              <w:pStyle w:val="NoSpacing"/>
            </w:pPr>
            <w:r w:rsidRPr="000723E7">
              <w:t>1.6 [0.6, 4.9]</w:t>
            </w:r>
            <w:r w:rsidRPr="000723E7">
              <w:br/>
            </w:r>
            <w:r w:rsidRPr="000723E7">
              <w:rPr>
                <w:i/>
                <w:iCs/>
              </w:rPr>
              <w:t>P</w:t>
            </w:r>
            <w:r w:rsidRPr="000723E7">
              <w:t> = 0.37</w:t>
            </w:r>
          </w:p>
        </w:tc>
      </w:tr>
      <w:tr w:rsidR="000723E7" w:rsidRPr="005D7ADB" w14:paraId="6CA23B2E" w14:textId="77777777" w:rsidTr="000723E7">
        <w:tc>
          <w:tcPr>
            <w:tcW w:w="0" w:type="auto"/>
            <w:hideMark/>
          </w:tcPr>
          <w:p w14:paraId="7C8F5CBB" w14:textId="77777777" w:rsidR="000723E7" w:rsidRPr="005D7ADB" w:rsidRDefault="000723E7" w:rsidP="000723E7">
            <w:pPr>
              <w:pStyle w:val="NoSpacing"/>
              <w:rPr>
                <w:b/>
                <w:bCs/>
              </w:rPr>
            </w:pPr>
            <w:r w:rsidRPr="005D7ADB">
              <w:rPr>
                <w:b/>
                <w:bCs/>
              </w:rPr>
              <w:t>IES-6</w:t>
            </w:r>
          </w:p>
        </w:tc>
        <w:tc>
          <w:tcPr>
            <w:tcW w:w="0" w:type="auto"/>
          </w:tcPr>
          <w:p w14:paraId="22E56A0C" w14:textId="77777777" w:rsidR="000723E7" w:rsidRPr="005D7ADB" w:rsidRDefault="000723E7" w:rsidP="000723E7">
            <w:pPr>
              <w:pStyle w:val="NoSpacing"/>
              <w:rPr>
                <w:b/>
                <w:bCs/>
              </w:rPr>
            </w:pPr>
          </w:p>
        </w:tc>
        <w:tc>
          <w:tcPr>
            <w:tcW w:w="0" w:type="auto"/>
          </w:tcPr>
          <w:p w14:paraId="159412CF" w14:textId="6A55E717" w:rsidR="000723E7" w:rsidRPr="005D7ADB" w:rsidRDefault="000723E7" w:rsidP="000723E7">
            <w:pPr>
              <w:pStyle w:val="NoSpacing"/>
              <w:rPr>
                <w:b/>
                <w:bCs/>
              </w:rPr>
            </w:pPr>
          </w:p>
        </w:tc>
      </w:tr>
      <w:tr w:rsidR="000723E7" w:rsidRPr="000723E7" w14:paraId="43790BF8" w14:textId="77777777" w:rsidTr="000723E7">
        <w:tc>
          <w:tcPr>
            <w:tcW w:w="0" w:type="auto"/>
            <w:hideMark/>
          </w:tcPr>
          <w:p w14:paraId="26C54574" w14:textId="77777777" w:rsidR="000723E7" w:rsidRPr="000723E7" w:rsidRDefault="000723E7" w:rsidP="000723E7">
            <w:pPr>
              <w:pStyle w:val="NoSpacing"/>
            </w:pPr>
            <w:r w:rsidRPr="000723E7">
              <w:t> </w:t>
            </w:r>
            <w:r w:rsidRPr="000723E7">
              <w:t>Met criteria for PTSD; OR</w:t>
            </w:r>
          </w:p>
        </w:tc>
        <w:tc>
          <w:tcPr>
            <w:tcW w:w="0" w:type="auto"/>
            <w:hideMark/>
          </w:tcPr>
          <w:p w14:paraId="790642C9" w14:textId="77777777" w:rsidR="000723E7" w:rsidRPr="000723E7" w:rsidRDefault="000723E7" w:rsidP="000723E7">
            <w:pPr>
              <w:pStyle w:val="NoSpacing"/>
            </w:pPr>
            <w:r w:rsidRPr="000723E7">
              <w:t>1.3 [0.5, 3.5]</w:t>
            </w:r>
            <w:r w:rsidRPr="000723E7">
              <w:br/>
            </w:r>
            <w:r w:rsidRPr="000723E7">
              <w:rPr>
                <w:i/>
                <w:iCs/>
              </w:rPr>
              <w:t>P</w:t>
            </w:r>
            <w:r w:rsidRPr="000723E7">
              <w:t> = 0.53</w:t>
            </w:r>
          </w:p>
        </w:tc>
        <w:tc>
          <w:tcPr>
            <w:tcW w:w="0" w:type="auto"/>
            <w:hideMark/>
          </w:tcPr>
          <w:p w14:paraId="003D1C73" w14:textId="77777777" w:rsidR="000723E7" w:rsidRPr="000723E7" w:rsidRDefault="000723E7" w:rsidP="000723E7">
            <w:pPr>
              <w:pStyle w:val="NoSpacing"/>
            </w:pPr>
            <w:r w:rsidRPr="000723E7">
              <w:t> </w:t>
            </w:r>
          </w:p>
        </w:tc>
      </w:tr>
      <w:tr w:rsidR="000723E7" w:rsidRPr="000723E7" w14:paraId="7D6E817E" w14:textId="77777777" w:rsidTr="000723E7">
        <w:tc>
          <w:tcPr>
            <w:tcW w:w="0" w:type="auto"/>
            <w:hideMark/>
          </w:tcPr>
          <w:p w14:paraId="15CCF8AC" w14:textId="77777777" w:rsidR="000723E7" w:rsidRPr="000723E7" w:rsidRDefault="000723E7" w:rsidP="000723E7">
            <w:pPr>
              <w:pStyle w:val="NoSpacing"/>
            </w:pPr>
            <w:r w:rsidRPr="000723E7">
              <w:t> </w:t>
            </w:r>
            <w:r w:rsidRPr="000723E7">
              <w:t>Continued or new PTSD; OR</w:t>
            </w:r>
          </w:p>
        </w:tc>
        <w:tc>
          <w:tcPr>
            <w:tcW w:w="0" w:type="auto"/>
            <w:hideMark/>
          </w:tcPr>
          <w:p w14:paraId="736C9C99" w14:textId="77777777" w:rsidR="000723E7" w:rsidRPr="000723E7" w:rsidRDefault="000723E7" w:rsidP="000723E7">
            <w:pPr>
              <w:pStyle w:val="NoSpacing"/>
            </w:pPr>
            <w:r w:rsidRPr="000723E7">
              <w:t> </w:t>
            </w:r>
          </w:p>
        </w:tc>
        <w:tc>
          <w:tcPr>
            <w:tcW w:w="0" w:type="auto"/>
            <w:hideMark/>
          </w:tcPr>
          <w:p w14:paraId="28C089AD" w14:textId="77777777" w:rsidR="000723E7" w:rsidRPr="000723E7" w:rsidRDefault="000723E7" w:rsidP="000723E7">
            <w:pPr>
              <w:pStyle w:val="NoSpacing"/>
            </w:pPr>
            <w:r w:rsidRPr="000723E7">
              <w:t>2.7 [0.9, 9.6]</w:t>
            </w:r>
            <w:r w:rsidRPr="000723E7">
              <w:br/>
            </w:r>
            <w:r w:rsidRPr="000723E7">
              <w:rPr>
                <w:i/>
                <w:iCs/>
              </w:rPr>
              <w:t>P</w:t>
            </w:r>
            <w:r w:rsidRPr="000723E7">
              <w:t> = 0.10</w:t>
            </w:r>
          </w:p>
        </w:tc>
      </w:tr>
      <w:tr w:rsidR="000723E7" w:rsidRPr="005D7ADB" w14:paraId="01A8E916" w14:textId="77777777" w:rsidTr="000723E7">
        <w:tc>
          <w:tcPr>
            <w:tcW w:w="0" w:type="auto"/>
            <w:hideMark/>
          </w:tcPr>
          <w:p w14:paraId="5273414B" w14:textId="77777777" w:rsidR="000723E7" w:rsidRPr="005D7ADB" w:rsidRDefault="000723E7" w:rsidP="000723E7">
            <w:pPr>
              <w:pStyle w:val="NoSpacing"/>
              <w:rPr>
                <w:b/>
                <w:bCs/>
              </w:rPr>
            </w:pPr>
            <w:r w:rsidRPr="005D7ADB">
              <w:rPr>
                <w:b/>
                <w:bCs/>
              </w:rPr>
              <w:t>WHODAS 2.0</w:t>
            </w:r>
          </w:p>
        </w:tc>
        <w:tc>
          <w:tcPr>
            <w:tcW w:w="0" w:type="auto"/>
          </w:tcPr>
          <w:p w14:paraId="2A9CC76B" w14:textId="77777777" w:rsidR="000723E7" w:rsidRPr="005D7ADB" w:rsidRDefault="000723E7" w:rsidP="000723E7">
            <w:pPr>
              <w:pStyle w:val="NoSpacing"/>
              <w:rPr>
                <w:b/>
                <w:bCs/>
              </w:rPr>
            </w:pPr>
          </w:p>
        </w:tc>
        <w:tc>
          <w:tcPr>
            <w:tcW w:w="0" w:type="auto"/>
          </w:tcPr>
          <w:p w14:paraId="136AC233" w14:textId="5E648C9D" w:rsidR="000723E7" w:rsidRPr="005D7ADB" w:rsidRDefault="000723E7" w:rsidP="000723E7">
            <w:pPr>
              <w:pStyle w:val="NoSpacing"/>
              <w:rPr>
                <w:b/>
                <w:bCs/>
              </w:rPr>
            </w:pPr>
          </w:p>
        </w:tc>
      </w:tr>
      <w:tr w:rsidR="000723E7" w:rsidRPr="000723E7" w14:paraId="3B811261" w14:textId="77777777" w:rsidTr="000723E7">
        <w:tc>
          <w:tcPr>
            <w:tcW w:w="0" w:type="auto"/>
            <w:hideMark/>
          </w:tcPr>
          <w:p w14:paraId="48029A34" w14:textId="77777777" w:rsidR="000723E7" w:rsidRPr="000723E7" w:rsidRDefault="000723E7" w:rsidP="000723E7">
            <w:pPr>
              <w:pStyle w:val="NoSpacing"/>
            </w:pPr>
            <w:r w:rsidRPr="000723E7">
              <w:t> </w:t>
            </w:r>
            <w:r w:rsidRPr="000723E7">
              <w:t>Total score</w:t>
            </w:r>
          </w:p>
        </w:tc>
        <w:tc>
          <w:tcPr>
            <w:tcW w:w="0" w:type="auto"/>
            <w:hideMark/>
          </w:tcPr>
          <w:p w14:paraId="26E292FC" w14:textId="77777777" w:rsidR="000723E7" w:rsidRPr="000723E7" w:rsidRDefault="000723E7" w:rsidP="000723E7">
            <w:pPr>
              <w:pStyle w:val="NoSpacing"/>
            </w:pPr>
            <w:r w:rsidRPr="000723E7">
              <w:t>4.4 [−0.3, 9.1]</w:t>
            </w:r>
            <w:r w:rsidRPr="000723E7">
              <w:br/>
            </w:r>
            <w:r w:rsidRPr="000723E7">
              <w:rPr>
                <w:i/>
                <w:iCs/>
              </w:rPr>
              <w:t>P</w:t>
            </w:r>
            <w:r w:rsidRPr="000723E7">
              <w:t> = 0.06</w:t>
            </w:r>
          </w:p>
        </w:tc>
        <w:tc>
          <w:tcPr>
            <w:tcW w:w="0" w:type="auto"/>
            <w:hideMark/>
          </w:tcPr>
          <w:p w14:paraId="5D2DA789" w14:textId="77777777" w:rsidR="000723E7" w:rsidRPr="000723E7" w:rsidRDefault="000723E7" w:rsidP="000723E7">
            <w:pPr>
              <w:pStyle w:val="NoSpacing"/>
            </w:pPr>
            <w:r w:rsidRPr="000723E7">
              <w:t> </w:t>
            </w:r>
          </w:p>
        </w:tc>
      </w:tr>
      <w:tr w:rsidR="000723E7" w:rsidRPr="000723E7" w14:paraId="20A3258C" w14:textId="77777777" w:rsidTr="000723E7">
        <w:tc>
          <w:tcPr>
            <w:tcW w:w="0" w:type="auto"/>
            <w:hideMark/>
          </w:tcPr>
          <w:p w14:paraId="61AAE462" w14:textId="77777777" w:rsidR="000723E7" w:rsidRPr="000723E7" w:rsidRDefault="000723E7" w:rsidP="000723E7">
            <w:pPr>
              <w:pStyle w:val="NoSpacing"/>
            </w:pPr>
            <w:r w:rsidRPr="000723E7">
              <w:t> </w:t>
            </w:r>
            <w:r w:rsidRPr="000723E7">
              <w:t>Difference from week 2–6; score</w:t>
            </w:r>
          </w:p>
        </w:tc>
        <w:tc>
          <w:tcPr>
            <w:tcW w:w="0" w:type="auto"/>
            <w:hideMark/>
          </w:tcPr>
          <w:p w14:paraId="740878F0" w14:textId="77777777" w:rsidR="000723E7" w:rsidRPr="000723E7" w:rsidRDefault="000723E7" w:rsidP="000723E7">
            <w:pPr>
              <w:pStyle w:val="NoSpacing"/>
            </w:pPr>
            <w:r w:rsidRPr="000723E7">
              <w:t> </w:t>
            </w:r>
          </w:p>
        </w:tc>
        <w:tc>
          <w:tcPr>
            <w:tcW w:w="0" w:type="auto"/>
            <w:hideMark/>
          </w:tcPr>
          <w:p w14:paraId="04147A44" w14:textId="77777777" w:rsidR="000723E7" w:rsidRPr="000723E7" w:rsidRDefault="000723E7" w:rsidP="000723E7">
            <w:pPr>
              <w:pStyle w:val="NoSpacing"/>
            </w:pPr>
            <w:r w:rsidRPr="000723E7">
              <w:t>3.1 [−1.8, 8.1]</w:t>
            </w:r>
            <w:r w:rsidRPr="000723E7">
              <w:br/>
            </w:r>
            <w:r w:rsidRPr="000723E7">
              <w:rPr>
                <w:i/>
                <w:iCs/>
              </w:rPr>
              <w:t>P</w:t>
            </w:r>
            <w:r w:rsidRPr="000723E7">
              <w:t> = 0.21</w:t>
            </w:r>
          </w:p>
        </w:tc>
      </w:tr>
      <w:tr w:rsidR="000723E7" w:rsidRPr="005D7ADB" w14:paraId="263C3944" w14:textId="77777777" w:rsidTr="000723E7">
        <w:tc>
          <w:tcPr>
            <w:tcW w:w="0" w:type="auto"/>
            <w:hideMark/>
          </w:tcPr>
          <w:p w14:paraId="268B4B21" w14:textId="77777777" w:rsidR="000723E7" w:rsidRPr="005D7ADB" w:rsidRDefault="000723E7" w:rsidP="000723E7">
            <w:pPr>
              <w:pStyle w:val="NoSpacing"/>
              <w:rPr>
                <w:b/>
                <w:bCs/>
              </w:rPr>
            </w:pPr>
            <w:r w:rsidRPr="005D7ADB">
              <w:rPr>
                <w:b/>
                <w:bCs/>
              </w:rPr>
              <w:t>Supplemental O2</w:t>
            </w:r>
          </w:p>
        </w:tc>
        <w:tc>
          <w:tcPr>
            <w:tcW w:w="0" w:type="auto"/>
          </w:tcPr>
          <w:p w14:paraId="48CDF15A" w14:textId="77777777" w:rsidR="000723E7" w:rsidRPr="005D7ADB" w:rsidRDefault="000723E7" w:rsidP="000723E7">
            <w:pPr>
              <w:pStyle w:val="NoSpacing"/>
              <w:rPr>
                <w:b/>
                <w:bCs/>
              </w:rPr>
            </w:pPr>
          </w:p>
        </w:tc>
        <w:tc>
          <w:tcPr>
            <w:tcW w:w="0" w:type="auto"/>
          </w:tcPr>
          <w:p w14:paraId="2DE43118" w14:textId="7D00E62D" w:rsidR="000723E7" w:rsidRPr="005D7ADB" w:rsidRDefault="000723E7" w:rsidP="000723E7">
            <w:pPr>
              <w:pStyle w:val="NoSpacing"/>
              <w:rPr>
                <w:b/>
                <w:bCs/>
              </w:rPr>
            </w:pPr>
          </w:p>
        </w:tc>
      </w:tr>
      <w:tr w:rsidR="000723E7" w:rsidRPr="000723E7" w14:paraId="09B2F053" w14:textId="77777777" w:rsidTr="000723E7">
        <w:tc>
          <w:tcPr>
            <w:tcW w:w="0" w:type="auto"/>
            <w:hideMark/>
          </w:tcPr>
          <w:p w14:paraId="6F6DAD7B" w14:textId="77777777" w:rsidR="000723E7" w:rsidRPr="000723E7" w:rsidRDefault="000723E7" w:rsidP="000723E7">
            <w:pPr>
              <w:pStyle w:val="NoSpacing"/>
            </w:pPr>
            <w:r w:rsidRPr="000723E7">
              <w:t> </w:t>
            </w:r>
            <w:r w:rsidRPr="000723E7">
              <w:t>Reported use; OR</w:t>
            </w:r>
          </w:p>
        </w:tc>
        <w:tc>
          <w:tcPr>
            <w:tcW w:w="0" w:type="auto"/>
            <w:hideMark/>
          </w:tcPr>
          <w:p w14:paraId="5DA54856" w14:textId="77777777" w:rsidR="000723E7" w:rsidRPr="000723E7" w:rsidRDefault="000723E7" w:rsidP="000723E7">
            <w:pPr>
              <w:pStyle w:val="NoSpacing"/>
            </w:pPr>
            <w:r w:rsidRPr="000723E7">
              <w:t>2.0 [0.9, 4.5]</w:t>
            </w:r>
            <w:r w:rsidRPr="000723E7">
              <w:br/>
            </w:r>
            <w:r w:rsidRPr="000723E7">
              <w:rPr>
                <w:i/>
                <w:iCs/>
              </w:rPr>
              <w:t>P</w:t>
            </w:r>
            <w:r w:rsidRPr="000723E7">
              <w:t> = 0.10</w:t>
            </w:r>
          </w:p>
        </w:tc>
        <w:tc>
          <w:tcPr>
            <w:tcW w:w="0" w:type="auto"/>
            <w:hideMark/>
          </w:tcPr>
          <w:p w14:paraId="28D4E070" w14:textId="77777777" w:rsidR="000723E7" w:rsidRPr="000723E7" w:rsidRDefault="000723E7" w:rsidP="000723E7">
            <w:pPr>
              <w:pStyle w:val="NoSpacing"/>
            </w:pPr>
            <w:r w:rsidRPr="000723E7">
              <w:t> </w:t>
            </w:r>
          </w:p>
        </w:tc>
      </w:tr>
      <w:tr w:rsidR="000723E7" w:rsidRPr="000723E7" w14:paraId="03314153" w14:textId="77777777" w:rsidTr="000723E7">
        <w:tc>
          <w:tcPr>
            <w:tcW w:w="0" w:type="auto"/>
            <w:hideMark/>
          </w:tcPr>
          <w:p w14:paraId="30BA4624" w14:textId="77777777" w:rsidR="000723E7" w:rsidRPr="000723E7" w:rsidRDefault="000723E7" w:rsidP="000723E7">
            <w:pPr>
              <w:pStyle w:val="NoSpacing"/>
            </w:pPr>
            <w:r w:rsidRPr="000723E7">
              <w:t> </w:t>
            </w:r>
            <w:r w:rsidRPr="000723E7">
              <w:t>Continued or new use of supplemental O2; OR</w:t>
            </w:r>
          </w:p>
        </w:tc>
        <w:tc>
          <w:tcPr>
            <w:tcW w:w="0" w:type="auto"/>
            <w:hideMark/>
          </w:tcPr>
          <w:p w14:paraId="7521B070" w14:textId="77777777" w:rsidR="000723E7" w:rsidRPr="000723E7" w:rsidRDefault="000723E7" w:rsidP="000723E7">
            <w:pPr>
              <w:pStyle w:val="NoSpacing"/>
            </w:pPr>
            <w:r w:rsidRPr="000723E7">
              <w:t> </w:t>
            </w:r>
          </w:p>
        </w:tc>
        <w:tc>
          <w:tcPr>
            <w:tcW w:w="0" w:type="auto"/>
            <w:hideMark/>
          </w:tcPr>
          <w:p w14:paraId="287A9EF7" w14:textId="77777777" w:rsidR="000723E7" w:rsidRPr="005D7ADB" w:rsidRDefault="000723E7" w:rsidP="000723E7">
            <w:pPr>
              <w:pStyle w:val="NoSpacing"/>
              <w:rPr>
                <w:b/>
                <w:bCs/>
              </w:rPr>
            </w:pPr>
            <w:r w:rsidRPr="005D7ADB">
              <w:rPr>
                <w:b/>
                <w:bCs/>
              </w:rPr>
              <w:t>4.8 [1.5, 19.0]</w:t>
            </w:r>
            <w:r w:rsidRPr="005D7ADB">
              <w:rPr>
                <w:b/>
                <w:bCs/>
              </w:rPr>
              <w:br/>
            </w:r>
            <w:r w:rsidRPr="005D7ADB">
              <w:rPr>
                <w:b/>
                <w:bCs/>
                <w:i/>
                <w:iCs/>
              </w:rPr>
              <w:t>P</w:t>
            </w:r>
            <w:r w:rsidRPr="005D7ADB">
              <w:rPr>
                <w:b/>
                <w:bCs/>
              </w:rPr>
              <w:t> = 0.01</w:t>
            </w:r>
          </w:p>
        </w:tc>
      </w:tr>
      <w:tr w:rsidR="000723E7" w:rsidRPr="005D7ADB" w14:paraId="0E12FBCB" w14:textId="77777777" w:rsidTr="000723E7">
        <w:tc>
          <w:tcPr>
            <w:tcW w:w="0" w:type="auto"/>
            <w:hideMark/>
          </w:tcPr>
          <w:p w14:paraId="7C9A3243" w14:textId="77777777" w:rsidR="000723E7" w:rsidRPr="005D7ADB" w:rsidRDefault="000723E7" w:rsidP="000723E7">
            <w:pPr>
              <w:pStyle w:val="NoSpacing"/>
              <w:rPr>
                <w:b/>
                <w:bCs/>
              </w:rPr>
            </w:pPr>
            <w:r w:rsidRPr="005D7ADB">
              <w:rPr>
                <w:b/>
                <w:bCs/>
              </w:rPr>
              <w:t>Activity Level</w:t>
            </w:r>
          </w:p>
        </w:tc>
        <w:tc>
          <w:tcPr>
            <w:tcW w:w="0" w:type="auto"/>
          </w:tcPr>
          <w:p w14:paraId="42873EF5" w14:textId="77777777" w:rsidR="000723E7" w:rsidRPr="005D7ADB" w:rsidRDefault="000723E7" w:rsidP="000723E7">
            <w:pPr>
              <w:pStyle w:val="NoSpacing"/>
              <w:rPr>
                <w:b/>
                <w:bCs/>
              </w:rPr>
            </w:pPr>
          </w:p>
        </w:tc>
        <w:tc>
          <w:tcPr>
            <w:tcW w:w="0" w:type="auto"/>
          </w:tcPr>
          <w:p w14:paraId="13A3CD98" w14:textId="010A20D5" w:rsidR="000723E7" w:rsidRPr="005D7ADB" w:rsidRDefault="000723E7" w:rsidP="000723E7">
            <w:pPr>
              <w:pStyle w:val="NoSpacing"/>
              <w:rPr>
                <w:b/>
                <w:bCs/>
              </w:rPr>
            </w:pPr>
          </w:p>
        </w:tc>
      </w:tr>
      <w:tr w:rsidR="000723E7" w:rsidRPr="000723E7" w14:paraId="7D78EB1E" w14:textId="77777777" w:rsidTr="000723E7">
        <w:tc>
          <w:tcPr>
            <w:tcW w:w="0" w:type="auto"/>
            <w:hideMark/>
          </w:tcPr>
          <w:p w14:paraId="09524E60" w14:textId="77777777" w:rsidR="000723E7" w:rsidRPr="000723E7" w:rsidRDefault="000723E7" w:rsidP="000723E7">
            <w:pPr>
              <w:pStyle w:val="NoSpacing"/>
            </w:pPr>
            <w:r w:rsidRPr="000723E7">
              <w:t> </w:t>
            </w:r>
            <w:r w:rsidRPr="000723E7">
              <w:t>Did not return to pre-hospitalization exercise; OR</w:t>
            </w:r>
          </w:p>
        </w:tc>
        <w:tc>
          <w:tcPr>
            <w:tcW w:w="0" w:type="auto"/>
            <w:hideMark/>
          </w:tcPr>
          <w:p w14:paraId="3595721F" w14:textId="77777777" w:rsidR="000723E7" w:rsidRPr="000723E7" w:rsidRDefault="000723E7" w:rsidP="000723E7">
            <w:pPr>
              <w:pStyle w:val="NoSpacing"/>
            </w:pPr>
            <w:r w:rsidRPr="000723E7">
              <w:t> </w:t>
            </w:r>
          </w:p>
        </w:tc>
        <w:tc>
          <w:tcPr>
            <w:tcW w:w="0" w:type="auto"/>
            <w:hideMark/>
          </w:tcPr>
          <w:p w14:paraId="4147E069" w14:textId="77777777" w:rsidR="000723E7" w:rsidRPr="000723E7" w:rsidRDefault="000723E7" w:rsidP="000723E7">
            <w:pPr>
              <w:pStyle w:val="NoSpacing"/>
            </w:pPr>
            <w:r w:rsidRPr="000723E7">
              <w:t>1.2 [0.4, 3.8]</w:t>
            </w:r>
            <w:r w:rsidRPr="000723E7">
              <w:br/>
            </w:r>
            <w:r w:rsidRPr="000723E7">
              <w:rPr>
                <w:i/>
                <w:iCs/>
              </w:rPr>
              <w:t>P</w:t>
            </w:r>
            <w:r w:rsidRPr="000723E7">
              <w:t> = 0.8</w:t>
            </w:r>
          </w:p>
        </w:tc>
      </w:tr>
    </w:tbl>
    <w:p w14:paraId="22E0C8F9" w14:textId="77777777" w:rsidR="000723E7" w:rsidRPr="000723E7" w:rsidRDefault="000723E7" w:rsidP="005D7ADB">
      <w:r w:rsidRPr="000723E7">
        <w:rPr>
          <w:vertAlign w:val="superscript"/>
        </w:rPr>
        <w:t>*</w:t>
      </w:r>
      <w:r w:rsidRPr="000723E7">
        <w:t> Week 12 data used if week 18 data was unavailable</w:t>
      </w:r>
    </w:p>
    <w:p w14:paraId="48A92B08" w14:textId="77777777" w:rsidR="00840108" w:rsidRDefault="00840108" w:rsidP="00C26B7E">
      <w:pPr>
        <w:spacing w:after="0"/>
        <w:rPr>
          <w:b/>
          <w:bCs/>
        </w:rPr>
        <w:sectPr w:rsidR="00840108" w:rsidSect="00013176">
          <w:pgSz w:w="12240" w:h="15840"/>
          <w:pgMar w:top="1080" w:right="1080" w:bottom="1080" w:left="1080" w:header="720" w:footer="720" w:gutter="0"/>
          <w:cols w:space="720"/>
          <w:docGrid w:linePitch="360"/>
        </w:sectPr>
      </w:pPr>
    </w:p>
    <w:p w14:paraId="6CD7C50A" w14:textId="1E8A3AC8" w:rsidR="0068206B" w:rsidRPr="0068206B" w:rsidRDefault="0068206B" w:rsidP="00C26B7E">
      <w:pPr>
        <w:spacing w:after="0"/>
      </w:pPr>
      <w:r w:rsidRPr="0068206B">
        <w:rPr>
          <w:b/>
          <w:bCs/>
        </w:rPr>
        <w:t>Table 4 Differences in impairment for racial/ethnic minorities compared to White, non-Hispanic participants, presented as estimate or odds ratio (OR) when indicated with (95% confidence interval) and </w:t>
      </w:r>
      <w:r w:rsidRPr="0068206B">
        <w:rPr>
          <w:b/>
          <w:bCs/>
          <w:i/>
          <w:iCs/>
        </w:rPr>
        <w:t>p</w:t>
      </w:r>
      <w:r w:rsidRPr="0068206B">
        <w:rPr>
          <w:b/>
          <w:bCs/>
        </w:rPr>
        <w:t>-values for each outcome. Estimates that are statistically significant (</w:t>
      </w:r>
      <w:r w:rsidRPr="0068206B">
        <w:rPr>
          <w:b/>
          <w:bCs/>
          <w:i/>
          <w:iCs/>
        </w:rPr>
        <w:t>p</w:t>
      </w:r>
      <w:r w:rsidRPr="0068206B">
        <w:rPr>
          <w:b/>
          <w:bCs/>
        </w:rPr>
        <w:t> &lt; 0.05) are bolded</w:t>
      </w:r>
    </w:p>
    <w:tbl>
      <w:tblPr>
        <w:tblStyle w:val="TableGrid"/>
        <w:tblW w:w="0" w:type="auto"/>
        <w:tblLook w:val="04A0" w:firstRow="1" w:lastRow="0" w:firstColumn="1" w:lastColumn="0" w:noHBand="0" w:noVBand="1"/>
      </w:tblPr>
      <w:tblGrid>
        <w:gridCol w:w="5575"/>
        <w:gridCol w:w="2160"/>
        <w:gridCol w:w="1890"/>
        <w:gridCol w:w="2160"/>
        <w:gridCol w:w="1885"/>
      </w:tblGrid>
      <w:tr w:rsidR="00C26B7E" w:rsidRPr="008226CD" w14:paraId="5AD0B207" w14:textId="77777777" w:rsidTr="004A18A1">
        <w:tc>
          <w:tcPr>
            <w:tcW w:w="5575" w:type="dxa"/>
            <w:hideMark/>
          </w:tcPr>
          <w:p w14:paraId="34826FF2" w14:textId="77777777" w:rsidR="00C26B7E" w:rsidRPr="008226CD" w:rsidRDefault="00C26B7E" w:rsidP="00C26B7E">
            <w:pPr>
              <w:spacing w:line="259" w:lineRule="auto"/>
              <w:rPr>
                <w:b/>
                <w:bCs/>
              </w:rPr>
            </w:pPr>
            <w:r w:rsidRPr="008226CD">
              <w:rPr>
                <w:b/>
                <w:bCs/>
              </w:rPr>
              <w:t>Outcome; estimate type</w:t>
            </w:r>
          </w:p>
        </w:tc>
        <w:tc>
          <w:tcPr>
            <w:tcW w:w="2160" w:type="dxa"/>
            <w:hideMark/>
          </w:tcPr>
          <w:p w14:paraId="3F5A7422" w14:textId="77777777" w:rsidR="00C26B7E" w:rsidRPr="008226CD" w:rsidRDefault="00C26B7E" w:rsidP="00C26B7E">
            <w:pPr>
              <w:rPr>
                <w:b/>
                <w:bCs/>
              </w:rPr>
            </w:pPr>
            <w:r w:rsidRPr="008226CD">
              <w:rPr>
                <w:b/>
                <w:bCs/>
              </w:rPr>
              <w:t>Baseline difference</w:t>
            </w:r>
            <w:r w:rsidRPr="008226CD">
              <w:rPr>
                <w:b/>
                <w:bCs/>
              </w:rPr>
              <w:br/>
              <w:t>Est [95% CI] </w:t>
            </w:r>
            <w:r w:rsidRPr="008226CD">
              <w:rPr>
                <w:b/>
                <w:bCs/>
                <w:i/>
                <w:iCs/>
              </w:rPr>
              <w:t>P</w:t>
            </w:r>
            <w:r w:rsidRPr="008226CD">
              <w:rPr>
                <w:b/>
                <w:bCs/>
              </w:rPr>
              <w:t>-value</w:t>
            </w:r>
          </w:p>
        </w:tc>
        <w:tc>
          <w:tcPr>
            <w:tcW w:w="1890" w:type="dxa"/>
          </w:tcPr>
          <w:p w14:paraId="0B0D655E" w14:textId="2AD4C370" w:rsidR="00C26B7E" w:rsidRPr="008226CD" w:rsidRDefault="00C26B7E" w:rsidP="00C26B7E">
            <w:pPr>
              <w:spacing w:line="259" w:lineRule="auto"/>
              <w:rPr>
                <w:b/>
                <w:bCs/>
              </w:rPr>
            </w:pPr>
          </w:p>
        </w:tc>
        <w:tc>
          <w:tcPr>
            <w:tcW w:w="2160" w:type="dxa"/>
            <w:hideMark/>
          </w:tcPr>
          <w:p w14:paraId="37D92C9C" w14:textId="77777777" w:rsidR="00C26B7E" w:rsidRPr="008226CD" w:rsidRDefault="00C26B7E" w:rsidP="00C26B7E">
            <w:pPr>
              <w:rPr>
                <w:b/>
                <w:bCs/>
              </w:rPr>
            </w:pPr>
            <w:r w:rsidRPr="008226CD">
              <w:rPr>
                <w:b/>
                <w:bCs/>
              </w:rPr>
              <w:t>Week 18 difference </w:t>
            </w:r>
            <w:r w:rsidRPr="008226CD">
              <w:rPr>
                <w:b/>
                <w:bCs/>
                <w:vertAlign w:val="superscript"/>
              </w:rPr>
              <w:t>*</w:t>
            </w:r>
            <w:r w:rsidRPr="008226CD">
              <w:rPr>
                <w:b/>
                <w:bCs/>
              </w:rPr>
              <w:br/>
              <w:t>Est [95% CI] </w:t>
            </w:r>
            <w:r w:rsidRPr="008226CD">
              <w:rPr>
                <w:b/>
                <w:bCs/>
                <w:i/>
                <w:iCs/>
              </w:rPr>
              <w:t>P</w:t>
            </w:r>
            <w:r w:rsidRPr="008226CD">
              <w:rPr>
                <w:b/>
                <w:bCs/>
              </w:rPr>
              <w:t>-value</w:t>
            </w:r>
          </w:p>
        </w:tc>
        <w:tc>
          <w:tcPr>
            <w:tcW w:w="1885" w:type="dxa"/>
          </w:tcPr>
          <w:p w14:paraId="1BF68172" w14:textId="3DF9EBD5" w:rsidR="00C26B7E" w:rsidRPr="008226CD" w:rsidRDefault="00C26B7E" w:rsidP="00C26B7E">
            <w:pPr>
              <w:spacing w:line="259" w:lineRule="auto"/>
              <w:rPr>
                <w:b/>
                <w:bCs/>
              </w:rPr>
            </w:pPr>
          </w:p>
        </w:tc>
      </w:tr>
      <w:tr w:rsidR="00840108" w:rsidRPr="008226CD" w14:paraId="53921488" w14:textId="77777777" w:rsidTr="004A18A1">
        <w:tc>
          <w:tcPr>
            <w:tcW w:w="5575" w:type="dxa"/>
            <w:hideMark/>
          </w:tcPr>
          <w:p w14:paraId="134A988D" w14:textId="77777777" w:rsidR="008226CD" w:rsidRPr="008226CD" w:rsidRDefault="008226CD" w:rsidP="00C26B7E">
            <w:pPr>
              <w:spacing w:line="259" w:lineRule="auto"/>
              <w:rPr>
                <w:b/>
                <w:bCs/>
              </w:rPr>
            </w:pPr>
            <w:r w:rsidRPr="008226CD">
              <w:rPr>
                <w:b/>
                <w:bCs/>
              </w:rPr>
              <w:t>Race/Ethnicity category</w:t>
            </w:r>
          </w:p>
        </w:tc>
        <w:tc>
          <w:tcPr>
            <w:tcW w:w="2160" w:type="dxa"/>
            <w:hideMark/>
          </w:tcPr>
          <w:p w14:paraId="2FCB232E" w14:textId="77777777" w:rsidR="008226CD" w:rsidRPr="008226CD" w:rsidRDefault="008226CD" w:rsidP="00C26B7E">
            <w:pPr>
              <w:spacing w:line="259" w:lineRule="auto"/>
              <w:rPr>
                <w:b/>
                <w:bCs/>
              </w:rPr>
            </w:pPr>
            <w:r w:rsidRPr="008226CD">
              <w:rPr>
                <w:b/>
                <w:bCs/>
              </w:rPr>
              <w:t>Black/African American, NH</w:t>
            </w:r>
          </w:p>
        </w:tc>
        <w:tc>
          <w:tcPr>
            <w:tcW w:w="1890" w:type="dxa"/>
            <w:hideMark/>
          </w:tcPr>
          <w:p w14:paraId="1F1159E7" w14:textId="77777777" w:rsidR="008226CD" w:rsidRPr="008226CD" w:rsidRDefault="008226CD" w:rsidP="00C26B7E">
            <w:pPr>
              <w:spacing w:line="259" w:lineRule="auto"/>
              <w:rPr>
                <w:b/>
                <w:bCs/>
              </w:rPr>
            </w:pPr>
            <w:r w:rsidRPr="008226CD">
              <w:rPr>
                <w:b/>
                <w:bCs/>
              </w:rPr>
              <w:t>Hispanic, regardless of race</w:t>
            </w:r>
          </w:p>
        </w:tc>
        <w:tc>
          <w:tcPr>
            <w:tcW w:w="2160" w:type="dxa"/>
            <w:hideMark/>
          </w:tcPr>
          <w:p w14:paraId="77B2C39D" w14:textId="77777777" w:rsidR="008226CD" w:rsidRPr="008226CD" w:rsidRDefault="008226CD" w:rsidP="00C26B7E">
            <w:pPr>
              <w:spacing w:line="259" w:lineRule="auto"/>
              <w:rPr>
                <w:b/>
                <w:bCs/>
              </w:rPr>
            </w:pPr>
            <w:r w:rsidRPr="008226CD">
              <w:rPr>
                <w:b/>
                <w:bCs/>
              </w:rPr>
              <w:t>Black/African American, NH</w:t>
            </w:r>
          </w:p>
        </w:tc>
        <w:tc>
          <w:tcPr>
            <w:tcW w:w="1885" w:type="dxa"/>
            <w:hideMark/>
          </w:tcPr>
          <w:p w14:paraId="20074FEE" w14:textId="77777777" w:rsidR="008226CD" w:rsidRPr="008226CD" w:rsidRDefault="008226CD" w:rsidP="00C26B7E">
            <w:pPr>
              <w:spacing w:line="259" w:lineRule="auto"/>
              <w:rPr>
                <w:b/>
                <w:bCs/>
              </w:rPr>
            </w:pPr>
            <w:r w:rsidRPr="008226CD">
              <w:rPr>
                <w:b/>
                <w:bCs/>
              </w:rPr>
              <w:t>Hispanic, regardless of race</w:t>
            </w:r>
          </w:p>
        </w:tc>
      </w:tr>
      <w:tr w:rsidR="004A18A1" w:rsidRPr="008226CD" w14:paraId="4A48E410" w14:textId="77777777" w:rsidTr="004A18A1">
        <w:tc>
          <w:tcPr>
            <w:tcW w:w="5575" w:type="dxa"/>
            <w:hideMark/>
          </w:tcPr>
          <w:p w14:paraId="4F92A534" w14:textId="77777777" w:rsidR="00C26B7E" w:rsidRPr="008226CD" w:rsidRDefault="00C26B7E" w:rsidP="00C26B7E">
            <w:r w:rsidRPr="008226CD">
              <w:rPr>
                <w:b/>
                <w:bCs/>
              </w:rPr>
              <w:t>10-Time Chair Rise Test</w:t>
            </w:r>
          </w:p>
        </w:tc>
        <w:tc>
          <w:tcPr>
            <w:tcW w:w="2160" w:type="dxa"/>
          </w:tcPr>
          <w:p w14:paraId="47D890A2" w14:textId="77777777" w:rsidR="00C26B7E" w:rsidRPr="008226CD" w:rsidRDefault="00C26B7E" w:rsidP="00C26B7E"/>
        </w:tc>
        <w:tc>
          <w:tcPr>
            <w:tcW w:w="1890" w:type="dxa"/>
          </w:tcPr>
          <w:p w14:paraId="5A318166" w14:textId="77777777" w:rsidR="00C26B7E" w:rsidRPr="008226CD" w:rsidRDefault="00C26B7E" w:rsidP="00C26B7E"/>
        </w:tc>
        <w:tc>
          <w:tcPr>
            <w:tcW w:w="2160" w:type="dxa"/>
          </w:tcPr>
          <w:p w14:paraId="383E0B22" w14:textId="77777777" w:rsidR="00C26B7E" w:rsidRPr="008226CD" w:rsidRDefault="00C26B7E" w:rsidP="00C26B7E"/>
        </w:tc>
        <w:tc>
          <w:tcPr>
            <w:tcW w:w="1885" w:type="dxa"/>
          </w:tcPr>
          <w:p w14:paraId="262A92A7" w14:textId="4A0F7F47" w:rsidR="00C26B7E" w:rsidRPr="008226CD" w:rsidRDefault="00C26B7E" w:rsidP="00C26B7E">
            <w:pPr>
              <w:spacing w:line="259" w:lineRule="auto"/>
            </w:pPr>
          </w:p>
        </w:tc>
      </w:tr>
      <w:tr w:rsidR="004A18A1" w:rsidRPr="008226CD" w14:paraId="1C99D571" w14:textId="77777777" w:rsidTr="004A18A1">
        <w:tc>
          <w:tcPr>
            <w:tcW w:w="5575" w:type="dxa"/>
            <w:hideMark/>
          </w:tcPr>
          <w:p w14:paraId="69621A05" w14:textId="77777777" w:rsidR="008226CD" w:rsidRPr="008226CD" w:rsidRDefault="008226CD" w:rsidP="00C26B7E">
            <w:pPr>
              <w:spacing w:line="259" w:lineRule="auto"/>
            </w:pPr>
            <w:r w:rsidRPr="008226CD">
              <w:t> </w:t>
            </w:r>
            <w:r w:rsidRPr="008226CD">
              <w:t>Unable to complete due to physical ability or safety concerns; OR</w:t>
            </w:r>
          </w:p>
        </w:tc>
        <w:tc>
          <w:tcPr>
            <w:tcW w:w="2160" w:type="dxa"/>
            <w:hideMark/>
          </w:tcPr>
          <w:p w14:paraId="738D1458" w14:textId="77777777" w:rsidR="008226CD" w:rsidRPr="008226CD" w:rsidRDefault="008226CD" w:rsidP="00C26B7E">
            <w:pPr>
              <w:spacing w:line="259" w:lineRule="auto"/>
            </w:pPr>
            <w:r w:rsidRPr="008226CD">
              <w:t>1.2 [0.3, 4.2]</w:t>
            </w:r>
            <w:r w:rsidRPr="008226CD">
              <w:br/>
            </w:r>
            <w:r w:rsidRPr="008226CD">
              <w:rPr>
                <w:i/>
                <w:iCs/>
              </w:rPr>
              <w:t>P</w:t>
            </w:r>
            <w:r w:rsidRPr="008226CD">
              <w:t> = 0.81</w:t>
            </w:r>
          </w:p>
        </w:tc>
        <w:tc>
          <w:tcPr>
            <w:tcW w:w="1890" w:type="dxa"/>
            <w:hideMark/>
          </w:tcPr>
          <w:p w14:paraId="06526EB5" w14:textId="77777777" w:rsidR="008226CD" w:rsidRPr="008226CD" w:rsidRDefault="008226CD" w:rsidP="00C26B7E">
            <w:pPr>
              <w:spacing w:line="259" w:lineRule="auto"/>
            </w:pPr>
            <w:r w:rsidRPr="008226CD">
              <w:t>0.3 [0, 1.2]</w:t>
            </w:r>
            <w:r w:rsidRPr="008226CD">
              <w:br/>
            </w:r>
            <w:r w:rsidRPr="008226CD">
              <w:rPr>
                <w:i/>
                <w:iCs/>
              </w:rPr>
              <w:t>P</w:t>
            </w:r>
            <w:r w:rsidRPr="008226CD">
              <w:t> = 0.13</w:t>
            </w:r>
          </w:p>
        </w:tc>
        <w:tc>
          <w:tcPr>
            <w:tcW w:w="2160" w:type="dxa"/>
            <w:hideMark/>
          </w:tcPr>
          <w:p w14:paraId="236DB740" w14:textId="77777777" w:rsidR="008226CD" w:rsidRPr="008226CD" w:rsidRDefault="008226CD" w:rsidP="00C26B7E">
            <w:pPr>
              <w:spacing w:line="259" w:lineRule="auto"/>
            </w:pPr>
            <w:r w:rsidRPr="008226CD">
              <w:t> </w:t>
            </w:r>
          </w:p>
        </w:tc>
        <w:tc>
          <w:tcPr>
            <w:tcW w:w="1885" w:type="dxa"/>
            <w:hideMark/>
          </w:tcPr>
          <w:p w14:paraId="431BCD25" w14:textId="77777777" w:rsidR="008226CD" w:rsidRPr="008226CD" w:rsidRDefault="008226CD" w:rsidP="00C26B7E">
            <w:pPr>
              <w:spacing w:line="259" w:lineRule="auto"/>
            </w:pPr>
            <w:r w:rsidRPr="008226CD">
              <w:t> </w:t>
            </w:r>
          </w:p>
        </w:tc>
      </w:tr>
      <w:tr w:rsidR="004A18A1" w:rsidRPr="008226CD" w14:paraId="1B4BAB0E" w14:textId="77777777" w:rsidTr="004A18A1">
        <w:tc>
          <w:tcPr>
            <w:tcW w:w="5575" w:type="dxa"/>
            <w:hideMark/>
          </w:tcPr>
          <w:p w14:paraId="549E1116" w14:textId="77777777" w:rsidR="008226CD" w:rsidRPr="008226CD" w:rsidRDefault="008226CD" w:rsidP="00C26B7E">
            <w:pPr>
              <w:spacing w:line="259" w:lineRule="auto"/>
            </w:pPr>
            <w:r w:rsidRPr="008226CD">
              <w:t> </w:t>
            </w:r>
            <w:r w:rsidRPr="008226CD">
              <w:t>Time to complete; seconds</w:t>
            </w:r>
          </w:p>
        </w:tc>
        <w:tc>
          <w:tcPr>
            <w:tcW w:w="2160" w:type="dxa"/>
            <w:hideMark/>
          </w:tcPr>
          <w:p w14:paraId="4F026C4E" w14:textId="77777777" w:rsidR="008226CD" w:rsidRPr="008226CD" w:rsidRDefault="008226CD" w:rsidP="00C26B7E">
            <w:pPr>
              <w:spacing w:line="259" w:lineRule="auto"/>
            </w:pPr>
            <w:r w:rsidRPr="008226CD">
              <w:rPr>
                <w:b/>
                <w:bCs/>
              </w:rPr>
              <w:t>7.7 [2.0, 13.5]</w:t>
            </w:r>
            <w:r w:rsidRPr="008226CD">
              <w:br/>
            </w:r>
            <w:r w:rsidRPr="008226CD">
              <w:rPr>
                <w:b/>
                <w:bCs/>
                <w:i/>
                <w:iCs/>
              </w:rPr>
              <w:t>P</w:t>
            </w:r>
            <w:r w:rsidRPr="008226CD">
              <w:t> </w:t>
            </w:r>
            <w:r w:rsidRPr="008226CD">
              <w:rPr>
                <w:b/>
                <w:bCs/>
              </w:rPr>
              <w:t>= 0.01</w:t>
            </w:r>
          </w:p>
        </w:tc>
        <w:tc>
          <w:tcPr>
            <w:tcW w:w="1890" w:type="dxa"/>
            <w:hideMark/>
          </w:tcPr>
          <w:p w14:paraId="2B01DB15" w14:textId="77777777" w:rsidR="008226CD" w:rsidRPr="008226CD" w:rsidRDefault="008226CD" w:rsidP="00C26B7E">
            <w:pPr>
              <w:spacing w:line="259" w:lineRule="auto"/>
            </w:pPr>
            <w:r w:rsidRPr="008226CD">
              <w:rPr>
                <w:b/>
                <w:bCs/>
              </w:rPr>
              <w:t>6.0 [1.1, 11.0]</w:t>
            </w:r>
            <w:r w:rsidRPr="008226CD">
              <w:br/>
            </w:r>
            <w:r w:rsidRPr="008226CD">
              <w:rPr>
                <w:b/>
                <w:bCs/>
                <w:i/>
                <w:iCs/>
              </w:rPr>
              <w:t>P</w:t>
            </w:r>
            <w:r w:rsidRPr="008226CD">
              <w:t> </w:t>
            </w:r>
            <w:r w:rsidRPr="008226CD">
              <w:rPr>
                <w:b/>
                <w:bCs/>
              </w:rPr>
              <w:t>= 0.02</w:t>
            </w:r>
          </w:p>
        </w:tc>
        <w:tc>
          <w:tcPr>
            <w:tcW w:w="2160" w:type="dxa"/>
            <w:hideMark/>
          </w:tcPr>
          <w:p w14:paraId="013E79F1" w14:textId="77777777" w:rsidR="008226CD" w:rsidRPr="008226CD" w:rsidRDefault="008226CD" w:rsidP="00C26B7E">
            <w:pPr>
              <w:spacing w:line="259" w:lineRule="auto"/>
            </w:pPr>
            <w:r w:rsidRPr="008226CD">
              <w:t> </w:t>
            </w:r>
          </w:p>
        </w:tc>
        <w:tc>
          <w:tcPr>
            <w:tcW w:w="1885" w:type="dxa"/>
            <w:hideMark/>
          </w:tcPr>
          <w:p w14:paraId="54D8C6B3" w14:textId="77777777" w:rsidR="008226CD" w:rsidRPr="008226CD" w:rsidRDefault="008226CD" w:rsidP="00C26B7E">
            <w:pPr>
              <w:spacing w:line="259" w:lineRule="auto"/>
            </w:pPr>
            <w:r w:rsidRPr="008226CD">
              <w:t> </w:t>
            </w:r>
          </w:p>
        </w:tc>
      </w:tr>
      <w:tr w:rsidR="004A18A1" w:rsidRPr="008226CD" w14:paraId="3FFFA60C" w14:textId="77777777" w:rsidTr="004A18A1">
        <w:tc>
          <w:tcPr>
            <w:tcW w:w="5575" w:type="dxa"/>
            <w:hideMark/>
          </w:tcPr>
          <w:p w14:paraId="40EDF7DA" w14:textId="77777777" w:rsidR="008226CD" w:rsidRPr="008226CD" w:rsidRDefault="008226CD" w:rsidP="00C26B7E">
            <w:pPr>
              <w:spacing w:line="259" w:lineRule="auto"/>
            </w:pPr>
            <w:r w:rsidRPr="008226CD">
              <w:t> </w:t>
            </w:r>
            <w:r w:rsidRPr="008226CD">
              <w:t>Change in time to complete from week 2/6; seconds</w:t>
            </w:r>
          </w:p>
        </w:tc>
        <w:tc>
          <w:tcPr>
            <w:tcW w:w="2160" w:type="dxa"/>
            <w:hideMark/>
          </w:tcPr>
          <w:p w14:paraId="044A2FC7" w14:textId="77777777" w:rsidR="008226CD" w:rsidRPr="008226CD" w:rsidRDefault="008226CD" w:rsidP="00C26B7E">
            <w:pPr>
              <w:spacing w:line="259" w:lineRule="auto"/>
            </w:pPr>
            <w:r w:rsidRPr="008226CD">
              <w:t> </w:t>
            </w:r>
          </w:p>
        </w:tc>
        <w:tc>
          <w:tcPr>
            <w:tcW w:w="1890" w:type="dxa"/>
            <w:hideMark/>
          </w:tcPr>
          <w:p w14:paraId="2D17A702" w14:textId="77777777" w:rsidR="008226CD" w:rsidRPr="008226CD" w:rsidRDefault="008226CD" w:rsidP="00C26B7E">
            <w:pPr>
              <w:spacing w:line="259" w:lineRule="auto"/>
            </w:pPr>
            <w:r w:rsidRPr="008226CD">
              <w:t> </w:t>
            </w:r>
          </w:p>
        </w:tc>
        <w:tc>
          <w:tcPr>
            <w:tcW w:w="2160" w:type="dxa"/>
            <w:hideMark/>
          </w:tcPr>
          <w:p w14:paraId="7F6EB6AA" w14:textId="77777777" w:rsidR="008226CD" w:rsidRPr="008226CD" w:rsidRDefault="008226CD" w:rsidP="00C26B7E">
            <w:pPr>
              <w:spacing w:line="259" w:lineRule="auto"/>
            </w:pPr>
            <w:r w:rsidRPr="008226CD">
              <w:t>3.0 [−2.2, 8.1]</w:t>
            </w:r>
            <w:r w:rsidRPr="008226CD">
              <w:br/>
            </w:r>
            <w:r w:rsidRPr="008226CD">
              <w:rPr>
                <w:i/>
                <w:iCs/>
              </w:rPr>
              <w:t>P</w:t>
            </w:r>
            <w:r w:rsidRPr="008226CD">
              <w:t> = 0.25</w:t>
            </w:r>
          </w:p>
        </w:tc>
        <w:tc>
          <w:tcPr>
            <w:tcW w:w="1885" w:type="dxa"/>
            <w:hideMark/>
          </w:tcPr>
          <w:p w14:paraId="556287C6" w14:textId="77777777" w:rsidR="008226CD" w:rsidRPr="008226CD" w:rsidRDefault="008226CD" w:rsidP="00C26B7E">
            <w:pPr>
              <w:spacing w:line="259" w:lineRule="auto"/>
            </w:pPr>
            <w:r w:rsidRPr="008226CD">
              <w:t>2.7 [−1.6, 7.0]</w:t>
            </w:r>
            <w:r w:rsidRPr="008226CD">
              <w:br/>
            </w:r>
            <w:r w:rsidRPr="008226CD">
              <w:rPr>
                <w:i/>
                <w:iCs/>
              </w:rPr>
              <w:t>P</w:t>
            </w:r>
            <w:r w:rsidRPr="008226CD">
              <w:t> = 0.22</w:t>
            </w:r>
          </w:p>
        </w:tc>
      </w:tr>
      <w:tr w:rsidR="00C26B7E" w:rsidRPr="008226CD" w14:paraId="7577217F" w14:textId="77777777" w:rsidTr="004A18A1">
        <w:tc>
          <w:tcPr>
            <w:tcW w:w="5575" w:type="dxa"/>
            <w:hideMark/>
          </w:tcPr>
          <w:p w14:paraId="0595574E" w14:textId="77777777" w:rsidR="00C26B7E" w:rsidRPr="008226CD" w:rsidRDefault="00C26B7E" w:rsidP="00C26B7E">
            <w:r w:rsidRPr="008226CD">
              <w:rPr>
                <w:b/>
                <w:bCs/>
              </w:rPr>
              <w:t>Clinical Frailty Scale</w:t>
            </w:r>
          </w:p>
        </w:tc>
        <w:tc>
          <w:tcPr>
            <w:tcW w:w="2160" w:type="dxa"/>
          </w:tcPr>
          <w:p w14:paraId="4D42FE49" w14:textId="77777777" w:rsidR="00C26B7E" w:rsidRPr="008226CD" w:rsidRDefault="00C26B7E" w:rsidP="00C26B7E"/>
        </w:tc>
        <w:tc>
          <w:tcPr>
            <w:tcW w:w="1890" w:type="dxa"/>
          </w:tcPr>
          <w:p w14:paraId="1E222424" w14:textId="77777777" w:rsidR="00C26B7E" w:rsidRPr="008226CD" w:rsidRDefault="00C26B7E" w:rsidP="00C26B7E"/>
        </w:tc>
        <w:tc>
          <w:tcPr>
            <w:tcW w:w="2160" w:type="dxa"/>
          </w:tcPr>
          <w:p w14:paraId="1ED148F4" w14:textId="77777777" w:rsidR="00C26B7E" w:rsidRPr="008226CD" w:rsidRDefault="00C26B7E" w:rsidP="00C26B7E"/>
        </w:tc>
        <w:tc>
          <w:tcPr>
            <w:tcW w:w="1885" w:type="dxa"/>
          </w:tcPr>
          <w:p w14:paraId="4D920282" w14:textId="525AEF26" w:rsidR="00C26B7E" w:rsidRPr="008226CD" w:rsidRDefault="00C26B7E" w:rsidP="00C26B7E">
            <w:pPr>
              <w:spacing w:line="259" w:lineRule="auto"/>
            </w:pPr>
          </w:p>
        </w:tc>
      </w:tr>
      <w:tr w:rsidR="004A18A1" w:rsidRPr="008226CD" w14:paraId="0B7C834B" w14:textId="77777777" w:rsidTr="004A18A1">
        <w:tc>
          <w:tcPr>
            <w:tcW w:w="5575" w:type="dxa"/>
            <w:hideMark/>
          </w:tcPr>
          <w:p w14:paraId="764CF108" w14:textId="77777777" w:rsidR="008226CD" w:rsidRPr="008226CD" w:rsidRDefault="008226CD" w:rsidP="00C26B7E">
            <w:pPr>
              <w:spacing w:line="259" w:lineRule="auto"/>
            </w:pPr>
            <w:r w:rsidRPr="008226CD">
              <w:t> </w:t>
            </w:r>
            <w:r w:rsidRPr="008226CD">
              <w:t>Post-hospitalization reported frailty; OR</w:t>
            </w:r>
          </w:p>
        </w:tc>
        <w:tc>
          <w:tcPr>
            <w:tcW w:w="2160" w:type="dxa"/>
            <w:hideMark/>
          </w:tcPr>
          <w:p w14:paraId="00C7AF54" w14:textId="77777777" w:rsidR="008226CD" w:rsidRPr="008226CD" w:rsidRDefault="008226CD" w:rsidP="00C26B7E">
            <w:pPr>
              <w:spacing w:line="259" w:lineRule="auto"/>
            </w:pPr>
            <w:r w:rsidRPr="008226CD">
              <w:t>0.3 [0.1, 1.4]</w:t>
            </w:r>
            <w:r w:rsidRPr="008226CD">
              <w:br/>
            </w:r>
            <w:r w:rsidRPr="008226CD">
              <w:rPr>
                <w:i/>
                <w:iCs/>
              </w:rPr>
              <w:t>P</w:t>
            </w:r>
            <w:r w:rsidRPr="008226CD">
              <w:t> = 0.14</w:t>
            </w:r>
          </w:p>
        </w:tc>
        <w:tc>
          <w:tcPr>
            <w:tcW w:w="1890" w:type="dxa"/>
            <w:hideMark/>
          </w:tcPr>
          <w:p w14:paraId="079DE0E4" w14:textId="77777777" w:rsidR="008226CD" w:rsidRPr="008226CD" w:rsidRDefault="008226CD" w:rsidP="00C26B7E">
            <w:pPr>
              <w:spacing w:line="259" w:lineRule="auto"/>
            </w:pPr>
            <w:r w:rsidRPr="008226CD">
              <w:t>0.3 [0.1, 1.2]</w:t>
            </w:r>
            <w:r w:rsidRPr="008226CD">
              <w:br/>
            </w:r>
            <w:r w:rsidRPr="008226CD">
              <w:rPr>
                <w:i/>
                <w:iCs/>
              </w:rPr>
              <w:t>P</w:t>
            </w:r>
            <w:r w:rsidRPr="008226CD">
              <w:t> = 0.09</w:t>
            </w:r>
          </w:p>
        </w:tc>
        <w:tc>
          <w:tcPr>
            <w:tcW w:w="2160" w:type="dxa"/>
            <w:hideMark/>
          </w:tcPr>
          <w:p w14:paraId="4EC94739" w14:textId="77777777" w:rsidR="008226CD" w:rsidRPr="008226CD" w:rsidRDefault="008226CD" w:rsidP="00C26B7E">
            <w:pPr>
              <w:spacing w:line="259" w:lineRule="auto"/>
            </w:pPr>
            <w:r w:rsidRPr="008226CD">
              <w:t> </w:t>
            </w:r>
          </w:p>
        </w:tc>
        <w:tc>
          <w:tcPr>
            <w:tcW w:w="1885" w:type="dxa"/>
            <w:hideMark/>
          </w:tcPr>
          <w:p w14:paraId="1ABE241F" w14:textId="77777777" w:rsidR="008226CD" w:rsidRPr="008226CD" w:rsidRDefault="008226CD" w:rsidP="00C26B7E">
            <w:pPr>
              <w:spacing w:line="259" w:lineRule="auto"/>
            </w:pPr>
            <w:r w:rsidRPr="008226CD">
              <w:t> </w:t>
            </w:r>
          </w:p>
        </w:tc>
      </w:tr>
      <w:tr w:rsidR="004A18A1" w:rsidRPr="008226CD" w14:paraId="34EA2532" w14:textId="77777777" w:rsidTr="004A18A1">
        <w:tc>
          <w:tcPr>
            <w:tcW w:w="5575" w:type="dxa"/>
            <w:hideMark/>
          </w:tcPr>
          <w:p w14:paraId="42C59968" w14:textId="77777777" w:rsidR="008226CD" w:rsidRPr="008226CD" w:rsidRDefault="008226CD" w:rsidP="00C26B7E">
            <w:pPr>
              <w:spacing w:line="259" w:lineRule="auto"/>
            </w:pPr>
            <w:r w:rsidRPr="008226CD">
              <w:t> </w:t>
            </w:r>
            <w:r w:rsidRPr="008226CD">
              <w:t>Did not return to pre-hospitalization frailty; OR</w:t>
            </w:r>
          </w:p>
        </w:tc>
        <w:tc>
          <w:tcPr>
            <w:tcW w:w="2160" w:type="dxa"/>
            <w:hideMark/>
          </w:tcPr>
          <w:p w14:paraId="319AF75C" w14:textId="77777777" w:rsidR="008226CD" w:rsidRPr="008226CD" w:rsidRDefault="008226CD" w:rsidP="00C26B7E">
            <w:pPr>
              <w:spacing w:line="259" w:lineRule="auto"/>
            </w:pPr>
            <w:r w:rsidRPr="008226CD">
              <w:t> </w:t>
            </w:r>
          </w:p>
        </w:tc>
        <w:tc>
          <w:tcPr>
            <w:tcW w:w="1890" w:type="dxa"/>
            <w:hideMark/>
          </w:tcPr>
          <w:p w14:paraId="21105054" w14:textId="77777777" w:rsidR="008226CD" w:rsidRPr="008226CD" w:rsidRDefault="008226CD" w:rsidP="00C26B7E">
            <w:pPr>
              <w:spacing w:line="259" w:lineRule="auto"/>
            </w:pPr>
            <w:r w:rsidRPr="008226CD">
              <w:t> </w:t>
            </w:r>
          </w:p>
        </w:tc>
        <w:tc>
          <w:tcPr>
            <w:tcW w:w="2160" w:type="dxa"/>
            <w:hideMark/>
          </w:tcPr>
          <w:p w14:paraId="09E65A12" w14:textId="77777777" w:rsidR="008226CD" w:rsidRPr="008226CD" w:rsidRDefault="008226CD" w:rsidP="00C26B7E">
            <w:pPr>
              <w:spacing w:line="259" w:lineRule="auto"/>
            </w:pPr>
            <w:r w:rsidRPr="008226CD">
              <w:t>0.6 [0.1, 2.2]</w:t>
            </w:r>
            <w:r w:rsidRPr="008226CD">
              <w:br/>
            </w:r>
            <w:r w:rsidRPr="008226CD">
              <w:rPr>
                <w:i/>
                <w:iCs/>
              </w:rPr>
              <w:t>P</w:t>
            </w:r>
            <w:r w:rsidRPr="008226CD">
              <w:t> = 0.41</w:t>
            </w:r>
          </w:p>
        </w:tc>
        <w:tc>
          <w:tcPr>
            <w:tcW w:w="1885" w:type="dxa"/>
            <w:hideMark/>
          </w:tcPr>
          <w:p w14:paraId="651A16D0" w14:textId="77777777" w:rsidR="008226CD" w:rsidRPr="008226CD" w:rsidRDefault="008226CD" w:rsidP="00C26B7E">
            <w:pPr>
              <w:spacing w:line="259" w:lineRule="auto"/>
            </w:pPr>
            <w:r w:rsidRPr="008226CD">
              <w:t>1.1 [0.3, 4.7]</w:t>
            </w:r>
            <w:r w:rsidRPr="008226CD">
              <w:br/>
            </w:r>
            <w:r w:rsidRPr="008226CD">
              <w:rPr>
                <w:i/>
                <w:iCs/>
              </w:rPr>
              <w:t>P</w:t>
            </w:r>
            <w:r w:rsidRPr="008226CD">
              <w:t> = 0.87</w:t>
            </w:r>
          </w:p>
        </w:tc>
      </w:tr>
      <w:tr w:rsidR="00C26B7E" w:rsidRPr="008226CD" w14:paraId="78F9D06E" w14:textId="77777777" w:rsidTr="004A18A1">
        <w:tc>
          <w:tcPr>
            <w:tcW w:w="5575" w:type="dxa"/>
            <w:hideMark/>
          </w:tcPr>
          <w:p w14:paraId="62F47F19" w14:textId="77777777" w:rsidR="00C26B7E" w:rsidRPr="008226CD" w:rsidRDefault="00C26B7E" w:rsidP="00C26B7E">
            <w:r w:rsidRPr="008226CD">
              <w:rPr>
                <w:b/>
                <w:bCs/>
              </w:rPr>
              <w:t>MRC Dyspnea Scale</w:t>
            </w:r>
          </w:p>
        </w:tc>
        <w:tc>
          <w:tcPr>
            <w:tcW w:w="2160" w:type="dxa"/>
          </w:tcPr>
          <w:p w14:paraId="58BCC058" w14:textId="77777777" w:rsidR="00C26B7E" w:rsidRPr="008226CD" w:rsidRDefault="00C26B7E" w:rsidP="00C26B7E"/>
        </w:tc>
        <w:tc>
          <w:tcPr>
            <w:tcW w:w="1890" w:type="dxa"/>
          </w:tcPr>
          <w:p w14:paraId="5C2BCDC7" w14:textId="77777777" w:rsidR="00C26B7E" w:rsidRPr="008226CD" w:rsidRDefault="00C26B7E" w:rsidP="00C26B7E"/>
        </w:tc>
        <w:tc>
          <w:tcPr>
            <w:tcW w:w="2160" w:type="dxa"/>
          </w:tcPr>
          <w:p w14:paraId="17823505" w14:textId="77777777" w:rsidR="00C26B7E" w:rsidRPr="008226CD" w:rsidRDefault="00C26B7E" w:rsidP="00C26B7E"/>
        </w:tc>
        <w:tc>
          <w:tcPr>
            <w:tcW w:w="1885" w:type="dxa"/>
          </w:tcPr>
          <w:p w14:paraId="15A1BDC4" w14:textId="02E33EFF" w:rsidR="00C26B7E" w:rsidRPr="008226CD" w:rsidRDefault="00C26B7E" w:rsidP="00C26B7E">
            <w:pPr>
              <w:spacing w:line="259" w:lineRule="auto"/>
            </w:pPr>
          </w:p>
        </w:tc>
      </w:tr>
      <w:tr w:rsidR="004A18A1" w:rsidRPr="008226CD" w14:paraId="1EBB522D" w14:textId="77777777" w:rsidTr="004A18A1">
        <w:tc>
          <w:tcPr>
            <w:tcW w:w="5575" w:type="dxa"/>
            <w:hideMark/>
          </w:tcPr>
          <w:p w14:paraId="22BE1010" w14:textId="77777777" w:rsidR="008226CD" w:rsidRPr="008226CD" w:rsidRDefault="008226CD" w:rsidP="00C26B7E">
            <w:pPr>
              <w:spacing w:line="259" w:lineRule="auto"/>
            </w:pPr>
            <w:r w:rsidRPr="008226CD">
              <w:t> </w:t>
            </w:r>
            <w:r w:rsidRPr="008226CD">
              <w:t>Too SOB to leave the house and/or SOB while dressing; OR</w:t>
            </w:r>
          </w:p>
        </w:tc>
        <w:tc>
          <w:tcPr>
            <w:tcW w:w="2160" w:type="dxa"/>
            <w:hideMark/>
          </w:tcPr>
          <w:p w14:paraId="707AF247" w14:textId="77777777" w:rsidR="008226CD" w:rsidRPr="008226CD" w:rsidRDefault="008226CD" w:rsidP="00C26B7E">
            <w:pPr>
              <w:spacing w:line="259" w:lineRule="auto"/>
            </w:pPr>
            <w:r w:rsidRPr="008226CD">
              <w:t>1.1 [0.4, 3.4]</w:t>
            </w:r>
            <w:r w:rsidRPr="008226CD">
              <w:br/>
            </w:r>
            <w:r w:rsidRPr="008226CD">
              <w:rPr>
                <w:i/>
                <w:iCs/>
              </w:rPr>
              <w:t>P</w:t>
            </w:r>
            <w:r w:rsidRPr="008226CD">
              <w:t> = 0.80</w:t>
            </w:r>
          </w:p>
        </w:tc>
        <w:tc>
          <w:tcPr>
            <w:tcW w:w="1890" w:type="dxa"/>
            <w:hideMark/>
          </w:tcPr>
          <w:p w14:paraId="37AD7E09" w14:textId="77777777" w:rsidR="008226CD" w:rsidRPr="008226CD" w:rsidRDefault="008226CD" w:rsidP="00C26B7E">
            <w:pPr>
              <w:spacing w:line="259" w:lineRule="auto"/>
            </w:pPr>
            <w:r w:rsidRPr="008226CD">
              <w:t>0.4 [0.1, 1.3]</w:t>
            </w:r>
            <w:r w:rsidRPr="008226CD">
              <w:br/>
            </w:r>
            <w:r w:rsidRPr="008226CD">
              <w:rPr>
                <w:i/>
                <w:iCs/>
              </w:rPr>
              <w:t>P</w:t>
            </w:r>
            <w:r w:rsidRPr="008226CD">
              <w:t> = 0.14</w:t>
            </w:r>
          </w:p>
        </w:tc>
        <w:tc>
          <w:tcPr>
            <w:tcW w:w="2160" w:type="dxa"/>
            <w:hideMark/>
          </w:tcPr>
          <w:p w14:paraId="15C8FD02" w14:textId="77777777" w:rsidR="008226CD" w:rsidRPr="008226CD" w:rsidRDefault="008226CD" w:rsidP="00C26B7E">
            <w:pPr>
              <w:spacing w:line="259" w:lineRule="auto"/>
            </w:pPr>
            <w:r w:rsidRPr="008226CD">
              <w:t> </w:t>
            </w:r>
          </w:p>
        </w:tc>
        <w:tc>
          <w:tcPr>
            <w:tcW w:w="1885" w:type="dxa"/>
            <w:hideMark/>
          </w:tcPr>
          <w:p w14:paraId="5A9EF21E" w14:textId="77777777" w:rsidR="008226CD" w:rsidRPr="008226CD" w:rsidRDefault="008226CD" w:rsidP="00C26B7E">
            <w:pPr>
              <w:spacing w:line="259" w:lineRule="auto"/>
            </w:pPr>
            <w:r w:rsidRPr="008226CD">
              <w:t> </w:t>
            </w:r>
          </w:p>
        </w:tc>
      </w:tr>
      <w:tr w:rsidR="004A18A1" w:rsidRPr="008226CD" w14:paraId="01C6904E" w14:textId="77777777" w:rsidTr="004A18A1">
        <w:tc>
          <w:tcPr>
            <w:tcW w:w="5575" w:type="dxa"/>
            <w:hideMark/>
          </w:tcPr>
          <w:p w14:paraId="134C43B2" w14:textId="77777777" w:rsidR="008226CD" w:rsidRPr="008226CD" w:rsidRDefault="008226CD" w:rsidP="00C26B7E">
            <w:pPr>
              <w:spacing w:line="259" w:lineRule="auto"/>
            </w:pPr>
            <w:r w:rsidRPr="008226CD">
              <w:t> </w:t>
            </w:r>
            <w:r w:rsidRPr="008226CD">
              <w:t>No improvement from week 2–6 answer; OR</w:t>
            </w:r>
          </w:p>
        </w:tc>
        <w:tc>
          <w:tcPr>
            <w:tcW w:w="2160" w:type="dxa"/>
            <w:hideMark/>
          </w:tcPr>
          <w:p w14:paraId="6FCDB1BE" w14:textId="77777777" w:rsidR="008226CD" w:rsidRPr="008226CD" w:rsidRDefault="008226CD" w:rsidP="00C26B7E">
            <w:pPr>
              <w:spacing w:line="259" w:lineRule="auto"/>
            </w:pPr>
            <w:r w:rsidRPr="008226CD">
              <w:t> </w:t>
            </w:r>
          </w:p>
        </w:tc>
        <w:tc>
          <w:tcPr>
            <w:tcW w:w="1890" w:type="dxa"/>
            <w:hideMark/>
          </w:tcPr>
          <w:p w14:paraId="4128BB10" w14:textId="77777777" w:rsidR="008226CD" w:rsidRPr="008226CD" w:rsidRDefault="008226CD" w:rsidP="00C26B7E">
            <w:pPr>
              <w:spacing w:line="259" w:lineRule="auto"/>
            </w:pPr>
            <w:r w:rsidRPr="008226CD">
              <w:t> </w:t>
            </w:r>
          </w:p>
        </w:tc>
        <w:tc>
          <w:tcPr>
            <w:tcW w:w="2160" w:type="dxa"/>
            <w:hideMark/>
          </w:tcPr>
          <w:p w14:paraId="529D2429" w14:textId="77777777" w:rsidR="008226CD" w:rsidRPr="008226CD" w:rsidRDefault="008226CD" w:rsidP="00C26B7E">
            <w:pPr>
              <w:spacing w:line="259" w:lineRule="auto"/>
            </w:pPr>
            <w:r w:rsidRPr="008226CD">
              <w:t>2.9 [0.7, 12.0]</w:t>
            </w:r>
            <w:r w:rsidRPr="008226CD">
              <w:br/>
            </w:r>
            <w:r w:rsidRPr="008226CD">
              <w:rPr>
                <w:i/>
                <w:iCs/>
              </w:rPr>
              <w:t>P</w:t>
            </w:r>
            <w:r w:rsidRPr="008226CD">
              <w:t> = 0.14</w:t>
            </w:r>
          </w:p>
        </w:tc>
        <w:tc>
          <w:tcPr>
            <w:tcW w:w="1885" w:type="dxa"/>
            <w:hideMark/>
          </w:tcPr>
          <w:p w14:paraId="71812071" w14:textId="77777777" w:rsidR="008226CD" w:rsidRPr="008226CD" w:rsidRDefault="008226CD" w:rsidP="00C26B7E">
            <w:pPr>
              <w:spacing w:line="259" w:lineRule="auto"/>
            </w:pPr>
            <w:r w:rsidRPr="008226CD">
              <w:t>3.4 [0.9, 13.2]</w:t>
            </w:r>
            <w:r w:rsidRPr="008226CD">
              <w:br/>
            </w:r>
            <w:r w:rsidRPr="008226CD">
              <w:rPr>
                <w:i/>
                <w:iCs/>
              </w:rPr>
              <w:t>P</w:t>
            </w:r>
            <w:r w:rsidRPr="008226CD">
              <w:t> = 0.07</w:t>
            </w:r>
          </w:p>
        </w:tc>
      </w:tr>
      <w:tr w:rsidR="00C26B7E" w:rsidRPr="008226CD" w14:paraId="00D9AE41" w14:textId="77777777" w:rsidTr="004A18A1">
        <w:tc>
          <w:tcPr>
            <w:tcW w:w="5575" w:type="dxa"/>
            <w:hideMark/>
          </w:tcPr>
          <w:p w14:paraId="6639EBBA" w14:textId="77777777" w:rsidR="00C26B7E" w:rsidRPr="008226CD" w:rsidRDefault="00C26B7E" w:rsidP="00C26B7E">
            <w:r w:rsidRPr="008226CD">
              <w:rPr>
                <w:b/>
                <w:bCs/>
              </w:rPr>
              <w:t>IES-6</w:t>
            </w:r>
          </w:p>
        </w:tc>
        <w:tc>
          <w:tcPr>
            <w:tcW w:w="2160" w:type="dxa"/>
          </w:tcPr>
          <w:p w14:paraId="571538ED" w14:textId="77777777" w:rsidR="00C26B7E" w:rsidRPr="008226CD" w:rsidRDefault="00C26B7E" w:rsidP="00C26B7E"/>
        </w:tc>
        <w:tc>
          <w:tcPr>
            <w:tcW w:w="1890" w:type="dxa"/>
          </w:tcPr>
          <w:p w14:paraId="6435CDB0" w14:textId="77777777" w:rsidR="00C26B7E" w:rsidRPr="008226CD" w:rsidRDefault="00C26B7E" w:rsidP="00C26B7E"/>
        </w:tc>
        <w:tc>
          <w:tcPr>
            <w:tcW w:w="2160" w:type="dxa"/>
          </w:tcPr>
          <w:p w14:paraId="7F20C0DC" w14:textId="77777777" w:rsidR="00C26B7E" w:rsidRPr="008226CD" w:rsidRDefault="00C26B7E" w:rsidP="00C26B7E"/>
        </w:tc>
        <w:tc>
          <w:tcPr>
            <w:tcW w:w="1885" w:type="dxa"/>
          </w:tcPr>
          <w:p w14:paraId="399AC08D" w14:textId="420C2024" w:rsidR="00C26B7E" w:rsidRPr="008226CD" w:rsidRDefault="00C26B7E" w:rsidP="00C26B7E">
            <w:pPr>
              <w:spacing w:line="259" w:lineRule="auto"/>
            </w:pPr>
          </w:p>
        </w:tc>
      </w:tr>
      <w:tr w:rsidR="004A18A1" w:rsidRPr="008226CD" w14:paraId="1B0E6776" w14:textId="77777777" w:rsidTr="004A18A1">
        <w:tc>
          <w:tcPr>
            <w:tcW w:w="5575" w:type="dxa"/>
            <w:hideMark/>
          </w:tcPr>
          <w:p w14:paraId="39FEB39A" w14:textId="77777777" w:rsidR="008226CD" w:rsidRPr="008226CD" w:rsidRDefault="008226CD" w:rsidP="00C26B7E">
            <w:pPr>
              <w:spacing w:line="259" w:lineRule="auto"/>
            </w:pPr>
            <w:r w:rsidRPr="008226CD">
              <w:t> </w:t>
            </w:r>
            <w:r w:rsidRPr="008226CD">
              <w:t>Met criteria for PTSD; OR</w:t>
            </w:r>
          </w:p>
        </w:tc>
        <w:tc>
          <w:tcPr>
            <w:tcW w:w="2160" w:type="dxa"/>
            <w:hideMark/>
          </w:tcPr>
          <w:p w14:paraId="7B3CF96E" w14:textId="77777777" w:rsidR="008226CD" w:rsidRPr="008226CD" w:rsidRDefault="008226CD" w:rsidP="00C26B7E">
            <w:pPr>
              <w:spacing w:line="259" w:lineRule="auto"/>
            </w:pPr>
            <w:r w:rsidRPr="008226CD">
              <w:t>2.8 [0.8, 10.1]</w:t>
            </w:r>
            <w:r w:rsidRPr="008226CD">
              <w:br/>
            </w:r>
            <w:r w:rsidRPr="008226CD">
              <w:rPr>
                <w:i/>
                <w:iCs/>
              </w:rPr>
              <w:t>P</w:t>
            </w:r>
            <w:r w:rsidRPr="008226CD">
              <w:t> = 0.11</w:t>
            </w:r>
          </w:p>
        </w:tc>
        <w:tc>
          <w:tcPr>
            <w:tcW w:w="1890" w:type="dxa"/>
            <w:hideMark/>
          </w:tcPr>
          <w:p w14:paraId="6D39D823" w14:textId="77777777" w:rsidR="008226CD" w:rsidRPr="008226CD" w:rsidRDefault="008226CD" w:rsidP="00C26B7E">
            <w:pPr>
              <w:spacing w:line="259" w:lineRule="auto"/>
            </w:pPr>
            <w:r w:rsidRPr="008226CD">
              <w:t>1.7 [0.5, 5.7]</w:t>
            </w:r>
            <w:r w:rsidRPr="008226CD">
              <w:br/>
            </w:r>
            <w:r w:rsidRPr="008226CD">
              <w:rPr>
                <w:i/>
                <w:iCs/>
              </w:rPr>
              <w:t>P</w:t>
            </w:r>
            <w:r w:rsidRPr="008226CD">
              <w:t> = 0.41</w:t>
            </w:r>
          </w:p>
        </w:tc>
        <w:tc>
          <w:tcPr>
            <w:tcW w:w="2160" w:type="dxa"/>
            <w:hideMark/>
          </w:tcPr>
          <w:p w14:paraId="5F259533" w14:textId="77777777" w:rsidR="008226CD" w:rsidRPr="008226CD" w:rsidRDefault="008226CD" w:rsidP="00C26B7E">
            <w:pPr>
              <w:spacing w:line="259" w:lineRule="auto"/>
            </w:pPr>
            <w:r w:rsidRPr="008226CD">
              <w:t> </w:t>
            </w:r>
          </w:p>
        </w:tc>
        <w:tc>
          <w:tcPr>
            <w:tcW w:w="1885" w:type="dxa"/>
            <w:hideMark/>
          </w:tcPr>
          <w:p w14:paraId="3FD9A151" w14:textId="77777777" w:rsidR="008226CD" w:rsidRPr="008226CD" w:rsidRDefault="008226CD" w:rsidP="00C26B7E">
            <w:pPr>
              <w:spacing w:line="259" w:lineRule="auto"/>
            </w:pPr>
            <w:r w:rsidRPr="008226CD">
              <w:t> </w:t>
            </w:r>
          </w:p>
        </w:tc>
      </w:tr>
      <w:tr w:rsidR="004A18A1" w:rsidRPr="008226CD" w14:paraId="1B8FD21F" w14:textId="77777777" w:rsidTr="004A18A1">
        <w:tc>
          <w:tcPr>
            <w:tcW w:w="5575" w:type="dxa"/>
            <w:hideMark/>
          </w:tcPr>
          <w:p w14:paraId="12A3D4D7" w14:textId="77777777" w:rsidR="008226CD" w:rsidRPr="008226CD" w:rsidRDefault="008226CD" w:rsidP="00C26B7E">
            <w:pPr>
              <w:spacing w:line="259" w:lineRule="auto"/>
            </w:pPr>
            <w:r w:rsidRPr="008226CD">
              <w:t> </w:t>
            </w:r>
            <w:r w:rsidRPr="008226CD">
              <w:t>Continued or new PTSD; OR</w:t>
            </w:r>
          </w:p>
        </w:tc>
        <w:tc>
          <w:tcPr>
            <w:tcW w:w="2160" w:type="dxa"/>
            <w:hideMark/>
          </w:tcPr>
          <w:p w14:paraId="3228EDB6" w14:textId="77777777" w:rsidR="008226CD" w:rsidRPr="008226CD" w:rsidRDefault="008226CD" w:rsidP="00C26B7E">
            <w:pPr>
              <w:spacing w:line="259" w:lineRule="auto"/>
            </w:pPr>
            <w:r w:rsidRPr="008226CD">
              <w:t> </w:t>
            </w:r>
          </w:p>
        </w:tc>
        <w:tc>
          <w:tcPr>
            <w:tcW w:w="1890" w:type="dxa"/>
            <w:hideMark/>
          </w:tcPr>
          <w:p w14:paraId="67341C08" w14:textId="77777777" w:rsidR="008226CD" w:rsidRPr="008226CD" w:rsidRDefault="008226CD" w:rsidP="00C26B7E">
            <w:pPr>
              <w:spacing w:line="259" w:lineRule="auto"/>
            </w:pPr>
            <w:r w:rsidRPr="008226CD">
              <w:t> </w:t>
            </w:r>
          </w:p>
        </w:tc>
        <w:tc>
          <w:tcPr>
            <w:tcW w:w="2160" w:type="dxa"/>
            <w:hideMark/>
          </w:tcPr>
          <w:p w14:paraId="55245298" w14:textId="77777777" w:rsidR="008226CD" w:rsidRPr="008226CD" w:rsidRDefault="008226CD" w:rsidP="00C26B7E">
            <w:pPr>
              <w:spacing w:line="259" w:lineRule="auto"/>
            </w:pPr>
            <w:r w:rsidRPr="008226CD">
              <w:t>3.0 [0.7, 12.3]</w:t>
            </w:r>
            <w:r w:rsidRPr="008226CD">
              <w:br/>
            </w:r>
            <w:r w:rsidRPr="008226CD">
              <w:rPr>
                <w:i/>
                <w:iCs/>
              </w:rPr>
              <w:t>P</w:t>
            </w:r>
            <w:r w:rsidRPr="008226CD">
              <w:t> = 0.13</w:t>
            </w:r>
          </w:p>
        </w:tc>
        <w:tc>
          <w:tcPr>
            <w:tcW w:w="1885" w:type="dxa"/>
            <w:hideMark/>
          </w:tcPr>
          <w:p w14:paraId="6D817C70" w14:textId="77777777" w:rsidR="008226CD" w:rsidRPr="008226CD" w:rsidRDefault="008226CD" w:rsidP="00C26B7E">
            <w:pPr>
              <w:spacing w:line="259" w:lineRule="auto"/>
            </w:pPr>
            <w:r w:rsidRPr="008226CD">
              <w:t>2.4 [0.6, 9.7]</w:t>
            </w:r>
            <w:r w:rsidRPr="008226CD">
              <w:br/>
            </w:r>
            <w:r w:rsidRPr="008226CD">
              <w:rPr>
                <w:i/>
                <w:iCs/>
              </w:rPr>
              <w:t>P</w:t>
            </w:r>
            <w:r w:rsidRPr="008226CD">
              <w:t> = 0.21</w:t>
            </w:r>
          </w:p>
        </w:tc>
      </w:tr>
      <w:tr w:rsidR="004A18A1" w:rsidRPr="008226CD" w14:paraId="03E379AE" w14:textId="77777777" w:rsidTr="004A18A1">
        <w:tc>
          <w:tcPr>
            <w:tcW w:w="5575" w:type="dxa"/>
            <w:hideMark/>
          </w:tcPr>
          <w:p w14:paraId="121A5092" w14:textId="77777777" w:rsidR="00C26B7E" w:rsidRPr="008226CD" w:rsidRDefault="00C26B7E" w:rsidP="00C26B7E">
            <w:r w:rsidRPr="008226CD">
              <w:rPr>
                <w:b/>
                <w:bCs/>
              </w:rPr>
              <w:t>WHODAS 2.0</w:t>
            </w:r>
          </w:p>
        </w:tc>
        <w:tc>
          <w:tcPr>
            <w:tcW w:w="2160" w:type="dxa"/>
          </w:tcPr>
          <w:p w14:paraId="1691B3E1" w14:textId="77777777" w:rsidR="00C26B7E" w:rsidRPr="008226CD" w:rsidRDefault="00C26B7E" w:rsidP="00C26B7E"/>
        </w:tc>
        <w:tc>
          <w:tcPr>
            <w:tcW w:w="1890" w:type="dxa"/>
          </w:tcPr>
          <w:p w14:paraId="6EAE731C" w14:textId="77777777" w:rsidR="00C26B7E" w:rsidRPr="008226CD" w:rsidRDefault="00C26B7E" w:rsidP="00C26B7E"/>
        </w:tc>
        <w:tc>
          <w:tcPr>
            <w:tcW w:w="2160" w:type="dxa"/>
          </w:tcPr>
          <w:p w14:paraId="3582F81A" w14:textId="77777777" w:rsidR="00C26B7E" w:rsidRPr="008226CD" w:rsidRDefault="00C26B7E" w:rsidP="00C26B7E"/>
        </w:tc>
        <w:tc>
          <w:tcPr>
            <w:tcW w:w="1885" w:type="dxa"/>
          </w:tcPr>
          <w:p w14:paraId="777CA56F" w14:textId="584CB721" w:rsidR="00C26B7E" w:rsidRPr="008226CD" w:rsidRDefault="00C26B7E" w:rsidP="00C26B7E">
            <w:pPr>
              <w:spacing w:line="259" w:lineRule="auto"/>
            </w:pPr>
          </w:p>
        </w:tc>
      </w:tr>
      <w:tr w:rsidR="004A18A1" w:rsidRPr="008226CD" w14:paraId="4E291AD8" w14:textId="77777777" w:rsidTr="004A18A1">
        <w:tc>
          <w:tcPr>
            <w:tcW w:w="5575" w:type="dxa"/>
            <w:hideMark/>
          </w:tcPr>
          <w:p w14:paraId="48BFC07B" w14:textId="77777777" w:rsidR="008226CD" w:rsidRPr="008226CD" w:rsidRDefault="008226CD" w:rsidP="00C26B7E">
            <w:pPr>
              <w:spacing w:line="259" w:lineRule="auto"/>
            </w:pPr>
            <w:r w:rsidRPr="008226CD">
              <w:t> </w:t>
            </w:r>
            <w:r w:rsidRPr="008226CD">
              <w:t>Total score</w:t>
            </w:r>
          </w:p>
        </w:tc>
        <w:tc>
          <w:tcPr>
            <w:tcW w:w="2160" w:type="dxa"/>
            <w:hideMark/>
          </w:tcPr>
          <w:p w14:paraId="7F481854" w14:textId="77777777" w:rsidR="008226CD" w:rsidRPr="008226CD" w:rsidRDefault="008226CD" w:rsidP="00C26B7E">
            <w:pPr>
              <w:spacing w:line="259" w:lineRule="auto"/>
            </w:pPr>
            <w:r w:rsidRPr="008226CD">
              <w:t>3.2 [−2.9, 9.3]</w:t>
            </w:r>
            <w:r w:rsidRPr="008226CD">
              <w:br/>
            </w:r>
            <w:r w:rsidRPr="008226CD">
              <w:rPr>
                <w:i/>
                <w:iCs/>
              </w:rPr>
              <w:t>P</w:t>
            </w:r>
            <w:r w:rsidRPr="008226CD">
              <w:t> = 0.30</w:t>
            </w:r>
          </w:p>
        </w:tc>
        <w:tc>
          <w:tcPr>
            <w:tcW w:w="1890" w:type="dxa"/>
            <w:hideMark/>
          </w:tcPr>
          <w:p w14:paraId="0BDA5311" w14:textId="77777777" w:rsidR="008226CD" w:rsidRPr="008226CD" w:rsidRDefault="008226CD" w:rsidP="00C26B7E">
            <w:pPr>
              <w:spacing w:line="259" w:lineRule="auto"/>
            </w:pPr>
            <w:r w:rsidRPr="008226CD">
              <w:t>−4.0 [−10.0, 2.1]</w:t>
            </w:r>
            <w:r w:rsidRPr="008226CD">
              <w:br/>
            </w:r>
            <w:r w:rsidRPr="008226CD">
              <w:rPr>
                <w:i/>
                <w:iCs/>
              </w:rPr>
              <w:t>P</w:t>
            </w:r>
            <w:r w:rsidRPr="008226CD">
              <w:t> = 0.20</w:t>
            </w:r>
          </w:p>
        </w:tc>
        <w:tc>
          <w:tcPr>
            <w:tcW w:w="2160" w:type="dxa"/>
            <w:hideMark/>
          </w:tcPr>
          <w:p w14:paraId="51B17317" w14:textId="77777777" w:rsidR="008226CD" w:rsidRPr="008226CD" w:rsidRDefault="008226CD" w:rsidP="00C26B7E">
            <w:pPr>
              <w:spacing w:line="259" w:lineRule="auto"/>
            </w:pPr>
            <w:r w:rsidRPr="008226CD">
              <w:t> </w:t>
            </w:r>
          </w:p>
        </w:tc>
        <w:tc>
          <w:tcPr>
            <w:tcW w:w="1885" w:type="dxa"/>
            <w:hideMark/>
          </w:tcPr>
          <w:p w14:paraId="1F9910E0" w14:textId="77777777" w:rsidR="008226CD" w:rsidRPr="008226CD" w:rsidRDefault="008226CD" w:rsidP="00C26B7E">
            <w:pPr>
              <w:spacing w:line="259" w:lineRule="auto"/>
            </w:pPr>
            <w:r w:rsidRPr="008226CD">
              <w:t> </w:t>
            </w:r>
          </w:p>
        </w:tc>
      </w:tr>
      <w:tr w:rsidR="004A18A1" w:rsidRPr="008226CD" w14:paraId="32853DE5" w14:textId="77777777" w:rsidTr="004A18A1">
        <w:tc>
          <w:tcPr>
            <w:tcW w:w="5575" w:type="dxa"/>
            <w:hideMark/>
          </w:tcPr>
          <w:p w14:paraId="19F7B686" w14:textId="77777777" w:rsidR="008226CD" w:rsidRPr="008226CD" w:rsidRDefault="008226CD" w:rsidP="00C26B7E">
            <w:pPr>
              <w:spacing w:line="259" w:lineRule="auto"/>
            </w:pPr>
            <w:r w:rsidRPr="008226CD">
              <w:t> </w:t>
            </w:r>
            <w:r w:rsidRPr="008226CD">
              <w:t>Difference from week 2–6; score</w:t>
            </w:r>
          </w:p>
        </w:tc>
        <w:tc>
          <w:tcPr>
            <w:tcW w:w="2160" w:type="dxa"/>
            <w:hideMark/>
          </w:tcPr>
          <w:p w14:paraId="4F21F54A" w14:textId="77777777" w:rsidR="008226CD" w:rsidRPr="008226CD" w:rsidRDefault="008226CD" w:rsidP="00C26B7E">
            <w:pPr>
              <w:spacing w:line="259" w:lineRule="auto"/>
            </w:pPr>
            <w:r w:rsidRPr="008226CD">
              <w:t> </w:t>
            </w:r>
          </w:p>
        </w:tc>
        <w:tc>
          <w:tcPr>
            <w:tcW w:w="1890" w:type="dxa"/>
            <w:hideMark/>
          </w:tcPr>
          <w:p w14:paraId="64CC0414" w14:textId="77777777" w:rsidR="008226CD" w:rsidRPr="008226CD" w:rsidRDefault="008226CD" w:rsidP="00C26B7E">
            <w:pPr>
              <w:spacing w:line="259" w:lineRule="auto"/>
            </w:pPr>
            <w:r w:rsidRPr="008226CD">
              <w:t> </w:t>
            </w:r>
          </w:p>
        </w:tc>
        <w:tc>
          <w:tcPr>
            <w:tcW w:w="2160" w:type="dxa"/>
            <w:hideMark/>
          </w:tcPr>
          <w:p w14:paraId="01C55833" w14:textId="77777777" w:rsidR="008226CD" w:rsidRPr="008226CD" w:rsidRDefault="008226CD" w:rsidP="00C26B7E">
            <w:pPr>
              <w:spacing w:line="259" w:lineRule="auto"/>
            </w:pPr>
            <w:r w:rsidRPr="008226CD">
              <w:t>−4.1 [−10.5, 2.3]</w:t>
            </w:r>
            <w:r w:rsidRPr="008226CD">
              <w:br/>
            </w:r>
            <w:r w:rsidRPr="008226CD">
              <w:rPr>
                <w:i/>
                <w:iCs/>
              </w:rPr>
              <w:t>P</w:t>
            </w:r>
            <w:r w:rsidRPr="008226CD">
              <w:t> = 0.20</w:t>
            </w:r>
          </w:p>
        </w:tc>
        <w:tc>
          <w:tcPr>
            <w:tcW w:w="1885" w:type="dxa"/>
            <w:hideMark/>
          </w:tcPr>
          <w:p w14:paraId="0AD54358" w14:textId="77777777" w:rsidR="008226CD" w:rsidRPr="008226CD" w:rsidRDefault="008226CD" w:rsidP="00C26B7E">
            <w:pPr>
              <w:spacing w:line="259" w:lineRule="auto"/>
            </w:pPr>
            <w:r w:rsidRPr="008226CD">
              <w:t>−4.7 [− 11.5, 2.1]</w:t>
            </w:r>
            <w:r w:rsidRPr="008226CD">
              <w:br/>
            </w:r>
            <w:r w:rsidRPr="008226CD">
              <w:rPr>
                <w:i/>
                <w:iCs/>
              </w:rPr>
              <w:t>P</w:t>
            </w:r>
            <w:r w:rsidRPr="008226CD">
              <w:t> = 0.17</w:t>
            </w:r>
          </w:p>
        </w:tc>
      </w:tr>
      <w:tr w:rsidR="004A18A1" w:rsidRPr="008226CD" w14:paraId="05BCBDAE" w14:textId="77777777" w:rsidTr="004A18A1">
        <w:tc>
          <w:tcPr>
            <w:tcW w:w="5575" w:type="dxa"/>
            <w:hideMark/>
          </w:tcPr>
          <w:p w14:paraId="6139A0C9" w14:textId="77777777" w:rsidR="00C26B7E" w:rsidRPr="008226CD" w:rsidRDefault="00C26B7E" w:rsidP="00C26B7E">
            <w:r w:rsidRPr="008226CD">
              <w:rPr>
                <w:b/>
                <w:bCs/>
              </w:rPr>
              <w:t>Supplemental O2</w:t>
            </w:r>
          </w:p>
        </w:tc>
        <w:tc>
          <w:tcPr>
            <w:tcW w:w="2160" w:type="dxa"/>
          </w:tcPr>
          <w:p w14:paraId="7ADA2093" w14:textId="77777777" w:rsidR="00C26B7E" w:rsidRPr="008226CD" w:rsidRDefault="00C26B7E" w:rsidP="00C26B7E"/>
        </w:tc>
        <w:tc>
          <w:tcPr>
            <w:tcW w:w="1890" w:type="dxa"/>
          </w:tcPr>
          <w:p w14:paraId="1D209447" w14:textId="77777777" w:rsidR="00C26B7E" w:rsidRPr="008226CD" w:rsidRDefault="00C26B7E" w:rsidP="00C26B7E"/>
        </w:tc>
        <w:tc>
          <w:tcPr>
            <w:tcW w:w="2160" w:type="dxa"/>
          </w:tcPr>
          <w:p w14:paraId="05E5186D" w14:textId="77777777" w:rsidR="00C26B7E" w:rsidRPr="008226CD" w:rsidRDefault="00C26B7E" w:rsidP="00C26B7E"/>
        </w:tc>
        <w:tc>
          <w:tcPr>
            <w:tcW w:w="1885" w:type="dxa"/>
          </w:tcPr>
          <w:p w14:paraId="3CA44A22" w14:textId="4006D582" w:rsidR="00C26B7E" w:rsidRPr="008226CD" w:rsidRDefault="00C26B7E" w:rsidP="00C26B7E">
            <w:pPr>
              <w:spacing w:line="259" w:lineRule="auto"/>
            </w:pPr>
          </w:p>
        </w:tc>
      </w:tr>
      <w:tr w:rsidR="004A18A1" w:rsidRPr="008226CD" w14:paraId="1B782412" w14:textId="77777777" w:rsidTr="004A18A1">
        <w:tc>
          <w:tcPr>
            <w:tcW w:w="5575" w:type="dxa"/>
            <w:hideMark/>
          </w:tcPr>
          <w:p w14:paraId="34C56460" w14:textId="77777777" w:rsidR="008226CD" w:rsidRPr="008226CD" w:rsidRDefault="008226CD" w:rsidP="00C26B7E">
            <w:pPr>
              <w:spacing w:line="259" w:lineRule="auto"/>
            </w:pPr>
            <w:r w:rsidRPr="008226CD">
              <w:t> </w:t>
            </w:r>
            <w:r w:rsidRPr="008226CD">
              <w:t>Reported use; OR</w:t>
            </w:r>
          </w:p>
        </w:tc>
        <w:tc>
          <w:tcPr>
            <w:tcW w:w="2160" w:type="dxa"/>
            <w:hideMark/>
          </w:tcPr>
          <w:p w14:paraId="13A87824" w14:textId="77777777" w:rsidR="008226CD" w:rsidRPr="008226CD" w:rsidRDefault="008226CD" w:rsidP="00C26B7E">
            <w:pPr>
              <w:spacing w:line="259" w:lineRule="auto"/>
            </w:pPr>
            <w:r w:rsidRPr="008226CD">
              <w:t>1.0 [0.3, 2.9]</w:t>
            </w:r>
            <w:r w:rsidRPr="008226CD">
              <w:br/>
            </w:r>
            <w:r w:rsidRPr="008226CD">
              <w:rPr>
                <w:i/>
                <w:iCs/>
              </w:rPr>
              <w:t>P</w:t>
            </w:r>
            <w:r w:rsidRPr="008226CD">
              <w:t> = 0.99</w:t>
            </w:r>
          </w:p>
        </w:tc>
        <w:tc>
          <w:tcPr>
            <w:tcW w:w="1890" w:type="dxa"/>
            <w:hideMark/>
          </w:tcPr>
          <w:p w14:paraId="4115B892" w14:textId="77777777" w:rsidR="008226CD" w:rsidRPr="008226CD" w:rsidRDefault="008226CD" w:rsidP="00C26B7E">
            <w:pPr>
              <w:spacing w:line="259" w:lineRule="auto"/>
            </w:pPr>
            <w:r w:rsidRPr="008226CD">
              <w:t>1.5 [0.6, 3.8]</w:t>
            </w:r>
            <w:r w:rsidRPr="008226CD">
              <w:br/>
            </w:r>
            <w:r w:rsidRPr="008226CD">
              <w:rPr>
                <w:i/>
                <w:iCs/>
              </w:rPr>
              <w:t>P</w:t>
            </w:r>
            <w:r w:rsidRPr="008226CD">
              <w:t> = 0.42</w:t>
            </w:r>
          </w:p>
        </w:tc>
        <w:tc>
          <w:tcPr>
            <w:tcW w:w="2160" w:type="dxa"/>
            <w:hideMark/>
          </w:tcPr>
          <w:p w14:paraId="79569B6B" w14:textId="77777777" w:rsidR="008226CD" w:rsidRPr="008226CD" w:rsidRDefault="008226CD" w:rsidP="00C26B7E">
            <w:pPr>
              <w:spacing w:line="259" w:lineRule="auto"/>
            </w:pPr>
            <w:r w:rsidRPr="008226CD">
              <w:t> </w:t>
            </w:r>
          </w:p>
        </w:tc>
        <w:tc>
          <w:tcPr>
            <w:tcW w:w="1885" w:type="dxa"/>
            <w:hideMark/>
          </w:tcPr>
          <w:p w14:paraId="0A9544AC" w14:textId="77777777" w:rsidR="008226CD" w:rsidRPr="008226CD" w:rsidRDefault="008226CD" w:rsidP="00C26B7E">
            <w:pPr>
              <w:spacing w:line="259" w:lineRule="auto"/>
            </w:pPr>
            <w:r w:rsidRPr="008226CD">
              <w:t> </w:t>
            </w:r>
          </w:p>
        </w:tc>
      </w:tr>
      <w:tr w:rsidR="004A18A1" w:rsidRPr="008226CD" w14:paraId="754EA115" w14:textId="77777777" w:rsidTr="004A18A1">
        <w:tc>
          <w:tcPr>
            <w:tcW w:w="5575" w:type="dxa"/>
            <w:hideMark/>
          </w:tcPr>
          <w:p w14:paraId="6B0C991C" w14:textId="77777777" w:rsidR="008226CD" w:rsidRPr="008226CD" w:rsidRDefault="008226CD" w:rsidP="00C26B7E">
            <w:pPr>
              <w:spacing w:line="259" w:lineRule="auto"/>
            </w:pPr>
            <w:r w:rsidRPr="008226CD">
              <w:t> </w:t>
            </w:r>
            <w:r w:rsidRPr="008226CD">
              <w:t>Continued or new use of supplemental O2; OR</w:t>
            </w:r>
          </w:p>
        </w:tc>
        <w:tc>
          <w:tcPr>
            <w:tcW w:w="2160" w:type="dxa"/>
            <w:hideMark/>
          </w:tcPr>
          <w:p w14:paraId="5D5AA774" w14:textId="77777777" w:rsidR="008226CD" w:rsidRPr="008226CD" w:rsidRDefault="008226CD" w:rsidP="00C26B7E">
            <w:pPr>
              <w:spacing w:line="259" w:lineRule="auto"/>
            </w:pPr>
            <w:r w:rsidRPr="008226CD">
              <w:t> </w:t>
            </w:r>
          </w:p>
        </w:tc>
        <w:tc>
          <w:tcPr>
            <w:tcW w:w="1890" w:type="dxa"/>
            <w:hideMark/>
          </w:tcPr>
          <w:p w14:paraId="79D6F6B6" w14:textId="77777777" w:rsidR="008226CD" w:rsidRPr="008226CD" w:rsidRDefault="008226CD" w:rsidP="00C26B7E">
            <w:pPr>
              <w:spacing w:line="259" w:lineRule="auto"/>
            </w:pPr>
            <w:r w:rsidRPr="008226CD">
              <w:t> </w:t>
            </w:r>
          </w:p>
        </w:tc>
        <w:tc>
          <w:tcPr>
            <w:tcW w:w="2160" w:type="dxa"/>
            <w:hideMark/>
          </w:tcPr>
          <w:p w14:paraId="46C3A1B2" w14:textId="77777777" w:rsidR="008226CD" w:rsidRPr="008226CD" w:rsidRDefault="008226CD" w:rsidP="00C26B7E">
            <w:pPr>
              <w:spacing w:line="259" w:lineRule="auto"/>
            </w:pPr>
            <w:r w:rsidRPr="008226CD">
              <w:t>1.0 [0.2, 4.6]</w:t>
            </w:r>
            <w:r w:rsidRPr="008226CD">
              <w:br/>
            </w:r>
            <w:r w:rsidRPr="008226CD">
              <w:rPr>
                <w:i/>
                <w:iCs/>
              </w:rPr>
              <w:t>P</w:t>
            </w:r>
            <w:r w:rsidRPr="008226CD">
              <w:t> = 0.96</w:t>
            </w:r>
          </w:p>
        </w:tc>
        <w:tc>
          <w:tcPr>
            <w:tcW w:w="1885" w:type="dxa"/>
            <w:hideMark/>
          </w:tcPr>
          <w:p w14:paraId="5A1F13FC" w14:textId="77777777" w:rsidR="008226CD" w:rsidRPr="008226CD" w:rsidRDefault="008226CD" w:rsidP="00C26B7E">
            <w:pPr>
              <w:spacing w:line="259" w:lineRule="auto"/>
            </w:pPr>
            <w:r w:rsidRPr="008226CD">
              <w:t>1.9 [0.5, 6.7]</w:t>
            </w:r>
            <w:r w:rsidRPr="008226CD">
              <w:br/>
            </w:r>
            <w:r w:rsidRPr="008226CD">
              <w:rPr>
                <w:i/>
                <w:iCs/>
              </w:rPr>
              <w:t>P</w:t>
            </w:r>
            <w:r w:rsidRPr="008226CD">
              <w:t> = 0.35</w:t>
            </w:r>
          </w:p>
        </w:tc>
      </w:tr>
      <w:tr w:rsidR="00C26B7E" w:rsidRPr="008226CD" w14:paraId="186D01CE" w14:textId="77777777" w:rsidTr="004A18A1">
        <w:tc>
          <w:tcPr>
            <w:tcW w:w="5575" w:type="dxa"/>
            <w:hideMark/>
          </w:tcPr>
          <w:p w14:paraId="3797B53D" w14:textId="77777777" w:rsidR="00C26B7E" w:rsidRPr="008226CD" w:rsidRDefault="00C26B7E" w:rsidP="00C26B7E">
            <w:r w:rsidRPr="008226CD">
              <w:rPr>
                <w:b/>
                <w:bCs/>
              </w:rPr>
              <w:t>Activity Level</w:t>
            </w:r>
          </w:p>
        </w:tc>
        <w:tc>
          <w:tcPr>
            <w:tcW w:w="2160" w:type="dxa"/>
          </w:tcPr>
          <w:p w14:paraId="5210C91D" w14:textId="77777777" w:rsidR="00C26B7E" w:rsidRPr="008226CD" w:rsidRDefault="00C26B7E" w:rsidP="00C26B7E"/>
        </w:tc>
        <w:tc>
          <w:tcPr>
            <w:tcW w:w="1890" w:type="dxa"/>
          </w:tcPr>
          <w:p w14:paraId="69004336" w14:textId="77777777" w:rsidR="00C26B7E" w:rsidRPr="008226CD" w:rsidRDefault="00C26B7E" w:rsidP="00C26B7E"/>
        </w:tc>
        <w:tc>
          <w:tcPr>
            <w:tcW w:w="2160" w:type="dxa"/>
          </w:tcPr>
          <w:p w14:paraId="4A1F5B1D" w14:textId="77777777" w:rsidR="00C26B7E" w:rsidRPr="008226CD" w:rsidRDefault="00C26B7E" w:rsidP="00C26B7E"/>
        </w:tc>
        <w:tc>
          <w:tcPr>
            <w:tcW w:w="1885" w:type="dxa"/>
          </w:tcPr>
          <w:p w14:paraId="64868A1A" w14:textId="1AEAAA65" w:rsidR="00C26B7E" w:rsidRPr="008226CD" w:rsidRDefault="00C26B7E" w:rsidP="00C26B7E">
            <w:pPr>
              <w:spacing w:line="259" w:lineRule="auto"/>
            </w:pPr>
          </w:p>
        </w:tc>
      </w:tr>
      <w:tr w:rsidR="004A18A1" w:rsidRPr="008226CD" w14:paraId="659B1B68" w14:textId="77777777" w:rsidTr="004A18A1">
        <w:tc>
          <w:tcPr>
            <w:tcW w:w="5575" w:type="dxa"/>
            <w:hideMark/>
          </w:tcPr>
          <w:p w14:paraId="28EB0711" w14:textId="77777777" w:rsidR="008226CD" w:rsidRPr="008226CD" w:rsidRDefault="008226CD" w:rsidP="00C26B7E">
            <w:pPr>
              <w:spacing w:line="259" w:lineRule="auto"/>
            </w:pPr>
            <w:r w:rsidRPr="008226CD">
              <w:t> </w:t>
            </w:r>
            <w:r w:rsidRPr="008226CD">
              <w:t>Did not return to pre-hospitalization exercise; OR</w:t>
            </w:r>
          </w:p>
        </w:tc>
        <w:tc>
          <w:tcPr>
            <w:tcW w:w="2160" w:type="dxa"/>
            <w:hideMark/>
          </w:tcPr>
          <w:p w14:paraId="5B7AD8BD" w14:textId="77777777" w:rsidR="008226CD" w:rsidRPr="008226CD" w:rsidRDefault="008226CD" w:rsidP="00C26B7E">
            <w:pPr>
              <w:spacing w:line="259" w:lineRule="auto"/>
            </w:pPr>
            <w:r w:rsidRPr="008226CD">
              <w:t> </w:t>
            </w:r>
          </w:p>
        </w:tc>
        <w:tc>
          <w:tcPr>
            <w:tcW w:w="1890" w:type="dxa"/>
            <w:hideMark/>
          </w:tcPr>
          <w:p w14:paraId="12D9A208" w14:textId="77777777" w:rsidR="008226CD" w:rsidRPr="008226CD" w:rsidRDefault="008226CD" w:rsidP="00C26B7E">
            <w:pPr>
              <w:spacing w:line="259" w:lineRule="auto"/>
            </w:pPr>
            <w:r w:rsidRPr="008226CD">
              <w:t> </w:t>
            </w:r>
          </w:p>
        </w:tc>
        <w:tc>
          <w:tcPr>
            <w:tcW w:w="2160" w:type="dxa"/>
            <w:hideMark/>
          </w:tcPr>
          <w:p w14:paraId="4229B871" w14:textId="77777777" w:rsidR="008226CD" w:rsidRPr="008226CD" w:rsidRDefault="008226CD" w:rsidP="00C26B7E">
            <w:pPr>
              <w:spacing w:line="259" w:lineRule="auto"/>
            </w:pPr>
            <w:r w:rsidRPr="008226CD">
              <w:t>0.9 [0.2, 3.6]</w:t>
            </w:r>
            <w:r w:rsidRPr="008226CD">
              <w:br/>
            </w:r>
            <w:r w:rsidRPr="008226CD">
              <w:rPr>
                <w:i/>
                <w:iCs/>
              </w:rPr>
              <w:t>P</w:t>
            </w:r>
            <w:r w:rsidRPr="008226CD">
              <w:t> = 0.89</w:t>
            </w:r>
          </w:p>
        </w:tc>
        <w:tc>
          <w:tcPr>
            <w:tcW w:w="1885" w:type="dxa"/>
            <w:hideMark/>
          </w:tcPr>
          <w:p w14:paraId="55958EFB" w14:textId="77777777" w:rsidR="008226CD" w:rsidRPr="008226CD" w:rsidRDefault="008226CD" w:rsidP="00C26B7E">
            <w:pPr>
              <w:spacing w:line="259" w:lineRule="auto"/>
            </w:pPr>
            <w:r w:rsidRPr="008226CD">
              <w:t>0.3 [0, 1.7]</w:t>
            </w:r>
            <w:r w:rsidRPr="008226CD">
              <w:br/>
            </w:r>
            <w:r w:rsidRPr="008226CD">
              <w:rPr>
                <w:i/>
                <w:iCs/>
              </w:rPr>
              <w:t>P</w:t>
            </w:r>
            <w:r w:rsidRPr="008226CD">
              <w:t> = 0.23</w:t>
            </w:r>
          </w:p>
        </w:tc>
      </w:tr>
    </w:tbl>
    <w:p w14:paraId="0A775806" w14:textId="77777777" w:rsidR="008226CD" w:rsidRPr="008226CD" w:rsidRDefault="008226CD" w:rsidP="00C26B7E">
      <w:r w:rsidRPr="008226CD">
        <w:rPr>
          <w:vertAlign w:val="superscript"/>
        </w:rPr>
        <w:t>a</w:t>
      </w:r>
      <w:r w:rsidRPr="008226CD">
        <w:t> Week 12 data used if week 18 data was unavailable</w:t>
      </w:r>
    </w:p>
    <w:p w14:paraId="4FD89983" w14:textId="726A49CA" w:rsidR="0068206B" w:rsidRPr="0068206B" w:rsidRDefault="0068206B" w:rsidP="00996C9A">
      <w:pPr>
        <w:spacing w:after="0"/>
      </w:pPr>
      <w:r w:rsidRPr="0068206B">
        <w:rPr>
          <w:b/>
          <w:bCs/>
        </w:rPr>
        <w:t>Table 5 Differences in impairment among participants by age category compared to participants &lt; 45 years of age, presented as estimate or odds ratio (OR) when indicated with (95% confidence interval) and </w:t>
      </w:r>
      <w:r w:rsidRPr="0068206B">
        <w:rPr>
          <w:b/>
          <w:bCs/>
          <w:i/>
          <w:iCs/>
        </w:rPr>
        <w:t>p</w:t>
      </w:r>
      <w:r w:rsidRPr="0068206B">
        <w:rPr>
          <w:b/>
          <w:bCs/>
        </w:rPr>
        <w:t>-values for each outcome. Estimates that are statistically significant (</w:t>
      </w:r>
      <w:r w:rsidRPr="0068206B">
        <w:rPr>
          <w:b/>
          <w:bCs/>
          <w:i/>
          <w:iCs/>
        </w:rPr>
        <w:t>p</w:t>
      </w:r>
      <w:r w:rsidRPr="0068206B">
        <w:rPr>
          <w:b/>
          <w:bCs/>
        </w:rPr>
        <w:t> &lt; 0.05) are bolded</w:t>
      </w:r>
    </w:p>
    <w:tbl>
      <w:tblPr>
        <w:tblStyle w:val="TableGrid"/>
        <w:tblW w:w="0" w:type="auto"/>
        <w:tblLook w:val="04A0" w:firstRow="1" w:lastRow="0" w:firstColumn="1" w:lastColumn="0" w:noHBand="0" w:noVBand="1"/>
      </w:tblPr>
      <w:tblGrid>
        <w:gridCol w:w="5305"/>
        <w:gridCol w:w="2430"/>
        <w:gridCol w:w="1925"/>
        <w:gridCol w:w="1629"/>
        <w:gridCol w:w="1505"/>
      </w:tblGrid>
      <w:tr w:rsidR="00840108" w:rsidRPr="00B862E8" w14:paraId="0FF9BFA4" w14:textId="77777777" w:rsidTr="00194429">
        <w:tc>
          <w:tcPr>
            <w:tcW w:w="5305" w:type="dxa"/>
            <w:hideMark/>
          </w:tcPr>
          <w:p w14:paraId="60A3ACF5" w14:textId="77BFD16D" w:rsidR="00996C9A" w:rsidRPr="00B862E8" w:rsidRDefault="004A18A1" w:rsidP="00996C9A">
            <w:pPr>
              <w:spacing w:line="259" w:lineRule="auto"/>
              <w:rPr>
                <w:b/>
                <w:bCs/>
              </w:rPr>
            </w:pPr>
            <w:r>
              <w:rPr>
                <w:b/>
                <w:bCs/>
              </w:rPr>
              <w:t>O</w:t>
            </w:r>
            <w:r w:rsidR="00996C9A" w:rsidRPr="00B862E8">
              <w:rPr>
                <w:b/>
                <w:bCs/>
              </w:rPr>
              <w:t>utcome; estimate type</w:t>
            </w:r>
          </w:p>
        </w:tc>
        <w:tc>
          <w:tcPr>
            <w:tcW w:w="2430" w:type="dxa"/>
            <w:hideMark/>
          </w:tcPr>
          <w:p w14:paraId="133682B4" w14:textId="77777777" w:rsidR="00996C9A" w:rsidRPr="00B862E8" w:rsidRDefault="00996C9A" w:rsidP="00996C9A">
            <w:pPr>
              <w:rPr>
                <w:b/>
                <w:bCs/>
              </w:rPr>
            </w:pPr>
            <w:r w:rsidRPr="00B862E8">
              <w:rPr>
                <w:b/>
                <w:bCs/>
              </w:rPr>
              <w:t>Baseline difference</w:t>
            </w:r>
            <w:r w:rsidRPr="00B862E8">
              <w:rPr>
                <w:b/>
                <w:bCs/>
              </w:rPr>
              <w:br/>
              <w:t>Est [95% CI] </w:t>
            </w:r>
            <w:r w:rsidRPr="00B862E8">
              <w:rPr>
                <w:b/>
                <w:bCs/>
                <w:i/>
                <w:iCs/>
              </w:rPr>
              <w:t>P</w:t>
            </w:r>
            <w:r w:rsidRPr="00B862E8">
              <w:rPr>
                <w:b/>
                <w:bCs/>
              </w:rPr>
              <w:t>-value</w:t>
            </w:r>
          </w:p>
        </w:tc>
        <w:tc>
          <w:tcPr>
            <w:tcW w:w="1925" w:type="dxa"/>
          </w:tcPr>
          <w:p w14:paraId="022F21FA" w14:textId="4D38B2F7" w:rsidR="00996C9A" w:rsidRPr="00B862E8" w:rsidRDefault="00996C9A" w:rsidP="00996C9A">
            <w:pPr>
              <w:spacing w:line="259" w:lineRule="auto"/>
              <w:rPr>
                <w:b/>
                <w:bCs/>
              </w:rPr>
            </w:pPr>
          </w:p>
        </w:tc>
        <w:tc>
          <w:tcPr>
            <w:tcW w:w="1629" w:type="dxa"/>
            <w:hideMark/>
          </w:tcPr>
          <w:p w14:paraId="142B4848" w14:textId="77777777" w:rsidR="00996C9A" w:rsidRPr="00B862E8" w:rsidRDefault="00996C9A" w:rsidP="00996C9A">
            <w:pPr>
              <w:rPr>
                <w:b/>
                <w:bCs/>
              </w:rPr>
            </w:pPr>
            <w:r w:rsidRPr="00B862E8">
              <w:rPr>
                <w:b/>
                <w:bCs/>
              </w:rPr>
              <w:t>Week 18 difference</w:t>
            </w:r>
            <w:r w:rsidRPr="00B862E8">
              <w:rPr>
                <w:b/>
                <w:bCs/>
                <w:vertAlign w:val="superscript"/>
              </w:rPr>
              <w:t>*</w:t>
            </w:r>
            <w:r w:rsidRPr="00B862E8">
              <w:rPr>
                <w:b/>
                <w:bCs/>
              </w:rPr>
              <w:br/>
              <w:t>Est [95% CI] </w:t>
            </w:r>
            <w:r w:rsidRPr="00B862E8">
              <w:rPr>
                <w:b/>
                <w:bCs/>
                <w:i/>
                <w:iCs/>
              </w:rPr>
              <w:t>P</w:t>
            </w:r>
            <w:r w:rsidRPr="00B862E8">
              <w:rPr>
                <w:b/>
                <w:bCs/>
              </w:rPr>
              <w:t>-value</w:t>
            </w:r>
          </w:p>
        </w:tc>
        <w:tc>
          <w:tcPr>
            <w:tcW w:w="0" w:type="auto"/>
          </w:tcPr>
          <w:p w14:paraId="653727AB" w14:textId="5D475240" w:rsidR="00996C9A" w:rsidRPr="00B862E8" w:rsidRDefault="00996C9A" w:rsidP="00996C9A">
            <w:pPr>
              <w:spacing w:line="259" w:lineRule="auto"/>
              <w:rPr>
                <w:b/>
                <w:bCs/>
              </w:rPr>
            </w:pPr>
          </w:p>
        </w:tc>
      </w:tr>
      <w:tr w:rsidR="00194429" w:rsidRPr="00B862E8" w14:paraId="36CDF881" w14:textId="77777777" w:rsidTr="00194429">
        <w:tc>
          <w:tcPr>
            <w:tcW w:w="5305" w:type="dxa"/>
            <w:hideMark/>
          </w:tcPr>
          <w:p w14:paraId="7B39AC00" w14:textId="77777777" w:rsidR="00B862E8" w:rsidRPr="00B862E8" w:rsidRDefault="00B862E8" w:rsidP="00996C9A">
            <w:pPr>
              <w:spacing w:line="259" w:lineRule="auto"/>
              <w:rPr>
                <w:b/>
                <w:bCs/>
              </w:rPr>
            </w:pPr>
            <w:r w:rsidRPr="00B862E8">
              <w:rPr>
                <w:b/>
                <w:bCs/>
              </w:rPr>
              <w:t>Age category</w:t>
            </w:r>
          </w:p>
        </w:tc>
        <w:tc>
          <w:tcPr>
            <w:tcW w:w="2430" w:type="dxa"/>
            <w:hideMark/>
          </w:tcPr>
          <w:p w14:paraId="6E886965" w14:textId="77777777" w:rsidR="00B862E8" w:rsidRPr="00B862E8" w:rsidRDefault="00B862E8" w:rsidP="00996C9A">
            <w:pPr>
              <w:spacing w:line="259" w:lineRule="auto"/>
              <w:rPr>
                <w:b/>
                <w:bCs/>
              </w:rPr>
            </w:pPr>
            <w:r w:rsidRPr="00B862E8">
              <w:rPr>
                <w:b/>
                <w:bCs/>
              </w:rPr>
              <w:t>45–59</w:t>
            </w:r>
          </w:p>
        </w:tc>
        <w:tc>
          <w:tcPr>
            <w:tcW w:w="1925" w:type="dxa"/>
            <w:hideMark/>
          </w:tcPr>
          <w:p w14:paraId="02402907" w14:textId="77777777" w:rsidR="00B862E8" w:rsidRPr="00B862E8" w:rsidRDefault="00B862E8" w:rsidP="00996C9A">
            <w:pPr>
              <w:spacing w:line="259" w:lineRule="auto"/>
              <w:rPr>
                <w:b/>
                <w:bCs/>
              </w:rPr>
            </w:pPr>
            <w:r w:rsidRPr="00B862E8">
              <w:rPr>
                <w:b/>
                <w:bCs/>
              </w:rPr>
              <w:t>60 or greater</w:t>
            </w:r>
          </w:p>
        </w:tc>
        <w:tc>
          <w:tcPr>
            <w:tcW w:w="1629" w:type="dxa"/>
            <w:hideMark/>
          </w:tcPr>
          <w:p w14:paraId="7272A338" w14:textId="77777777" w:rsidR="00B862E8" w:rsidRPr="00B862E8" w:rsidRDefault="00B862E8" w:rsidP="00996C9A">
            <w:pPr>
              <w:spacing w:line="259" w:lineRule="auto"/>
              <w:rPr>
                <w:b/>
                <w:bCs/>
              </w:rPr>
            </w:pPr>
            <w:r w:rsidRPr="00B862E8">
              <w:rPr>
                <w:b/>
                <w:bCs/>
              </w:rPr>
              <w:t>45–59</w:t>
            </w:r>
          </w:p>
        </w:tc>
        <w:tc>
          <w:tcPr>
            <w:tcW w:w="0" w:type="auto"/>
            <w:hideMark/>
          </w:tcPr>
          <w:p w14:paraId="32EC8598" w14:textId="77777777" w:rsidR="00B862E8" w:rsidRPr="00B862E8" w:rsidRDefault="00B862E8" w:rsidP="00996C9A">
            <w:pPr>
              <w:spacing w:line="259" w:lineRule="auto"/>
              <w:rPr>
                <w:b/>
                <w:bCs/>
              </w:rPr>
            </w:pPr>
            <w:r w:rsidRPr="00B862E8">
              <w:rPr>
                <w:b/>
                <w:bCs/>
              </w:rPr>
              <w:t>60 or greater</w:t>
            </w:r>
          </w:p>
        </w:tc>
      </w:tr>
      <w:tr w:rsidR="00996C9A" w:rsidRPr="00B862E8" w14:paraId="5915403F" w14:textId="77777777" w:rsidTr="00194429">
        <w:tc>
          <w:tcPr>
            <w:tcW w:w="5305" w:type="dxa"/>
            <w:hideMark/>
          </w:tcPr>
          <w:p w14:paraId="53A96A94" w14:textId="2E35F96E" w:rsidR="00996C9A" w:rsidRPr="00B862E8" w:rsidRDefault="00996C9A" w:rsidP="00996C9A">
            <w:r w:rsidRPr="00B862E8">
              <w:rPr>
                <w:b/>
                <w:bCs/>
              </w:rPr>
              <w:t>10-Time Chair Rise Test</w:t>
            </w:r>
          </w:p>
        </w:tc>
        <w:tc>
          <w:tcPr>
            <w:tcW w:w="2430" w:type="dxa"/>
          </w:tcPr>
          <w:p w14:paraId="780778D1" w14:textId="77777777" w:rsidR="00996C9A" w:rsidRPr="00B862E8" w:rsidRDefault="00996C9A" w:rsidP="00996C9A"/>
        </w:tc>
        <w:tc>
          <w:tcPr>
            <w:tcW w:w="1925" w:type="dxa"/>
          </w:tcPr>
          <w:p w14:paraId="256A8D5A" w14:textId="50FC3EF1" w:rsidR="00996C9A" w:rsidRPr="00B862E8" w:rsidRDefault="00996C9A" w:rsidP="00996C9A"/>
        </w:tc>
        <w:tc>
          <w:tcPr>
            <w:tcW w:w="1629" w:type="dxa"/>
          </w:tcPr>
          <w:p w14:paraId="03BD8A85" w14:textId="77777777" w:rsidR="00996C9A" w:rsidRPr="00B862E8" w:rsidRDefault="00996C9A" w:rsidP="00996C9A"/>
        </w:tc>
        <w:tc>
          <w:tcPr>
            <w:tcW w:w="0" w:type="auto"/>
          </w:tcPr>
          <w:p w14:paraId="16C33000" w14:textId="2DFF01C3" w:rsidR="00996C9A" w:rsidRPr="00B862E8" w:rsidRDefault="00996C9A" w:rsidP="00996C9A">
            <w:pPr>
              <w:spacing w:line="259" w:lineRule="auto"/>
            </w:pPr>
          </w:p>
        </w:tc>
      </w:tr>
      <w:tr w:rsidR="00996C9A" w:rsidRPr="00B862E8" w14:paraId="513BBA57" w14:textId="77777777" w:rsidTr="00194429">
        <w:tc>
          <w:tcPr>
            <w:tcW w:w="5305" w:type="dxa"/>
            <w:hideMark/>
          </w:tcPr>
          <w:p w14:paraId="1F4E9F55" w14:textId="77777777" w:rsidR="00B862E8" w:rsidRPr="00B862E8" w:rsidRDefault="00B862E8" w:rsidP="00996C9A">
            <w:pPr>
              <w:spacing w:line="259" w:lineRule="auto"/>
            </w:pPr>
            <w:r w:rsidRPr="00B862E8">
              <w:t> </w:t>
            </w:r>
            <w:r w:rsidRPr="00B862E8">
              <w:t>Unable to complete due to physical ability or safety concerns; OR</w:t>
            </w:r>
          </w:p>
        </w:tc>
        <w:tc>
          <w:tcPr>
            <w:tcW w:w="2430" w:type="dxa"/>
            <w:hideMark/>
          </w:tcPr>
          <w:p w14:paraId="26434FAE" w14:textId="77777777" w:rsidR="00B862E8" w:rsidRPr="00B862E8" w:rsidRDefault="00B862E8" w:rsidP="00996C9A">
            <w:pPr>
              <w:spacing w:line="259" w:lineRule="auto"/>
            </w:pPr>
            <w:r w:rsidRPr="00B862E8">
              <w:t>1.5 [0.3, 11.3]</w:t>
            </w:r>
            <w:r w:rsidRPr="00B862E8">
              <w:br/>
            </w:r>
            <w:r w:rsidRPr="00B862E8">
              <w:rPr>
                <w:i/>
                <w:iCs/>
              </w:rPr>
              <w:t>P</w:t>
            </w:r>
            <w:r w:rsidRPr="00B862E8">
              <w:t> = 0.68</w:t>
            </w:r>
          </w:p>
        </w:tc>
        <w:tc>
          <w:tcPr>
            <w:tcW w:w="1925" w:type="dxa"/>
            <w:hideMark/>
          </w:tcPr>
          <w:p w14:paraId="7F548AD7" w14:textId="77777777" w:rsidR="00B862E8" w:rsidRPr="00B862E8" w:rsidRDefault="00B862E8" w:rsidP="00996C9A">
            <w:pPr>
              <w:spacing w:line="259" w:lineRule="auto"/>
            </w:pPr>
            <w:r w:rsidRPr="00B862E8">
              <w:t>3.4 [0.8, 23.7]</w:t>
            </w:r>
            <w:r w:rsidRPr="00B862E8">
              <w:br/>
            </w:r>
            <w:r w:rsidRPr="00B862E8">
              <w:rPr>
                <w:i/>
                <w:iCs/>
              </w:rPr>
              <w:t>P</w:t>
            </w:r>
            <w:r w:rsidRPr="00B862E8">
              <w:t> = 0.14</w:t>
            </w:r>
          </w:p>
        </w:tc>
        <w:tc>
          <w:tcPr>
            <w:tcW w:w="1629" w:type="dxa"/>
            <w:hideMark/>
          </w:tcPr>
          <w:p w14:paraId="695F68FE" w14:textId="77777777" w:rsidR="00B862E8" w:rsidRPr="00B862E8" w:rsidRDefault="00B862E8" w:rsidP="00996C9A">
            <w:pPr>
              <w:spacing w:line="259" w:lineRule="auto"/>
            </w:pPr>
            <w:r w:rsidRPr="00B862E8">
              <w:t> </w:t>
            </w:r>
          </w:p>
        </w:tc>
        <w:tc>
          <w:tcPr>
            <w:tcW w:w="0" w:type="auto"/>
            <w:hideMark/>
          </w:tcPr>
          <w:p w14:paraId="0C4BC11A" w14:textId="77777777" w:rsidR="00B862E8" w:rsidRPr="00B862E8" w:rsidRDefault="00B862E8" w:rsidP="00996C9A">
            <w:pPr>
              <w:spacing w:line="259" w:lineRule="auto"/>
            </w:pPr>
            <w:r w:rsidRPr="00B862E8">
              <w:t> </w:t>
            </w:r>
          </w:p>
        </w:tc>
      </w:tr>
      <w:tr w:rsidR="00996C9A" w:rsidRPr="00B862E8" w14:paraId="7E223F4B" w14:textId="77777777" w:rsidTr="00194429">
        <w:tc>
          <w:tcPr>
            <w:tcW w:w="5305" w:type="dxa"/>
            <w:hideMark/>
          </w:tcPr>
          <w:p w14:paraId="7B6888C6" w14:textId="77777777" w:rsidR="00B862E8" w:rsidRPr="00B862E8" w:rsidRDefault="00B862E8" w:rsidP="00996C9A">
            <w:pPr>
              <w:spacing w:line="259" w:lineRule="auto"/>
            </w:pPr>
            <w:r w:rsidRPr="00B862E8">
              <w:t> </w:t>
            </w:r>
            <w:r w:rsidRPr="00B862E8">
              <w:t>Time to complete; seconds</w:t>
            </w:r>
          </w:p>
        </w:tc>
        <w:tc>
          <w:tcPr>
            <w:tcW w:w="2430" w:type="dxa"/>
            <w:hideMark/>
          </w:tcPr>
          <w:p w14:paraId="745406B8" w14:textId="77777777" w:rsidR="00B862E8" w:rsidRPr="00B862E8" w:rsidRDefault="00B862E8" w:rsidP="00996C9A">
            <w:pPr>
              <w:spacing w:line="259" w:lineRule="auto"/>
            </w:pPr>
            <w:r w:rsidRPr="00B862E8">
              <w:t>−2.3 [−9.5, 4.9]</w:t>
            </w:r>
            <w:r w:rsidRPr="00B862E8">
              <w:br/>
            </w:r>
            <w:r w:rsidRPr="00B862E8">
              <w:rPr>
                <w:i/>
                <w:iCs/>
              </w:rPr>
              <w:t>P</w:t>
            </w:r>
            <w:r w:rsidRPr="00B862E8">
              <w:t> = 0.52</w:t>
            </w:r>
          </w:p>
        </w:tc>
        <w:tc>
          <w:tcPr>
            <w:tcW w:w="1925" w:type="dxa"/>
            <w:hideMark/>
          </w:tcPr>
          <w:p w14:paraId="5692A52C" w14:textId="77777777" w:rsidR="00B862E8" w:rsidRPr="00B862E8" w:rsidRDefault="00B862E8" w:rsidP="00996C9A">
            <w:pPr>
              <w:spacing w:line="259" w:lineRule="auto"/>
            </w:pPr>
            <w:r w:rsidRPr="00B862E8">
              <w:t>−3.3 [−10.4, 3.8]</w:t>
            </w:r>
            <w:r w:rsidRPr="00B862E8">
              <w:br/>
            </w:r>
            <w:r w:rsidRPr="00B862E8">
              <w:rPr>
                <w:i/>
                <w:iCs/>
              </w:rPr>
              <w:t>P</w:t>
            </w:r>
            <w:r w:rsidRPr="00B862E8">
              <w:t> = 0.36</w:t>
            </w:r>
          </w:p>
        </w:tc>
        <w:tc>
          <w:tcPr>
            <w:tcW w:w="1629" w:type="dxa"/>
            <w:hideMark/>
          </w:tcPr>
          <w:p w14:paraId="52D76B37" w14:textId="77777777" w:rsidR="00B862E8" w:rsidRPr="00B862E8" w:rsidRDefault="00B862E8" w:rsidP="00996C9A">
            <w:pPr>
              <w:spacing w:line="259" w:lineRule="auto"/>
            </w:pPr>
            <w:r w:rsidRPr="00B862E8">
              <w:t> </w:t>
            </w:r>
          </w:p>
        </w:tc>
        <w:tc>
          <w:tcPr>
            <w:tcW w:w="0" w:type="auto"/>
            <w:hideMark/>
          </w:tcPr>
          <w:p w14:paraId="2D38FBD7" w14:textId="77777777" w:rsidR="00B862E8" w:rsidRPr="00B862E8" w:rsidRDefault="00B862E8" w:rsidP="00996C9A">
            <w:pPr>
              <w:spacing w:line="259" w:lineRule="auto"/>
            </w:pPr>
            <w:r w:rsidRPr="00B862E8">
              <w:t> </w:t>
            </w:r>
          </w:p>
        </w:tc>
      </w:tr>
      <w:tr w:rsidR="00996C9A" w:rsidRPr="00B862E8" w14:paraId="125278EB" w14:textId="77777777" w:rsidTr="00194429">
        <w:tc>
          <w:tcPr>
            <w:tcW w:w="5305" w:type="dxa"/>
            <w:hideMark/>
          </w:tcPr>
          <w:p w14:paraId="02E3186F" w14:textId="77777777" w:rsidR="00B862E8" w:rsidRPr="00B862E8" w:rsidRDefault="00B862E8" w:rsidP="00996C9A">
            <w:pPr>
              <w:spacing w:line="259" w:lineRule="auto"/>
            </w:pPr>
            <w:r w:rsidRPr="00B862E8">
              <w:t> </w:t>
            </w:r>
            <w:r w:rsidRPr="00B862E8">
              <w:t>Change in time to complete from week 2/6; seconds</w:t>
            </w:r>
          </w:p>
        </w:tc>
        <w:tc>
          <w:tcPr>
            <w:tcW w:w="2430" w:type="dxa"/>
            <w:hideMark/>
          </w:tcPr>
          <w:p w14:paraId="5D2D1B49" w14:textId="77777777" w:rsidR="00B862E8" w:rsidRPr="00B862E8" w:rsidRDefault="00B862E8" w:rsidP="00996C9A">
            <w:pPr>
              <w:spacing w:line="259" w:lineRule="auto"/>
            </w:pPr>
            <w:r w:rsidRPr="00B862E8">
              <w:t> </w:t>
            </w:r>
          </w:p>
        </w:tc>
        <w:tc>
          <w:tcPr>
            <w:tcW w:w="1925" w:type="dxa"/>
            <w:hideMark/>
          </w:tcPr>
          <w:p w14:paraId="267CABDF" w14:textId="77777777" w:rsidR="00B862E8" w:rsidRPr="00B862E8" w:rsidRDefault="00B862E8" w:rsidP="00996C9A">
            <w:pPr>
              <w:spacing w:line="259" w:lineRule="auto"/>
            </w:pPr>
            <w:r w:rsidRPr="00B862E8">
              <w:t> </w:t>
            </w:r>
          </w:p>
        </w:tc>
        <w:tc>
          <w:tcPr>
            <w:tcW w:w="1629" w:type="dxa"/>
            <w:hideMark/>
          </w:tcPr>
          <w:p w14:paraId="17DA4728" w14:textId="77777777" w:rsidR="00B862E8" w:rsidRPr="00B862E8" w:rsidRDefault="00B862E8" w:rsidP="00996C9A">
            <w:pPr>
              <w:spacing w:line="259" w:lineRule="auto"/>
            </w:pPr>
            <w:r w:rsidRPr="00B862E8">
              <w:t>−2.7 [−7.9, 2.6]</w:t>
            </w:r>
            <w:r w:rsidRPr="00B862E8">
              <w:br/>
            </w:r>
            <w:r w:rsidRPr="00B862E8">
              <w:rPr>
                <w:i/>
                <w:iCs/>
              </w:rPr>
              <w:t>P</w:t>
            </w:r>
            <w:r w:rsidRPr="00B862E8">
              <w:t> = 0.31</w:t>
            </w:r>
          </w:p>
        </w:tc>
        <w:tc>
          <w:tcPr>
            <w:tcW w:w="0" w:type="auto"/>
            <w:hideMark/>
          </w:tcPr>
          <w:p w14:paraId="2BE88567" w14:textId="77777777" w:rsidR="00B862E8" w:rsidRPr="00B862E8" w:rsidRDefault="00B862E8" w:rsidP="00996C9A">
            <w:pPr>
              <w:spacing w:line="259" w:lineRule="auto"/>
            </w:pPr>
            <w:r w:rsidRPr="00B862E8">
              <w:t>−5.1 [−10.3, 0]</w:t>
            </w:r>
            <w:r w:rsidRPr="00B862E8">
              <w:br/>
            </w:r>
            <w:r w:rsidRPr="00B862E8">
              <w:rPr>
                <w:i/>
                <w:iCs/>
              </w:rPr>
              <w:t>P</w:t>
            </w:r>
            <w:r w:rsidRPr="00B862E8">
              <w:t> = 0.05</w:t>
            </w:r>
          </w:p>
        </w:tc>
      </w:tr>
      <w:tr w:rsidR="00996C9A" w:rsidRPr="00B862E8" w14:paraId="656A5359" w14:textId="77777777" w:rsidTr="00194429">
        <w:tc>
          <w:tcPr>
            <w:tcW w:w="5305" w:type="dxa"/>
            <w:hideMark/>
          </w:tcPr>
          <w:p w14:paraId="60A01160" w14:textId="77777777" w:rsidR="00996C9A" w:rsidRPr="00B862E8" w:rsidRDefault="00996C9A" w:rsidP="00996C9A">
            <w:r w:rsidRPr="00B862E8">
              <w:rPr>
                <w:b/>
                <w:bCs/>
              </w:rPr>
              <w:t>Clinical Frailty Scale</w:t>
            </w:r>
          </w:p>
        </w:tc>
        <w:tc>
          <w:tcPr>
            <w:tcW w:w="2430" w:type="dxa"/>
          </w:tcPr>
          <w:p w14:paraId="77C77DDE" w14:textId="77777777" w:rsidR="00996C9A" w:rsidRPr="00B862E8" w:rsidRDefault="00996C9A" w:rsidP="00996C9A"/>
        </w:tc>
        <w:tc>
          <w:tcPr>
            <w:tcW w:w="1925" w:type="dxa"/>
          </w:tcPr>
          <w:p w14:paraId="3B34A05D" w14:textId="77777777" w:rsidR="00996C9A" w:rsidRPr="00B862E8" w:rsidRDefault="00996C9A" w:rsidP="00996C9A"/>
        </w:tc>
        <w:tc>
          <w:tcPr>
            <w:tcW w:w="1629" w:type="dxa"/>
          </w:tcPr>
          <w:p w14:paraId="6CF8ED38" w14:textId="77777777" w:rsidR="00996C9A" w:rsidRPr="00B862E8" w:rsidRDefault="00996C9A" w:rsidP="00996C9A"/>
        </w:tc>
        <w:tc>
          <w:tcPr>
            <w:tcW w:w="0" w:type="auto"/>
          </w:tcPr>
          <w:p w14:paraId="00F58134" w14:textId="532C2BFB" w:rsidR="00996C9A" w:rsidRPr="00B862E8" w:rsidRDefault="00996C9A" w:rsidP="00996C9A">
            <w:pPr>
              <w:spacing w:line="259" w:lineRule="auto"/>
            </w:pPr>
          </w:p>
        </w:tc>
      </w:tr>
      <w:tr w:rsidR="00996C9A" w:rsidRPr="00B862E8" w14:paraId="61BCBB5A" w14:textId="77777777" w:rsidTr="00194429">
        <w:tc>
          <w:tcPr>
            <w:tcW w:w="5305" w:type="dxa"/>
            <w:hideMark/>
          </w:tcPr>
          <w:p w14:paraId="3B0C64A9" w14:textId="77777777" w:rsidR="00B862E8" w:rsidRPr="00B862E8" w:rsidRDefault="00B862E8" w:rsidP="00996C9A">
            <w:pPr>
              <w:spacing w:line="259" w:lineRule="auto"/>
            </w:pPr>
            <w:r w:rsidRPr="00B862E8">
              <w:t> </w:t>
            </w:r>
            <w:r w:rsidRPr="00B862E8">
              <w:t>Post-hospitalization reported frailty; OR</w:t>
            </w:r>
          </w:p>
        </w:tc>
        <w:tc>
          <w:tcPr>
            <w:tcW w:w="2430" w:type="dxa"/>
            <w:hideMark/>
          </w:tcPr>
          <w:p w14:paraId="657E78D7" w14:textId="77777777" w:rsidR="00B862E8" w:rsidRPr="00B862E8" w:rsidRDefault="00B862E8" w:rsidP="00996C9A">
            <w:pPr>
              <w:spacing w:line="259" w:lineRule="auto"/>
            </w:pPr>
            <w:r w:rsidRPr="00B862E8">
              <w:t>3.2 [0.7, 18.0]</w:t>
            </w:r>
            <w:r w:rsidRPr="00B862E8">
              <w:br/>
            </w:r>
            <w:r w:rsidRPr="00B862E8">
              <w:rPr>
                <w:i/>
                <w:iCs/>
              </w:rPr>
              <w:t>P</w:t>
            </w:r>
            <w:r w:rsidRPr="00B862E8">
              <w:t> = 0.15</w:t>
            </w:r>
          </w:p>
        </w:tc>
        <w:tc>
          <w:tcPr>
            <w:tcW w:w="1925" w:type="dxa"/>
            <w:hideMark/>
          </w:tcPr>
          <w:p w14:paraId="3FEEBAF4" w14:textId="77777777" w:rsidR="00B862E8" w:rsidRPr="00B862E8" w:rsidRDefault="00B862E8" w:rsidP="00996C9A">
            <w:pPr>
              <w:spacing w:line="259" w:lineRule="auto"/>
            </w:pPr>
            <w:r w:rsidRPr="00B862E8">
              <w:t>2.5 [0.6, 9.9]</w:t>
            </w:r>
            <w:r w:rsidRPr="00B862E8">
              <w:br/>
            </w:r>
            <w:r w:rsidRPr="00B862E8">
              <w:rPr>
                <w:i/>
                <w:iCs/>
              </w:rPr>
              <w:t>P</w:t>
            </w:r>
            <w:r w:rsidRPr="00B862E8">
              <w:t> = 0.18</w:t>
            </w:r>
          </w:p>
        </w:tc>
        <w:tc>
          <w:tcPr>
            <w:tcW w:w="1629" w:type="dxa"/>
            <w:hideMark/>
          </w:tcPr>
          <w:p w14:paraId="4486FD3B" w14:textId="77777777" w:rsidR="00B862E8" w:rsidRPr="00B862E8" w:rsidRDefault="00B862E8" w:rsidP="00996C9A">
            <w:pPr>
              <w:spacing w:line="259" w:lineRule="auto"/>
            </w:pPr>
            <w:r w:rsidRPr="00B862E8">
              <w:t> </w:t>
            </w:r>
          </w:p>
        </w:tc>
        <w:tc>
          <w:tcPr>
            <w:tcW w:w="0" w:type="auto"/>
            <w:hideMark/>
          </w:tcPr>
          <w:p w14:paraId="09AD8B11" w14:textId="77777777" w:rsidR="00B862E8" w:rsidRPr="00B862E8" w:rsidRDefault="00B862E8" w:rsidP="00996C9A">
            <w:pPr>
              <w:spacing w:line="259" w:lineRule="auto"/>
            </w:pPr>
            <w:r w:rsidRPr="00B862E8">
              <w:t> </w:t>
            </w:r>
          </w:p>
        </w:tc>
      </w:tr>
      <w:tr w:rsidR="00996C9A" w:rsidRPr="00B862E8" w14:paraId="0B5B4FC3" w14:textId="77777777" w:rsidTr="00194429">
        <w:tc>
          <w:tcPr>
            <w:tcW w:w="5305" w:type="dxa"/>
            <w:hideMark/>
          </w:tcPr>
          <w:p w14:paraId="206C6408" w14:textId="77777777" w:rsidR="00B862E8" w:rsidRPr="00B862E8" w:rsidRDefault="00B862E8" w:rsidP="00996C9A">
            <w:pPr>
              <w:spacing w:line="259" w:lineRule="auto"/>
            </w:pPr>
            <w:r w:rsidRPr="00B862E8">
              <w:t> </w:t>
            </w:r>
            <w:r w:rsidRPr="00B862E8">
              <w:t>Did not return to pre-hospitalization frailty; OR</w:t>
            </w:r>
          </w:p>
        </w:tc>
        <w:tc>
          <w:tcPr>
            <w:tcW w:w="2430" w:type="dxa"/>
            <w:hideMark/>
          </w:tcPr>
          <w:p w14:paraId="794655CD" w14:textId="77777777" w:rsidR="00B862E8" w:rsidRPr="00B862E8" w:rsidRDefault="00B862E8" w:rsidP="00996C9A">
            <w:pPr>
              <w:spacing w:line="259" w:lineRule="auto"/>
            </w:pPr>
            <w:r w:rsidRPr="00B862E8">
              <w:t> </w:t>
            </w:r>
          </w:p>
        </w:tc>
        <w:tc>
          <w:tcPr>
            <w:tcW w:w="1925" w:type="dxa"/>
            <w:hideMark/>
          </w:tcPr>
          <w:p w14:paraId="1A56A3F1" w14:textId="77777777" w:rsidR="00B862E8" w:rsidRPr="00B862E8" w:rsidRDefault="00B862E8" w:rsidP="00996C9A">
            <w:pPr>
              <w:spacing w:line="259" w:lineRule="auto"/>
            </w:pPr>
            <w:r w:rsidRPr="00B862E8">
              <w:t> </w:t>
            </w:r>
          </w:p>
        </w:tc>
        <w:tc>
          <w:tcPr>
            <w:tcW w:w="1629" w:type="dxa"/>
            <w:hideMark/>
          </w:tcPr>
          <w:p w14:paraId="08DC21CE" w14:textId="77777777" w:rsidR="00B862E8" w:rsidRPr="00B862E8" w:rsidRDefault="00B862E8" w:rsidP="00996C9A">
            <w:pPr>
              <w:spacing w:line="259" w:lineRule="auto"/>
            </w:pPr>
            <w:r w:rsidRPr="00B862E8">
              <w:t>0.3 [0.1, 1.3]</w:t>
            </w:r>
            <w:r w:rsidRPr="00B862E8">
              <w:br/>
            </w:r>
            <w:r w:rsidRPr="00B862E8">
              <w:rPr>
                <w:i/>
                <w:iCs/>
              </w:rPr>
              <w:t>P</w:t>
            </w:r>
            <w:r w:rsidRPr="00B862E8">
              <w:t> = 0.11</w:t>
            </w:r>
          </w:p>
        </w:tc>
        <w:tc>
          <w:tcPr>
            <w:tcW w:w="0" w:type="auto"/>
            <w:hideMark/>
          </w:tcPr>
          <w:p w14:paraId="000999BB" w14:textId="77777777" w:rsidR="00B862E8" w:rsidRPr="00B862E8" w:rsidRDefault="00B862E8" w:rsidP="00996C9A">
            <w:pPr>
              <w:spacing w:line="259" w:lineRule="auto"/>
            </w:pPr>
            <w:r w:rsidRPr="00B862E8">
              <w:t>0.3 [0.8, 1.1]</w:t>
            </w:r>
            <w:r w:rsidRPr="00B862E8">
              <w:br/>
            </w:r>
            <w:r w:rsidRPr="00B862E8">
              <w:rPr>
                <w:i/>
                <w:iCs/>
              </w:rPr>
              <w:t>P</w:t>
            </w:r>
            <w:r w:rsidRPr="00B862E8">
              <w:t> = 0.09</w:t>
            </w:r>
          </w:p>
        </w:tc>
      </w:tr>
      <w:tr w:rsidR="00996C9A" w:rsidRPr="00B862E8" w14:paraId="77B32200" w14:textId="77777777" w:rsidTr="00194429">
        <w:tc>
          <w:tcPr>
            <w:tcW w:w="5305" w:type="dxa"/>
            <w:hideMark/>
          </w:tcPr>
          <w:p w14:paraId="72132631" w14:textId="77777777" w:rsidR="00996C9A" w:rsidRPr="00B862E8" w:rsidRDefault="00996C9A" w:rsidP="00996C9A">
            <w:r w:rsidRPr="00B862E8">
              <w:rPr>
                <w:b/>
                <w:bCs/>
              </w:rPr>
              <w:t>MRC Dyspnea Scale</w:t>
            </w:r>
          </w:p>
        </w:tc>
        <w:tc>
          <w:tcPr>
            <w:tcW w:w="2430" w:type="dxa"/>
          </w:tcPr>
          <w:p w14:paraId="63AD1777" w14:textId="77777777" w:rsidR="00996C9A" w:rsidRPr="00B862E8" w:rsidRDefault="00996C9A" w:rsidP="00996C9A"/>
        </w:tc>
        <w:tc>
          <w:tcPr>
            <w:tcW w:w="1925" w:type="dxa"/>
          </w:tcPr>
          <w:p w14:paraId="026A1F34" w14:textId="77777777" w:rsidR="00996C9A" w:rsidRPr="00B862E8" w:rsidRDefault="00996C9A" w:rsidP="00996C9A"/>
        </w:tc>
        <w:tc>
          <w:tcPr>
            <w:tcW w:w="1629" w:type="dxa"/>
          </w:tcPr>
          <w:p w14:paraId="3C3BC1BE" w14:textId="77777777" w:rsidR="00996C9A" w:rsidRPr="00B862E8" w:rsidRDefault="00996C9A" w:rsidP="00996C9A"/>
        </w:tc>
        <w:tc>
          <w:tcPr>
            <w:tcW w:w="0" w:type="auto"/>
          </w:tcPr>
          <w:p w14:paraId="490FA17D" w14:textId="28FFA2BE" w:rsidR="00996C9A" w:rsidRPr="00B862E8" w:rsidRDefault="00996C9A" w:rsidP="00996C9A">
            <w:pPr>
              <w:spacing w:line="259" w:lineRule="auto"/>
            </w:pPr>
          </w:p>
        </w:tc>
      </w:tr>
      <w:tr w:rsidR="00996C9A" w:rsidRPr="00B862E8" w14:paraId="7D42BB64" w14:textId="77777777" w:rsidTr="00194429">
        <w:tc>
          <w:tcPr>
            <w:tcW w:w="5305" w:type="dxa"/>
            <w:hideMark/>
          </w:tcPr>
          <w:p w14:paraId="2E2C4FB7" w14:textId="77777777" w:rsidR="00B862E8" w:rsidRPr="00B862E8" w:rsidRDefault="00B862E8" w:rsidP="00996C9A">
            <w:pPr>
              <w:spacing w:line="259" w:lineRule="auto"/>
            </w:pPr>
            <w:r w:rsidRPr="00B862E8">
              <w:t> </w:t>
            </w:r>
            <w:r w:rsidRPr="00B862E8">
              <w:t>Too SOB to leave the house and/or SOB while dressing; OR</w:t>
            </w:r>
          </w:p>
        </w:tc>
        <w:tc>
          <w:tcPr>
            <w:tcW w:w="2430" w:type="dxa"/>
            <w:hideMark/>
          </w:tcPr>
          <w:p w14:paraId="74FAE0BD" w14:textId="77777777" w:rsidR="00B862E8" w:rsidRPr="00B862E8" w:rsidRDefault="00B862E8" w:rsidP="00996C9A">
            <w:pPr>
              <w:spacing w:line="259" w:lineRule="auto"/>
            </w:pPr>
            <w:r w:rsidRPr="00B862E8">
              <w:t>0.6 [0.2, 2.5]</w:t>
            </w:r>
            <w:r w:rsidRPr="00B862E8">
              <w:br/>
            </w:r>
            <w:r w:rsidRPr="00B862E8">
              <w:rPr>
                <w:i/>
                <w:iCs/>
              </w:rPr>
              <w:t>P</w:t>
            </w:r>
            <w:r w:rsidRPr="00B862E8">
              <w:t> = 0.48</w:t>
            </w:r>
          </w:p>
        </w:tc>
        <w:tc>
          <w:tcPr>
            <w:tcW w:w="1925" w:type="dxa"/>
            <w:hideMark/>
          </w:tcPr>
          <w:p w14:paraId="578CBAE1" w14:textId="77777777" w:rsidR="00B862E8" w:rsidRPr="00B862E8" w:rsidRDefault="00B862E8" w:rsidP="00996C9A">
            <w:pPr>
              <w:spacing w:line="259" w:lineRule="auto"/>
            </w:pPr>
            <w:r w:rsidRPr="00B862E8">
              <w:t>2.4 [0.8, 8.5]</w:t>
            </w:r>
            <w:r w:rsidRPr="00B862E8">
              <w:br/>
            </w:r>
            <w:r w:rsidRPr="00B862E8">
              <w:rPr>
                <w:i/>
                <w:iCs/>
              </w:rPr>
              <w:t>P</w:t>
            </w:r>
            <w:r w:rsidRPr="00B862E8">
              <w:t> = 0.14</w:t>
            </w:r>
          </w:p>
        </w:tc>
        <w:tc>
          <w:tcPr>
            <w:tcW w:w="1629" w:type="dxa"/>
            <w:hideMark/>
          </w:tcPr>
          <w:p w14:paraId="4CEA2C45" w14:textId="77777777" w:rsidR="00B862E8" w:rsidRPr="00B862E8" w:rsidRDefault="00B862E8" w:rsidP="00996C9A">
            <w:pPr>
              <w:spacing w:line="259" w:lineRule="auto"/>
            </w:pPr>
            <w:r w:rsidRPr="00B862E8">
              <w:t> </w:t>
            </w:r>
          </w:p>
        </w:tc>
        <w:tc>
          <w:tcPr>
            <w:tcW w:w="0" w:type="auto"/>
            <w:hideMark/>
          </w:tcPr>
          <w:p w14:paraId="4EB1276F" w14:textId="77777777" w:rsidR="00B862E8" w:rsidRPr="00B862E8" w:rsidRDefault="00B862E8" w:rsidP="00996C9A">
            <w:pPr>
              <w:spacing w:line="259" w:lineRule="auto"/>
            </w:pPr>
            <w:r w:rsidRPr="00B862E8">
              <w:t> </w:t>
            </w:r>
          </w:p>
        </w:tc>
      </w:tr>
      <w:tr w:rsidR="00996C9A" w:rsidRPr="00B862E8" w14:paraId="2FDC250D" w14:textId="77777777" w:rsidTr="00194429">
        <w:tc>
          <w:tcPr>
            <w:tcW w:w="5305" w:type="dxa"/>
            <w:hideMark/>
          </w:tcPr>
          <w:p w14:paraId="041BE504" w14:textId="77777777" w:rsidR="00B862E8" w:rsidRPr="00B862E8" w:rsidRDefault="00B862E8" w:rsidP="00996C9A">
            <w:pPr>
              <w:spacing w:line="259" w:lineRule="auto"/>
            </w:pPr>
            <w:r w:rsidRPr="00B862E8">
              <w:t> </w:t>
            </w:r>
            <w:r w:rsidRPr="00B862E8">
              <w:t>No improvement from week 2–6 answer; OR</w:t>
            </w:r>
          </w:p>
        </w:tc>
        <w:tc>
          <w:tcPr>
            <w:tcW w:w="2430" w:type="dxa"/>
            <w:hideMark/>
          </w:tcPr>
          <w:p w14:paraId="3D2D7D54" w14:textId="77777777" w:rsidR="00B862E8" w:rsidRPr="00B862E8" w:rsidRDefault="00B862E8" w:rsidP="00996C9A">
            <w:pPr>
              <w:spacing w:line="259" w:lineRule="auto"/>
            </w:pPr>
            <w:r w:rsidRPr="00B862E8">
              <w:t> </w:t>
            </w:r>
          </w:p>
        </w:tc>
        <w:tc>
          <w:tcPr>
            <w:tcW w:w="1925" w:type="dxa"/>
            <w:hideMark/>
          </w:tcPr>
          <w:p w14:paraId="152DE62C" w14:textId="77777777" w:rsidR="00B862E8" w:rsidRPr="00B862E8" w:rsidRDefault="00B862E8" w:rsidP="00996C9A">
            <w:pPr>
              <w:spacing w:line="259" w:lineRule="auto"/>
            </w:pPr>
            <w:r w:rsidRPr="00B862E8">
              <w:t> </w:t>
            </w:r>
          </w:p>
        </w:tc>
        <w:tc>
          <w:tcPr>
            <w:tcW w:w="1629" w:type="dxa"/>
            <w:hideMark/>
          </w:tcPr>
          <w:p w14:paraId="1CE3D39E" w14:textId="77777777" w:rsidR="00B862E8" w:rsidRPr="00B862E8" w:rsidRDefault="00B862E8" w:rsidP="00996C9A">
            <w:pPr>
              <w:spacing w:line="259" w:lineRule="auto"/>
            </w:pPr>
            <w:r w:rsidRPr="00B862E8">
              <w:t>0.7 [0.2, 3.2]</w:t>
            </w:r>
            <w:r w:rsidRPr="00B862E8">
              <w:br/>
            </w:r>
            <w:r w:rsidRPr="00B862E8">
              <w:rPr>
                <w:i/>
                <w:iCs/>
              </w:rPr>
              <w:t>P</w:t>
            </w:r>
            <w:r w:rsidRPr="00B862E8">
              <w:t> = 0.65</w:t>
            </w:r>
          </w:p>
        </w:tc>
        <w:tc>
          <w:tcPr>
            <w:tcW w:w="0" w:type="auto"/>
            <w:hideMark/>
          </w:tcPr>
          <w:p w14:paraId="6B3A1FA0" w14:textId="77777777" w:rsidR="00B862E8" w:rsidRPr="00B862E8" w:rsidRDefault="00B862E8" w:rsidP="00996C9A">
            <w:pPr>
              <w:spacing w:line="259" w:lineRule="auto"/>
            </w:pPr>
            <w:r w:rsidRPr="00B862E8">
              <w:t>0.3 [0.1, 1.2]</w:t>
            </w:r>
            <w:r w:rsidRPr="00B862E8">
              <w:br/>
            </w:r>
            <w:r w:rsidRPr="00B862E8">
              <w:rPr>
                <w:i/>
                <w:iCs/>
              </w:rPr>
              <w:t>P</w:t>
            </w:r>
            <w:r w:rsidRPr="00B862E8">
              <w:t> = 0.09</w:t>
            </w:r>
          </w:p>
        </w:tc>
      </w:tr>
      <w:tr w:rsidR="00194429" w:rsidRPr="00B862E8" w14:paraId="5798931F" w14:textId="77777777" w:rsidTr="00194429">
        <w:tc>
          <w:tcPr>
            <w:tcW w:w="5305" w:type="dxa"/>
            <w:hideMark/>
          </w:tcPr>
          <w:p w14:paraId="5833C4A0" w14:textId="77777777" w:rsidR="00996C9A" w:rsidRPr="00B862E8" w:rsidRDefault="00996C9A" w:rsidP="00996C9A">
            <w:r w:rsidRPr="00B862E8">
              <w:rPr>
                <w:b/>
                <w:bCs/>
              </w:rPr>
              <w:t>IES-6</w:t>
            </w:r>
          </w:p>
        </w:tc>
        <w:tc>
          <w:tcPr>
            <w:tcW w:w="2430" w:type="dxa"/>
          </w:tcPr>
          <w:p w14:paraId="550B0E2F" w14:textId="77777777" w:rsidR="00996C9A" w:rsidRPr="00B862E8" w:rsidRDefault="00996C9A" w:rsidP="00996C9A"/>
        </w:tc>
        <w:tc>
          <w:tcPr>
            <w:tcW w:w="1925" w:type="dxa"/>
          </w:tcPr>
          <w:p w14:paraId="242BF5AC" w14:textId="77777777" w:rsidR="00996C9A" w:rsidRPr="00B862E8" w:rsidRDefault="00996C9A" w:rsidP="00996C9A"/>
        </w:tc>
        <w:tc>
          <w:tcPr>
            <w:tcW w:w="1629" w:type="dxa"/>
          </w:tcPr>
          <w:p w14:paraId="457C7DBC" w14:textId="77777777" w:rsidR="00996C9A" w:rsidRPr="00B862E8" w:rsidRDefault="00996C9A" w:rsidP="00996C9A"/>
        </w:tc>
        <w:tc>
          <w:tcPr>
            <w:tcW w:w="0" w:type="auto"/>
          </w:tcPr>
          <w:p w14:paraId="2B863B2A" w14:textId="040BEA9A" w:rsidR="00996C9A" w:rsidRPr="00B862E8" w:rsidRDefault="00996C9A" w:rsidP="00996C9A">
            <w:pPr>
              <w:spacing w:line="259" w:lineRule="auto"/>
            </w:pPr>
          </w:p>
        </w:tc>
      </w:tr>
      <w:tr w:rsidR="00996C9A" w:rsidRPr="00B862E8" w14:paraId="4EFD0CAE" w14:textId="77777777" w:rsidTr="00194429">
        <w:tc>
          <w:tcPr>
            <w:tcW w:w="5305" w:type="dxa"/>
            <w:hideMark/>
          </w:tcPr>
          <w:p w14:paraId="1350F670" w14:textId="77777777" w:rsidR="00B862E8" w:rsidRPr="00B862E8" w:rsidRDefault="00B862E8" w:rsidP="00996C9A">
            <w:pPr>
              <w:spacing w:line="259" w:lineRule="auto"/>
            </w:pPr>
            <w:r w:rsidRPr="00B862E8">
              <w:t> </w:t>
            </w:r>
            <w:r w:rsidRPr="00B862E8">
              <w:t>Met criteria for PTSD; OR</w:t>
            </w:r>
          </w:p>
        </w:tc>
        <w:tc>
          <w:tcPr>
            <w:tcW w:w="2430" w:type="dxa"/>
            <w:hideMark/>
          </w:tcPr>
          <w:p w14:paraId="240AE8ED" w14:textId="77777777" w:rsidR="00B862E8" w:rsidRPr="00B862E8" w:rsidRDefault="00B862E8" w:rsidP="00996C9A">
            <w:pPr>
              <w:spacing w:line="259" w:lineRule="auto"/>
            </w:pPr>
            <w:r w:rsidRPr="00B862E8">
              <w:t>1.5 [0.4, 5.8]</w:t>
            </w:r>
            <w:r w:rsidRPr="00B862E8">
              <w:br/>
            </w:r>
            <w:r w:rsidRPr="00B862E8">
              <w:rPr>
                <w:i/>
                <w:iCs/>
              </w:rPr>
              <w:t>P</w:t>
            </w:r>
            <w:r w:rsidRPr="00B862E8">
              <w:t> = 0.51</w:t>
            </w:r>
          </w:p>
        </w:tc>
        <w:tc>
          <w:tcPr>
            <w:tcW w:w="1925" w:type="dxa"/>
            <w:hideMark/>
          </w:tcPr>
          <w:p w14:paraId="51969574" w14:textId="77777777" w:rsidR="00B862E8" w:rsidRPr="00B862E8" w:rsidRDefault="00B862E8" w:rsidP="00996C9A">
            <w:pPr>
              <w:spacing w:line="259" w:lineRule="auto"/>
            </w:pPr>
            <w:r w:rsidRPr="00B862E8">
              <w:t>1.6 [0.5, 5.4]</w:t>
            </w:r>
            <w:r w:rsidRPr="00B862E8">
              <w:br/>
            </w:r>
            <w:r w:rsidRPr="00B862E8">
              <w:rPr>
                <w:i/>
                <w:iCs/>
              </w:rPr>
              <w:t>P</w:t>
            </w:r>
            <w:r w:rsidRPr="00B862E8">
              <w:t> = 0.43</w:t>
            </w:r>
          </w:p>
        </w:tc>
        <w:tc>
          <w:tcPr>
            <w:tcW w:w="1629" w:type="dxa"/>
            <w:hideMark/>
          </w:tcPr>
          <w:p w14:paraId="18F05650" w14:textId="77777777" w:rsidR="00B862E8" w:rsidRPr="00B862E8" w:rsidRDefault="00B862E8" w:rsidP="00996C9A">
            <w:pPr>
              <w:spacing w:line="259" w:lineRule="auto"/>
            </w:pPr>
            <w:r w:rsidRPr="00B862E8">
              <w:t> </w:t>
            </w:r>
          </w:p>
        </w:tc>
        <w:tc>
          <w:tcPr>
            <w:tcW w:w="0" w:type="auto"/>
            <w:hideMark/>
          </w:tcPr>
          <w:p w14:paraId="572C065D" w14:textId="77777777" w:rsidR="00B862E8" w:rsidRPr="00B862E8" w:rsidRDefault="00B862E8" w:rsidP="00996C9A">
            <w:pPr>
              <w:spacing w:line="259" w:lineRule="auto"/>
            </w:pPr>
            <w:r w:rsidRPr="00B862E8">
              <w:t> </w:t>
            </w:r>
          </w:p>
        </w:tc>
      </w:tr>
      <w:tr w:rsidR="00996C9A" w:rsidRPr="00B862E8" w14:paraId="2BA02259" w14:textId="77777777" w:rsidTr="00194429">
        <w:tc>
          <w:tcPr>
            <w:tcW w:w="5305" w:type="dxa"/>
            <w:hideMark/>
          </w:tcPr>
          <w:p w14:paraId="5CDC4274" w14:textId="77777777" w:rsidR="00B862E8" w:rsidRPr="00B862E8" w:rsidRDefault="00B862E8" w:rsidP="00996C9A">
            <w:pPr>
              <w:spacing w:line="259" w:lineRule="auto"/>
            </w:pPr>
            <w:r w:rsidRPr="00B862E8">
              <w:t> </w:t>
            </w:r>
            <w:r w:rsidRPr="00B862E8">
              <w:t>Continued or new PTSD; OR</w:t>
            </w:r>
          </w:p>
        </w:tc>
        <w:tc>
          <w:tcPr>
            <w:tcW w:w="2430" w:type="dxa"/>
            <w:hideMark/>
          </w:tcPr>
          <w:p w14:paraId="08EE54C7" w14:textId="77777777" w:rsidR="00B862E8" w:rsidRPr="00B862E8" w:rsidRDefault="00B862E8" w:rsidP="00996C9A">
            <w:pPr>
              <w:spacing w:line="259" w:lineRule="auto"/>
            </w:pPr>
            <w:r w:rsidRPr="00B862E8">
              <w:t> </w:t>
            </w:r>
          </w:p>
        </w:tc>
        <w:tc>
          <w:tcPr>
            <w:tcW w:w="1925" w:type="dxa"/>
            <w:hideMark/>
          </w:tcPr>
          <w:p w14:paraId="3A371AB4" w14:textId="77777777" w:rsidR="00B862E8" w:rsidRPr="00B862E8" w:rsidRDefault="00B862E8" w:rsidP="00996C9A">
            <w:pPr>
              <w:spacing w:line="259" w:lineRule="auto"/>
            </w:pPr>
            <w:r w:rsidRPr="00B862E8">
              <w:t> </w:t>
            </w:r>
          </w:p>
        </w:tc>
        <w:tc>
          <w:tcPr>
            <w:tcW w:w="1629" w:type="dxa"/>
            <w:hideMark/>
          </w:tcPr>
          <w:p w14:paraId="6F083F02" w14:textId="77777777" w:rsidR="00B862E8" w:rsidRPr="00B862E8" w:rsidRDefault="00B862E8" w:rsidP="00996C9A">
            <w:pPr>
              <w:spacing w:line="259" w:lineRule="auto"/>
            </w:pPr>
            <w:r w:rsidRPr="00B862E8">
              <w:t>0.3 [0.1, 1.2]</w:t>
            </w:r>
            <w:r w:rsidRPr="00B862E8">
              <w:br/>
            </w:r>
            <w:r w:rsidRPr="00B862E8">
              <w:rPr>
                <w:i/>
                <w:iCs/>
              </w:rPr>
              <w:t>P</w:t>
            </w:r>
            <w:r w:rsidRPr="00B862E8">
              <w:t> = 0.10</w:t>
            </w:r>
          </w:p>
        </w:tc>
        <w:tc>
          <w:tcPr>
            <w:tcW w:w="0" w:type="auto"/>
            <w:hideMark/>
          </w:tcPr>
          <w:p w14:paraId="2A6624D7" w14:textId="77777777" w:rsidR="00B862E8" w:rsidRPr="00B862E8" w:rsidRDefault="00B862E8" w:rsidP="00996C9A">
            <w:pPr>
              <w:spacing w:line="259" w:lineRule="auto"/>
            </w:pPr>
            <w:r w:rsidRPr="00B862E8">
              <w:t>0.3 [0.1, 1.0]</w:t>
            </w:r>
            <w:r w:rsidRPr="00B862E8">
              <w:br/>
            </w:r>
            <w:r w:rsidRPr="00B862E8">
              <w:rPr>
                <w:i/>
                <w:iCs/>
              </w:rPr>
              <w:t>P</w:t>
            </w:r>
            <w:r w:rsidRPr="00B862E8">
              <w:t> = 0.05</w:t>
            </w:r>
          </w:p>
        </w:tc>
      </w:tr>
      <w:tr w:rsidR="00996C9A" w:rsidRPr="00B862E8" w14:paraId="2EF02722" w14:textId="77777777" w:rsidTr="00194429">
        <w:tc>
          <w:tcPr>
            <w:tcW w:w="5305" w:type="dxa"/>
            <w:hideMark/>
          </w:tcPr>
          <w:p w14:paraId="3FA234CF" w14:textId="77777777" w:rsidR="00996C9A" w:rsidRPr="00B862E8" w:rsidRDefault="00996C9A" w:rsidP="00996C9A">
            <w:r w:rsidRPr="00B862E8">
              <w:rPr>
                <w:b/>
                <w:bCs/>
              </w:rPr>
              <w:t>WHODAS 2.0</w:t>
            </w:r>
          </w:p>
        </w:tc>
        <w:tc>
          <w:tcPr>
            <w:tcW w:w="2430" w:type="dxa"/>
          </w:tcPr>
          <w:p w14:paraId="4CD0C3DD" w14:textId="77777777" w:rsidR="00996C9A" w:rsidRPr="00B862E8" w:rsidRDefault="00996C9A" w:rsidP="00996C9A"/>
        </w:tc>
        <w:tc>
          <w:tcPr>
            <w:tcW w:w="1925" w:type="dxa"/>
          </w:tcPr>
          <w:p w14:paraId="7FF6C6E1" w14:textId="77777777" w:rsidR="00996C9A" w:rsidRPr="00B862E8" w:rsidRDefault="00996C9A" w:rsidP="00996C9A"/>
        </w:tc>
        <w:tc>
          <w:tcPr>
            <w:tcW w:w="1629" w:type="dxa"/>
          </w:tcPr>
          <w:p w14:paraId="39389E86" w14:textId="77777777" w:rsidR="00996C9A" w:rsidRPr="00B862E8" w:rsidRDefault="00996C9A" w:rsidP="00996C9A"/>
        </w:tc>
        <w:tc>
          <w:tcPr>
            <w:tcW w:w="0" w:type="auto"/>
          </w:tcPr>
          <w:p w14:paraId="39528CCB" w14:textId="4A19175D" w:rsidR="00996C9A" w:rsidRPr="00B862E8" w:rsidRDefault="00996C9A" w:rsidP="00996C9A">
            <w:pPr>
              <w:spacing w:line="259" w:lineRule="auto"/>
            </w:pPr>
          </w:p>
        </w:tc>
      </w:tr>
      <w:tr w:rsidR="00996C9A" w:rsidRPr="00B862E8" w14:paraId="6B7DBB52" w14:textId="77777777" w:rsidTr="00194429">
        <w:tc>
          <w:tcPr>
            <w:tcW w:w="5305" w:type="dxa"/>
            <w:hideMark/>
          </w:tcPr>
          <w:p w14:paraId="4E19FF98" w14:textId="77777777" w:rsidR="00B862E8" w:rsidRPr="00B862E8" w:rsidRDefault="00B862E8" w:rsidP="00996C9A">
            <w:pPr>
              <w:spacing w:line="259" w:lineRule="auto"/>
            </w:pPr>
            <w:r w:rsidRPr="00B862E8">
              <w:t> </w:t>
            </w:r>
            <w:r w:rsidRPr="00B862E8">
              <w:t>Total score</w:t>
            </w:r>
          </w:p>
        </w:tc>
        <w:tc>
          <w:tcPr>
            <w:tcW w:w="2430" w:type="dxa"/>
            <w:hideMark/>
          </w:tcPr>
          <w:p w14:paraId="566F458E" w14:textId="77777777" w:rsidR="00B862E8" w:rsidRPr="00B862E8" w:rsidRDefault="00B862E8" w:rsidP="00996C9A">
            <w:pPr>
              <w:spacing w:line="259" w:lineRule="auto"/>
            </w:pPr>
            <w:r w:rsidRPr="00B862E8">
              <w:t>−1.1 [−7.5, 5.2]</w:t>
            </w:r>
            <w:r w:rsidRPr="00B862E8">
              <w:br/>
            </w:r>
            <w:r w:rsidRPr="00B862E8">
              <w:rPr>
                <w:i/>
                <w:iCs/>
              </w:rPr>
              <w:t>P</w:t>
            </w:r>
            <w:r w:rsidRPr="00B862E8">
              <w:t> = 0.72</w:t>
            </w:r>
          </w:p>
        </w:tc>
        <w:tc>
          <w:tcPr>
            <w:tcW w:w="1925" w:type="dxa"/>
            <w:hideMark/>
          </w:tcPr>
          <w:p w14:paraId="05CC428A" w14:textId="77777777" w:rsidR="00B862E8" w:rsidRPr="00B862E8" w:rsidRDefault="00B862E8" w:rsidP="00996C9A">
            <w:pPr>
              <w:spacing w:line="259" w:lineRule="auto"/>
            </w:pPr>
            <w:r w:rsidRPr="00B862E8">
              <w:t>3.4 [−2.4, 9.2]</w:t>
            </w:r>
            <w:r w:rsidRPr="00B862E8">
              <w:br/>
            </w:r>
            <w:r w:rsidRPr="00B862E8">
              <w:rPr>
                <w:i/>
                <w:iCs/>
              </w:rPr>
              <w:t>P</w:t>
            </w:r>
            <w:r w:rsidRPr="00B862E8">
              <w:t> = 0.25</w:t>
            </w:r>
          </w:p>
        </w:tc>
        <w:tc>
          <w:tcPr>
            <w:tcW w:w="1629" w:type="dxa"/>
            <w:hideMark/>
          </w:tcPr>
          <w:p w14:paraId="08215578" w14:textId="77777777" w:rsidR="00B862E8" w:rsidRPr="00B862E8" w:rsidRDefault="00B862E8" w:rsidP="00996C9A">
            <w:pPr>
              <w:spacing w:line="259" w:lineRule="auto"/>
            </w:pPr>
            <w:r w:rsidRPr="00B862E8">
              <w:t> </w:t>
            </w:r>
          </w:p>
        </w:tc>
        <w:tc>
          <w:tcPr>
            <w:tcW w:w="0" w:type="auto"/>
            <w:hideMark/>
          </w:tcPr>
          <w:p w14:paraId="01D88BF4" w14:textId="77777777" w:rsidR="00B862E8" w:rsidRPr="00B862E8" w:rsidRDefault="00B862E8" w:rsidP="00996C9A">
            <w:pPr>
              <w:spacing w:line="259" w:lineRule="auto"/>
            </w:pPr>
            <w:r w:rsidRPr="00B862E8">
              <w:t> </w:t>
            </w:r>
          </w:p>
        </w:tc>
      </w:tr>
      <w:tr w:rsidR="00996C9A" w:rsidRPr="00B862E8" w14:paraId="194E83C4" w14:textId="77777777" w:rsidTr="00194429">
        <w:tc>
          <w:tcPr>
            <w:tcW w:w="5305" w:type="dxa"/>
            <w:hideMark/>
          </w:tcPr>
          <w:p w14:paraId="51883506" w14:textId="77777777" w:rsidR="00B862E8" w:rsidRPr="00B862E8" w:rsidRDefault="00B862E8" w:rsidP="00996C9A">
            <w:pPr>
              <w:spacing w:line="259" w:lineRule="auto"/>
            </w:pPr>
            <w:r w:rsidRPr="00B862E8">
              <w:t> </w:t>
            </w:r>
            <w:r w:rsidRPr="00B862E8">
              <w:t>Difference from week 2–6; score</w:t>
            </w:r>
          </w:p>
        </w:tc>
        <w:tc>
          <w:tcPr>
            <w:tcW w:w="2430" w:type="dxa"/>
            <w:hideMark/>
          </w:tcPr>
          <w:p w14:paraId="7166F7E0" w14:textId="77777777" w:rsidR="00B862E8" w:rsidRPr="00B862E8" w:rsidRDefault="00B862E8" w:rsidP="00996C9A">
            <w:pPr>
              <w:spacing w:line="259" w:lineRule="auto"/>
            </w:pPr>
            <w:r w:rsidRPr="00B862E8">
              <w:t> </w:t>
            </w:r>
          </w:p>
        </w:tc>
        <w:tc>
          <w:tcPr>
            <w:tcW w:w="1925" w:type="dxa"/>
            <w:hideMark/>
          </w:tcPr>
          <w:p w14:paraId="16403E45" w14:textId="77777777" w:rsidR="00B862E8" w:rsidRPr="00B862E8" w:rsidRDefault="00B862E8" w:rsidP="00996C9A">
            <w:pPr>
              <w:spacing w:line="259" w:lineRule="auto"/>
            </w:pPr>
            <w:r w:rsidRPr="00B862E8">
              <w:t> </w:t>
            </w:r>
          </w:p>
        </w:tc>
        <w:tc>
          <w:tcPr>
            <w:tcW w:w="1629" w:type="dxa"/>
            <w:hideMark/>
          </w:tcPr>
          <w:p w14:paraId="39A19424" w14:textId="77777777" w:rsidR="00B862E8" w:rsidRPr="00B862E8" w:rsidRDefault="00B862E8" w:rsidP="00996C9A">
            <w:pPr>
              <w:spacing w:line="259" w:lineRule="auto"/>
            </w:pPr>
            <w:r w:rsidRPr="00B862E8">
              <w:t>0.2 [−6.8, 7.1]</w:t>
            </w:r>
            <w:r w:rsidRPr="00B862E8">
              <w:br/>
            </w:r>
            <w:r w:rsidRPr="00B862E8">
              <w:rPr>
                <w:i/>
                <w:iCs/>
              </w:rPr>
              <w:t>P</w:t>
            </w:r>
            <w:r w:rsidRPr="00B862E8">
              <w:t> = 0.96</w:t>
            </w:r>
          </w:p>
        </w:tc>
        <w:tc>
          <w:tcPr>
            <w:tcW w:w="0" w:type="auto"/>
            <w:hideMark/>
          </w:tcPr>
          <w:p w14:paraId="06BCEFF7" w14:textId="77777777" w:rsidR="00B862E8" w:rsidRPr="00B862E8" w:rsidRDefault="00B862E8" w:rsidP="00996C9A">
            <w:pPr>
              <w:spacing w:line="259" w:lineRule="auto"/>
            </w:pPr>
            <w:r w:rsidRPr="00B862E8">
              <w:t>2.3 [−4.2, 8.8]</w:t>
            </w:r>
            <w:r w:rsidRPr="00B862E8">
              <w:br/>
            </w:r>
            <w:r w:rsidRPr="00B862E8">
              <w:rPr>
                <w:i/>
                <w:iCs/>
              </w:rPr>
              <w:t>P</w:t>
            </w:r>
            <w:r w:rsidRPr="00B862E8">
              <w:t> = 0.47</w:t>
            </w:r>
          </w:p>
        </w:tc>
      </w:tr>
      <w:tr w:rsidR="00996C9A" w:rsidRPr="00B862E8" w14:paraId="4B6B9EE4" w14:textId="77777777" w:rsidTr="00194429">
        <w:tc>
          <w:tcPr>
            <w:tcW w:w="5305" w:type="dxa"/>
            <w:hideMark/>
          </w:tcPr>
          <w:p w14:paraId="0AFCF96A" w14:textId="77777777" w:rsidR="00996C9A" w:rsidRPr="00B862E8" w:rsidRDefault="00996C9A" w:rsidP="00996C9A">
            <w:r w:rsidRPr="00B862E8">
              <w:rPr>
                <w:b/>
                <w:bCs/>
              </w:rPr>
              <w:t>Supplemental O2</w:t>
            </w:r>
          </w:p>
        </w:tc>
        <w:tc>
          <w:tcPr>
            <w:tcW w:w="2430" w:type="dxa"/>
          </w:tcPr>
          <w:p w14:paraId="25F9036B" w14:textId="77777777" w:rsidR="00996C9A" w:rsidRPr="00B862E8" w:rsidRDefault="00996C9A" w:rsidP="00996C9A"/>
        </w:tc>
        <w:tc>
          <w:tcPr>
            <w:tcW w:w="1925" w:type="dxa"/>
          </w:tcPr>
          <w:p w14:paraId="5D04E447" w14:textId="77777777" w:rsidR="00996C9A" w:rsidRPr="00B862E8" w:rsidRDefault="00996C9A" w:rsidP="00996C9A"/>
        </w:tc>
        <w:tc>
          <w:tcPr>
            <w:tcW w:w="1629" w:type="dxa"/>
          </w:tcPr>
          <w:p w14:paraId="1FB671C7" w14:textId="77777777" w:rsidR="00996C9A" w:rsidRPr="00B862E8" w:rsidRDefault="00996C9A" w:rsidP="00996C9A"/>
        </w:tc>
        <w:tc>
          <w:tcPr>
            <w:tcW w:w="0" w:type="auto"/>
          </w:tcPr>
          <w:p w14:paraId="7421B00B" w14:textId="1AB0C832" w:rsidR="00996C9A" w:rsidRPr="00B862E8" w:rsidRDefault="00996C9A" w:rsidP="00996C9A">
            <w:pPr>
              <w:spacing w:line="259" w:lineRule="auto"/>
            </w:pPr>
          </w:p>
        </w:tc>
      </w:tr>
      <w:tr w:rsidR="00996C9A" w:rsidRPr="00B862E8" w14:paraId="37B870A0" w14:textId="77777777" w:rsidTr="00194429">
        <w:tc>
          <w:tcPr>
            <w:tcW w:w="5305" w:type="dxa"/>
            <w:hideMark/>
          </w:tcPr>
          <w:p w14:paraId="7ABB6545" w14:textId="77777777" w:rsidR="00B862E8" w:rsidRPr="00B862E8" w:rsidRDefault="00B862E8" w:rsidP="00996C9A">
            <w:pPr>
              <w:spacing w:line="259" w:lineRule="auto"/>
            </w:pPr>
            <w:r w:rsidRPr="00B862E8">
              <w:t> </w:t>
            </w:r>
            <w:r w:rsidRPr="00B862E8">
              <w:t>Reported use; OR</w:t>
            </w:r>
          </w:p>
        </w:tc>
        <w:tc>
          <w:tcPr>
            <w:tcW w:w="2430" w:type="dxa"/>
            <w:hideMark/>
          </w:tcPr>
          <w:p w14:paraId="0228FD1C" w14:textId="77777777" w:rsidR="00B862E8" w:rsidRPr="00B862E8" w:rsidRDefault="00B862E8" w:rsidP="00996C9A">
            <w:pPr>
              <w:spacing w:line="259" w:lineRule="auto"/>
            </w:pPr>
            <w:r w:rsidRPr="00B862E8">
              <w:t>0.9 [0.3, 2.8]</w:t>
            </w:r>
            <w:r w:rsidRPr="00B862E8">
              <w:br/>
            </w:r>
            <w:r w:rsidRPr="00B862E8">
              <w:rPr>
                <w:i/>
                <w:iCs/>
              </w:rPr>
              <w:t>P</w:t>
            </w:r>
            <w:r w:rsidRPr="00B862E8">
              <w:t> = 0.91</w:t>
            </w:r>
          </w:p>
        </w:tc>
        <w:tc>
          <w:tcPr>
            <w:tcW w:w="1925" w:type="dxa"/>
            <w:hideMark/>
          </w:tcPr>
          <w:p w14:paraId="7982C428" w14:textId="77777777" w:rsidR="00B862E8" w:rsidRPr="00B862E8" w:rsidRDefault="00B862E8" w:rsidP="00996C9A">
            <w:pPr>
              <w:spacing w:line="259" w:lineRule="auto"/>
            </w:pPr>
            <w:r w:rsidRPr="00B862E8">
              <w:t>1.3 [0.5, 3.7]</w:t>
            </w:r>
            <w:r w:rsidRPr="00B862E8">
              <w:br/>
            </w:r>
            <w:r w:rsidRPr="00B862E8">
              <w:rPr>
                <w:i/>
                <w:iCs/>
              </w:rPr>
              <w:t>P</w:t>
            </w:r>
            <w:r w:rsidRPr="00B862E8">
              <w:t> = 0.61</w:t>
            </w:r>
          </w:p>
        </w:tc>
        <w:tc>
          <w:tcPr>
            <w:tcW w:w="1629" w:type="dxa"/>
            <w:hideMark/>
          </w:tcPr>
          <w:p w14:paraId="28AC1A16" w14:textId="77777777" w:rsidR="00B862E8" w:rsidRPr="00B862E8" w:rsidRDefault="00B862E8" w:rsidP="00996C9A">
            <w:pPr>
              <w:spacing w:line="259" w:lineRule="auto"/>
            </w:pPr>
            <w:r w:rsidRPr="00B862E8">
              <w:t> </w:t>
            </w:r>
          </w:p>
        </w:tc>
        <w:tc>
          <w:tcPr>
            <w:tcW w:w="0" w:type="auto"/>
            <w:hideMark/>
          </w:tcPr>
          <w:p w14:paraId="6D718998" w14:textId="77777777" w:rsidR="00B862E8" w:rsidRPr="00B862E8" w:rsidRDefault="00B862E8" w:rsidP="00996C9A">
            <w:pPr>
              <w:spacing w:line="259" w:lineRule="auto"/>
            </w:pPr>
            <w:r w:rsidRPr="00B862E8">
              <w:t> </w:t>
            </w:r>
          </w:p>
        </w:tc>
      </w:tr>
      <w:tr w:rsidR="00996C9A" w:rsidRPr="00B862E8" w14:paraId="33FA057D" w14:textId="77777777" w:rsidTr="00194429">
        <w:tc>
          <w:tcPr>
            <w:tcW w:w="5305" w:type="dxa"/>
            <w:hideMark/>
          </w:tcPr>
          <w:p w14:paraId="39C56CE3" w14:textId="77777777" w:rsidR="00B862E8" w:rsidRPr="00B862E8" w:rsidRDefault="00B862E8" w:rsidP="00996C9A">
            <w:pPr>
              <w:spacing w:line="259" w:lineRule="auto"/>
            </w:pPr>
            <w:r w:rsidRPr="00B862E8">
              <w:t> </w:t>
            </w:r>
            <w:r w:rsidRPr="00B862E8">
              <w:t>Continued or new use of supplemental O2; OR</w:t>
            </w:r>
          </w:p>
        </w:tc>
        <w:tc>
          <w:tcPr>
            <w:tcW w:w="2430" w:type="dxa"/>
            <w:hideMark/>
          </w:tcPr>
          <w:p w14:paraId="65EF143C" w14:textId="77777777" w:rsidR="00B862E8" w:rsidRPr="00B862E8" w:rsidRDefault="00B862E8" w:rsidP="00996C9A">
            <w:pPr>
              <w:spacing w:line="259" w:lineRule="auto"/>
            </w:pPr>
            <w:r w:rsidRPr="00B862E8">
              <w:t> </w:t>
            </w:r>
          </w:p>
        </w:tc>
        <w:tc>
          <w:tcPr>
            <w:tcW w:w="1925" w:type="dxa"/>
            <w:hideMark/>
          </w:tcPr>
          <w:p w14:paraId="1FE81E7C" w14:textId="77777777" w:rsidR="00B862E8" w:rsidRPr="00B862E8" w:rsidRDefault="00B862E8" w:rsidP="00996C9A">
            <w:pPr>
              <w:spacing w:line="259" w:lineRule="auto"/>
            </w:pPr>
            <w:r w:rsidRPr="00B862E8">
              <w:t> </w:t>
            </w:r>
          </w:p>
        </w:tc>
        <w:tc>
          <w:tcPr>
            <w:tcW w:w="1629" w:type="dxa"/>
            <w:hideMark/>
          </w:tcPr>
          <w:p w14:paraId="26E648F9" w14:textId="77777777" w:rsidR="00B862E8" w:rsidRPr="00B862E8" w:rsidRDefault="00B862E8" w:rsidP="00996C9A">
            <w:pPr>
              <w:spacing w:line="259" w:lineRule="auto"/>
            </w:pPr>
            <w:r w:rsidRPr="00B862E8">
              <w:t>1.7 [0.3, 13.3]</w:t>
            </w:r>
            <w:r w:rsidRPr="00B862E8">
              <w:br/>
            </w:r>
            <w:r w:rsidRPr="00B862E8">
              <w:rPr>
                <w:i/>
                <w:iCs/>
              </w:rPr>
              <w:t>P</w:t>
            </w:r>
            <w:r w:rsidRPr="00B862E8">
              <w:t> = 0.58</w:t>
            </w:r>
          </w:p>
        </w:tc>
        <w:tc>
          <w:tcPr>
            <w:tcW w:w="0" w:type="auto"/>
            <w:hideMark/>
          </w:tcPr>
          <w:p w14:paraId="6B8A4EB2" w14:textId="77777777" w:rsidR="00B862E8" w:rsidRPr="00B862E8" w:rsidRDefault="00B862E8" w:rsidP="00996C9A">
            <w:pPr>
              <w:spacing w:line="259" w:lineRule="auto"/>
            </w:pPr>
            <w:r w:rsidRPr="00B862E8">
              <w:t>2.8 [0.6, 20.0]</w:t>
            </w:r>
            <w:r w:rsidRPr="00B862E8">
              <w:br/>
            </w:r>
            <w:r w:rsidRPr="00B862E8">
              <w:rPr>
                <w:i/>
                <w:iCs/>
              </w:rPr>
              <w:t>P</w:t>
            </w:r>
            <w:r w:rsidRPr="00B862E8">
              <w:t> = 0.24</w:t>
            </w:r>
          </w:p>
        </w:tc>
      </w:tr>
      <w:tr w:rsidR="00996C9A" w:rsidRPr="00B862E8" w14:paraId="4686ED18" w14:textId="77777777" w:rsidTr="00194429">
        <w:tc>
          <w:tcPr>
            <w:tcW w:w="5305" w:type="dxa"/>
            <w:hideMark/>
          </w:tcPr>
          <w:p w14:paraId="3DF26996" w14:textId="77777777" w:rsidR="00996C9A" w:rsidRPr="00B862E8" w:rsidRDefault="00996C9A" w:rsidP="00996C9A">
            <w:r w:rsidRPr="00B862E8">
              <w:rPr>
                <w:b/>
                <w:bCs/>
              </w:rPr>
              <w:t>Activity Level</w:t>
            </w:r>
          </w:p>
        </w:tc>
        <w:tc>
          <w:tcPr>
            <w:tcW w:w="2430" w:type="dxa"/>
          </w:tcPr>
          <w:p w14:paraId="17C97D28" w14:textId="77777777" w:rsidR="00996C9A" w:rsidRPr="00B862E8" w:rsidRDefault="00996C9A" w:rsidP="00996C9A"/>
        </w:tc>
        <w:tc>
          <w:tcPr>
            <w:tcW w:w="1925" w:type="dxa"/>
          </w:tcPr>
          <w:p w14:paraId="27D31CF5" w14:textId="77777777" w:rsidR="00996C9A" w:rsidRPr="00B862E8" w:rsidRDefault="00996C9A" w:rsidP="00996C9A"/>
        </w:tc>
        <w:tc>
          <w:tcPr>
            <w:tcW w:w="1629" w:type="dxa"/>
          </w:tcPr>
          <w:p w14:paraId="690AAA09" w14:textId="77777777" w:rsidR="00996C9A" w:rsidRPr="00B862E8" w:rsidRDefault="00996C9A" w:rsidP="00996C9A"/>
        </w:tc>
        <w:tc>
          <w:tcPr>
            <w:tcW w:w="0" w:type="auto"/>
          </w:tcPr>
          <w:p w14:paraId="19B16BF2" w14:textId="25941B92" w:rsidR="00996C9A" w:rsidRPr="00B862E8" w:rsidRDefault="00996C9A" w:rsidP="00996C9A">
            <w:pPr>
              <w:spacing w:line="259" w:lineRule="auto"/>
            </w:pPr>
          </w:p>
        </w:tc>
      </w:tr>
      <w:tr w:rsidR="00996C9A" w:rsidRPr="00B862E8" w14:paraId="5CB2A6CF" w14:textId="77777777" w:rsidTr="00194429">
        <w:tc>
          <w:tcPr>
            <w:tcW w:w="5305" w:type="dxa"/>
            <w:hideMark/>
          </w:tcPr>
          <w:p w14:paraId="414284D1" w14:textId="77777777" w:rsidR="00B862E8" w:rsidRPr="00B862E8" w:rsidRDefault="00B862E8" w:rsidP="00996C9A">
            <w:pPr>
              <w:spacing w:line="259" w:lineRule="auto"/>
            </w:pPr>
            <w:r w:rsidRPr="00B862E8">
              <w:t> </w:t>
            </w:r>
            <w:r w:rsidRPr="00B862E8">
              <w:t>Did not return to pre-hospitalization exercise; OR</w:t>
            </w:r>
          </w:p>
        </w:tc>
        <w:tc>
          <w:tcPr>
            <w:tcW w:w="2430" w:type="dxa"/>
            <w:hideMark/>
          </w:tcPr>
          <w:p w14:paraId="2FEE0A43" w14:textId="77777777" w:rsidR="00B862E8" w:rsidRPr="00B862E8" w:rsidRDefault="00B862E8" w:rsidP="00996C9A">
            <w:pPr>
              <w:spacing w:line="259" w:lineRule="auto"/>
            </w:pPr>
            <w:r w:rsidRPr="00B862E8">
              <w:t> </w:t>
            </w:r>
          </w:p>
        </w:tc>
        <w:tc>
          <w:tcPr>
            <w:tcW w:w="1925" w:type="dxa"/>
            <w:hideMark/>
          </w:tcPr>
          <w:p w14:paraId="5A0C78FD" w14:textId="77777777" w:rsidR="00B862E8" w:rsidRPr="00B862E8" w:rsidRDefault="00B862E8" w:rsidP="00996C9A">
            <w:pPr>
              <w:spacing w:line="259" w:lineRule="auto"/>
            </w:pPr>
            <w:r w:rsidRPr="00B862E8">
              <w:t> </w:t>
            </w:r>
          </w:p>
        </w:tc>
        <w:tc>
          <w:tcPr>
            <w:tcW w:w="1629" w:type="dxa"/>
            <w:hideMark/>
          </w:tcPr>
          <w:p w14:paraId="2B8A7B25" w14:textId="77777777" w:rsidR="00B862E8" w:rsidRPr="00B862E8" w:rsidRDefault="00B862E8" w:rsidP="00996C9A">
            <w:pPr>
              <w:spacing w:line="259" w:lineRule="auto"/>
            </w:pPr>
            <w:r w:rsidRPr="00B862E8">
              <w:t>0.3 [0.1, 1.7]</w:t>
            </w:r>
            <w:r w:rsidRPr="00B862E8">
              <w:br/>
            </w:r>
            <w:r w:rsidRPr="00B862E8">
              <w:rPr>
                <w:i/>
                <w:iCs/>
              </w:rPr>
              <w:t>P</w:t>
            </w:r>
            <w:r w:rsidRPr="00B862E8">
              <w:t> = 0.19</w:t>
            </w:r>
          </w:p>
        </w:tc>
        <w:tc>
          <w:tcPr>
            <w:tcW w:w="0" w:type="auto"/>
            <w:hideMark/>
          </w:tcPr>
          <w:p w14:paraId="7AA3103B" w14:textId="77777777" w:rsidR="00B862E8" w:rsidRPr="00B862E8" w:rsidRDefault="00B862E8" w:rsidP="00996C9A">
            <w:pPr>
              <w:spacing w:line="259" w:lineRule="auto"/>
            </w:pPr>
            <w:r w:rsidRPr="00B862E8">
              <w:t>0.3 [0.1, 1.1]</w:t>
            </w:r>
            <w:r w:rsidRPr="00B862E8">
              <w:br/>
            </w:r>
            <w:r w:rsidRPr="00B862E8">
              <w:rPr>
                <w:i/>
                <w:iCs/>
              </w:rPr>
              <w:t>P</w:t>
            </w:r>
            <w:r w:rsidRPr="00B862E8">
              <w:t> = 0.07</w:t>
            </w:r>
          </w:p>
        </w:tc>
      </w:tr>
    </w:tbl>
    <w:p w14:paraId="4CB64B4F" w14:textId="77777777" w:rsidR="00B862E8" w:rsidRPr="00B862E8" w:rsidRDefault="00B862E8" w:rsidP="00996C9A">
      <w:r w:rsidRPr="00B862E8">
        <w:rPr>
          <w:vertAlign w:val="superscript"/>
        </w:rPr>
        <w:t>*</w:t>
      </w:r>
      <w:r w:rsidRPr="00B862E8">
        <w:t> Week 12 data used if week 18 data was unavailable</w:t>
      </w:r>
    </w:p>
    <w:p w14:paraId="1E28157C" w14:textId="77777777" w:rsidR="00B47339" w:rsidRDefault="00B47339" w:rsidP="00757C62">
      <w:pPr>
        <w:spacing w:after="0"/>
        <w:rPr>
          <w:b/>
          <w:bCs/>
        </w:rPr>
        <w:sectPr w:rsidR="00B47339" w:rsidSect="00840108">
          <w:pgSz w:w="15840" w:h="12240" w:orient="landscape"/>
          <w:pgMar w:top="1080" w:right="1080" w:bottom="1080" w:left="1080" w:header="720" w:footer="720" w:gutter="0"/>
          <w:cols w:space="720"/>
          <w:docGrid w:linePitch="360"/>
        </w:sectPr>
      </w:pPr>
    </w:p>
    <w:p w14:paraId="07C40E10" w14:textId="45D4E978" w:rsidR="0068206B" w:rsidRPr="0068206B" w:rsidRDefault="0068206B" w:rsidP="00757C62">
      <w:pPr>
        <w:spacing w:after="0"/>
      </w:pPr>
      <w:r w:rsidRPr="0068206B">
        <w:rPr>
          <w:b/>
          <w:bCs/>
        </w:rPr>
        <w:t>Table 6 Differences in impairment by pre-hospital pre-frail/frail compared to non-frail, presented as estimate (95% confidence intervals) and </w:t>
      </w:r>
      <w:r w:rsidRPr="0068206B">
        <w:rPr>
          <w:b/>
          <w:bCs/>
          <w:i/>
          <w:iCs/>
        </w:rPr>
        <w:t>p</w:t>
      </w:r>
      <w:r w:rsidRPr="0068206B">
        <w:rPr>
          <w:b/>
          <w:bCs/>
        </w:rPr>
        <w:t>-values for each outcome. Estimates that are statistically significant (p &lt; 0.05) are bolded</w:t>
      </w:r>
    </w:p>
    <w:tbl>
      <w:tblPr>
        <w:tblStyle w:val="TableGrid"/>
        <w:tblW w:w="0" w:type="auto"/>
        <w:tblLook w:val="04A0" w:firstRow="1" w:lastRow="0" w:firstColumn="1" w:lastColumn="0" w:noHBand="0" w:noVBand="1"/>
      </w:tblPr>
      <w:tblGrid>
        <w:gridCol w:w="5927"/>
        <w:gridCol w:w="2018"/>
        <w:gridCol w:w="2125"/>
      </w:tblGrid>
      <w:tr w:rsidR="0091704B" w:rsidRPr="0091704B" w14:paraId="11F4B0BC" w14:textId="77777777" w:rsidTr="00757C62">
        <w:tc>
          <w:tcPr>
            <w:tcW w:w="0" w:type="auto"/>
            <w:hideMark/>
          </w:tcPr>
          <w:p w14:paraId="2A650BA3" w14:textId="77777777" w:rsidR="0091704B" w:rsidRPr="0091704B" w:rsidRDefault="0091704B" w:rsidP="00757C62">
            <w:pPr>
              <w:spacing w:line="259" w:lineRule="auto"/>
              <w:rPr>
                <w:b/>
                <w:bCs/>
              </w:rPr>
            </w:pPr>
            <w:r w:rsidRPr="0091704B">
              <w:rPr>
                <w:b/>
                <w:bCs/>
              </w:rPr>
              <w:t>Outcome; estimate type</w:t>
            </w:r>
          </w:p>
        </w:tc>
        <w:tc>
          <w:tcPr>
            <w:tcW w:w="0" w:type="auto"/>
            <w:hideMark/>
          </w:tcPr>
          <w:p w14:paraId="017C3247" w14:textId="77777777" w:rsidR="0091704B" w:rsidRPr="0091704B" w:rsidRDefault="0091704B" w:rsidP="00757C62">
            <w:pPr>
              <w:spacing w:line="259" w:lineRule="auto"/>
              <w:rPr>
                <w:b/>
                <w:bCs/>
              </w:rPr>
            </w:pPr>
            <w:r w:rsidRPr="0091704B">
              <w:rPr>
                <w:b/>
                <w:bCs/>
              </w:rPr>
              <w:t>Baseline difference</w:t>
            </w:r>
            <w:r w:rsidRPr="0091704B">
              <w:rPr>
                <w:b/>
                <w:bCs/>
              </w:rPr>
              <w:br/>
              <w:t>Est [95% CI] </w:t>
            </w:r>
            <w:r w:rsidRPr="0091704B">
              <w:rPr>
                <w:b/>
                <w:bCs/>
                <w:i/>
                <w:iCs/>
              </w:rPr>
              <w:t>P</w:t>
            </w:r>
            <w:r w:rsidRPr="0091704B">
              <w:rPr>
                <w:b/>
                <w:bCs/>
              </w:rPr>
              <w:t>-value</w:t>
            </w:r>
          </w:p>
        </w:tc>
        <w:tc>
          <w:tcPr>
            <w:tcW w:w="0" w:type="auto"/>
            <w:hideMark/>
          </w:tcPr>
          <w:p w14:paraId="14A17AE7" w14:textId="77777777" w:rsidR="0091704B" w:rsidRPr="0091704B" w:rsidRDefault="0091704B" w:rsidP="00757C62">
            <w:pPr>
              <w:spacing w:line="259" w:lineRule="auto"/>
              <w:rPr>
                <w:b/>
                <w:bCs/>
              </w:rPr>
            </w:pPr>
            <w:r w:rsidRPr="0091704B">
              <w:rPr>
                <w:b/>
                <w:bCs/>
              </w:rPr>
              <w:t>Week 18 difference</w:t>
            </w:r>
            <w:r w:rsidRPr="0091704B">
              <w:rPr>
                <w:b/>
                <w:bCs/>
                <w:vertAlign w:val="superscript"/>
              </w:rPr>
              <w:t>*</w:t>
            </w:r>
            <w:r w:rsidRPr="0091704B">
              <w:rPr>
                <w:b/>
                <w:bCs/>
              </w:rPr>
              <w:br/>
              <w:t>Est [95% CI] </w:t>
            </w:r>
            <w:r w:rsidRPr="0091704B">
              <w:rPr>
                <w:b/>
                <w:bCs/>
                <w:i/>
                <w:iCs/>
              </w:rPr>
              <w:t>P</w:t>
            </w:r>
            <w:r w:rsidRPr="0091704B">
              <w:rPr>
                <w:b/>
                <w:bCs/>
              </w:rPr>
              <w:t>-value</w:t>
            </w:r>
          </w:p>
        </w:tc>
      </w:tr>
      <w:tr w:rsidR="00757C62" w:rsidRPr="0091704B" w14:paraId="1B9444DD" w14:textId="77777777" w:rsidTr="00757C62">
        <w:tc>
          <w:tcPr>
            <w:tcW w:w="0" w:type="auto"/>
            <w:hideMark/>
          </w:tcPr>
          <w:p w14:paraId="500017FC" w14:textId="77777777" w:rsidR="00757C62" w:rsidRPr="0091704B" w:rsidRDefault="00757C62" w:rsidP="00757C62">
            <w:r w:rsidRPr="0091704B">
              <w:rPr>
                <w:b/>
                <w:bCs/>
              </w:rPr>
              <w:t>10-Time Chair Rise Test</w:t>
            </w:r>
          </w:p>
        </w:tc>
        <w:tc>
          <w:tcPr>
            <w:tcW w:w="2018" w:type="dxa"/>
          </w:tcPr>
          <w:p w14:paraId="2EA50A5F" w14:textId="77777777" w:rsidR="00757C62" w:rsidRPr="0091704B" w:rsidRDefault="00757C62" w:rsidP="00757C62"/>
        </w:tc>
        <w:tc>
          <w:tcPr>
            <w:tcW w:w="2125" w:type="dxa"/>
          </w:tcPr>
          <w:p w14:paraId="732CDFD8" w14:textId="70CEFE56" w:rsidR="00757C62" w:rsidRPr="0091704B" w:rsidRDefault="00757C62" w:rsidP="00757C62">
            <w:pPr>
              <w:spacing w:line="259" w:lineRule="auto"/>
            </w:pPr>
          </w:p>
        </w:tc>
      </w:tr>
      <w:tr w:rsidR="0091704B" w:rsidRPr="0091704B" w14:paraId="53A33F0B" w14:textId="77777777" w:rsidTr="00757C62">
        <w:tc>
          <w:tcPr>
            <w:tcW w:w="0" w:type="auto"/>
            <w:hideMark/>
          </w:tcPr>
          <w:p w14:paraId="222296FF" w14:textId="77777777" w:rsidR="0091704B" w:rsidRPr="0091704B" w:rsidRDefault="0091704B" w:rsidP="00757C62">
            <w:pPr>
              <w:spacing w:line="259" w:lineRule="auto"/>
            </w:pPr>
            <w:r w:rsidRPr="0091704B">
              <w:t> </w:t>
            </w:r>
            <w:r w:rsidRPr="0091704B">
              <w:t>Unable to complete due to physical ability or safety concerns; OR</w:t>
            </w:r>
          </w:p>
        </w:tc>
        <w:tc>
          <w:tcPr>
            <w:tcW w:w="0" w:type="auto"/>
            <w:hideMark/>
          </w:tcPr>
          <w:p w14:paraId="24077DC5" w14:textId="77777777" w:rsidR="0091704B" w:rsidRPr="0091704B" w:rsidRDefault="0091704B" w:rsidP="00757C62">
            <w:pPr>
              <w:spacing w:line="259" w:lineRule="auto"/>
            </w:pPr>
            <w:r w:rsidRPr="0091704B">
              <w:t>1.5 [0.3, 6.4]</w:t>
            </w:r>
            <w:r w:rsidRPr="0091704B">
              <w:br/>
            </w:r>
            <w:r w:rsidRPr="0091704B">
              <w:rPr>
                <w:i/>
                <w:iCs/>
              </w:rPr>
              <w:t>P</w:t>
            </w:r>
            <w:r w:rsidRPr="0091704B">
              <w:t> = 0.58</w:t>
            </w:r>
          </w:p>
        </w:tc>
        <w:tc>
          <w:tcPr>
            <w:tcW w:w="0" w:type="auto"/>
            <w:hideMark/>
          </w:tcPr>
          <w:p w14:paraId="4E70ACD5" w14:textId="77777777" w:rsidR="0091704B" w:rsidRPr="0091704B" w:rsidRDefault="0091704B" w:rsidP="00757C62">
            <w:pPr>
              <w:spacing w:line="259" w:lineRule="auto"/>
            </w:pPr>
            <w:r w:rsidRPr="0091704B">
              <w:t> </w:t>
            </w:r>
          </w:p>
        </w:tc>
      </w:tr>
      <w:tr w:rsidR="0091704B" w:rsidRPr="0091704B" w14:paraId="5AA1AFB7" w14:textId="77777777" w:rsidTr="00757C62">
        <w:tc>
          <w:tcPr>
            <w:tcW w:w="0" w:type="auto"/>
            <w:hideMark/>
          </w:tcPr>
          <w:p w14:paraId="38B676C4" w14:textId="77777777" w:rsidR="0091704B" w:rsidRPr="0091704B" w:rsidRDefault="0091704B" w:rsidP="00757C62">
            <w:pPr>
              <w:spacing w:line="259" w:lineRule="auto"/>
            </w:pPr>
            <w:r w:rsidRPr="0091704B">
              <w:t> </w:t>
            </w:r>
            <w:r w:rsidRPr="0091704B">
              <w:t>Time to complete; seconds</w:t>
            </w:r>
          </w:p>
        </w:tc>
        <w:tc>
          <w:tcPr>
            <w:tcW w:w="0" w:type="auto"/>
            <w:hideMark/>
          </w:tcPr>
          <w:p w14:paraId="4AF71B03" w14:textId="77777777" w:rsidR="0091704B" w:rsidRPr="0091704B" w:rsidRDefault="0091704B" w:rsidP="00757C62">
            <w:pPr>
              <w:spacing w:line="259" w:lineRule="auto"/>
            </w:pPr>
            <w:r w:rsidRPr="0091704B">
              <w:t>−0.5 [−7.9, 7.0]</w:t>
            </w:r>
            <w:r w:rsidRPr="0091704B">
              <w:br/>
            </w:r>
            <w:r w:rsidRPr="0091704B">
              <w:rPr>
                <w:i/>
                <w:iCs/>
              </w:rPr>
              <w:t>P</w:t>
            </w:r>
            <w:r w:rsidRPr="0091704B">
              <w:t> = 0.90</w:t>
            </w:r>
          </w:p>
        </w:tc>
        <w:tc>
          <w:tcPr>
            <w:tcW w:w="0" w:type="auto"/>
            <w:hideMark/>
          </w:tcPr>
          <w:p w14:paraId="04D42BD1" w14:textId="77777777" w:rsidR="0091704B" w:rsidRPr="0091704B" w:rsidRDefault="0091704B" w:rsidP="00757C62">
            <w:pPr>
              <w:spacing w:line="259" w:lineRule="auto"/>
            </w:pPr>
            <w:r w:rsidRPr="0091704B">
              <w:t> </w:t>
            </w:r>
          </w:p>
        </w:tc>
      </w:tr>
      <w:tr w:rsidR="0091704B" w:rsidRPr="0091704B" w14:paraId="78B00081" w14:textId="77777777" w:rsidTr="00757C62">
        <w:tc>
          <w:tcPr>
            <w:tcW w:w="0" w:type="auto"/>
            <w:hideMark/>
          </w:tcPr>
          <w:p w14:paraId="07DEE191" w14:textId="77777777" w:rsidR="0091704B" w:rsidRPr="0091704B" w:rsidRDefault="0091704B" w:rsidP="00757C62">
            <w:pPr>
              <w:spacing w:line="259" w:lineRule="auto"/>
            </w:pPr>
            <w:r w:rsidRPr="0091704B">
              <w:t> </w:t>
            </w:r>
            <w:r w:rsidRPr="0091704B">
              <w:t>Change in time to complete from week 2/6; seconds</w:t>
            </w:r>
          </w:p>
        </w:tc>
        <w:tc>
          <w:tcPr>
            <w:tcW w:w="0" w:type="auto"/>
            <w:hideMark/>
          </w:tcPr>
          <w:p w14:paraId="0C80223D" w14:textId="77777777" w:rsidR="0091704B" w:rsidRPr="0091704B" w:rsidRDefault="0091704B" w:rsidP="00757C62">
            <w:pPr>
              <w:spacing w:line="259" w:lineRule="auto"/>
            </w:pPr>
            <w:r w:rsidRPr="0091704B">
              <w:t> </w:t>
            </w:r>
          </w:p>
        </w:tc>
        <w:tc>
          <w:tcPr>
            <w:tcW w:w="0" w:type="auto"/>
            <w:hideMark/>
          </w:tcPr>
          <w:p w14:paraId="2AAE383B" w14:textId="77777777" w:rsidR="0091704B" w:rsidRPr="0091704B" w:rsidRDefault="0091704B" w:rsidP="00757C62">
            <w:pPr>
              <w:spacing w:line="259" w:lineRule="auto"/>
            </w:pPr>
            <w:r w:rsidRPr="0091704B">
              <w:t>1.5 [−4.1, 7.1]</w:t>
            </w:r>
            <w:r w:rsidRPr="0091704B">
              <w:br/>
            </w:r>
            <w:r w:rsidRPr="0091704B">
              <w:rPr>
                <w:i/>
                <w:iCs/>
              </w:rPr>
              <w:t>P</w:t>
            </w:r>
            <w:r w:rsidRPr="0091704B">
              <w:t> = 0.59</w:t>
            </w:r>
          </w:p>
        </w:tc>
      </w:tr>
      <w:tr w:rsidR="00757C62" w:rsidRPr="0091704B" w14:paraId="71F01DB3" w14:textId="77777777" w:rsidTr="00757C62">
        <w:tc>
          <w:tcPr>
            <w:tcW w:w="0" w:type="auto"/>
            <w:hideMark/>
          </w:tcPr>
          <w:p w14:paraId="4C30A91B" w14:textId="77777777" w:rsidR="00757C62" w:rsidRPr="0091704B" w:rsidRDefault="00757C62" w:rsidP="00757C62">
            <w:r w:rsidRPr="0091704B">
              <w:rPr>
                <w:b/>
                <w:bCs/>
              </w:rPr>
              <w:t>Clinical Frailty Scale</w:t>
            </w:r>
          </w:p>
        </w:tc>
        <w:tc>
          <w:tcPr>
            <w:tcW w:w="2018" w:type="dxa"/>
          </w:tcPr>
          <w:p w14:paraId="01D44C60" w14:textId="77777777" w:rsidR="00757C62" w:rsidRPr="0091704B" w:rsidRDefault="00757C62" w:rsidP="00757C62"/>
        </w:tc>
        <w:tc>
          <w:tcPr>
            <w:tcW w:w="2125" w:type="dxa"/>
          </w:tcPr>
          <w:p w14:paraId="1310433C" w14:textId="49974B4D" w:rsidR="00757C62" w:rsidRPr="0091704B" w:rsidRDefault="00757C62" w:rsidP="00757C62">
            <w:pPr>
              <w:spacing w:line="259" w:lineRule="auto"/>
            </w:pPr>
          </w:p>
        </w:tc>
      </w:tr>
      <w:tr w:rsidR="0091704B" w:rsidRPr="0091704B" w14:paraId="5C0FD561" w14:textId="77777777" w:rsidTr="00757C62">
        <w:tc>
          <w:tcPr>
            <w:tcW w:w="0" w:type="auto"/>
            <w:hideMark/>
          </w:tcPr>
          <w:p w14:paraId="23B0521E" w14:textId="77777777" w:rsidR="0091704B" w:rsidRPr="0091704B" w:rsidRDefault="0091704B" w:rsidP="00757C62">
            <w:pPr>
              <w:spacing w:line="259" w:lineRule="auto"/>
            </w:pPr>
            <w:r w:rsidRPr="0091704B">
              <w:t> </w:t>
            </w:r>
            <w:r w:rsidRPr="0091704B">
              <w:t>Post-hospitalization reported frailty; OR</w:t>
            </w:r>
          </w:p>
        </w:tc>
        <w:tc>
          <w:tcPr>
            <w:tcW w:w="0" w:type="auto"/>
            <w:hideMark/>
          </w:tcPr>
          <w:p w14:paraId="3E4B0691" w14:textId="77777777" w:rsidR="0091704B" w:rsidRPr="0091704B" w:rsidRDefault="0091704B" w:rsidP="00757C62">
            <w:pPr>
              <w:spacing w:line="259" w:lineRule="auto"/>
            </w:pPr>
            <w:r w:rsidRPr="0091704B">
              <w:t>1.2 [0.4, 4.2]</w:t>
            </w:r>
            <w:r w:rsidRPr="0091704B">
              <w:br/>
            </w:r>
            <w:r w:rsidRPr="0091704B">
              <w:rPr>
                <w:i/>
                <w:iCs/>
              </w:rPr>
              <w:t>P</w:t>
            </w:r>
            <w:r w:rsidRPr="0091704B">
              <w:t> = 0.81</w:t>
            </w:r>
          </w:p>
        </w:tc>
        <w:tc>
          <w:tcPr>
            <w:tcW w:w="0" w:type="auto"/>
            <w:hideMark/>
          </w:tcPr>
          <w:p w14:paraId="5F47AEF5" w14:textId="77777777" w:rsidR="0091704B" w:rsidRPr="0091704B" w:rsidRDefault="0091704B" w:rsidP="00757C62">
            <w:pPr>
              <w:spacing w:line="259" w:lineRule="auto"/>
            </w:pPr>
            <w:r w:rsidRPr="0091704B">
              <w:t> </w:t>
            </w:r>
          </w:p>
        </w:tc>
      </w:tr>
      <w:tr w:rsidR="0091704B" w:rsidRPr="0091704B" w14:paraId="2F19C2A1" w14:textId="77777777" w:rsidTr="00757C62">
        <w:tc>
          <w:tcPr>
            <w:tcW w:w="0" w:type="auto"/>
            <w:hideMark/>
          </w:tcPr>
          <w:p w14:paraId="6679C50D" w14:textId="77777777" w:rsidR="0091704B" w:rsidRPr="0091704B" w:rsidRDefault="0091704B" w:rsidP="00757C62">
            <w:pPr>
              <w:spacing w:line="259" w:lineRule="auto"/>
            </w:pPr>
            <w:r w:rsidRPr="0091704B">
              <w:t> </w:t>
            </w:r>
            <w:r w:rsidRPr="0091704B">
              <w:t>Did not return to pre-hospitalization frailty; OR</w:t>
            </w:r>
          </w:p>
        </w:tc>
        <w:tc>
          <w:tcPr>
            <w:tcW w:w="0" w:type="auto"/>
            <w:hideMark/>
          </w:tcPr>
          <w:p w14:paraId="68896341" w14:textId="77777777" w:rsidR="0091704B" w:rsidRPr="0091704B" w:rsidRDefault="0091704B" w:rsidP="00757C62">
            <w:pPr>
              <w:spacing w:line="259" w:lineRule="auto"/>
            </w:pPr>
            <w:r w:rsidRPr="0091704B">
              <w:t> </w:t>
            </w:r>
          </w:p>
        </w:tc>
        <w:tc>
          <w:tcPr>
            <w:tcW w:w="0" w:type="auto"/>
            <w:hideMark/>
          </w:tcPr>
          <w:p w14:paraId="79B1A527" w14:textId="77777777" w:rsidR="0091704B" w:rsidRPr="0091704B" w:rsidRDefault="0091704B" w:rsidP="00757C62">
            <w:pPr>
              <w:spacing w:line="259" w:lineRule="auto"/>
            </w:pPr>
            <w:r w:rsidRPr="0091704B">
              <w:rPr>
                <w:b/>
                <w:bCs/>
              </w:rPr>
              <w:t>0.0 [0.0, 0.2]</w:t>
            </w:r>
            <w:r w:rsidRPr="0091704B">
              <w:br/>
            </w:r>
            <w:r w:rsidRPr="0091704B">
              <w:rPr>
                <w:b/>
                <w:bCs/>
                <w:i/>
                <w:iCs/>
              </w:rPr>
              <w:t>P</w:t>
            </w:r>
            <w:r w:rsidRPr="0091704B">
              <w:t> </w:t>
            </w:r>
            <w:r w:rsidRPr="0091704B">
              <w:rPr>
                <w:b/>
                <w:bCs/>
              </w:rPr>
              <w:t>= 0.003</w:t>
            </w:r>
          </w:p>
        </w:tc>
      </w:tr>
      <w:tr w:rsidR="00757C62" w:rsidRPr="0091704B" w14:paraId="2EE1712D" w14:textId="77777777" w:rsidTr="00757C62">
        <w:tc>
          <w:tcPr>
            <w:tcW w:w="0" w:type="auto"/>
            <w:hideMark/>
          </w:tcPr>
          <w:p w14:paraId="161C35EC" w14:textId="77777777" w:rsidR="00757C62" w:rsidRPr="0091704B" w:rsidRDefault="00757C62" w:rsidP="00757C62">
            <w:r w:rsidRPr="0091704B">
              <w:rPr>
                <w:b/>
                <w:bCs/>
              </w:rPr>
              <w:t>MRC Dyspnea Scale</w:t>
            </w:r>
          </w:p>
        </w:tc>
        <w:tc>
          <w:tcPr>
            <w:tcW w:w="2018" w:type="dxa"/>
          </w:tcPr>
          <w:p w14:paraId="534D4E63" w14:textId="77777777" w:rsidR="00757C62" w:rsidRPr="0091704B" w:rsidRDefault="00757C62" w:rsidP="00757C62"/>
        </w:tc>
        <w:tc>
          <w:tcPr>
            <w:tcW w:w="2125" w:type="dxa"/>
          </w:tcPr>
          <w:p w14:paraId="0A4C5EE7" w14:textId="6944F948" w:rsidR="00757C62" w:rsidRPr="0091704B" w:rsidRDefault="00757C62" w:rsidP="00757C62">
            <w:pPr>
              <w:spacing w:line="259" w:lineRule="auto"/>
            </w:pPr>
          </w:p>
        </w:tc>
      </w:tr>
      <w:tr w:rsidR="0091704B" w:rsidRPr="0091704B" w14:paraId="0E6A9788" w14:textId="77777777" w:rsidTr="00757C62">
        <w:tc>
          <w:tcPr>
            <w:tcW w:w="0" w:type="auto"/>
            <w:hideMark/>
          </w:tcPr>
          <w:p w14:paraId="19BF9A1A" w14:textId="77777777" w:rsidR="0091704B" w:rsidRPr="0091704B" w:rsidRDefault="0091704B" w:rsidP="00757C62">
            <w:pPr>
              <w:spacing w:line="259" w:lineRule="auto"/>
            </w:pPr>
            <w:r w:rsidRPr="0091704B">
              <w:t> </w:t>
            </w:r>
            <w:r w:rsidRPr="0091704B">
              <w:t>Too SOB to leave the house and/or SOB while dressing; OR</w:t>
            </w:r>
          </w:p>
        </w:tc>
        <w:tc>
          <w:tcPr>
            <w:tcW w:w="0" w:type="auto"/>
            <w:hideMark/>
          </w:tcPr>
          <w:p w14:paraId="6687873F" w14:textId="77777777" w:rsidR="0091704B" w:rsidRPr="0091704B" w:rsidRDefault="0091704B" w:rsidP="00757C62">
            <w:pPr>
              <w:spacing w:line="259" w:lineRule="auto"/>
            </w:pPr>
            <w:r w:rsidRPr="0091704B">
              <w:t>1.7 [0.5, 5.1]</w:t>
            </w:r>
            <w:r w:rsidRPr="0091704B">
              <w:br/>
            </w:r>
            <w:r w:rsidRPr="0091704B">
              <w:rPr>
                <w:i/>
                <w:iCs/>
              </w:rPr>
              <w:t>P</w:t>
            </w:r>
            <w:r w:rsidRPr="0091704B">
              <w:t> = 0.38</w:t>
            </w:r>
          </w:p>
        </w:tc>
        <w:tc>
          <w:tcPr>
            <w:tcW w:w="0" w:type="auto"/>
            <w:hideMark/>
          </w:tcPr>
          <w:p w14:paraId="785C77BD" w14:textId="77777777" w:rsidR="0091704B" w:rsidRPr="0091704B" w:rsidRDefault="0091704B" w:rsidP="00757C62">
            <w:pPr>
              <w:spacing w:line="259" w:lineRule="auto"/>
            </w:pPr>
            <w:r w:rsidRPr="0091704B">
              <w:t> </w:t>
            </w:r>
          </w:p>
        </w:tc>
      </w:tr>
      <w:tr w:rsidR="0091704B" w:rsidRPr="0091704B" w14:paraId="7D9291B8" w14:textId="77777777" w:rsidTr="00757C62">
        <w:tc>
          <w:tcPr>
            <w:tcW w:w="0" w:type="auto"/>
            <w:hideMark/>
          </w:tcPr>
          <w:p w14:paraId="2A43F847" w14:textId="77777777" w:rsidR="0091704B" w:rsidRPr="0091704B" w:rsidRDefault="0091704B" w:rsidP="00757C62">
            <w:pPr>
              <w:spacing w:line="259" w:lineRule="auto"/>
            </w:pPr>
            <w:r w:rsidRPr="0091704B">
              <w:t> </w:t>
            </w:r>
            <w:r w:rsidRPr="0091704B">
              <w:t>No improvement from week 2–6 answer; OR</w:t>
            </w:r>
          </w:p>
        </w:tc>
        <w:tc>
          <w:tcPr>
            <w:tcW w:w="0" w:type="auto"/>
            <w:hideMark/>
          </w:tcPr>
          <w:p w14:paraId="0C98744B" w14:textId="77777777" w:rsidR="0091704B" w:rsidRPr="0091704B" w:rsidRDefault="0091704B" w:rsidP="00757C62">
            <w:pPr>
              <w:spacing w:line="259" w:lineRule="auto"/>
            </w:pPr>
            <w:r w:rsidRPr="0091704B">
              <w:t> </w:t>
            </w:r>
          </w:p>
        </w:tc>
        <w:tc>
          <w:tcPr>
            <w:tcW w:w="0" w:type="auto"/>
            <w:hideMark/>
          </w:tcPr>
          <w:p w14:paraId="4FB21313" w14:textId="77777777" w:rsidR="0091704B" w:rsidRPr="0091704B" w:rsidRDefault="0091704B" w:rsidP="00757C62">
            <w:pPr>
              <w:spacing w:line="259" w:lineRule="auto"/>
            </w:pPr>
            <w:r w:rsidRPr="0091704B">
              <w:t>1.0 [0.3, 3.7]</w:t>
            </w:r>
            <w:r w:rsidRPr="0091704B">
              <w:br/>
            </w:r>
            <w:r w:rsidRPr="0091704B">
              <w:rPr>
                <w:i/>
                <w:iCs/>
              </w:rPr>
              <w:t>P</w:t>
            </w:r>
            <w:r w:rsidRPr="0091704B">
              <w:t> = 0.99</w:t>
            </w:r>
          </w:p>
        </w:tc>
      </w:tr>
      <w:tr w:rsidR="00757C62" w:rsidRPr="0091704B" w14:paraId="7CC446D3" w14:textId="77777777" w:rsidTr="00757C62">
        <w:tc>
          <w:tcPr>
            <w:tcW w:w="0" w:type="auto"/>
            <w:hideMark/>
          </w:tcPr>
          <w:p w14:paraId="2CAA4C96" w14:textId="77777777" w:rsidR="00757C62" w:rsidRPr="0091704B" w:rsidRDefault="00757C62" w:rsidP="00757C62">
            <w:r w:rsidRPr="0091704B">
              <w:rPr>
                <w:b/>
                <w:bCs/>
              </w:rPr>
              <w:t>IES-6</w:t>
            </w:r>
          </w:p>
        </w:tc>
        <w:tc>
          <w:tcPr>
            <w:tcW w:w="2018" w:type="dxa"/>
          </w:tcPr>
          <w:p w14:paraId="1C48E851" w14:textId="77777777" w:rsidR="00757C62" w:rsidRPr="0091704B" w:rsidRDefault="00757C62" w:rsidP="00757C62"/>
        </w:tc>
        <w:tc>
          <w:tcPr>
            <w:tcW w:w="2125" w:type="dxa"/>
          </w:tcPr>
          <w:p w14:paraId="7AED4D88" w14:textId="54F095A9" w:rsidR="00757C62" w:rsidRPr="0091704B" w:rsidRDefault="00757C62" w:rsidP="00757C62">
            <w:pPr>
              <w:spacing w:line="259" w:lineRule="auto"/>
            </w:pPr>
          </w:p>
        </w:tc>
      </w:tr>
      <w:tr w:rsidR="0091704B" w:rsidRPr="0091704B" w14:paraId="5A4BACBC" w14:textId="77777777" w:rsidTr="00757C62">
        <w:tc>
          <w:tcPr>
            <w:tcW w:w="0" w:type="auto"/>
            <w:hideMark/>
          </w:tcPr>
          <w:p w14:paraId="10DE0690" w14:textId="77777777" w:rsidR="0091704B" w:rsidRPr="0091704B" w:rsidRDefault="0091704B" w:rsidP="00757C62">
            <w:pPr>
              <w:spacing w:line="259" w:lineRule="auto"/>
            </w:pPr>
            <w:r w:rsidRPr="0091704B">
              <w:t> </w:t>
            </w:r>
            <w:r w:rsidRPr="0091704B">
              <w:t>Met criteria for PTSD; OR</w:t>
            </w:r>
          </w:p>
        </w:tc>
        <w:tc>
          <w:tcPr>
            <w:tcW w:w="0" w:type="auto"/>
            <w:hideMark/>
          </w:tcPr>
          <w:p w14:paraId="30AE8A2C" w14:textId="77777777" w:rsidR="0091704B" w:rsidRPr="0091704B" w:rsidRDefault="0091704B" w:rsidP="00757C62">
            <w:pPr>
              <w:spacing w:line="259" w:lineRule="auto"/>
            </w:pPr>
            <w:r w:rsidRPr="0091704B">
              <w:t>0.6 [0.2, 1.6]</w:t>
            </w:r>
            <w:r w:rsidRPr="0091704B">
              <w:br/>
            </w:r>
            <w:r w:rsidRPr="0091704B">
              <w:rPr>
                <w:i/>
                <w:iCs/>
              </w:rPr>
              <w:t>P</w:t>
            </w:r>
            <w:r w:rsidRPr="0091704B">
              <w:t> = 0.28</w:t>
            </w:r>
          </w:p>
        </w:tc>
        <w:tc>
          <w:tcPr>
            <w:tcW w:w="0" w:type="auto"/>
            <w:hideMark/>
          </w:tcPr>
          <w:p w14:paraId="32F774E1" w14:textId="77777777" w:rsidR="0091704B" w:rsidRPr="0091704B" w:rsidRDefault="0091704B" w:rsidP="00757C62">
            <w:pPr>
              <w:spacing w:line="259" w:lineRule="auto"/>
            </w:pPr>
            <w:r w:rsidRPr="0091704B">
              <w:t> </w:t>
            </w:r>
          </w:p>
        </w:tc>
      </w:tr>
      <w:tr w:rsidR="0091704B" w:rsidRPr="0091704B" w14:paraId="1C8ED2FD" w14:textId="77777777" w:rsidTr="00757C62">
        <w:tc>
          <w:tcPr>
            <w:tcW w:w="0" w:type="auto"/>
            <w:hideMark/>
          </w:tcPr>
          <w:p w14:paraId="242E8FB3" w14:textId="77777777" w:rsidR="0091704B" w:rsidRPr="0091704B" w:rsidRDefault="0091704B" w:rsidP="00757C62">
            <w:pPr>
              <w:spacing w:line="259" w:lineRule="auto"/>
            </w:pPr>
            <w:r w:rsidRPr="0091704B">
              <w:t> </w:t>
            </w:r>
            <w:r w:rsidRPr="0091704B">
              <w:t>Continued or new PTSD; OR</w:t>
            </w:r>
          </w:p>
        </w:tc>
        <w:tc>
          <w:tcPr>
            <w:tcW w:w="0" w:type="auto"/>
            <w:hideMark/>
          </w:tcPr>
          <w:p w14:paraId="294B92FB" w14:textId="77777777" w:rsidR="0091704B" w:rsidRPr="0091704B" w:rsidRDefault="0091704B" w:rsidP="00757C62">
            <w:pPr>
              <w:spacing w:line="259" w:lineRule="auto"/>
            </w:pPr>
            <w:r w:rsidRPr="0091704B">
              <w:t> </w:t>
            </w:r>
          </w:p>
        </w:tc>
        <w:tc>
          <w:tcPr>
            <w:tcW w:w="0" w:type="auto"/>
            <w:hideMark/>
          </w:tcPr>
          <w:p w14:paraId="53526F90" w14:textId="77777777" w:rsidR="0091704B" w:rsidRPr="0091704B" w:rsidRDefault="0091704B" w:rsidP="00757C62">
            <w:pPr>
              <w:spacing w:line="259" w:lineRule="auto"/>
            </w:pPr>
            <w:r w:rsidRPr="0091704B">
              <w:t>0.7 [0.1, 2.8]</w:t>
            </w:r>
            <w:r w:rsidRPr="0091704B">
              <w:br/>
            </w:r>
            <w:r w:rsidRPr="0091704B">
              <w:rPr>
                <w:i/>
                <w:iCs/>
              </w:rPr>
              <w:t>P</w:t>
            </w:r>
            <w:r w:rsidRPr="0091704B">
              <w:t> = 0.64</w:t>
            </w:r>
          </w:p>
        </w:tc>
      </w:tr>
      <w:tr w:rsidR="00757C62" w:rsidRPr="0091704B" w14:paraId="0B13717A" w14:textId="77777777" w:rsidTr="00757C62">
        <w:tc>
          <w:tcPr>
            <w:tcW w:w="0" w:type="auto"/>
            <w:hideMark/>
          </w:tcPr>
          <w:p w14:paraId="3EFA0DDE" w14:textId="77777777" w:rsidR="00757C62" w:rsidRPr="0091704B" w:rsidRDefault="00757C62" w:rsidP="00757C62">
            <w:r w:rsidRPr="0091704B">
              <w:rPr>
                <w:b/>
                <w:bCs/>
              </w:rPr>
              <w:t>WHODAS 2.0</w:t>
            </w:r>
          </w:p>
        </w:tc>
        <w:tc>
          <w:tcPr>
            <w:tcW w:w="2018" w:type="dxa"/>
          </w:tcPr>
          <w:p w14:paraId="19F2C4FC" w14:textId="77777777" w:rsidR="00757C62" w:rsidRPr="0091704B" w:rsidRDefault="00757C62" w:rsidP="00757C62"/>
        </w:tc>
        <w:tc>
          <w:tcPr>
            <w:tcW w:w="2125" w:type="dxa"/>
          </w:tcPr>
          <w:p w14:paraId="2E40E810" w14:textId="3277F4E0" w:rsidR="00757C62" w:rsidRPr="0091704B" w:rsidRDefault="00757C62" w:rsidP="00757C62">
            <w:pPr>
              <w:spacing w:line="259" w:lineRule="auto"/>
            </w:pPr>
          </w:p>
        </w:tc>
      </w:tr>
      <w:tr w:rsidR="0091704B" w:rsidRPr="0091704B" w14:paraId="4D4139D1" w14:textId="77777777" w:rsidTr="00757C62">
        <w:tc>
          <w:tcPr>
            <w:tcW w:w="0" w:type="auto"/>
            <w:hideMark/>
          </w:tcPr>
          <w:p w14:paraId="03F509A0" w14:textId="77777777" w:rsidR="0091704B" w:rsidRPr="0091704B" w:rsidRDefault="0091704B" w:rsidP="00757C62">
            <w:pPr>
              <w:spacing w:line="259" w:lineRule="auto"/>
            </w:pPr>
            <w:r w:rsidRPr="0091704B">
              <w:t> </w:t>
            </w:r>
            <w:r w:rsidRPr="0091704B">
              <w:t>Total score</w:t>
            </w:r>
          </w:p>
        </w:tc>
        <w:tc>
          <w:tcPr>
            <w:tcW w:w="0" w:type="auto"/>
            <w:hideMark/>
          </w:tcPr>
          <w:p w14:paraId="6A7EEA5B" w14:textId="77777777" w:rsidR="0091704B" w:rsidRPr="0091704B" w:rsidRDefault="0091704B" w:rsidP="00757C62">
            <w:pPr>
              <w:spacing w:line="259" w:lineRule="auto"/>
            </w:pPr>
            <w:r w:rsidRPr="0091704B">
              <w:t>−0.5 [−5.4, 4.4]</w:t>
            </w:r>
            <w:r w:rsidRPr="0091704B">
              <w:br/>
            </w:r>
            <w:r w:rsidRPr="0091704B">
              <w:rPr>
                <w:i/>
                <w:iCs/>
              </w:rPr>
              <w:t>P</w:t>
            </w:r>
            <w:r w:rsidRPr="0091704B">
              <w:t> = 0.84</w:t>
            </w:r>
          </w:p>
        </w:tc>
        <w:tc>
          <w:tcPr>
            <w:tcW w:w="0" w:type="auto"/>
            <w:hideMark/>
          </w:tcPr>
          <w:p w14:paraId="21F19DD8" w14:textId="77777777" w:rsidR="0091704B" w:rsidRPr="0091704B" w:rsidRDefault="0091704B" w:rsidP="00757C62">
            <w:pPr>
              <w:spacing w:line="259" w:lineRule="auto"/>
            </w:pPr>
            <w:r w:rsidRPr="0091704B">
              <w:t> </w:t>
            </w:r>
          </w:p>
        </w:tc>
      </w:tr>
      <w:tr w:rsidR="0091704B" w:rsidRPr="0091704B" w14:paraId="166D484C" w14:textId="77777777" w:rsidTr="00757C62">
        <w:tc>
          <w:tcPr>
            <w:tcW w:w="0" w:type="auto"/>
            <w:hideMark/>
          </w:tcPr>
          <w:p w14:paraId="5A53D24D" w14:textId="77777777" w:rsidR="0091704B" w:rsidRPr="0091704B" w:rsidRDefault="0091704B" w:rsidP="00757C62">
            <w:pPr>
              <w:spacing w:line="259" w:lineRule="auto"/>
            </w:pPr>
            <w:r w:rsidRPr="0091704B">
              <w:t> </w:t>
            </w:r>
            <w:r w:rsidRPr="0091704B">
              <w:t>Difference from week 2–6; score</w:t>
            </w:r>
          </w:p>
        </w:tc>
        <w:tc>
          <w:tcPr>
            <w:tcW w:w="0" w:type="auto"/>
            <w:hideMark/>
          </w:tcPr>
          <w:p w14:paraId="5CB7C9D5" w14:textId="77777777" w:rsidR="0091704B" w:rsidRPr="0091704B" w:rsidRDefault="0091704B" w:rsidP="00757C62">
            <w:pPr>
              <w:spacing w:line="259" w:lineRule="auto"/>
            </w:pPr>
            <w:r w:rsidRPr="0091704B">
              <w:t> </w:t>
            </w:r>
          </w:p>
        </w:tc>
        <w:tc>
          <w:tcPr>
            <w:tcW w:w="0" w:type="auto"/>
            <w:hideMark/>
          </w:tcPr>
          <w:p w14:paraId="11C6E5DF" w14:textId="77777777" w:rsidR="0091704B" w:rsidRPr="0091704B" w:rsidRDefault="0091704B" w:rsidP="00757C62">
            <w:pPr>
              <w:spacing w:line="259" w:lineRule="auto"/>
            </w:pPr>
            <w:r w:rsidRPr="0091704B">
              <w:t>−2.2 [−7.8, 3.5]</w:t>
            </w:r>
            <w:r w:rsidRPr="0091704B">
              <w:br/>
            </w:r>
            <w:r w:rsidRPr="0091704B">
              <w:rPr>
                <w:i/>
                <w:iCs/>
              </w:rPr>
              <w:t>P</w:t>
            </w:r>
            <w:r w:rsidRPr="0091704B">
              <w:t> = 0.45</w:t>
            </w:r>
          </w:p>
        </w:tc>
      </w:tr>
      <w:tr w:rsidR="00757C62" w:rsidRPr="0091704B" w14:paraId="0A328985" w14:textId="77777777" w:rsidTr="00757C62">
        <w:tc>
          <w:tcPr>
            <w:tcW w:w="0" w:type="auto"/>
            <w:hideMark/>
          </w:tcPr>
          <w:p w14:paraId="378C935A" w14:textId="77777777" w:rsidR="00757C62" w:rsidRPr="0091704B" w:rsidRDefault="00757C62" w:rsidP="00757C62">
            <w:r w:rsidRPr="0091704B">
              <w:rPr>
                <w:b/>
                <w:bCs/>
              </w:rPr>
              <w:t>Supplemental O2</w:t>
            </w:r>
          </w:p>
        </w:tc>
        <w:tc>
          <w:tcPr>
            <w:tcW w:w="2018" w:type="dxa"/>
          </w:tcPr>
          <w:p w14:paraId="26FDA7A8" w14:textId="77777777" w:rsidR="00757C62" w:rsidRPr="0091704B" w:rsidRDefault="00757C62" w:rsidP="00757C62"/>
        </w:tc>
        <w:tc>
          <w:tcPr>
            <w:tcW w:w="2125" w:type="dxa"/>
          </w:tcPr>
          <w:p w14:paraId="797B4C7E" w14:textId="6B8A6689" w:rsidR="00757C62" w:rsidRPr="0091704B" w:rsidRDefault="00757C62" w:rsidP="00757C62">
            <w:pPr>
              <w:spacing w:line="259" w:lineRule="auto"/>
            </w:pPr>
          </w:p>
        </w:tc>
      </w:tr>
      <w:tr w:rsidR="0091704B" w:rsidRPr="0091704B" w14:paraId="708A9CD3" w14:textId="77777777" w:rsidTr="00757C62">
        <w:tc>
          <w:tcPr>
            <w:tcW w:w="0" w:type="auto"/>
            <w:hideMark/>
          </w:tcPr>
          <w:p w14:paraId="4FD25DA6" w14:textId="77777777" w:rsidR="0091704B" w:rsidRPr="0091704B" w:rsidRDefault="0091704B" w:rsidP="00757C62">
            <w:pPr>
              <w:spacing w:line="259" w:lineRule="auto"/>
            </w:pPr>
            <w:r w:rsidRPr="0091704B">
              <w:t> </w:t>
            </w:r>
            <w:r w:rsidRPr="0091704B">
              <w:t>Reported use; OR</w:t>
            </w:r>
          </w:p>
        </w:tc>
        <w:tc>
          <w:tcPr>
            <w:tcW w:w="0" w:type="auto"/>
            <w:hideMark/>
          </w:tcPr>
          <w:p w14:paraId="545F9B32" w14:textId="77777777" w:rsidR="0091704B" w:rsidRPr="0091704B" w:rsidRDefault="0091704B" w:rsidP="00757C62">
            <w:pPr>
              <w:spacing w:line="259" w:lineRule="auto"/>
            </w:pPr>
            <w:r w:rsidRPr="0091704B">
              <w:t>1.6 [0.6, 4.5]</w:t>
            </w:r>
            <w:r w:rsidRPr="0091704B">
              <w:br/>
            </w:r>
            <w:r w:rsidRPr="0091704B">
              <w:rPr>
                <w:i/>
                <w:iCs/>
              </w:rPr>
              <w:t>P</w:t>
            </w:r>
            <w:r w:rsidRPr="0091704B">
              <w:t> = 0.56</w:t>
            </w:r>
          </w:p>
        </w:tc>
        <w:tc>
          <w:tcPr>
            <w:tcW w:w="0" w:type="auto"/>
            <w:hideMark/>
          </w:tcPr>
          <w:p w14:paraId="72D1AA99" w14:textId="77777777" w:rsidR="0091704B" w:rsidRPr="0091704B" w:rsidRDefault="0091704B" w:rsidP="00757C62">
            <w:pPr>
              <w:spacing w:line="259" w:lineRule="auto"/>
            </w:pPr>
            <w:r w:rsidRPr="0091704B">
              <w:t> </w:t>
            </w:r>
          </w:p>
        </w:tc>
      </w:tr>
      <w:tr w:rsidR="0091704B" w:rsidRPr="0091704B" w14:paraId="6BD1E2BC" w14:textId="77777777" w:rsidTr="00757C62">
        <w:tc>
          <w:tcPr>
            <w:tcW w:w="0" w:type="auto"/>
            <w:hideMark/>
          </w:tcPr>
          <w:p w14:paraId="10AF4490" w14:textId="77777777" w:rsidR="0091704B" w:rsidRPr="0091704B" w:rsidRDefault="0091704B" w:rsidP="00757C62">
            <w:pPr>
              <w:spacing w:line="259" w:lineRule="auto"/>
            </w:pPr>
            <w:r w:rsidRPr="0091704B">
              <w:t> </w:t>
            </w:r>
            <w:r w:rsidRPr="0091704B">
              <w:t>Continued or new use of supplemental O2; OR</w:t>
            </w:r>
          </w:p>
        </w:tc>
        <w:tc>
          <w:tcPr>
            <w:tcW w:w="0" w:type="auto"/>
            <w:hideMark/>
          </w:tcPr>
          <w:p w14:paraId="2EE6102C" w14:textId="77777777" w:rsidR="0091704B" w:rsidRPr="0091704B" w:rsidRDefault="0091704B" w:rsidP="00757C62">
            <w:pPr>
              <w:spacing w:line="259" w:lineRule="auto"/>
            </w:pPr>
            <w:r w:rsidRPr="0091704B">
              <w:t> </w:t>
            </w:r>
          </w:p>
        </w:tc>
        <w:tc>
          <w:tcPr>
            <w:tcW w:w="0" w:type="auto"/>
            <w:hideMark/>
          </w:tcPr>
          <w:p w14:paraId="4B0722E1" w14:textId="77777777" w:rsidR="0091704B" w:rsidRPr="0091704B" w:rsidRDefault="0091704B" w:rsidP="00757C62">
            <w:pPr>
              <w:spacing w:line="259" w:lineRule="auto"/>
            </w:pPr>
            <w:r w:rsidRPr="0091704B">
              <w:rPr>
                <w:b/>
                <w:bCs/>
              </w:rPr>
              <w:t>5.6 [1.4, 23.7]</w:t>
            </w:r>
            <w:r w:rsidRPr="0091704B">
              <w:br/>
            </w:r>
            <w:r w:rsidRPr="0091704B">
              <w:rPr>
                <w:b/>
                <w:bCs/>
                <w:i/>
                <w:iCs/>
              </w:rPr>
              <w:t>P</w:t>
            </w:r>
            <w:r w:rsidRPr="0091704B">
              <w:t> = </w:t>
            </w:r>
            <w:r w:rsidRPr="0091704B">
              <w:rPr>
                <w:b/>
                <w:bCs/>
              </w:rPr>
              <w:t>0.02</w:t>
            </w:r>
          </w:p>
        </w:tc>
      </w:tr>
      <w:tr w:rsidR="00757C62" w:rsidRPr="0091704B" w14:paraId="4B89F8FA" w14:textId="77777777" w:rsidTr="00757C62">
        <w:tc>
          <w:tcPr>
            <w:tcW w:w="0" w:type="auto"/>
            <w:hideMark/>
          </w:tcPr>
          <w:p w14:paraId="27003773" w14:textId="77777777" w:rsidR="00757C62" w:rsidRPr="0091704B" w:rsidRDefault="00757C62" w:rsidP="00757C62">
            <w:r w:rsidRPr="0091704B">
              <w:rPr>
                <w:b/>
                <w:bCs/>
              </w:rPr>
              <w:t>Activity Level</w:t>
            </w:r>
          </w:p>
        </w:tc>
        <w:tc>
          <w:tcPr>
            <w:tcW w:w="2018" w:type="dxa"/>
          </w:tcPr>
          <w:p w14:paraId="4E5C00CE" w14:textId="77777777" w:rsidR="00757C62" w:rsidRPr="0091704B" w:rsidRDefault="00757C62" w:rsidP="00757C62"/>
        </w:tc>
        <w:tc>
          <w:tcPr>
            <w:tcW w:w="2125" w:type="dxa"/>
          </w:tcPr>
          <w:p w14:paraId="6DF42DB2" w14:textId="5F1E4314" w:rsidR="00757C62" w:rsidRPr="0091704B" w:rsidRDefault="00757C62" w:rsidP="00757C62">
            <w:pPr>
              <w:spacing w:line="259" w:lineRule="auto"/>
            </w:pPr>
          </w:p>
        </w:tc>
      </w:tr>
      <w:tr w:rsidR="0091704B" w:rsidRPr="0091704B" w14:paraId="5E5B07AD" w14:textId="77777777" w:rsidTr="00757C62">
        <w:tc>
          <w:tcPr>
            <w:tcW w:w="0" w:type="auto"/>
            <w:hideMark/>
          </w:tcPr>
          <w:p w14:paraId="07217DA5" w14:textId="77777777" w:rsidR="0091704B" w:rsidRPr="0091704B" w:rsidRDefault="0091704B" w:rsidP="00757C62">
            <w:pPr>
              <w:spacing w:line="259" w:lineRule="auto"/>
            </w:pPr>
            <w:r w:rsidRPr="0091704B">
              <w:t> </w:t>
            </w:r>
            <w:r w:rsidRPr="0091704B">
              <w:t>Did not return to pre-hospitalization exercise; OR</w:t>
            </w:r>
          </w:p>
        </w:tc>
        <w:tc>
          <w:tcPr>
            <w:tcW w:w="0" w:type="auto"/>
            <w:hideMark/>
          </w:tcPr>
          <w:p w14:paraId="2ADDC8DB" w14:textId="77777777" w:rsidR="0091704B" w:rsidRPr="0091704B" w:rsidRDefault="0091704B" w:rsidP="00757C62">
            <w:pPr>
              <w:spacing w:line="259" w:lineRule="auto"/>
            </w:pPr>
            <w:r w:rsidRPr="0091704B">
              <w:t> </w:t>
            </w:r>
          </w:p>
        </w:tc>
        <w:tc>
          <w:tcPr>
            <w:tcW w:w="0" w:type="auto"/>
            <w:hideMark/>
          </w:tcPr>
          <w:p w14:paraId="196F4FF4" w14:textId="77777777" w:rsidR="0091704B" w:rsidRPr="0091704B" w:rsidRDefault="0091704B" w:rsidP="00757C62">
            <w:pPr>
              <w:spacing w:line="259" w:lineRule="auto"/>
            </w:pPr>
            <w:r w:rsidRPr="0091704B">
              <w:rPr>
                <w:b/>
                <w:bCs/>
              </w:rPr>
              <w:t>0.2 [0.0, 0.8]</w:t>
            </w:r>
            <w:r w:rsidRPr="0091704B">
              <w:br/>
            </w:r>
            <w:r w:rsidRPr="0091704B">
              <w:rPr>
                <w:b/>
                <w:bCs/>
                <w:i/>
                <w:iCs/>
              </w:rPr>
              <w:t>P</w:t>
            </w:r>
            <w:r w:rsidRPr="0091704B">
              <w:t> </w:t>
            </w:r>
            <w:r w:rsidRPr="0091704B">
              <w:rPr>
                <w:b/>
                <w:bCs/>
              </w:rPr>
              <w:t>= 0.048</w:t>
            </w:r>
          </w:p>
        </w:tc>
      </w:tr>
    </w:tbl>
    <w:p w14:paraId="65424EFD" w14:textId="77777777" w:rsidR="0091704B" w:rsidRPr="0091704B" w:rsidRDefault="0091704B" w:rsidP="00757C62">
      <w:r w:rsidRPr="0091704B">
        <w:rPr>
          <w:vertAlign w:val="superscript"/>
        </w:rPr>
        <w:t>*</w:t>
      </w:r>
      <w:r w:rsidRPr="0091704B">
        <w:t> Week 12 data used if week 18 data was unavailable</w:t>
      </w:r>
    </w:p>
    <w:p w14:paraId="746FB3FF" w14:textId="6BFEFAF1" w:rsidR="0068206B" w:rsidRPr="0068206B" w:rsidRDefault="0068206B" w:rsidP="0068206B">
      <w:r w:rsidRPr="0068206B">
        <w:t>Among the 44 participants with 10-time chair rise test at more than one time point, 89% (39/44) improved, whereas 11% (5/44) had the same or worse time. On average, participants had a decrease (i.e., improvement) of 6.0 s (95% CI: 4.1, 7.9 s; </w:t>
      </w:r>
      <w:r w:rsidRPr="0068206B">
        <w:rPr>
          <w:i/>
          <w:iCs/>
        </w:rPr>
        <w:t>p</w:t>
      </w:r>
      <w:r w:rsidRPr="0068206B">
        <w:t> &lt; 0.001). Those aged 60 or older tended (</w:t>
      </w:r>
      <w:r w:rsidRPr="0068206B">
        <w:rPr>
          <w:i/>
          <w:iCs/>
        </w:rPr>
        <w:t>p</w:t>
      </w:r>
      <w:r w:rsidRPr="0068206B">
        <w:t> = 0.05) to improve more than those under age 45 years (Table </w:t>
      </w:r>
      <w:r w:rsidRPr="00650AE9">
        <w:t>5</w:t>
      </w:r>
      <w:r w:rsidRPr="0068206B">
        <w:t>).</w:t>
      </w:r>
    </w:p>
    <w:p w14:paraId="7C5922A3" w14:textId="77777777" w:rsidR="0068206B" w:rsidRPr="0068206B" w:rsidRDefault="0068206B" w:rsidP="00185B4E">
      <w:pPr>
        <w:pStyle w:val="Heading3"/>
      </w:pPr>
      <w:r w:rsidRPr="0068206B">
        <w:t>Patient reported outcome measures</w:t>
      </w:r>
    </w:p>
    <w:p w14:paraId="0292C1BA" w14:textId="77777777" w:rsidR="0068206B" w:rsidRPr="0068206B" w:rsidRDefault="0068206B" w:rsidP="00185B4E">
      <w:pPr>
        <w:pStyle w:val="Heading4"/>
      </w:pPr>
      <w:r w:rsidRPr="0068206B">
        <w:t>Clinical frailty scale</w:t>
      </w:r>
    </w:p>
    <w:p w14:paraId="531EAF72" w14:textId="37BDF539" w:rsidR="0068206B" w:rsidRPr="0068206B" w:rsidRDefault="0068206B" w:rsidP="0068206B">
      <w:r w:rsidRPr="0068206B">
        <w:t>Seventy participants reported pre-hospitalization frailty levels, with 66% (46/70) self-identifying as non-frail (i.e., ‘very fit’ or ‘well’). At weeks 2–6, only 33% (21/64) of respondents had returned to their pre-hospitalization frailty classification (Fig. </w:t>
      </w:r>
      <w:r w:rsidRPr="00650AE9">
        <w:t>2</w:t>
      </w:r>
      <w:r w:rsidRPr="0068206B">
        <w:t>; Table </w:t>
      </w:r>
      <w:r w:rsidRPr="00650AE9">
        <w:t>2</w:t>
      </w:r>
      <w:r w:rsidRPr="0068206B">
        <w:t>). Post-hospitalization frailty (categorical) at weeks 2–6 did not differ by sex, categorical age, or race/ethnicity.</w:t>
      </w:r>
    </w:p>
    <w:p w14:paraId="63A66A2C" w14:textId="32DC3C3D" w:rsidR="0068206B" w:rsidRPr="0068206B" w:rsidRDefault="0068206B" w:rsidP="00185B4E">
      <w:pPr>
        <w:pStyle w:val="NoSpacing"/>
      </w:pPr>
      <w:r w:rsidRPr="0068206B">
        <w:rPr>
          <w:noProof/>
        </w:rPr>
        <w:drawing>
          <wp:inline distT="0" distB="0" distL="0" distR="0" wp14:anchorId="4D65CA3D" wp14:editId="2BE24E37">
            <wp:extent cx="3657600" cy="2020824"/>
            <wp:effectExtent l="0" t="0" r="0" b="0"/>
            <wp:docPr id="2" name="Picture 2" descr="figure 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2">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57600" cy="2020824"/>
                    </a:xfrm>
                    <a:prstGeom prst="rect">
                      <a:avLst/>
                    </a:prstGeom>
                    <a:noFill/>
                    <a:ln>
                      <a:noFill/>
                    </a:ln>
                  </pic:spPr>
                </pic:pic>
              </a:graphicData>
            </a:graphic>
          </wp:inline>
        </w:drawing>
      </w:r>
    </w:p>
    <w:p w14:paraId="02440283" w14:textId="4DC33545" w:rsidR="0068206B" w:rsidRPr="0068206B" w:rsidRDefault="00185B4E" w:rsidP="00185B4E">
      <w:pPr>
        <w:pStyle w:val="NoSpacing"/>
      </w:pPr>
      <w:r w:rsidRPr="0068206B">
        <w:rPr>
          <w:b/>
          <w:bCs/>
        </w:rPr>
        <w:t>Fig. 2</w:t>
      </w:r>
      <w:r>
        <w:rPr>
          <w:b/>
          <w:bCs/>
        </w:rPr>
        <w:t xml:space="preserve"> </w:t>
      </w:r>
      <w:r w:rsidR="0068206B" w:rsidRPr="0068206B">
        <w:t>Self-reported post-hospitalization frailty compared to pre-hospitalization frailty by time point. The reference line indicates agreement between pre- and post- hospital assessment: points above the line indicate post-hospital assessment was better than pre-hospital assessment whereas points below the line indicate post-hospital assessment was worse</w:t>
      </w:r>
    </w:p>
    <w:p w14:paraId="211272AA" w14:textId="77777777" w:rsidR="00185B4E" w:rsidRDefault="00185B4E" w:rsidP="0068206B"/>
    <w:p w14:paraId="3F87D71D" w14:textId="456319A8" w:rsidR="0068206B" w:rsidRPr="0068206B" w:rsidRDefault="0068206B" w:rsidP="0068206B">
      <w:r w:rsidRPr="0068206B">
        <w:t>Of the 46 participants who identified as non-frail prior to their COVID-19-hospitalization, 83% (38/46) reported Clinical Frailty Scale scores consistent with new pre-frailty or frailty at one or more time point post-hospitalization. Of 59 participants who reported frailty information at week 18 (or week 12 if missing), 22% (13/59) improved, 36% (21/59) were unchanged, and 42% (25/59) reported worse frailty scores as compared to their reported pre-hospitalization baseline. Participants who did not return to their pre-hospitalization state were 3.4 times more likely to be female (Table </w:t>
      </w:r>
      <w:r w:rsidRPr="00650AE9">
        <w:t>3</w:t>
      </w:r>
      <w:r w:rsidRPr="0068206B">
        <w:t>), were more likely to report being well or very-well prior to their hospitalization (Table </w:t>
      </w:r>
      <w:r w:rsidRPr="00650AE9">
        <w:t>6</w:t>
      </w:r>
      <w:r w:rsidRPr="0068206B">
        <w:t>), and tended to be younger (Table </w:t>
      </w:r>
      <w:r w:rsidRPr="00650AE9">
        <w:t>5</w:t>
      </w:r>
      <w:r w:rsidRPr="0068206B">
        <w:t>).</w:t>
      </w:r>
    </w:p>
    <w:p w14:paraId="59545575" w14:textId="77777777" w:rsidR="0068206B" w:rsidRPr="0068206B" w:rsidRDefault="0068206B" w:rsidP="00185B4E">
      <w:pPr>
        <w:pStyle w:val="Heading2"/>
      </w:pPr>
      <w:r w:rsidRPr="0068206B">
        <w:t>Secondary outcome measures</w:t>
      </w:r>
    </w:p>
    <w:p w14:paraId="135F4392" w14:textId="57B69791" w:rsidR="0068206B" w:rsidRPr="0068206B" w:rsidRDefault="0068206B" w:rsidP="0068206B">
      <w:r w:rsidRPr="0068206B">
        <w:t>Secondary outcome measures (Table </w:t>
      </w:r>
      <w:r w:rsidRPr="00650AE9">
        <w:t>2</w:t>
      </w:r>
      <w:r w:rsidRPr="0068206B">
        <w:t>), including the MRC Dyspnea Scale, WHODAS 2.0 (Fig. </w:t>
      </w:r>
      <w:r w:rsidRPr="00650AE9">
        <w:t>3</w:t>
      </w:r>
      <w:r w:rsidRPr="0068206B">
        <w:t>), and IES-6, were reported and interpreted in the context of the primary results. Females were 4.8 times more likely than males to report continued use of oxygen and report continued or new probable PTSD at final follow-up; odds ratios for other outcomes followed these trends, albeit less strongly (Table </w:t>
      </w:r>
      <w:r w:rsidRPr="00650AE9">
        <w:t>3</w:t>
      </w:r>
      <w:r w:rsidRPr="0068206B">
        <w:t>). There were no statistically significant differences in secondary outcome measures according to racial/ethnic minority group status (Table </w:t>
      </w:r>
      <w:r w:rsidRPr="00650AE9">
        <w:t>4</w:t>
      </w:r>
      <w:r w:rsidRPr="0068206B">
        <w:t>). Similar to the findings for the 10-time chair rise, participants aged 60 or older (compared to those under age 45) tended to be more likely to improve on the MRC Dyspnea Scale, less likely to report continued or new probable PTSD, and more likely to return to their pre-hospitalization exercise level (Table </w:t>
      </w:r>
      <w:r w:rsidRPr="00650AE9">
        <w:t>5</w:t>
      </w:r>
      <w:r w:rsidRPr="0068206B">
        <w:t>). Participants who were non-frail pre-hospitalization were less likely to return to their pre-hospitalization exercise level (Table </w:t>
      </w:r>
      <w:r w:rsidRPr="00650AE9">
        <w:t>6</w:t>
      </w:r>
      <w:r w:rsidRPr="0068206B">
        <w:t>).</w:t>
      </w:r>
    </w:p>
    <w:p w14:paraId="21D3A2A4" w14:textId="7508E025" w:rsidR="0068206B" w:rsidRPr="0068206B" w:rsidRDefault="0068206B" w:rsidP="00185B4E">
      <w:pPr>
        <w:pStyle w:val="NoSpacing"/>
      </w:pPr>
      <w:r w:rsidRPr="0068206B">
        <w:rPr>
          <w:noProof/>
        </w:rPr>
        <w:drawing>
          <wp:inline distT="0" distB="0" distL="0" distR="0" wp14:anchorId="550C6026" wp14:editId="2825D527">
            <wp:extent cx="3657600" cy="2185416"/>
            <wp:effectExtent l="0" t="0" r="0" b="5715"/>
            <wp:docPr id="1" name="Picture 1" descr="figure 3">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3">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57600" cy="2185416"/>
                    </a:xfrm>
                    <a:prstGeom prst="rect">
                      <a:avLst/>
                    </a:prstGeom>
                    <a:noFill/>
                    <a:ln>
                      <a:noFill/>
                    </a:ln>
                  </pic:spPr>
                </pic:pic>
              </a:graphicData>
            </a:graphic>
          </wp:inline>
        </w:drawing>
      </w:r>
    </w:p>
    <w:p w14:paraId="4F133CED" w14:textId="1C9F58FE" w:rsidR="0068206B" w:rsidRPr="0068206B" w:rsidRDefault="00185B4E" w:rsidP="00185B4E">
      <w:pPr>
        <w:pStyle w:val="NoSpacing"/>
      </w:pPr>
      <w:r w:rsidRPr="0068206B">
        <w:rPr>
          <w:b/>
          <w:bCs/>
        </w:rPr>
        <w:t>Fig. 3</w:t>
      </w:r>
      <w:r>
        <w:t xml:space="preserve"> </w:t>
      </w:r>
      <w:r w:rsidR="0068206B" w:rsidRPr="0068206B">
        <w:t>WHODAS 2.0 questionnaire results by individual question topic and survey week. Each box represents a question assessing difficulties experienced in performing the noted activity in the previous 14 days due to health-related conditions</w:t>
      </w:r>
    </w:p>
    <w:p w14:paraId="34AA088A" w14:textId="77777777" w:rsidR="00185B4E" w:rsidRDefault="00185B4E" w:rsidP="0068206B"/>
    <w:p w14:paraId="3904B632" w14:textId="36E61B17" w:rsidR="0068206B" w:rsidRPr="0068206B" w:rsidRDefault="0068206B" w:rsidP="00185B4E">
      <w:pPr>
        <w:pStyle w:val="Heading1"/>
      </w:pPr>
      <w:r w:rsidRPr="0068206B">
        <w:t>Discussion</w:t>
      </w:r>
    </w:p>
    <w:p w14:paraId="04CE5C4E" w14:textId="5EEA089D" w:rsidR="0068206B" w:rsidRPr="0068206B" w:rsidRDefault="0068206B" w:rsidP="0068206B">
      <w:r w:rsidRPr="0068206B">
        <w:t>Among a diverse group of hospitalized individuals with COVID-19, we provide a detailed assessment of post-hospital recovery, incorporating both functional performance and patient reported outcomes over 18 weeks. As we hypothesized, 10-time chair rise improved from 2-6 weeks to 18 weeks among the vast majority (89%) of participants, with an average decrease of 6.0 s, a robust and likely clinically meaningful change consistent with the effects seen after 24 weeks of supervised exercise [</w:t>
      </w:r>
      <w:r w:rsidRPr="00650AE9">
        <w:t>29</w:t>
      </w:r>
      <w:r w:rsidRPr="0068206B">
        <w:t>]. Next, 67% of participants reported worse scores on the Clinical Frailty Scale 2–6 weeks post-discharge compared to their pre-hospitalization status. Lastly, we found that age, sex, race/ethnicity, and pre-hospitalization status impacted recovery from COVID-19, though with unique contributions to each outcome. Notably, the study sample was relatively young (mean age 53 years) and limited to individuals discharged home (or prior place of residence). Recovery may be slower among older adults with greater frailty and comorbidities who often experience more severe initial infections. Despite these limitations to generalizability, the results of the present study provide insight into the trajectory of recovery among an observational cohort of individuals who were hospitalized due to COVID-19 and may inform how providers counsel patients and/or direct additional treatments or therapies.</w:t>
      </w:r>
    </w:p>
    <w:p w14:paraId="7BB7E264" w14:textId="1795936C" w:rsidR="0068206B" w:rsidRPr="0068206B" w:rsidRDefault="0068206B" w:rsidP="0068206B">
      <w:r w:rsidRPr="0068206B">
        <w:t>A strength of the present study was evaluating the 10-time chair rise test [</w:t>
      </w:r>
      <w:r w:rsidRPr="00650AE9">
        <w:t>19</w:t>
      </w:r>
      <w:r w:rsidRPr="0068206B">
        <w:t>], an objective evaluation of functional performance that is responsive to change and predictive of poor outcomes [</w:t>
      </w:r>
      <w:r w:rsidRPr="00650AE9">
        <w:t>20</w:t>
      </w:r>
      <w:r w:rsidRPr="0068206B">
        <w:t>, </w:t>
      </w:r>
      <w:r w:rsidRPr="00650AE9">
        <w:t>21</w:t>
      </w:r>
      <w:r w:rsidRPr="0068206B">
        <w:t>]. Few prior studies have reported on how objectively quantified physical performance changes after COVID-19 hospitalization. The 6 min walk test (6-MWT) [</w:t>
      </w:r>
      <w:r w:rsidRPr="00650AE9">
        <w:t>30</w:t>
      </w:r>
      <w:r w:rsidRPr="0068206B">
        <w:t>] is used most often, however, it measures endurance rather than strength, is limited by dyspnea, cannot be performed in many clinical locations due to space constraints, and is not easily done in a virtual setting. Huang and colleagues found that 23% of participants 6 months after COVID-19 had 6-MWT distance below the lower limit of the normal range [</w:t>
      </w:r>
      <w:r w:rsidRPr="00650AE9">
        <w:t>4</w:t>
      </w:r>
      <w:r w:rsidRPr="0068206B">
        <w:t>]. Wu and colleagues reported significant improvements in the 6-MWT distance from 3 months to 6 months after COVID-19 in 83 participants post-hospitalization, with further improvements continuing at 9 and 12 months [</w:t>
      </w:r>
      <w:r w:rsidRPr="00650AE9">
        <w:t>31</w:t>
      </w:r>
      <w:r w:rsidRPr="0068206B">
        <w:t>]. Arnold et al., reported conducting a 1-min chair stand test in 110 COVID-19 survivors 8–12 weeks after COVID-19 hospitalization, but results of their chair stand test do not appear in their brief communication article [</w:t>
      </w:r>
      <w:r w:rsidRPr="00650AE9">
        <w:t>5</w:t>
      </w:r>
      <w:r w:rsidRPr="0068206B">
        <w:t>]. In the present study, 89% improved, and participants &gt; 60 years of age tended to improve more than those under age 45, even with adjustment for the weeks 2–6 10-time chair rise. This may reflect a healthier older population that did not require a higher level of care at hospital discharge or greater drop-out among younger participants with full recovery, although the present study may select for healthier older participants as it required patients to survive their hospitalization and be discharged home (or to their prior place of residence) to be eligible for the study. Further investigation of how age and other factors may impact long-term COVID-19 recovery may help inform rehabilitation needs and referrals in the future.</w:t>
      </w:r>
    </w:p>
    <w:p w14:paraId="58751029" w14:textId="11874928" w:rsidR="0068206B" w:rsidRPr="0068206B" w:rsidRDefault="0068206B" w:rsidP="0068206B">
      <w:r w:rsidRPr="0068206B">
        <w:t>The impact of COVID-19 hospitalization on change in frailty status at multiple time points is a second notable finding of our study. While a variety of factors have been implicated in morbidity and mortality [</w:t>
      </w:r>
      <w:r w:rsidRPr="00650AE9">
        <w:t>2</w:t>
      </w:r>
      <w:r w:rsidRPr="0068206B">
        <w:t>, </w:t>
      </w:r>
      <w:r w:rsidRPr="00650AE9">
        <w:t>32</w:t>
      </w:r>
      <w:r w:rsidRPr="0068206B">
        <w:t>, </w:t>
      </w:r>
      <w:r w:rsidRPr="00650AE9">
        <w:t>33</w:t>
      </w:r>
      <w:r w:rsidRPr="0068206B">
        <w:t>], frailty may be an especially important predictor of outcomes for individuals with COVID-19 [</w:t>
      </w:r>
      <w:r w:rsidRPr="00650AE9">
        <w:t>11</w:t>
      </w:r>
      <w:r w:rsidRPr="0068206B">
        <w:t>,</w:t>
      </w:r>
      <w:r w:rsidRPr="00650AE9">
        <w:t>12</w:t>
      </w:r>
      <w:r w:rsidRPr="0068206B">
        <w:t>,</w:t>
      </w:r>
      <w:r w:rsidRPr="00650AE9">
        <w:t>13</w:t>
      </w:r>
      <w:r w:rsidRPr="0068206B">
        <w:t>,</w:t>
      </w:r>
      <w:r w:rsidRPr="00650AE9">
        <w:t>14</w:t>
      </w:r>
      <w:r w:rsidRPr="0068206B">
        <w:t>] (and other diseases and conditions). Two large meta-analyses have identified baseline frailty as a predictor of mortality from COVID-19 [</w:t>
      </w:r>
      <w:r w:rsidRPr="00650AE9">
        <w:t>11</w:t>
      </w:r>
      <w:r w:rsidRPr="0068206B">
        <w:t>, </w:t>
      </w:r>
      <w:r w:rsidRPr="00650AE9">
        <w:t>12</w:t>
      </w:r>
      <w:r w:rsidRPr="0068206B">
        <w:t>]. A prospective cohort study of participants with COVID-19 over age 60 identified frailty as a significant and strong predictor of disease severity even after adjusting for age, sex, body mass index, and multiple laboratory values [</w:t>
      </w:r>
      <w:r w:rsidRPr="00650AE9">
        <w:t>13</w:t>
      </w:r>
      <w:r w:rsidRPr="0068206B">
        <w:t>]. Two-thirds of participants aged 65 years and older who have been hospitalized with COVID-19 are frail, with higher prevalence of frailty in women compared to men and in older participants compared to younger ones [</w:t>
      </w:r>
      <w:r w:rsidRPr="00650AE9">
        <w:t>15</w:t>
      </w:r>
      <w:r w:rsidRPr="0068206B">
        <w:t>]. We found that among those who completed the pre-hospitalization assessment, 65% reported being ‘very fit’ or ‘well’ prior to hospitalization with COVID-19. In contrast, just 21, 41, and 49% at our follow-up timepoints (2–6, 12, and 18 weeks post-discharge, respectively) reported being ‘very fit’ or ‘well’, and 67% of respondents at week 2–6 selected a worse frailty condition compared to their pre-hospitalization level. Our findings suggest new onset of pre-frailty or frailty occurs in a substantial percentage of individuals following COVID-19 hospitalization (82% of previously non-frail participants) and fails to resolve in some by 18 weeks later (39% of previously non-frail). It is possible, however, that the Clinical Frailty Scale is more sensitive to functional deterioration rather than small improvements in function and that recovery to higher functional performance is more difficult than recovering to lower levels. Ongoing frailty may have a major impact on healthcare utilization and vulnerability to subsequent infections or conditions; persons with ongoing or worsening frailty may benefit from rehabilitation programs to improve return to pre-hospital state.</w:t>
      </w:r>
    </w:p>
    <w:p w14:paraId="1DF9DC39" w14:textId="333007A9" w:rsidR="0068206B" w:rsidRPr="0068206B" w:rsidRDefault="0068206B" w:rsidP="0068206B">
      <w:r w:rsidRPr="0068206B">
        <w:t>We found substantially lower quality of life, evaluated using the WHODAS 2.0, in our study participants compared to normative data [</w:t>
      </w:r>
      <w:r w:rsidRPr="00650AE9">
        <w:t>25</w:t>
      </w:r>
      <w:r w:rsidRPr="0068206B">
        <w:t>]. At 2–6 weeks after discharge, the mean score on the WHODAS 2.0 was 15, which is the 95th (worst) percentile score for healthy individuals age 45–54 years (our study mean age was 53). While scores improved on average 6.8 points, our mean scores at weeks 12 and 18 were still between the 85th and 90th percentiles for individuals aged 45–54 years, suggesting a lingering impact of COVID-19 hospitalization.</w:t>
      </w:r>
    </w:p>
    <w:p w14:paraId="15823CB1" w14:textId="03744C5E" w:rsidR="0068206B" w:rsidRPr="0068206B" w:rsidRDefault="0068206B" w:rsidP="0068206B">
      <w:r w:rsidRPr="0068206B">
        <w:t>We also found that symptoms of probable PTSD were present in many individuals after COVID-19, as has been observed following intensive care unit hospitalization due to non-COVID-19 related causes [</w:t>
      </w:r>
      <w:r w:rsidRPr="00650AE9">
        <w:t>34</w:t>
      </w:r>
      <w:r w:rsidRPr="0068206B">
        <w:t>]. Among the 85 individuals in the present study who completed the IES at least once, 46% (including 50% [11/22] who were admitted to the ICU versus 44% [28/63] who were not) met the IES threshold for probable PTSD [</w:t>
      </w:r>
      <w:r w:rsidRPr="00650AE9">
        <w:t>27</w:t>
      </w:r>
      <w:r w:rsidRPr="0068206B">
        <w:t>]. Similarly, nearly half of all participants (238/488, or 49%) in the Michigan cohort study reported being emotionally affected by their health 60 days after being discharged from COVID-19 hospitalization [</w:t>
      </w:r>
      <w:r w:rsidRPr="00650AE9">
        <w:t>3</w:t>
      </w:r>
      <w:r w:rsidRPr="0068206B">
        <w:t>]. In a purposive sample of 100 survivors of COVID-19 4–8 weeks after hospitalization, Halpin et al. found that 24% of participants in the hospital ward and 47% of participants in the ICU had PTSD symptoms, including 77% of females compared to just 39% of males in the ICU [</w:t>
      </w:r>
      <w:r w:rsidRPr="00650AE9">
        <w:t>6</w:t>
      </w:r>
      <w:r w:rsidRPr="0068206B">
        <w:t>].</w:t>
      </w:r>
    </w:p>
    <w:p w14:paraId="405F1ECE" w14:textId="2564B168" w:rsidR="0068206B" w:rsidRPr="0068206B" w:rsidRDefault="0068206B" w:rsidP="0068206B">
      <w:r w:rsidRPr="0068206B">
        <w:t>We found several consistent characteristics associated with lingering impairments following COVID-19 hospitalization. Participants who did not return to pre-hospitalization frailty levels were more likely to be female, were more likely to have reported pre-hospitalization frailty category of ‘very fit’ or ‘well’, and tended to be younger. Similarly, participants who did not return to their pre-hospitalization exercise level tended to be younger and have answered ‘very fit’ or ‘well’ on the pre-hospitalization frailty assessment. Interestingly, participants under age 45 years were more likely to be admitted to the ICU compared to participants aged 45–59 years and those over age 60 years. Similar to our findings, Halpin et al. reported the median age of participants admitted to the ICU was younger (58.5 years) compared to those in the hospital ward (70.5 years) [</w:t>
      </w:r>
      <w:r w:rsidRPr="00650AE9">
        <w:t>6</w:t>
      </w:r>
      <w:r w:rsidRPr="0068206B">
        <w:t>]. Moreno-Perez found that persistent anosmia-dysgeusia was associated with younger age, although they identified no baseline clinical features (including age, sex, ICU admission, hospital/ICU length of stay, etc.) as independent predictors of PASC [</w:t>
      </w:r>
      <w:r w:rsidRPr="00650AE9">
        <w:t>8</w:t>
      </w:r>
      <w:r w:rsidRPr="0068206B">
        <w:t>]. It is possible that older participants, including those with milder cases of COVID-19, were more likely to be hospitalized and/or more likely to go to a skilled nursing facility following hospitalization (thus excluded from the present study because of difficulty with follow-up early after hospitalization). Interestingly, participants who have higher pre-hospitalization fitness levels may have more difficulty, or at least more perceived difficulty, returning to those levels despite having better overall outcomes. Our findings suggest that females, younger participants, and those who are ‘very fit’ or ‘well’ prior to hospitalization may be less likely to perceive recovery to prior functional levels thus could be more likely to benefit from rehabilitation services. Further research is needed.</w:t>
      </w:r>
    </w:p>
    <w:p w14:paraId="1C2D89C6" w14:textId="29291652" w:rsidR="0068206B" w:rsidRPr="0068206B" w:rsidRDefault="0068206B" w:rsidP="0068206B">
      <w:r w:rsidRPr="0068206B">
        <w:t>Longitudinal assessments are another strength of our study. While many studies are limited to one cross-sectional analysis, Wu and colleagues recently published a study evaluating respiratory outcomes 3, 6, 9, and 12 months following COVID-19-related hospitalization [</w:t>
      </w:r>
      <w:r w:rsidRPr="00650AE9">
        <w:t>31</w:t>
      </w:r>
      <w:r w:rsidRPr="0068206B">
        <w:t>]. Dyspnea scores and exercise capacity improved over time in the majority of the 83 participants, but a subgroup of participants 12 months after COVID-19 hospitalization had persistent physiological and radiographic changes. Moreno-Perez also reported on select symptoms at multiple timepoints after COVID-19 hospitalization (2–3 months and 4 months), finding a lower prevalence of persistent dyspnea and cough at 4 months compared to 2–3 months after COVID-19 infection in 277 survivors [</w:t>
      </w:r>
      <w:r w:rsidRPr="00650AE9">
        <w:t>8</w:t>
      </w:r>
      <w:r w:rsidRPr="0068206B">
        <w:t>].</w:t>
      </w:r>
    </w:p>
    <w:p w14:paraId="1A0B289B" w14:textId="7EB080D0" w:rsidR="0068206B" w:rsidRPr="0068206B" w:rsidRDefault="0068206B" w:rsidP="0068206B">
      <w:r w:rsidRPr="0068206B">
        <w:t>There are limitations to consider when interpreting the results of the study. As discussed above, missing data was more common in younger participants and minorities, indicating our findings may not fully represent COVID-19 survivors discharged from hospital; however, we did have a strong minority representation, as 59% of participants in the present study identified as an ethnic and/or racial minority. We also only included participants who could understand English and/or Spanish, although most potential participants understood at least one of these languages. Many eligible patients were not included due to patient volume, a lack of valid contact information, failure to return calls/emails, and individuals declining enrollment. While only 109 (10.6%) of 1031 patients whom we attempted to contact participated in the study, the most common reasons for not enrolling in the study were not answering the phone or email (</w:t>
      </w:r>
      <w:r w:rsidRPr="0068206B">
        <w:rPr>
          <w:i/>
          <w:iCs/>
        </w:rPr>
        <w:t>n</w:t>
      </w:r>
      <w:r w:rsidRPr="0068206B">
        <w:t> = 428), declining to participate (</w:t>
      </w:r>
      <w:r w:rsidRPr="0068206B">
        <w:rPr>
          <w:i/>
          <w:iCs/>
        </w:rPr>
        <w:t>n</w:t>
      </w:r>
      <w:r w:rsidRPr="0068206B">
        <w:t> = 208), and phone or technology issues (</w:t>
      </w:r>
      <w:r w:rsidRPr="0068206B">
        <w:rPr>
          <w:i/>
          <w:iCs/>
        </w:rPr>
        <w:t>n</w:t>
      </w:r>
      <w:r w:rsidRPr="0068206B">
        <w:t> = 99). Only 80 (7.8%) individuals were ineligible due to medical reasons. We believe the sample accurately reflects the majority of patients hospitalized due to COVID-19 except for those in the frailest pre-hospitalization categories. Our chair rise tests (and all assessments) were conducted virtually; while we took measures to ensure accuracy (including having the participant count aloud and use video when possible), this form of data collection has not been validated though is described by The Gerontological Society of America [</w:t>
      </w:r>
      <w:r w:rsidRPr="00650AE9">
        <w:t>35</w:t>
      </w:r>
      <w:r w:rsidRPr="0068206B">
        <w:t>]. Performing the tests remotely, however, likely allowed us to capture a greater proportion of participants, thus our findings may be more generalizable. Finally, our self-assessed clinical frailty measure may not correspond to a provider-assessed scale, thus could capture perceived changes that are important to patients.</w:t>
      </w:r>
    </w:p>
    <w:p w14:paraId="39217436" w14:textId="77777777" w:rsidR="0068206B" w:rsidRPr="0068206B" w:rsidRDefault="0068206B" w:rsidP="00185B4E">
      <w:pPr>
        <w:pStyle w:val="Heading1"/>
      </w:pPr>
      <w:r w:rsidRPr="0068206B">
        <w:t>Conclusion</w:t>
      </w:r>
    </w:p>
    <w:p w14:paraId="53741468" w14:textId="77777777" w:rsidR="0068206B" w:rsidRPr="0068206B" w:rsidRDefault="0068206B" w:rsidP="0068206B">
      <w:r w:rsidRPr="0068206B">
        <w:t>The purpose of this study was to prospectively evaluate and describe recovery in participants at multiple time-points following COVID-19 hospitalization. We found that although functional performance improved up to 18 weeks following hospitalization, functional impairments and frailty persisted in a subset of patients. Potential explanatory factors, including age, sex, race/ethnicity, and pre-hospitalization frailty status, impacted recovery from COVID-19 on some variables but not others. The results of the present study provide insight into the trajectory of recovery among an observational cohort of individuals (mean age 53 years) who were hospitalized due to COVID-19 and may inform how providers counsel patients and/or direct additional treatments or therapies.</w:t>
      </w:r>
    </w:p>
    <w:p w14:paraId="273FBCFD" w14:textId="77777777" w:rsidR="0068206B" w:rsidRPr="0068206B" w:rsidRDefault="0068206B" w:rsidP="00185B4E">
      <w:pPr>
        <w:pStyle w:val="Heading1"/>
      </w:pPr>
      <w:r w:rsidRPr="0068206B">
        <w:t>Availability of data and materials</w:t>
      </w:r>
    </w:p>
    <w:p w14:paraId="5341FC44" w14:textId="77777777" w:rsidR="0068206B" w:rsidRPr="0068206B" w:rsidRDefault="0068206B" w:rsidP="0068206B">
      <w:r w:rsidRPr="0068206B">
        <w:t>All data generated or analyzed during this study are included in this published article [and its supplementary information files]. The datasets used and/or analyzed during the current study are available from the corresponding author on reasonable request.</w:t>
      </w:r>
    </w:p>
    <w:p w14:paraId="2577AC0C" w14:textId="77777777" w:rsidR="0068206B" w:rsidRPr="0068206B" w:rsidRDefault="0068206B" w:rsidP="00185B4E">
      <w:pPr>
        <w:pStyle w:val="Heading1"/>
      </w:pPr>
      <w:r w:rsidRPr="0068206B">
        <w:t>Abbreviations</w:t>
      </w:r>
    </w:p>
    <w:p w14:paraId="348415A2" w14:textId="45696C90" w:rsidR="0068206B" w:rsidRPr="0068206B" w:rsidRDefault="0068206B" w:rsidP="00A615A0">
      <w:pPr>
        <w:spacing w:after="0"/>
      </w:pPr>
      <w:r w:rsidRPr="0068206B">
        <w:rPr>
          <w:b/>
          <w:bCs/>
          <w:i/>
          <w:iCs/>
        </w:rPr>
        <w:t>PASC:</w:t>
      </w:r>
      <w:r w:rsidR="00185B4E">
        <w:rPr>
          <w:b/>
          <w:bCs/>
          <w:i/>
          <w:iCs/>
        </w:rPr>
        <w:t xml:space="preserve"> </w:t>
      </w:r>
      <w:r w:rsidRPr="0068206B">
        <w:t>Post-acute sequelae of COVID-19</w:t>
      </w:r>
    </w:p>
    <w:p w14:paraId="61B99614" w14:textId="67428DF4" w:rsidR="0068206B" w:rsidRPr="0068206B" w:rsidRDefault="0068206B" w:rsidP="00A615A0">
      <w:pPr>
        <w:spacing w:after="0"/>
      </w:pPr>
      <w:r w:rsidRPr="0068206B">
        <w:rPr>
          <w:b/>
          <w:bCs/>
          <w:i/>
          <w:iCs/>
        </w:rPr>
        <w:t>ICU:</w:t>
      </w:r>
      <w:r w:rsidR="00185B4E">
        <w:rPr>
          <w:b/>
          <w:bCs/>
          <w:i/>
          <w:iCs/>
        </w:rPr>
        <w:t xml:space="preserve"> </w:t>
      </w:r>
      <w:r w:rsidRPr="0068206B">
        <w:t>Intensive Care Unit</w:t>
      </w:r>
    </w:p>
    <w:p w14:paraId="754C1825" w14:textId="2288BA0E" w:rsidR="0068206B" w:rsidRPr="0068206B" w:rsidRDefault="0068206B" w:rsidP="00A615A0">
      <w:pPr>
        <w:spacing w:after="0"/>
      </w:pPr>
      <w:r w:rsidRPr="0068206B">
        <w:rPr>
          <w:b/>
          <w:bCs/>
          <w:i/>
          <w:iCs/>
        </w:rPr>
        <w:t>PTSD:</w:t>
      </w:r>
      <w:r w:rsidR="00185B4E">
        <w:rPr>
          <w:b/>
          <w:bCs/>
          <w:i/>
          <w:iCs/>
        </w:rPr>
        <w:t xml:space="preserve"> </w:t>
      </w:r>
      <w:r w:rsidRPr="0068206B">
        <w:t>Post-traumatic stress disorder</w:t>
      </w:r>
    </w:p>
    <w:p w14:paraId="60BE59E4" w14:textId="0F5F21E2" w:rsidR="0068206B" w:rsidRPr="0068206B" w:rsidRDefault="0068206B" w:rsidP="00A615A0">
      <w:pPr>
        <w:spacing w:after="0"/>
      </w:pPr>
      <w:r w:rsidRPr="0068206B">
        <w:rPr>
          <w:b/>
          <w:bCs/>
          <w:i/>
          <w:iCs/>
        </w:rPr>
        <w:t>SPPB:</w:t>
      </w:r>
      <w:r w:rsidR="00185B4E">
        <w:rPr>
          <w:b/>
          <w:bCs/>
          <w:i/>
          <w:iCs/>
        </w:rPr>
        <w:t xml:space="preserve"> </w:t>
      </w:r>
      <w:r w:rsidRPr="0068206B">
        <w:t>Short Physical Performance Battery</w:t>
      </w:r>
    </w:p>
    <w:p w14:paraId="5EF54481" w14:textId="41FA3656" w:rsidR="0068206B" w:rsidRPr="0068206B" w:rsidRDefault="0068206B" w:rsidP="00A615A0">
      <w:pPr>
        <w:spacing w:after="0"/>
      </w:pPr>
      <w:r w:rsidRPr="0068206B">
        <w:rPr>
          <w:b/>
          <w:bCs/>
          <w:i/>
          <w:iCs/>
        </w:rPr>
        <w:t>6-MWT:</w:t>
      </w:r>
      <w:r w:rsidR="00185B4E">
        <w:rPr>
          <w:b/>
          <w:bCs/>
          <w:i/>
          <w:iCs/>
        </w:rPr>
        <w:t xml:space="preserve"> </w:t>
      </w:r>
      <w:r w:rsidRPr="0068206B">
        <w:t>6-min walk test</w:t>
      </w:r>
    </w:p>
    <w:p w14:paraId="0251E900" w14:textId="77777777" w:rsidR="0068206B" w:rsidRPr="0068206B" w:rsidRDefault="0068206B" w:rsidP="00185B4E">
      <w:pPr>
        <w:pStyle w:val="Heading1"/>
      </w:pPr>
      <w:r w:rsidRPr="0068206B">
        <w:t>References</w:t>
      </w:r>
    </w:p>
    <w:p w14:paraId="1B6465AA" w14:textId="77777777" w:rsidR="0068206B" w:rsidRPr="0068206B" w:rsidRDefault="0068206B" w:rsidP="00A615A0">
      <w:pPr>
        <w:numPr>
          <w:ilvl w:val="0"/>
          <w:numId w:val="1"/>
        </w:numPr>
        <w:spacing w:after="0"/>
      </w:pPr>
      <w:r w:rsidRPr="0068206B">
        <w:t>Townsend L, Dowds J, O'Brien K, Sheill G, Dyer AH, O'Kelly B, et al. Persistent poor health after COVID-19 is not associated with respiratory complications or initial disease severity. Ann Am Thorac Soc. 2021;18(6):997–1003.</w:t>
      </w:r>
    </w:p>
    <w:p w14:paraId="225EFA6D" w14:textId="77777777" w:rsidR="0068206B" w:rsidRPr="0068206B" w:rsidRDefault="0068206B" w:rsidP="00A615A0">
      <w:pPr>
        <w:numPr>
          <w:ilvl w:val="0"/>
          <w:numId w:val="1"/>
        </w:numPr>
        <w:spacing w:after="0"/>
      </w:pPr>
      <w:r w:rsidRPr="0068206B">
        <w:t>Nalbandian A, Sehgal K, Gupta A, Madhavan MV, McGroder C, Stevens JS, et al. Post-acute COVID-19 syndrome. Nat Med. 2021;27(4):601–15.</w:t>
      </w:r>
    </w:p>
    <w:p w14:paraId="661EADAD" w14:textId="77777777" w:rsidR="0068206B" w:rsidRPr="0068206B" w:rsidRDefault="0068206B" w:rsidP="00A615A0">
      <w:pPr>
        <w:numPr>
          <w:ilvl w:val="0"/>
          <w:numId w:val="1"/>
        </w:numPr>
        <w:spacing w:after="0"/>
      </w:pPr>
      <w:r w:rsidRPr="0068206B">
        <w:t>Chopra V, Flanders SA, O'Malley M, Malani AN, Prescott HC. Sixty-day outcomes among patients hospitalized with COVID-19. Ann Intern Med. 2021;174(4):576–8.</w:t>
      </w:r>
    </w:p>
    <w:p w14:paraId="210B2DA1" w14:textId="77777777" w:rsidR="0068206B" w:rsidRPr="0068206B" w:rsidRDefault="0068206B" w:rsidP="00A615A0">
      <w:pPr>
        <w:numPr>
          <w:ilvl w:val="0"/>
          <w:numId w:val="1"/>
        </w:numPr>
        <w:spacing w:after="0"/>
      </w:pPr>
      <w:r w:rsidRPr="0068206B">
        <w:t>Huang C, Huang L, Wang Y, Li X, Ren L, Gu X, et al. 6-month consequences of COVID-19 in patients discharged from hospital: a cohort study. Lancet. 2021;397(10270):220–32.</w:t>
      </w:r>
    </w:p>
    <w:p w14:paraId="34F7C4FD" w14:textId="77777777" w:rsidR="0068206B" w:rsidRPr="0068206B" w:rsidRDefault="0068206B" w:rsidP="00A615A0">
      <w:pPr>
        <w:numPr>
          <w:ilvl w:val="0"/>
          <w:numId w:val="1"/>
        </w:numPr>
        <w:spacing w:after="0"/>
      </w:pPr>
      <w:r w:rsidRPr="0068206B">
        <w:t>Arnold DT, Hamilton FW, Milne A, Morley AJ, Viner J, Attwood M, et al. Patient outcomes after hospitalisation with COVID-19 and implications for follow-up: results from a prospective UK cohort. Thorax. 2021;76(4):399–401.</w:t>
      </w:r>
    </w:p>
    <w:p w14:paraId="41EC27E4" w14:textId="77777777" w:rsidR="0068206B" w:rsidRPr="0068206B" w:rsidRDefault="0068206B" w:rsidP="00A615A0">
      <w:pPr>
        <w:numPr>
          <w:ilvl w:val="0"/>
          <w:numId w:val="1"/>
        </w:numPr>
        <w:spacing w:after="0"/>
      </w:pPr>
      <w:r w:rsidRPr="0068206B">
        <w:t>Halpin SJ, McIvor C, Whyatt G, Adams A, Harvey O, McLean L, et al. Postdischarge symptoms and rehabilitation needs in survivors of COVID-19 infection: a cross-sectional evaluation. J Med Virol. 2021;93(2):1013–22.</w:t>
      </w:r>
    </w:p>
    <w:p w14:paraId="290010B1" w14:textId="77777777" w:rsidR="0068206B" w:rsidRPr="0068206B" w:rsidRDefault="0068206B" w:rsidP="00A615A0">
      <w:pPr>
        <w:numPr>
          <w:ilvl w:val="0"/>
          <w:numId w:val="1"/>
        </w:numPr>
        <w:spacing w:after="0"/>
      </w:pPr>
      <w:r w:rsidRPr="0068206B">
        <w:t>Carfi A, Bernabei R, Landi F, Gemelli Against C-P-ACSG. Persistent Symptoms in Patients After Acute COVID-19. JAMA. 2020;324(6):603–5.</w:t>
      </w:r>
    </w:p>
    <w:p w14:paraId="7CBEEF48" w14:textId="77777777" w:rsidR="0068206B" w:rsidRPr="0068206B" w:rsidRDefault="0068206B" w:rsidP="00A615A0">
      <w:pPr>
        <w:numPr>
          <w:ilvl w:val="0"/>
          <w:numId w:val="1"/>
        </w:numPr>
        <w:spacing w:after="0"/>
      </w:pPr>
      <w:r w:rsidRPr="0068206B">
        <w:t>Moreno-Perez O, Merino E, Leon-Ramirez JM, Andres M, Ramos JM, Arenas-Jimenez J, et al. Post-acute COVID-19 syndrome. Incidence and risk factors: a Mediterranean cohort study. J Inf Secur. 2021;82(3):378–83.</w:t>
      </w:r>
    </w:p>
    <w:p w14:paraId="348AB5ED" w14:textId="769A5FD0" w:rsidR="0068206B" w:rsidRPr="0068206B" w:rsidRDefault="0068206B" w:rsidP="00A615A0">
      <w:pPr>
        <w:numPr>
          <w:ilvl w:val="0"/>
          <w:numId w:val="1"/>
        </w:numPr>
        <w:spacing w:after="0"/>
      </w:pPr>
      <w:r w:rsidRPr="0068206B">
        <w:t>Gobbi M, Brunani A, Arreghini M, et al. Nutritional status in post SARS-Cov2 rehabilitation patients [published online ahead of print, 2021 Apr 20]. Clin Nutr. 2021;S0261-5614(21)00205–3. </w:t>
      </w:r>
      <w:r w:rsidRPr="00650AE9">
        <w:t>https://doi.org/10.1016/j.clnu.2021.04.013</w:t>
      </w:r>
      <w:r w:rsidRPr="0068206B">
        <w:t>.</w:t>
      </w:r>
    </w:p>
    <w:p w14:paraId="48720A08" w14:textId="55F10220" w:rsidR="0068206B" w:rsidRPr="0068206B" w:rsidRDefault="0068206B" w:rsidP="00A615A0">
      <w:pPr>
        <w:numPr>
          <w:ilvl w:val="0"/>
          <w:numId w:val="1"/>
        </w:numPr>
        <w:spacing w:after="0"/>
      </w:pPr>
      <w:r w:rsidRPr="0068206B">
        <w:t>Davis HE, Assaf GS, McCorkell L, et al. Characterizing long COVID in an international cohort: 7 months of symptoms and their impact. EClinicalMedicine. 2021;38:101019. </w:t>
      </w:r>
      <w:r w:rsidRPr="00650AE9">
        <w:t>https://doi.org/10.1016/j.eclinm.2021.101019</w:t>
      </w:r>
      <w:r w:rsidRPr="0068206B">
        <w:t>.</w:t>
      </w:r>
    </w:p>
    <w:p w14:paraId="59F7B2F1" w14:textId="77777777" w:rsidR="0068206B" w:rsidRPr="0068206B" w:rsidRDefault="0068206B" w:rsidP="00A615A0">
      <w:pPr>
        <w:numPr>
          <w:ilvl w:val="0"/>
          <w:numId w:val="1"/>
        </w:numPr>
        <w:spacing w:after="0"/>
      </w:pPr>
      <w:r w:rsidRPr="0068206B">
        <w:t>Pranata R, Henrina J, Lim MA, Lawrensia S, Yonas E, Vania R, et al. Clinical frailty scale and mortality in COVID-19: a systematic review and dose-response meta-analysis. Arch Gerontol Geriatr. 2021;93:104324.</w:t>
      </w:r>
    </w:p>
    <w:p w14:paraId="1037EDB8" w14:textId="77777777" w:rsidR="0068206B" w:rsidRPr="0068206B" w:rsidRDefault="0068206B" w:rsidP="00A615A0">
      <w:pPr>
        <w:numPr>
          <w:ilvl w:val="0"/>
          <w:numId w:val="1"/>
        </w:numPr>
        <w:spacing w:after="0"/>
      </w:pPr>
      <w:r w:rsidRPr="0068206B">
        <w:t>Kastora S, Kounidas G, Perrott S, Carter B, Hewitt J, Myint PK. Clinical frailty scale as a point of care prognostic indicator of mortality in COVID-19: a systematic review and meta-analysis. EClinicalMedicine. 2021;36:100896.</w:t>
      </w:r>
    </w:p>
    <w:p w14:paraId="4D67EE4B" w14:textId="77777777" w:rsidR="0068206B" w:rsidRPr="0068206B" w:rsidRDefault="0068206B" w:rsidP="00A615A0">
      <w:pPr>
        <w:numPr>
          <w:ilvl w:val="0"/>
          <w:numId w:val="1"/>
        </w:numPr>
        <w:spacing w:after="0"/>
      </w:pPr>
      <w:r w:rsidRPr="0068206B">
        <w:t>Ma Y, Hou L, Yang X, Huang Z, Yang X, Zhao N, et al. The association between frailty and severe disease among COVID-19 patients aged over 60 years in China: a prospective cohort study. BMC Med. 2020;18(1):274.</w:t>
      </w:r>
    </w:p>
    <w:p w14:paraId="1CC3518D" w14:textId="77777777" w:rsidR="0068206B" w:rsidRPr="0068206B" w:rsidRDefault="0068206B" w:rsidP="00A615A0">
      <w:pPr>
        <w:numPr>
          <w:ilvl w:val="0"/>
          <w:numId w:val="1"/>
        </w:numPr>
        <w:spacing w:after="0"/>
      </w:pPr>
      <w:r w:rsidRPr="0068206B">
        <w:t>Sablerolles RSG, Lafeber M, van Kempen JAL, van de Loo BPA, Boersma E, Rietdijk WJR, et al. Association between clinical frailty scale score and hospital mortality in adult patients with COVID-19 (COMET): an international, multicentre, retrospective, observational cohort study. Lancet Healthy Longevity. 2021;2(3):e163–70.</w:t>
      </w:r>
    </w:p>
    <w:p w14:paraId="33FA173A" w14:textId="24A62BDD" w:rsidR="0068206B" w:rsidRPr="0068206B" w:rsidRDefault="0068206B" w:rsidP="00A615A0">
      <w:pPr>
        <w:numPr>
          <w:ilvl w:val="0"/>
          <w:numId w:val="1"/>
        </w:numPr>
        <w:spacing w:after="0"/>
      </w:pPr>
      <w:r w:rsidRPr="0068206B">
        <w:t>Collins JT, Short R, Carter B, et al. The Clinical Frailty Scale: Estimating the Prevalence of Frailty in Older Patients Hospitalised with COVID-19. The COPE Study. Geriatrics (Basel). 2020;5(3):58. Published 2020 Sep 21. </w:t>
      </w:r>
      <w:r w:rsidRPr="00650AE9">
        <w:t>https://doi.org/10.3390/geriatrics5030058</w:t>
      </w:r>
      <w:r w:rsidRPr="0068206B">
        <w:t>.</w:t>
      </w:r>
    </w:p>
    <w:p w14:paraId="1C59CA90" w14:textId="77777777" w:rsidR="0068206B" w:rsidRPr="0068206B" w:rsidRDefault="0068206B" w:rsidP="00A615A0">
      <w:pPr>
        <w:numPr>
          <w:ilvl w:val="0"/>
          <w:numId w:val="1"/>
        </w:numPr>
        <w:spacing w:after="0"/>
      </w:pPr>
      <w:r w:rsidRPr="0068206B">
        <w:t>Guralnik JM, Ferrucci L, Pieper CF, Leveille SG, Markides KS, Ostir GV, et al. Lower extremity function and subsequent disability: consistency across studies, predictive models, and value of gait speed alone compared with the short physical performance battery. J Gerontol A Biol Sci Med Sci. 2000;55(4):M221–31.</w:t>
      </w:r>
    </w:p>
    <w:p w14:paraId="52991BB9" w14:textId="77777777" w:rsidR="0068206B" w:rsidRPr="0068206B" w:rsidRDefault="0068206B" w:rsidP="00A615A0">
      <w:pPr>
        <w:numPr>
          <w:ilvl w:val="0"/>
          <w:numId w:val="1"/>
        </w:numPr>
        <w:spacing w:after="0"/>
      </w:pPr>
      <w:r w:rsidRPr="0068206B">
        <w:t>Guralnik JM, Ferrucci L, Simonsick EM, Salive ME, Wallace RB. Lower-extremity function in persons over the age of 70 years as a predictor of subsequent disability. N Engl J Med. 1995;332(9):556–61.</w:t>
      </w:r>
    </w:p>
    <w:p w14:paraId="0786AF3E" w14:textId="77777777" w:rsidR="0068206B" w:rsidRPr="0068206B" w:rsidRDefault="0068206B" w:rsidP="00A615A0">
      <w:pPr>
        <w:numPr>
          <w:ilvl w:val="0"/>
          <w:numId w:val="1"/>
        </w:numPr>
        <w:spacing w:after="0"/>
      </w:pPr>
      <w:r w:rsidRPr="0068206B">
        <w:t>Guralnik JM, Simonsick EM, Ferrucci L, Glynn RJ, Berkman LF, Blazer DG, et al. A short physical performance battery assessing lower extremity function: association with self-reported disability and prediction of mortality and nursing home admission. J Gerontol. 1994;49(2):M85–94.</w:t>
      </w:r>
    </w:p>
    <w:p w14:paraId="1CDED3A0" w14:textId="77777777" w:rsidR="0068206B" w:rsidRPr="0068206B" w:rsidRDefault="0068206B" w:rsidP="00A615A0">
      <w:pPr>
        <w:numPr>
          <w:ilvl w:val="0"/>
          <w:numId w:val="1"/>
        </w:numPr>
        <w:spacing w:after="0"/>
      </w:pPr>
      <w:r w:rsidRPr="0068206B">
        <w:t>Simonsick EM, Newman AB, Nevitt MC, Kritchevsky SB, Ferrucci L, Guralnik JM, et al. Measuring higher level physical function in well-functioning older adults: expanding familiar approaches in the health ABC study. J Gerontol A Biol Sci Med Sci. 2001;56(10):M644–9.</w:t>
      </w:r>
    </w:p>
    <w:p w14:paraId="051E4FC2" w14:textId="77777777" w:rsidR="0068206B" w:rsidRPr="0068206B" w:rsidRDefault="0068206B" w:rsidP="00A615A0">
      <w:pPr>
        <w:numPr>
          <w:ilvl w:val="0"/>
          <w:numId w:val="1"/>
        </w:numPr>
        <w:spacing w:after="0"/>
      </w:pPr>
      <w:r w:rsidRPr="0068206B">
        <w:t>Fragala MS, Alley DE, Shardell MD, Harris TB, McLean RR, Kiel DP, et al. Comparison of handgrip and leg extension strength in predicting slow gait speed in older adults. J Am Geriatr Soc. 2016;64(1):144–50.</w:t>
      </w:r>
    </w:p>
    <w:p w14:paraId="7FE0DB28" w14:textId="77777777" w:rsidR="0068206B" w:rsidRPr="0068206B" w:rsidRDefault="0068206B" w:rsidP="00A615A0">
      <w:pPr>
        <w:numPr>
          <w:ilvl w:val="0"/>
          <w:numId w:val="1"/>
        </w:numPr>
        <w:spacing w:after="0"/>
      </w:pPr>
      <w:r w:rsidRPr="0068206B">
        <w:t>Newman AB, Simonsick EM, Naydeck BL, Boudreau RM, Kritchevsky SB, Nevitt MC, et al. Association of Long-Distance Corridor Walk Performance with Mortality, cardiovascular disease, mobility limitation, and disability. JAMA. 2006;295(17):2018–26.</w:t>
      </w:r>
    </w:p>
    <w:p w14:paraId="1290A4F1" w14:textId="77777777" w:rsidR="0068206B" w:rsidRPr="0068206B" w:rsidRDefault="0068206B" w:rsidP="00A615A0">
      <w:pPr>
        <w:numPr>
          <w:ilvl w:val="0"/>
          <w:numId w:val="1"/>
        </w:numPr>
        <w:spacing w:after="0"/>
      </w:pPr>
      <w:r w:rsidRPr="0068206B">
        <w:t>Rockwood K, Song X, MacKnight C, Bergman H, Hogan DB, McDowell I, et al. A global clinical measure of fitness and frailty in elderly people. CMAJ. 2005;173(5):489–95.</w:t>
      </w:r>
    </w:p>
    <w:p w14:paraId="7438066B" w14:textId="77777777" w:rsidR="0068206B" w:rsidRPr="0068206B" w:rsidRDefault="0068206B" w:rsidP="00A615A0">
      <w:pPr>
        <w:numPr>
          <w:ilvl w:val="0"/>
          <w:numId w:val="1"/>
        </w:numPr>
        <w:spacing w:after="0"/>
      </w:pPr>
      <w:r w:rsidRPr="0068206B">
        <w:t>Labenz C, Kremer WM, Schattenberg JM, Worns MA, Toenges G, Weinmann A, et al. Clinical frailty scale for risk stratification in patients with SARS-CoV-2 infection. J Investig Med. 2020;68(6):1199–202.</w:t>
      </w:r>
    </w:p>
    <w:p w14:paraId="588AFA99" w14:textId="77777777" w:rsidR="0068206B" w:rsidRPr="0068206B" w:rsidRDefault="0068206B" w:rsidP="00A615A0">
      <w:pPr>
        <w:numPr>
          <w:ilvl w:val="0"/>
          <w:numId w:val="1"/>
        </w:numPr>
        <w:spacing w:after="0"/>
      </w:pPr>
      <w:r w:rsidRPr="0068206B">
        <w:t>Bestall JC, Paul EA, Garrod R, Garnham R, Jones PW, Wedzicha JA. Usefulness of the Medical Research Council (MRC) dyspnoea scale as a measure of disability in patients with chronic obstructive pulmonary disease. Thorax. 1999;54(7):581–6.</w:t>
      </w:r>
    </w:p>
    <w:p w14:paraId="6FA0D003" w14:textId="77777777" w:rsidR="0068206B" w:rsidRPr="0068206B" w:rsidRDefault="0068206B" w:rsidP="00A615A0">
      <w:pPr>
        <w:numPr>
          <w:ilvl w:val="0"/>
          <w:numId w:val="1"/>
        </w:numPr>
        <w:spacing w:after="0"/>
      </w:pPr>
      <w:r w:rsidRPr="0068206B">
        <w:t>Andrews G, Kemp A, Sunderland M, Von Korff M, Ustun TB. Normative data for the 12 item WHO disability assessment schedule 2.0. PLoS One. 2009;4(12):e8343.</w:t>
      </w:r>
    </w:p>
    <w:p w14:paraId="7A146644" w14:textId="77777777" w:rsidR="0068206B" w:rsidRPr="0068206B" w:rsidRDefault="0068206B" w:rsidP="00A615A0">
      <w:pPr>
        <w:numPr>
          <w:ilvl w:val="0"/>
          <w:numId w:val="1"/>
        </w:numPr>
        <w:spacing w:after="0"/>
      </w:pPr>
      <w:r w:rsidRPr="0068206B">
        <w:t>Thoresen S, Tambs K, Hussain A, Heir T, Johansen VA, Bisson JI. Brief measure of posttraumatic stress reactions: impact of event Scale-6. Soc Psychiatry Psychiatr Epidemiol. 2010;45(3):405–12.</w:t>
      </w:r>
    </w:p>
    <w:p w14:paraId="67A0B581" w14:textId="77777777" w:rsidR="0068206B" w:rsidRPr="0068206B" w:rsidRDefault="0068206B" w:rsidP="00A615A0">
      <w:pPr>
        <w:numPr>
          <w:ilvl w:val="0"/>
          <w:numId w:val="1"/>
        </w:numPr>
        <w:spacing w:after="0"/>
      </w:pPr>
      <w:r w:rsidRPr="0068206B">
        <w:t>Hosey MM, Leoutsakos JS, Li X, Dinglas VD, Bienvenu OJ, Parker AM, et al. Screening for posttraumatic stress disorder in ARDS survivors: validation of the impact of event Scale-6 (IES-6). Crit Care. 2019;23(1):276.</w:t>
      </w:r>
    </w:p>
    <w:p w14:paraId="4F836420" w14:textId="77777777" w:rsidR="0068206B" w:rsidRPr="0068206B" w:rsidRDefault="0068206B" w:rsidP="00A615A0">
      <w:pPr>
        <w:numPr>
          <w:ilvl w:val="0"/>
          <w:numId w:val="1"/>
        </w:numPr>
        <w:spacing w:after="0"/>
      </w:pPr>
      <w:r w:rsidRPr="0068206B">
        <w:t>Rothman KJ. No adjustments are needed for multiple comparisons. Epidemiology. 1990;1:43–6.</w:t>
      </w:r>
    </w:p>
    <w:p w14:paraId="1939E4F5" w14:textId="77777777" w:rsidR="0068206B" w:rsidRPr="0068206B" w:rsidRDefault="0068206B" w:rsidP="00A615A0">
      <w:pPr>
        <w:numPr>
          <w:ilvl w:val="0"/>
          <w:numId w:val="1"/>
        </w:numPr>
        <w:spacing w:after="0"/>
      </w:pPr>
      <w:r w:rsidRPr="0068206B">
        <w:t>Erlandson KM, MaWhinney S, Wilson M, Gross L, McCandless SA, Campbell TB, et al. Physical function improvements with moderate or high-intensity exercise among older adults with or without HIV infection. AIDS. 2018;32(16):2317–26.</w:t>
      </w:r>
    </w:p>
    <w:p w14:paraId="7C8224BA" w14:textId="77777777" w:rsidR="0068206B" w:rsidRPr="0068206B" w:rsidRDefault="0068206B" w:rsidP="00A615A0">
      <w:pPr>
        <w:numPr>
          <w:ilvl w:val="0"/>
          <w:numId w:val="1"/>
        </w:numPr>
        <w:spacing w:after="0"/>
      </w:pPr>
      <w:r w:rsidRPr="0068206B">
        <w:t>Enright PL. The six-minute walk test. Respir Care. 2003;48(8):783–5.</w:t>
      </w:r>
    </w:p>
    <w:p w14:paraId="3D3600CC" w14:textId="77777777" w:rsidR="0068206B" w:rsidRPr="0068206B" w:rsidRDefault="0068206B" w:rsidP="00A615A0">
      <w:pPr>
        <w:numPr>
          <w:ilvl w:val="0"/>
          <w:numId w:val="1"/>
        </w:numPr>
        <w:spacing w:after="0"/>
      </w:pPr>
      <w:r w:rsidRPr="0068206B">
        <w:t>Wu X, Liu X, Zhou Y, Yu H, Li R, Zhan Q, et al. 3-month, 6-month, 9-month, and 12-month respiratory outcomes in patients following COVID-19-related hospitalisation: a prospective study. Lancet Respir Med. 2021;9(7):747–54.</w:t>
      </w:r>
    </w:p>
    <w:p w14:paraId="58F17E71" w14:textId="77777777" w:rsidR="0068206B" w:rsidRPr="0068206B" w:rsidRDefault="0068206B" w:rsidP="00A615A0">
      <w:pPr>
        <w:numPr>
          <w:ilvl w:val="0"/>
          <w:numId w:val="1"/>
        </w:numPr>
        <w:spacing w:after="0"/>
      </w:pPr>
      <w:r w:rsidRPr="0068206B">
        <w:t>Meizlish ML, Pine AB, Bishai JD, Goshua G, Nadelmann ER, Simonov M, et al. A neutrophil activation signature predicts critical illness and mortality in COVID-19. Blood Adv. 2021;5(5):1164–77.</w:t>
      </w:r>
    </w:p>
    <w:p w14:paraId="01AEB9E0" w14:textId="77777777" w:rsidR="0068206B" w:rsidRPr="0068206B" w:rsidRDefault="0068206B" w:rsidP="00A615A0">
      <w:pPr>
        <w:numPr>
          <w:ilvl w:val="0"/>
          <w:numId w:val="1"/>
        </w:numPr>
        <w:spacing w:after="0"/>
      </w:pPr>
      <w:r w:rsidRPr="0068206B">
        <w:t>Tjendra Y, Al Mana AF, Espejo AP, Akgun Y, Millan NC, Gomez-Fernandez C, et al. Predicting disease severity and outcome in COVID-19 patients: a review of multiple biomarkers. Arch Pathol Lab Med. 2020;144(12):1465–74.</w:t>
      </w:r>
    </w:p>
    <w:p w14:paraId="317C4A80" w14:textId="77777777" w:rsidR="0068206B" w:rsidRPr="0068206B" w:rsidRDefault="0068206B" w:rsidP="00A615A0">
      <w:pPr>
        <w:numPr>
          <w:ilvl w:val="0"/>
          <w:numId w:val="1"/>
        </w:numPr>
        <w:spacing w:after="0"/>
      </w:pPr>
      <w:r w:rsidRPr="0068206B">
        <w:t>Harvey MA, Davidson JE. Postintensive care syndrome: right care, right now...And later. Crit Care Med. 2016;44(2):381–5.</w:t>
      </w:r>
    </w:p>
    <w:p w14:paraId="071140B7" w14:textId="57100911" w:rsidR="0068206B" w:rsidRPr="0068206B" w:rsidRDefault="0068206B" w:rsidP="00A615A0">
      <w:pPr>
        <w:numPr>
          <w:ilvl w:val="0"/>
          <w:numId w:val="1"/>
        </w:numPr>
        <w:spacing w:after="0"/>
      </w:pPr>
      <w:r w:rsidRPr="0068206B">
        <w:t>The Gerontological Society of America. Tip Sheets for the Synchronous, Remote Administration of Objective Functional and Frailty Measures Among Community-Dwelling Older Adults Using Video Conferencing. Available </w:t>
      </w:r>
      <w:r w:rsidRPr="00650AE9">
        <w:t>https://www.geron.org/images/documents/TechSIGtipsheet.pdf</w:t>
      </w:r>
      <w:r w:rsidRPr="0068206B">
        <w:t>. From the COVID-19 resources page: </w:t>
      </w:r>
      <w:r w:rsidRPr="00650AE9">
        <w:t>https://www.geron.org/programs-services/covid-19-updates</w:t>
      </w:r>
      <w:r w:rsidRPr="0068206B">
        <w:t>. Accessed 26 Feb 2022. Updated September 2021.</w:t>
      </w:r>
    </w:p>
    <w:p w14:paraId="7896EFBD" w14:textId="77777777" w:rsidR="0068206B" w:rsidRPr="0068206B" w:rsidRDefault="0068206B" w:rsidP="00650AE9">
      <w:pPr>
        <w:pStyle w:val="Heading1"/>
      </w:pPr>
      <w:r w:rsidRPr="0068206B">
        <w:t>Acknowledgements</w:t>
      </w:r>
    </w:p>
    <w:p w14:paraId="51781D9F" w14:textId="77777777" w:rsidR="0068206B" w:rsidRPr="0068206B" w:rsidRDefault="0068206B" w:rsidP="0068206B">
      <w:r w:rsidRPr="0068206B">
        <w:t>The authors would like to thank all participants for volunteering for this study and other individuals who contributed to the recruitment of participants and/or acquisition of data including: Katherine Frasca, MD; Larissa Pisney, MD; Molly Eaton, MD; Javier Gonzalez Plazola, BS, SPT; Marissa Holliday, BS, SPT. Thank you to Laura Churchill, PT, PhD for reviewing the manuscript.</w:t>
      </w:r>
    </w:p>
    <w:p w14:paraId="08152F43" w14:textId="77777777" w:rsidR="0068206B" w:rsidRPr="0068206B" w:rsidRDefault="0068206B" w:rsidP="00650AE9">
      <w:pPr>
        <w:pStyle w:val="Heading1"/>
      </w:pPr>
      <w:r w:rsidRPr="0068206B">
        <w:t>Funding</w:t>
      </w:r>
    </w:p>
    <w:p w14:paraId="2FC2D04B" w14:textId="18E5FE65" w:rsidR="0068206B" w:rsidRPr="0068206B" w:rsidRDefault="0068206B" w:rsidP="0068206B">
      <w:r w:rsidRPr="0068206B">
        <w:t>The project was supported by NIH/NIA R01 AG 054366-05S1 (Dr. Erlandson (PI) and Dr. Stevens-Lapsley, Co-PI). Dr. Capin was supported by NIH/NIA F32-AG066274, Advanced Geriatrics Fellowship from the United States (U.S.) Department of Veterans Affairs Geriatric Research Education and Clinical Center, and Academy of Orthopedic Physical Therapy Career Development Award. Dr. Jolley was supported by NIH/NIAAA K23 AA 026315–05. This project was supported by Health Data Compass Data Warehouse (</w:t>
      </w:r>
      <w:r w:rsidRPr="00650AE9">
        <w:t>healthdatacompass.org</w:t>
      </w:r>
      <w:r w:rsidRPr="0068206B">
        <w:t>). REDCap Database is supported by NIH/NCATS Colorado CTSA Grant Number UL1 TR002535. The funding sources played no role in the design of the study; the collection, analysis, or interpretation of data; or in the writing of the manuscript. The contents are the authors’ sole responsibility and do not necessarily represent the official views of the funding sources.</w:t>
      </w:r>
    </w:p>
    <w:p w14:paraId="245D204D" w14:textId="77777777" w:rsidR="0068206B" w:rsidRPr="0068206B" w:rsidRDefault="0068206B" w:rsidP="0068206B"/>
    <w:sectPr w:rsidR="0068206B" w:rsidRPr="0068206B" w:rsidSect="00B47339">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57499"/>
    <w:multiLevelType w:val="multilevel"/>
    <w:tmpl w:val="A770E2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A25F77"/>
    <w:multiLevelType w:val="multilevel"/>
    <w:tmpl w:val="58CCF5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7C17C30"/>
    <w:multiLevelType w:val="multilevel"/>
    <w:tmpl w:val="03A401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B106B5F"/>
    <w:multiLevelType w:val="multilevel"/>
    <w:tmpl w:val="CCB23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9D46EAF"/>
    <w:multiLevelType w:val="multilevel"/>
    <w:tmpl w:val="002263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9D97317"/>
    <w:multiLevelType w:val="multilevel"/>
    <w:tmpl w:val="24369E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06158070">
    <w:abstractNumId w:val="4"/>
  </w:num>
  <w:num w:numId="2" w16cid:durableId="1326932865">
    <w:abstractNumId w:val="3"/>
  </w:num>
  <w:num w:numId="3" w16cid:durableId="1127505404">
    <w:abstractNumId w:val="2"/>
  </w:num>
  <w:num w:numId="4" w16cid:durableId="163934604">
    <w:abstractNumId w:val="5"/>
  </w:num>
  <w:num w:numId="5" w16cid:durableId="487795282">
    <w:abstractNumId w:val="0"/>
  </w:num>
  <w:num w:numId="6" w16cid:durableId="19120406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formatting="1" w:enforcement="1" w:cryptProviderType="rsaAES" w:cryptAlgorithmClass="hash" w:cryptAlgorithmType="typeAny" w:cryptAlgorithmSid="14" w:cryptSpinCount="100000" w:hash="EKVbejatP7hqWqQZW/1nvkNkQcSEH2zSl3ZlpCrUnEKsusOhyIeHmQZcucVJxftVAdIzko0+XOIkX0IVyyIUQw==" w:salt="F7R80RyXXpcAHM+wp++pf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357CD"/>
    <w:rsid w:val="00041C27"/>
    <w:rsid w:val="000437DE"/>
    <w:rsid w:val="00043C8E"/>
    <w:rsid w:val="00044EBA"/>
    <w:rsid w:val="0004637E"/>
    <w:rsid w:val="0004717F"/>
    <w:rsid w:val="000525F1"/>
    <w:rsid w:val="0005413F"/>
    <w:rsid w:val="00057D20"/>
    <w:rsid w:val="000606A8"/>
    <w:rsid w:val="00061102"/>
    <w:rsid w:val="000628A5"/>
    <w:rsid w:val="00064ECB"/>
    <w:rsid w:val="00071537"/>
    <w:rsid w:val="000723E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4365"/>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B4E"/>
    <w:rsid w:val="00185C26"/>
    <w:rsid w:val="001904ED"/>
    <w:rsid w:val="00194429"/>
    <w:rsid w:val="00196C7C"/>
    <w:rsid w:val="001A1C71"/>
    <w:rsid w:val="001A1DF4"/>
    <w:rsid w:val="001A34C4"/>
    <w:rsid w:val="001B5117"/>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37B6C"/>
    <w:rsid w:val="0024134B"/>
    <w:rsid w:val="002457DC"/>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F604E"/>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2A3"/>
    <w:rsid w:val="003D3301"/>
    <w:rsid w:val="003D4641"/>
    <w:rsid w:val="003E05B7"/>
    <w:rsid w:val="003E0C0A"/>
    <w:rsid w:val="003E6CFF"/>
    <w:rsid w:val="004010B0"/>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18A1"/>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1C14"/>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D7ADB"/>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0AE9"/>
    <w:rsid w:val="006517B5"/>
    <w:rsid w:val="00652076"/>
    <w:rsid w:val="00653DA3"/>
    <w:rsid w:val="00654D37"/>
    <w:rsid w:val="006621F0"/>
    <w:rsid w:val="006647E7"/>
    <w:rsid w:val="00666FD4"/>
    <w:rsid w:val="00667217"/>
    <w:rsid w:val="006702C6"/>
    <w:rsid w:val="006769E6"/>
    <w:rsid w:val="00676C63"/>
    <w:rsid w:val="0068206B"/>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5382"/>
    <w:rsid w:val="006D75E1"/>
    <w:rsid w:val="006D7670"/>
    <w:rsid w:val="006E10F4"/>
    <w:rsid w:val="006E10FD"/>
    <w:rsid w:val="006E2996"/>
    <w:rsid w:val="006E2EEC"/>
    <w:rsid w:val="006E471E"/>
    <w:rsid w:val="006E4859"/>
    <w:rsid w:val="006F24E3"/>
    <w:rsid w:val="007054CF"/>
    <w:rsid w:val="007065D3"/>
    <w:rsid w:val="007071B1"/>
    <w:rsid w:val="00707EC1"/>
    <w:rsid w:val="00710582"/>
    <w:rsid w:val="00714EE9"/>
    <w:rsid w:val="007246B0"/>
    <w:rsid w:val="007258CB"/>
    <w:rsid w:val="00730E29"/>
    <w:rsid w:val="00732FF6"/>
    <w:rsid w:val="00735393"/>
    <w:rsid w:val="00745E32"/>
    <w:rsid w:val="007466F7"/>
    <w:rsid w:val="00757C62"/>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491B"/>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1C9"/>
    <w:rsid w:val="00817C16"/>
    <w:rsid w:val="00820049"/>
    <w:rsid w:val="0082013E"/>
    <w:rsid w:val="00822617"/>
    <w:rsid w:val="008226CD"/>
    <w:rsid w:val="00824B15"/>
    <w:rsid w:val="008322E3"/>
    <w:rsid w:val="00834DF7"/>
    <w:rsid w:val="00836F01"/>
    <w:rsid w:val="00840108"/>
    <w:rsid w:val="008406F5"/>
    <w:rsid w:val="00840813"/>
    <w:rsid w:val="00841F1E"/>
    <w:rsid w:val="00842203"/>
    <w:rsid w:val="008437CF"/>
    <w:rsid w:val="00850E3E"/>
    <w:rsid w:val="00864432"/>
    <w:rsid w:val="008649A3"/>
    <w:rsid w:val="0086670A"/>
    <w:rsid w:val="00870BA1"/>
    <w:rsid w:val="00873CDE"/>
    <w:rsid w:val="00874421"/>
    <w:rsid w:val="00875997"/>
    <w:rsid w:val="0087796C"/>
    <w:rsid w:val="00880932"/>
    <w:rsid w:val="008825B5"/>
    <w:rsid w:val="0088261C"/>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1704B"/>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67E77"/>
    <w:rsid w:val="009729A3"/>
    <w:rsid w:val="009732A9"/>
    <w:rsid w:val="00977C0E"/>
    <w:rsid w:val="00977F1D"/>
    <w:rsid w:val="00982217"/>
    <w:rsid w:val="00984B39"/>
    <w:rsid w:val="00986A83"/>
    <w:rsid w:val="00990645"/>
    <w:rsid w:val="00996C9A"/>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15A0"/>
    <w:rsid w:val="00A648A4"/>
    <w:rsid w:val="00A650B2"/>
    <w:rsid w:val="00A7290A"/>
    <w:rsid w:val="00A75006"/>
    <w:rsid w:val="00A80FCC"/>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21A60"/>
    <w:rsid w:val="00B30468"/>
    <w:rsid w:val="00B32160"/>
    <w:rsid w:val="00B32B07"/>
    <w:rsid w:val="00B336E9"/>
    <w:rsid w:val="00B3397D"/>
    <w:rsid w:val="00B3426B"/>
    <w:rsid w:val="00B34F7B"/>
    <w:rsid w:val="00B35999"/>
    <w:rsid w:val="00B44237"/>
    <w:rsid w:val="00B47339"/>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2DA"/>
    <w:rsid w:val="00B839A9"/>
    <w:rsid w:val="00B84C63"/>
    <w:rsid w:val="00B862E8"/>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0BF6"/>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6B7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042DE"/>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15E8"/>
    <w:rsid w:val="00DC4F7C"/>
    <w:rsid w:val="00DC7134"/>
    <w:rsid w:val="00DC7C2C"/>
    <w:rsid w:val="00DD2256"/>
    <w:rsid w:val="00DD4B55"/>
    <w:rsid w:val="00DD5871"/>
    <w:rsid w:val="00DE2F66"/>
    <w:rsid w:val="00DE4173"/>
    <w:rsid w:val="00DE4592"/>
    <w:rsid w:val="00DF6125"/>
    <w:rsid w:val="00E06404"/>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C1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47B7"/>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0FCC"/>
  </w:style>
  <w:style w:type="paragraph" w:styleId="Heading1">
    <w:name w:val="heading 1"/>
    <w:basedOn w:val="Normal"/>
    <w:next w:val="Normal"/>
    <w:link w:val="Heading1Char"/>
    <w:uiPriority w:val="9"/>
    <w:qFormat/>
    <w:rsid w:val="00A80FC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80FC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80FC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80FCC"/>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80FC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80FCC"/>
    <w:pPr>
      <w:keepNext/>
      <w:keepLines/>
      <w:spacing w:before="40" w:after="0"/>
      <w:outlineLvl w:val="5"/>
    </w:pPr>
  </w:style>
  <w:style w:type="paragraph" w:styleId="Heading7">
    <w:name w:val="heading 7"/>
    <w:basedOn w:val="Normal"/>
    <w:next w:val="Normal"/>
    <w:link w:val="Heading7Char"/>
    <w:uiPriority w:val="9"/>
    <w:semiHidden/>
    <w:unhideWhenUsed/>
    <w:qFormat/>
    <w:rsid w:val="00A80FC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80FC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80FC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0FC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80FC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80FC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80FCC"/>
    <w:rPr>
      <w:i/>
      <w:iCs/>
    </w:rPr>
  </w:style>
  <w:style w:type="character" w:customStyle="1" w:styleId="Heading5Char">
    <w:name w:val="Heading 5 Char"/>
    <w:basedOn w:val="DefaultParagraphFont"/>
    <w:link w:val="Heading5"/>
    <w:uiPriority w:val="9"/>
    <w:semiHidden/>
    <w:rsid w:val="00A80FCC"/>
    <w:rPr>
      <w:color w:val="404040" w:themeColor="text1" w:themeTint="BF"/>
    </w:rPr>
  </w:style>
  <w:style w:type="character" w:customStyle="1" w:styleId="Heading6Char">
    <w:name w:val="Heading 6 Char"/>
    <w:basedOn w:val="DefaultParagraphFont"/>
    <w:link w:val="Heading6"/>
    <w:uiPriority w:val="9"/>
    <w:semiHidden/>
    <w:rsid w:val="00A80FCC"/>
  </w:style>
  <w:style w:type="character" w:customStyle="1" w:styleId="Heading7Char">
    <w:name w:val="Heading 7 Char"/>
    <w:basedOn w:val="DefaultParagraphFont"/>
    <w:link w:val="Heading7"/>
    <w:uiPriority w:val="9"/>
    <w:semiHidden/>
    <w:rsid w:val="00A80FC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80FCC"/>
    <w:rPr>
      <w:color w:val="262626" w:themeColor="text1" w:themeTint="D9"/>
      <w:sz w:val="21"/>
      <w:szCs w:val="21"/>
    </w:rPr>
  </w:style>
  <w:style w:type="character" w:customStyle="1" w:styleId="Heading9Char">
    <w:name w:val="Heading 9 Char"/>
    <w:basedOn w:val="DefaultParagraphFont"/>
    <w:link w:val="Heading9"/>
    <w:uiPriority w:val="9"/>
    <w:semiHidden/>
    <w:rsid w:val="00A80FC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80FC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80FC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80FC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80FC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80FCC"/>
    <w:rPr>
      <w:color w:val="5A5A5A" w:themeColor="text1" w:themeTint="A5"/>
      <w:spacing w:val="15"/>
    </w:rPr>
  </w:style>
  <w:style w:type="character" w:styleId="Strong">
    <w:name w:val="Strong"/>
    <w:basedOn w:val="DefaultParagraphFont"/>
    <w:uiPriority w:val="22"/>
    <w:qFormat/>
    <w:rsid w:val="00A80FCC"/>
    <w:rPr>
      <w:b/>
      <w:bCs/>
      <w:color w:val="auto"/>
    </w:rPr>
  </w:style>
  <w:style w:type="character" w:styleId="Emphasis">
    <w:name w:val="Emphasis"/>
    <w:basedOn w:val="DefaultParagraphFont"/>
    <w:uiPriority w:val="20"/>
    <w:qFormat/>
    <w:rsid w:val="00A80FCC"/>
    <w:rPr>
      <w:i/>
      <w:iCs/>
      <w:color w:val="auto"/>
    </w:rPr>
  </w:style>
  <w:style w:type="paragraph" w:styleId="NoSpacing">
    <w:name w:val="No Spacing"/>
    <w:uiPriority w:val="1"/>
    <w:qFormat/>
    <w:rsid w:val="00A80FCC"/>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80FC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80FCC"/>
    <w:rPr>
      <w:i/>
      <w:iCs/>
      <w:color w:val="404040" w:themeColor="text1" w:themeTint="BF"/>
    </w:rPr>
  </w:style>
  <w:style w:type="paragraph" w:styleId="IntenseQuote">
    <w:name w:val="Intense Quote"/>
    <w:basedOn w:val="Normal"/>
    <w:next w:val="Normal"/>
    <w:link w:val="IntenseQuoteChar"/>
    <w:uiPriority w:val="30"/>
    <w:qFormat/>
    <w:rsid w:val="00A80FC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80FCC"/>
    <w:rPr>
      <w:i/>
      <w:iCs/>
      <w:color w:val="404040" w:themeColor="text1" w:themeTint="BF"/>
    </w:rPr>
  </w:style>
  <w:style w:type="character" w:styleId="SubtleEmphasis">
    <w:name w:val="Subtle Emphasis"/>
    <w:basedOn w:val="DefaultParagraphFont"/>
    <w:uiPriority w:val="19"/>
    <w:qFormat/>
    <w:rsid w:val="00A80FCC"/>
    <w:rPr>
      <w:i/>
      <w:iCs/>
      <w:color w:val="404040" w:themeColor="text1" w:themeTint="BF"/>
    </w:rPr>
  </w:style>
  <w:style w:type="character" w:styleId="IntenseEmphasis">
    <w:name w:val="Intense Emphasis"/>
    <w:basedOn w:val="DefaultParagraphFont"/>
    <w:uiPriority w:val="21"/>
    <w:qFormat/>
    <w:rsid w:val="00A80FCC"/>
    <w:rPr>
      <w:b/>
      <w:bCs/>
      <w:i/>
      <w:iCs/>
      <w:color w:val="auto"/>
    </w:rPr>
  </w:style>
  <w:style w:type="character" w:styleId="SubtleReference">
    <w:name w:val="Subtle Reference"/>
    <w:basedOn w:val="DefaultParagraphFont"/>
    <w:uiPriority w:val="31"/>
    <w:qFormat/>
    <w:rsid w:val="00A80FCC"/>
    <w:rPr>
      <w:smallCaps/>
      <w:color w:val="404040" w:themeColor="text1" w:themeTint="BF"/>
    </w:rPr>
  </w:style>
  <w:style w:type="character" w:styleId="IntenseReference">
    <w:name w:val="Intense Reference"/>
    <w:basedOn w:val="DefaultParagraphFont"/>
    <w:uiPriority w:val="32"/>
    <w:qFormat/>
    <w:rsid w:val="00A80FCC"/>
    <w:rPr>
      <w:b/>
      <w:bCs/>
      <w:smallCaps/>
      <w:color w:val="404040" w:themeColor="text1" w:themeTint="BF"/>
      <w:spacing w:val="5"/>
    </w:rPr>
  </w:style>
  <w:style w:type="character" w:styleId="BookTitle">
    <w:name w:val="Book Title"/>
    <w:basedOn w:val="DefaultParagraphFont"/>
    <w:uiPriority w:val="33"/>
    <w:qFormat/>
    <w:rsid w:val="00A80FCC"/>
    <w:rPr>
      <w:b/>
      <w:bCs/>
      <w:i/>
      <w:iCs/>
      <w:spacing w:val="5"/>
    </w:rPr>
  </w:style>
  <w:style w:type="paragraph" w:styleId="TOCHeading">
    <w:name w:val="TOC Heading"/>
    <w:basedOn w:val="Heading1"/>
    <w:next w:val="Normal"/>
    <w:uiPriority w:val="39"/>
    <w:semiHidden/>
    <w:unhideWhenUsed/>
    <w:qFormat/>
    <w:rsid w:val="00A80FCC"/>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68206B"/>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68206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8206B"/>
    <w:rPr>
      <w:color w:val="0000FF"/>
      <w:u w:val="single"/>
    </w:rPr>
  </w:style>
  <w:style w:type="character" w:styleId="FollowedHyperlink">
    <w:name w:val="FollowedHyperlink"/>
    <w:basedOn w:val="DefaultParagraphFont"/>
    <w:uiPriority w:val="99"/>
    <w:semiHidden/>
    <w:unhideWhenUsed/>
    <w:rsid w:val="0068206B"/>
    <w:rPr>
      <w:color w:val="800080"/>
      <w:u w:val="single"/>
    </w:rPr>
  </w:style>
  <w:style w:type="character" w:styleId="HTMLDefinition">
    <w:name w:val="HTML Definition"/>
    <w:basedOn w:val="DefaultParagraphFont"/>
    <w:uiPriority w:val="99"/>
    <w:semiHidden/>
    <w:unhideWhenUsed/>
    <w:rsid w:val="0068206B"/>
    <w:rPr>
      <w:i/>
      <w:iCs/>
    </w:rPr>
  </w:style>
  <w:style w:type="paragraph" w:customStyle="1" w:styleId="c-article-referencesitem">
    <w:name w:val="c-article-references__item"/>
    <w:basedOn w:val="Normal"/>
    <w:rsid w:val="0068206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text">
    <w:name w:val="c-article-references__text"/>
    <w:basedOn w:val="Normal"/>
    <w:rsid w:val="0068206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68206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68206B"/>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68206B"/>
    <w:rPr>
      <w:color w:val="605E5C"/>
      <w:shd w:val="clear" w:color="auto" w:fill="E1DFDD"/>
    </w:rPr>
  </w:style>
  <w:style w:type="paragraph" w:styleId="BodyText">
    <w:name w:val="Body Text"/>
    <w:basedOn w:val="Normal"/>
    <w:link w:val="BodyTextChar"/>
    <w:uiPriority w:val="99"/>
    <w:semiHidden/>
    <w:unhideWhenUsed/>
    <w:rsid w:val="00237B6C"/>
    <w:pPr>
      <w:spacing w:after="120"/>
    </w:pPr>
  </w:style>
  <w:style w:type="character" w:customStyle="1" w:styleId="BodyTextChar">
    <w:name w:val="Body Text Char"/>
    <w:basedOn w:val="DefaultParagraphFont"/>
    <w:link w:val="BodyText"/>
    <w:uiPriority w:val="99"/>
    <w:semiHidden/>
    <w:rsid w:val="00237B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4990">
      <w:bodyDiv w:val="1"/>
      <w:marLeft w:val="0"/>
      <w:marRight w:val="0"/>
      <w:marTop w:val="0"/>
      <w:marBottom w:val="0"/>
      <w:divBdr>
        <w:top w:val="none" w:sz="0" w:space="0" w:color="auto"/>
        <w:left w:val="none" w:sz="0" w:space="0" w:color="auto"/>
        <w:bottom w:val="none" w:sz="0" w:space="0" w:color="auto"/>
        <w:right w:val="none" w:sz="0" w:space="0" w:color="auto"/>
      </w:divBdr>
      <w:divsChild>
        <w:div w:id="1647011281">
          <w:marLeft w:val="0"/>
          <w:marRight w:val="0"/>
          <w:marTop w:val="0"/>
          <w:marBottom w:val="0"/>
          <w:divBdr>
            <w:top w:val="single" w:sz="6" w:space="0" w:color="D5D5D5"/>
            <w:left w:val="single" w:sz="6" w:space="0" w:color="D5D5D5"/>
            <w:bottom w:val="single" w:sz="6" w:space="0" w:color="D5D5D5"/>
            <w:right w:val="single" w:sz="6" w:space="0" w:color="D5D5D5"/>
          </w:divBdr>
          <w:divsChild>
            <w:div w:id="1759013044">
              <w:marLeft w:val="0"/>
              <w:marRight w:val="0"/>
              <w:marTop w:val="0"/>
              <w:marBottom w:val="0"/>
              <w:divBdr>
                <w:top w:val="none" w:sz="0" w:space="0" w:color="auto"/>
                <w:left w:val="none" w:sz="0" w:space="0" w:color="auto"/>
                <w:bottom w:val="none" w:sz="0" w:space="0" w:color="auto"/>
                <w:right w:val="none" w:sz="0" w:space="0" w:color="auto"/>
              </w:divBdr>
            </w:div>
          </w:divsChild>
        </w:div>
        <w:div w:id="601911864">
          <w:marLeft w:val="0"/>
          <w:marRight w:val="0"/>
          <w:marTop w:val="0"/>
          <w:marBottom w:val="0"/>
          <w:divBdr>
            <w:top w:val="none" w:sz="0" w:space="0" w:color="auto"/>
            <w:left w:val="none" w:sz="0" w:space="0" w:color="auto"/>
            <w:bottom w:val="none" w:sz="0" w:space="0" w:color="auto"/>
            <w:right w:val="none" w:sz="0" w:space="0" w:color="auto"/>
          </w:divBdr>
        </w:div>
      </w:divsChild>
    </w:div>
    <w:div w:id="136459159">
      <w:bodyDiv w:val="1"/>
      <w:marLeft w:val="0"/>
      <w:marRight w:val="0"/>
      <w:marTop w:val="0"/>
      <w:marBottom w:val="0"/>
      <w:divBdr>
        <w:top w:val="none" w:sz="0" w:space="0" w:color="auto"/>
        <w:left w:val="none" w:sz="0" w:space="0" w:color="auto"/>
        <w:bottom w:val="none" w:sz="0" w:space="0" w:color="auto"/>
        <w:right w:val="none" w:sz="0" w:space="0" w:color="auto"/>
      </w:divBdr>
    </w:div>
    <w:div w:id="161824245">
      <w:bodyDiv w:val="1"/>
      <w:marLeft w:val="0"/>
      <w:marRight w:val="0"/>
      <w:marTop w:val="0"/>
      <w:marBottom w:val="0"/>
      <w:divBdr>
        <w:top w:val="none" w:sz="0" w:space="0" w:color="auto"/>
        <w:left w:val="none" w:sz="0" w:space="0" w:color="auto"/>
        <w:bottom w:val="none" w:sz="0" w:space="0" w:color="auto"/>
        <w:right w:val="none" w:sz="0" w:space="0" w:color="auto"/>
      </w:divBdr>
      <w:divsChild>
        <w:div w:id="1205679261">
          <w:marLeft w:val="0"/>
          <w:marRight w:val="0"/>
          <w:marTop w:val="0"/>
          <w:marBottom w:val="0"/>
          <w:divBdr>
            <w:top w:val="single" w:sz="6" w:space="0" w:color="D5D5D5"/>
            <w:left w:val="single" w:sz="6" w:space="0" w:color="D5D5D5"/>
            <w:bottom w:val="single" w:sz="6" w:space="0" w:color="D5D5D5"/>
            <w:right w:val="single" w:sz="6" w:space="0" w:color="D5D5D5"/>
          </w:divBdr>
          <w:divsChild>
            <w:div w:id="1504318387">
              <w:marLeft w:val="0"/>
              <w:marRight w:val="0"/>
              <w:marTop w:val="0"/>
              <w:marBottom w:val="0"/>
              <w:divBdr>
                <w:top w:val="none" w:sz="0" w:space="0" w:color="auto"/>
                <w:left w:val="none" w:sz="0" w:space="0" w:color="auto"/>
                <w:bottom w:val="none" w:sz="0" w:space="0" w:color="auto"/>
                <w:right w:val="none" w:sz="0" w:space="0" w:color="auto"/>
              </w:divBdr>
            </w:div>
          </w:divsChild>
        </w:div>
        <w:div w:id="1854682796">
          <w:marLeft w:val="0"/>
          <w:marRight w:val="0"/>
          <w:marTop w:val="0"/>
          <w:marBottom w:val="0"/>
          <w:divBdr>
            <w:top w:val="none" w:sz="0" w:space="0" w:color="auto"/>
            <w:left w:val="none" w:sz="0" w:space="0" w:color="auto"/>
            <w:bottom w:val="none" w:sz="0" w:space="0" w:color="auto"/>
            <w:right w:val="none" w:sz="0" w:space="0" w:color="auto"/>
          </w:divBdr>
        </w:div>
      </w:divsChild>
    </w:div>
    <w:div w:id="250048624">
      <w:bodyDiv w:val="1"/>
      <w:marLeft w:val="0"/>
      <w:marRight w:val="0"/>
      <w:marTop w:val="0"/>
      <w:marBottom w:val="0"/>
      <w:divBdr>
        <w:top w:val="none" w:sz="0" w:space="0" w:color="auto"/>
        <w:left w:val="none" w:sz="0" w:space="0" w:color="auto"/>
        <w:bottom w:val="none" w:sz="0" w:space="0" w:color="auto"/>
        <w:right w:val="none" w:sz="0" w:space="0" w:color="auto"/>
      </w:divBdr>
      <w:divsChild>
        <w:div w:id="251088633">
          <w:marLeft w:val="0"/>
          <w:marRight w:val="0"/>
          <w:marTop w:val="0"/>
          <w:marBottom w:val="0"/>
          <w:divBdr>
            <w:top w:val="single" w:sz="6" w:space="0" w:color="D5D5D5"/>
            <w:left w:val="single" w:sz="6" w:space="0" w:color="D5D5D5"/>
            <w:bottom w:val="single" w:sz="6" w:space="0" w:color="D5D5D5"/>
            <w:right w:val="single" w:sz="6" w:space="0" w:color="D5D5D5"/>
          </w:divBdr>
          <w:divsChild>
            <w:div w:id="38674651">
              <w:marLeft w:val="0"/>
              <w:marRight w:val="0"/>
              <w:marTop w:val="0"/>
              <w:marBottom w:val="0"/>
              <w:divBdr>
                <w:top w:val="none" w:sz="0" w:space="0" w:color="auto"/>
                <w:left w:val="none" w:sz="0" w:space="0" w:color="auto"/>
                <w:bottom w:val="none" w:sz="0" w:space="0" w:color="auto"/>
                <w:right w:val="none" w:sz="0" w:space="0" w:color="auto"/>
              </w:divBdr>
            </w:div>
          </w:divsChild>
        </w:div>
        <w:div w:id="776295947">
          <w:marLeft w:val="0"/>
          <w:marRight w:val="0"/>
          <w:marTop w:val="0"/>
          <w:marBottom w:val="0"/>
          <w:divBdr>
            <w:top w:val="none" w:sz="0" w:space="0" w:color="auto"/>
            <w:left w:val="none" w:sz="0" w:space="0" w:color="auto"/>
            <w:bottom w:val="none" w:sz="0" w:space="0" w:color="auto"/>
            <w:right w:val="none" w:sz="0" w:space="0" w:color="auto"/>
          </w:divBdr>
        </w:div>
      </w:divsChild>
    </w:div>
    <w:div w:id="472136851">
      <w:bodyDiv w:val="1"/>
      <w:marLeft w:val="0"/>
      <w:marRight w:val="0"/>
      <w:marTop w:val="0"/>
      <w:marBottom w:val="0"/>
      <w:divBdr>
        <w:top w:val="none" w:sz="0" w:space="0" w:color="auto"/>
        <w:left w:val="none" w:sz="0" w:space="0" w:color="auto"/>
        <w:bottom w:val="none" w:sz="0" w:space="0" w:color="auto"/>
        <w:right w:val="none" w:sz="0" w:space="0" w:color="auto"/>
      </w:divBdr>
    </w:div>
    <w:div w:id="1428037663">
      <w:bodyDiv w:val="1"/>
      <w:marLeft w:val="0"/>
      <w:marRight w:val="0"/>
      <w:marTop w:val="0"/>
      <w:marBottom w:val="0"/>
      <w:divBdr>
        <w:top w:val="none" w:sz="0" w:space="0" w:color="auto"/>
        <w:left w:val="none" w:sz="0" w:space="0" w:color="auto"/>
        <w:bottom w:val="none" w:sz="0" w:space="0" w:color="auto"/>
        <w:right w:val="none" w:sz="0" w:space="0" w:color="auto"/>
      </w:divBdr>
      <w:divsChild>
        <w:div w:id="1147473155">
          <w:marLeft w:val="0"/>
          <w:marRight w:val="0"/>
          <w:marTop w:val="0"/>
          <w:marBottom w:val="0"/>
          <w:divBdr>
            <w:top w:val="none" w:sz="0" w:space="0" w:color="auto"/>
            <w:left w:val="none" w:sz="0" w:space="0" w:color="auto"/>
            <w:bottom w:val="none" w:sz="0" w:space="0" w:color="auto"/>
            <w:right w:val="none" w:sz="0" w:space="0" w:color="auto"/>
          </w:divBdr>
          <w:divsChild>
            <w:div w:id="1661613261">
              <w:marLeft w:val="0"/>
              <w:marRight w:val="0"/>
              <w:marTop w:val="0"/>
              <w:marBottom w:val="600"/>
              <w:divBdr>
                <w:top w:val="none" w:sz="0" w:space="0" w:color="auto"/>
                <w:left w:val="none" w:sz="0" w:space="0" w:color="auto"/>
                <w:bottom w:val="none" w:sz="0" w:space="0" w:color="auto"/>
                <w:right w:val="none" w:sz="0" w:space="0" w:color="auto"/>
              </w:divBdr>
            </w:div>
          </w:divsChild>
        </w:div>
        <w:div w:id="480117543">
          <w:marLeft w:val="0"/>
          <w:marRight w:val="0"/>
          <w:marTop w:val="0"/>
          <w:marBottom w:val="0"/>
          <w:divBdr>
            <w:top w:val="none" w:sz="0" w:space="0" w:color="auto"/>
            <w:left w:val="none" w:sz="0" w:space="0" w:color="auto"/>
            <w:bottom w:val="none" w:sz="0" w:space="0" w:color="auto"/>
            <w:right w:val="none" w:sz="0" w:space="0" w:color="auto"/>
          </w:divBdr>
          <w:divsChild>
            <w:div w:id="1020665916">
              <w:marLeft w:val="0"/>
              <w:marRight w:val="0"/>
              <w:marTop w:val="0"/>
              <w:marBottom w:val="600"/>
              <w:divBdr>
                <w:top w:val="none" w:sz="0" w:space="0" w:color="auto"/>
                <w:left w:val="none" w:sz="0" w:space="0" w:color="auto"/>
                <w:bottom w:val="none" w:sz="0" w:space="0" w:color="auto"/>
                <w:right w:val="none" w:sz="0" w:space="0" w:color="auto"/>
              </w:divBdr>
            </w:div>
          </w:divsChild>
        </w:div>
        <w:div w:id="261184855">
          <w:marLeft w:val="0"/>
          <w:marRight w:val="0"/>
          <w:marTop w:val="0"/>
          <w:marBottom w:val="0"/>
          <w:divBdr>
            <w:top w:val="none" w:sz="0" w:space="0" w:color="auto"/>
            <w:left w:val="none" w:sz="0" w:space="0" w:color="auto"/>
            <w:bottom w:val="none" w:sz="0" w:space="0" w:color="auto"/>
            <w:right w:val="none" w:sz="0" w:space="0" w:color="auto"/>
          </w:divBdr>
          <w:divsChild>
            <w:div w:id="1914847781">
              <w:marLeft w:val="0"/>
              <w:marRight w:val="0"/>
              <w:marTop w:val="0"/>
              <w:marBottom w:val="600"/>
              <w:divBdr>
                <w:top w:val="none" w:sz="0" w:space="0" w:color="auto"/>
                <w:left w:val="none" w:sz="0" w:space="0" w:color="auto"/>
                <w:bottom w:val="none" w:sz="0" w:space="0" w:color="auto"/>
                <w:right w:val="none" w:sz="0" w:space="0" w:color="auto"/>
              </w:divBdr>
              <w:divsChild>
                <w:div w:id="2138402768">
                  <w:marLeft w:val="0"/>
                  <w:marRight w:val="0"/>
                  <w:marTop w:val="0"/>
                  <w:marBottom w:val="360"/>
                  <w:divBdr>
                    <w:top w:val="single" w:sz="12" w:space="15" w:color="D5D5D5"/>
                    <w:left w:val="single" w:sz="12" w:space="8" w:color="D5D5D5"/>
                    <w:bottom w:val="single" w:sz="12" w:space="15" w:color="D5D5D5"/>
                    <w:right w:val="single" w:sz="12" w:space="8" w:color="D5D5D5"/>
                  </w:divBdr>
                </w:div>
                <w:div w:id="1626279305">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116101454">
                      <w:marLeft w:val="0"/>
                      <w:marRight w:val="0"/>
                      <w:marTop w:val="0"/>
                      <w:marBottom w:val="240"/>
                      <w:divBdr>
                        <w:top w:val="none" w:sz="0" w:space="0" w:color="auto"/>
                        <w:left w:val="none" w:sz="0" w:space="0" w:color="auto"/>
                        <w:bottom w:val="none" w:sz="0" w:space="0" w:color="auto"/>
                        <w:right w:val="none" w:sz="0" w:space="0" w:color="auto"/>
                      </w:divBdr>
                      <w:divsChild>
                        <w:div w:id="831068079">
                          <w:marLeft w:val="0"/>
                          <w:marRight w:val="0"/>
                          <w:marTop w:val="0"/>
                          <w:marBottom w:val="0"/>
                          <w:divBdr>
                            <w:top w:val="none" w:sz="0" w:space="0" w:color="auto"/>
                            <w:left w:val="none" w:sz="0" w:space="0" w:color="auto"/>
                            <w:bottom w:val="none" w:sz="0" w:space="0" w:color="auto"/>
                            <w:right w:val="none" w:sz="0" w:space="0" w:color="auto"/>
                          </w:divBdr>
                        </w:div>
                        <w:div w:id="68598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761192">
                  <w:marLeft w:val="0"/>
                  <w:marRight w:val="0"/>
                  <w:marTop w:val="0"/>
                  <w:marBottom w:val="360"/>
                  <w:divBdr>
                    <w:top w:val="single" w:sz="12" w:space="15" w:color="D5D5D5"/>
                    <w:left w:val="single" w:sz="12" w:space="8" w:color="D5D5D5"/>
                    <w:bottom w:val="single" w:sz="12" w:space="15" w:color="D5D5D5"/>
                    <w:right w:val="single" w:sz="12" w:space="8" w:color="D5D5D5"/>
                  </w:divBdr>
                </w:div>
                <w:div w:id="1975134434">
                  <w:marLeft w:val="0"/>
                  <w:marRight w:val="0"/>
                  <w:marTop w:val="0"/>
                  <w:marBottom w:val="360"/>
                  <w:divBdr>
                    <w:top w:val="single" w:sz="12" w:space="15" w:color="D5D5D5"/>
                    <w:left w:val="single" w:sz="12" w:space="8" w:color="D5D5D5"/>
                    <w:bottom w:val="single" w:sz="12" w:space="15" w:color="D5D5D5"/>
                    <w:right w:val="single" w:sz="12" w:space="8" w:color="D5D5D5"/>
                  </w:divBdr>
                </w:div>
                <w:div w:id="2081704973">
                  <w:marLeft w:val="0"/>
                  <w:marRight w:val="0"/>
                  <w:marTop w:val="0"/>
                  <w:marBottom w:val="360"/>
                  <w:divBdr>
                    <w:top w:val="single" w:sz="12" w:space="15" w:color="D5D5D5"/>
                    <w:left w:val="single" w:sz="12" w:space="8" w:color="D5D5D5"/>
                    <w:bottom w:val="single" w:sz="12" w:space="15" w:color="D5D5D5"/>
                    <w:right w:val="single" w:sz="12" w:space="8" w:color="D5D5D5"/>
                  </w:divBdr>
                </w:div>
                <w:div w:id="529101471">
                  <w:marLeft w:val="0"/>
                  <w:marRight w:val="0"/>
                  <w:marTop w:val="0"/>
                  <w:marBottom w:val="360"/>
                  <w:divBdr>
                    <w:top w:val="single" w:sz="12" w:space="15" w:color="D5D5D5"/>
                    <w:left w:val="single" w:sz="12" w:space="8" w:color="D5D5D5"/>
                    <w:bottom w:val="single" w:sz="12" w:space="15" w:color="D5D5D5"/>
                    <w:right w:val="single" w:sz="12" w:space="8" w:color="D5D5D5"/>
                  </w:divBdr>
                </w:div>
                <w:div w:id="1728526694">
                  <w:marLeft w:val="0"/>
                  <w:marRight w:val="0"/>
                  <w:marTop w:val="0"/>
                  <w:marBottom w:val="360"/>
                  <w:divBdr>
                    <w:top w:val="single" w:sz="12" w:space="15" w:color="D5D5D5"/>
                    <w:left w:val="single" w:sz="12" w:space="8" w:color="D5D5D5"/>
                    <w:bottom w:val="single" w:sz="12" w:space="15" w:color="D5D5D5"/>
                    <w:right w:val="single" w:sz="12" w:space="8" w:color="D5D5D5"/>
                  </w:divBdr>
                </w:div>
                <w:div w:id="56367706">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150361575">
                      <w:marLeft w:val="0"/>
                      <w:marRight w:val="0"/>
                      <w:marTop w:val="0"/>
                      <w:marBottom w:val="240"/>
                      <w:divBdr>
                        <w:top w:val="none" w:sz="0" w:space="0" w:color="auto"/>
                        <w:left w:val="none" w:sz="0" w:space="0" w:color="auto"/>
                        <w:bottom w:val="none" w:sz="0" w:space="0" w:color="auto"/>
                        <w:right w:val="none" w:sz="0" w:space="0" w:color="auto"/>
                      </w:divBdr>
                      <w:divsChild>
                        <w:div w:id="562955237">
                          <w:marLeft w:val="0"/>
                          <w:marRight w:val="0"/>
                          <w:marTop w:val="0"/>
                          <w:marBottom w:val="0"/>
                          <w:divBdr>
                            <w:top w:val="none" w:sz="0" w:space="0" w:color="auto"/>
                            <w:left w:val="none" w:sz="0" w:space="0" w:color="auto"/>
                            <w:bottom w:val="none" w:sz="0" w:space="0" w:color="auto"/>
                            <w:right w:val="none" w:sz="0" w:space="0" w:color="auto"/>
                          </w:divBdr>
                        </w:div>
                        <w:div w:id="72895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15029">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700516986">
                      <w:marLeft w:val="0"/>
                      <w:marRight w:val="0"/>
                      <w:marTop w:val="0"/>
                      <w:marBottom w:val="240"/>
                      <w:divBdr>
                        <w:top w:val="none" w:sz="0" w:space="0" w:color="auto"/>
                        <w:left w:val="none" w:sz="0" w:space="0" w:color="auto"/>
                        <w:bottom w:val="none" w:sz="0" w:space="0" w:color="auto"/>
                        <w:right w:val="none" w:sz="0" w:space="0" w:color="auto"/>
                      </w:divBdr>
                      <w:divsChild>
                        <w:div w:id="1838230924">
                          <w:marLeft w:val="0"/>
                          <w:marRight w:val="0"/>
                          <w:marTop w:val="0"/>
                          <w:marBottom w:val="0"/>
                          <w:divBdr>
                            <w:top w:val="none" w:sz="0" w:space="0" w:color="auto"/>
                            <w:left w:val="none" w:sz="0" w:space="0" w:color="auto"/>
                            <w:bottom w:val="none" w:sz="0" w:space="0" w:color="auto"/>
                            <w:right w:val="none" w:sz="0" w:space="0" w:color="auto"/>
                          </w:divBdr>
                        </w:div>
                        <w:div w:id="1533616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3501532">
          <w:marLeft w:val="0"/>
          <w:marRight w:val="0"/>
          <w:marTop w:val="0"/>
          <w:marBottom w:val="0"/>
          <w:divBdr>
            <w:top w:val="none" w:sz="0" w:space="0" w:color="auto"/>
            <w:left w:val="none" w:sz="0" w:space="0" w:color="auto"/>
            <w:bottom w:val="none" w:sz="0" w:space="0" w:color="auto"/>
            <w:right w:val="none" w:sz="0" w:space="0" w:color="auto"/>
          </w:divBdr>
          <w:divsChild>
            <w:div w:id="2111969542">
              <w:marLeft w:val="0"/>
              <w:marRight w:val="0"/>
              <w:marTop w:val="0"/>
              <w:marBottom w:val="600"/>
              <w:divBdr>
                <w:top w:val="none" w:sz="0" w:space="0" w:color="auto"/>
                <w:left w:val="none" w:sz="0" w:space="0" w:color="auto"/>
                <w:bottom w:val="none" w:sz="0" w:space="0" w:color="auto"/>
                <w:right w:val="none" w:sz="0" w:space="0" w:color="auto"/>
              </w:divBdr>
            </w:div>
          </w:divsChild>
        </w:div>
        <w:div w:id="1964462971">
          <w:marLeft w:val="0"/>
          <w:marRight w:val="0"/>
          <w:marTop w:val="0"/>
          <w:marBottom w:val="0"/>
          <w:divBdr>
            <w:top w:val="none" w:sz="0" w:space="0" w:color="auto"/>
            <w:left w:val="none" w:sz="0" w:space="0" w:color="auto"/>
            <w:bottom w:val="none" w:sz="0" w:space="0" w:color="auto"/>
            <w:right w:val="none" w:sz="0" w:space="0" w:color="auto"/>
          </w:divBdr>
          <w:divsChild>
            <w:div w:id="1156653315">
              <w:marLeft w:val="0"/>
              <w:marRight w:val="0"/>
              <w:marTop w:val="0"/>
              <w:marBottom w:val="600"/>
              <w:divBdr>
                <w:top w:val="none" w:sz="0" w:space="0" w:color="auto"/>
                <w:left w:val="none" w:sz="0" w:space="0" w:color="auto"/>
                <w:bottom w:val="none" w:sz="0" w:space="0" w:color="auto"/>
                <w:right w:val="none" w:sz="0" w:space="0" w:color="auto"/>
              </w:divBdr>
            </w:div>
          </w:divsChild>
        </w:div>
        <w:div w:id="1119446505">
          <w:marLeft w:val="0"/>
          <w:marRight w:val="0"/>
          <w:marTop w:val="0"/>
          <w:marBottom w:val="0"/>
          <w:divBdr>
            <w:top w:val="none" w:sz="0" w:space="0" w:color="auto"/>
            <w:left w:val="none" w:sz="0" w:space="0" w:color="auto"/>
            <w:bottom w:val="none" w:sz="0" w:space="0" w:color="auto"/>
            <w:right w:val="none" w:sz="0" w:space="0" w:color="auto"/>
          </w:divBdr>
          <w:divsChild>
            <w:div w:id="655884590">
              <w:marLeft w:val="0"/>
              <w:marRight w:val="0"/>
              <w:marTop w:val="0"/>
              <w:marBottom w:val="600"/>
              <w:divBdr>
                <w:top w:val="none" w:sz="0" w:space="0" w:color="auto"/>
                <w:left w:val="none" w:sz="0" w:space="0" w:color="auto"/>
                <w:bottom w:val="none" w:sz="0" w:space="0" w:color="auto"/>
                <w:right w:val="none" w:sz="0" w:space="0" w:color="auto"/>
              </w:divBdr>
            </w:div>
          </w:divsChild>
        </w:div>
        <w:div w:id="1054695927">
          <w:marLeft w:val="0"/>
          <w:marRight w:val="0"/>
          <w:marTop w:val="0"/>
          <w:marBottom w:val="0"/>
          <w:divBdr>
            <w:top w:val="none" w:sz="0" w:space="0" w:color="auto"/>
            <w:left w:val="none" w:sz="0" w:space="0" w:color="auto"/>
            <w:bottom w:val="none" w:sz="0" w:space="0" w:color="auto"/>
            <w:right w:val="none" w:sz="0" w:space="0" w:color="auto"/>
          </w:divBdr>
          <w:divsChild>
            <w:div w:id="1100029575">
              <w:marLeft w:val="0"/>
              <w:marRight w:val="0"/>
              <w:marTop w:val="0"/>
              <w:marBottom w:val="600"/>
              <w:divBdr>
                <w:top w:val="none" w:sz="0" w:space="0" w:color="auto"/>
                <w:left w:val="none" w:sz="0" w:space="0" w:color="auto"/>
                <w:bottom w:val="none" w:sz="0" w:space="0" w:color="auto"/>
                <w:right w:val="none" w:sz="0" w:space="0" w:color="auto"/>
              </w:divBdr>
            </w:div>
          </w:divsChild>
        </w:div>
        <w:div w:id="1937445278">
          <w:marLeft w:val="0"/>
          <w:marRight w:val="0"/>
          <w:marTop w:val="0"/>
          <w:marBottom w:val="0"/>
          <w:divBdr>
            <w:top w:val="none" w:sz="0" w:space="0" w:color="auto"/>
            <w:left w:val="none" w:sz="0" w:space="0" w:color="auto"/>
            <w:bottom w:val="none" w:sz="0" w:space="0" w:color="auto"/>
            <w:right w:val="none" w:sz="0" w:space="0" w:color="auto"/>
          </w:divBdr>
          <w:divsChild>
            <w:div w:id="1175075637">
              <w:marLeft w:val="0"/>
              <w:marRight w:val="0"/>
              <w:marTop w:val="0"/>
              <w:marBottom w:val="0"/>
              <w:divBdr>
                <w:top w:val="none" w:sz="0" w:space="0" w:color="auto"/>
                <w:left w:val="none" w:sz="0" w:space="0" w:color="auto"/>
                <w:bottom w:val="none" w:sz="0" w:space="0" w:color="auto"/>
                <w:right w:val="none" w:sz="0" w:space="0" w:color="auto"/>
              </w:divBdr>
              <w:divsChild>
                <w:div w:id="323321263">
                  <w:marLeft w:val="0"/>
                  <w:marRight w:val="0"/>
                  <w:marTop w:val="0"/>
                  <w:marBottom w:val="600"/>
                  <w:divBdr>
                    <w:top w:val="none" w:sz="0" w:space="0" w:color="auto"/>
                    <w:left w:val="none" w:sz="0" w:space="0" w:color="auto"/>
                    <w:bottom w:val="none" w:sz="0" w:space="0" w:color="auto"/>
                    <w:right w:val="none" w:sz="0" w:space="0" w:color="auto"/>
                  </w:divBdr>
                  <w:divsChild>
                    <w:div w:id="2133473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7013906">
          <w:marLeft w:val="0"/>
          <w:marRight w:val="0"/>
          <w:marTop w:val="0"/>
          <w:marBottom w:val="0"/>
          <w:divBdr>
            <w:top w:val="none" w:sz="0" w:space="0" w:color="auto"/>
            <w:left w:val="none" w:sz="0" w:space="0" w:color="auto"/>
            <w:bottom w:val="none" w:sz="0" w:space="0" w:color="auto"/>
            <w:right w:val="none" w:sz="0" w:space="0" w:color="auto"/>
          </w:divBdr>
          <w:divsChild>
            <w:div w:id="1479617034">
              <w:marLeft w:val="0"/>
              <w:marRight w:val="0"/>
              <w:marTop w:val="0"/>
              <w:marBottom w:val="600"/>
              <w:divBdr>
                <w:top w:val="none" w:sz="0" w:space="0" w:color="auto"/>
                <w:left w:val="none" w:sz="0" w:space="0" w:color="auto"/>
                <w:bottom w:val="none" w:sz="0" w:space="0" w:color="auto"/>
                <w:right w:val="none" w:sz="0" w:space="0" w:color="auto"/>
              </w:divBdr>
            </w:div>
          </w:divsChild>
        </w:div>
        <w:div w:id="706296701">
          <w:marLeft w:val="0"/>
          <w:marRight w:val="0"/>
          <w:marTop w:val="0"/>
          <w:marBottom w:val="0"/>
          <w:divBdr>
            <w:top w:val="none" w:sz="0" w:space="0" w:color="auto"/>
            <w:left w:val="none" w:sz="0" w:space="0" w:color="auto"/>
            <w:bottom w:val="none" w:sz="0" w:space="0" w:color="auto"/>
            <w:right w:val="none" w:sz="0" w:space="0" w:color="auto"/>
          </w:divBdr>
          <w:divsChild>
            <w:div w:id="2105878505">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1510832202">
      <w:bodyDiv w:val="1"/>
      <w:marLeft w:val="0"/>
      <w:marRight w:val="0"/>
      <w:marTop w:val="0"/>
      <w:marBottom w:val="0"/>
      <w:divBdr>
        <w:top w:val="none" w:sz="0" w:space="0" w:color="auto"/>
        <w:left w:val="none" w:sz="0" w:space="0" w:color="auto"/>
        <w:bottom w:val="none" w:sz="0" w:space="0" w:color="auto"/>
        <w:right w:val="none" w:sz="0" w:space="0" w:color="auto"/>
      </w:divBdr>
      <w:divsChild>
        <w:div w:id="1659187960">
          <w:marLeft w:val="0"/>
          <w:marRight w:val="0"/>
          <w:marTop w:val="0"/>
          <w:marBottom w:val="0"/>
          <w:divBdr>
            <w:top w:val="single" w:sz="6" w:space="0" w:color="D5D5D5"/>
            <w:left w:val="single" w:sz="6" w:space="0" w:color="D5D5D5"/>
            <w:bottom w:val="single" w:sz="6" w:space="0" w:color="D5D5D5"/>
            <w:right w:val="single" w:sz="6" w:space="0" w:color="D5D5D5"/>
          </w:divBdr>
          <w:divsChild>
            <w:div w:id="661665408">
              <w:marLeft w:val="0"/>
              <w:marRight w:val="0"/>
              <w:marTop w:val="0"/>
              <w:marBottom w:val="0"/>
              <w:divBdr>
                <w:top w:val="none" w:sz="0" w:space="0" w:color="auto"/>
                <w:left w:val="none" w:sz="0" w:space="0" w:color="auto"/>
                <w:bottom w:val="none" w:sz="0" w:space="0" w:color="auto"/>
                <w:right w:val="none" w:sz="0" w:space="0" w:color="auto"/>
              </w:divBdr>
            </w:div>
          </w:divsChild>
        </w:div>
        <w:div w:id="906185198">
          <w:marLeft w:val="0"/>
          <w:marRight w:val="0"/>
          <w:marTop w:val="0"/>
          <w:marBottom w:val="0"/>
          <w:divBdr>
            <w:top w:val="none" w:sz="0" w:space="0" w:color="auto"/>
            <w:left w:val="none" w:sz="0" w:space="0" w:color="auto"/>
            <w:bottom w:val="none" w:sz="0" w:space="0" w:color="auto"/>
            <w:right w:val="none" w:sz="0" w:space="0" w:color="auto"/>
          </w:divBdr>
        </w:div>
      </w:divsChild>
    </w:div>
    <w:div w:id="1942452169">
      <w:bodyDiv w:val="1"/>
      <w:marLeft w:val="0"/>
      <w:marRight w:val="0"/>
      <w:marTop w:val="0"/>
      <w:marBottom w:val="0"/>
      <w:divBdr>
        <w:top w:val="none" w:sz="0" w:space="0" w:color="auto"/>
        <w:left w:val="none" w:sz="0" w:space="0" w:color="auto"/>
        <w:bottom w:val="none" w:sz="0" w:space="0" w:color="auto"/>
        <w:right w:val="none" w:sz="0" w:space="0" w:color="auto"/>
      </w:divBdr>
      <w:divsChild>
        <w:div w:id="414982787">
          <w:marLeft w:val="0"/>
          <w:marRight w:val="0"/>
          <w:marTop w:val="0"/>
          <w:marBottom w:val="0"/>
          <w:divBdr>
            <w:top w:val="single" w:sz="6" w:space="0" w:color="D5D5D5"/>
            <w:left w:val="single" w:sz="6" w:space="0" w:color="D5D5D5"/>
            <w:bottom w:val="single" w:sz="6" w:space="0" w:color="D5D5D5"/>
            <w:right w:val="single" w:sz="6" w:space="0" w:color="D5D5D5"/>
          </w:divBdr>
          <w:divsChild>
            <w:div w:id="1388529236">
              <w:marLeft w:val="0"/>
              <w:marRight w:val="0"/>
              <w:marTop w:val="0"/>
              <w:marBottom w:val="0"/>
              <w:divBdr>
                <w:top w:val="none" w:sz="0" w:space="0" w:color="auto"/>
                <w:left w:val="none" w:sz="0" w:space="0" w:color="auto"/>
                <w:bottom w:val="none" w:sz="0" w:space="0" w:color="auto"/>
                <w:right w:val="none" w:sz="0" w:space="0" w:color="auto"/>
              </w:divBdr>
            </w:div>
          </w:divsChild>
        </w:div>
        <w:div w:id="3906632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86/s12877-022-02854-6" TargetMode="Externa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bmcgeriatr.biomedcentral.com/articles/10.1186/s12877-022-02854-6/figures/2"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image" Target="media/image3.png"/><Relationship Id="rId10" Type="http://schemas.openxmlformats.org/officeDocument/2006/relationships/hyperlink" Target="https://bmcgeriatr.biomedcentral.com/articles/10.1186/s12877-022-02854-6/figures/1"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bmcgeriatr.biomedcentral.com/articles/10.1186/s12877-022-02854-6/figures/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2D3393-796F-4F23-A857-5645A3748E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20</Pages>
  <Words>8001</Words>
  <Characters>45607</Characters>
  <Application>Microsoft Office Word</Application>
  <DocSecurity>8</DocSecurity>
  <Lines>380</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Farmer, Avery</dc:creator>
  <cp:keywords/>
  <dc:description/>
  <cp:lastModifiedBy>Olson, Sharon</cp:lastModifiedBy>
  <cp:revision>45</cp:revision>
  <dcterms:created xsi:type="dcterms:W3CDTF">2022-10-06T18:31:00Z</dcterms:created>
  <dcterms:modified xsi:type="dcterms:W3CDTF">2022-10-17T16:31:00Z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