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C182A1D" w:rsidR="000A7622" w:rsidRPr="00C04F25" w:rsidRDefault="00C46888"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65A2FDF" w:rsidR="000A7622" w:rsidRDefault="00E30B07" w:rsidP="00D14423">
      <w:pPr>
        <w:rPr>
          <w:rFonts w:cstheme="minorHAnsi"/>
          <w:sz w:val="24"/>
          <w:szCs w:val="24"/>
        </w:rPr>
      </w:pPr>
      <w:r>
        <w:rPr>
          <w:rFonts w:cstheme="minorHAnsi"/>
          <w:i/>
          <w:sz w:val="24"/>
          <w:szCs w:val="24"/>
          <w:lang w:val="fr-FR"/>
        </w:rPr>
        <w:t xml:space="preserve">Sports </w:t>
      </w:r>
      <w:proofErr w:type="spellStart"/>
      <w:r>
        <w:rPr>
          <w:rFonts w:cstheme="minorHAnsi"/>
          <w:i/>
          <w:sz w:val="24"/>
          <w:szCs w:val="24"/>
          <w:lang w:val="fr-FR"/>
        </w:rPr>
        <w:t>Biomechanics</w:t>
      </w:r>
      <w:proofErr w:type="spellEnd"/>
      <w:r w:rsidR="000A7622" w:rsidRPr="00C04F25">
        <w:rPr>
          <w:rFonts w:cstheme="minorHAnsi"/>
          <w:sz w:val="24"/>
          <w:szCs w:val="24"/>
          <w:lang w:val="fr-FR"/>
        </w:rPr>
        <w:t xml:space="preserve">, Vol. </w:t>
      </w:r>
      <w:r>
        <w:rPr>
          <w:rFonts w:cstheme="minorHAnsi"/>
          <w:sz w:val="24"/>
          <w:szCs w:val="24"/>
          <w:lang w:val="fr-FR"/>
        </w:rPr>
        <w:t>20</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Pr="00E30B07">
        <w:rPr>
          <w:rFonts w:cstheme="minorHAnsi"/>
          <w:sz w:val="24"/>
          <w:szCs w:val="24"/>
          <w:lang w:val="fr-FR"/>
        </w:rPr>
        <w:t>532-542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Pr="00E30B07">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Pr="00E30B07">
        <w:rPr>
          <w:rFonts w:cstheme="minorHAnsi"/>
          <w:sz w:val="24"/>
          <w:szCs w:val="24"/>
        </w:rPr>
        <w:t>Taylor &amp; Francis (Routledge)</w:t>
      </w:r>
      <w:r w:rsidR="000A7622" w:rsidRPr="00C04F25">
        <w:rPr>
          <w:rFonts w:cstheme="minorHAnsi"/>
          <w:sz w:val="24"/>
          <w:szCs w:val="24"/>
        </w:rPr>
        <w:t xml:space="preserve">. </w:t>
      </w:r>
      <w:bookmarkEnd w:id="1"/>
    </w:p>
    <w:p w14:paraId="7E20267A" w14:textId="32711E51" w:rsidR="008461EB" w:rsidRDefault="008461EB" w:rsidP="00D14423">
      <w:pPr>
        <w:rPr>
          <w:rFonts w:cstheme="minorHAnsi"/>
          <w:sz w:val="24"/>
          <w:szCs w:val="24"/>
        </w:rPr>
      </w:pPr>
    </w:p>
    <w:p w14:paraId="4266D06C" w14:textId="7547552B" w:rsidR="00481326" w:rsidRDefault="00481326" w:rsidP="00E30B07">
      <w:pPr>
        <w:pStyle w:val="Title"/>
      </w:pPr>
      <w:r w:rsidRPr="00481326">
        <w:t xml:space="preserve">Hip </w:t>
      </w:r>
      <w:r w:rsidR="00E30B07" w:rsidRPr="00481326">
        <w:t xml:space="preserve">Moment and Knee Power Eccentric </w:t>
      </w:r>
      <w:proofErr w:type="spellStart"/>
      <w:r w:rsidR="00E30B07" w:rsidRPr="00481326">
        <w:t>Utilisation</w:t>
      </w:r>
      <w:proofErr w:type="spellEnd"/>
      <w:r w:rsidR="00E30B07" w:rsidRPr="00481326">
        <w:t xml:space="preserve"> Ratios Determine Lower-Extremity Stretch-Shortening Cycle Performance </w:t>
      </w:r>
    </w:p>
    <w:p w14:paraId="7B91D3BE" w14:textId="77777777" w:rsidR="00E30B07" w:rsidRPr="00E30B07" w:rsidRDefault="00E30B07" w:rsidP="00E30B07"/>
    <w:p w14:paraId="129C55AE" w14:textId="77777777" w:rsidR="006D1A4A" w:rsidRPr="006D1A4A" w:rsidRDefault="006D1A4A" w:rsidP="006D1A4A">
      <w:pPr>
        <w:pStyle w:val="NoSpacing"/>
        <w:rPr>
          <w:sz w:val="32"/>
          <w:szCs w:val="32"/>
        </w:rPr>
      </w:pPr>
      <w:r w:rsidRPr="006D1A4A">
        <w:rPr>
          <w:sz w:val="32"/>
          <w:szCs w:val="32"/>
        </w:rPr>
        <w:t>Kristof Kipp</w:t>
      </w:r>
    </w:p>
    <w:p w14:paraId="2C9C770D" w14:textId="5D78B07D" w:rsidR="006D1A4A" w:rsidRPr="006D1A4A" w:rsidRDefault="006D1A4A" w:rsidP="006D1A4A">
      <w:pPr>
        <w:pStyle w:val="NoSpacing"/>
        <w:rPr>
          <w:sz w:val="24"/>
          <w:szCs w:val="24"/>
        </w:rPr>
      </w:pPr>
      <w:r w:rsidRPr="006D1A4A">
        <w:rPr>
          <w:sz w:val="24"/>
          <w:szCs w:val="24"/>
        </w:rPr>
        <w:t>Department of Physical Therapy – Program in Exercise Science, College of Health Sciences, Marquette</w:t>
      </w:r>
      <w:r w:rsidRPr="006D1A4A">
        <w:rPr>
          <w:sz w:val="24"/>
          <w:szCs w:val="24"/>
        </w:rPr>
        <w:t xml:space="preserve"> </w:t>
      </w:r>
      <w:r w:rsidRPr="006D1A4A">
        <w:rPr>
          <w:sz w:val="24"/>
          <w:szCs w:val="24"/>
        </w:rPr>
        <w:t>University, Milwaukee, WI</w:t>
      </w:r>
    </w:p>
    <w:p w14:paraId="78895DB6" w14:textId="77777777" w:rsidR="006D1A4A" w:rsidRPr="006D1A4A" w:rsidRDefault="006D1A4A" w:rsidP="006D1A4A">
      <w:pPr>
        <w:pStyle w:val="NoSpacing"/>
        <w:rPr>
          <w:sz w:val="32"/>
          <w:szCs w:val="32"/>
        </w:rPr>
      </w:pPr>
      <w:r w:rsidRPr="006D1A4A">
        <w:rPr>
          <w:sz w:val="32"/>
          <w:szCs w:val="32"/>
        </w:rPr>
        <w:t xml:space="preserve">John </w:t>
      </w:r>
      <w:proofErr w:type="spellStart"/>
      <w:r w:rsidRPr="006D1A4A">
        <w:rPr>
          <w:sz w:val="32"/>
          <w:szCs w:val="32"/>
        </w:rPr>
        <w:t>Krzyszkowski</w:t>
      </w:r>
      <w:proofErr w:type="spellEnd"/>
    </w:p>
    <w:p w14:paraId="63487278" w14:textId="5333FBC3" w:rsidR="006D1A4A" w:rsidRPr="006D1A4A" w:rsidRDefault="006D1A4A" w:rsidP="006D1A4A">
      <w:pPr>
        <w:pStyle w:val="NoSpacing"/>
        <w:rPr>
          <w:sz w:val="24"/>
          <w:szCs w:val="24"/>
        </w:rPr>
      </w:pPr>
      <w:r w:rsidRPr="006D1A4A">
        <w:rPr>
          <w:sz w:val="24"/>
          <w:szCs w:val="24"/>
        </w:rPr>
        <w:t>Department of Physical Therapy – Program in Exercise Science, College of Health Sciences, Marquette University, Milwaukee, WI</w:t>
      </w:r>
    </w:p>
    <w:p w14:paraId="30288E32" w14:textId="48DD0CFF" w:rsidR="00CE4658" w:rsidRPr="006D1A4A" w:rsidRDefault="006D1A4A" w:rsidP="006D1A4A">
      <w:pPr>
        <w:pStyle w:val="NoSpacing"/>
        <w:rPr>
          <w:sz w:val="32"/>
          <w:szCs w:val="32"/>
        </w:rPr>
      </w:pPr>
      <w:r w:rsidRPr="006D1A4A">
        <w:rPr>
          <w:sz w:val="32"/>
          <w:szCs w:val="32"/>
        </w:rPr>
        <w:t xml:space="preserve">Jordi </w:t>
      </w:r>
      <w:proofErr w:type="spellStart"/>
      <w:r w:rsidRPr="006D1A4A">
        <w:rPr>
          <w:sz w:val="32"/>
          <w:szCs w:val="32"/>
        </w:rPr>
        <w:t>Heeneman</w:t>
      </w:r>
      <w:proofErr w:type="spellEnd"/>
    </w:p>
    <w:p w14:paraId="08CEE1EB" w14:textId="4B5745C2" w:rsidR="006D1A4A" w:rsidRPr="006D1A4A" w:rsidRDefault="006D1A4A" w:rsidP="006D1A4A">
      <w:pPr>
        <w:pStyle w:val="NoSpacing"/>
        <w:rPr>
          <w:sz w:val="24"/>
          <w:szCs w:val="24"/>
        </w:rPr>
      </w:pPr>
      <w:r w:rsidRPr="006D1A4A">
        <w:rPr>
          <w:sz w:val="24"/>
          <w:szCs w:val="24"/>
        </w:rPr>
        <w:t>Department of Physical Therapy – Program in Exercise Science, College of Health Sciences, Marquette University, Milwaukee, WI</w:t>
      </w:r>
    </w:p>
    <w:p w14:paraId="24EA1F2E" w14:textId="77777777" w:rsidR="00CE4658" w:rsidRPr="00481326" w:rsidRDefault="00CE4658" w:rsidP="00481326">
      <w:pPr>
        <w:rPr>
          <w:rFonts w:cstheme="minorHAnsi"/>
          <w:sz w:val="24"/>
          <w:szCs w:val="24"/>
        </w:rPr>
      </w:pPr>
    </w:p>
    <w:p w14:paraId="6B64E2C3" w14:textId="77777777" w:rsidR="00B93663" w:rsidRDefault="00B93663" w:rsidP="00B93663">
      <w:pPr>
        <w:pStyle w:val="Heading1"/>
      </w:pPr>
      <w:r>
        <w:t>Abstract</w:t>
      </w:r>
    </w:p>
    <w:p w14:paraId="38730E17" w14:textId="56B1505D" w:rsidR="00CE4658" w:rsidRPr="00CE4658" w:rsidRDefault="00CE4658" w:rsidP="00CE4658">
      <w:pPr>
        <w:rPr>
          <w:rFonts w:cstheme="minorHAnsi"/>
          <w:sz w:val="24"/>
          <w:szCs w:val="24"/>
        </w:rPr>
      </w:pPr>
      <w:r w:rsidRPr="00CE4658">
        <w:rPr>
          <w:rFonts w:cstheme="minorHAnsi"/>
          <w:sz w:val="24"/>
          <w:szCs w:val="24"/>
        </w:rPr>
        <w:t xml:space="preserve">The eccentric </w:t>
      </w:r>
      <w:proofErr w:type="spellStart"/>
      <w:r w:rsidRPr="00CE4658">
        <w:rPr>
          <w:rFonts w:cstheme="minorHAnsi"/>
          <w:sz w:val="24"/>
          <w:szCs w:val="24"/>
        </w:rPr>
        <w:t>utilisation</w:t>
      </w:r>
      <w:proofErr w:type="spellEnd"/>
      <w:r w:rsidRPr="00CE4658">
        <w:rPr>
          <w:rFonts w:cstheme="minorHAnsi"/>
          <w:sz w:val="24"/>
          <w:szCs w:val="24"/>
        </w:rPr>
        <w:t xml:space="preserve"> ratio (EUR) is calculated as the ratio between countermovement jump (CMJ) and squat jump (SJ) </w:t>
      </w:r>
      <w:proofErr w:type="gramStart"/>
      <w:r w:rsidRPr="00CE4658">
        <w:rPr>
          <w:rFonts w:cstheme="minorHAnsi"/>
          <w:sz w:val="24"/>
          <w:szCs w:val="24"/>
        </w:rPr>
        <w:t>heights, and</w:t>
      </w:r>
      <w:proofErr w:type="gramEnd"/>
      <w:r w:rsidRPr="00CE4658">
        <w:rPr>
          <w:rFonts w:cstheme="minorHAnsi"/>
          <w:sz w:val="24"/>
          <w:szCs w:val="24"/>
        </w:rPr>
        <w:t xml:space="preserve"> is an indicator of lower-extremity stretch-shortening cycle (SSC) performance in athletes. Joint-based EUR can also be calculated but have never been reported. The purpose of this study was to investigate whether jump height-based (JH-based) EUR can be predicted by joint-specific EUR. Nine NCAA Division I college athletes (age: 21 ± 1 year, height: 1.75 ± 0.15 m, mass: 71 ± 20 kg) performed three SJ and CMJ. During all jumps, kinematic and kinetic data were obtained and used to calculate hip, </w:t>
      </w:r>
      <w:proofErr w:type="gramStart"/>
      <w:r w:rsidRPr="00CE4658">
        <w:rPr>
          <w:rFonts w:cstheme="minorHAnsi"/>
          <w:sz w:val="24"/>
          <w:szCs w:val="24"/>
        </w:rPr>
        <w:t>knee</w:t>
      </w:r>
      <w:proofErr w:type="gramEnd"/>
      <w:r w:rsidRPr="00CE4658">
        <w:rPr>
          <w:rFonts w:cstheme="minorHAnsi"/>
          <w:sz w:val="24"/>
          <w:szCs w:val="24"/>
        </w:rPr>
        <w:t xml:space="preserve"> and ankle net joint moments (NJM) and net joint powers (NJP). JH was calculated from pelvis marker data. EUR (CMJ/SJ [unitless]) were calculated for JH, NJM, and NJP. JH-EUR was 1.11 ± 0.70. NJM-EUR were 1.07 ± 0.17, 1.17 ± 0.25, and 1.07 ± 0.18 for the hip, </w:t>
      </w:r>
      <w:proofErr w:type="gramStart"/>
      <w:r w:rsidRPr="00CE4658">
        <w:rPr>
          <w:rFonts w:cstheme="minorHAnsi"/>
          <w:sz w:val="24"/>
          <w:szCs w:val="24"/>
        </w:rPr>
        <w:t>knee</w:t>
      </w:r>
      <w:proofErr w:type="gramEnd"/>
      <w:r w:rsidRPr="00CE4658">
        <w:rPr>
          <w:rFonts w:cstheme="minorHAnsi"/>
          <w:sz w:val="24"/>
          <w:szCs w:val="24"/>
        </w:rPr>
        <w:t xml:space="preserve"> and ankle joint, respectively. NJP-EUR were 1.41 ± 0.12, 1.26 ± 0.28 and 1.06 ± 0.11 for the hip, </w:t>
      </w:r>
      <w:proofErr w:type="gramStart"/>
      <w:r w:rsidRPr="00CE4658">
        <w:rPr>
          <w:rFonts w:cstheme="minorHAnsi"/>
          <w:sz w:val="24"/>
          <w:szCs w:val="24"/>
        </w:rPr>
        <w:t>knee</w:t>
      </w:r>
      <w:proofErr w:type="gramEnd"/>
      <w:r w:rsidRPr="00CE4658">
        <w:rPr>
          <w:rFonts w:cstheme="minorHAnsi"/>
          <w:sz w:val="24"/>
          <w:szCs w:val="24"/>
        </w:rPr>
        <w:t xml:space="preserve"> and ankle joint, respectively. </w:t>
      </w:r>
      <w:proofErr w:type="spellStart"/>
      <w:r w:rsidRPr="00CE4658">
        <w:rPr>
          <w:rFonts w:cstheme="minorHAnsi"/>
          <w:sz w:val="24"/>
          <w:szCs w:val="24"/>
        </w:rPr>
        <w:t>Regularised</w:t>
      </w:r>
      <w:proofErr w:type="spellEnd"/>
      <w:r w:rsidRPr="00CE4658">
        <w:rPr>
          <w:rFonts w:cstheme="minorHAnsi"/>
          <w:sz w:val="24"/>
          <w:szCs w:val="24"/>
        </w:rPr>
        <w:t xml:space="preserve"> regression showed that Hip-NJM-EUR, Knee-NJP-</w:t>
      </w:r>
      <w:proofErr w:type="gramStart"/>
      <w:r w:rsidRPr="00CE4658">
        <w:rPr>
          <w:rFonts w:cstheme="minorHAnsi"/>
          <w:sz w:val="24"/>
          <w:szCs w:val="24"/>
        </w:rPr>
        <w:t>EUR</w:t>
      </w:r>
      <w:proofErr w:type="gramEnd"/>
      <w:r w:rsidRPr="00CE4658">
        <w:rPr>
          <w:rFonts w:cstheme="minorHAnsi"/>
          <w:sz w:val="24"/>
          <w:szCs w:val="24"/>
        </w:rPr>
        <w:t xml:space="preserve"> and Ankle-NJM-EUR were able to predict 83% of the variance in JH-EUR, which suggests that the enhancement of lower-extremity SSC performance during CMJ arises from a combination of these parameters.</w:t>
      </w:r>
    </w:p>
    <w:p w14:paraId="690EB814" w14:textId="77777777" w:rsidR="00B93663" w:rsidRDefault="00CE4658" w:rsidP="00B93663">
      <w:pPr>
        <w:pStyle w:val="Heading1"/>
      </w:pPr>
      <w:r w:rsidRPr="00CE4658">
        <w:t>Keywords</w:t>
      </w:r>
    </w:p>
    <w:p w14:paraId="30F04DAA" w14:textId="024AFF7F" w:rsidR="00CE4658" w:rsidRPr="00CE4658" w:rsidRDefault="00CE4658" w:rsidP="00CE4658">
      <w:pPr>
        <w:rPr>
          <w:rFonts w:cstheme="minorHAnsi"/>
          <w:sz w:val="24"/>
          <w:szCs w:val="24"/>
        </w:rPr>
      </w:pPr>
      <w:r w:rsidRPr="00CE4658">
        <w:rPr>
          <w:rFonts w:cstheme="minorHAnsi"/>
          <w:sz w:val="24"/>
          <w:szCs w:val="24"/>
        </w:rPr>
        <w:t>Biomechanics</w:t>
      </w:r>
      <w:r w:rsidR="00B93663">
        <w:rPr>
          <w:rFonts w:cstheme="minorHAnsi"/>
          <w:sz w:val="24"/>
          <w:szCs w:val="24"/>
        </w:rPr>
        <w:t>,</w:t>
      </w:r>
      <w:r w:rsidRPr="00CE4658">
        <w:rPr>
          <w:rFonts w:cstheme="minorHAnsi"/>
          <w:sz w:val="24"/>
          <w:szCs w:val="24"/>
        </w:rPr>
        <w:t xml:space="preserve"> LASSO</w:t>
      </w:r>
      <w:r w:rsidR="00B93663">
        <w:rPr>
          <w:rFonts w:cstheme="minorHAnsi"/>
          <w:sz w:val="24"/>
          <w:szCs w:val="24"/>
        </w:rPr>
        <w:t>,</w:t>
      </w:r>
      <w:r w:rsidRPr="00CE4658">
        <w:rPr>
          <w:rFonts w:cstheme="minorHAnsi"/>
          <w:sz w:val="24"/>
          <w:szCs w:val="24"/>
        </w:rPr>
        <w:t xml:space="preserve"> elastic net</w:t>
      </w:r>
      <w:r w:rsidR="00B93663">
        <w:rPr>
          <w:rFonts w:cstheme="minorHAnsi"/>
          <w:sz w:val="24"/>
          <w:szCs w:val="24"/>
        </w:rPr>
        <w:t>,</w:t>
      </w:r>
      <w:r w:rsidRPr="00CE4658">
        <w:rPr>
          <w:rFonts w:cstheme="minorHAnsi"/>
          <w:sz w:val="24"/>
          <w:szCs w:val="24"/>
        </w:rPr>
        <w:t xml:space="preserve"> countermovement jump</w:t>
      </w:r>
      <w:r w:rsidR="00B93663">
        <w:rPr>
          <w:rFonts w:cstheme="minorHAnsi"/>
          <w:sz w:val="24"/>
          <w:szCs w:val="24"/>
        </w:rPr>
        <w:t>,</w:t>
      </w:r>
      <w:r w:rsidRPr="00CE4658">
        <w:rPr>
          <w:rFonts w:cstheme="minorHAnsi"/>
          <w:sz w:val="24"/>
          <w:szCs w:val="24"/>
        </w:rPr>
        <w:t xml:space="preserve"> pre-stretch augmentation</w:t>
      </w:r>
    </w:p>
    <w:p w14:paraId="0DE04D46" w14:textId="02C41F3D" w:rsidR="00CE4658" w:rsidRPr="00B93663" w:rsidRDefault="00CE4658" w:rsidP="00B93663">
      <w:pPr>
        <w:pStyle w:val="Heading1"/>
      </w:pPr>
      <w:r w:rsidRPr="00E30B07">
        <w:t>Introduction</w:t>
      </w:r>
    </w:p>
    <w:p w14:paraId="71013A16" w14:textId="511C9509" w:rsidR="00CE4658" w:rsidRPr="00CE4658" w:rsidRDefault="00CE4658" w:rsidP="00CE4658">
      <w:pPr>
        <w:rPr>
          <w:rFonts w:cstheme="minorHAnsi"/>
          <w:sz w:val="24"/>
          <w:szCs w:val="24"/>
        </w:rPr>
      </w:pPr>
      <w:r w:rsidRPr="00CE4658">
        <w:rPr>
          <w:rFonts w:cstheme="minorHAnsi"/>
          <w:sz w:val="24"/>
          <w:szCs w:val="24"/>
        </w:rPr>
        <w:t xml:space="preserve">Sports scientists and strength and conditioning practitioners often measure and monitor parameters related to stretch-shortening cycle (SSC) function and performance, because effective use of the SSC is important for performance in several athletic activities and sports (Cronin, McNair, &amp; Marshall, </w:t>
      </w:r>
      <w:r w:rsidR="00E30B07">
        <w:rPr>
          <w:rFonts w:cstheme="minorHAnsi"/>
          <w:sz w:val="24"/>
          <w:szCs w:val="24"/>
        </w:rPr>
        <w:t>[</w:t>
      </w:r>
      <w:r w:rsidRPr="00CE4658">
        <w:rPr>
          <w:rFonts w:cstheme="minorHAnsi"/>
          <w:sz w:val="24"/>
          <w:szCs w:val="24"/>
        </w:rPr>
        <w:t xml:space="preserve">5]; McGuigan, Cormack, &amp; Gill, [12]; McGuigan, Doyle, Newton, &amp; Edwards, [13]; McMaster, Gill, Cronin, &amp; McGuigan, [14]). SSC performance is often assessed through various types of jumping exercises, such as the countermovement jump (CMJ) and the squat jump (SJ) (Cronin et al., </w:t>
      </w:r>
      <w:r w:rsidR="00E30B07">
        <w:rPr>
          <w:rFonts w:cstheme="minorHAnsi"/>
          <w:sz w:val="24"/>
          <w:szCs w:val="24"/>
        </w:rPr>
        <w:t>[</w:t>
      </w:r>
      <w:r w:rsidRPr="00CE4658">
        <w:rPr>
          <w:rFonts w:cstheme="minorHAnsi"/>
          <w:sz w:val="24"/>
          <w:szCs w:val="24"/>
        </w:rPr>
        <w:t xml:space="preserve">5]; McGuigan et al., [12], [13]; McMaster et al., [14]; </w:t>
      </w:r>
      <w:proofErr w:type="spellStart"/>
      <w:r w:rsidRPr="00CE4658">
        <w:rPr>
          <w:rFonts w:cstheme="minorHAnsi"/>
          <w:sz w:val="24"/>
          <w:szCs w:val="24"/>
        </w:rPr>
        <w:t>Suchomel</w:t>
      </w:r>
      <w:proofErr w:type="spellEnd"/>
      <w:r w:rsidRPr="00CE4658">
        <w:rPr>
          <w:rFonts w:cstheme="minorHAnsi"/>
          <w:sz w:val="24"/>
          <w:szCs w:val="24"/>
        </w:rPr>
        <w:t xml:space="preserve">, Sole, &amp; Stone, [18]). It is also common </w:t>
      </w:r>
      <w:proofErr w:type="spellStart"/>
      <w:r w:rsidRPr="00CE4658">
        <w:rPr>
          <w:rFonts w:cstheme="minorHAnsi"/>
          <w:sz w:val="24"/>
          <w:szCs w:val="24"/>
        </w:rPr>
        <w:t>practise</w:t>
      </w:r>
      <w:proofErr w:type="spellEnd"/>
      <w:r w:rsidRPr="00CE4658">
        <w:rPr>
          <w:rFonts w:cstheme="minorHAnsi"/>
          <w:sz w:val="24"/>
          <w:szCs w:val="24"/>
        </w:rPr>
        <w:t xml:space="preserve"> to calculate the ratio or per cent difference between the performance outcomes from these two exercises, because these variables purportedly provide information on how well an athlete </w:t>
      </w:r>
      <w:proofErr w:type="spellStart"/>
      <w:r w:rsidRPr="00CE4658">
        <w:rPr>
          <w:rFonts w:cstheme="minorHAnsi"/>
          <w:sz w:val="24"/>
          <w:szCs w:val="24"/>
        </w:rPr>
        <w:t>utilises</w:t>
      </w:r>
      <w:proofErr w:type="spellEnd"/>
      <w:r w:rsidRPr="00CE4658">
        <w:rPr>
          <w:rFonts w:cstheme="minorHAnsi"/>
          <w:sz w:val="24"/>
          <w:szCs w:val="24"/>
        </w:rPr>
        <w:t xml:space="preserve"> the SSC (</w:t>
      </w:r>
      <w:proofErr w:type="spellStart"/>
      <w:r w:rsidRPr="00CE4658">
        <w:rPr>
          <w:rFonts w:cstheme="minorHAnsi"/>
          <w:sz w:val="24"/>
          <w:szCs w:val="24"/>
        </w:rPr>
        <w:t>Suchomel</w:t>
      </w:r>
      <w:proofErr w:type="spellEnd"/>
      <w:r w:rsidRPr="00CE4658">
        <w:rPr>
          <w:rFonts w:cstheme="minorHAnsi"/>
          <w:sz w:val="24"/>
          <w:szCs w:val="24"/>
        </w:rPr>
        <w:t xml:space="preserve"> et al., [18]).</w:t>
      </w:r>
    </w:p>
    <w:p w14:paraId="571E5F05" w14:textId="2B4E4D2B" w:rsidR="00CE4658" w:rsidRPr="00CE4658" w:rsidRDefault="00CE4658" w:rsidP="00CE4658">
      <w:pPr>
        <w:rPr>
          <w:rFonts w:cstheme="minorHAnsi"/>
          <w:sz w:val="24"/>
          <w:szCs w:val="24"/>
        </w:rPr>
      </w:pPr>
      <w:r w:rsidRPr="00CE4658">
        <w:rPr>
          <w:rFonts w:cstheme="minorHAnsi"/>
          <w:sz w:val="24"/>
          <w:szCs w:val="24"/>
        </w:rPr>
        <w:t xml:space="preserve">The eccentric </w:t>
      </w:r>
      <w:proofErr w:type="spellStart"/>
      <w:r w:rsidRPr="00CE4658">
        <w:rPr>
          <w:rFonts w:cstheme="minorHAnsi"/>
          <w:sz w:val="24"/>
          <w:szCs w:val="24"/>
        </w:rPr>
        <w:t>utilisation</w:t>
      </w:r>
      <w:proofErr w:type="spellEnd"/>
      <w:r w:rsidRPr="00CE4658">
        <w:rPr>
          <w:rFonts w:cstheme="minorHAnsi"/>
          <w:sz w:val="24"/>
          <w:szCs w:val="24"/>
        </w:rPr>
        <w:t xml:space="preserve"> ratio (EUR) represents the ratio between CMJ and SJ </w:t>
      </w:r>
      <w:proofErr w:type="gramStart"/>
      <w:r w:rsidRPr="00CE4658">
        <w:rPr>
          <w:rFonts w:cstheme="minorHAnsi"/>
          <w:sz w:val="24"/>
          <w:szCs w:val="24"/>
        </w:rPr>
        <w:t>performance, and</w:t>
      </w:r>
      <w:proofErr w:type="gramEnd"/>
      <w:r w:rsidRPr="00CE4658">
        <w:rPr>
          <w:rFonts w:cstheme="minorHAnsi"/>
          <w:sz w:val="24"/>
          <w:szCs w:val="24"/>
        </w:rPr>
        <w:t xml:space="preserve"> is commonly used as an indicator of lower-extremity SSC function in athletes (Cronin et al., </w:t>
      </w:r>
      <w:r w:rsidR="00E30B07">
        <w:rPr>
          <w:rFonts w:cstheme="minorHAnsi"/>
          <w:sz w:val="24"/>
          <w:szCs w:val="24"/>
        </w:rPr>
        <w:t>[</w:t>
      </w:r>
      <w:r w:rsidRPr="00CE4658">
        <w:rPr>
          <w:rFonts w:cstheme="minorHAnsi"/>
          <w:sz w:val="24"/>
          <w:szCs w:val="24"/>
        </w:rPr>
        <w:t xml:space="preserve">5]; McGuigan et al., [12], [13]; McMaster et al., [14]; </w:t>
      </w:r>
      <w:proofErr w:type="spellStart"/>
      <w:r w:rsidRPr="00CE4658">
        <w:rPr>
          <w:rFonts w:cstheme="minorHAnsi"/>
          <w:sz w:val="24"/>
          <w:szCs w:val="24"/>
        </w:rPr>
        <w:t>Suchomel</w:t>
      </w:r>
      <w:proofErr w:type="spellEnd"/>
      <w:r w:rsidRPr="00CE4658">
        <w:rPr>
          <w:rFonts w:cstheme="minorHAnsi"/>
          <w:sz w:val="24"/>
          <w:szCs w:val="24"/>
        </w:rPr>
        <w:t xml:space="preserve"> et al., [18]). JH-based (JH-based) EUR calculations have been used to monitor acute and chronic training responses, assess player- and position-specific differences in jump performance and guide the </w:t>
      </w:r>
      <w:proofErr w:type="spellStart"/>
      <w:r w:rsidRPr="00CE4658">
        <w:rPr>
          <w:rFonts w:cstheme="minorHAnsi"/>
          <w:sz w:val="24"/>
          <w:szCs w:val="24"/>
        </w:rPr>
        <w:t>programme</w:t>
      </w:r>
      <w:proofErr w:type="spellEnd"/>
      <w:r w:rsidRPr="00CE4658">
        <w:rPr>
          <w:rFonts w:cstheme="minorHAnsi"/>
          <w:sz w:val="24"/>
          <w:szCs w:val="24"/>
        </w:rPr>
        <w:t xml:space="preserve"> design process of individual athletes (Lloyd, Oliver, Hughes, &amp; Williams, </w:t>
      </w:r>
      <w:r w:rsidR="00E30B07">
        <w:rPr>
          <w:rFonts w:cstheme="minorHAnsi"/>
          <w:sz w:val="24"/>
          <w:szCs w:val="24"/>
        </w:rPr>
        <w:t>[</w:t>
      </w:r>
      <w:r w:rsidRPr="00CE4658">
        <w:rPr>
          <w:rFonts w:cstheme="minorHAnsi"/>
          <w:sz w:val="24"/>
          <w:szCs w:val="24"/>
        </w:rPr>
        <w:t xml:space="preserve">9]; Markovic, [10]; McMaster, Gill, Cronin, &amp; McGuigan, [15]; Oliver, Armstrong, &amp; Williams, [16]; </w:t>
      </w:r>
      <w:proofErr w:type="spellStart"/>
      <w:r w:rsidRPr="00CE4658">
        <w:rPr>
          <w:rFonts w:cstheme="minorHAnsi"/>
          <w:sz w:val="24"/>
          <w:szCs w:val="24"/>
        </w:rPr>
        <w:t>Secomb</w:t>
      </w:r>
      <w:proofErr w:type="spellEnd"/>
      <w:r w:rsidRPr="00CE4658">
        <w:rPr>
          <w:rFonts w:cstheme="minorHAnsi"/>
          <w:sz w:val="24"/>
          <w:szCs w:val="24"/>
        </w:rPr>
        <w:t xml:space="preserve"> et al., [17]). For example, McMaster et al. ([15]) suggested that individuals with high EUR have </w:t>
      </w:r>
      <w:proofErr w:type="spellStart"/>
      <w:r w:rsidRPr="00CE4658">
        <w:rPr>
          <w:rFonts w:cstheme="minorHAnsi"/>
          <w:sz w:val="24"/>
          <w:szCs w:val="24"/>
        </w:rPr>
        <w:t>maximised</w:t>
      </w:r>
      <w:proofErr w:type="spellEnd"/>
      <w:r w:rsidRPr="00CE4658">
        <w:rPr>
          <w:rFonts w:cstheme="minorHAnsi"/>
          <w:sz w:val="24"/>
          <w:szCs w:val="24"/>
        </w:rPr>
        <w:t xml:space="preserve"> their SSC contribution to muscle force production and may thus benefit most from focused fast-concentric training, whereas individuals with low EUR may benefit most from SSC/plyometric training. This notion is supported by data from McGuigan et al. ([13]) who showed that the EUR increases from off-season to preseason training periods as players begin to focus more on sport-specific and plyometric-type exercises.</w:t>
      </w:r>
    </w:p>
    <w:p w14:paraId="43301490" w14:textId="5133F2EB" w:rsidR="00CE4658" w:rsidRPr="00CE4658" w:rsidRDefault="00CE4658" w:rsidP="00CE4658">
      <w:pPr>
        <w:rPr>
          <w:rFonts w:cstheme="minorHAnsi"/>
          <w:sz w:val="24"/>
          <w:szCs w:val="24"/>
        </w:rPr>
      </w:pPr>
      <w:r w:rsidRPr="00CE4658">
        <w:rPr>
          <w:rFonts w:cstheme="minorHAnsi"/>
          <w:sz w:val="24"/>
          <w:szCs w:val="24"/>
        </w:rPr>
        <w:t xml:space="preserve">To augment the information that JH-based EUR provides, some authors also calculate EUR for other variables, such as peak force or power (McGuigan et al., [13]; </w:t>
      </w:r>
      <w:proofErr w:type="spellStart"/>
      <w:r w:rsidRPr="00CE4658">
        <w:rPr>
          <w:rFonts w:cstheme="minorHAnsi"/>
          <w:sz w:val="24"/>
          <w:szCs w:val="24"/>
        </w:rPr>
        <w:t>Suchomel</w:t>
      </w:r>
      <w:proofErr w:type="spellEnd"/>
      <w:r w:rsidRPr="00CE4658">
        <w:rPr>
          <w:rFonts w:cstheme="minorHAnsi"/>
          <w:sz w:val="24"/>
          <w:szCs w:val="24"/>
        </w:rPr>
        <w:t xml:space="preserve"> et al., [18]). One way to achieve this is to assess the mechanics of the </w:t>
      </w:r>
      <w:proofErr w:type="spellStart"/>
      <w:r w:rsidRPr="00CE4658">
        <w:rPr>
          <w:rFonts w:cstheme="minorHAnsi"/>
          <w:sz w:val="24"/>
          <w:szCs w:val="24"/>
        </w:rPr>
        <w:t>centre</w:t>
      </w:r>
      <w:proofErr w:type="spellEnd"/>
      <w:r w:rsidRPr="00CE4658">
        <w:rPr>
          <w:rFonts w:cstheme="minorHAnsi"/>
          <w:sz w:val="24"/>
          <w:szCs w:val="24"/>
        </w:rPr>
        <w:t>-of-mass during the SJ and CMJ with a force plate, calculate the peak force or power for both types of jumps, and subsequently calculate the EUR (</w:t>
      </w:r>
      <w:proofErr w:type="spellStart"/>
      <w:r w:rsidRPr="00CE4658">
        <w:rPr>
          <w:rFonts w:cstheme="minorHAnsi"/>
          <w:sz w:val="24"/>
          <w:szCs w:val="24"/>
        </w:rPr>
        <w:t>Suchomel</w:t>
      </w:r>
      <w:proofErr w:type="spellEnd"/>
      <w:r w:rsidRPr="00CE4658">
        <w:rPr>
          <w:rFonts w:cstheme="minorHAnsi"/>
          <w:sz w:val="24"/>
          <w:szCs w:val="24"/>
        </w:rPr>
        <w:t xml:space="preserve"> et al., [18]). Some researchers even report that the power-based EUR is more sensitive in detecting training-related differences (McGuigan et al., [13]). That said, variables related to </w:t>
      </w:r>
      <w:proofErr w:type="spellStart"/>
      <w:r w:rsidRPr="00CE4658">
        <w:rPr>
          <w:rFonts w:cstheme="minorHAnsi"/>
          <w:sz w:val="24"/>
          <w:szCs w:val="24"/>
        </w:rPr>
        <w:t>centre</w:t>
      </w:r>
      <w:proofErr w:type="spellEnd"/>
      <w:r w:rsidRPr="00CE4658">
        <w:rPr>
          <w:rFonts w:cstheme="minorHAnsi"/>
          <w:sz w:val="24"/>
          <w:szCs w:val="24"/>
        </w:rPr>
        <w:t xml:space="preserve">-of-mass mechanics, such as lower-extremity peak power or impulse are also associated with some limitations. For example, lower-extremity power correlates with jump performance in only some studies (Aragón-Vargas &amp; Gross, </w:t>
      </w:r>
      <w:r w:rsidR="00E30B07">
        <w:rPr>
          <w:rFonts w:cstheme="minorHAnsi"/>
          <w:sz w:val="24"/>
          <w:szCs w:val="24"/>
        </w:rPr>
        <w:t>[</w:t>
      </w:r>
      <w:r w:rsidRPr="00CE4658">
        <w:rPr>
          <w:rFonts w:cstheme="minorHAnsi"/>
          <w:sz w:val="24"/>
          <w:szCs w:val="24"/>
        </w:rPr>
        <w:t xml:space="preserve">1]; Dowling &amp; </w:t>
      </w:r>
      <w:proofErr w:type="spellStart"/>
      <w:r w:rsidRPr="00CE4658">
        <w:rPr>
          <w:rFonts w:cstheme="minorHAnsi"/>
          <w:sz w:val="24"/>
          <w:szCs w:val="24"/>
        </w:rPr>
        <w:t>Vamos</w:t>
      </w:r>
      <w:proofErr w:type="spellEnd"/>
      <w:r w:rsidRPr="00CE4658">
        <w:rPr>
          <w:rFonts w:cstheme="minorHAnsi"/>
          <w:sz w:val="24"/>
          <w:szCs w:val="24"/>
        </w:rPr>
        <w:t xml:space="preserve">, </w:t>
      </w:r>
      <w:r w:rsidR="00E30B07">
        <w:rPr>
          <w:rFonts w:cstheme="minorHAnsi"/>
          <w:sz w:val="24"/>
          <w:szCs w:val="24"/>
        </w:rPr>
        <w:t>[</w:t>
      </w:r>
      <w:r w:rsidRPr="00CE4658">
        <w:rPr>
          <w:rFonts w:cstheme="minorHAnsi"/>
          <w:sz w:val="24"/>
          <w:szCs w:val="24"/>
        </w:rPr>
        <w:t xml:space="preserve">6]). In contrast, net mechanical impulse is a much better predictor of JH Kirby, McBride, Haines, &amp; Dayne, </w:t>
      </w:r>
      <w:r w:rsidR="00E30B07">
        <w:rPr>
          <w:rFonts w:cstheme="minorHAnsi"/>
          <w:sz w:val="24"/>
          <w:szCs w:val="24"/>
        </w:rPr>
        <w:t>[</w:t>
      </w:r>
      <w:r w:rsidRPr="00CE4658">
        <w:rPr>
          <w:rFonts w:cstheme="minorHAnsi"/>
          <w:sz w:val="24"/>
          <w:szCs w:val="24"/>
        </w:rPr>
        <w:t xml:space="preserve">7]), but may not provide enough level of detail about jump strategies at the whole-body level (Aragón-Vargas &amp; Gross, </w:t>
      </w:r>
      <w:r w:rsidR="00E30B07">
        <w:rPr>
          <w:rFonts w:cstheme="minorHAnsi"/>
          <w:sz w:val="24"/>
          <w:szCs w:val="24"/>
        </w:rPr>
        <w:t>[</w:t>
      </w:r>
      <w:r w:rsidRPr="00CE4658">
        <w:rPr>
          <w:rFonts w:cstheme="minorHAnsi"/>
          <w:sz w:val="24"/>
          <w:szCs w:val="24"/>
        </w:rPr>
        <w:t xml:space="preserve">1]). Peak net joint moments (NJM) and powers are better able to differentiate between good and bad jumpers (McMaster et al., [14]; </w:t>
      </w:r>
      <w:proofErr w:type="spellStart"/>
      <w:r w:rsidRPr="00CE4658">
        <w:rPr>
          <w:rFonts w:cstheme="minorHAnsi"/>
          <w:sz w:val="24"/>
          <w:szCs w:val="24"/>
        </w:rPr>
        <w:t>Vanezis</w:t>
      </w:r>
      <w:proofErr w:type="spellEnd"/>
      <w:r w:rsidRPr="00CE4658">
        <w:rPr>
          <w:rFonts w:cstheme="minorHAnsi"/>
          <w:sz w:val="24"/>
          <w:szCs w:val="24"/>
        </w:rPr>
        <w:t xml:space="preserve"> &amp; Lees, [20]). Some of the equivocal and contrasting findings on JH-based EUR reported in previous studies may thus stem from limitations associated with lower-extremity measures of SSC performance because they do not adequately account for joint-level dynamics.</w:t>
      </w:r>
    </w:p>
    <w:p w14:paraId="2691B8AC" w14:textId="19ACA8C1" w:rsidR="00CE4658" w:rsidRPr="00CE4658" w:rsidRDefault="00CE4658" w:rsidP="00CE4658">
      <w:pPr>
        <w:rPr>
          <w:rFonts w:cstheme="minorHAnsi"/>
          <w:sz w:val="24"/>
          <w:szCs w:val="24"/>
        </w:rPr>
      </w:pPr>
      <w:r w:rsidRPr="00CE4658">
        <w:rPr>
          <w:rFonts w:cstheme="minorHAnsi"/>
          <w:sz w:val="24"/>
          <w:szCs w:val="24"/>
        </w:rPr>
        <w:t>Although joint-level differences between CMJ and SJ have been reported (</w:t>
      </w:r>
      <w:proofErr w:type="spellStart"/>
      <w:r w:rsidRPr="00CE4658">
        <w:rPr>
          <w:rFonts w:cstheme="minorHAnsi"/>
          <w:sz w:val="24"/>
          <w:szCs w:val="24"/>
        </w:rPr>
        <w:t>Bobbert</w:t>
      </w:r>
      <w:proofErr w:type="spellEnd"/>
      <w:r w:rsidRPr="00CE4658">
        <w:rPr>
          <w:rFonts w:cstheme="minorHAnsi"/>
          <w:sz w:val="24"/>
          <w:szCs w:val="24"/>
        </w:rPr>
        <w:t xml:space="preserve"> &amp; Casius, </w:t>
      </w:r>
      <w:r w:rsidR="00E30B07">
        <w:rPr>
          <w:rFonts w:cstheme="minorHAnsi"/>
          <w:sz w:val="24"/>
          <w:szCs w:val="24"/>
        </w:rPr>
        <w:t>[</w:t>
      </w:r>
      <w:r w:rsidRPr="00CE4658">
        <w:rPr>
          <w:rFonts w:cstheme="minorHAnsi"/>
          <w:sz w:val="24"/>
          <w:szCs w:val="24"/>
        </w:rPr>
        <w:t xml:space="preserve">2]; </w:t>
      </w:r>
      <w:proofErr w:type="spellStart"/>
      <w:r w:rsidRPr="00CE4658">
        <w:rPr>
          <w:rFonts w:cstheme="minorHAnsi"/>
          <w:sz w:val="24"/>
          <w:szCs w:val="24"/>
        </w:rPr>
        <w:t>Bobbert</w:t>
      </w:r>
      <w:proofErr w:type="spellEnd"/>
      <w:r w:rsidRPr="00CE4658">
        <w:rPr>
          <w:rFonts w:cstheme="minorHAnsi"/>
          <w:sz w:val="24"/>
          <w:szCs w:val="24"/>
        </w:rPr>
        <w:t xml:space="preserve">, Gerritsen, </w:t>
      </w:r>
      <w:proofErr w:type="spellStart"/>
      <w:r w:rsidRPr="00CE4658">
        <w:rPr>
          <w:rFonts w:cstheme="minorHAnsi"/>
          <w:sz w:val="24"/>
          <w:szCs w:val="24"/>
        </w:rPr>
        <w:t>Litjens</w:t>
      </w:r>
      <w:proofErr w:type="spellEnd"/>
      <w:r w:rsidRPr="00CE4658">
        <w:rPr>
          <w:rFonts w:cstheme="minorHAnsi"/>
          <w:sz w:val="24"/>
          <w:szCs w:val="24"/>
        </w:rPr>
        <w:t xml:space="preserve">, &amp; Van </w:t>
      </w:r>
      <w:proofErr w:type="spellStart"/>
      <w:r w:rsidRPr="00CE4658">
        <w:rPr>
          <w:rFonts w:cstheme="minorHAnsi"/>
          <w:sz w:val="24"/>
          <w:szCs w:val="24"/>
        </w:rPr>
        <w:t>Soest</w:t>
      </w:r>
      <w:proofErr w:type="spellEnd"/>
      <w:r w:rsidRPr="00CE4658">
        <w:rPr>
          <w:rFonts w:cstheme="minorHAnsi"/>
          <w:sz w:val="24"/>
          <w:szCs w:val="24"/>
        </w:rPr>
        <w:t xml:space="preserve">, </w:t>
      </w:r>
      <w:r w:rsidR="00E30B07">
        <w:rPr>
          <w:rFonts w:cstheme="minorHAnsi"/>
          <w:sz w:val="24"/>
          <w:szCs w:val="24"/>
        </w:rPr>
        <w:t>[</w:t>
      </w:r>
      <w:r w:rsidRPr="00CE4658">
        <w:rPr>
          <w:rFonts w:cstheme="minorHAnsi"/>
          <w:sz w:val="24"/>
          <w:szCs w:val="24"/>
        </w:rPr>
        <w:t xml:space="preserve">3]), joint-level EUR have never been calculated. This means that the joint-specific contributions to lower-extremity EUR are also not known. However, calculating joint-specific EUR and determining their contributions to lower-extremity EUR would help expand our understanding about neuromuscular control and biomechanical function of jumping exercises, and could provide novel and pragmatic insights for the </w:t>
      </w:r>
      <w:proofErr w:type="spellStart"/>
      <w:r w:rsidRPr="00CE4658">
        <w:rPr>
          <w:rFonts w:cstheme="minorHAnsi"/>
          <w:sz w:val="24"/>
          <w:szCs w:val="24"/>
        </w:rPr>
        <w:t>programme</w:t>
      </w:r>
      <w:proofErr w:type="spellEnd"/>
      <w:r w:rsidRPr="00CE4658">
        <w:rPr>
          <w:rFonts w:cstheme="minorHAnsi"/>
          <w:sz w:val="24"/>
          <w:szCs w:val="24"/>
        </w:rPr>
        <w:t xml:space="preserve"> design and training process. Furthermore, given that sports scientists and coaches often calculate lower-extremity EUR and use it to assess and monitor lower body performance it would be advantageous for them to know which joints or joint-level variables (e.g., joint moments or powers) contribute to lower-extremity EUR based on JH. The purpose of this study was therefore to determine the joint-based mechanical contributions of the hip, knee, and ankle EUR to lower-extremity (i.e., JH-based) EUR. We </w:t>
      </w:r>
      <w:proofErr w:type="spellStart"/>
      <w:r w:rsidRPr="00CE4658">
        <w:rPr>
          <w:rFonts w:cstheme="minorHAnsi"/>
          <w:sz w:val="24"/>
          <w:szCs w:val="24"/>
        </w:rPr>
        <w:t>hypothesised</w:t>
      </w:r>
      <w:proofErr w:type="spellEnd"/>
      <w:r w:rsidRPr="00CE4658">
        <w:rPr>
          <w:rFonts w:cstheme="minorHAnsi"/>
          <w:sz w:val="24"/>
          <w:szCs w:val="24"/>
        </w:rPr>
        <w:t xml:space="preserve"> that it would be possible to predict lower-extremity EUR from a combination of joint-level EUR variables.</w:t>
      </w:r>
    </w:p>
    <w:p w14:paraId="3F666897" w14:textId="19DF62DD" w:rsidR="00CE4658" w:rsidRPr="00B93663" w:rsidRDefault="00CE4658" w:rsidP="00B93663">
      <w:pPr>
        <w:pStyle w:val="Heading1"/>
      </w:pPr>
      <w:r w:rsidRPr="00E30B07">
        <w:t>Methods</w:t>
      </w:r>
    </w:p>
    <w:p w14:paraId="56C734FB" w14:textId="66174940" w:rsidR="00CE4658" w:rsidRPr="00B93663" w:rsidRDefault="00CE4658" w:rsidP="00B93663">
      <w:pPr>
        <w:pStyle w:val="Heading2"/>
      </w:pPr>
      <w:r w:rsidRPr="00E30B07">
        <w:t>Participants</w:t>
      </w:r>
    </w:p>
    <w:p w14:paraId="33487001" w14:textId="77777777" w:rsidR="00CE4658" w:rsidRPr="00CE4658" w:rsidRDefault="00CE4658" w:rsidP="00CE4658">
      <w:pPr>
        <w:rPr>
          <w:rFonts w:cstheme="minorHAnsi"/>
          <w:sz w:val="24"/>
          <w:szCs w:val="24"/>
        </w:rPr>
      </w:pPr>
      <w:r w:rsidRPr="00CE4658">
        <w:rPr>
          <w:rFonts w:cstheme="minorHAnsi"/>
          <w:sz w:val="24"/>
          <w:szCs w:val="24"/>
        </w:rPr>
        <w:t xml:space="preserve">Nine Division I university track and field and soccer athletes (age: 21 ± 1 year, height: 1.75 ± 0.15 m, mass: 71 ± 20 kg) participated in this study. The average plyometric training experience of the athletes was 4 ± 2 years. Before testing, all athletes were briefed on the scope of the </w:t>
      </w:r>
      <w:proofErr w:type="gramStart"/>
      <w:r w:rsidRPr="00CE4658">
        <w:rPr>
          <w:rFonts w:cstheme="minorHAnsi"/>
          <w:sz w:val="24"/>
          <w:szCs w:val="24"/>
        </w:rPr>
        <w:t>study, and</w:t>
      </w:r>
      <w:proofErr w:type="gramEnd"/>
      <w:r w:rsidRPr="00CE4658">
        <w:rPr>
          <w:rFonts w:cstheme="minorHAnsi"/>
          <w:sz w:val="24"/>
          <w:szCs w:val="24"/>
        </w:rPr>
        <w:t xml:space="preserve"> read and signed an informed consent document (HR-2659) that was approved by Marquette University's Institutional Review Board for Human Subjects Testing.</w:t>
      </w:r>
    </w:p>
    <w:p w14:paraId="7CFDA2A3" w14:textId="30F25C46" w:rsidR="00CE4658" w:rsidRPr="00B93663" w:rsidRDefault="00CE4658" w:rsidP="00B93663">
      <w:pPr>
        <w:pStyle w:val="Heading2"/>
      </w:pPr>
      <w:r w:rsidRPr="00E30B07">
        <w:t>Procedures</w:t>
      </w:r>
    </w:p>
    <w:p w14:paraId="295543F9" w14:textId="77777777" w:rsidR="00CE4658" w:rsidRPr="00CE4658" w:rsidRDefault="00CE4658" w:rsidP="00CE4658">
      <w:pPr>
        <w:rPr>
          <w:rFonts w:cstheme="minorHAnsi"/>
          <w:sz w:val="24"/>
          <w:szCs w:val="24"/>
        </w:rPr>
      </w:pPr>
      <w:r w:rsidRPr="00CE4658">
        <w:rPr>
          <w:rFonts w:cstheme="minorHAnsi"/>
          <w:sz w:val="24"/>
          <w:szCs w:val="24"/>
        </w:rPr>
        <w:t xml:space="preserve">All athletes performed three SJ and CMJ. Athletes were positioned such that each foot was fully placed on one of two force plates. All athletes were well familiar with the testing procedures through participation in similar studies and testing protocols. Athletes held a wooden dowel (0.45 kg) on their shoulders and were asked to squat down to their preferred depth. For the SJ, they remained in this position for 2–3 s before jumping as high as possible. For the CMJ, they jumped as high as possible immediately after reaching their preferred depth. Each athlete was given several </w:t>
      </w:r>
      <w:proofErr w:type="gramStart"/>
      <w:r w:rsidRPr="00CE4658">
        <w:rPr>
          <w:rFonts w:cstheme="minorHAnsi"/>
          <w:sz w:val="24"/>
          <w:szCs w:val="24"/>
        </w:rPr>
        <w:t>warm-up</w:t>
      </w:r>
      <w:proofErr w:type="gramEnd"/>
      <w:r w:rsidRPr="00CE4658">
        <w:rPr>
          <w:rFonts w:cstheme="minorHAnsi"/>
          <w:sz w:val="24"/>
          <w:szCs w:val="24"/>
        </w:rPr>
        <w:t xml:space="preserve"> jump attempts, during which they progressively increased CMJ height. Athletes then performed three maximal efforts SJ and CMJ with approximately 20–30 s rest between all jumps. The absence of a countermovement during the SJ was confirmed through visual inspection of the ground reaction force data in real-time. If a noticeable countermovement was noticed, the SJ was repeated.</w:t>
      </w:r>
    </w:p>
    <w:p w14:paraId="471D6B91" w14:textId="77777777" w:rsidR="00CE4658" w:rsidRPr="00CE4658" w:rsidRDefault="00CE4658" w:rsidP="00CE4658">
      <w:pPr>
        <w:rPr>
          <w:rFonts w:cstheme="minorHAnsi"/>
          <w:sz w:val="24"/>
          <w:szCs w:val="24"/>
        </w:rPr>
      </w:pPr>
      <w:r w:rsidRPr="00CE4658">
        <w:rPr>
          <w:rFonts w:cstheme="minorHAnsi"/>
          <w:sz w:val="24"/>
          <w:szCs w:val="24"/>
        </w:rPr>
        <w:t>During all jumps, kinematic and kinetic data were obtained from 14 reflective markers (Plug-in-Gait marker set) and two force plates, respectively. The positions of the reflective markers were recorded at 100 Hz with 14 VICON motion capture cameras (</w:t>
      </w:r>
      <w:proofErr w:type="spellStart"/>
      <w:r w:rsidRPr="00CE4658">
        <w:rPr>
          <w:rFonts w:cstheme="minorHAnsi"/>
          <w:sz w:val="24"/>
          <w:szCs w:val="24"/>
        </w:rPr>
        <w:t>ViconMX</w:t>
      </w:r>
      <w:proofErr w:type="spellEnd"/>
      <w:r w:rsidRPr="00CE4658">
        <w:rPr>
          <w:rFonts w:cstheme="minorHAnsi"/>
          <w:sz w:val="24"/>
          <w:szCs w:val="24"/>
        </w:rPr>
        <w:t xml:space="preserve">, VICON, Centennial, CO, USA). Kinetic data were recorded at 1,000 Hz with two AMTI force plates (Models OR6-6, Advanced Mechanical Technologies Inc., Watertown, MA, USA) that were mounted flush with the floor. Kinematic, </w:t>
      </w:r>
      <w:proofErr w:type="gramStart"/>
      <w:r w:rsidRPr="00CE4658">
        <w:rPr>
          <w:rFonts w:cstheme="minorHAnsi"/>
          <w:sz w:val="24"/>
          <w:szCs w:val="24"/>
        </w:rPr>
        <w:t>kinetic</w:t>
      </w:r>
      <w:proofErr w:type="gramEnd"/>
      <w:r w:rsidRPr="00CE4658">
        <w:rPr>
          <w:rFonts w:cstheme="minorHAnsi"/>
          <w:sz w:val="24"/>
          <w:szCs w:val="24"/>
        </w:rPr>
        <w:t xml:space="preserve"> and basic anthropometric data were combined with a standard biomechanical model (Plug-in-Gait). The model uses a joint coordinate system and Cardan angles to calculate joint kinematics based on the flexion-abduction-rotation sequence. Body-mass </w:t>
      </w:r>
      <w:proofErr w:type="spellStart"/>
      <w:r w:rsidRPr="00CE4658">
        <w:rPr>
          <w:rFonts w:cstheme="minorHAnsi"/>
          <w:sz w:val="24"/>
          <w:szCs w:val="24"/>
        </w:rPr>
        <w:t>normalised</w:t>
      </w:r>
      <w:proofErr w:type="spellEnd"/>
      <w:r w:rsidRPr="00CE4658">
        <w:rPr>
          <w:rFonts w:cstheme="minorHAnsi"/>
          <w:sz w:val="24"/>
          <w:szCs w:val="24"/>
        </w:rPr>
        <w:t xml:space="preserve"> hip, </w:t>
      </w:r>
      <w:proofErr w:type="gramStart"/>
      <w:r w:rsidRPr="00CE4658">
        <w:rPr>
          <w:rFonts w:cstheme="minorHAnsi"/>
          <w:sz w:val="24"/>
          <w:szCs w:val="24"/>
        </w:rPr>
        <w:t>knee</w:t>
      </w:r>
      <w:proofErr w:type="gramEnd"/>
      <w:r w:rsidRPr="00CE4658">
        <w:rPr>
          <w:rFonts w:cstheme="minorHAnsi"/>
          <w:sz w:val="24"/>
          <w:szCs w:val="24"/>
        </w:rPr>
        <w:t xml:space="preserve"> and ankle NJM (</w:t>
      </w:r>
      <w:proofErr w:type="spellStart"/>
      <w:r w:rsidRPr="00CE4658">
        <w:rPr>
          <w:rFonts w:cstheme="minorHAnsi"/>
          <w:sz w:val="24"/>
          <w:szCs w:val="24"/>
        </w:rPr>
        <w:t>N·m</w:t>
      </w:r>
      <w:proofErr w:type="spellEnd"/>
      <w:r w:rsidRPr="00CE4658">
        <w:rPr>
          <w:rFonts w:cstheme="minorHAnsi"/>
          <w:sz w:val="24"/>
          <w:szCs w:val="24"/>
        </w:rPr>
        <w:t xml:space="preserve">/kg) and net joint powers (NJP [W/kg]) of the right leg were calculated with this model (Figure 1 &amp; 2). All model outputs were smoothed with a </w:t>
      </w:r>
      <w:proofErr w:type="spellStart"/>
      <w:r w:rsidRPr="00CE4658">
        <w:rPr>
          <w:rFonts w:cstheme="minorHAnsi"/>
          <w:sz w:val="24"/>
          <w:szCs w:val="24"/>
        </w:rPr>
        <w:t>generalised</w:t>
      </w:r>
      <w:proofErr w:type="spellEnd"/>
      <w:r w:rsidRPr="00CE4658">
        <w:rPr>
          <w:rFonts w:cstheme="minorHAnsi"/>
          <w:sz w:val="24"/>
          <w:szCs w:val="24"/>
        </w:rPr>
        <w:t xml:space="preserve"> cross-validatory spline (</w:t>
      </w:r>
      <w:proofErr w:type="spellStart"/>
      <w:r w:rsidRPr="00CE4658">
        <w:rPr>
          <w:rFonts w:cstheme="minorHAnsi"/>
          <w:sz w:val="24"/>
          <w:szCs w:val="24"/>
        </w:rPr>
        <w:t>Woltring</w:t>
      </w:r>
      <w:proofErr w:type="spellEnd"/>
      <w:r w:rsidRPr="00CE4658">
        <w:rPr>
          <w:rFonts w:cstheme="minorHAnsi"/>
          <w:sz w:val="24"/>
          <w:szCs w:val="24"/>
        </w:rPr>
        <w:t xml:space="preserve">, [22]). JH was calculated as the peak displacement of the pelvis segment during each type of jump with respect to a normal standing position. The JH-based </w:t>
      </w:r>
      <w:proofErr w:type="gramStart"/>
      <w:r w:rsidRPr="00CE4658">
        <w:rPr>
          <w:rFonts w:cstheme="minorHAnsi"/>
          <w:sz w:val="24"/>
          <w:szCs w:val="24"/>
        </w:rPr>
        <w:t>EUR's</w:t>
      </w:r>
      <w:proofErr w:type="gramEnd"/>
      <w:r w:rsidRPr="00CE4658">
        <w:rPr>
          <w:rFonts w:cstheme="minorHAnsi"/>
          <w:sz w:val="24"/>
          <w:szCs w:val="24"/>
        </w:rPr>
        <w:t xml:space="preserve"> were calculated as the ratios between CMJ and SJ variables (CMJ/SJ [unitless]) from the peak JH data (i.e., JH-EUR). The joint-based </w:t>
      </w:r>
      <w:proofErr w:type="gramStart"/>
      <w:r w:rsidRPr="00CE4658">
        <w:rPr>
          <w:rFonts w:cstheme="minorHAnsi"/>
          <w:sz w:val="24"/>
          <w:szCs w:val="24"/>
        </w:rPr>
        <w:t>EUR's</w:t>
      </w:r>
      <w:proofErr w:type="gramEnd"/>
      <w:r w:rsidRPr="00CE4658">
        <w:rPr>
          <w:rFonts w:cstheme="minorHAnsi"/>
          <w:sz w:val="24"/>
          <w:szCs w:val="24"/>
        </w:rPr>
        <w:t xml:space="preserve"> were calculated as the ratios between CMJ and SJ variables from the peak concentric NJM and NJP data for each joint (e.g., Hip-NJM-EUR, Hip-NJP-EUR etc.). Three-trial averages were subsequently calculated for each variable and used for statistical analysis.</w:t>
      </w:r>
    </w:p>
    <w:p w14:paraId="6CE4231B" w14:textId="21988AE2" w:rsidR="005970A4" w:rsidRDefault="005970A4" w:rsidP="003D76AC">
      <w:pPr>
        <w:pStyle w:val="NoSpacing"/>
      </w:pPr>
      <w:r w:rsidRPr="005970A4">
        <w:rPr>
          <w:noProof/>
        </w:rPr>
        <w:drawing>
          <wp:inline distT="0" distB="0" distL="0" distR="0" wp14:anchorId="40DF5694" wp14:editId="1B1D5E22">
            <wp:extent cx="2267712" cy="45720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7712" cy="4572000"/>
                    </a:xfrm>
                    <a:prstGeom prst="rect">
                      <a:avLst/>
                    </a:prstGeom>
                    <a:noFill/>
                    <a:ln>
                      <a:noFill/>
                    </a:ln>
                  </pic:spPr>
                </pic:pic>
              </a:graphicData>
            </a:graphic>
          </wp:inline>
        </w:drawing>
      </w:r>
    </w:p>
    <w:p w14:paraId="4EB477C9" w14:textId="1940FAD9" w:rsidR="00CE4658" w:rsidRPr="00CE4658" w:rsidRDefault="00CE4658" w:rsidP="003D76AC">
      <w:pPr>
        <w:pStyle w:val="NoSpacing"/>
      </w:pPr>
      <w:r w:rsidRPr="00CE4658">
        <w:t>Figure 1. Sample net joint moment (NJM [Nm/kg]) data from a single countermovement jump (solid line) and squat jump (dashed line) trial. Top: Hip NJM, Middle: Knee NJM, Bottom: Ankle NJM</w:t>
      </w:r>
    </w:p>
    <w:p w14:paraId="5BECB6AB" w14:textId="613DAC5B" w:rsidR="005970A4" w:rsidRDefault="003D76AC" w:rsidP="003D76AC">
      <w:pPr>
        <w:pStyle w:val="NoSpacing"/>
      </w:pPr>
      <w:r w:rsidRPr="003D76AC">
        <w:rPr>
          <w:noProof/>
        </w:rPr>
        <w:drawing>
          <wp:inline distT="0" distB="0" distL="0" distR="0" wp14:anchorId="4E532EE2" wp14:editId="50B10096">
            <wp:extent cx="2240280" cy="4572000"/>
            <wp:effectExtent l="0" t="0" r="762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40280" cy="4572000"/>
                    </a:xfrm>
                    <a:prstGeom prst="rect">
                      <a:avLst/>
                    </a:prstGeom>
                    <a:noFill/>
                    <a:ln>
                      <a:noFill/>
                    </a:ln>
                  </pic:spPr>
                </pic:pic>
              </a:graphicData>
            </a:graphic>
          </wp:inline>
        </w:drawing>
      </w:r>
    </w:p>
    <w:p w14:paraId="7C643940" w14:textId="1BA6753F" w:rsidR="00CE4658" w:rsidRDefault="00CE4658" w:rsidP="003D76AC">
      <w:pPr>
        <w:pStyle w:val="NoSpacing"/>
      </w:pPr>
      <w:r w:rsidRPr="00CE4658">
        <w:t>Figure 2. Sample net joint power (NJP [W/kg]) data from a single countermovement jump (solid line) and squat jump (dashed line) trial. Top: Hip NJM, Middle: Knee NJM, Bottom: Ankle NJP</w:t>
      </w:r>
    </w:p>
    <w:p w14:paraId="1F71659B" w14:textId="77777777" w:rsidR="003D76AC" w:rsidRPr="00CE4658" w:rsidRDefault="003D76AC" w:rsidP="00CE4658">
      <w:pPr>
        <w:rPr>
          <w:rFonts w:cstheme="minorHAnsi"/>
          <w:sz w:val="24"/>
          <w:szCs w:val="24"/>
        </w:rPr>
      </w:pPr>
    </w:p>
    <w:p w14:paraId="2BF54749" w14:textId="72ED639B" w:rsidR="00CE4658" w:rsidRPr="00B53BFA" w:rsidRDefault="00CE4658" w:rsidP="00B53BFA">
      <w:pPr>
        <w:pStyle w:val="Heading2"/>
      </w:pPr>
      <w:r w:rsidRPr="00E30B07">
        <w:t>Statistical analysis</w:t>
      </w:r>
    </w:p>
    <w:p w14:paraId="7BBC78E2" w14:textId="194AFEC4" w:rsidR="00CE4658" w:rsidRPr="00CE4658" w:rsidRDefault="00CE4658" w:rsidP="00CE4658">
      <w:pPr>
        <w:rPr>
          <w:rFonts w:cstheme="minorHAnsi"/>
          <w:sz w:val="24"/>
          <w:szCs w:val="24"/>
        </w:rPr>
      </w:pPr>
      <w:r w:rsidRPr="00CE4658">
        <w:rPr>
          <w:rFonts w:cstheme="minorHAnsi"/>
          <w:sz w:val="24"/>
          <w:szCs w:val="24"/>
        </w:rPr>
        <w:t>The reliabilities of all variables were assessed with Intra-class correlation coefficients based on a two-way random model and the absolute agreement of average measures (Table 1). Normality was assessed with the Shapiro–Wilk test. Pearson product–moment correlation coefficients (</w:t>
      </w:r>
      <w:r w:rsidRPr="00CE4658">
        <w:rPr>
          <w:rFonts w:cstheme="minorHAnsi"/>
          <w:i/>
          <w:iCs/>
          <w:sz w:val="24"/>
          <w:szCs w:val="24"/>
        </w:rPr>
        <w:t>r</w:t>
      </w:r>
      <w:r w:rsidRPr="00CE4658">
        <w:rPr>
          <w:rFonts w:cstheme="minorHAnsi"/>
          <w:sz w:val="24"/>
          <w:szCs w:val="24"/>
        </w:rPr>
        <w:t xml:space="preserve">) were calculated between the independent (CMJ height) and dependent variables (JH-EUR and all joint-level EUR's). The strengths of the correlation coefficients were interpreted based on their magnitudes as follows: 0.10–0.29 = small, 0.30–0.49 = moderate, 0.50–0.99 = large (Cohen, </w:t>
      </w:r>
      <w:r w:rsidR="00E30B07">
        <w:rPr>
          <w:rFonts w:cstheme="minorHAnsi"/>
          <w:sz w:val="24"/>
          <w:szCs w:val="24"/>
        </w:rPr>
        <w:t>[</w:t>
      </w:r>
      <w:r w:rsidRPr="00CE4658">
        <w:rPr>
          <w:rFonts w:cstheme="minorHAnsi"/>
          <w:sz w:val="24"/>
          <w:szCs w:val="24"/>
        </w:rPr>
        <w:t>4]). The significance level for each correlation was set to 0.05.</w:t>
      </w:r>
    </w:p>
    <w:p w14:paraId="1EB7BEBB" w14:textId="77777777" w:rsidR="00B53BFA" w:rsidRDefault="00B53BFA" w:rsidP="00CE4658">
      <w:pPr>
        <w:rPr>
          <w:rFonts w:cstheme="minorHAnsi"/>
          <w:sz w:val="24"/>
          <w:szCs w:val="24"/>
        </w:rPr>
        <w:sectPr w:rsidR="00B53BFA" w:rsidSect="00013176">
          <w:pgSz w:w="12240" w:h="15840"/>
          <w:pgMar w:top="1080" w:right="1080" w:bottom="1080" w:left="1080" w:header="720" w:footer="720" w:gutter="0"/>
          <w:cols w:space="720"/>
          <w:docGrid w:linePitch="360"/>
        </w:sectPr>
      </w:pPr>
    </w:p>
    <w:p w14:paraId="08766D3E" w14:textId="77777777" w:rsidR="00CE4658" w:rsidRPr="00CE4658" w:rsidRDefault="00CE4658" w:rsidP="00D30F41">
      <w:pPr>
        <w:spacing w:after="0"/>
        <w:rPr>
          <w:rFonts w:cstheme="minorHAnsi"/>
          <w:sz w:val="24"/>
          <w:szCs w:val="24"/>
        </w:rPr>
      </w:pPr>
      <w:r w:rsidRPr="00CE4658">
        <w:rPr>
          <w:rFonts w:cstheme="minorHAnsi"/>
          <w:sz w:val="24"/>
          <w:szCs w:val="24"/>
        </w:rPr>
        <w:t>Table 1. Intra-class correlations (and 95% confidence intervals) for jump height (JH), net joint moments (NJM), and net joint powers (NJP) during the squat jump (SJ) and counter-movement jump (CMJ)</w:t>
      </w:r>
    </w:p>
    <w:tbl>
      <w:tblPr>
        <w:tblStyle w:val="TableGrid"/>
        <w:tblW w:w="0" w:type="auto"/>
        <w:tblLook w:val="04A0" w:firstRow="1" w:lastRow="0" w:firstColumn="1" w:lastColumn="0" w:noHBand="0" w:noVBand="1"/>
      </w:tblPr>
      <w:tblGrid>
        <w:gridCol w:w="627"/>
        <w:gridCol w:w="1864"/>
        <w:gridCol w:w="1864"/>
        <w:gridCol w:w="1863"/>
        <w:gridCol w:w="1863"/>
        <w:gridCol w:w="1863"/>
        <w:gridCol w:w="1863"/>
        <w:gridCol w:w="1863"/>
      </w:tblGrid>
      <w:tr w:rsidR="00095961" w:rsidRPr="00AA1FD7" w14:paraId="3DD8D246" w14:textId="77777777" w:rsidTr="00972810">
        <w:tc>
          <w:tcPr>
            <w:tcW w:w="0" w:type="auto"/>
            <w:hideMark/>
          </w:tcPr>
          <w:p w14:paraId="42498FCE" w14:textId="77777777" w:rsidR="00095961" w:rsidRPr="00CE4658" w:rsidRDefault="00095961" w:rsidP="00095961">
            <w:pPr>
              <w:spacing w:line="259" w:lineRule="auto"/>
              <w:rPr>
                <w:rFonts w:cstheme="minorHAnsi"/>
                <w:sz w:val="24"/>
                <w:szCs w:val="24"/>
              </w:rPr>
            </w:pPr>
          </w:p>
        </w:tc>
        <w:tc>
          <w:tcPr>
            <w:tcW w:w="0" w:type="auto"/>
            <w:hideMark/>
          </w:tcPr>
          <w:p w14:paraId="1B1EB917" w14:textId="77777777" w:rsidR="00095961" w:rsidRPr="00CE4658" w:rsidRDefault="00095961" w:rsidP="00095961">
            <w:pPr>
              <w:spacing w:after="0"/>
              <w:rPr>
                <w:rFonts w:cstheme="minorHAnsi"/>
                <w:sz w:val="24"/>
                <w:szCs w:val="24"/>
              </w:rPr>
            </w:pPr>
          </w:p>
        </w:tc>
        <w:tc>
          <w:tcPr>
            <w:tcW w:w="0" w:type="auto"/>
            <w:hideMark/>
          </w:tcPr>
          <w:p w14:paraId="04AF6660" w14:textId="77777777" w:rsidR="00095961" w:rsidRPr="00CE4658" w:rsidRDefault="00095961" w:rsidP="00095961">
            <w:pPr>
              <w:spacing w:after="0"/>
              <w:rPr>
                <w:rFonts w:cstheme="minorHAnsi"/>
                <w:sz w:val="24"/>
                <w:szCs w:val="24"/>
              </w:rPr>
            </w:pPr>
            <w:r w:rsidRPr="00CE4658">
              <w:rPr>
                <w:rFonts w:cstheme="minorHAnsi"/>
                <w:sz w:val="24"/>
                <w:szCs w:val="24"/>
              </w:rPr>
              <w:t>NJM</w:t>
            </w:r>
          </w:p>
        </w:tc>
        <w:tc>
          <w:tcPr>
            <w:tcW w:w="0" w:type="auto"/>
          </w:tcPr>
          <w:p w14:paraId="4224F454" w14:textId="77777777" w:rsidR="00095961" w:rsidRPr="00AA1FD7" w:rsidRDefault="00095961" w:rsidP="00095961">
            <w:pPr>
              <w:rPr>
                <w:rFonts w:cstheme="minorHAnsi"/>
                <w:sz w:val="24"/>
                <w:szCs w:val="24"/>
              </w:rPr>
            </w:pPr>
          </w:p>
        </w:tc>
        <w:tc>
          <w:tcPr>
            <w:tcW w:w="0" w:type="auto"/>
          </w:tcPr>
          <w:p w14:paraId="2D9B7DE0" w14:textId="77777777" w:rsidR="00095961" w:rsidRPr="00AA1FD7" w:rsidRDefault="00095961" w:rsidP="00095961">
            <w:pPr>
              <w:rPr>
                <w:rFonts w:cstheme="minorHAnsi"/>
                <w:sz w:val="24"/>
                <w:szCs w:val="24"/>
              </w:rPr>
            </w:pPr>
          </w:p>
        </w:tc>
        <w:tc>
          <w:tcPr>
            <w:tcW w:w="0" w:type="auto"/>
          </w:tcPr>
          <w:p w14:paraId="6258EBA1" w14:textId="6C8FE224" w:rsidR="00095961" w:rsidRPr="00AA1FD7" w:rsidRDefault="00AA1FD7" w:rsidP="00095961">
            <w:pPr>
              <w:rPr>
                <w:rFonts w:cstheme="minorHAnsi"/>
                <w:sz w:val="24"/>
                <w:szCs w:val="24"/>
              </w:rPr>
            </w:pPr>
            <w:r w:rsidRPr="00CE4658">
              <w:rPr>
                <w:rFonts w:cstheme="minorHAnsi"/>
                <w:sz w:val="24"/>
                <w:szCs w:val="24"/>
              </w:rPr>
              <w:t>NJP</w:t>
            </w:r>
          </w:p>
        </w:tc>
        <w:tc>
          <w:tcPr>
            <w:tcW w:w="0" w:type="auto"/>
          </w:tcPr>
          <w:p w14:paraId="3AFEFE88" w14:textId="77777777" w:rsidR="00095961" w:rsidRPr="00AA1FD7" w:rsidRDefault="00095961" w:rsidP="00095961">
            <w:pPr>
              <w:rPr>
                <w:rFonts w:cstheme="minorHAnsi"/>
                <w:sz w:val="24"/>
                <w:szCs w:val="24"/>
              </w:rPr>
            </w:pPr>
          </w:p>
        </w:tc>
        <w:tc>
          <w:tcPr>
            <w:tcW w:w="0" w:type="auto"/>
            <w:hideMark/>
          </w:tcPr>
          <w:p w14:paraId="57F71B22" w14:textId="24DDD061" w:rsidR="00095961" w:rsidRPr="00CE4658" w:rsidRDefault="00095961" w:rsidP="00095961">
            <w:pPr>
              <w:spacing w:after="0"/>
              <w:rPr>
                <w:rFonts w:cstheme="minorHAnsi"/>
                <w:sz w:val="24"/>
                <w:szCs w:val="24"/>
              </w:rPr>
            </w:pPr>
          </w:p>
        </w:tc>
      </w:tr>
      <w:tr w:rsidR="00CE4658" w:rsidRPr="00CE4658" w14:paraId="1E46DDFF" w14:textId="77777777" w:rsidTr="00B53BFA">
        <w:tc>
          <w:tcPr>
            <w:tcW w:w="0" w:type="auto"/>
            <w:hideMark/>
          </w:tcPr>
          <w:p w14:paraId="4207A8FD" w14:textId="77777777" w:rsidR="00CE4658" w:rsidRPr="00CE4658" w:rsidRDefault="00CE4658" w:rsidP="00095961">
            <w:pPr>
              <w:spacing w:after="0"/>
              <w:rPr>
                <w:rFonts w:cstheme="minorHAnsi"/>
                <w:sz w:val="24"/>
                <w:szCs w:val="24"/>
              </w:rPr>
            </w:pPr>
          </w:p>
        </w:tc>
        <w:tc>
          <w:tcPr>
            <w:tcW w:w="0" w:type="auto"/>
            <w:hideMark/>
          </w:tcPr>
          <w:p w14:paraId="3AEAB86B" w14:textId="77777777" w:rsidR="00CE4658" w:rsidRPr="00CE4658" w:rsidRDefault="00CE4658" w:rsidP="00095961">
            <w:pPr>
              <w:spacing w:after="0"/>
              <w:rPr>
                <w:rFonts w:cstheme="minorHAnsi"/>
                <w:sz w:val="24"/>
                <w:szCs w:val="24"/>
              </w:rPr>
            </w:pPr>
            <w:r w:rsidRPr="00CE4658">
              <w:rPr>
                <w:rFonts w:cstheme="minorHAnsi"/>
                <w:sz w:val="24"/>
                <w:szCs w:val="24"/>
              </w:rPr>
              <w:t>JH</w:t>
            </w:r>
          </w:p>
        </w:tc>
        <w:tc>
          <w:tcPr>
            <w:tcW w:w="0" w:type="auto"/>
            <w:hideMark/>
          </w:tcPr>
          <w:p w14:paraId="59B1B7C9" w14:textId="77777777" w:rsidR="00CE4658" w:rsidRPr="00CE4658" w:rsidRDefault="00CE4658" w:rsidP="00095961">
            <w:pPr>
              <w:spacing w:after="0"/>
              <w:rPr>
                <w:rFonts w:cstheme="minorHAnsi"/>
                <w:sz w:val="24"/>
                <w:szCs w:val="24"/>
              </w:rPr>
            </w:pPr>
            <w:r w:rsidRPr="00CE4658">
              <w:rPr>
                <w:rFonts w:cstheme="minorHAnsi"/>
                <w:sz w:val="24"/>
                <w:szCs w:val="24"/>
              </w:rPr>
              <w:t>Hip</w:t>
            </w:r>
          </w:p>
        </w:tc>
        <w:tc>
          <w:tcPr>
            <w:tcW w:w="0" w:type="auto"/>
            <w:hideMark/>
          </w:tcPr>
          <w:p w14:paraId="11E48ED6" w14:textId="77777777" w:rsidR="00CE4658" w:rsidRPr="00CE4658" w:rsidRDefault="00CE4658" w:rsidP="00095961">
            <w:pPr>
              <w:spacing w:after="0"/>
              <w:rPr>
                <w:rFonts w:cstheme="minorHAnsi"/>
                <w:sz w:val="24"/>
                <w:szCs w:val="24"/>
              </w:rPr>
            </w:pPr>
            <w:r w:rsidRPr="00CE4658">
              <w:rPr>
                <w:rFonts w:cstheme="minorHAnsi"/>
                <w:sz w:val="24"/>
                <w:szCs w:val="24"/>
              </w:rPr>
              <w:t>Knee</w:t>
            </w:r>
          </w:p>
        </w:tc>
        <w:tc>
          <w:tcPr>
            <w:tcW w:w="0" w:type="auto"/>
            <w:hideMark/>
          </w:tcPr>
          <w:p w14:paraId="0848620A" w14:textId="77777777" w:rsidR="00CE4658" w:rsidRPr="00CE4658" w:rsidRDefault="00CE4658" w:rsidP="00095961">
            <w:pPr>
              <w:spacing w:after="0"/>
              <w:rPr>
                <w:rFonts w:cstheme="minorHAnsi"/>
                <w:sz w:val="24"/>
                <w:szCs w:val="24"/>
              </w:rPr>
            </w:pPr>
            <w:r w:rsidRPr="00CE4658">
              <w:rPr>
                <w:rFonts w:cstheme="minorHAnsi"/>
                <w:sz w:val="24"/>
                <w:szCs w:val="24"/>
              </w:rPr>
              <w:t>Ankle</w:t>
            </w:r>
          </w:p>
        </w:tc>
        <w:tc>
          <w:tcPr>
            <w:tcW w:w="0" w:type="auto"/>
            <w:hideMark/>
          </w:tcPr>
          <w:p w14:paraId="5BE5D93F" w14:textId="77777777" w:rsidR="00CE4658" w:rsidRPr="00CE4658" w:rsidRDefault="00CE4658" w:rsidP="00095961">
            <w:pPr>
              <w:spacing w:after="0"/>
              <w:rPr>
                <w:rFonts w:cstheme="minorHAnsi"/>
                <w:sz w:val="24"/>
                <w:szCs w:val="24"/>
              </w:rPr>
            </w:pPr>
            <w:r w:rsidRPr="00CE4658">
              <w:rPr>
                <w:rFonts w:cstheme="minorHAnsi"/>
                <w:sz w:val="24"/>
                <w:szCs w:val="24"/>
              </w:rPr>
              <w:t>Hip</w:t>
            </w:r>
          </w:p>
        </w:tc>
        <w:tc>
          <w:tcPr>
            <w:tcW w:w="0" w:type="auto"/>
            <w:hideMark/>
          </w:tcPr>
          <w:p w14:paraId="1BCC27E5" w14:textId="77777777" w:rsidR="00CE4658" w:rsidRPr="00CE4658" w:rsidRDefault="00CE4658" w:rsidP="00095961">
            <w:pPr>
              <w:spacing w:after="0"/>
              <w:rPr>
                <w:rFonts w:cstheme="minorHAnsi"/>
                <w:sz w:val="24"/>
                <w:szCs w:val="24"/>
              </w:rPr>
            </w:pPr>
            <w:r w:rsidRPr="00CE4658">
              <w:rPr>
                <w:rFonts w:cstheme="minorHAnsi"/>
                <w:sz w:val="24"/>
                <w:szCs w:val="24"/>
              </w:rPr>
              <w:t>Knee</w:t>
            </w:r>
          </w:p>
        </w:tc>
        <w:tc>
          <w:tcPr>
            <w:tcW w:w="0" w:type="auto"/>
            <w:hideMark/>
          </w:tcPr>
          <w:p w14:paraId="02234626" w14:textId="77777777" w:rsidR="00CE4658" w:rsidRPr="00CE4658" w:rsidRDefault="00CE4658" w:rsidP="00095961">
            <w:pPr>
              <w:spacing w:after="0"/>
              <w:rPr>
                <w:rFonts w:cstheme="minorHAnsi"/>
                <w:sz w:val="24"/>
                <w:szCs w:val="24"/>
              </w:rPr>
            </w:pPr>
            <w:r w:rsidRPr="00CE4658">
              <w:rPr>
                <w:rFonts w:cstheme="minorHAnsi"/>
                <w:sz w:val="24"/>
                <w:szCs w:val="24"/>
              </w:rPr>
              <w:t>Ankle</w:t>
            </w:r>
          </w:p>
        </w:tc>
      </w:tr>
      <w:tr w:rsidR="00CE4658" w:rsidRPr="00CE4658" w14:paraId="21D1D636" w14:textId="77777777" w:rsidTr="00B53BFA">
        <w:tc>
          <w:tcPr>
            <w:tcW w:w="0" w:type="auto"/>
            <w:hideMark/>
          </w:tcPr>
          <w:p w14:paraId="1FBF5057" w14:textId="77777777" w:rsidR="00CE4658" w:rsidRPr="00CE4658" w:rsidRDefault="00CE4658" w:rsidP="00095961">
            <w:pPr>
              <w:spacing w:after="0"/>
              <w:rPr>
                <w:rFonts w:cstheme="minorHAnsi"/>
                <w:sz w:val="24"/>
                <w:szCs w:val="24"/>
              </w:rPr>
            </w:pPr>
            <w:r w:rsidRPr="00CE4658">
              <w:rPr>
                <w:rFonts w:cstheme="minorHAnsi"/>
                <w:sz w:val="24"/>
                <w:szCs w:val="24"/>
              </w:rPr>
              <w:t>SJ</w:t>
            </w:r>
          </w:p>
        </w:tc>
        <w:tc>
          <w:tcPr>
            <w:tcW w:w="0" w:type="auto"/>
            <w:hideMark/>
          </w:tcPr>
          <w:p w14:paraId="0979D5C7" w14:textId="77777777" w:rsidR="00CE4658" w:rsidRPr="00CE4658" w:rsidRDefault="00CE4658" w:rsidP="00095961">
            <w:pPr>
              <w:spacing w:after="0"/>
              <w:rPr>
                <w:rFonts w:cstheme="minorHAnsi"/>
                <w:sz w:val="24"/>
                <w:szCs w:val="24"/>
              </w:rPr>
            </w:pPr>
            <w:r w:rsidRPr="00CE4658">
              <w:rPr>
                <w:rFonts w:cstheme="minorHAnsi"/>
                <w:sz w:val="24"/>
                <w:szCs w:val="24"/>
              </w:rPr>
              <w:t>0.999 (0.997–1.000)</w:t>
            </w:r>
          </w:p>
        </w:tc>
        <w:tc>
          <w:tcPr>
            <w:tcW w:w="0" w:type="auto"/>
            <w:hideMark/>
          </w:tcPr>
          <w:p w14:paraId="220AE14D" w14:textId="77777777" w:rsidR="00CE4658" w:rsidRPr="00CE4658" w:rsidRDefault="00CE4658" w:rsidP="00095961">
            <w:pPr>
              <w:spacing w:after="0"/>
              <w:rPr>
                <w:rFonts w:cstheme="minorHAnsi"/>
                <w:sz w:val="24"/>
                <w:szCs w:val="24"/>
              </w:rPr>
            </w:pPr>
            <w:r w:rsidRPr="00CE4658">
              <w:rPr>
                <w:rFonts w:cstheme="minorHAnsi"/>
                <w:sz w:val="24"/>
                <w:szCs w:val="24"/>
              </w:rPr>
              <w:t>0.891 (0.643–0.976)</w:t>
            </w:r>
          </w:p>
        </w:tc>
        <w:tc>
          <w:tcPr>
            <w:tcW w:w="0" w:type="auto"/>
            <w:hideMark/>
          </w:tcPr>
          <w:p w14:paraId="16720EAF" w14:textId="77777777" w:rsidR="00CE4658" w:rsidRPr="00CE4658" w:rsidRDefault="00CE4658" w:rsidP="00095961">
            <w:pPr>
              <w:spacing w:after="0"/>
              <w:rPr>
                <w:rFonts w:cstheme="minorHAnsi"/>
                <w:sz w:val="24"/>
                <w:szCs w:val="24"/>
              </w:rPr>
            </w:pPr>
            <w:r w:rsidRPr="00CE4658">
              <w:rPr>
                <w:rFonts w:cstheme="minorHAnsi"/>
                <w:sz w:val="24"/>
                <w:szCs w:val="24"/>
              </w:rPr>
              <w:t>0.931 (0.780–0.985)</w:t>
            </w:r>
          </w:p>
        </w:tc>
        <w:tc>
          <w:tcPr>
            <w:tcW w:w="0" w:type="auto"/>
            <w:hideMark/>
          </w:tcPr>
          <w:p w14:paraId="30A9FC88" w14:textId="77777777" w:rsidR="00CE4658" w:rsidRPr="00CE4658" w:rsidRDefault="00CE4658" w:rsidP="00095961">
            <w:pPr>
              <w:spacing w:after="0"/>
              <w:rPr>
                <w:rFonts w:cstheme="minorHAnsi"/>
                <w:sz w:val="24"/>
                <w:szCs w:val="24"/>
              </w:rPr>
            </w:pPr>
            <w:r w:rsidRPr="00CE4658">
              <w:rPr>
                <w:rFonts w:cstheme="minorHAnsi"/>
                <w:sz w:val="24"/>
                <w:szCs w:val="24"/>
              </w:rPr>
              <w:t>0.988 (0.954–0.997)</w:t>
            </w:r>
          </w:p>
        </w:tc>
        <w:tc>
          <w:tcPr>
            <w:tcW w:w="0" w:type="auto"/>
            <w:hideMark/>
          </w:tcPr>
          <w:p w14:paraId="0449C6A6" w14:textId="77777777" w:rsidR="00CE4658" w:rsidRPr="00CE4658" w:rsidRDefault="00CE4658" w:rsidP="00095961">
            <w:pPr>
              <w:spacing w:after="0"/>
              <w:rPr>
                <w:rFonts w:cstheme="minorHAnsi"/>
                <w:sz w:val="24"/>
                <w:szCs w:val="24"/>
              </w:rPr>
            </w:pPr>
            <w:r w:rsidRPr="00CE4658">
              <w:rPr>
                <w:rFonts w:cstheme="minorHAnsi"/>
                <w:sz w:val="24"/>
                <w:szCs w:val="24"/>
              </w:rPr>
              <w:t>0.984 (0.949–0.996)</w:t>
            </w:r>
          </w:p>
        </w:tc>
        <w:tc>
          <w:tcPr>
            <w:tcW w:w="0" w:type="auto"/>
            <w:hideMark/>
          </w:tcPr>
          <w:p w14:paraId="1D568E98" w14:textId="77777777" w:rsidR="00CE4658" w:rsidRPr="00CE4658" w:rsidRDefault="00CE4658" w:rsidP="00095961">
            <w:pPr>
              <w:spacing w:after="0"/>
              <w:rPr>
                <w:rFonts w:cstheme="minorHAnsi"/>
                <w:sz w:val="24"/>
                <w:szCs w:val="24"/>
              </w:rPr>
            </w:pPr>
            <w:r w:rsidRPr="00CE4658">
              <w:rPr>
                <w:rFonts w:cstheme="minorHAnsi"/>
                <w:sz w:val="24"/>
                <w:szCs w:val="24"/>
              </w:rPr>
              <w:t>0.975 (0.903–0.994)</w:t>
            </w:r>
          </w:p>
        </w:tc>
        <w:tc>
          <w:tcPr>
            <w:tcW w:w="0" w:type="auto"/>
            <w:hideMark/>
          </w:tcPr>
          <w:p w14:paraId="1CA93137" w14:textId="77777777" w:rsidR="00CE4658" w:rsidRPr="00CE4658" w:rsidRDefault="00CE4658" w:rsidP="00095961">
            <w:pPr>
              <w:spacing w:after="0"/>
              <w:rPr>
                <w:rFonts w:cstheme="minorHAnsi"/>
                <w:sz w:val="24"/>
                <w:szCs w:val="24"/>
              </w:rPr>
            </w:pPr>
            <w:r w:rsidRPr="00CE4658">
              <w:rPr>
                <w:rFonts w:cstheme="minorHAnsi"/>
                <w:sz w:val="24"/>
                <w:szCs w:val="24"/>
              </w:rPr>
              <w:t>0.916 (0.745–0.979)</w:t>
            </w:r>
          </w:p>
        </w:tc>
      </w:tr>
      <w:tr w:rsidR="00CE4658" w:rsidRPr="00CE4658" w14:paraId="3593DE62" w14:textId="77777777" w:rsidTr="00B53BFA">
        <w:tc>
          <w:tcPr>
            <w:tcW w:w="0" w:type="auto"/>
            <w:hideMark/>
          </w:tcPr>
          <w:p w14:paraId="0A13972F" w14:textId="77777777" w:rsidR="00CE4658" w:rsidRPr="00CE4658" w:rsidRDefault="00CE4658" w:rsidP="00095961">
            <w:pPr>
              <w:spacing w:after="0"/>
              <w:rPr>
                <w:rFonts w:cstheme="minorHAnsi"/>
                <w:sz w:val="24"/>
                <w:szCs w:val="24"/>
              </w:rPr>
            </w:pPr>
            <w:r w:rsidRPr="00CE4658">
              <w:rPr>
                <w:rFonts w:cstheme="minorHAnsi"/>
                <w:sz w:val="24"/>
                <w:szCs w:val="24"/>
              </w:rPr>
              <w:t>CMJ</w:t>
            </w:r>
          </w:p>
        </w:tc>
        <w:tc>
          <w:tcPr>
            <w:tcW w:w="0" w:type="auto"/>
            <w:hideMark/>
          </w:tcPr>
          <w:p w14:paraId="2C9B9714" w14:textId="77777777" w:rsidR="00CE4658" w:rsidRPr="00CE4658" w:rsidRDefault="00CE4658" w:rsidP="00095961">
            <w:pPr>
              <w:spacing w:after="0"/>
              <w:rPr>
                <w:rFonts w:cstheme="minorHAnsi"/>
                <w:sz w:val="24"/>
                <w:szCs w:val="24"/>
              </w:rPr>
            </w:pPr>
            <w:r w:rsidRPr="00CE4658">
              <w:rPr>
                <w:rFonts w:cstheme="minorHAnsi"/>
                <w:sz w:val="24"/>
                <w:szCs w:val="24"/>
              </w:rPr>
              <w:t>0.998 (0.995–1.000)</w:t>
            </w:r>
          </w:p>
        </w:tc>
        <w:tc>
          <w:tcPr>
            <w:tcW w:w="0" w:type="auto"/>
            <w:hideMark/>
          </w:tcPr>
          <w:p w14:paraId="67FFAC29" w14:textId="77777777" w:rsidR="00CE4658" w:rsidRPr="00CE4658" w:rsidRDefault="00CE4658" w:rsidP="00095961">
            <w:pPr>
              <w:spacing w:after="0"/>
              <w:rPr>
                <w:rFonts w:cstheme="minorHAnsi"/>
                <w:sz w:val="24"/>
                <w:szCs w:val="24"/>
              </w:rPr>
            </w:pPr>
            <w:r w:rsidRPr="00CE4658">
              <w:rPr>
                <w:rFonts w:cstheme="minorHAnsi"/>
                <w:sz w:val="24"/>
                <w:szCs w:val="24"/>
              </w:rPr>
              <w:t>0.933 (0.656–0.986)</w:t>
            </w:r>
          </w:p>
        </w:tc>
        <w:tc>
          <w:tcPr>
            <w:tcW w:w="0" w:type="auto"/>
            <w:hideMark/>
          </w:tcPr>
          <w:p w14:paraId="567C8F30" w14:textId="77777777" w:rsidR="00CE4658" w:rsidRPr="00CE4658" w:rsidRDefault="00CE4658" w:rsidP="00095961">
            <w:pPr>
              <w:spacing w:after="0"/>
              <w:rPr>
                <w:rFonts w:cstheme="minorHAnsi"/>
                <w:sz w:val="24"/>
                <w:szCs w:val="24"/>
              </w:rPr>
            </w:pPr>
            <w:r w:rsidRPr="00CE4658">
              <w:rPr>
                <w:rFonts w:cstheme="minorHAnsi"/>
                <w:sz w:val="24"/>
                <w:szCs w:val="24"/>
              </w:rPr>
              <w:t>0.963 (0.856–0.991)</w:t>
            </w:r>
          </w:p>
        </w:tc>
        <w:tc>
          <w:tcPr>
            <w:tcW w:w="0" w:type="auto"/>
            <w:hideMark/>
          </w:tcPr>
          <w:p w14:paraId="038E0CAB" w14:textId="77777777" w:rsidR="00CE4658" w:rsidRPr="00CE4658" w:rsidRDefault="00CE4658" w:rsidP="00095961">
            <w:pPr>
              <w:spacing w:after="0"/>
              <w:rPr>
                <w:rFonts w:cstheme="minorHAnsi"/>
                <w:sz w:val="24"/>
                <w:szCs w:val="24"/>
              </w:rPr>
            </w:pPr>
            <w:r w:rsidRPr="00CE4658">
              <w:rPr>
                <w:rFonts w:cstheme="minorHAnsi"/>
                <w:sz w:val="24"/>
                <w:szCs w:val="24"/>
              </w:rPr>
              <w:t>0.985 (0.950–0.996)</w:t>
            </w:r>
          </w:p>
        </w:tc>
        <w:tc>
          <w:tcPr>
            <w:tcW w:w="0" w:type="auto"/>
            <w:hideMark/>
          </w:tcPr>
          <w:p w14:paraId="7B88A2A2" w14:textId="77777777" w:rsidR="00CE4658" w:rsidRPr="00CE4658" w:rsidRDefault="00CE4658" w:rsidP="00095961">
            <w:pPr>
              <w:spacing w:after="0"/>
              <w:rPr>
                <w:rFonts w:cstheme="minorHAnsi"/>
                <w:sz w:val="24"/>
                <w:szCs w:val="24"/>
              </w:rPr>
            </w:pPr>
            <w:r w:rsidRPr="00CE4658">
              <w:rPr>
                <w:rFonts w:cstheme="minorHAnsi"/>
                <w:sz w:val="24"/>
                <w:szCs w:val="24"/>
              </w:rPr>
              <w:t>0.932 (0.784–0.983)</w:t>
            </w:r>
          </w:p>
        </w:tc>
        <w:tc>
          <w:tcPr>
            <w:tcW w:w="0" w:type="auto"/>
            <w:hideMark/>
          </w:tcPr>
          <w:p w14:paraId="43D408A1" w14:textId="77777777" w:rsidR="00CE4658" w:rsidRPr="00CE4658" w:rsidRDefault="00CE4658" w:rsidP="00095961">
            <w:pPr>
              <w:spacing w:after="0"/>
              <w:rPr>
                <w:rFonts w:cstheme="minorHAnsi"/>
                <w:sz w:val="24"/>
                <w:szCs w:val="24"/>
              </w:rPr>
            </w:pPr>
            <w:r w:rsidRPr="00CE4658">
              <w:rPr>
                <w:rFonts w:cstheme="minorHAnsi"/>
                <w:sz w:val="24"/>
                <w:szCs w:val="24"/>
              </w:rPr>
              <w:t>0.992 (0.967–0.998)</w:t>
            </w:r>
          </w:p>
        </w:tc>
        <w:tc>
          <w:tcPr>
            <w:tcW w:w="0" w:type="auto"/>
            <w:hideMark/>
          </w:tcPr>
          <w:p w14:paraId="385BD1FE" w14:textId="77777777" w:rsidR="00CE4658" w:rsidRPr="00CE4658" w:rsidRDefault="00CE4658" w:rsidP="00095961">
            <w:pPr>
              <w:spacing w:after="0"/>
              <w:rPr>
                <w:rFonts w:cstheme="minorHAnsi"/>
                <w:sz w:val="24"/>
                <w:szCs w:val="24"/>
              </w:rPr>
            </w:pPr>
            <w:r w:rsidRPr="00CE4658">
              <w:rPr>
                <w:rFonts w:cstheme="minorHAnsi"/>
                <w:sz w:val="24"/>
                <w:szCs w:val="24"/>
              </w:rPr>
              <w:t>0.882 (0.320–0.976)</w:t>
            </w:r>
          </w:p>
        </w:tc>
      </w:tr>
    </w:tbl>
    <w:p w14:paraId="39D8D606" w14:textId="77777777" w:rsidR="00095961" w:rsidRDefault="00095961" w:rsidP="00CE4658">
      <w:pPr>
        <w:rPr>
          <w:rFonts w:cstheme="minorHAnsi"/>
          <w:sz w:val="24"/>
          <w:szCs w:val="24"/>
        </w:rPr>
        <w:sectPr w:rsidR="00095961" w:rsidSect="00B53BFA">
          <w:pgSz w:w="15840" w:h="12240" w:orient="landscape"/>
          <w:pgMar w:top="1080" w:right="1080" w:bottom="1080" w:left="1080" w:header="720" w:footer="720" w:gutter="0"/>
          <w:cols w:space="720"/>
          <w:docGrid w:linePitch="360"/>
        </w:sectPr>
      </w:pPr>
    </w:p>
    <w:p w14:paraId="04C718AB" w14:textId="77777777" w:rsidR="00CE4658" w:rsidRPr="00CE4658" w:rsidRDefault="00CE4658" w:rsidP="00CE4658">
      <w:pPr>
        <w:rPr>
          <w:rFonts w:cstheme="minorHAnsi"/>
          <w:sz w:val="24"/>
          <w:szCs w:val="24"/>
        </w:rPr>
      </w:pPr>
      <w:r w:rsidRPr="00CE4658">
        <w:rPr>
          <w:rFonts w:cstheme="minorHAnsi"/>
          <w:sz w:val="24"/>
          <w:szCs w:val="24"/>
        </w:rPr>
        <w:t xml:space="preserve">A </w:t>
      </w:r>
      <w:proofErr w:type="spellStart"/>
      <w:r w:rsidRPr="00CE4658">
        <w:rPr>
          <w:rFonts w:cstheme="minorHAnsi"/>
          <w:sz w:val="24"/>
          <w:szCs w:val="24"/>
        </w:rPr>
        <w:t>regularised</w:t>
      </w:r>
      <w:proofErr w:type="spellEnd"/>
      <w:r w:rsidRPr="00CE4658">
        <w:rPr>
          <w:rFonts w:cstheme="minorHAnsi"/>
          <w:sz w:val="24"/>
          <w:szCs w:val="24"/>
        </w:rPr>
        <w:t xml:space="preserve"> regression model was used to investigate the contributions of the joint-specific NJM- and NJP-EUR variables to JH-EUR. The model consisted of least absolute shrinkage and selection operator (LASSO) and elastic net </w:t>
      </w:r>
      <w:proofErr w:type="spellStart"/>
      <w:r w:rsidRPr="00CE4658">
        <w:rPr>
          <w:rFonts w:cstheme="minorHAnsi"/>
          <w:sz w:val="24"/>
          <w:szCs w:val="24"/>
        </w:rPr>
        <w:t>regularisation</w:t>
      </w:r>
      <w:proofErr w:type="spellEnd"/>
      <w:r w:rsidRPr="00CE4658">
        <w:rPr>
          <w:rFonts w:cstheme="minorHAnsi"/>
          <w:sz w:val="24"/>
          <w:szCs w:val="24"/>
        </w:rPr>
        <w:t xml:space="preserve">. The LASSO </w:t>
      </w:r>
      <w:proofErr w:type="spellStart"/>
      <w:r w:rsidRPr="00CE4658">
        <w:rPr>
          <w:rFonts w:cstheme="minorHAnsi"/>
          <w:sz w:val="24"/>
          <w:szCs w:val="24"/>
        </w:rPr>
        <w:t>regularisation</w:t>
      </w:r>
      <w:proofErr w:type="spellEnd"/>
      <w:r w:rsidRPr="00CE4658">
        <w:rPr>
          <w:rFonts w:cstheme="minorHAnsi"/>
          <w:sz w:val="24"/>
          <w:szCs w:val="24"/>
        </w:rPr>
        <w:t xml:space="preserve"> performs variable selection and removes redundant variables, which serves to increase the accuracy and interpretability of regression models (</w:t>
      </w:r>
      <w:proofErr w:type="spellStart"/>
      <w:r w:rsidRPr="00CE4658">
        <w:rPr>
          <w:rFonts w:cstheme="minorHAnsi"/>
          <w:sz w:val="24"/>
          <w:szCs w:val="24"/>
        </w:rPr>
        <w:t>Tibshirani</w:t>
      </w:r>
      <w:proofErr w:type="spellEnd"/>
      <w:r w:rsidRPr="00CE4658">
        <w:rPr>
          <w:rFonts w:cstheme="minorHAnsi"/>
          <w:sz w:val="24"/>
          <w:szCs w:val="24"/>
        </w:rPr>
        <w:t xml:space="preserve">, [19]). The elastic net </w:t>
      </w:r>
      <w:proofErr w:type="spellStart"/>
      <w:r w:rsidRPr="00CE4658">
        <w:rPr>
          <w:rFonts w:cstheme="minorHAnsi"/>
          <w:sz w:val="24"/>
          <w:szCs w:val="24"/>
        </w:rPr>
        <w:t>regularisation</w:t>
      </w:r>
      <w:proofErr w:type="spellEnd"/>
      <w:r w:rsidRPr="00CE4658">
        <w:rPr>
          <w:rFonts w:cstheme="minorHAnsi"/>
          <w:sz w:val="24"/>
          <w:szCs w:val="24"/>
        </w:rPr>
        <w:t xml:space="preserve"> helps deal with highly correlated predictor variables and improves the fit of regression models for data sets with many predictors and few observations (Zou &amp; Hastie, [23]). All variables were </w:t>
      </w:r>
      <w:proofErr w:type="spellStart"/>
      <w:r w:rsidRPr="00CE4658">
        <w:rPr>
          <w:rFonts w:cstheme="minorHAnsi"/>
          <w:sz w:val="24"/>
          <w:szCs w:val="24"/>
        </w:rPr>
        <w:t>standardised</w:t>
      </w:r>
      <w:proofErr w:type="spellEnd"/>
      <w:r w:rsidRPr="00CE4658">
        <w:rPr>
          <w:rFonts w:cstheme="minorHAnsi"/>
          <w:sz w:val="24"/>
          <w:szCs w:val="24"/>
        </w:rPr>
        <w:t xml:space="preserve"> before being used as input to the model. The elastic net 'alpha' coefficient was set to 0.5, and the entire </w:t>
      </w:r>
      <w:proofErr w:type="spellStart"/>
      <w:r w:rsidRPr="00CE4658">
        <w:rPr>
          <w:rFonts w:cstheme="minorHAnsi"/>
          <w:sz w:val="24"/>
          <w:szCs w:val="24"/>
        </w:rPr>
        <w:t>regularisation</w:t>
      </w:r>
      <w:proofErr w:type="spellEnd"/>
      <w:r w:rsidRPr="00CE4658">
        <w:rPr>
          <w:rFonts w:cstheme="minorHAnsi"/>
          <w:sz w:val="24"/>
          <w:szCs w:val="24"/>
        </w:rPr>
        <w:t xml:space="preserve"> model was </w:t>
      </w:r>
      <w:proofErr w:type="gramStart"/>
      <w:r w:rsidRPr="00CE4658">
        <w:rPr>
          <w:rFonts w:cstheme="minorHAnsi"/>
          <w:sz w:val="24"/>
          <w:szCs w:val="24"/>
        </w:rPr>
        <w:t>cross-validated</w:t>
      </w:r>
      <w:proofErr w:type="gramEnd"/>
      <w:r w:rsidRPr="00CE4658">
        <w:rPr>
          <w:rFonts w:cstheme="minorHAnsi"/>
          <w:sz w:val="24"/>
          <w:szCs w:val="24"/>
        </w:rPr>
        <w:t xml:space="preserve"> five times across 100 'lambda' values. The model with the smallest cross-validated mean square error (MSE) was used to obtain regression coefficients for the predictor variables of a </w:t>
      </w:r>
      <w:r w:rsidRPr="00CE4658">
        <w:rPr>
          <w:rFonts w:cstheme="minorHAnsi"/>
          <w:i/>
          <w:iCs/>
          <w:sz w:val="24"/>
          <w:szCs w:val="24"/>
        </w:rPr>
        <w:t>minimum MSE model</w:t>
      </w:r>
      <w:r w:rsidRPr="00CE4658">
        <w:rPr>
          <w:rFonts w:cstheme="minorHAnsi"/>
          <w:sz w:val="24"/>
          <w:szCs w:val="24"/>
        </w:rPr>
        <w:t>. In addition, regression coefficients for the predictor variables of a </w:t>
      </w:r>
      <w:r w:rsidRPr="00CE4658">
        <w:rPr>
          <w:rFonts w:cstheme="minorHAnsi"/>
          <w:i/>
          <w:iCs/>
          <w:sz w:val="24"/>
          <w:szCs w:val="24"/>
        </w:rPr>
        <w:t>sparser model</w:t>
      </w:r>
      <w:r w:rsidRPr="00CE4658">
        <w:rPr>
          <w:rFonts w:cstheme="minorHAnsi"/>
          <w:sz w:val="24"/>
          <w:szCs w:val="24"/>
        </w:rPr>
        <w:t> were obtained from the minimum MSE model plus one standard error. The coefficients of determination (R</w:t>
      </w:r>
      <w:r w:rsidRPr="00CE4658">
        <w:rPr>
          <w:rFonts w:cstheme="minorHAnsi"/>
          <w:sz w:val="24"/>
          <w:szCs w:val="24"/>
          <w:vertAlign w:val="superscript"/>
        </w:rPr>
        <w:t>2</w:t>
      </w:r>
      <w:r w:rsidRPr="00CE4658">
        <w:rPr>
          <w:rFonts w:cstheme="minorHAnsi"/>
          <w:sz w:val="24"/>
          <w:szCs w:val="24"/>
        </w:rPr>
        <w:t>) and </w:t>
      </w:r>
      <w:r w:rsidRPr="00CE4658">
        <w:rPr>
          <w:rFonts w:cstheme="minorHAnsi"/>
          <w:i/>
          <w:iCs/>
          <w:sz w:val="24"/>
          <w:szCs w:val="24"/>
        </w:rPr>
        <w:t>p</w:t>
      </w:r>
      <w:r w:rsidRPr="00CE4658">
        <w:rPr>
          <w:rFonts w:cstheme="minorHAnsi"/>
          <w:sz w:val="24"/>
          <w:szCs w:val="24"/>
        </w:rPr>
        <w:t xml:space="preserve">-values for the minimum MSE model and sparser model were also calculated to gauge the model's goodness of fit and significance, respectively. All statistical analyses were performed in MATLAB 2015b (The </w:t>
      </w:r>
      <w:proofErr w:type="spellStart"/>
      <w:r w:rsidRPr="00CE4658">
        <w:rPr>
          <w:rFonts w:cstheme="minorHAnsi"/>
          <w:sz w:val="24"/>
          <w:szCs w:val="24"/>
        </w:rPr>
        <w:t>Mathworks</w:t>
      </w:r>
      <w:proofErr w:type="spellEnd"/>
      <w:r w:rsidRPr="00CE4658">
        <w:rPr>
          <w:rFonts w:cstheme="minorHAnsi"/>
          <w:sz w:val="24"/>
          <w:szCs w:val="24"/>
        </w:rPr>
        <w:t>, Natick, MA, USA).</w:t>
      </w:r>
    </w:p>
    <w:p w14:paraId="6509FB09" w14:textId="394DE7F1" w:rsidR="00CE4658" w:rsidRPr="00D30F41" w:rsidRDefault="00CE4658" w:rsidP="00D30F41">
      <w:pPr>
        <w:pStyle w:val="Heading1"/>
      </w:pPr>
      <w:r w:rsidRPr="00E30B07">
        <w:t>Results</w:t>
      </w:r>
    </w:p>
    <w:p w14:paraId="4AF07AD6" w14:textId="77777777" w:rsidR="00CE4658" w:rsidRPr="00CE4658" w:rsidRDefault="00CE4658" w:rsidP="00CE4658">
      <w:pPr>
        <w:rPr>
          <w:rFonts w:cstheme="minorHAnsi"/>
          <w:sz w:val="24"/>
          <w:szCs w:val="24"/>
        </w:rPr>
      </w:pPr>
      <w:r w:rsidRPr="00CE4658">
        <w:rPr>
          <w:rFonts w:cstheme="minorHAnsi"/>
          <w:sz w:val="24"/>
          <w:szCs w:val="24"/>
        </w:rPr>
        <w:t xml:space="preserve">Descriptive data are reported as Mean ± SD (Table 2). The correlation analysis showed that JH-EUR exhibited a large positive correlation with Knee-NJP-EUR (Table 3). The LASSO and elastic net </w:t>
      </w:r>
      <w:proofErr w:type="spellStart"/>
      <w:r w:rsidRPr="00CE4658">
        <w:rPr>
          <w:rFonts w:cstheme="minorHAnsi"/>
          <w:sz w:val="24"/>
          <w:szCs w:val="24"/>
        </w:rPr>
        <w:t>regularisation</w:t>
      </w:r>
      <w:proofErr w:type="spellEnd"/>
      <w:r w:rsidRPr="00CE4658">
        <w:rPr>
          <w:rFonts w:cstheme="minorHAnsi"/>
          <w:sz w:val="24"/>
          <w:szCs w:val="24"/>
        </w:rPr>
        <w:t xml:space="preserve"> for the minimum MSE and sparser model indicated that three and two joint-level EUR's variables were the most important predictors of JH-EUR, respectively (Table 4).</w:t>
      </w:r>
    </w:p>
    <w:p w14:paraId="06A5332C" w14:textId="77777777" w:rsidR="00CE4658" w:rsidRPr="00CE4658" w:rsidRDefault="00CE4658" w:rsidP="00D30F41">
      <w:pPr>
        <w:spacing w:after="0"/>
        <w:rPr>
          <w:rFonts w:cstheme="minorHAnsi"/>
          <w:sz w:val="24"/>
          <w:szCs w:val="24"/>
        </w:rPr>
      </w:pPr>
      <w:r w:rsidRPr="00CE4658">
        <w:rPr>
          <w:rFonts w:cstheme="minorHAnsi"/>
          <w:sz w:val="24"/>
          <w:szCs w:val="24"/>
        </w:rPr>
        <w:t>Table 2. Mean ± SD jump height (JH [m]), net joint moment (NJM [</w:t>
      </w:r>
      <w:proofErr w:type="spellStart"/>
      <w:r w:rsidRPr="00CE4658">
        <w:rPr>
          <w:rFonts w:cstheme="minorHAnsi"/>
          <w:sz w:val="24"/>
          <w:szCs w:val="24"/>
        </w:rPr>
        <w:t>N·m</w:t>
      </w:r>
      <w:proofErr w:type="spellEnd"/>
      <w:r w:rsidRPr="00CE4658">
        <w:rPr>
          <w:rFonts w:cstheme="minorHAnsi"/>
          <w:sz w:val="24"/>
          <w:szCs w:val="24"/>
        </w:rPr>
        <w:t xml:space="preserve">/kg]), and net joint power (NJP [W/kg]) during the squat jump (SJ) and counter-movement jump (CMJ). Mean ± SD jump height-based and joint-based eccentric </w:t>
      </w:r>
      <w:proofErr w:type="spellStart"/>
      <w:r w:rsidRPr="00CE4658">
        <w:rPr>
          <w:rFonts w:cstheme="minorHAnsi"/>
          <w:sz w:val="24"/>
          <w:szCs w:val="24"/>
        </w:rPr>
        <w:t>utilisation</w:t>
      </w:r>
      <w:proofErr w:type="spellEnd"/>
      <w:r w:rsidRPr="00CE4658">
        <w:rPr>
          <w:rFonts w:cstheme="minorHAnsi"/>
          <w:sz w:val="24"/>
          <w:szCs w:val="24"/>
        </w:rPr>
        <w:t xml:space="preserve"> ratios (EUR) are also </w:t>
      </w:r>
      <w:proofErr w:type="gramStart"/>
      <w:r w:rsidRPr="00CE4658">
        <w:rPr>
          <w:rFonts w:cstheme="minorHAnsi"/>
          <w:sz w:val="24"/>
          <w:szCs w:val="24"/>
        </w:rPr>
        <w:t>included</w:t>
      </w:r>
      <w:proofErr w:type="gramEnd"/>
    </w:p>
    <w:tbl>
      <w:tblPr>
        <w:tblStyle w:val="TableGrid"/>
        <w:tblW w:w="0" w:type="auto"/>
        <w:tblLook w:val="04A0" w:firstRow="1" w:lastRow="0" w:firstColumn="1" w:lastColumn="0" w:noHBand="0" w:noVBand="1"/>
      </w:tblPr>
      <w:tblGrid>
        <w:gridCol w:w="626"/>
        <w:gridCol w:w="1296"/>
        <w:gridCol w:w="1296"/>
        <w:gridCol w:w="1296"/>
        <w:gridCol w:w="1296"/>
        <w:gridCol w:w="1296"/>
        <w:gridCol w:w="1417"/>
        <w:gridCol w:w="1296"/>
      </w:tblGrid>
      <w:tr w:rsidR="00D30F41" w:rsidRPr="00CE4658" w14:paraId="3E4F0FF4" w14:textId="77777777" w:rsidTr="00DD545B">
        <w:tc>
          <w:tcPr>
            <w:tcW w:w="0" w:type="auto"/>
            <w:hideMark/>
          </w:tcPr>
          <w:p w14:paraId="0AA8C0C8" w14:textId="77777777" w:rsidR="00D30F41" w:rsidRPr="00CE4658" w:rsidRDefault="00D30F41" w:rsidP="00D30F41">
            <w:pPr>
              <w:spacing w:line="259" w:lineRule="auto"/>
              <w:rPr>
                <w:rFonts w:cstheme="minorHAnsi"/>
                <w:sz w:val="24"/>
                <w:szCs w:val="24"/>
              </w:rPr>
            </w:pPr>
          </w:p>
        </w:tc>
        <w:tc>
          <w:tcPr>
            <w:tcW w:w="0" w:type="auto"/>
            <w:hideMark/>
          </w:tcPr>
          <w:p w14:paraId="06F86910" w14:textId="77777777" w:rsidR="00D30F41" w:rsidRPr="00CE4658" w:rsidRDefault="00D30F41" w:rsidP="00D30F41">
            <w:pPr>
              <w:spacing w:after="0"/>
              <w:rPr>
                <w:rFonts w:cstheme="minorHAnsi"/>
                <w:sz w:val="24"/>
                <w:szCs w:val="24"/>
              </w:rPr>
            </w:pPr>
          </w:p>
        </w:tc>
        <w:tc>
          <w:tcPr>
            <w:tcW w:w="0" w:type="auto"/>
            <w:hideMark/>
          </w:tcPr>
          <w:p w14:paraId="02E34B54" w14:textId="77777777" w:rsidR="00D30F41" w:rsidRPr="00CE4658" w:rsidRDefault="00D30F41" w:rsidP="00D30F41">
            <w:pPr>
              <w:spacing w:after="0"/>
              <w:rPr>
                <w:rFonts w:cstheme="minorHAnsi"/>
                <w:sz w:val="24"/>
                <w:szCs w:val="24"/>
              </w:rPr>
            </w:pPr>
            <w:r w:rsidRPr="00CE4658">
              <w:rPr>
                <w:rFonts w:cstheme="minorHAnsi"/>
                <w:sz w:val="24"/>
                <w:szCs w:val="24"/>
              </w:rPr>
              <w:t>NJM</w:t>
            </w:r>
          </w:p>
        </w:tc>
        <w:tc>
          <w:tcPr>
            <w:tcW w:w="0" w:type="auto"/>
          </w:tcPr>
          <w:p w14:paraId="6B680D16" w14:textId="77777777" w:rsidR="00D30F41" w:rsidRPr="00CE4658" w:rsidRDefault="00D30F41" w:rsidP="00D30F41">
            <w:pPr>
              <w:rPr>
                <w:rFonts w:cstheme="minorHAnsi"/>
                <w:sz w:val="24"/>
                <w:szCs w:val="24"/>
              </w:rPr>
            </w:pPr>
          </w:p>
        </w:tc>
        <w:tc>
          <w:tcPr>
            <w:tcW w:w="0" w:type="auto"/>
          </w:tcPr>
          <w:p w14:paraId="585DA399" w14:textId="77777777" w:rsidR="00D30F41" w:rsidRPr="00CE4658" w:rsidRDefault="00D30F41" w:rsidP="00D30F41">
            <w:pPr>
              <w:rPr>
                <w:rFonts w:cstheme="minorHAnsi"/>
                <w:sz w:val="24"/>
                <w:szCs w:val="24"/>
              </w:rPr>
            </w:pPr>
          </w:p>
        </w:tc>
        <w:tc>
          <w:tcPr>
            <w:tcW w:w="0" w:type="auto"/>
          </w:tcPr>
          <w:p w14:paraId="7DE58277" w14:textId="4303F85A" w:rsidR="00D30F41" w:rsidRPr="00CE4658" w:rsidRDefault="00D30F41" w:rsidP="00D30F41">
            <w:pPr>
              <w:rPr>
                <w:rFonts w:cstheme="minorHAnsi"/>
                <w:sz w:val="24"/>
                <w:szCs w:val="24"/>
              </w:rPr>
            </w:pPr>
            <w:r w:rsidRPr="00CE4658">
              <w:rPr>
                <w:rFonts w:cstheme="minorHAnsi"/>
                <w:sz w:val="24"/>
                <w:szCs w:val="24"/>
              </w:rPr>
              <w:t>NJP</w:t>
            </w:r>
          </w:p>
        </w:tc>
        <w:tc>
          <w:tcPr>
            <w:tcW w:w="0" w:type="auto"/>
          </w:tcPr>
          <w:p w14:paraId="561A800D" w14:textId="77777777" w:rsidR="00D30F41" w:rsidRPr="00CE4658" w:rsidRDefault="00D30F41" w:rsidP="00D30F41">
            <w:pPr>
              <w:rPr>
                <w:rFonts w:cstheme="minorHAnsi"/>
                <w:sz w:val="24"/>
                <w:szCs w:val="24"/>
              </w:rPr>
            </w:pPr>
          </w:p>
        </w:tc>
        <w:tc>
          <w:tcPr>
            <w:tcW w:w="0" w:type="auto"/>
            <w:hideMark/>
          </w:tcPr>
          <w:p w14:paraId="64CD980D" w14:textId="75E7BBBF" w:rsidR="00D30F41" w:rsidRPr="00CE4658" w:rsidRDefault="00D30F41" w:rsidP="00D30F41">
            <w:pPr>
              <w:spacing w:after="0"/>
              <w:rPr>
                <w:rFonts w:cstheme="minorHAnsi"/>
                <w:sz w:val="24"/>
                <w:szCs w:val="24"/>
              </w:rPr>
            </w:pPr>
          </w:p>
        </w:tc>
      </w:tr>
      <w:tr w:rsidR="00CE4658" w:rsidRPr="00CE4658" w14:paraId="42C699CB" w14:textId="77777777" w:rsidTr="00D30F41">
        <w:tc>
          <w:tcPr>
            <w:tcW w:w="0" w:type="auto"/>
            <w:hideMark/>
          </w:tcPr>
          <w:p w14:paraId="7A23DD54" w14:textId="77777777" w:rsidR="00CE4658" w:rsidRPr="00CE4658" w:rsidRDefault="00CE4658" w:rsidP="00D30F41">
            <w:pPr>
              <w:spacing w:after="0"/>
              <w:rPr>
                <w:rFonts w:cstheme="minorHAnsi"/>
                <w:sz w:val="24"/>
                <w:szCs w:val="24"/>
              </w:rPr>
            </w:pPr>
          </w:p>
        </w:tc>
        <w:tc>
          <w:tcPr>
            <w:tcW w:w="0" w:type="auto"/>
            <w:hideMark/>
          </w:tcPr>
          <w:p w14:paraId="4CEEC99D" w14:textId="77777777" w:rsidR="00CE4658" w:rsidRPr="00CE4658" w:rsidRDefault="00CE4658" w:rsidP="00D30F41">
            <w:pPr>
              <w:spacing w:after="0"/>
              <w:rPr>
                <w:rFonts w:cstheme="minorHAnsi"/>
                <w:sz w:val="24"/>
                <w:szCs w:val="24"/>
              </w:rPr>
            </w:pPr>
            <w:r w:rsidRPr="00CE4658">
              <w:rPr>
                <w:rFonts w:cstheme="minorHAnsi"/>
                <w:sz w:val="24"/>
                <w:szCs w:val="24"/>
              </w:rPr>
              <w:t>JH</w:t>
            </w:r>
          </w:p>
        </w:tc>
        <w:tc>
          <w:tcPr>
            <w:tcW w:w="0" w:type="auto"/>
            <w:hideMark/>
          </w:tcPr>
          <w:p w14:paraId="7FB96DAA" w14:textId="77777777" w:rsidR="00CE4658" w:rsidRPr="00CE4658" w:rsidRDefault="00CE4658" w:rsidP="00D30F41">
            <w:pPr>
              <w:spacing w:after="0"/>
              <w:rPr>
                <w:rFonts w:cstheme="minorHAnsi"/>
                <w:sz w:val="24"/>
                <w:szCs w:val="24"/>
              </w:rPr>
            </w:pPr>
            <w:r w:rsidRPr="00CE4658">
              <w:rPr>
                <w:rFonts w:cstheme="minorHAnsi"/>
                <w:sz w:val="24"/>
                <w:szCs w:val="24"/>
              </w:rPr>
              <w:t>Hip</w:t>
            </w:r>
          </w:p>
        </w:tc>
        <w:tc>
          <w:tcPr>
            <w:tcW w:w="0" w:type="auto"/>
            <w:hideMark/>
          </w:tcPr>
          <w:p w14:paraId="07B1069A" w14:textId="77777777" w:rsidR="00CE4658" w:rsidRPr="00CE4658" w:rsidRDefault="00CE4658" w:rsidP="00D30F41">
            <w:pPr>
              <w:spacing w:after="0"/>
              <w:rPr>
                <w:rFonts w:cstheme="minorHAnsi"/>
                <w:sz w:val="24"/>
                <w:szCs w:val="24"/>
              </w:rPr>
            </w:pPr>
            <w:r w:rsidRPr="00CE4658">
              <w:rPr>
                <w:rFonts w:cstheme="minorHAnsi"/>
                <w:sz w:val="24"/>
                <w:szCs w:val="24"/>
              </w:rPr>
              <w:t>Knee</w:t>
            </w:r>
          </w:p>
        </w:tc>
        <w:tc>
          <w:tcPr>
            <w:tcW w:w="0" w:type="auto"/>
            <w:hideMark/>
          </w:tcPr>
          <w:p w14:paraId="2D56EE87" w14:textId="77777777" w:rsidR="00CE4658" w:rsidRPr="00CE4658" w:rsidRDefault="00CE4658" w:rsidP="00D30F41">
            <w:pPr>
              <w:spacing w:after="0"/>
              <w:rPr>
                <w:rFonts w:cstheme="minorHAnsi"/>
                <w:sz w:val="24"/>
                <w:szCs w:val="24"/>
              </w:rPr>
            </w:pPr>
            <w:r w:rsidRPr="00CE4658">
              <w:rPr>
                <w:rFonts w:cstheme="minorHAnsi"/>
                <w:sz w:val="24"/>
                <w:szCs w:val="24"/>
              </w:rPr>
              <w:t>Ankle</w:t>
            </w:r>
          </w:p>
        </w:tc>
        <w:tc>
          <w:tcPr>
            <w:tcW w:w="0" w:type="auto"/>
            <w:hideMark/>
          </w:tcPr>
          <w:p w14:paraId="7B098DCD" w14:textId="77777777" w:rsidR="00CE4658" w:rsidRPr="00CE4658" w:rsidRDefault="00CE4658" w:rsidP="00D30F41">
            <w:pPr>
              <w:spacing w:after="0"/>
              <w:rPr>
                <w:rFonts w:cstheme="minorHAnsi"/>
                <w:sz w:val="24"/>
                <w:szCs w:val="24"/>
              </w:rPr>
            </w:pPr>
            <w:r w:rsidRPr="00CE4658">
              <w:rPr>
                <w:rFonts w:cstheme="minorHAnsi"/>
                <w:sz w:val="24"/>
                <w:szCs w:val="24"/>
              </w:rPr>
              <w:t>Hip</w:t>
            </w:r>
          </w:p>
        </w:tc>
        <w:tc>
          <w:tcPr>
            <w:tcW w:w="0" w:type="auto"/>
            <w:hideMark/>
          </w:tcPr>
          <w:p w14:paraId="3891ECBB" w14:textId="77777777" w:rsidR="00CE4658" w:rsidRPr="00CE4658" w:rsidRDefault="00CE4658" w:rsidP="00D30F41">
            <w:pPr>
              <w:spacing w:after="0"/>
              <w:rPr>
                <w:rFonts w:cstheme="minorHAnsi"/>
                <w:sz w:val="24"/>
                <w:szCs w:val="24"/>
              </w:rPr>
            </w:pPr>
            <w:r w:rsidRPr="00CE4658">
              <w:rPr>
                <w:rFonts w:cstheme="minorHAnsi"/>
                <w:sz w:val="24"/>
                <w:szCs w:val="24"/>
              </w:rPr>
              <w:t>Knee</w:t>
            </w:r>
          </w:p>
        </w:tc>
        <w:tc>
          <w:tcPr>
            <w:tcW w:w="0" w:type="auto"/>
            <w:hideMark/>
          </w:tcPr>
          <w:p w14:paraId="51339421" w14:textId="77777777" w:rsidR="00CE4658" w:rsidRPr="00CE4658" w:rsidRDefault="00CE4658" w:rsidP="00D30F41">
            <w:pPr>
              <w:spacing w:after="0"/>
              <w:rPr>
                <w:rFonts w:cstheme="minorHAnsi"/>
                <w:sz w:val="24"/>
                <w:szCs w:val="24"/>
              </w:rPr>
            </w:pPr>
            <w:r w:rsidRPr="00CE4658">
              <w:rPr>
                <w:rFonts w:cstheme="minorHAnsi"/>
                <w:sz w:val="24"/>
                <w:szCs w:val="24"/>
              </w:rPr>
              <w:t>Ankle</w:t>
            </w:r>
          </w:p>
        </w:tc>
      </w:tr>
      <w:tr w:rsidR="00CE4658" w:rsidRPr="00CE4658" w14:paraId="10C5AA6D" w14:textId="77777777" w:rsidTr="00D30F41">
        <w:tc>
          <w:tcPr>
            <w:tcW w:w="0" w:type="auto"/>
            <w:hideMark/>
          </w:tcPr>
          <w:p w14:paraId="5806D87C" w14:textId="77777777" w:rsidR="00CE4658" w:rsidRPr="00CE4658" w:rsidRDefault="00CE4658" w:rsidP="00D30F41">
            <w:pPr>
              <w:spacing w:after="0"/>
              <w:rPr>
                <w:rFonts w:cstheme="minorHAnsi"/>
                <w:sz w:val="24"/>
                <w:szCs w:val="24"/>
              </w:rPr>
            </w:pPr>
            <w:r w:rsidRPr="00CE4658">
              <w:rPr>
                <w:rFonts w:cstheme="minorHAnsi"/>
                <w:sz w:val="24"/>
                <w:szCs w:val="24"/>
              </w:rPr>
              <w:t>SJ</w:t>
            </w:r>
          </w:p>
        </w:tc>
        <w:tc>
          <w:tcPr>
            <w:tcW w:w="0" w:type="auto"/>
            <w:hideMark/>
          </w:tcPr>
          <w:p w14:paraId="19AC01CA" w14:textId="77777777" w:rsidR="00CE4658" w:rsidRPr="00CE4658" w:rsidRDefault="00CE4658" w:rsidP="00D30F41">
            <w:pPr>
              <w:spacing w:after="0"/>
              <w:rPr>
                <w:rFonts w:cstheme="minorHAnsi"/>
                <w:sz w:val="24"/>
                <w:szCs w:val="24"/>
              </w:rPr>
            </w:pPr>
            <w:r w:rsidRPr="00CE4658">
              <w:rPr>
                <w:rFonts w:cstheme="minorHAnsi"/>
                <w:sz w:val="24"/>
                <w:szCs w:val="24"/>
              </w:rPr>
              <w:t>0.39 ± 0.01</w:t>
            </w:r>
          </w:p>
        </w:tc>
        <w:tc>
          <w:tcPr>
            <w:tcW w:w="0" w:type="auto"/>
            <w:hideMark/>
          </w:tcPr>
          <w:p w14:paraId="76CD55B5" w14:textId="77777777" w:rsidR="00CE4658" w:rsidRPr="00CE4658" w:rsidRDefault="00CE4658" w:rsidP="00D30F41">
            <w:pPr>
              <w:spacing w:after="0"/>
              <w:rPr>
                <w:rFonts w:cstheme="minorHAnsi"/>
                <w:sz w:val="24"/>
                <w:szCs w:val="24"/>
              </w:rPr>
            </w:pPr>
            <w:r w:rsidRPr="00CE4658">
              <w:rPr>
                <w:rFonts w:cstheme="minorHAnsi"/>
                <w:sz w:val="24"/>
                <w:szCs w:val="24"/>
              </w:rPr>
              <w:t>1.56 ± 0.35</w:t>
            </w:r>
          </w:p>
        </w:tc>
        <w:tc>
          <w:tcPr>
            <w:tcW w:w="0" w:type="auto"/>
            <w:hideMark/>
          </w:tcPr>
          <w:p w14:paraId="3E5DEADA" w14:textId="77777777" w:rsidR="00CE4658" w:rsidRPr="00CE4658" w:rsidRDefault="00CE4658" w:rsidP="00D30F41">
            <w:pPr>
              <w:spacing w:after="0"/>
              <w:rPr>
                <w:rFonts w:cstheme="minorHAnsi"/>
                <w:sz w:val="24"/>
                <w:szCs w:val="24"/>
              </w:rPr>
            </w:pPr>
            <w:r w:rsidRPr="00CE4658">
              <w:rPr>
                <w:rFonts w:cstheme="minorHAnsi"/>
                <w:sz w:val="24"/>
                <w:szCs w:val="24"/>
              </w:rPr>
              <w:t>1.33 ± 0.23</w:t>
            </w:r>
          </w:p>
        </w:tc>
        <w:tc>
          <w:tcPr>
            <w:tcW w:w="0" w:type="auto"/>
            <w:hideMark/>
          </w:tcPr>
          <w:p w14:paraId="34078ED4" w14:textId="77777777" w:rsidR="00CE4658" w:rsidRPr="00CE4658" w:rsidRDefault="00CE4658" w:rsidP="00D30F41">
            <w:pPr>
              <w:spacing w:after="0"/>
              <w:rPr>
                <w:rFonts w:cstheme="minorHAnsi"/>
                <w:sz w:val="24"/>
                <w:szCs w:val="24"/>
              </w:rPr>
            </w:pPr>
            <w:r w:rsidRPr="00CE4658">
              <w:rPr>
                <w:rFonts w:cstheme="minorHAnsi"/>
                <w:sz w:val="24"/>
                <w:szCs w:val="24"/>
              </w:rPr>
              <w:t>1.48 ± 0.34</w:t>
            </w:r>
          </w:p>
        </w:tc>
        <w:tc>
          <w:tcPr>
            <w:tcW w:w="0" w:type="auto"/>
            <w:hideMark/>
          </w:tcPr>
          <w:p w14:paraId="20FF287E" w14:textId="77777777" w:rsidR="00CE4658" w:rsidRPr="00CE4658" w:rsidRDefault="00CE4658" w:rsidP="00D30F41">
            <w:pPr>
              <w:spacing w:after="0"/>
              <w:rPr>
                <w:rFonts w:cstheme="minorHAnsi"/>
                <w:sz w:val="24"/>
                <w:szCs w:val="24"/>
              </w:rPr>
            </w:pPr>
            <w:r w:rsidRPr="00CE4658">
              <w:rPr>
                <w:rFonts w:cstheme="minorHAnsi"/>
                <w:sz w:val="24"/>
                <w:szCs w:val="24"/>
              </w:rPr>
              <w:t>6.21 ± 2.09</w:t>
            </w:r>
          </w:p>
        </w:tc>
        <w:tc>
          <w:tcPr>
            <w:tcW w:w="0" w:type="auto"/>
            <w:hideMark/>
          </w:tcPr>
          <w:p w14:paraId="77C13C91" w14:textId="77777777" w:rsidR="00CE4658" w:rsidRPr="00CE4658" w:rsidRDefault="00CE4658" w:rsidP="00D30F41">
            <w:pPr>
              <w:spacing w:after="0"/>
              <w:rPr>
                <w:rFonts w:cstheme="minorHAnsi"/>
                <w:sz w:val="24"/>
                <w:szCs w:val="24"/>
              </w:rPr>
            </w:pPr>
            <w:r w:rsidRPr="00CE4658">
              <w:rPr>
                <w:rFonts w:cstheme="minorHAnsi"/>
                <w:sz w:val="24"/>
                <w:szCs w:val="24"/>
              </w:rPr>
              <w:t>9.43 ± 2.79</w:t>
            </w:r>
          </w:p>
        </w:tc>
        <w:tc>
          <w:tcPr>
            <w:tcW w:w="0" w:type="auto"/>
            <w:hideMark/>
          </w:tcPr>
          <w:p w14:paraId="4B3D7BDD" w14:textId="77777777" w:rsidR="00CE4658" w:rsidRPr="00CE4658" w:rsidRDefault="00CE4658" w:rsidP="00D30F41">
            <w:pPr>
              <w:spacing w:after="0"/>
              <w:rPr>
                <w:rFonts w:cstheme="minorHAnsi"/>
                <w:sz w:val="24"/>
                <w:szCs w:val="24"/>
              </w:rPr>
            </w:pPr>
            <w:r w:rsidRPr="00CE4658">
              <w:rPr>
                <w:rFonts w:cstheme="minorHAnsi"/>
                <w:sz w:val="24"/>
                <w:szCs w:val="24"/>
              </w:rPr>
              <w:t>8.71 ± 2.03</w:t>
            </w:r>
          </w:p>
        </w:tc>
      </w:tr>
      <w:tr w:rsidR="00CE4658" w:rsidRPr="00CE4658" w14:paraId="109BB4A1" w14:textId="77777777" w:rsidTr="00D30F41">
        <w:tc>
          <w:tcPr>
            <w:tcW w:w="0" w:type="auto"/>
            <w:hideMark/>
          </w:tcPr>
          <w:p w14:paraId="0A27C29C" w14:textId="77777777" w:rsidR="00CE4658" w:rsidRPr="00CE4658" w:rsidRDefault="00CE4658" w:rsidP="00D30F41">
            <w:pPr>
              <w:spacing w:after="0"/>
              <w:rPr>
                <w:rFonts w:cstheme="minorHAnsi"/>
                <w:sz w:val="24"/>
                <w:szCs w:val="24"/>
              </w:rPr>
            </w:pPr>
            <w:r w:rsidRPr="00CE4658">
              <w:rPr>
                <w:rFonts w:cstheme="minorHAnsi"/>
                <w:sz w:val="24"/>
                <w:szCs w:val="24"/>
              </w:rPr>
              <w:t>CMJ</w:t>
            </w:r>
          </w:p>
        </w:tc>
        <w:tc>
          <w:tcPr>
            <w:tcW w:w="0" w:type="auto"/>
            <w:hideMark/>
          </w:tcPr>
          <w:p w14:paraId="32619830" w14:textId="77777777" w:rsidR="00CE4658" w:rsidRPr="00CE4658" w:rsidRDefault="00CE4658" w:rsidP="00D30F41">
            <w:pPr>
              <w:spacing w:after="0"/>
              <w:rPr>
                <w:rFonts w:cstheme="minorHAnsi"/>
                <w:sz w:val="24"/>
                <w:szCs w:val="24"/>
              </w:rPr>
            </w:pPr>
            <w:r w:rsidRPr="00CE4658">
              <w:rPr>
                <w:rFonts w:cstheme="minorHAnsi"/>
                <w:sz w:val="24"/>
                <w:szCs w:val="24"/>
              </w:rPr>
              <w:t>0.44 ± 0.01</w:t>
            </w:r>
          </w:p>
        </w:tc>
        <w:tc>
          <w:tcPr>
            <w:tcW w:w="0" w:type="auto"/>
            <w:hideMark/>
          </w:tcPr>
          <w:p w14:paraId="65184825" w14:textId="77777777" w:rsidR="00CE4658" w:rsidRPr="00CE4658" w:rsidRDefault="00CE4658" w:rsidP="00D30F41">
            <w:pPr>
              <w:spacing w:after="0"/>
              <w:rPr>
                <w:rFonts w:cstheme="minorHAnsi"/>
                <w:sz w:val="24"/>
                <w:szCs w:val="24"/>
              </w:rPr>
            </w:pPr>
            <w:r w:rsidRPr="00CE4658">
              <w:rPr>
                <w:rFonts w:cstheme="minorHAnsi"/>
                <w:sz w:val="24"/>
                <w:szCs w:val="24"/>
              </w:rPr>
              <w:t>2.19 ± 0.49</w:t>
            </w:r>
          </w:p>
        </w:tc>
        <w:tc>
          <w:tcPr>
            <w:tcW w:w="0" w:type="auto"/>
            <w:hideMark/>
          </w:tcPr>
          <w:p w14:paraId="6F94A40E" w14:textId="77777777" w:rsidR="00CE4658" w:rsidRPr="00CE4658" w:rsidRDefault="00CE4658" w:rsidP="00D30F41">
            <w:pPr>
              <w:spacing w:after="0"/>
              <w:rPr>
                <w:rFonts w:cstheme="minorHAnsi"/>
                <w:sz w:val="24"/>
                <w:szCs w:val="24"/>
              </w:rPr>
            </w:pPr>
            <w:r w:rsidRPr="00CE4658">
              <w:rPr>
                <w:rFonts w:cstheme="minorHAnsi"/>
                <w:sz w:val="24"/>
                <w:szCs w:val="24"/>
              </w:rPr>
              <w:t>1.68 ± 0.46</w:t>
            </w:r>
          </w:p>
        </w:tc>
        <w:tc>
          <w:tcPr>
            <w:tcW w:w="0" w:type="auto"/>
            <w:hideMark/>
          </w:tcPr>
          <w:p w14:paraId="3466AD84" w14:textId="77777777" w:rsidR="00CE4658" w:rsidRPr="00CE4658" w:rsidRDefault="00CE4658" w:rsidP="00D30F41">
            <w:pPr>
              <w:spacing w:after="0"/>
              <w:rPr>
                <w:rFonts w:cstheme="minorHAnsi"/>
                <w:sz w:val="24"/>
                <w:szCs w:val="24"/>
              </w:rPr>
            </w:pPr>
            <w:r w:rsidRPr="00CE4658">
              <w:rPr>
                <w:rFonts w:cstheme="minorHAnsi"/>
                <w:sz w:val="24"/>
                <w:szCs w:val="24"/>
              </w:rPr>
              <w:t>1.57 ± 0.41</w:t>
            </w:r>
          </w:p>
        </w:tc>
        <w:tc>
          <w:tcPr>
            <w:tcW w:w="0" w:type="auto"/>
            <w:hideMark/>
          </w:tcPr>
          <w:p w14:paraId="621B6151" w14:textId="77777777" w:rsidR="00CE4658" w:rsidRPr="00CE4658" w:rsidRDefault="00CE4658" w:rsidP="00D30F41">
            <w:pPr>
              <w:spacing w:after="0"/>
              <w:rPr>
                <w:rFonts w:cstheme="minorHAnsi"/>
                <w:sz w:val="24"/>
                <w:szCs w:val="24"/>
              </w:rPr>
            </w:pPr>
            <w:r w:rsidRPr="00CE4658">
              <w:rPr>
                <w:rFonts w:cstheme="minorHAnsi"/>
                <w:sz w:val="24"/>
                <w:szCs w:val="24"/>
              </w:rPr>
              <w:t>6.46 ± 1.70</w:t>
            </w:r>
          </w:p>
        </w:tc>
        <w:tc>
          <w:tcPr>
            <w:tcW w:w="0" w:type="auto"/>
            <w:hideMark/>
          </w:tcPr>
          <w:p w14:paraId="4F713B63" w14:textId="77777777" w:rsidR="00CE4658" w:rsidRPr="00CE4658" w:rsidRDefault="00CE4658" w:rsidP="00D30F41">
            <w:pPr>
              <w:spacing w:after="0"/>
              <w:rPr>
                <w:rFonts w:cstheme="minorHAnsi"/>
                <w:sz w:val="24"/>
                <w:szCs w:val="24"/>
              </w:rPr>
            </w:pPr>
            <w:r w:rsidRPr="00CE4658">
              <w:rPr>
                <w:rFonts w:cstheme="minorHAnsi"/>
                <w:sz w:val="24"/>
                <w:szCs w:val="24"/>
              </w:rPr>
              <w:t>10.81 ± 3.45</w:t>
            </w:r>
          </w:p>
        </w:tc>
        <w:tc>
          <w:tcPr>
            <w:tcW w:w="0" w:type="auto"/>
            <w:hideMark/>
          </w:tcPr>
          <w:p w14:paraId="4600326F" w14:textId="77777777" w:rsidR="00CE4658" w:rsidRPr="00CE4658" w:rsidRDefault="00CE4658" w:rsidP="00D30F41">
            <w:pPr>
              <w:spacing w:after="0"/>
              <w:rPr>
                <w:rFonts w:cstheme="minorHAnsi"/>
                <w:sz w:val="24"/>
                <w:szCs w:val="24"/>
              </w:rPr>
            </w:pPr>
            <w:r w:rsidRPr="00CE4658">
              <w:rPr>
                <w:rFonts w:cstheme="minorHAnsi"/>
                <w:sz w:val="24"/>
                <w:szCs w:val="24"/>
              </w:rPr>
              <w:t>9.14 ± 1.54</w:t>
            </w:r>
          </w:p>
        </w:tc>
      </w:tr>
      <w:tr w:rsidR="00CE4658" w:rsidRPr="00CE4658" w14:paraId="5ACA8EF0" w14:textId="77777777" w:rsidTr="00D30F41">
        <w:tc>
          <w:tcPr>
            <w:tcW w:w="0" w:type="auto"/>
            <w:hideMark/>
          </w:tcPr>
          <w:p w14:paraId="406D31F8" w14:textId="77777777" w:rsidR="00CE4658" w:rsidRPr="00CE4658" w:rsidRDefault="00CE4658" w:rsidP="00D30F41">
            <w:pPr>
              <w:spacing w:after="0"/>
              <w:rPr>
                <w:rFonts w:cstheme="minorHAnsi"/>
                <w:sz w:val="24"/>
                <w:szCs w:val="24"/>
              </w:rPr>
            </w:pPr>
            <w:r w:rsidRPr="00CE4658">
              <w:rPr>
                <w:rFonts w:cstheme="minorHAnsi"/>
                <w:sz w:val="24"/>
                <w:szCs w:val="24"/>
              </w:rPr>
              <w:t>EUR</w:t>
            </w:r>
          </w:p>
        </w:tc>
        <w:tc>
          <w:tcPr>
            <w:tcW w:w="0" w:type="auto"/>
            <w:hideMark/>
          </w:tcPr>
          <w:p w14:paraId="3822DAC0" w14:textId="77777777" w:rsidR="00CE4658" w:rsidRPr="00CE4658" w:rsidRDefault="00CE4658" w:rsidP="00D30F41">
            <w:pPr>
              <w:spacing w:after="0"/>
              <w:rPr>
                <w:rFonts w:cstheme="minorHAnsi"/>
                <w:sz w:val="24"/>
                <w:szCs w:val="24"/>
              </w:rPr>
            </w:pPr>
            <w:r w:rsidRPr="00CE4658">
              <w:rPr>
                <w:rFonts w:cstheme="minorHAnsi"/>
                <w:sz w:val="24"/>
                <w:szCs w:val="24"/>
              </w:rPr>
              <w:t>1.11 ± 0.07</w:t>
            </w:r>
          </w:p>
        </w:tc>
        <w:tc>
          <w:tcPr>
            <w:tcW w:w="0" w:type="auto"/>
            <w:hideMark/>
          </w:tcPr>
          <w:p w14:paraId="2C2EC18E" w14:textId="77777777" w:rsidR="00CE4658" w:rsidRPr="00CE4658" w:rsidRDefault="00CE4658" w:rsidP="00D30F41">
            <w:pPr>
              <w:spacing w:after="0"/>
              <w:rPr>
                <w:rFonts w:cstheme="minorHAnsi"/>
                <w:sz w:val="24"/>
                <w:szCs w:val="24"/>
              </w:rPr>
            </w:pPr>
            <w:r w:rsidRPr="00CE4658">
              <w:rPr>
                <w:rFonts w:cstheme="minorHAnsi"/>
                <w:sz w:val="24"/>
                <w:szCs w:val="24"/>
              </w:rPr>
              <w:t>1.41 ± 0.12</w:t>
            </w:r>
          </w:p>
        </w:tc>
        <w:tc>
          <w:tcPr>
            <w:tcW w:w="0" w:type="auto"/>
            <w:hideMark/>
          </w:tcPr>
          <w:p w14:paraId="18C43B35" w14:textId="77777777" w:rsidR="00CE4658" w:rsidRPr="00CE4658" w:rsidRDefault="00CE4658" w:rsidP="00D30F41">
            <w:pPr>
              <w:spacing w:after="0"/>
              <w:rPr>
                <w:rFonts w:cstheme="minorHAnsi"/>
                <w:sz w:val="24"/>
                <w:szCs w:val="24"/>
              </w:rPr>
            </w:pPr>
            <w:r w:rsidRPr="00CE4658">
              <w:rPr>
                <w:rFonts w:cstheme="minorHAnsi"/>
                <w:sz w:val="24"/>
                <w:szCs w:val="24"/>
              </w:rPr>
              <w:t>1.26 ± 0.28</w:t>
            </w:r>
          </w:p>
        </w:tc>
        <w:tc>
          <w:tcPr>
            <w:tcW w:w="0" w:type="auto"/>
            <w:hideMark/>
          </w:tcPr>
          <w:p w14:paraId="3B2012D5" w14:textId="77777777" w:rsidR="00CE4658" w:rsidRPr="00CE4658" w:rsidRDefault="00CE4658" w:rsidP="00D30F41">
            <w:pPr>
              <w:spacing w:after="0"/>
              <w:rPr>
                <w:rFonts w:cstheme="minorHAnsi"/>
                <w:sz w:val="24"/>
                <w:szCs w:val="24"/>
              </w:rPr>
            </w:pPr>
            <w:r w:rsidRPr="00CE4658">
              <w:rPr>
                <w:rFonts w:cstheme="minorHAnsi"/>
                <w:sz w:val="24"/>
                <w:szCs w:val="24"/>
              </w:rPr>
              <w:t>1.06 ± 0.11</w:t>
            </w:r>
          </w:p>
        </w:tc>
        <w:tc>
          <w:tcPr>
            <w:tcW w:w="0" w:type="auto"/>
            <w:hideMark/>
          </w:tcPr>
          <w:p w14:paraId="587F4028" w14:textId="77777777" w:rsidR="00CE4658" w:rsidRPr="00CE4658" w:rsidRDefault="00CE4658" w:rsidP="00D30F41">
            <w:pPr>
              <w:spacing w:after="0"/>
              <w:rPr>
                <w:rFonts w:cstheme="minorHAnsi"/>
                <w:sz w:val="24"/>
                <w:szCs w:val="24"/>
              </w:rPr>
            </w:pPr>
            <w:r w:rsidRPr="00CE4658">
              <w:rPr>
                <w:rFonts w:cstheme="minorHAnsi"/>
                <w:sz w:val="24"/>
                <w:szCs w:val="24"/>
              </w:rPr>
              <w:t>1.07 ± 0.17</w:t>
            </w:r>
          </w:p>
        </w:tc>
        <w:tc>
          <w:tcPr>
            <w:tcW w:w="0" w:type="auto"/>
            <w:hideMark/>
          </w:tcPr>
          <w:p w14:paraId="24CD2303" w14:textId="77777777" w:rsidR="00CE4658" w:rsidRPr="00CE4658" w:rsidRDefault="00CE4658" w:rsidP="00D30F41">
            <w:pPr>
              <w:spacing w:after="0"/>
              <w:rPr>
                <w:rFonts w:cstheme="minorHAnsi"/>
                <w:sz w:val="24"/>
                <w:szCs w:val="24"/>
              </w:rPr>
            </w:pPr>
            <w:r w:rsidRPr="00CE4658">
              <w:rPr>
                <w:rFonts w:cstheme="minorHAnsi"/>
                <w:sz w:val="24"/>
                <w:szCs w:val="24"/>
              </w:rPr>
              <w:t>1.17 ± 0.25</w:t>
            </w:r>
          </w:p>
        </w:tc>
        <w:tc>
          <w:tcPr>
            <w:tcW w:w="0" w:type="auto"/>
            <w:hideMark/>
          </w:tcPr>
          <w:p w14:paraId="6CC4F3D1" w14:textId="77777777" w:rsidR="00CE4658" w:rsidRPr="00CE4658" w:rsidRDefault="00CE4658" w:rsidP="00D30F41">
            <w:pPr>
              <w:spacing w:after="0"/>
              <w:rPr>
                <w:rFonts w:cstheme="minorHAnsi"/>
                <w:sz w:val="24"/>
                <w:szCs w:val="24"/>
              </w:rPr>
            </w:pPr>
            <w:r w:rsidRPr="00CE4658">
              <w:rPr>
                <w:rFonts w:cstheme="minorHAnsi"/>
                <w:sz w:val="24"/>
                <w:szCs w:val="24"/>
              </w:rPr>
              <w:t>1.07 ± 0.18</w:t>
            </w:r>
          </w:p>
        </w:tc>
      </w:tr>
    </w:tbl>
    <w:p w14:paraId="5F2A9397" w14:textId="77777777" w:rsidR="00D30F41" w:rsidRDefault="00D30F41" w:rsidP="00CE4658">
      <w:pPr>
        <w:rPr>
          <w:rFonts w:cstheme="minorHAnsi"/>
          <w:sz w:val="24"/>
          <w:szCs w:val="24"/>
        </w:rPr>
      </w:pPr>
    </w:p>
    <w:p w14:paraId="27DA6A53" w14:textId="4CFE9F1A" w:rsidR="00CE4658" w:rsidRPr="00CE4658" w:rsidRDefault="00CE4658" w:rsidP="00D30F41">
      <w:pPr>
        <w:spacing w:after="0"/>
        <w:rPr>
          <w:rFonts w:cstheme="minorHAnsi"/>
          <w:sz w:val="24"/>
          <w:szCs w:val="24"/>
        </w:rPr>
      </w:pPr>
      <w:r w:rsidRPr="00CE4658">
        <w:rPr>
          <w:rFonts w:cstheme="minorHAnsi"/>
          <w:sz w:val="24"/>
          <w:szCs w:val="24"/>
        </w:rPr>
        <w:t>Table 3. Correlation coefficients (</w:t>
      </w:r>
      <w:r w:rsidRPr="00CE4658">
        <w:rPr>
          <w:rFonts w:cstheme="minorHAnsi"/>
          <w:i/>
          <w:iCs/>
          <w:sz w:val="24"/>
          <w:szCs w:val="24"/>
        </w:rPr>
        <w:t>r</w:t>
      </w:r>
      <w:r w:rsidRPr="00CE4658">
        <w:rPr>
          <w:rFonts w:cstheme="minorHAnsi"/>
          <w:sz w:val="24"/>
          <w:szCs w:val="24"/>
        </w:rPr>
        <w:t>), 95% confidence intervals (95% CI), and </w:t>
      </w:r>
      <w:r w:rsidRPr="00CE4658">
        <w:rPr>
          <w:rFonts w:cstheme="minorHAnsi"/>
          <w:i/>
          <w:iCs/>
          <w:sz w:val="24"/>
          <w:szCs w:val="24"/>
        </w:rPr>
        <w:t>p</w:t>
      </w:r>
      <w:r w:rsidRPr="00CE4658">
        <w:rPr>
          <w:rFonts w:cstheme="minorHAnsi"/>
          <w:sz w:val="24"/>
          <w:szCs w:val="24"/>
        </w:rPr>
        <w:t xml:space="preserve">-values between jump height-based eccentric </w:t>
      </w:r>
      <w:proofErr w:type="spellStart"/>
      <w:r w:rsidRPr="00CE4658">
        <w:rPr>
          <w:rFonts w:cstheme="minorHAnsi"/>
          <w:sz w:val="24"/>
          <w:szCs w:val="24"/>
        </w:rPr>
        <w:t>utilisation</w:t>
      </w:r>
      <w:proofErr w:type="spellEnd"/>
      <w:r w:rsidRPr="00CE4658">
        <w:rPr>
          <w:rFonts w:cstheme="minorHAnsi"/>
          <w:sz w:val="24"/>
          <w:szCs w:val="24"/>
        </w:rPr>
        <w:t xml:space="preserve"> ratio and the net joint moment (NJM) and net joint power (NJP) based eccentric </w:t>
      </w:r>
      <w:proofErr w:type="spellStart"/>
      <w:r w:rsidRPr="00CE4658">
        <w:rPr>
          <w:rFonts w:cstheme="minorHAnsi"/>
          <w:sz w:val="24"/>
          <w:szCs w:val="24"/>
        </w:rPr>
        <w:t>utilisation</w:t>
      </w:r>
      <w:proofErr w:type="spellEnd"/>
      <w:r w:rsidRPr="00CE4658">
        <w:rPr>
          <w:rFonts w:cstheme="minorHAnsi"/>
          <w:sz w:val="24"/>
          <w:szCs w:val="24"/>
        </w:rPr>
        <w:t xml:space="preserve"> ratios for each </w:t>
      </w:r>
      <w:proofErr w:type="gramStart"/>
      <w:r w:rsidRPr="00CE4658">
        <w:rPr>
          <w:rFonts w:cstheme="minorHAnsi"/>
          <w:sz w:val="24"/>
          <w:szCs w:val="24"/>
        </w:rPr>
        <w:t>joint</w:t>
      </w:r>
      <w:proofErr w:type="gramEnd"/>
    </w:p>
    <w:tbl>
      <w:tblPr>
        <w:tblStyle w:val="TableGrid"/>
        <w:tblW w:w="0" w:type="auto"/>
        <w:tblLook w:val="04A0" w:firstRow="1" w:lastRow="0" w:firstColumn="1" w:lastColumn="0" w:noHBand="0" w:noVBand="1"/>
      </w:tblPr>
      <w:tblGrid>
        <w:gridCol w:w="1022"/>
        <w:gridCol w:w="764"/>
        <w:gridCol w:w="1550"/>
        <w:gridCol w:w="1550"/>
        <w:gridCol w:w="940"/>
      </w:tblGrid>
      <w:tr w:rsidR="00CE4658" w:rsidRPr="00CE4658" w14:paraId="2E261800" w14:textId="77777777" w:rsidTr="00D30F41">
        <w:tc>
          <w:tcPr>
            <w:tcW w:w="0" w:type="auto"/>
            <w:hideMark/>
          </w:tcPr>
          <w:p w14:paraId="012DC387" w14:textId="77777777" w:rsidR="00CE4658" w:rsidRPr="00CE4658" w:rsidRDefault="00CE4658" w:rsidP="00D30F41">
            <w:pPr>
              <w:spacing w:line="259" w:lineRule="auto"/>
              <w:rPr>
                <w:rFonts w:cstheme="minorHAnsi"/>
                <w:sz w:val="24"/>
                <w:szCs w:val="24"/>
              </w:rPr>
            </w:pPr>
            <w:r w:rsidRPr="00CE4658">
              <w:rPr>
                <w:rFonts w:cstheme="minorHAnsi"/>
                <w:sz w:val="24"/>
                <w:szCs w:val="24"/>
              </w:rPr>
              <w:t>Variable</w:t>
            </w:r>
          </w:p>
        </w:tc>
        <w:tc>
          <w:tcPr>
            <w:tcW w:w="0" w:type="auto"/>
            <w:hideMark/>
          </w:tcPr>
          <w:p w14:paraId="53B2CF8F" w14:textId="77777777" w:rsidR="00CE4658" w:rsidRPr="00CE4658" w:rsidRDefault="00CE4658" w:rsidP="00D30F41">
            <w:pPr>
              <w:spacing w:after="0"/>
              <w:rPr>
                <w:rFonts w:cstheme="minorHAnsi"/>
                <w:sz w:val="24"/>
                <w:szCs w:val="24"/>
              </w:rPr>
            </w:pPr>
            <w:r w:rsidRPr="00CE4658">
              <w:rPr>
                <w:rFonts w:cstheme="minorHAnsi"/>
                <w:sz w:val="24"/>
                <w:szCs w:val="24"/>
              </w:rPr>
              <w:t>Joint</w:t>
            </w:r>
          </w:p>
        </w:tc>
        <w:tc>
          <w:tcPr>
            <w:tcW w:w="0" w:type="auto"/>
            <w:hideMark/>
          </w:tcPr>
          <w:p w14:paraId="0DD17FAA" w14:textId="77777777" w:rsidR="00CE4658" w:rsidRPr="00CE4658" w:rsidRDefault="00CE4658" w:rsidP="00D30F41">
            <w:pPr>
              <w:spacing w:after="0"/>
              <w:rPr>
                <w:rFonts w:cstheme="minorHAnsi"/>
                <w:sz w:val="24"/>
                <w:szCs w:val="24"/>
              </w:rPr>
            </w:pPr>
            <w:r w:rsidRPr="00CE4658">
              <w:rPr>
                <w:rFonts w:cstheme="minorHAnsi"/>
                <w:sz w:val="24"/>
                <w:szCs w:val="24"/>
              </w:rPr>
              <w:t>r</w:t>
            </w:r>
          </w:p>
        </w:tc>
        <w:tc>
          <w:tcPr>
            <w:tcW w:w="0" w:type="auto"/>
            <w:hideMark/>
          </w:tcPr>
          <w:p w14:paraId="391B4C1D" w14:textId="77777777" w:rsidR="00CE4658" w:rsidRPr="00CE4658" w:rsidRDefault="00CE4658" w:rsidP="00D30F41">
            <w:pPr>
              <w:spacing w:after="0"/>
              <w:rPr>
                <w:rFonts w:cstheme="minorHAnsi"/>
                <w:sz w:val="24"/>
                <w:szCs w:val="24"/>
              </w:rPr>
            </w:pPr>
            <w:r w:rsidRPr="00CE4658">
              <w:rPr>
                <w:rFonts w:cstheme="minorHAnsi"/>
                <w:sz w:val="24"/>
                <w:szCs w:val="24"/>
              </w:rPr>
              <w:t>95% CI</w:t>
            </w:r>
          </w:p>
        </w:tc>
        <w:tc>
          <w:tcPr>
            <w:tcW w:w="0" w:type="auto"/>
            <w:hideMark/>
          </w:tcPr>
          <w:p w14:paraId="6743C694" w14:textId="77777777" w:rsidR="00CE4658" w:rsidRPr="00CE4658" w:rsidRDefault="00CE4658" w:rsidP="00D30F41">
            <w:pPr>
              <w:spacing w:after="0"/>
              <w:rPr>
                <w:rFonts w:cstheme="minorHAnsi"/>
                <w:sz w:val="24"/>
                <w:szCs w:val="24"/>
              </w:rPr>
            </w:pPr>
            <w:r w:rsidRPr="00CE4658">
              <w:rPr>
                <w:rFonts w:cstheme="minorHAnsi"/>
                <w:sz w:val="24"/>
                <w:szCs w:val="24"/>
              </w:rPr>
              <w:t>p-value</w:t>
            </w:r>
          </w:p>
        </w:tc>
      </w:tr>
      <w:tr w:rsidR="00CE4658" w:rsidRPr="00CE4658" w14:paraId="50D186E4" w14:textId="77777777" w:rsidTr="00D30F41">
        <w:tc>
          <w:tcPr>
            <w:tcW w:w="0" w:type="auto"/>
            <w:hideMark/>
          </w:tcPr>
          <w:p w14:paraId="067371A0" w14:textId="77777777" w:rsidR="00CE4658" w:rsidRPr="00CE4658" w:rsidRDefault="00CE4658" w:rsidP="00D30F41">
            <w:pPr>
              <w:spacing w:after="0"/>
              <w:rPr>
                <w:rFonts w:cstheme="minorHAnsi"/>
                <w:sz w:val="24"/>
                <w:szCs w:val="24"/>
              </w:rPr>
            </w:pPr>
            <w:r w:rsidRPr="00CE4658">
              <w:rPr>
                <w:rFonts w:cstheme="minorHAnsi"/>
                <w:sz w:val="24"/>
                <w:szCs w:val="24"/>
              </w:rPr>
              <w:t>NJM</w:t>
            </w:r>
          </w:p>
        </w:tc>
        <w:tc>
          <w:tcPr>
            <w:tcW w:w="0" w:type="auto"/>
            <w:hideMark/>
          </w:tcPr>
          <w:p w14:paraId="15DAAE64" w14:textId="77777777" w:rsidR="00CE4658" w:rsidRPr="00CE4658" w:rsidRDefault="00CE4658" w:rsidP="00D30F41">
            <w:pPr>
              <w:spacing w:after="0"/>
              <w:rPr>
                <w:rFonts w:cstheme="minorHAnsi"/>
                <w:sz w:val="24"/>
                <w:szCs w:val="24"/>
              </w:rPr>
            </w:pPr>
            <w:r w:rsidRPr="00CE4658">
              <w:rPr>
                <w:rFonts w:cstheme="minorHAnsi"/>
                <w:sz w:val="24"/>
                <w:szCs w:val="24"/>
              </w:rPr>
              <w:t>Hip</w:t>
            </w:r>
          </w:p>
        </w:tc>
        <w:tc>
          <w:tcPr>
            <w:tcW w:w="0" w:type="auto"/>
            <w:hideMark/>
          </w:tcPr>
          <w:p w14:paraId="0160ECB4" w14:textId="77777777" w:rsidR="00CE4658" w:rsidRPr="00CE4658" w:rsidRDefault="00CE4658" w:rsidP="00D30F41">
            <w:pPr>
              <w:spacing w:after="0"/>
              <w:rPr>
                <w:rFonts w:cstheme="minorHAnsi"/>
                <w:sz w:val="24"/>
                <w:szCs w:val="24"/>
              </w:rPr>
            </w:pPr>
            <w:r w:rsidRPr="00CE4658">
              <w:rPr>
                <w:rFonts w:cstheme="minorHAnsi"/>
                <w:sz w:val="24"/>
                <w:szCs w:val="24"/>
              </w:rPr>
              <w:t>0.255</w:t>
            </w:r>
          </w:p>
        </w:tc>
        <w:tc>
          <w:tcPr>
            <w:tcW w:w="0" w:type="auto"/>
            <w:hideMark/>
          </w:tcPr>
          <w:p w14:paraId="7E65559B" w14:textId="77777777" w:rsidR="00CE4658" w:rsidRPr="00CE4658" w:rsidRDefault="00CE4658" w:rsidP="00D30F41">
            <w:pPr>
              <w:spacing w:after="0"/>
              <w:rPr>
                <w:rFonts w:cstheme="minorHAnsi"/>
                <w:sz w:val="24"/>
                <w:szCs w:val="24"/>
              </w:rPr>
            </w:pPr>
            <w:r w:rsidRPr="00CE4658">
              <w:rPr>
                <w:rFonts w:cstheme="minorHAnsi"/>
                <w:sz w:val="24"/>
                <w:szCs w:val="24"/>
              </w:rPr>
              <w:t>−0.594–0.776</w:t>
            </w:r>
          </w:p>
        </w:tc>
        <w:tc>
          <w:tcPr>
            <w:tcW w:w="0" w:type="auto"/>
            <w:hideMark/>
          </w:tcPr>
          <w:p w14:paraId="10921F90" w14:textId="77777777" w:rsidR="00CE4658" w:rsidRPr="00CE4658" w:rsidRDefault="00CE4658" w:rsidP="00D30F41">
            <w:pPr>
              <w:spacing w:after="0"/>
              <w:rPr>
                <w:rFonts w:cstheme="minorHAnsi"/>
                <w:sz w:val="24"/>
                <w:szCs w:val="24"/>
              </w:rPr>
            </w:pPr>
            <w:r w:rsidRPr="00CE4658">
              <w:rPr>
                <w:rFonts w:cstheme="minorHAnsi"/>
                <w:sz w:val="24"/>
                <w:szCs w:val="24"/>
              </w:rPr>
              <w:t>0.244</w:t>
            </w:r>
          </w:p>
        </w:tc>
      </w:tr>
      <w:tr w:rsidR="00CE4658" w:rsidRPr="00CE4658" w14:paraId="63C8ADF0" w14:textId="77777777" w:rsidTr="00D30F41">
        <w:tc>
          <w:tcPr>
            <w:tcW w:w="0" w:type="auto"/>
            <w:hideMark/>
          </w:tcPr>
          <w:p w14:paraId="1130BFC8" w14:textId="77777777" w:rsidR="00CE4658" w:rsidRPr="00CE4658" w:rsidRDefault="00CE4658" w:rsidP="00D30F41">
            <w:pPr>
              <w:spacing w:after="0"/>
              <w:rPr>
                <w:rFonts w:cstheme="minorHAnsi"/>
                <w:sz w:val="24"/>
                <w:szCs w:val="24"/>
              </w:rPr>
            </w:pPr>
            <w:r w:rsidRPr="00CE4658">
              <w:rPr>
                <w:rFonts w:cstheme="minorHAnsi"/>
                <w:sz w:val="24"/>
                <w:szCs w:val="24"/>
              </w:rPr>
              <w:t>Knee</w:t>
            </w:r>
          </w:p>
        </w:tc>
        <w:tc>
          <w:tcPr>
            <w:tcW w:w="0" w:type="auto"/>
            <w:hideMark/>
          </w:tcPr>
          <w:p w14:paraId="163A252A" w14:textId="77777777" w:rsidR="00CE4658" w:rsidRPr="00CE4658" w:rsidRDefault="00CE4658" w:rsidP="00D30F41">
            <w:pPr>
              <w:spacing w:after="0"/>
              <w:rPr>
                <w:rFonts w:cstheme="minorHAnsi"/>
                <w:sz w:val="24"/>
                <w:szCs w:val="24"/>
              </w:rPr>
            </w:pPr>
            <w:r w:rsidRPr="00CE4658">
              <w:rPr>
                <w:rFonts w:cstheme="minorHAnsi"/>
                <w:sz w:val="24"/>
                <w:szCs w:val="24"/>
              </w:rPr>
              <w:t>0.501</w:t>
            </w:r>
          </w:p>
        </w:tc>
        <w:tc>
          <w:tcPr>
            <w:tcW w:w="0" w:type="auto"/>
            <w:hideMark/>
          </w:tcPr>
          <w:p w14:paraId="4FB07700" w14:textId="77777777" w:rsidR="00CE4658" w:rsidRPr="00CE4658" w:rsidRDefault="00CE4658" w:rsidP="00D30F41">
            <w:pPr>
              <w:spacing w:after="0"/>
              <w:rPr>
                <w:rFonts w:cstheme="minorHAnsi"/>
                <w:sz w:val="24"/>
                <w:szCs w:val="24"/>
              </w:rPr>
            </w:pPr>
            <w:r w:rsidRPr="00CE4658">
              <w:rPr>
                <w:rFonts w:cstheme="minorHAnsi"/>
                <w:sz w:val="24"/>
                <w:szCs w:val="24"/>
              </w:rPr>
              <w:t>−0.619–0.887</w:t>
            </w:r>
          </w:p>
        </w:tc>
        <w:tc>
          <w:tcPr>
            <w:tcW w:w="0" w:type="auto"/>
            <w:hideMark/>
          </w:tcPr>
          <w:p w14:paraId="3FD2246D" w14:textId="77777777" w:rsidR="00CE4658" w:rsidRPr="00CE4658" w:rsidRDefault="00CE4658" w:rsidP="00D30F41">
            <w:pPr>
              <w:spacing w:after="0"/>
              <w:rPr>
                <w:rFonts w:cstheme="minorHAnsi"/>
                <w:sz w:val="24"/>
                <w:szCs w:val="24"/>
              </w:rPr>
            </w:pPr>
            <w:r w:rsidRPr="00CE4658">
              <w:rPr>
                <w:rFonts w:cstheme="minorHAnsi"/>
                <w:sz w:val="24"/>
                <w:szCs w:val="24"/>
              </w:rPr>
              <w:t>0.085</w:t>
            </w:r>
          </w:p>
        </w:tc>
        <w:tc>
          <w:tcPr>
            <w:tcW w:w="0" w:type="auto"/>
            <w:hideMark/>
          </w:tcPr>
          <w:p w14:paraId="7BCC32E0" w14:textId="77777777" w:rsidR="00CE4658" w:rsidRPr="00CE4658" w:rsidRDefault="00CE4658" w:rsidP="00D30F41">
            <w:pPr>
              <w:spacing w:after="0"/>
              <w:rPr>
                <w:rFonts w:cstheme="minorHAnsi"/>
                <w:sz w:val="24"/>
                <w:szCs w:val="24"/>
              </w:rPr>
            </w:pPr>
          </w:p>
        </w:tc>
      </w:tr>
      <w:tr w:rsidR="00CE4658" w:rsidRPr="00CE4658" w14:paraId="2E5F407F" w14:textId="77777777" w:rsidTr="00D30F41">
        <w:tc>
          <w:tcPr>
            <w:tcW w:w="0" w:type="auto"/>
            <w:hideMark/>
          </w:tcPr>
          <w:p w14:paraId="24C5C60D" w14:textId="77777777" w:rsidR="00CE4658" w:rsidRPr="00CE4658" w:rsidRDefault="00CE4658" w:rsidP="00D30F41">
            <w:pPr>
              <w:spacing w:after="0"/>
              <w:rPr>
                <w:rFonts w:cstheme="minorHAnsi"/>
                <w:sz w:val="24"/>
                <w:szCs w:val="24"/>
              </w:rPr>
            </w:pPr>
            <w:r w:rsidRPr="00CE4658">
              <w:rPr>
                <w:rFonts w:cstheme="minorHAnsi"/>
                <w:sz w:val="24"/>
                <w:szCs w:val="24"/>
              </w:rPr>
              <w:t>Ankle</w:t>
            </w:r>
          </w:p>
        </w:tc>
        <w:tc>
          <w:tcPr>
            <w:tcW w:w="0" w:type="auto"/>
            <w:hideMark/>
          </w:tcPr>
          <w:p w14:paraId="524BAFD9" w14:textId="77777777" w:rsidR="00CE4658" w:rsidRPr="00CE4658" w:rsidRDefault="00CE4658" w:rsidP="00D30F41">
            <w:pPr>
              <w:spacing w:after="0"/>
              <w:rPr>
                <w:rFonts w:cstheme="minorHAnsi"/>
                <w:sz w:val="24"/>
                <w:szCs w:val="24"/>
              </w:rPr>
            </w:pPr>
            <w:r w:rsidRPr="00CE4658">
              <w:rPr>
                <w:rFonts w:cstheme="minorHAnsi"/>
                <w:sz w:val="24"/>
                <w:szCs w:val="24"/>
              </w:rPr>
              <w:t>0.358</w:t>
            </w:r>
          </w:p>
        </w:tc>
        <w:tc>
          <w:tcPr>
            <w:tcW w:w="0" w:type="auto"/>
            <w:hideMark/>
          </w:tcPr>
          <w:p w14:paraId="3CA5EA7A" w14:textId="77777777" w:rsidR="00CE4658" w:rsidRPr="00CE4658" w:rsidRDefault="00CE4658" w:rsidP="00D30F41">
            <w:pPr>
              <w:spacing w:after="0"/>
              <w:rPr>
                <w:rFonts w:cstheme="minorHAnsi"/>
                <w:sz w:val="24"/>
                <w:szCs w:val="24"/>
              </w:rPr>
            </w:pPr>
            <w:r w:rsidRPr="00CE4658">
              <w:rPr>
                <w:rFonts w:cstheme="minorHAnsi"/>
                <w:sz w:val="24"/>
                <w:szCs w:val="24"/>
              </w:rPr>
              <w:t>−0.569–0.864</w:t>
            </w:r>
          </w:p>
        </w:tc>
        <w:tc>
          <w:tcPr>
            <w:tcW w:w="0" w:type="auto"/>
            <w:hideMark/>
          </w:tcPr>
          <w:p w14:paraId="44213192" w14:textId="77777777" w:rsidR="00CE4658" w:rsidRPr="00CE4658" w:rsidRDefault="00CE4658" w:rsidP="00D30F41">
            <w:pPr>
              <w:spacing w:after="0"/>
              <w:rPr>
                <w:rFonts w:cstheme="minorHAnsi"/>
                <w:sz w:val="24"/>
                <w:szCs w:val="24"/>
              </w:rPr>
            </w:pPr>
            <w:r w:rsidRPr="00CE4658">
              <w:rPr>
                <w:rFonts w:cstheme="minorHAnsi"/>
                <w:sz w:val="24"/>
                <w:szCs w:val="24"/>
              </w:rPr>
              <w:t>0.168</w:t>
            </w:r>
          </w:p>
        </w:tc>
        <w:tc>
          <w:tcPr>
            <w:tcW w:w="0" w:type="auto"/>
            <w:hideMark/>
          </w:tcPr>
          <w:p w14:paraId="4877936B" w14:textId="77777777" w:rsidR="00CE4658" w:rsidRPr="00CE4658" w:rsidRDefault="00CE4658" w:rsidP="00D30F41">
            <w:pPr>
              <w:spacing w:after="0"/>
              <w:rPr>
                <w:rFonts w:cstheme="minorHAnsi"/>
                <w:sz w:val="24"/>
                <w:szCs w:val="24"/>
              </w:rPr>
            </w:pPr>
          </w:p>
        </w:tc>
      </w:tr>
      <w:tr w:rsidR="00CE4658" w:rsidRPr="00CE4658" w14:paraId="4F9AC805" w14:textId="77777777" w:rsidTr="00D30F41">
        <w:tc>
          <w:tcPr>
            <w:tcW w:w="0" w:type="auto"/>
            <w:hideMark/>
          </w:tcPr>
          <w:p w14:paraId="173A0CB3" w14:textId="77777777" w:rsidR="00CE4658" w:rsidRPr="00CE4658" w:rsidRDefault="00CE4658" w:rsidP="00D30F41">
            <w:pPr>
              <w:spacing w:after="0"/>
              <w:rPr>
                <w:rFonts w:cstheme="minorHAnsi"/>
                <w:sz w:val="24"/>
                <w:szCs w:val="24"/>
              </w:rPr>
            </w:pPr>
            <w:r w:rsidRPr="00CE4658">
              <w:rPr>
                <w:rFonts w:cstheme="minorHAnsi"/>
                <w:sz w:val="24"/>
                <w:szCs w:val="24"/>
              </w:rPr>
              <w:t>NJP</w:t>
            </w:r>
          </w:p>
        </w:tc>
        <w:tc>
          <w:tcPr>
            <w:tcW w:w="0" w:type="auto"/>
            <w:hideMark/>
          </w:tcPr>
          <w:p w14:paraId="2905EA39" w14:textId="77777777" w:rsidR="00CE4658" w:rsidRPr="00CE4658" w:rsidRDefault="00CE4658" w:rsidP="00D30F41">
            <w:pPr>
              <w:spacing w:after="0"/>
              <w:rPr>
                <w:rFonts w:cstheme="minorHAnsi"/>
                <w:sz w:val="24"/>
                <w:szCs w:val="24"/>
              </w:rPr>
            </w:pPr>
            <w:r w:rsidRPr="00CE4658">
              <w:rPr>
                <w:rFonts w:cstheme="minorHAnsi"/>
                <w:sz w:val="24"/>
                <w:szCs w:val="24"/>
              </w:rPr>
              <w:t>Hip</w:t>
            </w:r>
          </w:p>
        </w:tc>
        <w:tc>
          <w:tcPr>
            <w:tcW w:w="0" w:type="auto"/>
            <w:hideMark/>
          </w:tcPr>
          <w:p w14:paraId="62F75336" w14:textId="77777777" w:rsidR="00CE4658" w:rsidRPr="00CE4658" w:rsidRDefault="00CE4658" w:rsidP="00D30F41">
            <w:pPr>
              <w:spacing w:after="0"/>
              <w:rPr>
                <w:rFonts w:cstheme="minorHAnsi"/>
                <w:sz w:val="24"/>
                <w:szCs w:val="24"/>
              </w:rPr>
            </w:pPr>
            <w:r w:rsidRPr="00CE4658">
              <w:rPr>
                <w:rFonts w:cstheme="minorHAnsi"/>
                <w:sz w:val="24"/>
                <w:szCs w:val="24"/>
              </w:rPr>
              <w:t>0.100</w:t>
            </w:r>
          </w:p>
        </w:tc>
        <w:tc>
          <w:tcPr>
            <w:tcW w:w="0" w:type="auto"/>
            <w:hideMark/>
          </w:tcPr>
          <w:p w14:paraId="45403BE6" w14:textId="77777777" w:rsidR="00CE4658" w:rsidRPr="00CE4658" w:rsidRDefault="00CE4658" w:rsidP="00D30F41">
            <w:pPr>
              <w:spacing w:after="0"/>
              <w:rPr>
                <w:rFonts w:cstheme="minorHAnsi"/>
                <w:sz w:val="24"/>
                <w:szCs w:val="24"/>
              </w:rPr>
            </w:pPr>
            <w:r w:rsidRPr="00CE4658">
              <w:rPr>
                <w:rFonts w:cstheme="minorHAnsi"/>
                <w:sz w:val="24"/>
                <w:szCs w:val="24"/>
              </w:rPr>
              <w:t>−0.761–0.868</w:t>
            </w:r>
          </w:p>
        </w:tc>
        <w:tc>
          <w:tcPr>
            <w:tcW w:w="0" w:type="auto"/>
            <w:hideMark/>
          </w:tcPr>
          <w:p w14:paraId="4C46B501" w14:textId="77777777" w:rsidR="00CE4658" w:rsidRPr="00CE4658" w:rsidRDefault="00CE4658" w:rsidP="00D30F41">
            <w:pPr>
              <w:spacing w:after="0"/>
              <w:rPr>
                <w:rFonts w:cstheme="minorHAnsi"/>
                <w:sz w:val="24"/>
                <w:szCs w:val="24"/>
              </w:rPr>
            </w:pPr>
            <w:r w:rsidRPr="00CE4658">
              <w:rPr>
                <w:rFonts w:cstheme="minorHAnsi"/>
                <w:sz w:val="24"/>
                <w:szCs w:val="24"/>
              </w:rPr>
              <w:t>0.386</w:t>
            </w:r>
          </w:p>
        </w:tc>
      </w:tr>
      <w:tr w:rsidR="00CE4658" w:rsidRPr="00CE4658" w14:paraId="2D94DE45" w14:textId="77777777" w:rsidTr="00D30F41">
        <w:tc>
          <w:tcPr>
            <w:tcW w:w="0" w:type="auto"/>
            <w:hideMark/>
          </w:tcPr>
          <w:p w14:paraId="7FF84DCA" w14:textId="77777777" w:rsidR="00CE4658" w:rsidRPr="00CE4658" w:rsidRDefault="00CE4658" w:rsidP="00D30F41">
            <w:pPr>
              <w:spacing w:after="0"/>
              <w:rPr>
                <w:rFonts w:cstheme="minorHAnsi"/>
                <w:sz w:val="24"/>
                <w:szCs w:val="24"/>
              </w:rPr>
            </w:pPr>
            <w:r w:rsidRPr="00CE4658">
              <w:rPr>
                <w:rFonts w:cstheme="minorHAnsi"/>
                <w:sz w:val="24"/>
                <w:szCs w:val="24"/>
              </w:rPr>
              <w:t>Knee</w:t>
            </w:r>
          </w:p>
        </w:tc>
        <w:tc>
          <w:tcPr>
            <w:tcW w:w="0" w:type="auto"/>
            <w:hideMark/>
          </w:tcPr>
          <w:p w14:paraId="73CD46C0" w14:textId="77777777" w:rsidR="00CE4658" w:rsidRPr="00CE4658" w:rsidRDefault="00CE4658" w:rsidP="00D30F41">
            <w:pPr>
              <w:spacing w:after="0"/>
              <w:rPr>
                <w:rFonts w:cstheme="minorHAnsi"/>
                <w:sz w:val="24"/>
                <w:szCs w:val="24"/>
              </w:rPr>
            </w:pPr>
            <w:r w:rsidRPr="00CE4658">
              <w:rPr>
                <w:rFonts w:cstheme="minorHAnsi"/>
                <w:sz w:val="24"/>
                <w:szCs w:val="24"/>
              </w:rPr>
              <w:t>0.685</w:t>
            </w:r>
          </w:p>
        </w:tc>
        <w:tc>
          <w:tcPr>
            <w:tcW w:w="0" w:type="auto"/>
            <w:hideMark/>
          </w:tcPr>
          <w:p w14:paraId="25202412" w14:textId="77777777" w:rsidR="00CE4658" w:rsidRPr="00CE4658" w:rsidRDefault="00CE4658" w:rsidP="00D30F41">
            <w:pPr>
              <w:spacing w:after="0"/>
              <w:rPr>
                <w:rFonts w:cstheme="minorHAnsi"/>
                <w:sz w:val="24"/>
                <w:szCs w:val="24"/>
              </w:rPr>
            </w:pPr>
            <w:r w:rsidRPr="00CE4658">
              <w:rPr>
                <w:rFonts w:cstheme="minorHAnsi"/>
                <w:sz w:val="24"/>
                <w:szCs w:val="24"/>
              </w:rPr>
              <w:t>0.175–0.954</w:t>
            </w:r>
          </w:p>
        </w:tc>
        <w:tc>
          <w:tcPr>
            <w:tcW w:w="0" w:type="auto"/>
            <w:hideMark/>
          </w:tcPr>
          <w:p w14:paraId="5D1484CE" w14:textId="77777777" w:rsidR="00CE4658" w:rsidRPr="00CE4658" w:rsidRDefault="00CE4658" w:rsidP="00D30F41">
            <w:pPr>
              <w:spacing w:after="0"/>
              <w:rPr>
                <w:rFonts w:cstheme="minorHAnsi"/>
                <w:sz w:val="24"/>
                <w:szCs w:val="24"/>
              </w:rPr>
            </w:pPr>
            <w:r w:rsidRPr="00CE4658">
              <w:rPr>
                <w:rFonts w:cstheme="minorHAnsi"/>
                <w:sz w:val="24"/>
                <w:szCs w:val="24"/>
              </w:rPr>
              <w:t>0.021</w:t>
            </w:r>
          </w:p>
        </w:tc>
        <w:tc>
          <w:tcPr>
            <w:tcW w:w="0" w:type="auto"/>
            <w:hideMark/>
          </w:tcPr>
          <w:p w14:paraId="7737AA80" w14:textId="77777777" w:rsidR="00CE4658" w:rsidRPr="00CE4658" w:rsidRDefault="00CE4658" w:rsidP="00D30F41">
            <w:pPr>
              <w:spacing w:after="0"/>
              <w:rPr>
                <w:rFonts w:cstheme="minorHAnsi"/>
                <w:sz w:val="24"/>
                <w:szCs w:val="24"/>
              </w:rPr>
            </w:pPr>
          </w:p>
        </w:tc>
      </w:tr>
      <w:tr w:rsidR="00CE4658" w:rsidRPr="00CE4658" w14:paraId="22EA66BC" w14:textId="77777777" w:rsidTr="00D30F41">
        <w:tc>
          <w:tcPr>
            <w:tcW w:w="0" w:type="auto"/>
            <w:hideMark/>
          </w:tcPr>
          <w:p w14:paraId="431FDAF4" w14:textId="77777777" w:rsidR="00CE4658" w:rsidRPr="00CE4658" w:rsidRDefault="00CE4658" w:rsidP="00D30F41">
            <w:pPr>
              <w:spacing w:after="0"/>
              <w:rPr>
                <w:rFonts w:cstheme="minorHAnsi"/>
                <w:sz w:val="24"/>
                <w:szCs w:val="24"/>
              </w:rPr>
            </w:pPr>
            <w:r w:rsidRPr="00CE4658">
              <w:rPr>
                <w:rFonts w:cstheme="minorHAnsi"/>
                <w:sz w:val="24"/>
                <w:szCs w:val="24"/>
              </w:rPr>
              <w:t>Ankle</w:t>
            </w:r>
          </w:p>
        </w:tc>
        <w:tc>
          <w:tcPr>
            <w:tcW w:w="0" w:type="auto"/>
            <w:hideMark/>
          </w:tcPr>
          <w:p w14:paraId="381F8CF8" w14:textId="77777777" w:rsidR="00CE4658" w:rsidRPr="00CE4658" w:rsidRDefault="00CE4658" w:rsidP="00D30F41">
            <w:pPr>
              <w:spacing w:after="0"/>
              <w:rPr>
                <w:rFonts w:cstheme="minorHAnsi"/>
                <w:sz w:val="24"/>
                <w:szCs w:val="24"/>
              </w:rPr>
            </w:pPr>
            <w:r w:rsidRPr="00CE4658">
              <w:rPr>
                <w:rFonts w:cstheme="minorHAnsi"/>
                <w:sz w:val="24"/>
                <w:szCs w:val="24"/>
              </w:rPr>
              <w:t>0.448</w:t>
            </w:r>
          </w:p>
        </w:tc>
        <w:tc>
          <w:tcPr>
            <w:tcW w:w="0" w:type="auto"/>
            <w:hideMark/>
          </w:tcPr>
          <w:p w14:paraId="2D6FE721" w14:textId="77777777" w:rsidR="00CE4658" w:rsidRPr="00CE4658" w:rsidRDefault="00CE4658" w:rsidP="00D30F41">
            <w:pPr>
              <w:spacing w:after="0"/>
              <w:rPr>
                <w:rFonts w:cstheme="minorHAnsi"/>
                <w:sz w:val="24"/>
                <w:szCs w:val="24"/>
              </w:rPr>
            </w:pPr>
            <w:r w:rsidRPr="00CE4658">
              <w:rPr>
                <w:rFonts w:cstheme="minorHAnsi"/>
                <w:sz w:val="24"/>
                <w:szCs w:val="24"/>
              </w:rPr>
              <w:t>−0.493–0.919</w:t>
            </w:r>
          </w:p>
        </w:tc>
        <w:tc>
          <w:tcPr>
            <w:tcW w:w="0" w:type="auto"/>
            <w:hideMark/>
          </w:tcPr>
          <w:p w14:paraId="39029915" w14:textId="77777777" w:rsidR="00CE4658" w:rsidRPr="00CE4658" w:rsidRDefault="00CE4658" w:rsidP="00D30F41">
            <w:pPr>
              <w:spacing w:after="0"/>
              <w:rPr>
                <w:rFonts w:cstheme="minorHAnsi"/>
                <w:sz w:val="24"/>
                <w:szCs w:val="24"/>
              </w:rPr>
            </w:pPr>
            <w:r w:rsidRPr="00CE4658">
              <w:rPr>
                <w:rFonts w:cstheme="minorHAnsi"/>
                <w:sz w:val="24"/>
                <w:szCs w:val="24"/>
              </w:rPr>
              <w:t>0.102</w:t>
            </w:r>
          </w:p>
        </w:tc>
        <w:tc>
          <w:tcPr>
            <w:tcW w:w="0" w:type="auto"/>
            <w:hideMark/>
          </w:tcPr>
          <w:p w14:paraId="33B78808" w14:textId="77777777" w:rsidR="00CE4658" w:rsidRPr="00CE4658" w:rsidRDefault="00CE4658" w:rsidP="00D30F41">
            <w:pPr>
              <w:spacing w:after="0"/>
              <w:rPr>
                <w:rFonts w:cstheme="minorHAnsi"/>
                <w:sz w:val="24"/>
                <w:szCs w:val="24"/>
              </w:rPr>
            </w:pPr>
          </w:p>
        </w:tc>
      </w:tr>
    </w:tbl>
    <w:p w14:paraId="15740D3F" w14:textId="77777777" w:rsidR="00CE4658" w:rsidRPr="00CE4658" w:rsidRDefault="00CE4658" w:rsidP="00D30F41">
      <w:pPr>
        <w:spacing w:after="0"/>
        <w:rPr>
          <w:rFonts w:cstheme="minorHAnsi"/>
          <w:sz w:val="24"/>
          <w:szCs w:val="24"/>
        </w:rPr>
      </w:pPr>
      <w:r w:rsidRPr="00CE4658">
        <w:rPr>
          <w:rFonts w:cstheme="minorHAnsi"/>
          <w:sz w:val="24"/>
          <w:szCs w:val="24"/>
        </w:rPr>
        <w:t xml:space="preserve">Table 4. Predictor variables and regression coefficients (β) for the minimum MSE and sparser model derived from LASSO and elastic net </w:t>
      </w:r>
      <w:proofErr w:type="spellStart"/>
      <w:proofErr w:type="gramStart"/>
      <w:r w:rsidRPr="00CE4658">
        <w:rPr>
          <w:rFonts w:cstheme="minorHAnsi"/>
          <w:sz w:val="24"/>
          <w:szCs w:val="24"/>
        </w:rPr>
        <w:t>regularisation</w:t>
      </w:r>
      <w:proofErr w:type="spellEnd"/>
      <w:proofErr w:type="gramEnd"/>
    </w:p>
    <w:tbl>
      <w:tblPr>
        <w:tblStyle w:val="TableGrid"/>
        <w:tblW w:w="0" w:type="auto"/>
        <w:tblLook w:val="04A0" w:firstRow="1" w:lastRow="0" w:firstColumn="1" w:lastColumn="0" w:noHBand="0" w:noVBand="1"/>
      </w:tblPr>
      <w:tblGrid>
        <w:gridCol w:w="2341"/>
        <w:gridCol w:w="764"/>
        <w:gridCol w:w="764"/>
        <w:gridCol w:w="940"/>
      </w:tblGrid>
      <w:tr w:rsidR="00CE4658" w:rsidRPr="00CE4658" w14:paraId="06A64218" w14:textId="77777777" w:rsidTr="00D30F41">
        <w:tc>
          <w:tcPr>
            <w:tcW w:w="0" w:type="auto"/>
            <w:hideMark/>
          </w:tcPr>
          <w:p w14:paraId="202CE049" w14:textId="77777777" w:rsidR="00CE4658" w:rsidRPr="00CE4658" w:rsidRDefault="00CE4658" w:rsidP="00D30F41">
            <w:pPr>
              <w:spacing w:line="259" w:lineRule="auto"/>
              <w:rPr>
                <w:rFonts w:cstheme="minorHAnsi"/>
                <w:sz w:val="24"/>
                <w:szCs w:val="24"/>
              </w:rPr>
            </w:pPr>
            <w:r w:rsidRPr="00CE4658">
              <w:rPr>
                <w:rFonts w:cstheme="minorHAnsi"/>
                <w:sz w:val="24"/>
                <w:szCs w:val="24"/>
              </w:rPr>
              <w:t>Predictor Variables</w:t>
            </w:r>
          </w:p>
        </w:tc>
        <w:tc>
          <w:tcPr>
            <w:tcW w:w="0" w:type="auto"/>
            <w:hideMark/>
          </w:tcPr>
          <w:p w14:paraId="74A52569" w14:textId="77777777" w:rsidR="00CE4658" w:rsidRPr="00CE4658" w:rsidRDefault="00CE4658" w:rsidP="00D30F41">
            <w:pPr>
              <w:spacing w:after="0"/>
              <w:rPr>
                <w:rFonts w:cstheme="minorHAnsi"/>
                <w:sz w:val="24"/>
                <w:szCs w:val="24"/>
              </w:rPr>
            </w:pPr>
            <w:r w:rsidRPr="00CE4658">
              <w:rPr>
                <w:rFonts w:cstheme="minorHAnsi"/>
                <w:sz w:val="24"/>
                <w:szCs w:val="24"/>
              </w:rPr>
              <w:t>β</w:t>
            </w:r>
          </w:p>
        </w:tc>
        <w:tc>
          <w:tcPr>
            <w:tcW w:w="0" w:type="auto"/>
            <w:hideMark/>
          </w:tcPr>
          <w:p w14:paraId="7E9925A0" w14:textId="77777777" w:rsidR="00CE4658" w:rsidRPr="00CE4658" w:rsidRDefault="00CE4658" w:rsidP="00D30F41">
            <w:pPr>
              <w:spacing w:after="0"/>
              <w:rPr>
                <w:rFonts w:cstheme="minorHAnsi"/>
                <w:sz w:val="24"/>
                <w:szCs w:val="24"/>
              </w:rPr>
            </w:pPr>
            <w:r w:rsidRPr="00CE4658">
              <w:rPr>
                <w:rFonts w:cstheme="minorHAnsi"/>
                <w:sz w:val="24"/>
                <w:szCs w:val="24"/>
              </w:rPr>
              <w:t>R</w:t>
            </w:r>
            <w:r w:rsidRPr="00CE4658">
              <w:rPr>
                <w:rFonts w:cstheme="minorHAnsi"/>
                <w:sz w:val="24"/>
                <w:szCs w:val="24"/>
                <w:vertAlign w:val="superscript"/>
              </w:rPr>
              <w:t>2</w:t>
            </w:r>
          </w:p>
        </w:tc>
        <w:tc>
          <w:tcPr>
            <w:tcW w:w="0" w:type="auto"/>
            <w:hideMark/>
          </w:tcPr>
          <w:p w14:paraId="54456E53" w14:textId="77777777" w:rsidR="00CE4658" w:rsidRPr="00CE4658" w:rsidRDefault="00CE4658" w:rsidP="00D30F41">
            <w:pPr>
              <w:spacing w:after="0"/>
              <w:rPr>
                <w:rFonts w:cstheme="minorHAnsi"/>
                <w:sz w:val="24"/>
                <w:szCs w:val="24"/>
              </w:rPr>
            </w:pPr>
            <w:r w:rsidRPr="00CE4658">
              <w:rPr>
                <w:rFonts w:cstheme="minorHAnsi"/>
                <w:sz w:val="24"/>
                <w:szCs w:val="24"/>
              </w:rPr>
              <w:t>p-value</w:t>
            </w:r>
          </w:p>
        </w:tc>
      </w:tr>
      <w:tr w:rsidR="00CE4658" w:rsidRPr="00CE4658" w14:paraId="04170C8A" w14:textId="77777777" w:rsidTr="00D30F41">
        <w:tc>
          <w:tcPr>
            <w:tcW w:w="0" w:type="auto"/>
            <w:hideMark/>
          </w:tcPr>
          <w:p w14:paraId="33424153" w14:textId="77777777" w:rsidR="00CE4658" w:rsidRPr="00CE4658" w:rsidRDefault="00CE4658" w:rsidP="00D30F41">
            <w:pPr>
              <w:spacing w:after="0"/>
              <w:rPr>
                <w:rFonts w:cstheme="minorHAnsi"/>
                <w:sz w:val="24"/>
                <w:szCs w:val="24"/>
              </w:rPr>
            </w:pPr>
            <w:r w:rsidRPr="00CE4658">
              <w:rPr>
                <w:rFonts w:cstheme="minorHAnsi"/>
                <w:sz w:val="24"/>
                <w:szCs w:val="24"/>
              </w:rPr>
              <w:t>Minimum MSE Model</w:t>
            </w:r>
          </w:p>
        </w:tc>
        <w:tc>
          <w:tcPr>
            <w:tcW w:w="0" w:type="auto"/>
            <w:hideMark/>
          </w:tcPr>
          <w:p w14:paraId="0FD0E63F" w14:textId="77777777" w:rsidR="00CE4658" w:rsidRPr="00CE4658" w:rsidRDefault="00CE4658" w:rsidP="00D30F41">
            <w:pPr>
              <w:spacing w:after="0"/>
              <w:rPr>
                <w:rFonts w:cstheme="minorHAnsi"/>
                <w:sz w:val="24"/>
                <w:szCs w:val="24"/>
              </w:rPr>
            </w:pPr>
          </w:p>
        </w:tc>
        <w:tc>
          <w:tcPr>
            <w:tcW w:w="0" w:type="auto"/>
            <w:hideMark/>
          </w:tcPr>
          <w:p w14:paraId="5C1DB13D" w14:textId="77777777" w:rsidR="00CE4658" w:rsidRPr="00CE4658" w:rsidRDefault="00CE4658" w:rsidP="00D30F41">
            <w:pPr>
              <w:spacing w:after="0"/>
              <w:rPr>
                <w:rFonts w:cstheme="minorHAnsi"/>
                <w:sz w:val="24"/>
                <w:szCs w:val="24"/>
              </w:rPr>
            </w:pPr>
            <w:r w:rsidRPr="00CE4658">
              <w:rPr>
                <w:rFonts w:cstheme="minorHAnsi"/>
                <w:sz w:val="24"/>
                <w:szCs w:val="24"/>
              </w:rPr>
              <w:t>0.831</w:t>
            </w:r>
          </w:p>
        </w:tc>
        <w:tc>
          <w:tcPr>
            <w:tcW w:w="0" w:type="auto"/>
            <w:hideMark/>
          </w:tcPr>
          <w:p w14:paraId="7A254D65" w14:textId="77777777" w:rsidR="00CE4658" w:rsidRPr="00CE4658" w:rsidRDefault="00CE4658" w:rsidP="00D30F41">
            <w:pPr>
              <w:spacing w:after="0"/>
              <w:rPr>
                <w:rFonts w:cstheme="minorHAnsi"/>
                <w:sz w:val="24"/>
                <w:szCs w:val="24"/>
              </w:rPr>
            </w:pPr>
            <w:r w:rsidRPr="00CE4658">
              <w:rPr>
                <w:rFonts w:cstheme="minorHAnsi"/>
                <w:sz w:val="24"/>
                <w:szCs w:val="24"/>
              </w:rPr>
              <w:t>0.0006</w:t>
            </w:r>
          </w:p>
        </w:tc>
      </w:tr>
      <w:tr w:rsidR="00CE4658" w:rsidRPr="00CE4658" w14:paraId="50B38739" w14:textId="77777777" w:rsidTr="00D30F41">
        <w:tc>
          <w:tcPr>
            <w:tcW w:w="0" w:type="auto"/>
            <w:hideMark/>
          </w:tcPr>
          <w:p w14:paraId="0348AC87" w14:textId="77777777" w:rsidR="00CE4658" w:rsidRPr="00CE4658" w:rsidRDefault="00CE4658" w:rsidP="00D30F41">
            <w:pPr>
              <w:spacing w:after="0"/>
              <w:rPr>
                <w:rFonts w:cstheme="minorHAnsi"/>
                <w:sz w:val="24"/>
                <w:szCs w:val="24"/>
              </w:rPr>
            </w:pPr>
            <w:r w:rsidRPr="00CE4658">
              <w:rPr>
                <w:rFonts w:cstheme="minorHAnsi"/>
                <w:sz w:val="24"/>
                <w:szCs w:val="24"/>
              </w:rPr>
              <w:t>Hip-NJM-EUR</w:t>
            </w:r>
          </w:p>
        </w:tc>
        <w:tc>
          <w:tcPr>
            <w:tcW w:w="0" w:type="auto"/>
            <w:hideMark/>
          </w:tcPr>
          <w:p w14:paraId="160F78D5" w14:textId="77777777" w:rsidR="00CE4658" w:rsidRPr="00CE4658" w:rsidRDefault="00CE4658" w:rsidP="00D30F41">
            <w:pPr>
              <w:spacing w:after="0"/>
              <w:rPr>
                <w:rFonts w:cstheme="minorHAnsi"/>
                <w:sz w:val="24"/>
                <w:szCs w:val="24"/>
              </w:rPr>
            </w:pPr>
            <w:r w:rsidRPr="00CE4658">
              <w:rPr>
                <w:rFonts w:cstheme="minorHAnsi"/>
                <w:sz w:val="24"/>
                <w:szCs w:val="24"/>
              </w:rPr>
              <w:t>0.275</w:t>
            </w:r>
          </w:p>
        </w:tc>
        <w:tc>
          <w:tcPr>
            <w:tcW w:w="0" w:type="auto"/>
            <w:hideMark/>
          </w:tcPr>
          <w:p w14:paraId="6A9B4949" w14:textId="77777777" w:rsidR="00CE4658" w:rsidRPr="00CE4658" w:rsidRDefault="00CE4658" w:rsidP="00D30F41">
            <w:pPr>
              <w:spacing w:after="0"/>
              <w:rPr>
                <w:rFonts w:cstheme="minorHAnsi"/>
                <w:sz w:val="24"/>
                <w:szCs w:val="24"/>
              </w:rPr>
            </w:pPr>
          </w:p>
        </w:tc>
        <w:tc>
          <w:tcPr>
            <w:tcW w:w="0" w:type="auto"/>
            <w:hideMark/>
          </w:tcPr>
          <w:p w14:paraId="6257786B" w14:textId="77777777" w:rsidR="00CE4658" w:rsidRPr="00CE4658" w:rsidRDefault="00CE4658" w:rsidP="00D30F41">
            <w:pPr>
              <w:spacing w:after="0"/>
              <w:rPr>
                <w:rFonts w:cstheme="minorHAnsi"/>
                <w:sz w:val="24"/>
                <w:szCs w:val="24"/>
              </w:rPr>
            </w:pPr>
          </w:p>
        </w:tc>
      </w:tr>
      <w:tr w:rsidR="00CE4658" w:rsidRPr="00CE4658" w14:paraId="3A0BDD06" w14:textId="77777777" w:rsidTr="00D30F41">
        <w:tc>
          <w:tcPr>
            <w:tcW w:w="0" w:type="auto"/>
            <w:hideMark/>
          </w:tcPr>
          <w:p w14:paraId="12577432" w14:textId="77777777" w:rsidR="00CE4658" w:rsidRPr="00CE4658" w:rsidRDefault="00CE4658" w:rsidP="00D30F41">
            <w:pPr>
              <w:spacing w:after="0"/>
              <w:rPr>
                <w:rFonts w:cstheme="minorHAnsi"/>
                <w:sz w:val="24"/>
                <w:szCs w:val="24"/>
              </w:rPr>
            </w:pPr>
            <w:r w:rsidRPr="00CE4658">
              <w:rPr>
                <w:rFonts w:cstheme="minorHAnsi"/>
                <w:sz w:val="24"/>
                <w:szCs w:val="24"/>
              </w:rPr>
              <w:t>Knee-NJM-EUR</w:t>
            </w:r>
          </w:p>
        </w:tc>
        <w:tc>
          <w:tcPr>
            <w:tcW w:w="0" w:type="auto"/>
            <w:hideMark/>
          </w:tcPr>
          <w:p w14:paraId="40115783" w14:textId="77777777" w:rsidR="00CE4658" w:rsidRPr="00CE4658" w:rsidRDefault="00CE4658" w:rsidP="00D30F41">
            <w:pPr>
              <w:spacing w:after="0"/>
              <w:rPr>
                <w:rFonts w:cstheme="minorHAnsi"/>
                <w:sz w:val="24"/>
                <w:szCs w:val="24"/>
              </w:rPr>
            </w:pPr>
            <w:r w:rsidRPr="00CE4658">
              <w:rPr>
                <w:rFonts w:cstheme="minorHAnsi"/>
                <w:sz w:val="24"/>
                <w:szCs w:val="24"/>
              </w:rPr>
              <w:t>0</w:t>
            </w:r>
          </w:p>
        </w:tc>
        <w:tc>
          <w:tcPr>
            <w:tcW w:w="0" w:type="auto"/>
            <w:hideMark/>
          </w:tcPr>
          <w:p w14:paraId="74572304" w14:textId="77777777" w:rsidR="00CE4658" w:rsidRPr="00CE4658" w:rsidRDefault="00CE4658" w:rsidP="00D30F41">
            <w:pPr>
              <w:spacing w:after="0"/>
              <w:rPr>
                <w:rFonts w:cstheme="minorHAnsi"/>
                <w:sz w:val="24"/>
                <w:szCs w:val="24"/>
              </w:rPr>
            </w:pPr>
          </w:p>
        </w:tc>
        <w:tc>
          <w:tcPr>
            <w:tcW w:w="0" w:type="auto"/>
            <w:hideMark/>
          </w:tcPr>
          <w:p w14:paraId="4DE735E8" w14:textId="77777777" w:rsidR="00CE4658" w:rsidRPr="00CE4658" w:rsidRDefault="00CE4658" w:rsidP="00D30F41">
            <w:pPr>
              <w:spacing w:after="0"/>
              <w:rPr>
                <w:rFonts w:cstheme="minorHAnsi"/>
                <w:sz w:val="24"/>
                <w:szCs w:val="24"/>
              </w:rPr>
            </w:pPr>
          </w:p>
        </w:tc>
      </w:tr>
      <w:tr w:rsidR="00CE4658" w:rsidRPr="00CE4658" w14:paraId="5B5D6136" w14:textId="77777777" w:rsidTr="00D30F41">
        <w:tc>
          <w:tcPr>
            <w:tcW w:w="0" w:type="auto"/>
            <w:hideMark/>
          </w:tcPr>
          <w:p w14:paraId="742AFD8D" w14:textId="77777777" w:rsidR="00CE4658" w:rsidRPr="00CE4658" w:rsidRDefault="00CE4658" w:rsidP="00D30F41">
            <w:pPr>
              <w:spacing w:after="0"/>
              <w:rPr>
                <w:rFonts w:cstheme="minorHAnsi"/>
                <w:sz w:val="24"/>
                <w:szCs w:val="24"/>
              </w:rPr>
            </w:pPr>
            <w:r w:rsidRPr="00CE4658">
              <w:rPr>
                <w:rFonts w:cstheme="minorHAnsi"/>
                <w:sz w:val="24"/>
                <w:szCs w:val="24"/>
              </w:rPr>
              <w:t>Ankle-NJM-EUR</w:t>
            </w:r>
          </w:p>
        </w:tc>
        <w:tc>
          <w:tcPr>
            <w:tcW w:w="0" w:type="auto"/>
            <w:hideMark/>
          </w:tcPr>
          <w:p w14:paraId="304E0A47" w14:textId="77777777" w:rsidR="00CE4658" w:rsidRPr="00CE4658" w:rsidRDefault="00CE4658" w:rsidP="00D30F41">
            <w:pPr>
              <w:spacing w:after="0"/>
              <w:rPr>
                <w:rFonts w:cstheme="minorHAnsi"/>
                <w:sz w:val="24"/>
                <w:szCs w:val="24"/>
              </w:rPr>
            </w:pPr>
            <w:r w:rsidRPr="00CE4658">
              <w:rPr>
                <w:rFonts w:cstheme="minorHAnsi"/>
                <w:sz w:val="24"/>
                <w:szCs w:val="24"/>
              </w:rPr>
              <w:t>0.110</w:t>
            </w:r>
          </w:p>
        </w:tc>
        <w:tc>
          <w:tcPr>
            <w:tcW w:w="0" w:type="auto"/>
            <w:hideMark/>
          </w:tcPr>
          <w:p w14:paraId="3CED099B" w14:textId="77777777" w:rsidR="00CE4658" w:rsidRPr="00CE4658" w:rsidRDefault="00CE4658" w:rsidP="00D30F41">
            <w:pPr>
              <w:spacing w:after="0"/>
              <w:rPr>
                <w:rFonts w:cstheme="minorHAnsi"/>
                <w:sz w:val="24"/>
                <w:szCs w:val="24"/>
              </w:rPr>
            </w:pPr>
          </w:p>
        </w:tc>
        <w:tc>
          <w:tcPr>
            <w:tcW w:w="0" w:type="auto"/>
            <w:hideMark/>
          </w:tcPr>
          <w:p w14:paraId="6C96418B" w14:textId="77777777" w:rsidR="00CE4658" w:rsidRPr="00CE4658" w:rsidRDefault="00CE4658" w:rsidP="00D30F41">
            <w:pPr>
              <w:spacing w:after="0"/>
              <w:rPr>
                <w:rFonts w:cstheme="minorHAnsi"/>
                <w:sz w:val="24"/>
                <w:szCs w:val="24"/>
              </w:rPr>
            </w:pPr>
          </w:p>
        </w:tc>
      </w:tr>
      <w:tr w:rsidR="00CE4658" w:rsidRPr="00CE4658" w14:paraId="1BC703AD" w14:textId="77777777" w:rsidTr="00D30F41">
        <w:tc>
          <w:tcPr>
            <w:tcW w:w="0" w:type="auto"/>
            <w:hideMark/>
          </w:tcPr>
          <w:p w14:paraId="28674E3A" w14:textId="77777777" w:rsidR="00CE4658" w:rsidRPr="00CE4658" w:rsidRDefault="00CE4658" w:rsidP="00D30F41">
            <w:pPr>
              <w:spacing w:after="0"/>
              <w:rPr>
                <w:rFonts w:cstheme="minorHAnsi"/>
                <w:sz w:val="24"/>
                <w:szCs w:val="24"/>
              </w:rPr>
            </w:pPr>
            <w:r w:rsidRPr="00CE4658">
              <w:rPr>
                <w:rFonts w:cstheme="minorHAnsi"/>
                <w:sz w:val="24"/>
                <w:szCs w:val="24"/>
              </w:rPr>
              <w:t>Hip-NJP-EUR</w:t>
            </w:r>
          </w:p>
        </w:tc>
        <w:tc>
          <w:tcPr>
            <w:tcW w:w="0" w:type="auto"/>
            <w:hideMark/>
          </w:tcPr>
          <w:p w14:paraId="1E30D958" w14:textId="77777777" w:rsidR="00CE4658" w:rsidRPr="00CE4658" w:rsidRDefault="00CE4658" w:rsidP="00D30F41">
            <w:pPr>
              <w:spacing w:after="0"/>
              <w:rPr>
                <w:rFonts w:cstheme="minorHAnsi"/>
                <w:sz w:val="24"/>
                <w:szCs w:val="24"/>
              </w:rPr>
            </w:pPr>
            <w:r w:rsidRPr="00CE4658">
              <w:rPr>
                <w:rFonts w:cstheme="minorHAnsi"/>
                <w:sz w:val="24"/>
                <w:szCs w:val="24"/>
              </w:rPr>
              <w:t>0</w:t>
            </w:r>
          </w:p>
        </w:tc>
        <w:tc>
          <w:tcPr>
            <w:tcW w:w="0" w:type="auto"/>
            <w:hideMark/>
          </w:tcPr>
          <w:p w14:paraId="530EC961" w14:textId="77777777" w:rsidR="00CE4658" w:rsidRPr="00CE4658" w:rsidRDefault="00CE4658" w:rsidP="00D30F41">
            <w:pPr>
              <w:spacing w:after="0"/>
              <w:rPr>
                <w:rFonts w:cstheme="minorHAnsi"/>
                <w:sz w:val="24"/>
                <w:szCs w:val="24"/>
              </w:rPr>
            </w:pPr>
          </w:p>
        </w:tc>
        <w:tc>
          <w:tcPr>
            <w:tcW w:w="0" w:type="auto"/>
            <w:hideMark/>
          </w:tcPr>
          <w:p w14:paraId="795061DB" w14:textId="77777777" w:rsidR="00CE4658" w:rsidRPr="00CE4658" w:rsidRDefault="00CE4658" w:rsidP="00D30F41">
            <w:pPr>
              <w:spacing w:after="0"/>
              <w:rPr>
                <w:rFonts w:cstheme="minorHAnsi"/>
                <w:sz w:val="24"/>
                <w:szCs w:val="24"/>
              </w:rPr>
            </w:pPr>
          </w:p>
        </w:tc>
      </w:tr>
      <w:tr w:rsidR="00CE4658" w:rsidRPr="00CE4658" w14:paraId="7A87FCBF" w14:textId="77777777" w:rsidTr="00D30F41">
        <w:tc>
          <w:tcPr>
            <w:tcW w:w="0" w:type="auto"/>
            <w:hideMark/>
          </w:tcPr>
          <w:p w14:paraId="3CE4B3BA" w14:textId="77777777" w:rsidR="00CE4658" w:rsidRPr="00CE4658" w:rsidRDefault="00CE4658" w:rsidP="00D30F41">
            <w:pPr>
              <w:spacing w:after="0"/>
              <w:rPr>
                <w:rFonts w:cstheme="minorHAnsi"/>
                <w:sz w:val="24"/>
                <w:szCs w:val="24"/>
              </w:rPr>
            </w:pPr>
            <w:r w:rsidRPr="00CE4658">
              <w:rPr>
                <w:rFonts w:cstheme="minorHAnsi"/>
                <w:sz w:val="24"/>
                <w:szCs w:val="24"/>
              </w:rPr>
              <w:t>Knee-NJP-EUR</w:t>
            </w:r>
          </w:p>
        </w:tc>
        <w:tc>
          <w:tcPr>
            <w:tcW w:w="0" w:type="auto"/>
            <w:hideMark/>
          </w:tcPr>
          <w:p w14:paraId="2CCFC309" w14:textId="77777777" w:rsidR="00CE4658" w:rsidRPr="00CE4658" w:rsidRDefault="00CE4658" w:rsidP="00D30F41">
            <w:pPr>
              <w:spacing w:after="0"/>
              <w:rPr>
                <w:rFonts w:cstheme="minorHAnsi"/>
                <w:sz w:val="24"/>
                <w:szCs w:val="24"/>
              </w:rPr>
            </w:pPr>
            <w:r w:rsidRPr="00CE4658">
              <w:rPr>
                <w:rFonts w:cstheme="minorHAnsi"/>
                <w:sz w:val="24"/>
                <w:szCs w:val="24"/>
              </w:rPr>
              <w:t>0.192</w:t>
            </w:r>
          </w:p>
        </w:tc>
        <w:tc>
          <w:tcPr>
            <w:tcW w:w="0" w:type="auto"/>
            <w:hideMark/>
          </w:tcPr>
          <w:p w14:paraId="3979E94A" w14:textId="77777777" w:rsidR="00CE4658" w:rsidRPr="00CE4658" w:rsidRDefault="00CE4658" w:rsidP="00D30F41">
            <w:pPr>
              <w:spacing w:after="0"/>
              <w:rPr>
                <w:rFonts w:cstheme="minorHAnsi"/>
                <w:sz w:val="24"/>
                <w:szCs w:val="24"/>
              </w:rPr>
            </w:pPr>
          </w:p>
        </w:tc>
        <w:tc>
          <w:tcPr>
            <w:tcW w:w="0" w:type="auto"/>
            <w:hideMark/>
          </w:tcPr>
          <w:p w14:paraId="14F79E7E" w14:textId="77777777" w:rsidR="00CE4658" w:rsidRPr="00CE4658" w:rsidRDefault="00CE4658" w:rsidP="00D30F41">
            <w:pPr>
              <w:spacing w:after="0"/>
              <w:rPr>
                <w:rFonts w:cstheme="minorHAnsi"/>
                <w:sz w:val="24"/>
                <w:szCs w:val="24"/>
              </w:rPr>
            </w:pPr>
          </w:p>
        </w:tc>
      </w:tr>
      <w:tr w:rsidR="00CE4658" w:rsidRPr="00CE4658" w14:paraId="5DD869CA" w14:textId="77777777" w:rsidTr="00D30F41">
        <w:tc>
          <w:tcPr>
            <w:tcW w:w="0" w:type="auto"/>
            <w:hideMark/>
          </w:tcPr>
          <w:p w14:paraId="4DF81556" w14:textId="77777777" w:rsidR="00CE4658" w:rsidRPr="00CE4658" w:rsidRDefault="00CE4658" w:rsidP="00D30F41">
            <w:pPr>
              <w:spacing w:after="0"/>
              <w:rPr>
                <w:rFonts w:cstheme="minorHAnsi"/>
                <w:sz w:val="24"/>
                <w:szCs w:val="24"/>
              </w:rPr>
            </w:pPr>
            <w:r w:rsidRPr="00CE4658">
              <w:rPr>
                <w:rFonts w:cstheme="minorHAnsi"/>
                <w:sz w:val="24"/>
                <w:szCs w:val="24"/>
              </w:rPr>
              <w:t>Ankle-NJP-EUR</w:t>
            </w:r>
          </w:p>
        </w:tc>
        <w:tc>
          <w:tcPr>
            <w:tcW w:w="0" w:type="auto"/>
            <w:hideMark/>
          </w:tcPr>
          <w:p w14:paraId="41575816" w14:textId="77777777" w:rsidR="00CE4658" w:rsidRPr="00CE4658" w:rsidRDefault="00CE4658" w:rsidP="00D30F41">
            <w:pPr>
              <w:spacing w:after="0"/>
              <w:rPr>
                <w:rFonts w:cstheme="minorHAnsi"/>
                <w:sz w:val="24"/>
                <w:szCs w:val="24"/>
              </w:rPr>
            </w:pPr>
            <w:r w:rsidRPr="00CE4658">
              <w:rPr>
                <w:rFonts w:cstheme="minorHAnsi"/>
                <w:sz w:val="24"/>
                <w:szCs w:val="24"/>
              </w:rPr>
              <w:t>0</w:t>
            </w:r>
          </w:p>
        </w:tc>
        <w:tc>
          <w:tcPr>
            <w:tcW w:w="0" w:type="auto"/>
            <w:hideMark/>
          </w:tcPr>
          <w:p w14:paraId="4EDB27A5" w14:textId="77777777" w:rsidR="00CE4658" w:rsidRPr="00CE4658" w:rsidRDefault="00CE4658" w:rsidP="00D30F41">
            <w:pPr>
              <w:spacing w:after="0"/>
              <w:rPr>
                <w:rFonts w:cstheme="minorHAnsi"/>
                <w:sz w:val="24"/>
                <w:szCs w:val="24"/>
              </w:rPr>
            </w:pPr>
          </w:p>
        </w:tc>
        <w:tc>
          <w:tcPr>
            <w:tcW w:w="0" w:type="auto"/>
            <w:hideMark/>
          </w:tcPr>
          <w:p w14:paraId="488CD51C" w14:textId="77777777" w:rsidR="00CE4658" w:rsidRPr="00CE4658" w:rsidRDefault="00CE4658" w:rsidP="00D30F41">
            <w:pPr>
              <w:spacing w:after="0"/>
              <w:rPr>
                <w:rFonts w:cstheme="minorHAnsi"/>
                <w:sz w:val="24"/>
                <w:szCs w:val="24"/>
              </w:rPr>
            </w:pPr>
          </w:p>
        </w:tc>
      </w:tr>
      <w:tr w:rsidR="00CE4658" w:rsidRPr="00CE4658" w14:paraId="60A3D7CE" w14:textId="77777777" w:rsidTr="00D30F41">
        <w:tc>
          <w:tcPr>
            <w:tcW w:w="0" w:type="auto"/>
            <w:hideMark/>
          </w:tcPr>
          <w:p w14:paraId="525F4352" w14:textId="77777777" w:rsidR="00CE4658" w:rsidRPr="00CE4658" w:rsidRDefault="00CE4658" w:rsidP="00D30F41">
            <w:pPr>
              <w:spacing w:after="0"/>
              <w:rPr>
                <w:rFonts w:cstheme="minorHAnsi"/>
                <w:sz w:val="24"/>
                <w:szCs w:val="24"/>
              </w:rPr>
            </w:pPr>
            <w:r w:rsidRPr="00CE4658">
              <w:rPr>
                <w:rFonts w:cstheme="minorHAnsi"/>
                <w:sz w:val="24"/>
                <w:szCs w:val="24"/>
              </w:rPr>
              <w:t>Sparser Model</w:t>
            </w:r>
          </w:p>
        </w:tc>
        <w:tc>
          <w:tcPr>
            <w:tcW w:w="0" w:type="auto"/>
            <w:hideMark/>
          </w:tcPr>
          <w:p w14:paraId="2BA691EF" w14:textId="77777777" w:rsidR="00CE4658" w:rsidRPr="00CE4658" w:rsidRDefault="00CE4658" w:rsidP="00D30F41">
            <w:pPr>
              <w:spacing w:after="0"/>
              <w:rPr>
                <w:rFonts w:cstheme="minorHAnsi"/>
                <w:sz w:val="24"/>
                <w:szCs w:val="24"/>
              </w:rPr>
            </w:pPr>
          </w:p>
        </w:tc>
        <w:tc>
          <w:tcPr>
            <w:tcW w:w="0" w:type="auto"/>
            <w:hideMark/>
          </w:tcPr>
          <w:p w14:paraId="30393BF1" w14:textId="77777777" w:rsidR="00CE4658" w:rsidRPr="00CE4658" w:rsidRDefault="00CE4658" w:rsidP="00D30F41">
            <w:pPr>
              <w:spacing w:after="0"/>
              <w:rPr>
                <w:rFonts w:cstheme="minorHAnsi"/>
                <w:sz w:val="24"/>
                <w:szCs w:val="24"/>
              </w:rPr>
            </w:pPr>
            <w:r w:rsidRPr="00CE4658">
              <w:rPr>
                <w:rFonts w:cstheme="minorHAnsi"/>
                <w:sz w:val="24"/>
                <w:szCs w:val="24"/>
              </w:rPr>
              <w:t>0.698</w:t>
            </w:r>
          </w:p>
        </w:tc>
        <w:tc>
          <w:tcPr>
            <w:tcW w:w="0" w:type="auto"/>
            <w:hideMark/>
          </w:tcPr>
          <w:p w14:paraId="1EBD5648" w14:textId="77777777" w:rsidR="00CE4658" w:rsidRPr="00CE4658" w:rsidRDefault="00CE4658" w:rsidP="00D30F41">
            <w:pPr>
              <w:spacing w:after="0"/>
              <w:rPr>
                <w:rFonts w:cstheme="minorHAnsi"/>
                <w:sz w:val="24"/>
                <w:szCs w:val="24"/>
              </w:rPr>
            </w:pPr>
            <w:r w:rsidRPr="00CE4658">
              <w:rPr>
                <w:rFonts w:cstheme="minorHAnsi"/>
                <w:sz w:val="24"/>
                <w:szCs w:val="24"/>
              </w:rPr>
              <w:t>0.005</w:t>
            </w:r>
          </w:p>
        </w:tc>
      </w:tr>
      <w:tr w:rsidR="00CE4658" w:rsidRPr="00CE4658" w14:paraId="1309E6CE" w14:textId="77777777" w:rsidTr="00D30F41">
        <w:tc>
          <w:tcPr>
            <w:tcW w:w="0" w:type="auto"/>
            <w:hideMark/>
          </w:tcPr>
          <w:p w14:paraId="089AD6E7" w14:textId="77777777" w:rsidR="00CE4658" w:rsidRPr="00CE4658" w:rsidRDefault="00CE4658" w:rsidP="00D30F41">
            <w:pPr>
              <w:spacing w:after="0"/>
              <w:rPr>
                <w:rFonts w:cstheme="minorHAnsi"/>
                <w:sz w:val="24"/>
                <w:szCs w:val="24"/>
              </w:rPr>
            </w:pPr>
            <w:r w:rsidRPr="00CE4658">
              <w:rPr>
                <w:rFonts w:cstheme="minorHAnsi"/>
                <w:sz w:val="24"/>
                <w:szCs w:val="24"/>
              </w:rPr>
              <w:t>Hip-NJM-EUR</w:t>
            </w:r>
          </w:p>
        </w:tc>
        <w:tc>
          <w:tcPr>
            <w:tcW w:w="0" w:type="auto"/>
            <w:hideMark/>
          </w:tcPr>
          <w:p w14:paraId="3732FFF6" w14:textId="77777777" w:rsidR="00CE4658" w:rsidRPr="00CE4658" w:rsidRDefault="00CE4658" w:rsidP="00D30F41">
            <w:pPr>
              <w:spacing w:after="0"/>
              <w:rPr>
                <w:rFonts w:cstheme="minorHAnsi"/>
                <w:sz w:val="24"/>
                <w:szCs w:val="24"/>
              </w:rPr>
            </w:pPr>
            <w:r w:rsidRPr="00CE4658">
              <w:rPr>
                <w:rFonts w:cstheme="minorHAnsi"/>
                <w:sz w:val="24"/>
                <w:szCs w:val="24"/>
              </w:rPr>
              <w:t>0.097</w:t>
            </w:r>
          </w:p>
        </w:tc>
        <w:tc>
          <w:tcPr>
            <w:tcW w:w="0" w:type="auto"/>
            <w:hideMark/>
          </w:tcPr>
          <w:p w14:paraId="3A924201" w14:textId="77777777" w:rsidR="00CE4658" w:rsidRPr="00CE4658" w:rsidRDefault="00CE4658" w:rsidP="00D30F41">
            <w:pPr>
              <w:spacing w:after="0"/>
              <w:rPr>
                <w:rFonts w:cstheme="minorHAnsi"/>
                <w:sz w:val="24"/>
                <w:szCs w:val="24"/>
              </w:rPr>
            </w:pPr>
          </w:p>
        </w:tc>
        <w:tc>
          <w:tcPr>
            <w:tcW w:w="0" w:type="auto"/>
            <w:hideMark/>
          </w:tcPr>
          <w:p w14:paraId="17FAFEB3" w14:textId="77777777" w:rsidR="00CE4658" w:rsidRPr="00CE4658" w:rsidRDefault="00CE4658" w:rsidP="00D30F41">
            <w:pPr>
              <w:spacing w:after="0"/>
              <w:rPr>
                <w:rFonts w:cstheme="minorHAnsi"/>
                <w:sz w:val="24"/>
                <w:szCs w:val="24"/>
              </w:rPr>
            </w:pPr>
          </w:p>
        </w:tc>
      </w:tr>
      <w:tr w:rsidR="00CE4658" w:rsidRPr="00CE4658" w14:paraId="3480C0BE" w14:textId="77777777" w:rsidTr="00D30F41">
        <w:tc>
          <w:tcPr>
            <w:tcW w:w="0" w:type="auto"/>
            <w:hideMark/>
          </w:tcPr>
          <w:p w14:paraId="7DE83523" w14:textId="77777777" w:rsidR="00CE4658" w:rsidRPr="00CE4658" w:rsidRDefault="00CE4658" w:rsidP="00D30F41">
            <w:pPr>
              <w:spacing w:after="0"/>
              <w:rPr>
                <w:rFonts w:cstheme="minorHAnsi"/>
                <w:sz w:val="24"/>
                <w:szCs w:val="24"/>
              </w:rPr>
            </w:pPr>
            <w:r w:rsidRPr="00CE4658">
              <w:rPr>
                <w:rFonts w:cstheme="minorHAnsi"/>
                <w:sz w:val="24"/>
                <w:szCs w:val="24"/>
              </w:rPr>
              <w:t>Knee-NJM-EUR</w:t>
            </w:r>
          </w:p>
        </w:tc>
        <w:tc>
          <w:tcPr>
            <w:tcW w:w="0" w:type="auto"/>
            <w:hideMark/>
          </w:tcPr>
          <w:p w14:paraId="504B8AC8" w14:textId="77777777" w:rsidR="00CE4658" w:rsidRPr="00CE4658" w:rsidRDefault="00CE4658" w:rsidP="00D30F41">
            <w:pPr>
              <w:spacing w:after="0"/>
              <w:rPr>
                <w:rFonts w:cstheme="minorHAnsi"/>
                <w:sz w:val="24"/>
                <w:szCs w:val="24"/>
              </w:rPr>
            </w:pPr>
            <w:r w:rsidRPr="00CE4658">
              <w:rPr>
                <w:rFonts w:cstheme="minorHAnsi"/>
                <w:sz w:val="24"/>
                <w:szCs w:val="24"/>
              </w:rPr>
              <w:t>0</w:t>
            </w:r>
          </w:p>
        </w:tc>
        <w:tc>
          <w:tcPr>
            <w:tcW w:w="0" w:type="auto"/>
            <w:hideMark/>
          </w:tcPr>
          <w:p w14:paraId="7D17F94A" w14:textId="77777777" w:rsidR="00CE4658" w:rsidRPr="00CE4658" w:rsidRDefault="00CE4658" w:rsidP="00D30F41">
            <w:pPr>
              <w:spacing w:after="0"/>
              <w:rPr>
                <w:rFonts w:cstheme="minorHAnsi"/>
                <w:sz w:val="24"/>
                <w:szCs w:val="24"/>
              </w:rPr>
            </w:pPr>
          </w:p>
        </w:tc>
        <w:tc>
          <w:tcPr>
            <w:tcW w:w="0" w:type="auto"/>
            <w:hideMark/>
          </w:tcPr>
          <w:p w14:paraId="1BC37589" w14:textId="77777777" w:rsidR="00CE4658" w:rsidRPr="00CE4658" w:rsidRDefault="00CE4658" w:rsidP="00D30F41">
            <w:pPr>
              <w:spacing w:after="0"/>
              <w:rPr>
                <w:rFonts w:cstheme="minorHAnsi"/>
                <w:sz w:val="24"/>
                <w:szCs w:val="24"/>
              </w:rPr>
            </w:pPr>
          </w:p>
        </w:tc>
      </w:tr>
      <w:tr w:rsidR="00CE4658" w:rsidRPr="00CE4658" w14:paraId="6C922DB7" w14:textId="77777777" w:rsidTr="00D30F41">
        <w:tc>
          <w:tcPr>
            <w:tcW w:w="0" w:type="auto"/>
            <w:hideMark/>
          </w:tcPr>
          <w:p w14:paraId="4A6F06CC" w14:textId="77777777" w:rsidR="00CE4658" w:rsidRPr="00CE4658" w:rsidRDefault="00CE4658" w:rsidP="00D30F41">
            <w:pPr>
              <w:spacing w:after="0"/>
              <w:rPr>
                <w:rFonts w:cstheme="minorHAnsi"/>
                <w:sz w:val="24"/>
                <w:szCs w:val="24"/>
              </w:rPr>
            </w:pPr>
            <w:r w:rsidRPr="00CE4658">
              <w:rPr>
                <w:rFonts w:cstheme="minorHAnsi"/>
                <w:sz w:val="24"/>
                <w:szCs w:val="24"/>
              </w:rPr>
              <w:t>Ankle-NJM-EUR</w:t>
            </w:r>
          </w:p>
        </w:tc>
        <w:tc>
          <w:tcPr>
            <w:tcW w:w="0" w:type="auto"/>
            <w:hideMark/>
          </w:tcPr>
          <w:p w14:paraId="2064AEC8" w14:textId="77777777" w:rsidR="00CE4658" w:rsidRPr="00CE4658" w:rsidRDefault="00CE4658" w:rsidP="00D30F41">
            <w:pPr>
              <w:spacing w:after="0"/>
              <w:rPr>
                <w:rFonts w:cstheme="minorHAnsi"/>
                <w:sz w:val="24"/>
                <w:szCs w:val="24"/>
              </w:rPr>
            </w:pPr>
            <w:r w:rsidRPr="00CE4658">
              <w:rPr>
                <w:rFonts w:cstheme="minorHAnsi"/>
                <w:sz w:val="24"/>
                <w:szCs w:val="24"/>
              </w:rPr>
              <w:t>0</w:t>
            </w:r>
          </w:p>
        </w:tc>
        <w:tc>
          <w:tcPr>
            <w:tcW w:w="0" w:type="auto"/>
            <w:hideMark/>
          </w:tcPr>
          <w:p w14:paraId="5191ECFF" w14:textId="77777777" w:rsidR="00CE4658" w:rsidRPr="00CE4658" w:rsidRDefault="00CE4658" w:rsidP="00D30F41">
            <w:pPr>
              <w:spacing w:after="0"/>
              <w:rPr>
                <w:rFonts w:cstheme="minorHAnsi"/>
                <w:sz w:val="24"/>
                <w:szCs w:val="24"/>
              </w:rPr>
            </w:pPr>
          </w:p>
        </w:tc>
        <w:tc>
          <w:tcPr>
            <w:tcW w:w="0" w:type="auto"/>
            <w:hideMark/>
          </w:tcPr>
          <w:p w14:paraId="663DD145" w14:textId="77777777" w:rsidR="00CE4658" w:rsidRPr="00CE4658" w:rsidRDefault="00CE4658" w:rsidP="00D30F41">
            <w:pPr>
              <w:spacing w:after="0"/>
              <w:rPr>
                <w:rFonts w:cstheme="minorHAnsi"/>
                <w:sz w:val="24"/>
                <w:szCs w:val="24"/>
              </w:rPr>
            </w:pPr>
          </w:p>
        </w:tc>
      </w:tr>
      <w:tr w:rsidR="00CE4658" w:rsidRPr="00CE4658" w14:paraId="19DD7A40" w14:textId="77777777" w:rsidTr="00D30F41">
        <w:tc>
          <w:tcPr>
            <w:tcW w:w="0" w:type="auto"/>
            <w:hideMark/>
          </w:tcPr>
          <w:p w14:paraId="3EF0A3AA" w14:textId="77777777" w:rsidR="00CE4658" w:rsidRPr="00CE4658" w:rsidRDefault="00CE4658" w:rsidP="00D30F41">
            <w:pPr>
              <w:spacing w:after="0"/>
              <w:rPr>
                <w:rFonts w:cstheme="minorHAnsi"/>
                <w:sz w:val="24"/>
                <w:szCs w:val="24"/>
              </w:rPr>
            </w:pPr>
            <w:r w:rsidRPr="00CE4658">
              <w:rPr>
                <w:rFonts w:cstheme="minorHAnsi"/>
                <w:sz w:val="24"/>
                <w:szCs w:val="24"/>
              </w:rPr>
              <w:t>Hip-NJP-EUR</w:t>
            </w:r>
          </w:p>
        </w:tc>
        <w:tc>
          <w:tcPr>
            <w:tcW w:w="0" w:type="auto"/>
            <w:hideMark/>
          </w:tcPr>
          <w:p w14:paraId="30C39709" w14:textId="77777777" w:rsidR="00CE4658" w:rsidRPr="00CE4658" w:rsidRDefault="00CE4658" w:rsidP="00D30F41">
            <w:pPr>
              <w:spacing w:after="0"/>
              <w:rPr>
                <w:rFonts w:cstheme="minorHAnsi"/>
                <w:sz w:val="24"/>
                <w:szCs w:val="24"/>
              </w:rPr>
            </w:pPr>
            <w:r w:rsidRPr="00CE4658">
              <w:rPr>
                <w:rFonts w:cstheme="minorHAnsi"/>
                <w:sz w:val="24"/>
                <w:szCs w:val="24"/>
              </w:rPr>
              <w:t>0</w:t>
            </w:r>
          </w:p>
        </w:tc>
        <w:tc>
          <w:tcPr>
            <w:tcW w:w="0" w:type="auto"/>
            <w:hideMark/>
          </w:tcPr>
          <w:p w14:paraId="5A860BC9" w14:textId="77777777" w:rsidR="00CE4658" w:rsidRPr="00CE4658" w:rsidRDefault="00CE4658" w:rsidP="00D30F41">
            <w:pPr>
              <w:spacing w:after="0"/>
              <w:rPr>
                <w:rFonts w:cstheme="minorHAnsi"/>
                <w:sz w:val="24"/>
                <w:szCs w:val="24"/>
              </w:rPr>
            </w:pPr>
          </w:p>
        </w:tc>
        <w:tc>
          <w:tcPr>
            <w:tcW w:w="0" w:type="auto"/>
            <w:hideMark/>
          </w:tcPr>
          <w:p w14:paraId="637EFDDA" w14:textId="77777777" w:rsidR="00CE4658" w:rsidRPr="00CE4658" w:rsidRDefault="00CE4658" w:rsidP="00D30F41">
            <w:pPr>
              <w:spacing w:after="0"/>
              <w:rPr>
                <w:rFonts w:cstheme="minorHAnsi"/>
                <w:sz w:val="24"/>
                <w:szCs w:val="24"/>
              </w:rPr>
            </w:pPr>
          </w:p>
        </w:tc>
      </w:tr>
      <w:tr w:rsidR="00CE4658" w:rsidRPr="00CE4658" w14:paraId="18640917" w14:textId="77777777" w:rsidTr="00D30F41">
        <w:tc>
          <w:tcPr>
            <w:tcW w:w="0" w:type="auto"/>
            <w:hideMark/>
          </w:tcPr>
          <w:p w14:paraId="60A7ABDC" w14:textId="77777777" w:rsidR="00CE4658" w:rsidRPr="00CE4658" w:rsidRDefault="00CE4658" w:rsidP="00D30F41">
            <w:pPr>
              <w:spacing w:after="0"/>
              <w:rPr>
                <w:rFonts w:cstheme="minorHAnsi"/>
                <w:sz w:val="24"/>
                <w:szCs w:val="24"/>
              </w:rPr>
            </w:pPr>
            <w:r w:rsidRPr="00CE4658">
              <w:rPr>
                <w:rFonts w:cstheme="minorHAnsi"/>
                <w:sz w:val="24"/>
                <w:szCs w:val="24"/>
              </w:rPr>
              <w:t>Knee-NJP-EUR</w:t>
            </w:r>
          </w:p>
        </w:tc>
        <w:tc>
          <w:tcPr>
            <w:tcW w:w="0" w:type="auto"/>
            <w:hideMark/>
          </w:tcPr>
          <w:p w14:paraId="1B79031F" w14:textId="77777777" w:rsidR="00CE4658" w:rsidRPr="00CE4658" w:rsidRDefault="00CE4658" w:rsidP="00D30F41">
            <w:pPr>
              <w:spacing w:after="0"/>
              <w:rPr>
                <w:rFonts w:cstheme="minorHAnsi"/>
                <w:sz w:val="24"/>
                <w:szCs w:val="24"/>
              </w:rPr>
            </w:pPr>
            <w:r w:rsidRPr="00CE4658">
              <w:rPr>
                <w:rFonts w:cstheme="minorHAnsi"/>
                <w:sz w:val="24"/>
                <w:szCs w:val="24"/>
              </w:rPr>
              <w:t>0.128</w:t>
            </w:r>
          </w:p>
        </w:tc>
        <w:tc>
          <w:tcPr>
            <w:tcW w:w="0" w:type="auto"/>
            <w:hideMark/>
          </w:tcPr>
          <w:p w14:paraId="0C797AD5" w14:textId="77777777" w:rsidR="00CE4658" w:rsidRPr="00CE4658" w:rsidRDefault="00CE4658" w:rsidP="00D30F41">
            <w:pPr>
              <w:spacing w:after="0"/>
              <w:rPr>
                <w:rFonts w:cstheme="minorHAnsi"/>
                <w:sz w:val="24"/>
                <w:szCs w:val="24"/>
              </w:rPr>
            </w:pPr>
          </w:p>
        </w:tc>
        <w:tc>
          <w:tcPr>
            <w:tcW w:w="0" w:type="auto"/>
            <w:hideMark/>
          </w:tcPr>
          <w:p w14:paraId="2B69E431" w14:textId="77777777" w:rsidR="00CE4658" w:rsidRPr="00CE4658" w:rsidRDefault="00CE4658" w:rsidP="00D30F41">
            <w:pPr>
              <w:spacing w:after="0"/>
              <w:rPr>
                <w:rFonts w:cstheme="minorHAnsi"/>
                <w:sz w:val="24"/>
                <w:szCs w:val="24"/>
              </w:rPr>
            </w:pPr>
          </w:p>
        </w:tc>
      </w:tr>
      <w:tr w:rsidR="00CE4658" w:rsidRPr="00CE4658" w14:paraId="61F1A387" w14:textId="77777777" w:rsidTr="00D30F41">
        <w:tc>
          <w:tcPr>
            <w:tcW w:w="0" w:type="auto"/>
            <w:hideMark/>
          </w:tcPr>
          <w:p w14:paraId="50BD704D" w14:textId="77777777" w:rsidR="00CE4658" w:rsidRPr="00CE4658" w:rsidRDefault="00CE4658" w:rsidP="00D30F41">
            <w:pPr>
              <w:spacing w:after="0"/>
              <w:rPr>
                <w:rFonts w:cstheme="minorHAnsi"/>
                <w:sz w:val="24"/>
                <w:szCs w:val="24"/>
              </w:rPr>
            </w:pPr>
            <w:r w:rsidRPr="00CE4658">
              <w:rPr>
                <w:rFonts w:cstheme="minorHAnsi"/>
                <w:sz w:val="24"/>
                <w:szCs w:val="24"/>
              </w:rPr>
              <w:t>Ankle-NJP-EUR</w:t>
            </w:r>
          </w:p>
        </w:tc>
        <w:tc>
          <w:tcPr>
            <w:tcW w:w="0" w:type="auto"/>
            <w:hideMark/>
          </w:tcPr>
          <w:p w14:paraId="0E8A159D" w14:textId="77777777" w:rsidR="00CE4658" w:rsidRPr="00CE4658" w:rsidRDefault="00CE4658" w:rsidP="00D30F41">
            <w:pPr>
              <w:spacing w:after="0"/>
              <w:rPr>
                <w:rFonts w:cstheme="minorHAnsi"/>
                <w:sz w:val="24"/>
                <w:szCs w:val="24"/>
              </w:rPr>
            </w:pPr>
            <w:r w:rsidRPr="00CE4658">
              <w:rPr>
                <w:rFonts w:cstheme="minorHAnsi"/>
                <w:sz w:val="24"/>
                <w:szCs w:val="24"/>
              </w:rPr>
              <w:t>0</w:t>
            </w:r>
          </w:p>
        </w:tc>
        <w:tc>
          <w:tcPr>
            <w:tcW w:w="0" w:type="auto"/>
            <w:hideMark/>
          </w:tcPr>
          <w:p w14:paraId="626BE121" w14:textId="77777777" w:rsidR="00CE4658" w:rsidRPr="00CE4658" w:rsidRDefault="00CE4658" w:rsidP="00D30F41">
            <w:pPr>
              <w:spacing w:after="0"/>
              <w:rPr>
                <w:rFonts w:cstheme="minorHAnsi"/>
                <w:sz w:val="24"/>
                <w:szCs w:val="24"/>
              </w:rPr>
            </w:pPr>
          </w:p>
        </w:tc>
        <w:tc>
          <w:tcPr>
            <w:tcW w:w="0" w:type="auto"/>
            <w:hideMark/>
          </w:tcPr>
          <w:p w14:paraId="5FA89890" w14:textId="77777777" w:rsidR="00CE4658" w:rsidRPr="00CE4658" w:rsidRDefault="00CE4658" w:rsidP="00D30F41">
            <w:pPr>
              <w:spacing w:after="0"/>
              <w:rPr>
                <w:rFonts w:cstheme="minorHAnsi"/>
                <w:sz w:val="24"/>
                <w:szCs w:val="24"/>
              </w:rPr>
            </w:pPr>
          </w:p>
        </w:tc>
      </w:tr>
    </w:tbl>
    <w:p w14:paraId="0E1B5C5F" w14:textId="0318EA16" w:rsidR="00CE4658" w:rsidRPr="00D30F41" w:rsidRDefault="00CE4658" w:rsidP="00D30F41">
      <w:pPr>
        <w:pStyle w:val="Heading1"/>
      </w:pPr>
      <w:r w:rsidRPr="00E30B07">
        <w:t>Discussion and implications</w:t>
      </w:r>
    </w:p>
    <w:p w14:paraId="4AB35252" w14:textId="77777777" w:rsidR="00CE4658" w:rsidRPr="00CE4658" w:rsidRDefault="00CE4658" w:rsidP="00CE4658">
      <w:pPr>
        <w:rPr>
          <w:rFonts w:cstheme="minorHAnsi"/>
          <w:sz w:val="24"/>
          <w:szCs w:val="24"/>
        </w:rPr>
      </w:pPr>
      <w:r w:rsidRPr="00CE4658">
        <w:rPr>
          <w:rFonts w:cstheme="minorHAnsi"/>
          <w:sz w:val="24"/>
          <w:szCs w:val="24"/>
        </w:rPr>
        <w:t xml:space="preserve">The purpose of this study was to determine the joint-level contributions of hip, </w:t>
      </w:r>
      <w:proofErr w:type="gramStart"/>
      <w:r w:rsidRPr="00CE4658">
        <w:rPr>
          <w:rFonts w:cstheme="minorHAnsi"/>
          <w:sz w:val="24"/>
          <w:szCs w:val="24"/>
        </w:rPr>
        <w:t>knee</w:t>
      </w:r>
      <w:proofErr w:type="gramEnd"/>
      <w:r w:rsidRPr="00CE4658">
        <w:rPr>
          <w:rFonts w:cstheme="minorHAnsi"/>
          <w:sz w:val="24"/>
          <w:szCs w:val="24"/>
        </w:rPr>
        <w:t xml:space="preserve"> and ankle joint mechanics in predicting lower-extremity (i.e., JH-based) EUR. The major finding of this study was that combinations of Hip-NJM-EUR, Knee-NJP-EUR and Ankle-NJM-EUR were able to account for between 70% and 83% of the variance in JH-EUR. Furthermore, comparison of the two </w:t>
      </w:r>
      <w:proofErr w:type="spellStart"/>
      <w:r w:rsidRPr="00CE4658">
        <w:rPr>
          <w:rFonts w:cstheme="minorHAnsi"/>
          <w:sz w:val="24"/>
          <w:szCs w:val="24"/>
        </w:rPr>
        <w:t>regularised</w:t>
      </w:r>
      <w:proofErr w:type="spellEnd"/>
      <w:r w:rsidRPr="00CE4658">
        <w:rPr>
          <w:rFonts w:cstheme="minorHAnsi"/>
          <w:sz w:val="24"/>
          <w:szCs w:val="24"/>
        </w:rPr>
        <w:t xml:space="preserve"> regression models indicated that Hip-NJM-EUR and Knee-NJP-EUR had a greater and more consistent influence on JH-EUR than Ankle-NJM-EUR. In combination, these results suggest that greater enhancement of lower-extremity SSC performance during the CMJ arises through a combination of large Hip-NJM and Knee-NJP.</w:t>
      </w:r>
    </w:p>
    <w:p w14:paraId="5C69FB43" w14:textId="6599945D" w:rsidR="00CE4658" w:rsidRPr="00CE4658" w:rsidRDefault="00CE4658" w:rsidP="00CE4658">
      <w:pPr>
        <w:rPr>
          <w:rFonts w:cstheme="minorHAnsi"/>
          <w:sz w:val="24"/>
          <w:szCs w:val="24"/>
        </w:rPr>
      </w:pPr>
      <w:r w:rsidRPr="00CE4658">
        <w:rPr>
          <w:rFonts w:cstheme="minorHAnsi"/>
          <w:sz w:val="24"/>
          <w:szCs w:val="24"/>
        </w:rPr>
        <w:t xml:space="preserve">The minimum MSE model indicated that greater enhancement of lower-extremity EUR is associated with greater hip and Ankle NJM during the CMJ than during the SJ. The result from this </w:t>
      </w:r>
      <w:proofErr w:type="spellStart"/>
      <w:r w:rsidRPr="00CE4658">
        <w:rPr>
          <w:rFonts w:cstheme="minorHAnsi"/>
          <w:sz w:val="24"/>
          <w:szCs w:val="24"/>
        </w:rPr>
        <w:t>regularised</w:t>
      </w:r>
      <w:proofErr w:type="spellEnd"/>
      <w:r w:rsidRPr="00CE4658">
        <w:rPr>
          <w:rFonts w:cstheme="minorHAnsi"/>
          <w:sz w:val="24"/>
          <w:szCs w:val="24"/>
        </w:rPr>
        <w:t xml:space="preserve"> regression model therefore </w:t>
      </w:r>
      <w:proofErr w:type="gramStart"/>
      <w:r w:rsidRPr="00CE4658">
        <w:rPr>
          <w:rFonts w:cstheme="minorHAnsi"/>
          <w:sz w:val="24"/>
          <w:szCs w:val="24"/>
        </w:rPr>
        <w:t>suggest</w:t>
      </w:r>
      <w:proofErr w:type="gramEnd"/>
      <w:r w:rsidRPr="00CE4658">
        <w:rPr>
          <w:rFonts w:cstheme="minorHAnsi"/>
          <w:sz w:val="24"/>
          <w:szCs w:val="24"/>
        </w:rPr>
        <w:t xml:space="preserve"> that the ability to effectively use the SSC at the level of the entire lower-extremity is in large part due to a person's ability to produce large hip and ankle NJM during the CMJ. </w:t>
      </w:r>
      <w:proofErr w:type="spellStart"/>
      <w:r w:rsidRPr="00CE4658">
        <w:rPr>
          <w:rFonts w:cstheme="minorHAnsi"/>
          <w:sz w:val="24"/>
          <w:szCs w:val="24"/>
        </w:rPr>
        <w:t>Bobbert</w:t>
      </w:r>
      <w:proofErr w:type="spellEnd"/>
      <w:r w:rsidRPr="00CE4658">
        <w:rPr>
          <w:rFonts w:cstheme="minorHAnsi"/>
          <w:sz w:val="24"/>
          <w:szCs w:val="24"/>
        </w:rPr>
        <w:t xml:space="preserve"> et al. (</w:t>
      </w:r>
      <w:r w:rsidR="00E30B07">
        <w:rPr>
          <w:rFonts w:cstheme="minorHAnsi"/>
          <w:sz w:val="24"/>
          <w:szCs w:val="24"/>
        </w:rPr>
        <w:t>[</w:t>
      </w:r>
      <w:r w:rsidRPr="00CE4658">
        <w:rPr>
          <w:rFonts w:cstheme="minorHAnsi"/>
          <w:sz w:val="24"/>
          <w:szCs w:val="24"/>
        </w:rPr>
        <w:t>3]) previously reported that NJM during the first part of the range of joint extension of the CMJ were greater than during the SJ. Although these authors suggested that the enhancement of joint-level mechanics during the concentric phase of the CMJ over the SJ is attributed to a muscle's greater active state and force output (</w:t>
      </w:r>
      <w:proofErr w:type="spellStart"/>
      <w:r w:rsidRPr="00CE4658">
        <w:rPr>
          <w:rFonts w:cstheme="minorHAnsi"/>
          <w:sz w:val="24"/>
          <w:szCs w:val="24"/>
        </w:rPr>
        <w:t>Bobbert</w:t>
      </w:r>
      <w:proofErr w:type="spellEnd"/>
      <w:r w:rsidRPr="00CE4658">
        <w:rPr>
          <w:rFonts w:cstheme="minorHAnsi"/>
          <w:sz w:val="24"/>
          <w:szCs w:val="24"/>
        </w:rPr>
        <w:t xml:space="preserve"> &amp; Casius, </w:t>
      </w:r>
      <w:r w:rsidR="00E30B07">
        <w:rPr>
          <w:rFonts w:cstheme="minorHAnsi"/>
          <w:sz w:val="24"/>
          <w:szCs w:val="24"/>
        </w:rPr>
        <w:t>[</w:t>
      </w:r>
      <w:r w:rsidRPr="00CE4658">
        <w:rPr>
          <w:rFonts w:cstheme="minorHAnsi"/>
          <w:sz w:val="24"/>
          <w:szCs w:val="24"/>
        </w:rPr>
        <w:t xml:space="preserve">2]; </w:t>
      </w:r>
      <w:proofErr w:type="spellStart"/>
      <w:r w:rsidRPr="00CE4658">
        <w:rPr>
          <w:rFonts w:cstheme="minorHAnsi"/>
          <w:sz w:val="24"/>
          <w:szCs w:val="24"/>
        </w:rPr>
        <w:t>Bobbert</w:t>
      </w:r>
      <w:proofErr w:type="spellEnd"/>
      <w:r w:rsidRPr="00CE4658">
        <w:rPr>
          <w:rFonts w:cstheme="minorHAnsi"/>
          <w:sz w:val="24"/>
          <w:szCs w:val="24"/>
        </w:rPr>
        <w:t xml:space="preserve"> et al., </w:t>
      </w:r>
      <w:r w:rsidR="00E30B07">
        <w:rPr>
          <w:rFonts w:cstheme="minorHAnsi"/>
          <w:sz w:val="24"/>
          <w:szCs w:val="24"/>
        </w:rPr>
        <w:t>[</w:t>
      </w:r>
      <w:r w:rsidRPr="00CE4658">
        <w:rPr>
          <w:rFonts w:cstheme="minorHAnsi"/>
          <w:sz w:val="24"/>
          <w:szCs w:val="24"/>
        </w:rPr>
        <w:t xml:space="preserve">3]), they did not delineate between the contributions of different joints to the overall enhancement of CMJ performance over that of the SJ. Given that in the current study the EUR of the hip extensor and ankle </w:t>
      </w:r>
      <w:proofErr w:type="spellStart"/>
      <w:r w:rsidRPr="00CE4658">
        <w:rPr>
          <w:rFonts w:cstheme="minorHAnsi"/>
          <w:sz w:val="24"/>
          <w:szCs w:val="24"/>
        </w:rPr>
        <w:t>plantarflexor</w:t>
      </w:r>
      <w:proofErr w:type="spellEnd"/>
      <w:r w:rsidRPr="00CE4658">
        <w:rPr>
          <w:rFonts w:cstheme="minorHAnsi"/>
          <w:sz w:val="24"/>
          <w:szCs w:val="24"/>
        </w:rPr>
        <w:t xml:space="preserve"> NJM were correlated with JH-EUR, greater active state facilitation (i.e., force production) may thus be more pronounced at these joints during the CMJ compared to the SJ. In addition, previous research suggests that hip extensor NJM production is an important factor during sub-maximal and maximal CMJ and is a good discriminator of CMJ performance (</w:t>
      </w:r>
      <w:proofErr w:type="spellStart"/>
      <w:r w:rsidRPr="00CE4658">
        <w:rPr>
          <w:rFonts w:cstheme="minorHAnsi"/>
          <w:sz w:val="24"/>
          <w:szCs w:val="24"/>
        </w:rPr>
        <w:t>Vanezis</w:t>
      </w:r>
      <w:proofErr w:type="spellEnd"/>
      <w:r w:rsidRPr="00CE4658">
        <w:rPr>
          <w:rFonts w:cstheme="minorHAnsi"/>
          <w:sz w:val="24"/>
          <w:szCs w:val="24"/>
        </w:rPr>
        <w:t xml:space="preserve"> &amp; Lees, [20]; </w:t>
      </w:r>
      <w:proofErr w:type="spellStart"/>
      <w:r w:rsidRPr="00CE4658">
        <w:rPr>
          <w:rFonts w:cstheme="minorHAnsi"/>
          <w:sz w:val="24"/>
          <w:szCs w:val="24"/>
        </w:rPr>
        <w:t>Vanrenterghem</w:t>
      </w:r>
      <w:proofErr w:type="spellEnd"/>
      <w:r w:rsidRPr="00CE4658">
        <w:rPr>
          <w:rFonts w:cstheme="minorHAnsi"/>
          <w:sz w:val="24"/>
          <w:szCs w:val="24"/>
        </w:rPr>
        <w:t xml:space="preserve">, Lees, Lenoir, </w:t>
      </w:r>
      <w:proofErr w:type="spellStart"/>
      <w:r w:rsidRPr="00CE4658">
        <w:rPr>
          <w:rFonts w:cstheme="minorHAnsi"/>
          <w:sz w:val="24"/>
          <w:szCs w:val="24"/>
        </w:rPr>
        <w:t>Aerts</w:t>
      </w:r>
      <w:proofErr w:type="spellEnd"/>
      <w:r w:rsidRPr="00CE4658">
        <w:rPr>
          <w:rFonts w:cstheme="minorHAnsi"/>
          <w:sz w:val="24"/>
          <w:szCs w:val="24"/>
        </w:rPr>
        <w:t xml:space="preserve">, &amp; De </w:t>
      </w:r>
      <w:proofErr w:type="spellStart"/>
      <w:r w:rsidRPr="00CE4658">
        <w:rPr>
          <w:rFonts w:cstheme="minorHAnsi"/>
          <w:sz w:val="24"/>
          <w:szCs w:val="24"/>
        </w:rPr>
        <w:t>Clercq</w:t>
      </w:r>
      <w:proofErr w:type="spellEnd"/>
      <w:r w:rsidRPr="00CE4658">
        <w:rPr>
          <w:rFonts w:cstheme="minorHAnsi"/>
          <w:sz w:val="24"/>
          <w:szCs w:val="24"/>
        </w:rPr>
        <w:t xml:space="preserve">, [21]). Since Ankle-NJM-EUR was not included in the sparser </w:t>
      </w:r>
      <w:proofErr w:type="spellStart"/>
      <w:r w:rsidRPr="00CE4658">
        <w:rPr>
          <w:rFonts w:cstheme="minorHAnsi"/>
          <w:sz w:val="24"/>
          <w:szCs w:val="24"/>
        </w:rPr>
        <w:t>regularised</w:t>
      </w:r>
      <w:proofErr w:type="spellEnd"/>
      <w:r w:rsidRPr="00CE4658">
        <w:rPr>
          <w:rFonts w:cstheme="minorHAnsi"/>
          <w:sz w:val="24"/>
          <w:szCs w:val="24"/>
        </w:rPr>
        <w:t xml:space="preserve"> regression model, but the model still retained good prediction ability, it seems likely that the enhancement of ankle NJM during the CMJ is not as crucial of a contributor to the enhancement of JH-EUR. The results of the current study therefore underscore the importance of hip NJM, and </w:t>
      </w:r>
      <w:proofErr w:type="gramStart"/>
      <w:r w:rsidRPr="00CE4658">
        <w:rPr>
          <w:rFonts w:cstheme="minorHAnsi"/>
          <w:sz w:val="24"/>
          <w:szCs w:val="24"/>
        </w:rPr>
        <w:t>in particular how</w:t>
      </w:r>
      <w:proofErr w:type="gramEnd"/>
      <w:r w:rsidRPr="00CE4658">
        <w:rPr>
          <w:rFonts w:cstheme="minorHAnsi"/>
          <w:sz w:val="24"/>
          <w:szCs w:val="24"/>
        </w:rPr>
        <w:t xml:space="preserve"> they contribute to lower-extremity EUR and SSC performance.</w:t>
      </w:r>
    </w:p>
    <w:p w14:paraId="68D9339F" w14:textId="47F790DC" w:rsidR="00CE4658" w:rsidRPr="00CE4658" w:rsidRDefault="00CE4658" w:rsidP="00CE4658">
      <w:pPr>
        <w:rPr>
          <w:rFonts w:cstheme="minorHAnsi"/>
          <w:sz w:val="24"/>
          <w:szCs w:val="24"/>
        </w:rPr>
      </w:pPr>
      <w:r w:rsidRPr="00CE4658">
        <w:rPr>
          <w:rFonts w:cstheme="minorHAnsi"/>
          <w:sz w:val="24"/>
          <w:szCs w:val="24"/>
        </w:rPr>
        <w:t xml:space="preserve">The minimum MSE and sparser </w:t>
      </w:r>
      <w:proofErr w:type="spellStart"/>
      <w:r w:rsidRPr="00CE4658">
        <w:rPr>
          <w:rFonts w:cstheme="minorHAnsi"/>
          <w:sz w:val="24"/>
          <w:szCs w:val="24"/>
        </w:rPr>
        <w:t>regularised</w:t>
      </w:r>
      <w:proofErr w:type="spellEnd"/>
      <w:r w:rsidRPr="00CE4658">
        <w:rPr>
          <w:rFonts w:cstheme="minorHAnsi"/>
          <w:sz w:val="24"/>
          <w:szCs w:val="24"/>
        </w:rPr>
        <w:t xml:space="preserve"> regression model both indicated that greater enhancement of lower-extremity EUR is associated with greater knee NJP during the CMJ than SJ. Knee-NJP-EUR was the only variable that exhibited a large significant correlation with JH-EUR when only simple linear regressions were considered. Since Knee-NJP-EUR was a significant predictor of JH-EUR in the correlation and regression models, it appears to be the most robust predictor of lower-extremity EUR. Since knee NJP, and not knee NJM, was a better and more consistent predictor of lower-extremity EUR it may be that the knee extensor muscle group needs to balance NJM production with joint extension velocity to </w:t>
      </w:r>
      <w:proofErr w:type="spellStart"/>
      <w:r w:rsidRPr="00CE4658">
        <w:rPr>
          <w:rFonts w:cstheme="minorHAnsi"/>
          <w:sz w:val="24"/>
          <w:szCs w:val="24"/>
        </w:rPr>
        <w:t>optimise</w:t>
      </w:r>
      <w:proofErr w:type="spellEnd"/>
      <w:r w:rsidRPr="00CE4658">
        <w:rPr>
          <w:rFonts w:cstheme="minorHAnsi"/>
          <w:sz w:val="24"/>
          <w:szCs w:val="24"/>
        </w:rPr>
        <w:t xml:space="preserve"> NJP output </w:t>
      </w:r>
      <w:proofErr w:type="gramStart"/>
      <w:r w:rsidRPr="00CE4658">
        <w:rPr>
          <w:rFonts w:cstheme="minorHAnsi"/>
          <w:sz w:val="24"/>
          <w:szCs w:val="24"/>
        </w:rPr>
        <w:t>in order to</w:t>
      </w:r>
      <w:proofErr w:type="gramEnd"/>
      <w:r w:rsidRPr="00CE4658">
        <w:rPr>
          <w:rFonts w:cstheme="minorHAnsi"/>
          <w:sz w:val="24"/>
          <w:szCs w:val="24"/>
        </w:rPr>
        <w:t xml:space="preserve"> most effectively enhance SSC performance. Knee NJP is also an important contributor to drop jump performance, and exercise-related increases in knee NJP during the push-off phase of drop jumps after plyometric and power training correlate positively with improvements in drop JH (</w:t>
      </w:r>
      <w:proofErr w:type="spellStart"/>
      <w:r w:rsidRPr="00CE4658">
        <w:rPr>
          <w:rFonts w:cstheme="minorHAnsi"/>
          <w:sz w:val="24"/>
          <w:szCs w:val="24"/>
        </w:rPr>
        <w:t>Kyröläinen</w:t>
      </w:r>
      <w:proofErr w:type="spellEnd"/>
      <w:r w:rsidRPr="00CE4658">
        <w:rPr>
          <w:rFonts w:cstheme="minorHAnsi"/>
          <w:sz w:val="24"/>
          <w:szCs w:val="24"/>
        </w:rPr>
        <w:t xml:space="preserve"> et al., </w:t>
      </w:r>
      <w:r w:rsidR="00E30B07">
        <w:rPr>
          <w:rFonts w:cstheme="minorHAnsi"/>
          <w:sz w:val="24"/>
          <w:szCs w:val="24"/>
        </w:rPr>
        <w:t>[</w:t>
      </w:r>
      <w:r w:rsidRPr="00CE4658">
        <w:rPr>
          <w:rFonts w:cstheme="minorHAnsi"/>
          <w:sz w:val="24"/>
          <w:szCs w:val="24"/>
        </w:rPr>
        <w:t>8]). Interestingly, however, training-related increases in knee NJP during the push-off phase of drop jumps arise primarily from increases in knee NJM and not increases in knee joint extension velocity (</w:t>
      </w:r>
      <w:proofErr w:type="spellStart"/>
      <w:r w:rsidRPr="00CE4658">
        <w:rPr>
          <w:rFonts w:cstheme="minorHAnsi"/>
          <w:sz w:val="24"/>
          <w:szCs w:val="24"/>
        </w:rPr>
        <w:t>Kyröläinen</w:t>
      </w:r>
      <w:proofErr w:type="spellEnd"/>
      <w:r w:rsidRPr="00CE4658">
        <w:rPr>
          <w:rFonts w:cstheme="minorHAnsi"/>
          <w:sz w:val="24"/>
          <w:szCs w:val="24"/>
        </w:rPr>
        <w:t xml:space="preserve"> et al., </w:t>
      </w:r>
      <w:r w:rsidR="00E30B07">
        <w:rPr>
          <w:rFonts w:cstheme="minorHAnsi"/>
          <w:sz w:val="24"/>
          <w:szCs w:val="24"/>
        </w:rPr>
        <w:t>[</w:t>
      </w:r>
      <w:r w:rsidRPr="00CE4658">
        <w:rPr>
          <w:rFonts w:cstheme="minorHAnsi"/>
          <w:sz w:val="24"/>
          <w:szCs w:val="24"/>
        </w:rPr>
        <w:t xml:space="preserve">8]). Improvements in JH-EUR with training may thus reflect the knee joint muscle's propensity towards improving and leveraging active state mechanics after plyometric and power training. This may also explain why plyometric training improves CMJ height to a greater extent than SJ height (Markovic, [10]; Markovic &amp; </w:t>
      </w:r>
      <w:proofErr w:type="spellStart"/>
      <w:r w:rsidRPr="00CE4658">
        <w:rPr>
          <w:rFonts w:cstheme="minorHAnsi"/>
          <w:sz w:val="24"/>
          <w:szCs w:val="24"/>
        </w:rPr>
        <w:t>Mikulic</w:t>
      </w:r>
      <w:proofErr w:type="spellEnd"/>
      <w:r w:rsidRPr="00CE4658">
        <w:rPr>
          <w:rFonts w:cstheme="minorHAnsi"/>
          <w:sz w:val="24"/>
          <w:szCs w:val="24"/>
        </w:rPr>
        <w:t>, [11]).</w:t>
      </w:r>
    </w:p>
    <w:p w14:paraId="6F9E4562" w14:textId="77777777" w:rsidR="00CE4658" w:rsidRPr="00CE4658" w:rsidRDefault="00CE4658" w:rsidP="00CE4658">
      <w:pPr>
        <w:rPr>
          <w:rFonts w:cstheme="minorHAnsi"/>
          <w:sz w:val="24"/>
          <w:szCs w:val="24"/>
        </w:rPr>
      </w:pPr>
      <w:r w:rsidRPr="00CE4658">
        <w:rPr>
          <w:rFonts w:cstheme="minorHAnsi"/>
          <w:sz w:val="24"/>
          <w:szCs w:val="24"/>
        </w:rPr>
        <w:t xml:space="preserve">All in all, the results from this study suggest that greater Hip-NJM-EUR and Knee-NJP-EUR are associated with greater enhancement of lower-extremity SSC performance during CMJ. This information may yield important practical applications for sports scientists and coaches as it has been previously suggested that athletes with either a low or high EUR may benefit most from plyometric or fast-concentric training, respectively (McMaster et al., [15]). Furthermore, it appears possible to increase EUR with gradual shifts in the emphasis of training from general and strength-type exercises to more sport-specific and plyometric-type exercises, as </w:t>
      </w:r>
      <w:proofErr w:type="spellStart"/>
      <w:r w:rsidRPr="00CE4658">
        <w:rPr>
          <w:rFonts w:cstheme="minorHAnsi"/>
          <w:sz w:val="24"/>
          <w:szCs w:val="24"/>
        </w:rPr>
        <w:t>characterised</w:t>
      </w:r>
      <w:proofErr w:type="spellEnd"/>
      <w:r w:rsidRPr="00CE4658">
        <w:rPr>
          <w:rFonts w:cstheme="minorHAnsi"/>
          <w:sz w:val="24"/>
          <w:szCs w:val="24"/>
        </w:rPr>
        <w:t xml:space="preserve"> by typical transitions from offseason to preseason training (McGuigan et al., [13]). For coaches, the practical implications of the results of the current study suggest that athletes who exhibit low SSC enhancement during CMJ also exhibit low hip joint moment and knee joint power EUR, which raises the question whether these athletes might benefit from targeted and </w:t>
      </w:r>
      <w:proofErr w:type="spellStart"/>
      <w:r w:rsidRPr="00CE4658">
        <w:rPr>
          <w:rFonts w:cstheme="minorHAnsi"/>
          <w:sz w:val="24"/>
          <w:szCs w:val="24"/>
        </w:rPr>
        <w:t>periodised</w:t>
      </w:r>
      <w:proofErr w:type="spellEnd"/>
      <w:r w:rsidRPr="00CE4658">
        <w:rPr>
          <w:rFonts w:cstheme="minorHAnsi"/>
          <w:sz w:val="24"/>
          <w:szCs w:val="24"/>
        </w:rPr>
        <w:t xml:space="preserve"> plyometric training of the hip and knee extensor muscle groups to improve lower-extremity SSC performance. In this context, training to improve the capacity of the hip extensor muscles to generate large NJM and of the knee extensor muscles to produce large mechanical power outputs may help improve SSC enhancement during the CMJ. However, given the cross-sectional design of the current study, future studies should investigate the effects of such targeted interventions to see if these </w:t>
      </w:r>
      <w:proofErr w:type="gramStart"/>
      <w:r w:rsidRPr="00CE4658">
        <w:rPr>
          <w:rFonts w:cstheme="minorHAnsi"/>
          <w:sz w:val="24"/>
          <w:szCs w:val="24"/>
        </w:rPr>
        <w:t>actually improve</w:t>
      </w:r>
      <w:proofErr w:type="gramEnd"/>
      <w:r w:rsidRPr="00CE4658">
        <w:rPr>
          <w:rFonts w:cstheme="minorHAnsi"/>
          <w:sz w:val="24"/>
          <w:szCs w:val="24"/>
        </w:rPr>
        <w:t xml:space="preserve"> joint-specific and JH-based EUR.</w:t>
      </w:r>
    </w:p>
    <w:p w14:paraId="25D8ACA6" w14:textId="77777777" w:rsidR="00CE4658" w:rsidRPr="00CE4658" w:rsidRDefault="00CE4658" w:rsidP="00CE4658">
      <w:pPr>
        <w:rPr>
          <w:rFonts w:cstheme="minorHAnsi"/>
          <w:sz w:val="24"/>
          <w:szCs w:val="24"/>
        </w:rPr>
      </w:pPr>
      <w:r w:rsidRPr="00CE4658">
        <w:rPr>
          <w:rFonts w:cstheme="minorHAnsi"/>
          <w:sz w:val="24"/>
          <w:szCs w:val="24"/>
        </w:rPr>
        <w:t xml:space="preserve">There are some limitations to this study that should be considered when interpreting the results and considering the practical implications. First, the results from the correlation analysis and the associated practical implications are based on a relatively small sample size. It could therefore not be ruled out that the current study is underpowered. However, </w:t>
      </w:r>
      <w:proofErr w:type="spellStart"/>
      <w:r w:rsidRPr="00CE4658">
        <w:rPr>
          <w:rFonts w:cstheme="minorHAnsi"/>
          <w:sz w:val="24"/>
          <w:szCs w:val="24"/>
        </w:rPr>
        <w:t>regularised</w:t>
      </w:r>
      <w:proofErr w:type="spellEnd"/>
      <w:r w:rsidRPr="00CE4658">
        <w:rPr>
          <w:rFonts w:cstheme="minorHAnsi"/>
          <w:sz w:val="24"/>
          <w:szCs w:val="24"/>
        </w:rPr>
        <w:t xml:space="preserve"> regression models, such as elastic nets, perform much better </w:t>
      </w:r>
      <w:r w:rsidRPr="00CE4658">
        <w:rPr>
          <w:rFonts w:cstheme="minorHAnsi"/>
          <w:i/>
          <w:iCs/>
          <w:sz w:val="24"/>
          <w:szCs w:val="24"/>
        </w:rPr>
        <w:t>in situ</w:t>
      </w:r>
      <w:r w:rsidRPr="00CE4658">
        <w:rPr>
          <w:rFonts w:cstheme="minorHAnsi"/>
          <w:sz w:val="24"/>
          <w:szCs w:val="24"/>
        </w:rPr>
        <w:t xml:space="preserve">ations where sample sizes are small (Zou &amp; Hastie, [23]). The consistency between the results from the </w:t>
      </w:r>
      <w:proofErr w:type="spellStart"/>
      <w:r w:rsidRPr="00CE4658">
        <w:rPr>
          <w:rFonts w:cstheme="minorHAnsi"/>
          <w:sz w:val="24"/>
          <w:szCs w:val="24"/>
        </w:rPr>
        <w:t>regularised</w:t>
      </w:r>
      <w:proofErr w:type="spellEnd"/>
      <w:r w:rsidRPr="00CE4658">
        <w:rPr>
          <w:rFonts w:cstheme="minorHAnsi"/>
          <w:sz w:val="24"/>
          <w:szCs w:val="24"/>
        </w:rPr>
        <w:t xml:space="preserve"> regression and from the correlation analysis therefore suggests that some of the results are robust despite the small sample size. Second, JH calculations in the current study were based on the difference between hip markers during the standing position and during the apex of the CMJ and SJ. While the JH calculation method would not affect the EUR results, it may lead to discrepancies in JH comparisons from studies that calculate JH from force-time data. Third, we also did not control for the training or sport background of the athletes recruited for this study. Although previous research has shown that both variables can influence JH-EUR (McGuigan et al., [13]; McMaster et al., [15]) their influence on joint-level EUR is not known. Likewise, we also did not control for training phase, which could also affect JH-EUR, and it is conceivable that joint-level EUR differ between athlete populations and change with training. It is also possible that the contributions of joint-specific EUR to JH-EUR change as athletes engage in training. While these are all limitations with the current study, the absence of joint-based EUR data in the literature warranted an initial investigation, such as the current study. Future studies should therefore focus investigating how joint-specific EUR differ between group of athletes, change with various training </w:t>
      </w:r>
      <w:proofErr w:type="spellStart"/>
      <w:r w:rsidRPr="00CE4658">
        <w:rPr>
          <w:rFonts w:cstheme="minorHAnsi"/>
          <w:sz w:val="24"/>
          <w:szCs w:val="24"/>
        </w:rPr>
        <w:t>programmes</w:t>
      </w:r>
      <w:proofErr w:type="spellEnd"/>
      <w:r w:rsidRPr="00CE4658">
        <w:rPr>
          <w:rFonts w:cstheme="minorHAnsi"/>
          <w:sz w:val="24"/>
          <w:szCs w:val="24"/>
        </w:rPr>
        <w:t>, and whether they ultimately provide better insight into SSC performance than global lower-extremity measures, such as JH-EUR.</w:t>
      </w:r>
    </w:p>
    <w:p w14:paraId="04643373" w14:textId="7D11F883" w:rsidR="00CE4658" w:rsidRPr="00E30B07" w:rsidRDefault="00CE4658" w:rsidP="00E30B07">
      <w:pPr>
        <w:pStyle w:val="Heading1"/>
      </w:pPr>
      <w:r w:rsidRPr="00E30B07">
        <w:t>Conclusion</w:t>
      </w:r>
    </w:p>
    <w:p w14:paraId="13167FC6" w14:textId="77777777" w:rsidR="00CE4658" w:rsidRPr="00CE4658" w:rsidRDefault="00CE4658" w:rsidP="00CE4658">
      <w:pPr>
        <w:rPr>
          <w:rFonts w:cstheme="minorHAnsi"/>
          <w:sz w:val="24"/>
          <w:szCs w:val="24"/>
        </w:rPr>
      </w:pPr>
      <w:r w:rsidRPr="00CE4658">
        <w:rPr>
          <w:rFonts w:cstheme="minorHAnsi"/>
          <w:sz w:val="24"/>
          <w:szCs w:val="24"/>
        </w:rPr>
        <w:t>The results suggest that the enhancement of lower-extremity SSC performance during the concentric phase of the CMJ primarily results from greater hip NJM and knee NJP outputs than during the SJ. The practical application of these results is that JH-based EUR provides practitioners with insight into mechanical function of the hip and knee joints, which may be of interest with respect to monitoring the performance levels and capacities of these joints. Further, the results implicate hip NJM and knee NJP and as potential targets for training interventions that aim to increase EUR and facilitate lower-extremity SSC performance. The veracity of the last statement should be the focus of future investigations, such as a training study. However, the results of the current study inform such future training studies in that emphasis should likely be placed on increasing the NJM output of the hip extensor muscles and increasing the NJP output of the knee extensor muscles.</w:t>
      </w:r>
    </w:p>
    <w:p w14:paraId="61307CDC" w14:textId="6BDDDD65" w:rsidR="00CE4658" w:rsidRPr="00E30B07" w:rsidRDefault="00CE4658" w:rsidP="00E30B07">
      <w:pPr>
        <w:pStyle w:val="Heading1"/>
      </w:pPr>
      <w:r w:rsidRPr="00E30B07">
        <w:t>Acknowledgments</w:t>
      </w:r>
    </w:p>
    <w:p w14:paraId="1C32EB07" w14:textId="77777777" w:rsidR="00CE4658" w:rsidRPr="00CE4658" w:rsidRDefault="00CE4658" w:rsidP="00CE4658">
      <w:pPr>
        <w:rPr>
          <w:rFonts w:cstheme="minorHAnsi"/>
          <w:sz w:val="24"/>
          <w:szCs w:val="24"/>
        </w:rPr>
      </w:pPr>
      <w:r w:rsidRPr="00CE4658">
        <w:rPr>
          <w:rFonts w:cstheme="minorHAnsi"/>
          <w:sz w:val="24"/>
          <w:szCs w:val="24"/>
        </w:rPr>
        <w:t>We would like to acknowledge the Marquette University Sports Performance staff for their help with this project.</w:t>
      </w:r>
    </w:p>
    <w:p w14:paraId="686F1C9E" w14:textId="686A0D04" w:rsidR="00CE4658" w:rsidRPr="00E30B07" w:rsidRDefault="00CE4658" w:rsidP="00E30B07">
      <w:pPr>
        <w:pStyle w:val="Heading1"/>
      </w:pPr>
      <w:r w:rsidRPr="00E30B07">
        <w:t>Disclosure statement</w:t>
      </w:r>
    </w:p>
    <w:p w14:paraId="09A9D8A1" w14:textId="77777777" w:rsidR="00CE4658" w:rsidRPr="00CE4658" w:rsidRDefault="00CE4658" w:rsidP="00CE4658">
      <w:pPr>
        <w:rPr>
          <w:rFonts w:cstheme="minorHAnsi"/>
          <w:sz w:val="24"/>
          <w:szCs w:val="24"/>
        </w:rPr>
      </w:pPr>
      <w:r w:rsidRPr="00CE4658">
        <w:rPr>
          <w:rFonts w:cstheme="minorHAnsi"/>
          <w:sz w:val="24"/>
          <w:szCs w:val="24"/>
        </w:rPr>
        <w:t>No potential conflict of interest was reported by the authors.</w:t>
      </w:r>
    </w:p>
    <w:p w14:paraId="53E85C4C" w14:textId="679BEA2D" w:rsidR="00CE4658" w:rsidRPr="00E30B07" w:rsidRDefault="00CE4658" w:rsidP="00E30B07">
      <w:pPr>
        <w:pStyle w:val="Heading1"/>
      </w:pPr>
      <w:r w:rsidRPr="00E30B07">
        <w:t>Footnotes</w:t>
      </w:r>
    </w:p>
    <w:p w14:paraId="1429B836" w14:textId="28E60307" w:rsidR="00CE4658" w:rsidRPr="00CE4658" w:rsidRDefault="00CE4658" w:rsidP="00CE4658">
      <w:pPr>
        <w:rPr>
          <w:rFonts w:cstheme="minorHAnsi"/>
          <w:sz w:val="24"/>
          <w:szCs w:val="24"/>
        </w:rPr>
      </w:pPr>
      <w:r w:rsidRPr="00CE4658">
        <w:rPr>
          <w:rFonts w:cstheme="minorHAnsi"/>
          <w:i/>
          <w:iCs/>
          <w:sz w:val="24"/>
          <w:szCs w:val="24"/>
        </w:rPr>
        <w:t>The research presented in this study was conducted at Marquette University</w:t>
      </w:r>
    </w:p>
    <w:p w14:paraId="1F8CB8F9" w14:textId="52E40928" w:rsidR="00CE4658" w:rsidRPr="00E30B07" w:rsidRDefault="00CE4658" w:rsidP="00E30B07">
      <w:pPr>
        <w:pStyle w:val="Heading1"/>
      </w:pPr>
      <w:r w:rsidRPr="00E30B07">
        <w:t>References</w:t>
      </w:r>
    </w:p>
    <w:p w14:paraId="74A0FBA0" w14:textId="77777777" w:rsidR="00CE4658" w:rsidRPr="00E30B07" w:rsidRDefault="00CE4658" w:rsidP="00E30B07">
      <w:pPr>
        <w:pStyle w:val="NoSpacing"/>
        <w:ind w:left="720" w:hanging="720"/>
        <w:rPr>
          <w:sz w:val="24"/>
          <w:szCs w:val="24"/>
        </w:rPr>
      </w:pPr>
      <w:r w:rsidRPr="00E30B07">
        <w:rPr>
          <w:sz w:val="24"/>
          <w:szCs w:val="24"/>
        </w:rPr>
        <w:t xml:space="preserve">Aragón-Vargas, L. F., &amp; Gross, M. M. (1997). Kinesiological factors in vertical jump performance: Differences among individuals. </w:t>
      </w:r>
      <w:r w:rsidRPr="00E30B07">
        <w:rPr>
          <w:i/>
          <w:iCs/>
          <w:sz w:val="24"/>
          <w:szCs w:val="24"/>
        </w:rPr>
        <w:t>Journal of Applied Biomechanics</w:t>
      </w:r>
      <w:r w:rsidRPr="00E30B07">
        <w:rPr>
          <w:sz w:val="24"/>
          <w:szCs w:val="24"/>
        </w:rPr>
        <w:t xml:space="preserve">, 13, 24 – 44. </w:t>
      </w:r>
      <w:proofErr w:type="spellStart"/>
      <w:r w:rsidRPr="00E30B07">
        <w:rPr>
          <w:sz w:val="24"/>
          <w:szCs w:val="24"/>
        </w:rPr>
        <w:t>doi</w:t>
      </w:r>
      <w:proofErr w:type="spellEnd"/>
      <w:r w:rsidRPr="00E30B07">
        <w:rPr>
          <w:sz w:val="24"/>
          <w:szCs w:val="24"/>
        </w:rPr>
        <w:t>: 10.1123/jab.13.1.24</w:t>
      </w:r>
    </w:p>
    <w:p w14:paraId="5EE21ACA" w14:textId="5DA89EEE" w:rsidR="00CE4658" w:rsidRPr="00E30B07" w:rsidRDefault="00CE4658" w:rsidP="00E30B07">
      <w:pPr>
        <w:pStyle w:val="NoSpacing"/>
        <w:ind w:left="720" w:hanging="720"/>
        <w:rPr>
          <w:sz w:val="24"/>
          <w:szCs w:val="24"/>
        </w:rPr>
      </w:pPr>
      <w:proofErr w:type="spellStart"/>
      <w:r w:rsidRPr="00E30B07">
        <w:rPr>
          <w:sz w:val="24"/>
          <w:szCs w:val="24"/>
        </w:rPr>
        <w:t>Bobbert</w:t>
      </w:r>
      <w:proofErr w:type="spellEnd"/>
      <w:r w:rsidRPr="00E30B07">
        <w:rPr>
          <w:sz w:val="24"/>
          <w:szCs w:val="24"/>
        </w:rPr>
        <w:t xml:space="preserve">, M. F., &amp; Casius, L. J. R. (2005). Is the effect of a countermovement on jump height due to active state development? </w:t>
      </w:r>
      <w:r w:rsidRPr="00E30B07">
        <w:rPr>
          <w:i/>
          <w:iCs/>
          <w:sz w:val="24"/>
          <w:szCs w:val="24"/>
        </w:rPr>
        <w:t>Medicine and Science in Sports and Exercise</w:t>
      </w:r>
      <w:r w:rsidRPr="00E30B07">
        <w:rPr>
          <w:sz w:val="24"/>
          <w:szCs w:val="24"/>
        </w:rPr>
        <w:t xml:space="preserve">, 37, 440 – 446. </w:t>
      </w:r>
      <w:proofErr w:type="spellStart"/>
      <w:r w:rsidRPr="00E30B07">
        <w:rPr>
          <w:sz w:val="24"/>
          <w:szCs w:val="24"/>
        </w:rPr>
        <w:t>doi</w:t>
      </w:r>
      <w:proofErr w:type="spellEnd"/>
      <w:r w:rsidRPr="00E30B07">
        <w:rPr>
          <w:sz w:val="24"/>
          <w:szCs w:val="24"/>
        </w:rPr>
        <w:t>: 10.1249/01.MSS.0000155389.34538.97</w:t>
      </w:r>
    </w:p>
    <w:p w14:paraId="232AA65B" w14:textId="1B0EF2F8" w:rsidR="00CE4658" w:rsidRPr="00E30B07" w:rsidRDefault="00CE4658" w:rsidP="00E30B07">
      <w:pPr>
        <w:pStyle w:val="NoSpacing"/>
        <w:ind w:left="720" w:hanging="720"/>
        <w:rPr>
          <w:sz w:val="24"/>
          <w:szCs w:val="24"/>
        </w:rPr>
      </w:pPr>
      <w:proofErr w:type="spellStart"/>
      <w:r w:rsidRPr="00E30B07">
        <w:rPr>
          <w:sz w:val="24"/>
          <w:szCs w:val="24"/>
        </w:rPr>
        <w:t>Bobbert</w:t>
      </w:r>
      <w:proofErr w:type="spellEnd"/>
      <w:r w:rsidRPr="00E30B07">
        <w:rPr>
          <w:sz w:val="24"/>
          <w:szCs w:val="24"/>
        </w:rPr>
        <w:t xml:space="preserve">, M. F., Gerritsen, K. G., </w:t>
      </w:r>
      <w:proofErr w:type="spellStart"/>
      <w:r w:rsidRPr="00E30B07">
        <w:rPr>
          <w:sz w:val="24"/>
          <w:szCs w:val="24"/>
        </w:rPr>
        <w:t>Litjens</w:t>
      </w:r>
      <w:proofErr w:type="spellEnd"/>
      <w:r w:rsidRPr="00E30B07">
        <w:rPr>
          <w:sz w:val="24"/>
          <w:szCs w:val="24"/>
        </w:rPr>
        <w:t xml:space="preserve">, M. C., &amp; Van </w:t>
      </w:r>
      <w:proofErr w:type="spellStart"/>
      <w:r w:rsidRPr="00E30B07">
        <w:rPr>
          <w:sz w:val="24"/>
          <w:szCs w:val="24"/>
        </w:rPr>
        <w:t>Soest</w:t>
      </w:r>
      <w:proofErr w:type="spellEnd"/>
      <w:r w:rsidRPr="00E30B07">
        <w:rPr>
          <w:sz w:val="24"/>
          <w:szCs w:val="24"/>
        </w:rPr>
        <w:t xml:space="preserve">, A. J. (1996). Why is countermovement jump height greater than squat jump </w:t>
      </w:r>
      <w:proofErr w:type="gramStart"/>
      <w:r w:rsidRPr="00E30B07">
        <w:rPr>
          <w:sz w:val="24"/>
          <w:szCs w:val="24"/>
        </w:rPr>
        <w:t>height?.</w:t>
      </w:r>
      <w:proofErr w:type="gramEnd"/>
      <w:r w:rsidRPr="00E30B07">
        <w:rPr>
          <w:sz w:val="24"/>
          <w:szCs w:val="24"/>
        </w:rPr>
        <w:t xml:space="preserve"> </w:t>
      </w:r>
      <w:r w:rsidRPr="00E30B07">
        <w:rPr>
          <w:i/>
          <w:iCs/>
          <w:sz w:val="24"/>
          <w:szCs w:val="24"/>
        </w:rPr>
        <w:t>Medicine and Science in Sports and Exercise</w:t>
      </w:r>
      <w:r w:rsidRPr="00E30B07">
        <w:rPr>
          <w:sz w:val="24"/>
          <w:szCs w:val="24"/>
        </w:rPr>
        <w:t>, 28, 1402 – 1412.</w:t>
      </w:r>
    </w:p>
    <w:p w14:paraId="363CA4E9" w14:textId="278BDC40" w:rsidR="00CE4658" w:rsidRPr="00E30B07" w:rsidRDefault="00CE4658" w:rsidP="00E30B07">
      <w:pPr>
        <w:pStyle w:val="NoSpacing"/>
        <w:ind w:left="720" w:hanging="720"/>
        <w:rPr>
          <w:sz w:val="24"/>
          <w:szCs w:val="24"/>
        </w:rPr>
      </w:pPr>
      <w:r w:rsidRPr="00E30B07">
        <w:rPr>
          <w:sz w:val="24"/>
          <w:szCs w:val="24"/>
        </w:rPr>
        <w:t xml:space="preserve">Cohen, J. (1988). </w:t>
      </w:r>
      <w:r w:rsidRPr="00E30B07">
        <w:rPr>
          <w:i/>
          <w:iCs/>
          <w:sz w:val="24"/>
          <w:szCs w:val="24"/>
        </w:rPr>
        <w:t>Statistical power analysis for the behavioral sciences</w:t>
      </w:r>
      <w:r w:rsidRPr="00E30B07">
        <w:rPr>
          <w:sz w:val="24"/>
          <w:szCs w:val="24"/>
        </w:rPr>
        <w:t xml:space="preserve">, (2nd ed.). </w:t>
      </w:r>
      <w:proofErr w:type="gramStart"/>
      <w:r w:rsidRPr="00E30B07">
        <w:rPr>
          <w:sz w:val="24"/>
          <w:szCs w:val="24"/>
        </w:rPr>
        <w:t>Hillsdale :</w:t>
      </w:r>
      <w:proofErr w:type="gramEnd"/>
      <w:r w:rsidRPr="00E30B07">
        <w:rPr>
          <w:sz w:val="24"/>
          <w:szCs w:val="24"/>
        </w:rPr>
        <w:t xml:space="preserve"> Lawrence </w:t>
      </w:r>
      <w:proofErr w:type="spellStart"/>
      <w:r w:rsidRPr="00E30B07">
        <w:rPr>
          <w:sz w:val="24"/>
          <w:szCs w:val="24"/>
        </w:rPr>
        <w:t>Earlbaum</w:t>
      </w:r>
      <w:proofErr w:type="spellEnd"/>
      <w:r w:rsidRPr="00E30B07">
        <w:rPr>
          <w:sz w:val="24"/>
          <w:szCs w:val="24"/>
        </w:rPr>
        <w:t xml:space="preserve"> Associates.</w:t>
      </w:r>
    </w:p>
    <w:p w14:paraId="4F8F4CCB" w14:textId="3B8D5A04" w:rsidR="00CE4658" w:rsidRPr="00E30B07" w:rsidRDefault="00CE4658" w:rsidP="00E30B07">
      <w:pPr>
        <w:pStyle w:val="NoSpacing"/>
        <w:ind w:left="720" w:hanging="720"/>
        <w:rPr>
          <w:sz w:val="24"/>
          <w:szCs w:val="24"/>
        </w:rPr>
      </w:pPr>
      <w:r w:rsidRPr="00E30B07">
        <w:rPr>
          <w:sz w:val="24"/>
          <w:szCs w:val="24"/>
        </w:rPr>
        <w:t xml:space="preserve">Cronin, J., McNair, P. J., &amp; Marshall, R. N. (2001). Developing explosive power: A comparison of technique and training. </w:t>
      </w:r>
      <w:r w:rsidRPr="00E30B07">
        <w:rPr>
          <w:i/>
          <w:iCs/>
          <w:sz w:val="24"/>
          <w:szCs w:val="24"/>
        </w:rPr>
        <w:t>Journal of Science and Medicine in Sport</w:t>
      </w:r>
      <w:r w:rsidRPr="00E30B07">
        <w:rPr>
          <w:sz w:val="24"/>
          <w:szCs w:val="24"/>
        </w:rPr>
        <w:t xml:space="preserve">, 4, 59 – 70. </w:t>
      </w:r>
      <w:proofErr w:type="spellStart"/>
      <w:r w:rsidRPr="00E30B07">
        <w:rPr>
          <w:sz w:val="24"/>
          <w:szCs w:val="24"/>
        </w:rPr>
        <w:t>doi</w:t>
      </w:r>
      <w:proofErr w:type="spellEnd"/>
      <w:r w:rsidRPr="00E30B07">
        <w:rPr>
          <w:sz w:val="24"/>
          <w:szCs w:val="24"/>
        </w:rPr>
        <w:t>: 10.1016/S1440-2440(01)80008-6</w:t>
      </w:r>
    </w:p>
    <w:p w14:paraId="4781F2E5" w14:textId="38C33255" w:rsidR="00CE4658" w:rsidRPr="00E30B07" w:rsidRDefault="00CE4658" w:rsidP="00E30B07">
      <w:pPr>
        <w:pStyle w:val="NoSpacing"/>
        <w:ind w:left="720" w:hanging="720"/>
        <w:rPr>
          <w:sz w:val="24"/>
          <w:szCs w:val="24"/>
        </w:rPr>
      </w:pPr>
      <w:r w:rsidRPr="00E30B07">
        <w:rPr>
          <w:sz w:val="24"/>
          <w:szCs w:val="24"/>
        </w:rPr>
        <w:t xml:space="preserve">Dowling, J. J., &amp; </w:t>
      </w:r>
      <w:proofErr w:type="spellStart"/>
      <w:r w:rsidRPr="00E30B07">
        <w:rPr>
          <w:sz w:val="24"/>
          <w:szCs w:val="24"/>
        </w:rPr>
        <w:t>Vamos</w:t>
      </w:r>
      <w:proofErr w:type="spellEnd"/>
      <w:r w:rsidRPr="00E30B07">
        <w:rPr>
          <w:sz w:val="24"/>
          <w:szCs w:val="24"/>
        </w:rPr>
        <w:t xml:space="preserve">, L. (1993). Identification of kinetic and temporal factors related to vertical jump performance. </w:t>
      </w:r>
      <w:r w:rsidRPr="00E30B07">
        <w:rPr>
          <w:i/>
          <w:iCs/>
          <w:sz w:val="24"/>
          <w:szCs w:val="24"/>
        </w:rPr>
        <w:t>Journal of Applied Biomechanics</w:t>
      </w:r>
      <w:r w:rsidRPr="00E30B07">
        <w:rPr>
          <w:sz w:val="24"/>
          <w:szCs w:val="24"/>
        </w:rPr>
        <w:t xml:space="preserve">, 9, 95 – 110. </w:t>
      </w:r>
      <w:proofErr w:type="spellStart"/>
      <w:r w:rsidRPr="00E30B07">
        <w:rPr>
          <w:sz w:val="24"/>
          <w:szCs w:val="24"/>
        </w:rPr>
        <w:t>doi</w:t>
      </w:r>
      <w:proofErr w:type="spellEnd"/>
      <w:r w:rsidRPr="00E30B07">
        <w:rPr>
          <w:sz w:val="24"/>
          <w:szCs w:val="24"/>
        </w:rPr>
        <w:t>: 10.1123/jab.9.2.95</w:t>
      </w:r>
    </w:p>
    <w:p w14:paraId="5F500B4A" w14:textId="336EA96B" w:rsidR="00CE4658" w:rsidRPr="00E30B07" w:rsidRDefault="00CE4658" w:rsidP="00E30B07">
      <w:pPr>
        <w:pStyle w:val="NoSpacing"/>
        <w:ind w:left="720" w:hanging="720"/>
        <w:rPr>
          <w:sz w:val="24"/>
          <w:szCs w:val="24"/>
        </w:rPr>
      </w:pPr>
      <w:r w:rsidRPr="00E30B07">
        <w:rPr>
          <w:sz w:val="24"/>
          <w:szCs w:val="24"/>
        </w:rPr>
        <w:t xml:space="preserve">Kirby, T. J., McBride, J. M., Haines, T. L., &amp; Dayne, A. M. (2011). Relative net vertical impulse determines jumping performance. </w:t>
      </w:r>
      <w:r w:rsidRPr="00E30B07">
        <w:rPr>
          <w:i/>
          <w:iCs/>
          <w:sz w:val="24"/>
          <w:szCs w:val="24"/>
        </w:rPr>
        <w:t>Journal of Applied Biomechanics</w:t>
      </w:r>
      <w:r w:rsidRPr="00E30B07">
        <w:rPr>
          <w:sz w:val="24"/>
          <w:szCs w:val="24"/>
        </w:rPr>
        <w:t xml:space="preserve">, 27, 207 – 214. </w:t>
      </w:r>
      <w:proofErr w:type="spellStart"/>
      <w:r w:rsidRPr="00E30B07">
        <w:rPr>
          <w:sz w:val="24"/>
          <w:szCs w:val="24"/>
        </w:rPr>
        <w:t>doi</w:t>
      </w:r>
      <w:proofErr w:type="spellEnd"/>
      <w:r w:rsidRPr="00E30B07">
        <w:rPr>
          <w:sz w:val="24"/>
          <w:szCs w:val="24"/>
        </w:rPr>
        <w:t>: 10.1123/jab.27.3.207</w:t>
      </w:r>
    </w:p>
    <w:p w14:paraId="1CCDF665" w14:textId="37662CBD" w:rsidR="00CE4658" w:rsidRPr="00E30B07" w:rsidRDefault="00CE4658" w:rsidP="00E30B07">
      <w:pPr>
        <w:pStyle w:val="NoSpacing"/>
        <w:ind w:left="720" w:hanging="720"/>
        <w:rPr>
          <w:sz w:val="24"/>
          <w:szCs w:val="24"/>
        </w:rPr>
      </w:pPr>
      <w:proofErr w:type="spellStart"/>
      <w:r w:rsidRPr="00E30B07">
        <w:rPr>
          <w:sz w:val="24"/>
          <w:szCs w:val="24"/>
        </w:rPr>
        <w:t>Kyröläinen</w:t>
      </w:r>
      <w:proofErr w:type="spellEnd"/>
      <w:r w:rsidRPr="00E30B07">
        <w:rPr>
          <w:sz w:val="24"/>
          <w:szCs w:val="24"/>
        </w:rPr>
        <w:t xml:space="preserve">, H., </w:t>
      </w:r>
      <w:proofErr w:type="spellStart"/>
      <w:r w:rsidRPr="00E30B07">
        <w:rPr>
          <w:sz w:val="24"/>
          <w:szCs w:val="24"/>
        </w:rPr>
        <w:t>Avela</w:t>
      </w:r>
      <w:proofErr w:type="spellEnd"/>
      <w:r w:rsidRPr="00E30B07">
        <w:rPr>
          <w:sz w:val="24"/>
          <w:szCs w:val="24"/>
        </w:rPr>
        <w:t xml:space="preserve">, J., McBride, J. M., Koskinen, S., Andersen, J. L., </w:t>
      </w:r>
      <w:proofErr w:type="spellStart"/>
      <w:r w:rsidRPr="00E30B07">
        <w:rPr>
          <w:sz w:val="24"/>
          <w:szCs w:val="24"/>
        </w:rPr>
        <w:t>Sipilä</w:t>
      </w:r>
      <w:proofErr w:type="spellEnd"/>
      <w:r w:rsidRPr="00E30B07">
        <w:rPr>
          <w:sz w:val="24"/>
          <w:szCs w:val="24"/>
        </w:rPr>
        <w:t xml:space="preserve">, S., ... Komi, P. V. (2005). Effects of power training on muscle structure and neuromuscular performance. </w:t>
      </w:r>
      <w:r w:rsidRPr="00E30B07">
        <w:rPr>
          <w:i/>
          <w:iCs/>
          <w:sz w:val="24"/>
          <w:szCs w:val="24"/>
        </w:rPr>
        <w:t>Scandinavian Journal of Medicine and Science in Sport</w:t>
      </w:r>
      <w:r w:rsidRPr="00E30B07">
        <w:rPr>
          <w:sz w:val="24"/>
          <w:szCs w:val="24"/>
        </w:rPr>
        <w:t xml:space="preserve">, 15, 58 – 64. </w:t>
      </w:r>
      <w:proofErr w:type="spellStart"/>
      <w:r w:rsidRPr="00E30B07">
        <w:rPr>
          <w:sz w:val="24"/>
          <w:szCs w:val="24"/>
        </w:rPr>
        <w:t>doi</w:t>
      </w:r>
      <w:proofErr w:type="spellEnd"/>
      <w:r w:rsidRPr="00E30B07">
        <w:rPr>
          <w:sz w:val="24"/>
          <w:szCs w:val="24"/>
        </w:rPr>
        <w:t>: 10.1111/j.1600-0838.</w:t>
      </w:r>
      <w:proofErr w:type="gramStart"/>
      <w:r w:rsidRPr="00E30B07">
        <w:rPr>
          <w:sz w:val="24"/>
          <w:szCs w:val="24"/>
        </w:rPr>
        <w:t>2004.00390.x</w:t>
      </w:r>
      <w:proofErr w:type="gramEnd"/>
    </w:p>
    <w:p w14:paraId="2472325F" w14:textId="65CF1158" w:rsidR="00CE4658" w:rsidRPr="00E30B07" w:rsidRDefault="00CE4658" w:rsidP="00E30B07">
      <w:pPr>
        <w:pStyle w:val="NoSpacing"/>
        <w:ind w:left="720" w:hanging="720"/>
        <w:rPr>
          <w:sz w:val="24"/>
          <w:szCs w:val="24"/>
        </w:rPr>
      </w:pPr>
      <w:r w:rsidRPr="00E30B07">
        <w:rPr>
          <w:sz w:val="24"/>
          <w:szCs w:val="24"/>
        </w:rPr>
        <w:t xml:space="preserve">Lloyd, R. S., Oliver, J. L., Hughes, M. G., &amp; Williams, C. A. (2009). Reliability and validity of field-based measures of leg stiffness and reactive strength index in youths. </w:t>
      </w:r>
      <w:r w:rsidRPr="00E30B07">
        <w:rPr>
          <w:i/>
          <w:iCs/>
          <w:sz w:val="24"/>
          <w:szCs w:val="24"/>
        </w:rPr>
        <w:t>Journal of Sports Sciences</w:t>
      </w:r>
      <w:r w:rsidRPr="00E30B07">
        <w:rPr>
          <w:sz w:val="24"/>
          <w:szCs w:val="24"/>
        </w:rPr>
        <w:t xml:space="preserve">, 27, 1565 – 1573. </w:t>
      </w:r>
      <w:proofErr w:type="spellStart"/>
      <w:r w:rsidRPr="00E30B07">
        <w:rPr>
          <w:sz w:val="24"/>
          <w:szCs w:val="24"/>
        </w:rPr>
        <w:t>doi</w:t>
      </w:r>
      <w:proofErr w:type="spellEnd"/>
      <w:r w:rsidRPr="00E30B07">
        <w:rPr>
          <w:sz w:val="24"/>
          <w:szCs w:val="24"/>
        </w:rPr>
        <w:t>: 10.1080/02640410903311572</w:t>
      </w:r>
    </w:p>
    <w:p w14:paraId="4C032A65" w14:textId="77777777" w:rsidR="00CE4658" w:rsidRPr="00E30B07" w:rsidRDefault="00CE4658" w:rsidP="00E30B07">
      <w:pPr>
        <w:pStyle w:val="NoSpacing"/>
        <w:ind w:left="720" w:hanging="720"/>
        <w:rPr>
          <w:sz w:val="24"/>
          <w:szCs w:val="24"/>
        </w:rPr>
      </w:pPr>
      <w:r w:rsidRPr="00E30B07">
        <w:rPr>
          <w:sz w:val="24"/>
          <w:szCs w:val="24"/>
        </w:rPr>
        <w:t xml:space="preserve">Markovic, G. (2007). Does plyometric training improve vertical jump height? A meta-analytical review. </w:t>
      </w:r>
      <w:r w:rsidRPr="00E30B07">
        <w:rPr>
          <w:i/>
          <w:iCs/>
          <w:sz w:val="24"/>
          <w:szCs w:val="24"/>
        </w:rPr>
        <w:t>British Journal of Sports Medicine</w:t>
      </w:r>
      <w:r w:rsidRPr="00E30B07">
        <w:rPr>
          <w:sz w:val="24"/>
          <w:szCs w:val="24"/>
        </w:rPr>
        <w:t xml:space="preserve">, 41, 349 – 355. </w:t>
      </w:r>
      <w:proofErr w:type="spellStart"/>
      <w:r w:rsidRPr="00E30B07">
        <w:rPr>
          <w:sz w:val="24"/>
          <w:szCs w:val="24"/>
        </w:rPr>
        <w:t>doi</w:t>
      </w:r>
      <w:proofErr w:type="spellEnd"/>
      <w:r w:rsidRPr="00E30B07">
        <w:rPr>
          <w:sz w:val="24"/>
          <w:szCs w:val="24"/>
        </w:rPr>
        <w:t>: 10.1136/bjsm.2007.035113</w:t>
      </w:r>
    </w:p>
    <w:p w14:paraId="307E5443" w14:textId="77777777" w:rsidR="00CE4658" w:rsidRPr="00E30B07" w:rsidRDefault="00CE4658" w:rsidP="00E30B07">
      <w:pPr>
        <w:pStyle w:val="NoSpacing"/>
        <w:ind w:left="720" w:hanging="720"/>
        <w:rPr>
          <w:sz w:val="24"/>
          <w:szCs w:val="24"/>
        </w:rPr>
      </w:pPr>
      <w:r w:rsidRPr="00E30B07">
        <w:rPr>
          <w:sz w:val="24"/>
          <w:szCs w:val="24"/>
        </w:rPr>
        <w:t xml:space="preserve">Markovic, G., &amp; </w:t>
      </w:r>
      <w:proofErr w:type="spellStart"/>
      <w:r w:rsidRPr="00E30B07">
        <w:rPr>
          <w:sz w:val="24"/>
          <w:szCs w:val="24"/>
        </w:rPr>
        <w:t>Mikulic</w:t>
      </w:r>
      <w:proofErr w:type="spellEnd"/>
      <w:r w:rsidRPr="00E30B07">
        <w:rPr>
          <w:sz w:val="24"/>
          <w:szCs w:val="24"/>
        </w:rPr>
        <w:t xml:space="preserve">, P. (2010). Neuro-musculoskeletal and performance adaptations to lower-extremity plyometric training. </w:t>
      </w:r>
      <w:r w:rsidRPr="00E30B07">
        <w:rPr>
          <w:i/>
          <w:iCs/>
          <w:sz w:val="24"/>
          <w:szCs w:val="24"/>
        </w:rPr>
        <w:t>Sports Medicine</w:t>
      </w:r>
      <w:r w:rsidRPr="00E30B07">
        <w:rPr>
          <w:sz w:val="24"/>
          <w:szCs w:val="24"/>
        </w:rPr>
        <w:t xml:space="preserve">, 40, 859 – 895. </w:t>
      </w:r>
      <w:proofErr w:type="spellStart"/>
      <w:r w:rsidRPr="00E30B07">
        <w:rPr>
          <w:sz w:val="24"/>
          <w:szCs w:val="24"/>
        </w:rPr>
        <w:t>doi</w:t>
      </w:r>
      <w:proofErr w:type="spellEnd"/>
      <w:r w:rsidRPr="00E30B07">
        <w:rPr>
          <w:sz w:val="24"/>
          <w:szCs w:val="24"/>
        </w:rPr>
        <w:t>: 10.2165/11318370-000000000-00000</w:t>
      </w:r>
    </w:p>
    <w:p w14:paraId="79735392" w14:textId="77777777" w:rsidR="00CE4658" w:rsidRPr="00E30B07" w:rsidRDefault="00CE4658" w:rsidP="00E30B07">
      <w:pPr>
        <w:pStyle w:val="NoSpacing"/>
        <w:ind w:left="720" w:hanging="720"/>
        <w:rPr>
          <w:sz w:val="24"/>
          <w:szCs w:val="24"/>
        </w:rPr>
      </w:pPr>
      <w:r w:rsidRPr="00E30B07">
        <w:rPr>
          <w:sz w:val="24"/>
          <w:szCs w:val="24"/>
        </w:rPr>
        <w:t xml:space="preserve">McGuigan, M. R., Cormack, S. J., &amp; Gill, N. D. (2013). Strength and power profiling of athletes: Selecting tests and how to use the information for program design. </w:t>
      </w:r>
      <w:r w:rsidRPr="00E30B07">
        <w:rPr>
          <w:i/>
          <w:iCs/>
          <w:sz w:val="24"/>
          <w:szCs w:val="24"/>
        </w:rPr>
        <w:t>Strength and Conditioning Journal</w:t>
      </w:r>
      <w:r w:rsidRPr="00E30B07">
        <w:rPr>
          <w:sz w:val="24"/>
          <w:szCs w:val="24"/>
        </w:rPr>
        <w:t xml:space="preserve">, 35, 7 – 14. </w:t>
      </w:r>
      <w:proofErr w:type="spellStart"/>
      <w:r w:rsidRPr="00E30B07">
        <w:rPr>
          <w:sz w:val="24"/>
          <w:szCs w:val="24"/>
        </w:rPr>
        <w:t>doi</w:t>
      </w:r>
      <w:proofErr w:type="spellEnd"/>
      <w:r w:rsidRPr="00E30B07">
        <w:rPr>
          <w:sz w:val="24"/>
          <w:szCs w:val="24"/>
        </w:rPr>
        <w:t>: 10.1519/SSC.0000000000000011</w:t>
      </w:r>
    </w:p>
    <w:p w14:paraId="585A01F2" w14:textId="77777777" w:rsidR="00CE4658" w:rsidRPr="00E30B07" w:rsidRDefault="00CE4658" w:rsidP="00E30B07">
      <w:pPr>
        <w:pStyle w:val="NoSpacing"/>
        <w:ind w:left="720" w:hanging="720"/>
        <w:rPr>
          <w:sz w:val="24"/>
          <w:szCs w:val="24"/>
        </w:rPr>
      </w:pPr>
      <w:r w:rsidRPr="00E30B07">
        <w:rPr>
          <w:sz w:val="24"/>
          <w:szCs w:val="24"/>
        </w:rPr>
        <w:t xml:space="preserve">McGuigan, M. R., Doyle, T. L., Newton, M., &amp; Edwards, D. J. (2006). Eccentric utilization ratio: Effect of sport and phase of training. </w:t>
      </w:r>
      <w:r w:rsidRPr="00E30B07">
        <w:rPr>
          <w:i/>
          <w:iCs/>
          <w:sz w:val="24"/>
          <w:szCs w:val="24"/>
        </w:rPr>
        <w:t>Journal of Strength and Conditioning Research</w:t>
      </w:r>
      <w:r w:rsidRPr="00E30B07">
        <w:rPr>
          <w:sz w:val="24"/>
          <w:szCs w:val="24"/>
        </w:rPr>
        <w:t xml:space="preserve">, 20, 992 – 995. </w:t>
      </w:r>
      <w:proofErr w:type="spellStart"/>
      <w:r w:rsidRPr="00E30B07">
        <w:rPr>
          <w:sz w:val="24"/>
          <w:szCs w:val="24"/>
        </w:rPr>
        <w:t>doi</w:t>
      </w:r>
      <w:proofErr w:type="spellEnd"/>
      <w:r w:rsidRPr="00E30B07">
        <w:rPr>
          <w:sz w:val="24"/>
          <w:szCs w:val="24"/>
        </w:rPr>
        <w:t>: 10.1519/R-19165.1</w:t>
      </w:r>
    </w:p>
    <w:p w14:paraId="10098F23" w14:textId="77777777" w:rsidR="00CE4658" w:rsidRPr="00E30B07" w:rsidRDefault="00CE4658" w:rsidP="00E30B07">
      <w:pPr>
        <w:pStyle w:val="NoSpacing"/>
        <w:ind w:left="720" w:hanging="720"/>
        <w:rPr>
          <w:sz w:val="24"/>
          <w:szCs w:val="24"/>
        </w:rPr>
      </w:pPr>
      <w:r w:rsidRPr="00E30B07">
        <w:rPr>
          <w:sz w:val="24"/>
          <w:szCs w:val="24"/>
        </w:rPr>
        <w:t xml:space="preserve">McMaster, D. T., Gill, N., Cronin, J., &amp; McGuigan, M. (2014). A brief review of strength and ballistic assessment methodologies in sport. </w:t>
      </w:r>
      <w:r w:rsidRPr="00E30B07">
        <w:rPr>
          <w:i/>
          <w:iCs/>
          <w:sz w:val="24"/>
          <w:szCs w:val="24"/>
        </w:rPr>
        <w:t>Sports Medicine</w:t>
      </w:r>
      <w:r w:rsidRPr="00E30B07">
        <w:rPr>
          <w:sz w:val="24"/>
          <w:szCs w:val="24"/>
        </w:rPr>
        <w:t xml:space="preserve">, 44, 603 – 623. </w:t>
      </w:r>
      <w:proofErr w:type="spellStart"/>
      <w:r w:rsidRPr="00E30B07">
        <w:rPr>
          <w:sz w:val="24"/>
          <w:szCs w:val="24"/>
        </w:rPr>
        <w:t>doi</w:t>
      </w:r>
      <w:proofErr w:type="spellEnd"/>
      <w:r w:rsidRPr="00E30B07">
        <w:rPr>
          <w:sz w:val="24"/>
          <w:szCs w:val="24"/>
        </w:rPr>
        <w:t>: 10.1007/s40279-014-0145-2</w:t>
      </w:r>
    </w:p>
    <w:p w14:paraId="59C4EC9B" w14:textId="77777777" w:rsidR="00CE4658" w:rsidRPr="00E30B07" w:rsidRDefault="00CE4658" w:rsidP="00E30B07">
      <w:pPr>
        <w:pStyle w:val="NoSpacing"/>
        <w:ind w:left="720" w:hanging="720"/>
        <w:rPr>
          <w:sz w:val="24"/>
          <w:szCs w:val="24"/>
        </w:rPr>
      </w:pPr>
      <w:r w:rsidRPr="00E30B07">
        <w:rPr>
          <w:sz w:val="24"/>
          <w:szCs w:val="24"/>
        </w:rPr>
        <w:t xml:space="preserve">McMaster, D. T., Gill, N. D., Cronin, J. B., &amp; McGuigan, M. R. (2016). Force-velocity-power assessment in semiprofessional rugby union players. </w:t>
      </w:r>
      <w:r w:rsidRPr="00E30B07">
        <w:rPr>
          <w:i/>
          <w:iCs/>
          <w:sz w:val="24"/>
          <w:szCs w:val="24"/>
        </w:rPr>
        <w:t>Journal of Strength and Conditioning Research</w:t>
      </w:r>
      <w:r w:rsidRPr="00E30B07">
        <w:rPr>
          <w:sz w:val="24"/>
          <w:szCs w:val="24"/>
        </w:rPr>
        <w:t xml:space="preserve">, 30, 1118 – 1126. </w:t>
      </w:r>
      <w:proofErr w:type="spellStart"/>
      <w:r w:rsidRPr="00E30B07">
        <w:rPr>
          <w:sz w:val="24"/>
          <w:szCs w:val="24"/>
        </w:rPr>
        <w:t>doi</w:t>
      </w:r>
      <w:proofErr w:type="spellEnd"/>
      <w:r w:rsidRPr="00E30B07">
        <w:rPr>
          <w:sz w:val="24"/>
          <w:szCs w:val="24"/>
        </w:rPr>
        <w:t>: 10.1519/JSC.0b013e3182a1da46</w:t>
      </w:r>
    </w:p>
    <w:p w14:paraId="72B5EDAB" w14:textId="77777777" w:rsidR="00CE4658" w:rsidRPr="00E30B07" w:rsidRDefault="00CE4658" w:rsidP="00E30B07">
      <w:pPr>
        <w:pStyle w:val="NoSpacing"/>
        <w:ind w:left="720" w:hanging="720"/>
        <w:rPr>
          <w:sz w:val="24"/>
          <w:szCs w:val="24"/>
        </w:rPr>
      </w:pPr>
      <w:r w:rsidRPr="00E30B07">
        <w:rPr>
          <w:sz w:val="24"/>
          <w:szCs w:val="24"/>
        </w:rPr>
        <w:t xml:space="preserve">Oliver, J., Armstrong, N., &amp; Williams, C. (2008). Changes in jump performance and muscle activity following soccer-specific exercise. </w:t>
      </w:r>
      <w:r w:rsidRPr="00E30B07">
        <w:rPr>
          <w:i/>
          <w:iCs/>
          <w:sz w:val="24"/>
          <w:szCs w:val="24"/>
        </w:rPr>
        <w:t>Journal of Sports Sciences</w:t>
      </w:r>
      <w:r w:rsidRPr="00E30B07">
        <w:rPr>
          <w:sz w:val="24"/>
          <w:szCs w:val="24"/>
        </w:rPr>
        <w:t xml:space="preserve">, 26, 141 – 148. </w:t>
      </w:r>
      <w:proofErr w:type="spellStart"/>
      <w:r w:rsidRPr="00E30B07">
        <w:rPr>
          <w:sz w:val="24"/>
          <w:szCs w:val="24"/>
        </w:rPr>
        <w:t>doi</w:t>
      </w:r>
      <w:proofErr w:type="spellEnd"/>
      <w:r w:rsidRPr="00E30B07">
        <w:rPr>
          <w:sz w:val="24"/>
          <w:szCs w:val="24"/>
        </w:rPr>
        <w:t>: 10.1080/02640410701352018</w:t>
      </w:r>
    </w:p>
    <w:p w14:paraId="486BA086" w14:textId="77777777" w:rsidR="00CE4658" w:rsidRPr="00E30B07" w:rsidRDefault="00CE4658" w:rsidP="00E30B07">
      <w:pPr>
        <w:pStyle w:val="NoSpacing"/>
        <w:ind w:left="720" w:hanging="720"/>
        <w:rPr>
          <w:sz w:val="24"/>
          <w:szCs w:val="24"/>
        </w:rPr>
      </w:pPr>
      <w:proofErr w:type="spellStart"/>
      <w:r w:rsidRPr="00E30B07">
        <w:rPr>
          <w:sz w:val="24"/>
          <w:szCs w:val="24"/>
        </w:rPr>
        <w:t>Secomb</w:t>
      </w:r>
      <w:proofErr w:type="spellEnd"/>
      <w:r w:rsidRPr="00E30B07">
        <w:rPr>
          <w:sz w:val="24"/>
          <w:szCs w:val="24"/>
        </w:rPr>
        <w:t xml:space="preserve">, J. L., Nimphius, S., Farley, O. R., Lundgren, L., Tran, T. T., &amp; Sheppard, J. M. (2016). Lower-body muscle structure and jump performance of stronger and weaker surfing athletes. </w:t>
      </w:r>
      <w:r w:rsidRPr="00E30B07">
        <w:rPr>
          <w:i/>
          <w:iCs/>
          <w:sz w:val="24"/>
          <w:szCs w:val="24"/>
        </w:rPr>
        <w:t>International Journal of Sports Physiology and Performance</w:t>
      </w:r>
      <w:r w:rsidRPr="00E30B07">
        <w:rPr>
          <w:sz w:val="24"/>
          <w:szCs w:val="24"/>
        </w:rPr>
        <w:t xml:space="preserve">, 11, 652 – 657. </w:t>
      </w:r>
      <w:proofErr w:type="spellStart"/>
      <w:r w:rsidRPr="00E30B07">
        <w:rPr>
          <w:sz w:val="24"/>
          <w:szCs w:val="24"/>
        </w:rPr>
        <w:t>doi</w:t>
      </w:r>
      <w:proofErr w:type="spellEnd"/>
      <w:r w:rsidRPr="00E30B07">
        <w:rPr>
          <w:sz w:val="24"/>
          <w:szCs w:val="24"/>
        </w:rPr>
        <w:t>: 10.1123/ijspp.2015-0481</w:t>
      </w:r>
    </w:p>
    <w:p w14:paraId="63FA01A1" w14:textId="77777777" w:rsidR="00CE4658" w:rsidRPr="00E30B07" w:rsidRDefault="00CE4658" w:rsidP="00E30B07">
      <w:pPr>
        <w:pStyle w:val="NoSpacing"/>
        <w:ind w:left="720" w:hanging="720"/>
        <w:rPr>
          <w:sz w:val="24"/>
          <w:szCs w:val="24"/>
        </w:rPr>
      </w:pPr>
      <w:proofErr w:type="spellStart"/>
      <w:r w:rsidRPr="00E30B07">
        <w:rPr>
          <w:sz w:val="24"/>
          <w:szCs w:val="24"/>
        </w:rPr>
        <w:t>Suchomel</w:t>
      </w:r>
      <w:proofErr w:type="spellEnd"/>
      <w:r w:rsidRPr="00E30B07">
        <w:rPr>
          <w:sz w:val="24"/>
          <w:szCs w:val="24"/>
        </w:rPr>
        <w:t xml:space="preserve">, T. J., Sole, C. J., &amp; Stone, M. H. (2016). Comparison of methods that assess lower-body stretch-shortening cycle utilization. </w:t>
      </w:r>
      <w:r w:rsidRPr="00E30B07">
        <w:rPr>
          <w:i/>
          <w:iCs/>
          <w:sz w:val="24"/>
          <w:szCs w:val="24"/>
        </w:rPr>
        <w:t>Journal of Strength and Conditioning Research</w:t>
      </w:r>
      <w:r w:rsidRPr="00E30B07">
        <w:rPr>
          <w:sz w:val="24"/>
          <w:szCs w:val="24"/>
        </w:rPr>
        <w:t xml:space="preserve">, 30, 547 – 554. </w:t>
      </w:r>
      <w:proofErr w:type="spellStart"/>
      <w:r w:rsidRPr="00E30B07">
        <w:rPr>
          <w:sz w:val="24"/>
          <w:szCs w:val="24"/>
        </w:rPr>
        <w:t>doi</w:t>
      </w:r>
      <w:proofErr w:type="spellEnd"/>
      <w:r w:rsidRPr="00E30B07">
        <w:rPr>
          <w:sz w:val="24"/>
          <w:szCs w:val="24"/>
        </w:rPr>
        <w:t>: 10.1519/JSC.0000000000001100</w:t>
      </w:r>
    </w:p>
    <w:p w14:paraId="091D6C3C" w14:textId="77777777" w:rsidR="00CE4658" w:rsidRPr="00E30B07" w:rsidRDefault="00CE4658" w:rsidP="00E30B07">
      <w:pPr>
        <w:pStyle w:val="NoSpacing"/>
        <w:ind w:left="720" w:hanging="720"/>
        <w:rPr>
          <w:sz w:val="24"/>
          <w:szCs w:val="24"/>
        </w:rPr>
      </w:pPr>
      <w:proofErr w:type="spellStart"/>
      <w:r w:rsidRPr="00E30B07">
        <w:rPr>
          <w:sz w:val="24"/>
          <w:szCs w:val="24"/>
        </w:rPr>
        <w:t>Tibshirani</w:t>
      </w:r>
      <w:proofErr w:type="spellEnd"/>
      <w:r w:rsidRPr="00E30B07">
        <w:rPr>
          <w:sz w:val="24"/>
          <w:szCs w:val="24"/>
        </w:rPr>
        <w:t xml:space="preserve">, R. (1996). Regression shrinkage and selection via the lasso. </w:t>
      </w:r>
      <w:r w:rsidRPr="00E30B07">
        <w:rPr>
          <w:i/>
          <w:iCs/>
          <w:sz w:val="24"/>
          <w:szCs w:val="24"/>
        </w:rPr>
        <w:t>Journal of the Royal Statistical Society. Series B (Methodological)</w:t>
      </w:r>
      <w:r w:rsidRPr="00E30B07">
        <w:rPr>
          <w:sz w:val="24"/>
          <w:szCs w:val="24"/>
        </w:rPr>
        <w:t xml:space="preserve">, 58, 267 – 288. </w:t>
      </w:r>
      <w:proofErr w:type="spellStart"/>
      <w:r w:rsidRPr="00E30B07">
        <w:rPr>
          <w:sz w:val="24"/>
          <w:szCs w:val="24"/>
        </w:rPr>
        <w:t>doi</w:t>
      </w:r>
      <w:proofErr w:type="spellEnd"/>
      <w:r w:rsidRPr="00E30B07">
        <w:rPr>
          <w:sz w:val="24"/>
          <w:szCs w:val="24"/>
        </w:rPr>
        <w:t>: 10.1111/rssb.1996.58.issue-1</w:t>
      </w:r>
    </w:p>
    <w:p w14:paraId="48CDFF1B" w14:textId="77777777" w:rsidR="00CE4658" w:rsidRPr="00E30B07" w:rsidRDefault="00CE4658" w:rsidP="00E30B07">
      <w:pPr>
        <w:pStyle w:val="NoSpacing"/>
        <w:ind w:left="720" w:hanging="720"/>
        <w:rPr>
          <w:sz w:val="24"/>
          <w:szCs w:val="24"/>
        </w:rPr>
      </w:pPr>
      <w:proofErr w:type="spellStart"/>
      <w:r w:rsidRPr="00E30B07">
        <w:rPr>
          <w:sz w:val="24"/>
          <w:szCs w:val="24"/>
        </w:rPr>
        <w:t>Vanezis</w:t>
      </w:r>
      <w:proofErr w:type="spellEnd"/>
      <w:r w:rsidRPr="00E30B07">
        <w:rPr>
          <w:sz w:val="24"/>
          <w:szCs w:val="24"/>
        </w:rPr>
        <w:t xml:space="preserve">, A., &amp; Lees, A. (2005). A biomechanical analysis of good and poor performers of the vertical jump. </w:t>
      </w:r>
      <w:r w:rsidRPr="00E30B07">
        <w:rPr>
          <w:i/>
          <w:iCs/>
          <w:sz w:val="24"/>
          <w:szCs w:val="24"/>
        </w:rPr>
        <w:t>Ergonomics</w:t>
      </w:r>
      <w:r w:rsidRPr="00E30B07">
        <w:rPr>
          <w:sz w:val="24"/>
          <w:szCs w:val="24"/>
        </w:rPr>
        <w:t xml:space="preserve">, 48, 1594 – 1603. </w:t>
      </w:r>
      <w:proofErr w:type="spellStart"/>
      <w:r w:rsidRPr="00E30B07">
        <w:rPr>
          <w:sz w:val="24"/>
          <w:szCs w:val="24"/>
        </w:rPr>
        <w:t>doi</w:t>
      </w:r>
      <w:proofErr w:type="spellEnd"/>
      <w:r w:rsidRPr="00E30B07">
        <w:rPr>
          <w:sz w:val="24"/>
          <w:szCs w:val="24"/>
        </w:rPr>
        <w:t>: 10.1080/00140130500101262</w:t>
      </w:r>
    </w:p>
    <w:p w14:paraId="21C08953" w14:textId="77777777" w:rsidR="00CE4658" w:rsidRPr="00E30B07" w:rsidRDefault="00CE4658" w:rsidP="00E30B07">
      <w:pPr>
        <w:pStyle w:val="NoSpacing"/>
        <w:ind w:left="720" w:hanging="720"/>
        <w:rPr>
          <w:sz w:val="24"/>
          <w:szCs w:val="24"/>
        </w:rPr>
      </w:pPr>
      <w:proofErr w:type="spellStart"/>
      <w:r w:rsidRPr="00E30B07">
        <w:rPr>
          <w:sz w:val="24"/>
          <w:szCs w:val="24"/>
        </w:rPr>
        <w:t>Vanrenterghem</w:t>
      </w:r>
      <w:proofErr w:type="spellEnd"/>
      <w:r w:rsidRPr="00E30B07">
        <w:rPr>
          <w:sz w:val="24"/>
          <w:szCs w:val="24"/>
        </w:rPr>
        <w:t xml:space="preserve">, J., Lees, A., Lenoir, M., </w:t>
      </w:r>
      <w:proofErr w:type="spellStart"/>
      <w:r w:rsidRPr="00E30B07">
        <w:rPr>
          <w:sz w:val="24"/>
          <w:szCs w:val="24"/>
        </w:rPr>
        <w:t>Aerts</w:t>
      </w:r>
      <w:proofErr w:type="spellEnd"/>
      <w:r w:rsidRPr="00E30B07">
        <w:rPr>
          <w:sz w:val="24"/>
          <w:szCs w:val="24"/>
        </w:rPr>
        <w:t xml:space="preserve">, P., &amp; De </w:t>
      </w:r>
      <w:proofErr w:type="spellStart"/>
      <w:r w:rsidRPr="00E30B07">
        <w:rPr>
          <w:sz w:val="24"/>
          <w:szCs w:val="24"/>
        </w:rPr>
        <w:t>Clercq</w:t>
      </w:r>
      <w:proofErr w:type="spellEnd"/>
      <w:r w:rsidRPr="00E30B07">
        <w:rPr>
          <w:sz w:val="24"/>
          <w:szCs w:val="24"/>
        </w:rPr>
        <w:t xml:space="preserve">, D. (2004). Performing the vertical jump: Movement adaptations for submaximal jumping. </w:t>
      </w:r>
      <w:r w:rsidRPr="00E30B07">
        <w:rPr>
          <w:i/>
          <w:iCs/>
          <w:sz w:val="24"/>
          <w:szCs w:val="24"/>
        </w:rPr>
        <w:t>Human Movement Science</w:t>
      </w:r>
      <w:r w:rsidRPr="00E30B07">
        <w:rPr>
          <w:sz w:val="24"/>
          <w:szCs w:val="24"/>
        </w:rPr>
        <w:t xml:space="preserve">, 22, 713 – 727. </w:t>
      </w:r>
      <w:proofErr w:type="spellStart"/>
      <w:r w:rsidRPr="00E30B07">
        <w:rPr>
          <w:sz w:val="24"/>
          <w:szCs w:val="24"/>
        </w:rPr>
        <w:t>doi</w:t>
      </w:r>
      <w:proofErr w:type="spellEnd"/>
      <w:r w:rsidRPr="00E30B07">
        <w:rPr>
          <w:sz w:val="24"/>
          <w:szCs w:val="24"/>
        </w:rPr>
        <w:t>: 10.1016/j.humov.2003.11.001</w:t>
      </w:r>
    </w:p>
    <w:p w14:paraId="7260F8CF" w14:textId="77777777" w:rsidR="00CE4658" w:rsidRPr="00E30B07" w:rsidRDefault="00CE4658" w:rsidP="00E30B07">
      <w:pPr>
        <w:pStyle w:val="NoSpacing"/>
        <w:ind w:left="720" w:hanging="720"/>
        <w:rPr>
          <w:sz w:val="24"/>
          <w:szCs w:val="24"/>
        </w:rPr>
      </w:pPr>
      <w:proofErr w:type="spellStart"/>
      <w:r w:rsidRPr="00E30B07">
        <w:rPr>
          <w:sz w:val="24"/>
          <w:szCs w:val="24"/>
        </w:rPr>
        <w:t>Woltring</w:t>
      </w:r>
      <w:proofErr w:type="spellEnd"/>
      <w:r w:rsidRPr="00E30B07">
        <w:rPr>
          <w:sz w:val="24"/>
          <w:szCs w:val="24"/>
        </w:rPr>
        <w:t xml:space="preserve">, H. J. (1986). A Fortran package for generalized, cross-validatory spline smoothing and differentiation. </w:t>
      </w:r>
      <w:r w:rsidRPr="00E30B07">
        <w:rPr>
          <w:i/>
          <w:iCs/>
          <w:sz w:val="24"/>
          <w:szCs w:val="24"/>
        </w:rPr>
        <w:t>Advances in Engineering Software</w:t>
      </w:r>
      <w:r w:rsidRPr="00E30B07">
        <w:rPr>
          <w:sz w:val="24"/>
          <w:szCs w:val="24"/>
        </w:rPr>
        <w:t xml:space="preserve"> (1978), 8, 104 – 113. </w:t>
      </w:r>
      <w:proofErr w:type="spellStart"/>
      <w:r w:rsidRPr="00E30B07">
        <w:rPr>
          <w:sz w:val="24"/>
          <w:szCs w:val="24"/>
        </w:rPr>
        <w:t>doi</w:t>
      </w:r>
      <w:proofErr w:type="spellEnd"/>
      <w:r w:rsidRPr="00E30B07">
        <w:rPr>
          <w:sz w:val="24"/>
          <w:szCs w:val="24"/>
        </w:rPr>
        <w:t>: 10.1016/0141-1195(86)90098-7</w:t>
      </w:r>
    </w:p>
    <w:p w14:paraId="0D361E3B" w14:textId="77777777" w:rsidR="00CE4658" w:rsidRPr="00E30B07" w:rsidRDefault="00CE4658" w:rsidP="00E30B07">
      <w:pPr>
        <w:pStyle w:val="NoSpacing"/>
        <w:ind w:left="720" w:hanging="720"/>
        <w:rPr>
          <w:sz w:val="24"/>
          <w:szCs w:val="24"/>
        </w:rPr>
      </w:pPr>
      <w:r w:rsidRPr="00E30B07">
        <w:rPr>
          <w:sz w:val="24"/>
          <w:szCs w:val="24"/>
        </w:rPr>
        <w:t xml:space="preserve">Zou, H., &amp; Hastie, T. (2005). Regularization and variable selection via the elastic net. </w:t>
      </w:r>
      <w:r w:rsidRPr="00E30B07">
        <w:rPr>
          <w:i/>
          <w:iCs/>
          <w:sz w:val="24"/>
          <w:szCs w:val="24"/>
        </w:rPr>
        <w:t>Journal of the Royal Statistical Society: Series B (Statistical Methodology)</w:t>
      </w:r>
      <w:r w:rsidRPr="00E30B07">
        <w:rPr>
          <w:sz w:val="24"/>
          <w:szCs w:val="24"/>
        </w:rPr>
        <w:t xml:space="preserve">, 67, 301 – 320. </w:t>
      </w:r>
      <w:proofErr w:type="spellStart"/>
      <w:r w:rsidRPr="00E30B07">
        <w:rPr>
          <w:sz w:val="24"/>
          <w:szCs w:val="24"/>
        </w:rPr>
        <w:t>doi</w:t>
      </w:r>
      <w:proofErr w:type="spellEnd"/>
      <w:r w:rsidRPr="00E30B07">
        <w:rPr>
          <w:sz w:val="24"/>
          <w:szCs w:val="24"/>
        </w:rPr>
        <w:t>: 10.1111/j.1467-9868.</w:t>
      </w:r>
      <w:proofErr w:type="gramStart"/>
      <w:r w:rsidRPr="00E30B07">
        <w:rPr>
          <w:sz w:val="24"/>
          <w:szCs w:val="24"/>
        </w:rPr>
        <w:t>2005.00503.x</w:t>
      </w:r>
      <w:proofErr w:type="gramEnd"/>
    </w:p>
    <w:p w14:paraId="38A4D6FA" w14:textId="77777777" w:rsidR="008461EB" w:rsidRDefault="008461EB" w:rsidP="00D14423">
      <w:pPr>
        <w:rPr>
          <w:rFonts w:cstheme="minorHAnsi"/>
          <w:sz w:val="24"/>
          <w:szCs w:val="24"/>
        </w:rPr>
      </w:pPr>
    </w:p>
    <w:sectPr w:rsidR="008461EB" w:rsidSect="0009596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4dC0u/BaOgqAmESdy5MA+6xErVyCkIlIx6S9mLEX+T+iQQlsZA5BFwKgW4vcMs27V7ecSUYavPWdU2kRPKN+qg==" w:salt="v5jQyaRdKQAfVLi5seyB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5961"/>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30CE"/>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D76AC"/>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326"/>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0A4"/>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1A4A"/>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1EB"/>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3DB6"/>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1FD7"/>
    <w:rsid w:val="00AA432C"/>
    <w:rsid w:val="00AA493D"/>
    <w:rsid w:val="00AA581A"/>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3BFA"/>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663"/>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6888"/>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658"/>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0F41"/>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0B07"/>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068411">
      <w:bodyDiv w:val="1"/>
      <w:marLeft w:val="0"/>
      <w:marRight w:val="0"/>
      <w:marTop w:val="0"/>
      <w:marBottom w:val="0"/>
      <w:divBdr>
        <w:top w:val="none" w:sz="0" w:space="0" w:color="auto"/>
        <w:left w:val="none" w:sz="0" w:space="0" w:color="auto"/>
        <w:bottom w:val="none" w:sz="0" w:space="0" w:color="auto"/>
        <w:right w:val="none" w:sz="0" w:space="0" w:color="auto"/>
      </w:divBdr>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564020605">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80/14763141.2019.157985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4383</Words>
  <Characters>24989</Characters>
  <Application>Microsoft Office Word</Application>
  <DocSecurity>8</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2023-02-22T16:08:00Z</dcterms:created>
  <dcterms:modified xsi:type="dcterms:W3CDTF">2023-02-22T16:45:00Z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