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39820F9C" w:rsidR="000A7622" w:rsidRPr="00C04F25" w:rsidRDefault="004C10DD" w:rsidP="00D14423">
      <w:pPr>
        <w:autoSpaceDE w:val="0"/>
        <w:autoSpaceDN w:val="0"/>
        <w:adjustRightInd w:val="0"/>
        <w:rPr>
          <w:rFonts w:cstheme="minorHAnsi"/>
          <w:b/>
          <w:bCs/>
          <w:i/>
          <w:iCs/>
          <w:sz w:val="32"/>
          <w:szCs w:val="32"/>
        </w:rPr>
      </w:pPr>
      <w:r>
        <w:rPr>
          <w:rFonts w:cstheme="minorHAnsi"/>
          <w:b/>
          <w:bCs/>
          <w:i/>
          <w:iCs/>
          <w:sz w:val="32"/>
          <w:szCs w:val="32"/>
        </w:rPr>
        <w:t>Bio</w:t>
      </w:r>
      <w:r w:rsidR="003245CA">
        <w:rPr>
          <w:rFonts w:cstheme="minorHAnsi"/>
          <w:b/>
          <w:bCs/>
          <w:i/>
          <w:iCs/>
          <w:sz w:val="32"/>
          <w:szCs w:val="32"/>
        </w:rPr>
        <w:t>med</w:t>
      </w:r>
      <w:r>
        <w:rPr>
          <w:rFonts w:cstheme="minorHAnsi"/>
          <w:b/>
          <w:bCs/>
          <w:i/>
          <w:iCs/>
          <w:sz w:val="32"/>
          <w:szCs w:val="32"/>
        </w:rPr>
        <w:t xml:space="preserve">ical Sciences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Health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3C8CBF43" w:rsidR="000A7622" w:rsidRDefault="00514152" w:rsidP="00D14423">
      <w:pPr>
        <w:rPr>
          <w:rFonts w:cstheme="minorHAnsi"/>
          <w:sz w:val="24"/>
          <w:szCs w:val="24"/>
        </w:rPr>
      </w:pPr>
      <w:proofErr w:type="spellStart"/>
      <w:r>
        <w:rPr>
          <w:rFonts w:cstheme="minorHAnsi"/>
          <w:i/>
          <w:sz w:val="24"/>
          <w:szCs w:val="24"/>
          <w:lang w:val="fr-FR"/>
        </w:rPr>
        <w:t>Frontiers</w:t>
      </w:r>
      <w:proofErr w:type="spellEnd"/>
      <w:r>
        <w:rPr>
          <w:rFonts w:cstheme="minorHAnsi"/>
          <w:i/>
          <w:sz w:val="24"/>
          <w:szCs w:val="24"/>
          <w:lang w:val="fr-FR"/>
        </w:rPr>
        <w:t xml:space="preserve"> in </w:t>
      </w:r>
      <w:proofErr w:type="spellStart"/>
      <w:r>
        <w:rPr>
          <w:rFonts w:cstheme="minorHAnsi"/>
          <w:i/>
          <w:sz w:val="24"/>
          <w:szCs w:val="24"/>
          <w:lang w:val="fr-FR"/>
        </w:rPr>
        <w:t>Molecular</w:t>
      </w:r>
      <w:proofErr w:type="spellEnd"/>
      <w:r>
        <w:rPr>
          <w:rFonts w:cstheme="minorHAnsi"/>
          <w:i/>
          <w:sz w:val="24"/>
          <w:szCs w:val="24"/>
          <w:lang w:val="fr-FR"/>
        </w:rPr>
        <w:t xml:space="preserve"> Neuroscience</w:t>
      </w:r>
      <w:r w:rsidR="000A7622" w:rsidRPr="00C04F25">
        <w:rPr>
          <w:rFonts w:cstheme="minorHAnsi"/>
          <w:sz w:val="24"/>
          <w:szCs w:val="24"/>
          <w:lang w:val="fr-FR"/>
        </w:rPr>
        <w:t xml:space="preserve">, Vol. </w:t>
      </w:r>
      <w:r>
        <w:rPr>
          <w:rFonts w:cstheme="minorHAnsi"/>
          <w:sz w:val="24"/>
          <w:szCs w:val="24"/>
          <w:lang w:val="fr-FR"/>
        </w:rPr>
        <w:t>14</w:t>
      </w:r>
      <w:r w:rsidR="000A7622" w:rsidRPr="00C04F25">
        <w:rPr>
          <w:rFonts w:cstheme="minorHAnsi"/>
          <w:sz w:val="24"/>
          <w:szCs w:val="24"/>
          <w:lang w:val="fr-FR"/>
        </w:rPr>
        <w:t xml:space="preserve">, No. </w:t>
      </w:r>
      <w:r w:rsidR="00C109CE" w:rsidRPr="00C109CE">
        <w:rPr>
          <w:rFonts w:cstheme="minorHAnsi"/>
          <w:sz w:val="24"/>
          <w:szCs w:val="24"/>
          <w:lang w:val="fr-FR"/>
        </w:rPr>
        <w:t>763868</w:t>
      </w:r>
      <w:r w:rsidR="00C109CE" w:rsidRPr="00C109CE">
        <w:rPr>
          <w:rFonts w:cstheme="minorHAnsi"/>
          <w:sz w:val="24"/>
          <w:szCs w:val="24"/>
          <w:lang w:val="fr-FR"/>
        </w:rPr>
        <w:t xml:space="preserve"> </w:t>
      </w:r>
      <w:r w:rsidR="000A7622" w:rsidRPr="00C04F25">
        <w:rPr>
          <w:rFonts w:cstheme="minorHAnsi"/>
          <w:sz w:val="24"/>
          <w:szCs w:val="24"/>
          <w:lang w:val="fr-FR"/>
        </w:rPr>
        <w:t>(</w:t>
      </w:r>
      <w:proofErr w:type="spellStart"/>
      <w:r w:rsidR="00C109CE">
        <w:rPr>
          <w:rFonts w:cstheme="minorHAnsi"/>
          <w:sz w:val="24"/>
          <w:szCs w:val="24"/>
          <w:lang w:val="fr-FR"/>
        </w:rPr>
        <w:t>November</w:t>
      </w:r>
      <w:proofErr w:type="spellEnd"/>
      <w:r w:rsidR="00C109CE">
        <w:rPr>
          <w:rFonts w:cstheme="minorHAnsi"/>
          <w:sz w:val="24"/>
          <w:szCs w:val="24"/>
          <w:lang w:val="fr-FR"/>
        </w:rPr>
        <w:t xml:space="preserve"> 18, 2021</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006665">
        <w:rPr>
          <w:rFonts w:cstheme="minorHAnsi"/>
          <w:sz w:val="24"/>
          <w:szCs w:val="24"/>
        </w:rPr>
        <w:t>Frontiers</w:t>
      </w:r>
      <w:r w:rsidR="008C550F">
        <w:rPr>
          <w:rFonts w:cstheme="minorHAnsi"/>
          <w:sz w:val="24"/>
          <w:szCs w:val="24"/>
        </w:rPr>
        <w:t xml:space="preserve"> Media, S.A.</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8C550F">
        <w:rPr>
          <w:rFonts w:cstheme="minorHAnsi"/>
          <w:sz w:val="24"/>
          <w:szCs w:val="24"/>
        </w:rPr>
        <w:t>Frontiers Media, S.A.</w:t>
      </w:r>
      <w:r w:rsidR="000A7622" w:rsidRPr="00C04F25">
        <w:rPr>
          <w:rFonts w:cstheme="minorHAnsi"/>
          <w:sz w:val="24"/>
          <w:szCs w:val="24"/>
        </w:rPr>
        <w:t xml:space="preserve"> does not grant permission for this article to be further copied/distributed or hosted elsewhere without the express permission from </w:t>
      </w:r>
      <w:r w:rsidR="008C550F">
        <w:rPr>
          <w:rFonts w:cstheme="minorHAnsi"/>
          <w:sz w:val="24"/>
          <w:szCs w:val="24"/>
        </w:rPr>
        <w:t>Frontiers Media, S.A.</w:t>
      </w:r>
      <w:r w:rsidR="000A7622" w:rsidRPr="00C04F25">
        <w:rPr>
          <w:rFonts w:cstheme="minorHAnsi"/>
          <w:sz w:val="24"/>
          <w:szCs w:val="24"/>
        </w:rPr>
        <w:t xml:space="preserve"> </w:t>
      </w:r>
      <w:bookmarkEnd w:id="1"/>
    </w:p>
    <w:p w14:paraId="36D66B89" w14:textId="30E2176E" w:rsidR="000976FB" w:rsidRDefault="000976FB" w:rsidP="000976FB"/>
    <w:p w14:paraId="454E1CF0" w14:textId="2F409D54" w:rsidR="000F17F6" w:rsidRDefault="000F17F6" w:rsidP="000F17F6">
      <w:pPr>
        <w:pStyle w:val="Title"/>
      </w:pPr>
      <w:r>
        <w:t>Modulatory Actions of the Glycine Receptor β Subunit on the Positive Allosteric Modulation of Ethanol in α2 Containing Receptors</w:t>
      </w:r>
    </w:p>
    <w:p w14:paraId="5F52489C" w14:textId="77777777" w:rsidR="003245CA" w:rsidRPr="003245CA" w:rsidRDefault="003245CA" w:rsidP="003245CA"/>
    <w:p w14:paraId="3655EC99" w14:textId="52B24FED" w:rsidR="002E18BA" w:rsidRPr="00A2723B" w:rsidRDefault="002E18BA" w:rsidP="00A2723B">
      <w:pPr>
        <w:pStyle w:val="NoSpacing"/>
        <w:rPr>
          <w:sz w:val="32"/>
          <w:szCs w:val="32"/>
        </w:rPr>
      </w:pPr>
      <w:r w:rsidRPr="00A2723B">
        <w:rPr>
          <w:sz w:val="32"/>
          <w:szCs w:val="32"/>
        </w:rPr>
        <w:t>Braulio Muñoz</w:t>
      </w:r>
    </w:p>
    <w:p w14:paraId="704D9AF3" w14:textId="751173BF" w:rsidR="002E18BA" w:rsidRPr="00A2723B" w:rsidRDefault="002B2EAC" w:rsidP="00A2723B">
      <w:pPr>
        <w:pStyle w:val="NoSpacing"/>
        <w:rPr>
          <w:sz w:val="24"/>
          <w:szCs w:val="24"/>
        </w:rPr>
      </w:pPr>
      <w:r w:rsidRPr="00A2723B">
        <w:rPr>
          <w:sz w:val="24"/>
          <w:szCs w:val="24"/>
        </w:rPr>
        <w:t>Laboratory of Neurophysiology, Department of Physiology, Universidad de Concepción, Concepción, Chile</w:t>
      </w:r>
    </w:p>
    <w:p w14:paraId="300145E9" w14:textId="50C1DDEB" w:rsidR="002E18BA" w:rsidRPr="00A2723B" w:rsidRDefault="002E18BA" w:rsidP="00A2723B">
      <w:pPr>
        <w:pStyle w:val="NoSpacing"/>
        <w:rPr>
          <w:sz w:val="32"/>
          <w:szCs w:val="32"/>
        </w:rPr>
      </w:pPr>
      <w:r w:rsidRPr="00A2723B">
        <w:rPr>
          <w:sz w:val="32"/>
          <w:szCs w:val="32"/>
        </w:rPr>
        <w:t xml:space="preserve">Trinidad </w:t>
      </w:r>
      <w:proofErr w:type="spellStart"/>
      <w:r w:rsidRPr="00A2723B">
        <w:rPr>
          <w:sz w:val="32"/>
          <w:szCs w:val="32"/>
        </w:rPr>
        <w:t>Mariqueo</w:t>
      </w:r>
      <w:proofErr w:type="spellEnd"/>
    </w:p>
    <w:p w14:paraId="2DC9CFFF" w14:textId="34F1915E" w:rsidR="002E18BA" w:rsidRPr="00A2723B" w:rsidRDefault="002B2EAC" w:rsidP="00A2723B">
      <w:pPr>
        <w:pStyle w:val="NoSpacing"/>
        <w:rPr>
          <w:sz w:val="24"/>
          <w:szCs w:val="24"/>
        </w:rPr>
      </w:pPr>
      <w:r w:rsidRPr="00A2723B">
        <w:rPr>
          <w:sz w:val="24"/>
          <w:szCs w:val="24"/>
        </w:rPr>
        <w:t>Laboratory of Neurophysiology, Department of Physiology, Universidad de Concepción, Concepción, Chile</w:t>
      </w:r>
    </w:p>
    <w:p w14:paraId="72893A0B" w14:textId="3362CE91" w:rsidR="002E18BA" w:rsidRPr="00A2723B" w:rsidRDefault="002E18BA" w:rsidP="00A2723B">
      <w:pPr>
        <w:pStyle w:val="NoSpacing"/>
        <w:rPr>
          <w:sz w:val="32"/>
          <w:szCs w:val="32"/>
        </w:rPr>
      </w:pPr>
      <w:r w:rsidRPr="00A2723B">
        <w:rPr>
          <w:sz w:val="32"/>
          <w:szCs w:val="32"/>
        </w:rPr>
        <w:t xml:space="preserve">Pablo </w:t>
      </w:r>
      <w:proofErr w:type="spellStart"/>
      <w:r w:rsidRPr="00A2723B">
        <w:rPr>
          <w:sz w:val="32"/>
          <w:szCs w:val="32"/>
        </w:rPr>
        <w:t>Murath</w:t>
      </w:r>
      <w:proofErr w:type="spellEnd"/>
    </w:p>
    <w:p w14:paraId="1CC6EEDE" w14:textId="3703AB62" w:rsidR="002E18BA" w:rsidRPr="00A2723B" w:rsidRDefault="002B2EAC" w:rsidP="00A2723B">
      <w:pPr>
        <w:pStyle w:val="NoSpacing"/>
        <w:rPr>
          <w:sz w:val="24"/>
          <w:szCs w:val="24"/>
        </w:rPr>
      </w:pPr>
      <w:r w:rsidRPr="00A2723B">
        <w:rPr>
          <w:sz w:val="24"/>
          <w:szCs w:val="24"/>
        </w:rPr>
        <w:t>Laboratory of Neurophysiology, Department of Physiology, Universidad de Concepción, Concepción, Chile</w:t>
      </w:r>
    </w:p>
    <w:p w14:paraId="56DD2364" w14:textId="39C0C801" w:rsidR="002E18BA" w:rsidRPr="00A2723B" w:rsidRDefault="002E18BA" w:rsidP="00A2723B">
      <w:pPr>
        <w:pStyle w:val="NoSpacing"/>
        <w:rPr>
          <w:sz w:val="32"/>
          <w:szCs w:val="32"/>
        </w:rPr>
      </w:pPr>
      <w:r w:rsidRPr="00A2723B">
        <w:rPr>
          <w:sz w:val="32"/>
          <w:szCs w:val="32"/>
        </w:rPr>
        <w:t>Christian Peters</w:t>
      </w:r>
    </w:p>
    <w:p w14:paraId="2820EB2B" w14:textId="7A9C7076" w:rsidR="002E18BA" w:rsidRPr="00A2723B" w:rsidRDefault="002B2EAC" w:rsidP="00A2723B">
      <w:pPr>
        <w:pStyle w:val="NoSpacing"/>
        <w:rPr>
          <w:sz w:val="24"/>
          <w:szCs w:val="24"/>
        </w:rPr>
      </w:pPr>
      <w:r w:rsidRPr="00A2723B">
        <w:rPr>
          <w:sz w:val="24"/>
          <w:szCs w:val="24"/>
        </w:rPr>
        <w:t>Laboratory of Neurophysiology, Department of Physiology, Universidad de Concepción, Concepción, Chile</w:t>
      </w:r>
    </w:p>
    <w:p w14:paraId="6ED46DFD" w14:textId="33510B09" w:rsidR="002E18BA" w:rsidRPr="00A2723B" w:rsidRDefault="002E18BA" w:rsidP="00A2723B">
      <w:pPr>
        <w:pStyle w:val="NoSpacing"/>
        <w:rPr>
          <w:sz w:val="32"/>
          <w:szCs w:val="32"/>
        </w:rPr>
      </w:pPr>
      <w:r w:rsidRPr="00A2723B">
        <w:rPr>
          <w:sz w:val="32"/>
          <w:szCs w:val="32"/>
        </w:rPr>
        <w:t xml:space="preserve">Gonzalo E. </w:t>
      </w:r>
      <w:proofErr w:type="spellStart"/>
      <w:r w:rsidRPr="00A2723B">
        <w:rPr>
          <w:sz w:val="32"/>
          <w:szCs w:val="32"/>
        </w:rPr>
        <w:t>Yevenes</w:t>
      </w:r>
      <w:proofErr w:type="spellEnd"/>
    </w:p>
    <w:p w14:paraId="38077BDA" w14:textId="0F05198A" w:rsidR="002E18BA" w:rsidRPr="00A2723B" w:rsidRDefault="002B2EAC" w:rsidP="00A2723B">
      <w:pPr>
        <w:pStyle w:val="NoSpacing"/>
        <w:rPr>
          <w:sz w:val="24"/>
          <w:szCs w:val="24"/>
        </w:rPr>
      </w:pPr>
      <w:r w:rsidRPr="00A2723B">
        <w:rPr>
          <w:sz w:val="24"/>
          <w:szCs w:val="24"/>
        </w:rPr>
        <w:lastRenderedPageBreak/>
        <w:t>Laboratory of Neuropharmacology, Department of Physiology, Universidad de Concepción, Concepción, Chile</w:t>
      </w:r>
    </w:p>
    <w:p w14:paraId="030D0594" w14:textId="00531183" w:rsidR="002E18BA" w:rsidRPr="00A2723B" w:rsidRDefault="002E18BA" w:rsidP="00A2723B">
      <w:pPr>
        <w:pStyle w:val="NoSpacing"/>
        <w:rPr>
          <w:sz w:val="32"/>
          <w:szCs w:val="32"/>
        </w:rPr>
      </w:pPr>
      <w:r w:rsidRPr="00A2723B">
        <w:rPr>
          <w:sz w:val="32"/>
          <w:szCs w:val="32"/>
        </w:rPr>
        <w:t>Gustavo Moraga-Cid</w:t>
      </w:r>
    </w:p>
    <w:p w14:paraId="5FD8744B" w14:textId="01B90A9A" w:rsidR="002E18BA" w:rsidRPr="00A2723B" w:rsidRDefault="00A2723B" w:rsidP="00A2723B">
      <w:pPr>
        <w:pStyle w:val="NoSpacing"/>
        <w:rPr>
          <w:sz w:val="24"/>
          <w:szCs w:val="24"/>
        </w:rPr>
      </w:pPr>
      <w:r w:rsidRPr="00A2723B">
        <w:rPr>
          <w:sz w:val="24"/>
          <w:szCs w:val="24"/>
        </w:rPr>
        <w:t>Department of Physiology, Universidad de Concepción, Concepción, Chile</w:t>
      </w:r>
    </w:p>
    <w:p w14:paraId="22867902" w14:textId="5DBA374E" w:rsidR="002E18BA" w:rsidRPr="00A2723B" w:rsidRDefault="002E18BA" w:rsidP="00A2723B">
      <w:pPr>
        <w:pStyle w:val="NoSpacing"/>
        <w:rPr>
          <w:sz w:val="32"/>
          <w:szCs w:val="32"/>
        </w:rPr>
      </w:pPr>
      <w:r w:rsidRPr="00A2723B">
        <w:rPr>
          <w:sz w:val="32"/>
          <w:szCs w:val="32"/>
        </w:rPr>
        <w:t>Robert W. Peoples</w:t>
      </w:r>
    </w:p>
    <w:p w14:paraId="0A8331DB" w14:textId="327E43F2" w:rsidR="002E18BA" w:rsidRPr="00A2723B" w:rsidRDefault="00A2723B" w:rsidP="00A2723B">
      <w:pPr>
        <w:pStyle w:val="NoSpacing"/>
        <w:rPr>
          <w:sz w:val="24"/>
          <w:szCs w:val="24"/>
        </w:rPr>
      </w:pPr>
      <w:r w:rsidRPr="00A2723B">
        <w:rPr>
          <w:sz w:val="24"/>
          <w:szCs w:val="24"/>
        </w:rPr>
        <w:t>Department of Biomedical Sciences, Marquette University, Milwaukee, WI, United States</w:t>
      </w:r>
    </w:p>
    <w:p w14:paraId="3B129B4A" w14:textId="1C2D1CCA" w:rsidR="000F17F6" w:rsidRPr="00A2723B" w:rsidRDefault="002E18BA" w:rsidP="00A2723B">
      <w:pPr>
        <w:pStyle w:val="NoSpacing"/>
        <w:rPr>
          <w:sz w:val="32"/>
          <w:szCs w:val="32"/>
        </w:rPr>
      </w:pPr>
      <w:r w:rsidRPr="00A2723B">
        <w:rPr>
          <w:sz w:val="32"/>
          <w:szCs w:val="32"/>
        </w:rPr>
        <w:t>Luis G. Aguayo</w:t>
      </w:r>
    </w:p>
    <w:p w14:paraId="59BC83A9" w14:textId="155EB4D3" w:rsidR="002E18BA" w:rsidRPr="00A2723B" w:rsidRDefault="002B2EAC" w:rsidP="00A2723B">
      <w:pPr>
        <w:pStyle w:val="NoSpacing"/>
        <w:rPr>
          <w:sz w:val="24"/>
          <w:szCs w:val="24"/>
        </w:rPr>
      </w:pPr>
      <w:r w:rsidRPr="00A2723B">
        <w:rPr>
          <w:sz w:val="24"/>
          <w:szCs w:val="24"/>
        </w:rPr>
        <w:t>Laboratory of Neurophysiology, Department of Physiology, Universidad de Concepción, Concepción, Chile</w:t>
      </w:r>
    </w:p>
    <w:p w14:paraId="05CB7064" w14:textId="77777777" w:rsidR="002E18BA" w:rsidRDefault="002E18BA" w:rsidP="000F17F6"/>
    <w:p w14:paraId="5C12B0DD" w14:textId="77777777" w:rsidR="002E18BA" w:rsidRDefault="002E18BA" w:rsidP="000F17F6"/>
    <w:p w14:paraId="73E4D3C4" w14:textId="77777777" w:rsidR="000F17F6" w:rsidRDefault="000F17F6" w:rsidP="000F17F6">
      <w:r w:rsidRPr="000F17F6">
        <w:t>Alpha1-containing glycine receptors (</w:t>
      </w:r>
      <w:proofErr w:type="spellStart"/>
      <w:r w:rsidRPr="000F17F6">
        <w:t>GlyRs</w:t>
      </w:r>
      <w:proofErr w:type="spellEnd"/>
      <w:r w:rsidRPr="000F17F6">
        <w:t xml:space="preserve">) are major mediators of synaptic inhibition in the spinal cord and brain stem. Recent studies reported the presence of α2-containing </w:t>
      </w:r>
      <w:proofErr w:type="spellStart"/>
      <w:r w:rsidRPr="000F17F6">
        <w:t>GlyRs</w:t>
      </w:r>
      <w:proofErr w:type="spellEnd"/>
      <w:r w:rsidRPr="000F17F6">
        <w:t xml:space="preserve"> in other brain regions, such as nucleus </w:t>
      </w:r>
      <w:proofErr w:type="spellStart"/>
      <w:r w:rsidRPr="000F17F6">
        <w:t>accumbens</w:t>
      </w:r>
      <w:proofErr w:type="spellEnd"/>
      <w:r w:rsidRPr="000F17F6">
        <w:t xml:space="preserve"> and cerebral cortex. </w:t>
      </w:r>
      <w:proofErr w:type="spellStart"/>
      <w:r w:rsidRPr="000F17F6">
        <w:t>GlyR</w:t>
      </w:r>
      <w:proofErr w:type="spellEnd"/>
      <w:r w:rsidRPr="000F17F6">
        <w:t xml:space="preserve"> activation decreases neuronal excitability associated with sensorial information, motor control, and respiratory functions; all of which are significantly altered during ethanol intoxication. We evaluated the role of β </w:t>
      </w:r>
      <w:proofErr w:type="spellStart"/>
      <w:r w:rsidRPr="000F17F6">
        <w:t>GlyR</w:t>
      </w:r>
      <w:proofErr w:type="spellEnd"/>
      <w:r w:rsidRPr="000F17F6">
        <w:t xml:space="preserve"> subunits and of two basic amino acid residues, K389 and R390, located in the large intracellular loop (IL) of the α2 </w:t>
      </w:r>
      <w:proofErr w:type="spellStart"/>
      <w:r w:rsidRPr="000F17F6">
        <w:t>GlyR</w:t>
      </w:r>
      <w:proofErr w:type="spellEnd"/>
      <w:r w:rsidRPr="000F17F6">
        <w:t xml:space="preserve"> subunit, which are important for binding and functional modulation by Gβγ, the dimer of the trimeric G protein conformation, using HEK-293 transfected cells combined with patch clamp electrophysiology. We demonstrate a new modulatory role of the β subunit on ethanol sensitivity of α2 subunits. Specifically, we found a differential allosteric modulation in homomeric α2 </w:t>
      </w:r>
      <w:proofErr w:type="spellStart"/>
      <w:r w:rsidRPr="000F17F6">
        <w:t>GlyRs</w:t>
      </w:r>
      <w:proofErr w:type="spellEnd"/>
      <w:r w:rsidRPr="000F17F6">
        <w:t xml:space="preserve"> compared with the α2β heteromeric conformation. Indeed, while α2 was insensitive, α2β </w:t>
      </w:r>
      <w:proofErr w:type="spellStart"/>
      <w:r w:rsidRPr="000F17F6">
        <w:t>GlyRs</w:t>
      </w:r>
      <w:proofErr w:type="spellEnd"/>
      <w:r w:rsidRPr="000F17F6">
        <w:t xml:space="preserve"> were substantially potentiated by ethanol, GTP-γ-S, propofol, Zn</w:t>
      </w:r>
      <w:r w:rsidRPr="000F17F6">
        <w:rPr>
          <w:vertAlign w:val="superscript"/>
        </w:rPr>
        <w:t>2+</w:t>
      </w:r>
      <w:r w:rsidRPr="000F17F6">
        <w:t xml:space="preserve"> and </w:t>
      </w:r>
      <w:proofErr w:type="spellStart"/>
      <w:r w:rsidRPr="000F17F6">
        <w:t>trichloroethanol</w:t>
      </w:r>
      <w:proofErr w:type="spellEnd"/>
      <w:r w:rsidRPr="000F17F6">
        <w:t xml:space="preserve">. Furthermore, a Gβγ scavenger (ct-GRK2) selectively attenuated the effects of ethanol on recombinant α2β </w:t>
      </w:r>
      <w:proofErr w:type="spellStart"/>
      <w:r w:rsidRPr="000F17F6">
        <w:t>GlyRs</w:t>
      </w:r>
      <w:proofErr w:type="spellEnd"/>
      <w:r w:rsidRPr="000F17F6">
        <w:t xml:space="preserve">. Mutations in an α2 </w:t>
      </w:r>
      <w:proofErr w:type="spellStart"/>
      <w:r w:rsidRPr="000F17F6">
        <w:t>GlyR</w:t>
      </w:r>
      <w:proofErr w:type="spellEnd"/>
      <w:r w:rsidRPr="000F17F6">
        <w:t xml:space="preserve"> co-expressed with the β subunit (α2AAβ) specifically blocked ethanol sensitivity, but not propofol potentiation. These results show a selective mechanism for low ethanol concentration effects on homomeric and heteromeric conformations of α2 </w:t>
      </w:r>
      <w:proofErr w:type="spellStart"/>
      <w:r w:rsidRPr="000F17F6">
        <w:t>GlyRs</w:t>
      </w:r>
      <w:proofErr w:type="spellEnd"/>
      <w:r w:rsidRPr="000F17F6">
        <w:t xml:space="preserve"> and provide a new mechanism for ethanol pharmacology, which is relevant to upper brain regions where α2 </w:t>
      </w:r>
      <w:proofErr w:type="spellStart"/>
      <w:r w:rsidRPr="000F17F6">
        <w:t>GlyRs</w:t>
      </w:r>
      <w:proofErr w:type="spellEnd"/>
      <w:r w:rsidRPr="000F17F6">
        <w:t xml:space="preserve"> are abundantly expressed.</w:t>
      </w:r>
    </w:p>
    <w:p w14:paraId="2CC7E4BF" w14:textId="0D8706B1" w:rsidR="00332300" w:rsidRDefault="00332300" w:rsidP="00DB691F">
      <w:pPr>
        <w:pStyle w:val="Heading1"/>
      </w:pPr>
      <w:r>
        <w:t>Keywords</w:t>
      </w:r>
    </w:p>
    <w:p w14:paraId="13C229ED" w14:textId="515EC5DF" w:rsidR="00332300" w:rsidRPr="000F17F6" w:rsidRDefault="00DB691F" w:rsidP="000F17F6">
      <w:r>
        <w:t>Receptor pharmacology, glycine receptor, ethanol, allosteric modulation, G-protein</w:t>
      </w:r>
    </w:p>
    <w:p w14:paraId="2C9D055C" w14:textId="77777777" w:rsidR="000F17F6" w:rsidRPr="000F17F6" w:rsidRDefault="000F17F6" w:rsidP="00EB32E1">
      <w:pPr>
        <w:pStyle w:val="Heading1"/>
      </w:pPr>
      <w:bookmarkStart w:id="2" w:name="h2"/>
      <w:bookmarkEnd w:id="2"/>
      <w:r w:rsidRPr="000F17F6">
        <w:t>Introduction</w:t>
      </w:r>
    </w:p>
    <w:p w14:paraId="1EE35757" w14:textId="77777777" w:rsidR="000F17F6" w:rsidRPr="000F17F6" w:rsidRDefault="000F17F6" w:rsidP="000F17F6">
      <w:r w:rsidRPr="000F17F6">
        <w:t>Alcohol use disorder and alcoholism are major health problems affecting millions of people worldwide and causing great medical and economic burdens. Ethanol is a CNS depressant drug, and at intoxicating concentrations, it disrupts most brain functions including executive planning, awareness, muscle control, and memory (</w:t>
      </w:r>
      <w:proofErr w:type="spellStart"/>
      <w:r w:rsidR="0036006D">
        <w:fldChar w:fldCharType="begin"/>
      </w:r>
      <w:r w:rsidR="0036006D">
        <w:instrText xml:space="preserve"> HYPERLINK "https://www.frontiersin.org/articles/10.3389/fnmol.2021.763868/full" \l "B41" </w:instrText>
      </w:r>
      <w:r w:rsidR="0036006D">
        <w:fldChar w:fldCharType="separate"/>
      </w:r>
      <w:r w:rsidRPr="000F17F6">
        <w:rPr>
          <w:rStyle w:val="Hyperlink"/>
        </w:rPr>
        <w:t>Spanagel</w:t>
      </w:r>
      <w:proofErr w:type="spellEnd"/>
      <w:r w:rsidRPr="000F17F6">
        <w:rPr>
          <w:rStyle w:val="Hyperlink"/>
        </w:rPr>
        <w:t>, 2009</w:t>
      </w:r>
      <w:r w:rsidR="0036006D">
        <w:rPr>
          <w:rStyle w:val="Hyperlink"/>
        </w:rPr>
        <w:fldChar w:fldCharType="end"/>
      </w:r>
      <w:r w:rsidRPr="000F17F6">
        <w:t>). Inhibitory glycine receptors (</w:t>
      </w:r>
      <w:proofErr w:type="spellStart"/>
      <w:r w:rsidRPr="000F17F6">
        <w:t>GlyRs</w:t>
      </w:r>
      <w:proofErr w:type="spellEnd"/>
      <w:r w:rsidRPr="000F17F6">
        <w:t>) play a central role controlling spinal and brain stem excitability (</w:t>
      </w:r>
      <w:hyperlink r:id="rId10" w:anchor="B23" w:history="1">
        <w:r w:rsidRPr="000F17F6">
          <w:rPr>
            <w:rStyle w:val="Hyperlink"/>
          </w:rPr>
          <w:t>Legendre, 2001</w:t>
        </w:r>
      </w:hyperlink>
      <w:r w:rsidRPr="000F17F6">
        <w:t>; </w:t>
      </w:r>
      <w:hyperlink r:id="rId11" w:anchor="B17" w:history="1">
        <w:r w:rsidRPr="000F17F6">
          <w:rPr>
            <w:rStyle w:val="Hyperlink"/>
          </w:rPr>
          <w:t>Harvey et al., 2004</w:t>
        </w:r>
      </w:hyperlink>
      <w:r w:rsidRPr="000F17F6">
        <w:t>; </w:t>
      </w:r>
      <w:hyperlink r:id="rId12" w:anchor="B26" w:history="1">
        <w:r w:rsidRPr="000F17F6">
          <w:rPr>
            <w:rStyle w:val="Hyperlink"/>
          </w:rPr>
          <w:t>Lynch, 2004</w:t>
        </w:r>
      </w:hyperlink>
      <w:r w:rsidRPr="000F17F6">
        <w:t xml:space="preserve">), and it is widely accepted that pharmacologically relevant concentrations of ethanol positively modulate α1 containing </w:t>
      </w:r>
      <w:proofErr w:type="spellStart"/>
      <w:r w:rsidRPr="000F17F6">
        <w:t>GlyRs</w:t>
      </w:r>
      <w:proofErr w:type="spellEnd"/>
      <w:r w:rsidRPr="000F17F6">
        <w:t xml:space="preserve"> (</w:t>
      </w:r>
      <w:hyperlink r:id="rId13" w:anchor="B3" w:history="1">
        <w:r w:rsidRPr="000F17F6">
          <w:rPr>
            <w:rStyle w:val="Hyperlink"/>
          </w:rPr>
          <w:t xml:space="preserve">Aguayo and </w:t>
        </w:r>
        <w:proofErr w:type="spellStart"/>
        <w:r w:rsidRPr="000F17F6">
          <w:rPr>
            <w:rStyle w:val="Hyperlink"/>
          </w:rPr>
          <w:t>Pancetti</w:t>
        </w:r>
        <w:proofErr w:type="spellEnd"/>
        <w:r w:rsidRPr="000F17F6">
          <w:rPr>
            <w:rStyle w:val="Hyperlink"/>
          </w:rPr>
          <w:t>, 1994</w:t>
        </w:r>
      </w:hyperlink>
      <w:r w:rsidRPr="000F17F6">
        <w:t>; </w:t>
      </w:r>
      <w:hyperlink r:id="rId14" w:anchor="B10" w:history="1">
        <w:r w:rsidRPr="000F17F6">
          <w:rPr>
            <w:rStyle w:val="Hyperlink"/>
          </w:rPr>
          <w:t>Eggers et al., 2000</w:t>
        </w:r>
      </w:hyperlink>
      <w:r w:rsidRPr="000F17F6">
        <w:t>; </w:t>
      </w:r>
      <w:proofErr w:type="spellStart"/>
      <w:r w:rsidR="0036006D">
        <w:fldChar w:fldCharType="begin"/>
      </w:r>
      <w:r w:rsidR="0036006D">
        <w:instrText xml:space="preserve"> HYPERLINK "https://www.frontiersin.org/articles/10.3389/fnmol.2021.763868/full" \l "B40" </w:instrText>
      </w:r>
      <w:r w:rsidR="0036006D">
        <w:fldChar w:fldCharType="separate"/>
      </w:r>
      <w:r w:rsidRPr="000F17F6">
        <w:rPr>
          <w:rStyle w:val="Hyperlink"/>
        </w:rPr>
        <w:t>Sebe</w:t>
      </w:r>
      <w:proofErr w:type="spellEnd"/>
      <w:r w:rsidRPr="000F17F6">
        <w:rPr>
          <w:rStyle w:val="Hyperlink"/>
        </w:rPr>
        <w:t xml:space="preserve"> et al., 2003</w:t>
      </w:r>
      <w:r w:rsidR="0036006D">
        <w:rPr>
          <w:rStyle w:val="Hyperlink"/>
        </w:rPr>
        <w:fldChar w:fldCharType="end"/>
      </w:r>
      <w:r w:rsidRPr="000F17F6">
        <w:t>).</w:t>
      </w:r>
    </w:p>
    <w:p w14:paraId="129A71EF" w14:textId="77777777" w:rsidR="000F17F6" w:rsidRPr="000F17F6" w:rsidRDefault="000F17F6" w:rsidP="000F17F6">
      <w:r w:rsidRPr="000F17F6">
        <w:t xml:space="preserve">More recently, it was found that </w:t>
      </w:r>
      <w:proofErr w:type="spellStart"/>
      <w:r w:rsidRPr="000F17F6">
        <w:t>GlyRs</w:t>
      </w:r>
      <w:proofErr w:type="spellEnd"/>
      <w:r w:rsidRPr="000F17F6">
        <w:t xml:space="preserve"> in the nucleus </w:t>
      </w:r>
      <w:proofErr w:type="spellStart"/>
      <w:r w:rsidRPr="000F17F6">
        <w:t>accumbens</w:t>
      </w:r>
      <w:proofErr w:type="spellEnd"/>
      <w:r w:rsidRPr="000F17F6">
        <w:t xml:space="preserve"> (</w:t>
      </w:r>
      <w:proofErr w:type="spellStart"/>
      <w:r w:rsidRPr="000F17F6">
        <w:t>nAc</w:t>
      </w:r>
      <w:proofErr w:type="spellEnd"/>
      <w:r w:rsidRPr="000F17F6">
        <w:t>) might be implicated in ethanol intake and seeking behaviors (</w:t>
      </w:r>
      <w:proofErr w:type="spellStart"/>
      <w:r w:rsidR="0036006D">
        <w:fldChar w:fldCharType="begin"/>
      </w:r>
      <w:r w:rsidR="0036006D">
        <w:instrText xml:space="preserve"> HYPERLINK "https://www.frontiersin.org/articles/10.3389/fnmol.2021.763868/full" \l "B32" </w:instrText>
      </w:r>
      <w:r w:rsidR="0036006D">
        <w:fldChar w:fldCharType="separate"/>
      </w:r>
      <w:r w:rsidRPr="000F17F6">
        <w:rPr>
          <w:rStyle w:val="Hyperlink"/>
        </w:rPr>
        <w:t>Molander</w:t>
      </w:r>
      <w:proofErr w:type="spellEnd"/>
      <w:r w:rsidRPr="000F17F6">
        <w:rPr>
          <w:rStyle w:val="Hyperlink"/>
        </w:rPr>
        <w:t xml:space="preserve"> and </w:t>
      </w:r>
      <w:proofErr w:type="spellStart"/>
      <w:r w:rsidRPr="000F17F6">
        <w:rPr>
          <w:rStyle w:val="Hyperlink"/>
        </w:rPr>
        <w:t>Soderpalm</w:t>
      </w:r>
      <w:proofErr w:type="spellEnd"/>
      <w:r w:rsidRPr="000F17F6">
        <w:rPr>
          <w:rStyle w:val="Hyperlink"/>
        </w:rPr>
        <w:t>, 2005</w:t>
      </w:r>
      <w:r w:rsidR="0036006D">
        <w:rPr>
          <w:rStyle w:val="Hyperlink"/>
        </w:rPr>
        <w:fldChar w:fldCharType="end"/>
      </w:r>
      <w:r w:rsidRPr="000F17F6">
        <w:t>; </w:t>
      </w:r>
      <w:proofErr w:type="spellStart"/>
      <w:r w:rsidR="0036006D">
        <w:fldChar w:fldCharType="begin"/>
      </w:r>
      <w:r w:rsidR="0036006D">
        <w:instrText xml:space="preserve"> HYPERLINK "https://www.frontiersin.org/articles/10.3389/fnmol.2021.763868/ful</w:instrText>
      </w:r>
      <w:r w:rsidR="0036006D">
        <w:instrText xml:space="preserve">l" \l "B1" </w:instrText>
      </w:r>
      <w:r w:rsidR="0036006D">
        <w:fldChar w:fldCharType="separate"/>
      </w:r>
      <w:r w:rsidRPr="000F17F6">
        <w:rPr>
          <w:rStyle w:val="Hyperlink"/>
        </w:rPr>
        <w:t>Adermark</w:t>
      </w:r>
      <w:proofErr w:type="spellEnd"/>
      <w:r w:rsidRPr="000F17F6">
        <w:rPr>
          <w:rStyle w:val="Hyperlink"/>
        </w:rPr>
        <w:t xml:space="preserve"> et al., 2011</w:t>
      </w:r>
      <w:r w:rsidR="0036006D">
        <w:rPr>
          <w:rStyle w:val="Hyperlink"/>
        </w:rPr>
        <w:fldChar w:fldCharType="end"/>
      </w:r>
      <w:r w:rsidRPr="000F17F6">
        <w:t>; </w:t>
      </w:r>
      <w:hyperlink r:id="rId15" w:anchor="B24" w:history="1">
        <w:r w:rsidRPr="000F17F6">
          <w:rPr>
            <w:rStyle w:val="Hyperlink"/>
          </w:rPr>
          <w:t>Li et al., 2012</w:t>
        </w:r>
      </w:hyperlink>
      <w:r w:rsidRPr="000F17F6">
        <w:t>; </w:t>
      </w:r>
      <w:hyperlink r:id="rId16" w:anchor="B34" w:history="1">
        <w:r w:rsidRPr="000F17F6">
          <w:rPr>
            <w:rStyle w:val="Hyperlink"/>
          </w:rPr>
          <w:t>Munoz et al., 2020</w:t>
        </w:r>
      </w:hyperlink>
      <w:r w:rsidRPr="000F17F6">
        <w:t xml:space="preserve">). </w:t>
      </w:r>
      <w:proofErr w:type="spellStart"/>
      <w:r w:rsidRPr="000F17F6">
        <w:t>Accumbal</w:t>
      </w:r>
      <w:proofErr w:type="spellEnd"/>
      <w:r w:rsidRPr="000F17F6">
        <w:t xml:space="preserve"> neurons appear to express a mixed population of α1 and α2 subunits, however, it is largely unknown if they are equally sensitive to ethanol. Up to now, most studies that have examined the effects of </w:t>
      </w:r>
      <w:r w:rsidRPr="000F17F6">
        <w:lastRenderedPageBreak/>
        <w:t xml:space="preserve">ethanol on recombinant </w:t>
      </w:r>
      <w:proofErr w:type="spellStart"/>
      <w:r w:rsidRPr="000F17F6">
        <w:t>GlyRs</w:t>
      </w:r>
      <w:proofErr w:type="spellEnd"/>
      <w:r w:rsidRPr="000F17F6">
        <w:t xml:space="preserve"> have used homomeric conformations of α1 or α2 expressed in HEK 293 cells or oocytes (</w:t>
      </w:r>
      <w:hyperlink r:id="rId17" w:anchor="B9" w:history="1">
        <w:r w:rsidRPr="000F17F6">
          <w:rPr>
            <w:rStyle w:val="Hyperlink"/>
          </w:rPr>
          <w:t>Crawford et al., 2008</w:t>
        </w:r>
      </w:hyperlink>
      <w:r w:rsidRPr="000F17F6">
        <w:t>; </w:t>
      </w:r>
      <w:proofErr w:type="spellStart"/>
      <w:r w:rsidR="0036006D">
        <w:fldChar w:fldCharType="begin"/>
      </w:r>
      <w:r w:rsidR="0036006D">
        <w:instrText xml:space="preserve"> HYPERLINK "https://www.frontiersin.org/articles/10.3389/fnmol.2021.76</w:instrText>
      </w:r>
      <w:r w:rsidR="0036006D">
        <w:instrText xml:space="preserve">3868/full" \l "B44" </w:instrText>
      </w:r>
      <w:r w:rsidR="0036006D">
        <w:fldChar w:fldCharType="separate"/>
      </w:r>
      <w:r w:rsidRPr="000F17F6">
        <w:rPr>
          <w:rStyle w:val="Hyperlink"/>
        </w:rPr>
        <w:t>Yevenes</w:t>
      </w:r>
      <w:proofErr w:type="spellEnd"/>
      <w:r w:rsidRPr="000F17F6">
        <w:rPr>
          <w:rStyle w:val="Hyperlink"/>
        </w:rPr>
        <w:t xml:space="preserve"> et al., 2010</w:t>
      </w:r>
      <w:r w:rsidR="0036006D">
        <w:rPr>
          <w:rStyle w:val="Hyperlink"/>
        </w:rPr>
        <w:fldChar w:fldCharType="end"/>
      </w:r>
      <w:r w:rsidRPr="000F17F6">
        <w:t>; </w:t>
      </w:r>
      <w:hyperlink r:id="rId18" w:anchor="B30" w:history="1">
        <w:r w:rsidRPr="000F17F6">
          <w:rPr>
            <w:rStyle w:val="Hyperlink"/>
          </w:rPr>
          <w:t>McCracken et al., 2013</w:t>
        </w:r>
      </w:hyperlink>
      <w:r w:rsidRPr="000F17F6">
        <w:t>). The studies showed that the α2 subunit was less sensitive to ethanol than α1 homomeric subunits (</w:t>
      </w:r>
      <w:proofErr w:type="spellStart"/>
      <w:r w:rsidR="0036006D">
        <w:fldChar w:fldCharType="begin"/>
      </w:r>
      <w:r w:rsidR="0036006D">
        <w:instrText xml:space="preserve"> HYPERLINK "https://www.frontiersin.org/articles/10.3389/fnmol.2021.763868/full" \l "B44" </w:instrText>
      </w:r>
      <w:r w:rsidR="0036006D">
        <w:fldChar w:fldCharType="separate"/>
      </w:r>
      <w:r w:rsidRPr="000F17F6">
        <w:rPr>
          <w:rStyle w:val="Hyperlink"/>
        </w:rPr>
        <w:t>Yevenes</w:t>
      </w:r>
      <w:proofErr w:type="spellEnd"/>
      <w:r w:rsidRPr="000F17F6">
        <w:rPr>
          <w:rStyle w:val="Hyperlink"/>
        </w:rPr>
        <w:t xml:space="preserve"> et al., 2010</w:t>
      </w:r>
      <w:r w:rsidR="0036006D">
        <w:rPr>
          <w:rStyle w:val="Hyperlink"/>
        </w:rPr>
        <w:fldChar w:fldCharType="end"/>
      </w:r>
      <w:r w:rsidRPr="000F17F6">
        <w:t>). Furthermore, these studies indicated that although the intracellular loop (IL) molecular requirements are present in the α2 subunit, the channel is not a target for positive allosteric modulation by ethanol (</w:t>
      </w:r>
      <w:proofErr w:type="spellStart"/>
      <w:r w:rsidR="0036006D">
        <w:fldChar w:fldCharType="begin"/>
      </w:r>
      <w:r w:rsidR="0036006D">
        <w:instrText xml:space="preserve"> HYPERLINK "https://www.frontiersin.org/articles/10.3389/fnmol.2021.763868/full" \l "B44" </w:instrText>
      </w:r>
      <w:r w:rsidR="0036006D">
        <w:fldChar w:fldCharType="separate"/>
      </w:r>
      <w:r w:rsidRPr="000F17F6">
        <w:rPr>
          <w:rStyle w:val="Hyperlink"/>
        </w:rPr>
        <w:t>Yevenes</w:t>
      </w:r>
      <w:proofErr w:type="spellEnd"/>
      <w:r w:rsidRPr="000F17F6">
        <w:rPr>
          <w:rStyle w:val="Hyperlink"/>
        </w:rPr>
        <w:t xml:space="preserve"> et al., 2010</w:t>
      </w:r>
      <w:r w:rsidR="0036006D">
        <w:rPr>
          <w:rStyle w:val="Hyperlink"/>
        </w:rPr>
        <w:fldChar w:fldCharType="end"/>
      </w:r>
      <w:r w:rsidRPr="000F17F6">
        <w:t>).</w:t>
      </w:r>
    </w:p>
    <w:p w14:paraId="4A11A2AF" w14:textId="77777777" w:rsidR="000F17F6" w:rsidRPr="000F17F6" w:rsidRDefault="000F17F6" w:rsidP="000F17F6">
      <w:r w:rsidRPr="000F17F6">
        <w:t xml:space="preserve">From the available results, we have been able to initiate our understanding on how ethanol sensitivity of the different </w:t>
      </w:r>
      <w:proofErr w:type="spellStart"/>
      <w:r w:rsidRPr="000F17F6">
        <w:t>GlyRs</w:t>
      </w:r>
      <w:proofErr w:type="spellEnd"/>
      <w:r w:rsidRPr="000F17F6">
        <w:t xml:space="preserve"> subunits relate to behaviors. For instance, Knock In (KI) mice with mutations in the IL of the α1 and α2 subunits showed a 30% shorter duration of loss of righting reflex (LORR) to ethanol compared to WT mice (</w:t>
      </w:r>
      <w:hyperlink r:id="rId19" w:anchor="B2" w:history="1">
        <w:r w:rsidRPr="000F17F6">
          <w:rPr>
            <w:rStyle w:val="Hyperlink"/>
          </w:rPr>
          <w:t>Aguayo et al., 2014</w:t>
        </w:r>
      </w:hyperlink>
      <w:r w:rsidRPr="000F17F6">
        <w:t>; </w:t>
      </w:r>
      <w:hyperlink r:id="rId20" w:anchor="B14" w:history="1">
        <w:r w:rsidRPr="000F17F6">
          <w:rPr>
            <w:rStyle w:val="Hyperlink"/>
          </w:rPr>
          <w:t>Gallegos et al., 2021</w:t>
        </w:r>
      </w:hyperlink>
      <w:r w:rsidRPr="000F17F6">
        <w:t>). In addition, KI mice showed higher intake of ethanol upon first exposure and greater conditioned place preference to ethanol (</w:t>
      </w:r>
      <w:hyperlink r:id="rId21" w:anchor="B34" w:history="1">
        <w:r w:rsidRPr="000F17F6">
          <w:rPr>
            <w:rStyle w:val="Hyperlink"/>
          </w:rPr>
          <w:t>Munoz et al., 2020</w:t>
        </w:r>
      </w:hyperlink>
      <w:r w:rsidRPr="000F17F6">
        <w:t>).</w:t>
      </w:r>
    </w:p>
    <w:p w14:paraId="219AEAA5" w14:textId="77777777" w:rsidR="000F17F6" w:rsidRPr="000F17F6" w:rsidRDefault="000F17F6" w:rsidP="000F17F6">
      <w:r w:rsidRPr="000F17F6">
        <w:t xml:space="preserve">The present study shows that the β subunit is a key molecular component that affects ethanol sensitivity since co-expression of α2 with β subunits increased the sensitivity to low ethanol concentrations opening a new mechanistic alternative to alter the effect of ethanol in higher brain regions that express α2β </w:t>
      </w:r>
      <w:proofErr w:type="spellStart"/>
      <w:r w:rsidRPr="000F17F6">
        <w:t>GlyRs</w:t>
      </w:r>
      <w:proofErr w:type="spellEnd"/>
      <w:r w:rsidRPr="000F17F6">
        <w:t xml:space="preserve"> (</w:t>
      </w:r>
      <w:hyperlink r:id="rId22" w:anchor="B5" w:history="1">
        <w:r w:rsidRPr="000F17F6">
          <w:rPr>
            <w:rStyle w:val="Hyperlink"/>
          </w:rPr>
          <w:t>Avila et al., 2013a</w:t>
        </w:r>
      </w:hyperlink>
      <w:r w:rsidRPr="000F17F6">
        <w:t>, </w:t>
      </w:r>
      <w:hyperlink r:id="rId23" w:anchor="B6" w:history="1">
        <w:r w:rsidRPr="000F17F6">
          <w:rPr>
            <w:rStyle w:val="Hyperlink"/>
          </w:rPr>
          <w:t>b</w:t>
        </w:r>
      </w:hyperlink>
      <w:r w:rsidRPr="000F17F6">
        <w:t xml:space="preserve">). Thus, our study provides a new role for α2 and β subunits and reveals a previously undefined aspect of </w:t>
      </w:r>
      <w:proofErr w:type="spellStart"/>
      <w:r w:rsidRPr="000F17F6">
        <w:t>GlyRs</w:t>
      </w:r>
      <w:proofErr w:type="spellEnd"/>
      <w:r w:rsidRPr="000F17F6">
        <w:t xml:space="preserve"> pharmacology.</w:t>
      </w:r>
    </w:p>
    <w:p w14:paraId="4F2871F7" w14:textId="77777777" w:rsidR="000F17F6" w:rsidRPr="000F17F6" w:rsidRDefault="000F17F6" w:rsidP="00EB32E1">
      <w:pPr>
        <w:pStyle w:val="Heading1"/>
      </w:pPr>
      <w:bookmarkStart w:id="3" w:name="h3"/>
      <w:bookmarkEnd w:id="3"/>
      <w:r w:rsidRPr="000F17F6">
        <w:t>Materials and Methods</w:t>
      </w:r>
    </w:p>
    <w:p w14:paraId="5DA8E925" w14:textId="77777777" w:rsidR="000F17F6" w:rsidRPr="000F17F6" w:rsidRDefault="000F17F6" w:rsidP="00EB32E1">
      <w:pPr>
        <w:pStyle w:val="Heading2"/>
      </w:pPr>
      <w:r w:rsidRPr="000F17F6">
        <w:t>Cell Culture and Transfection</w:t>
      </w:r>
    </w:p>
    <w:p w14:paraId="3405172B" w14:textId="77777777" w:rsidR="000F17F6" w:rsidRPr="000F17F6" w:rsidRDefault="000F17F6" w:rsidP="000F17F6">
      <w:r w:rsidRPr="000F17F6">
        <w:t xml:space="preserve">Human embryonic kidney (HEK) 293 cells (CRL-1573; American Type Culture Collection, Manassas, VA, United States) were cultured using standard methods. The cells were transfected using the calcium phosphate technique with 2 </w:t>
      </w:r>
      <w:proofErr w:type="spellStart"/>
      <w:r w:rsidRPr="000F17F6">
        <w:t>μg</w:t>
      </w:r>
      <w:proofErr w:type="spellEnd"/>
      <w:r w:rsidRPr="000F17F6">
        <w:t xml:space="preserve"> of cDNA plasmids per 35 mm dish encoding </w:t>
      </w:r>
      <w:proofErr w:type="spellStart"/>
      <w:r w:rsidRPr="000F17F6">
        <w:t>GlyR</w:t>
      </w:r>
      <w:proofErr w:type="spellEnd"/>
      <w:r w:rsidRPr="000F17F6">
        <w:t xml:space="preserve"> α subunits and 1 </w:t>
      </w:r>
      <w:proofErr w:type="spellStart"/>
      <w:r w:rsidRPr="000F17F6">
        <w:t>μg</w:t>
      </w:r>
      <w:proofErr w:type="spellEnd"/>
      <w:r w:rsidRPr="000F17F6">
        <w:t xml:space="preserve"> of EGFP. To favor the formation of heteromeric </w:t>
      </w:r>
      <w:proofErr w:type="spellStart"/>
      <w:r w:rsidRPr="000F17F6">
        <w:t>GlyRs</w:t>
      </w:r>
      <w:proofErr w:type="spellEnd"/>
      <w:r w:rsidRPr="000F17F6">
        <w:t xml:space="preserve">, we transfected 1 </w:t>
      </w:r>
      <w:proofErr w:type="spellStart"/>
      <w:r w:rsidRPr="000F17F6">
        <w:t>μg</w:t>
      </w:r>
      <w:proofErr w:type="spellEnd"/>
      <w:r w:rsidRPr="000F17F6">
        <w:t xml:space="preserve"> of α subunits/EGFP plasmids plus 4 </w:t>
      </w:r>
      <w:proofErr w:type="spellStart"/>
      <w:r w:rsidRPr="000F17F6">
        <w:t>μg</w:t>
      </w:r>
      <w:proofErr w:type="spellEnd"/>
      <w:r w:rsidRPr="000F17F6">
        <w:t xml:space="preserve"> of β subunit cDNA (</w:t>
      </w:r>
      <w:proofErr w:type="spellStart"/>
      <w:r w:rsidR="0036006D">
        <w:fldChar w:fldCharType="begin"/>
      </w:r>
      <w:r w:rsidR="0036006D">
        <w:instrText xml:space="preserve"> HYPERLINK "https://www.frontiersin.org/articles/10.3389/fnmol.20</w:instrText>
      </w:r>
      <w:r w:rsidR="0036006D">
        <w:instrText xml:space="preserve">21.763868/full" \l "B44" </w:instrText>
      </w:r>
      <w:r w:rsidR="0036006D">
        <w:fldChar w:fldCharType="separate"/>
      </w:r>
      <w:r w:rsidRPr="000F17F6">
        <w:rPr>
          <w:rStyle w:val="Hyperlink"/>
        </w:rPr>
        <w:t>Yevenes</w:t>
      </w:r>
      <w:proofErr w:type="spellEnd"/>
      <w:r w:rsidRPr="000F17F6">
        <w:rPr>
          <w:rStyle w:val="Hyperlink"/>
        </w:rPr>
        <w:t xml:space="preserve"> et al., 2010</w:t>
      </w:r>
      <w:r w:rsidR="0036006D">
        <w:rPr>
          <w:rStyle w:val="Hyperlink"/>
        </w:rPr>
        <w:fldChar w:fldCharType="end"/>
      </w:r>
      <w:r w:rsidRPr="000F17F6">
        <w:t xml:space="preserve">). For the Gβγ sequester study, 1 </w:t>
      </w:r>
      <w:proofErr w:type="spellStart"/>
      <w:r w:rsidRPr="000F17F6">
        <w:t>μg</w:t>
      </w:r>
      <w:proofErr w:type="spellEnd"/>
      <w:r w:rsidRPr="000F17F6">
        <w:t xml:space="preserve"> of ct-GRK2 was co-transfected with </w:t>
      </w:r>
      <w:proofErr w:type="spellStart"/>
      <w:r w:rsidRPr="000F17F6">
        <w:t>GlyR</w:t>
      </w:r>
      <w:proofErr w:type="spellEnd"/>
      <w:r w:rsidRPr="000F17F6">
        <w:t xml:space="preserve"> α2 and β subunits. All recordings were made 18–24 h after transfection. The cDNA encoding the </w:t>
      </w:r>
      <w:proofErr w:type="spellStart"/>
      <w:r w:rsidRPr="000F17F6">
        <w:t>GlyRs</w:t>
      </w:r>
      <w:proofErr w:type="spellEnd"/>
      <w:r w:rsidRPr="000F17F6">
        <w:t xml:space="preserve"> has been described previously (</w:t>
      </w:r>
      <w:proofErr w:type="spellStart"/>
      <w:r w:rsidR="0036006D">
        <w:fldChar w:fldCharType="begin"/>
      </w:r>
      <w:r w:rsidR="0036006D">
        <w:instrText xml:space="preserve"> HYPERLINK "https://www.frontiersin.org/articles/10.3389/fnmol.2021.763868/full" \l "B48" </w:instrText>
      </w:r>
      <w:r w:rsidR="0036006D">
        <w:fldChar w:fldCharType="separate"/>
      </w:r>
      <w:r w:rsidRPr="000F17F6">
        <w:rPr>
          <w:rStyle w:val="Hyperlink"/>
        </w:rPr>
        <w:t>Yevenes</w:t>
      </w:r>
      <w:proofErr w:type="spellEnd"/>
      <w:r w:rsidRPr="000F17F6">
        <w:rPr>
          <w:rStyle w:val="Hyperlink"/>
        </w:rPr>
        <w:t xml:space="preserve"> and </w:t>
      </w:r>
      <w:proofErr w:type="spellStart"/>
      <w:r w:rsidRPr="000F17F6">
        <w:rPr>
          <w:rStyle w:val="Hyperlink"/>
        </w:rPr>
        <w:t>Zeilhofer</w:t>
      </w:r>
      <w:proofErr w:type="spellEnd"/>
      <w:r w:rsidRPr="000F17F6">
        <w:rPr>
          <w:rStyle w:val="Hyperlink"/>
        </w:rPr>
        <w:t>, 2011b</w:t>
      </w:r>
      <w:r w:rsidR="0036006D">
        <w:rPr>
          <w:rStyle w:val="Hyperlink"/>
        </w:rPr>
        <w:fldChar w:fldCharType="end"/>
      </w:r>
      <w:r w:rsidRPr="000F17F6">
        <w:t xml:space="preserve">). Residues in </w:t>
      </w:r>
      <w:proofErr w:type="spellStart"/>
      <w:r w:rsidRPr="000F17F6">
        <w:t>GlyR</w:t>
      </w:r>
      <w:proofErr w:type="spellEnd"/>
      <w:r w:rsidRPr="000F17F6">
        <w:t xml:space="preserve"> α2 (K389A and R390A) were replaced by alanine (α2AA) using the </w:t>
      </w:r>
      <w:proofErr w:type="spellStart"/>
      <w:r w:rsidRPr="000F17F6">
        <w:t>QuickChange</w:t>
      </w:r>
      <w:proofErr w:type="spellEnd"/>
      <w:r w:rsidRPr="000F17F6">
        <w:t xml:space="preserve"> site-directed mutagenesis kit (Agilent Technologies). Proper sequences of all constructs were confirmed by full-length sequencing.</w:t>
      </w:r>
    </w:p>
    <w:p w14:paraId="4256A796" w14:textId="77777777" w:rsidR="000F17F6" w:rsidRPr="000F17F6" w:rsidRDefault="000F17F6" w:rsidP="00EB32E1">
      <w:pPr>
        <w:pStyle w:val="Heading2"/>
      </w:pPr>
      <w:r w:rsidRPr="000F17F6">
        <w:t>For Single Channel Recordings</w:t>
      </w:r>
    </w:p>
    <w:p w14:paraId="1167EC9A" w14:textId="77777777" w:rsidR="000F17F6" w:rsidRPr="000F17F6" w:rsidRDefault="000F17F6" w:rsidP="000F17F6">
      <w:r w:rsidRPr="000F17F6">
        <w:t xml:space="preserve">HEK-293 cells were cultured to 70–95% confluence in minimum essential medium (MEM) containing 10% heat-inactivated donor horse serum, Earle’s salts, non-essential amino acids, sodium pyruvate, and </w:t>
      </w:r>
      <w:proofErr w:type="spellStart"/>
      <w:r w:rsidRPr="000F17F6">
        <w:t>GlutaMAX</w:t>
      </w:r>
      <w:proofErr w:type="spellEnd"/>
      <w:r w:rsidRPr="000F17F6">
        <w:t xml:space="preserve"> (</w:t>
      </w:r>
      <w:proofErr w:type="spellStart"/>
      <w:r w:rsidRPr="000F17F6">
        <w:t>Thermo</w:t>
      </w:r>
      <w:proofErr w:type="spellEnd"/>
      <w:r w:rsidRPr="000F17F6">
        <w:t xml:space="preserve"> Fisher Scientific) at 37°C with 5% CO</w:t>
      </w:r>
      <w:r w:rsidRPr="000F17F6">
        <w:rPr>
          <w:vertAlign w:val="subscript"/>
        </w:rPr>
        <w:t>2</w:t>
      </w:r>
      <w:r w:rsidRPr="000F17F6">
        <w:t>. Cells were plated in 35-mm dishes coated with poly-D-lysine and fibronectin and transfected with cDNA for the glycine receptors α1, α2, or α2β subunits and green fluorescent protein (</w:t>
      </w:r>
      <w:proofErr w:type="spellStart"/>
      <w:r w:rsidRPr="000F17F6">
        <w:t>Addgene</w:t>
      </w:r>
      <w:proofErr w:type="spellEnd"/>
      <w:r w:rsidRPr="000F17F6">
        <w:t>) using a calcium phosphate transfection kit (</w:t>
      </w:r>
      <w:proofErr w:type="spellStart"/>
      <w:r w:rsidRPr="000F17F6">
        <w:t>Thermo</w:t>
      </w:r>
      <w:proofErr w:type="spellEnd"/>
      <w:r w:rsidRPr="000F17F6">
        <w:t xml:space="preserve"> Fisher Scientific). The cDNA ratios were 1:5 for α1: GFP, 1:10 for α2: GFP, and 1:10:2.5 for α2: β: GFP. The higher β plasmid ratio ensured heterometric </w:t>
      </w:r>
      <w:proofErr w:type="spellStart"/>
      <w:r w:rsidRPr="000F17F6">
        <w:t>GlyR</w:t>
      </w:r>
      <w:proofErr w:type="spellEnd"/>
      <w:r w:rsidRPr="000F17F6">
        <w:t xml:space="preserve"> formation for recordings that were done within 48 h following transfection. In our single channel recordings, conductance measurements supported the presence of heteromeric α2β receptors with higher conductance (100 </w:t>
      </w:r>
      <w:proofErr w:type="spellStart"/>
      <w:r w:rsidRPr="000F17F6">
        <w:t>pS</w:t>
      </w:r>
      <w:proofErr w:type="spellEnd"/>
      <w:r w:rsidRPr="000F17F6">
        <w:t xml:space="preserve">). In addition, previous studies showed that incorporation of β to α2 subunits reduced the effects of </w:t>
      </w:r>
      <w:proofErr w:type="spellStart"/>
      <w:r w:rsidRPr="000F17F6">
        <w:t>picrotoxinoides</w:t>
      </w:r>
      <w:proofErr w:type="spellEnd"/>
      <w:r w:rsidRPr="000F17F6">
        <w:t xml:space="preserve"> (</w:t>
      </w:r>
      <w:proofErr w:type="spellStart"/>
      <w:r w:rsidR="0036006D">
        <w:fldChar w:fldCharType="begin"/>
      </w:r>
      <w:r w:rsidR="0036006D">
        <w:instrText xml:space="preserve"> HYPERLINK "https://www.frontiersin.org/articles/10.3389/fnmol.2021.763868/full" \l "B12" </w:instrText>
      </w:r>
      <w:r w:rsidR="0036006D">
        <w:fldChar w:fldCharType="separate"/>
      </w:r>
      <w:r w:rsidRPr="000F17F6">
        <w:rPr>
          <w:rStyle w:val="Hyperlink"/>
        </w:rPr>
        <w:t>Fuentealba</w:t>
      </w:r>
      <w:proofErr w:type="spellEnd"/>
      <w:r w:rsidRPr="000F17F6">
        <w:rPr>
          <w:rStyle w:val="Hyperlink"/>
        </w:rPr>
        <w:t xml:space="preserve"> et al., 2011</w:t>
      </w:r>
      <w:r w:rsidR="0036006D">
        <w:rPr>
          <w:rStyle w:val="Hyperlink"/>
        </w:rPr>
        <w:fldChar w:fldCharType="end"/>
      </w:r>
      <w:r w:rsidRPr="000F17F6">
        <w:t>).</w:t>
      </w:r>
    </w:p>
    <w:p w14:paraId="5AEC91E2" w14:textId="77777777" w:rsidR="000F17F6" w:rsidRPr="000F17F6" w:rsidRDefault="000F17F6" w:rsidP="00EB32E1">
      <w:pPr>
        <w:pStyle w:val="Heading2"/>
      </w:pPr>
      <w:r w:rsidRPr="000F17F6">
        <w:t>Electrophysiology</w:t>
      </w:r>
    </w:p>
    <w:p w14:paraId="40A55EF2" w14:textId="77777777" w:rsidR="000F17F6" w:rsidRPr="000F17F6" w:rsidRDefault="000F17F6" w:rsidP="000F17F6">
      <w:r w:rsidRPr="000F17F6">
        <w:t>Glycine-evoked currents were recorded from transfected HEK 293 cells in the whole-cell voltage-clamp configuration at room temperature (20–24°C) at a holding potential of −60 mV (</w:t>
      </w:r>
      <w:proofErr w:type="spellStart"/>
      <w:r w:rsidR="0036006D">
        <w:fldChar w:fldCharType="begin"/>
      </w:r>
      <w:r w:rsidR="0036006D">
        <w:instrText xml:space="preserve"> HYPERLINK "https://www.frontiersin.org/articles/10.3389/fnmol.2021.763868/full" \l "B44" </w:instrText>
      </w:r>
      <w:r w:rsidR="0036006D">
        <w:fldChar w:fldCharType="separate"/>
      </w:r>
      <w:r w:rsidRPr="000F17F6">
        <w:rPr>
          <w:rStyle w:val="Hyperlink"/>
        </w:rPr>
        <w:t>Yevenes</w:t>
      </w:r>
      <w:proofErr w:type="spellEnd"/>
      <w:r w:rsidRPr="000F17F6">
        <w:rPr>
          <w:rStyle w:val="Hyperlink"/>
        </w:rPr>
        <w:t xml:space="preserve"> et al., 2010</w:t>
      </w:r>
      <w:r w:rsidR="0036006D">
        <w:rPr>
          <w:rStyle w:val="Hyperlink"/>
        </w:rPr>
        <w:fldChar w:fldCharType="end"/>
      </w:r>
      <w:r w:rsidRPr="000F17F6">
        <w:t xml:space="preserve">). Patch electrodes were pulled from borosilicate glass and were filled with (in mM): 120 </w:t>
      </w:r>
      <w:proofErr w:type="spellStart"/>
      <w:r w:rsidRPr="000F17F6">
        <w:t>CsCl</w:t>
      </w:r>
      <w:proofErr w:type="spellEnd"/>
      <w:r w:rsidRPr="000F17F6">
        <w:t>, 10 BAPTA, 10 HEPES (pH 7.4), 4 MgCl</w:t>
      </w:r>
      <w:r w:rsidRPr="000F17F6">
        <w:rPr>
          <w:vertAlign w:val="subscript"/>
        </w:rPr>
        <w:t>2</w:t>
      </w:r>
      <w:r w:rsidRPr="000F17F6">
        <w:t xml:space="preserve">, 0.5 GTP, and 2 ATP. The external solution contained (in mM): 140 NaCl, 5.4 </w:t>
      </w:r>
      <w:proofErr w:type="spellStart"/>
      <w:r w:rsidRPr="000F17F6">
        <w:t>KCl</w:t>
      </w:r>
      <w:proofErr w:type="spellEnd"/>
      <w:r w:rsidRPr="000F17F6">
        <w:t>, 2.0 CaCl</w:t>
      </w:r>
      <w:r w:rsidRPr="000F17F6">
        <w:rPr>
          <w:vertAlign w:val="subscript"/>
        </w:rPr>
        <w:t>2</w:t>
      </w:r>
      <w:r w:rsidRPr="000F17F6">
        <w:t xml:space="preserve">, 1.0 </w:t>
      </w:r>
      <w:r w:rsidRPr="000F17F6">
        <w:lastRenderedPageBreak/>
        <w:t>MgCl</w:t>
      </w:r>
      <w:r w:rsidRPr="000F17F6">
        <w:rPr>
          <w:vertAlign w:val="subscript"/>
        </w:rPr>
        <w:t>2</w:t>
      </w:r>
      <w:r w:rsidRPr="000F17F6">
        <w:t xml:space="preserve">, 10 HEPES (pH 7.4), and 10 </w:t>
      </w:r>
      <w:proofErr w:type="gramStart"/>
      <w:r w:rsidRPr="000F17F6">
        <w:t>glucose</w:t>
      </w:r>
      <w:proofErr w:type="gramEnd"/>
      <w:r w:rsidRPr="000F17F6">
        <w:t xml:space="preserve">. Whole-cell recordings were performed with an </w:t>
      </w:r>
      <w:proofErr w:type="spellStart"/>
      <w:r w:rsidRPr="000F17F6">
        <w:t>Axoclamp</w:t>
      </w:r>
      <w:proofErr w:type="spellEnd"/>
      <w:r w:rsidRPr="000F17F6">
        <w:t xml:space="preserve"> 200B amplifier (Molecular Devices, United States) and acquired using </w:t>
      </w:r>
      <w:proofErr w:type="spellStart"/>
      <w:r w:rsidRPr="000F17F6">
        <w:t>Clampex</w:t>
      </w:r>
      <w:proofErr w:type="spellEnd"/>
      <w:r w:rsidRPr="000F17F6">
        <w:t xml:space="preserve"> 10.1 software. Data analysis was performed off-line using </w:t>
      </w:r>
      <w:proofErr w:type="spellStart"/>
      <w:r w:rsidRPr="000F17F6">
        <w:t>Clampfit</w:t>
      </w:r>
      <w:proofErr w:type="spellEnd"/>
      <w:r w:rsidRPr="000F17F6">
        <w:t xml:space="preserve"> 10.1 (Axon Instruments, Sunnyvale, CA, United States). Exogenous glycine-evoked currents were obtained using a stepper motor-driven rapid solution exchanger (Warner Instrument Corp). The percentages of rise and decay time were obtained from whole-cell current traces of 5 s of duration. The EC</w:t>
      </w:r>
      <w:r w:rsidRPr="000F17F6">
        <w:rPr>
          <w:vertAlign w:val="subscript"/>
        </w:rPr>
        <w:t>10</w:t>
      </w:r>
      <w:r w:rsidRPr="000F17F6">
        <w:t xml:space="preserve"> values for the recombinant and neuronal receptors were obtained experimentally after the successive application of increasing concentrations of glycine (1–1000 </w:t>
      </w:r>
      <w:proofErr w:type="spellStart"/>
      <w:r w:rsidRPr="000F17F6">
        <w:t>μM</w:t>
      </w:r>
      <w:proofErr w:type="spellEnd"/>
      <w:r w:rsidRPr="000F17F6">
        <w:t>). The effects of ethanol or GTP-γ-S on the peak amplitude of the current were studied at an EC</w:t>
      </w:r>
      <w:r w:rsidRPr="000F17F6">
        <w:rPr>
          <w:vertAlign w:val="subscript"/>
        </w:rPr>
        <w:t>10</w:t>
      </w:r>
      <w:r w:rsidRPr="000F17F6">
        <w:t> of glycine to compare the effects at equipotent concentrations. The concentration-response curve parameters (EC</w:t>
      </w:r>
      <w:r w:rsidRPr="000F17F6">
        <w:rPr>
          <w:vertAlign w:val="subscript"/>
        </w:rPr>
        <w:t>50</w:t>
      </w:r>
      <w:r w:rsidRPr="000F17F6">
        <w:t xml:space="preserve"> and Hill coefficients, </w:t>
      </w:r>
      <w:proofErr w:type="spellStart"/>
      <w:r w:rsidRPr="000F17F6">
        <w:t>n</w:t>
      </w:r>
      <w:r w:rsidRPr="000F17F6">
        <w:rPr>
          <w:vertAlign w:val="subscript"/>
        </w:rPr>
        <w:t>h</w:t>
      </w:r>
      <w:proofErr w:type="spellEnd"/>
      <w:r w:rsidRPr="000F17F6">
        <w:t xml:space="preserve">) were obtained from the curve fits of normalized concentration–response data points to the equation </w:t>
      </w:r>
      <w:proofErr w:type="spellStart"/>
      <w:r w:rsidRPr="000F17F6">
        <w:t>I</w:t>
      </w:r>
      <w:r w:rsidRPr="000F17F6">
        <w:rPr>
          <w:vertAlign w:val="subscript"/>
        </w:rPr>
        <w:t>agonist</w:t>
      </w:r>
      <w:proofErr w:type="spellEnd"/>
      <w:r w:rsidRPr="000F17F6">
        <w:t> = I</w:t>
      </w:r>
      <w:r w:rsidRPr="000F17F6">
        <w:rPr>
          <w:vertAlign w:val="subscript"/>
        </w:rPr>
        <w:t>max</w:t>
      </w:r>
      <w:r w:rsidRPr="000F17F6">
        <w:t> (agonist)</w:t>
      </w:r>
      <w:proofErr w:type="spellStart"/>
      <w:r w:rsidRPr="000F17F6">
        <w:rPr>
          <w:vertAlign w:val="superscript"/>
        </w:rPr>
        <w:t>nh</w:t>
      </w:r>
      <w:proofErr w:type="spellEnd"/>
      <w:r w:rsidRPr="000F17F6">
        <w:t> / [(agonist)</w:t>
      </w:r>
      <w:proofErr w:type="spellStart"/>
      <w:r w:rsidRPr="000F17F6">
        <w:rPr>
          <w:vertAlign w:val="superscript"/>
        </w:rPr>
        <w:t>nh</w:t>
      </w:r>
      <w:proofErr w:type="spellEnd"/>
      <w:r w:rsidRPr="000F17F6">
        <w:t> + (EC</w:t>
      </w:r>
      <w:proofErr w:type="gramStart"/>
      <w:r w:rsidRPr="000F17F6">
        <w:rPr>
          <w:vertAlign w:val="subscript"/>
        </w:rPr>
        <w:t>50</w:t>
      </w:r>
      <w:r w:rsidRPr="000F17F6">
        <w:t>)</w:t>
      </w:r>
      <w:proofErr w:type="spellStart"/>
      <w:r w:rsidRPr="000F17F6">
        <w:rPr>
          <w:vertAlign w:val="superscript"/>
        </w:rPr>
        <w:t>nh</w:t>
      </w:r>
      <w:proofErr w:type="spellEnd"/>
      <w:proofErr w:type="gramEnd"/>
      <w:r w:rsidRPr="000F17F6">
        <w:t>]. The mean maximal current (I</w:t>
      </w:r>
      <w:r w:rsidRPr="000F17F6">
        <w:rPr>
          <w:vertAlign w:val="subscript"/>
        </w:rPr>
        <w:t>max</w:t>
      </w:r>
      <w:r w:rsidRPr="000F17F6">
        <w:t>) indicated corresponds to the average maximal current elicited by saturating concentrations of the agonist. To study Gβγ activation, G proteins were activated with a non-</w:t>
      </w:r>
      <w:proofErr w:type="spellStart"/>
      <w:r w:rsidRPr="000F17F6">
        <w:t>hydrolyzable</w:t>
      </w:r>
      <w:proofErr w:type="spellEnd"/>
      <w:r w:rsidRPr="000F17F6">
        <w:t xml:space="preserve"> analog of GTP in the internal solution (GTP-γ-S, 0.5 mM, Sigma Aldrich).</w:t>
      </w:r>
    </w:p>
    <w:p w14:paraId="23384D92" w14:textId="77777777" w:rsidR="000F17F6" w:rsidRPr="000F17F6" w:rsidRDefault="000F17F6" w:rsidP="000F17F6">
      <w:r w:rsidRPr="000F17F6">
        <w:t xml:space="preserve">The patch pipettes for single channel recordings had tip resistances of 7–15 MΩ and were manually fire polished in a </w:t>
      </w:r>
      <w:proofErr w:type="spellStart"/>
      <w:r w:rsidRPr="000F17F6">
        <w:t>microforge</w:t>
      </w:r>
      <w:proofErr w:type="spellEnd"/>
      <w:r w:rsidRPr="000F17F6">
        <w:t xml:space="preserve"> (</w:t>
      </w:r>
      <w:proofErr w:type="spellStart"/>
      <w:r w:rsidRPr="000F17F6">
        <w:t>Narishige</w:t>
      </w:r>
      <w:proofErr w:type="spellEnd"/>
      <w:r w:rsidRPr="000F17F6">
        <w:t xml:space="preserve">, Japan). In some experiments they were coated with DuPont elastomer R6101 to reduce capacitive noise. Data was acquired using </w:t>
      </w:r>
      <w:proofErr w:type="spellStart"/>
      <w:r w:rsidRPr="000F17F6">
        <w:t>pClamp</w:t>
      </w:r>
      <w:proofErr w:type="spellEnd"/>
      <w:r w:rsidRPr="000F17F6">
        <w:t xml:space="preserve"> software and analyzed off-line with </w:t>
      </w:r>
      <w:proofErr w:type="spellStart"/>
      <w:r w:rsidRPr="000F17F6">
        <w:t>Clampfit</w:t>
      </w:r>
      <w:proofErr w:type="spellEnd"/>
      <w:r w:rsidRPr="000F17F6">
        <w:t xml:space="preserve"> 10.1 (Axon Instruments, Union City, CA, United States). Further details were previously published (</w:t>
      </w:r>
      <w:proofErr w:type="spellStart"/>
      <w:r w:rsidR="0036006D">
        <w:fldChar w:fldCharType="begin"/>
      </w:r>
      <w:r w:rsidR="0036006D">
        <w:instrText xml:space="preserve"> HYPERLINK "https:</w:instrText>
      </w:r>
      <w:r w:rsidR="0036006D">
        <w:instrText xml:space="preserve">//www.frontiersin.org/articles/10.3389/fnmol.2021.763868/full" \l "B46" </w:instrText>
      </w:r>
      <w:r w:rsidR="0036006D">
        <w:fldChar w:fldCharType="separate"/>
      </w:r>
      <w:r w:rsidRPr="000F17F6">
        <w:rPr>
          <w:rStyle w:val="Hyperlink"/>
        </w:rPr>
        <w:t>Yevenes</w:t>
      </w:r>
      <w:proofErr w:type="spellEnd"/>
      <w:r w:rsidRPr="000F17F6">
        <w:rPr>
          <w:rStyle w:val="Hyperlink"/>
        </w:rPr>
        <w:t xml:space="preserve"> et al., 2008</w:t>
      </w:r>
      <w:r w:rsidR="0036006D">
        <w:rPr>
          <w:rStyle w:val="Hyperlink"/>
        </w:rPr>
        <w:fldChar w:fldCharType="end"/>
      </w:r>
      <w:r w:rsidRPr="000F17F6">
        <w:t>, </w:t>
      </w:r>
      <w:hyperlink r:id="rId24" w:anchor="B44" w:history="1">
        <w:r w:rsidRPr="000F17F6">
          <w:rPr>
            <w:rStyle w:val="Hyperlink"/>
          </w:rPr>
          <w:t>2010</w:t>
        </w:r>
      </w:hyperlink>
      <w:r w:rsidRPr="000F17F6">
        <w:t xml:space="preserve">). Single-channel recording was performed at room temperature using an </w:t>
      </w:r>
      <w:proofErr w:type="spellStart"/>
      <w:r w:rsidRPr="000F17F6">
        <w:t>Axopatch</w:t>
      </w:r>
      <w:proofErr w:type="spellEnd"/>
      <w:r w:rsidRPr="000F17F6">
        <w:t xml:space="preserve"> 200B (Molecular Devices, Sunnyvale, CA, United States) amplifier and digitized with a 1322A </w:t>
      </w:r>
      <w:proofErr w:type="spellStart"/>
      <w:r w:rsidRPr="000F17F6">
        <w:t>Digidata</w:t>
      </w:r>
      <w:proofErr w:type="spellEnd"/>
      <w:r w:rsidRPr="000F17F6">
        <w:t xml:space="preserve"> (Axon Instruments, Union City, CA, United States). Data were acquired at 50 kHz and digitally </w:t>
      </w:r>
      <w:proofErr w:type="gramStart"/>
      <w:r w:rsidRPr="000F17F6">
        <w:t>low-pass</w:t>
      </w:r>
      <w:proofErr w:type="gramEnd"/>
      <w:r w:rsidRPr="000F17F6">
        <w:t xml:space="preserve"> filtered at 5 kHz. Outside-out patches were voltage-clamped at −60 mV and </w:t>
      </w:r>
      <w:proofErr w:type="spellStart"/>
      <w:r w:rsidRPr="000F17F6">
        <w:t>superfused</w:t>
      </w:r>
      <w:proofErr w:type="spellEnd"/>
      <w:r w:rsidRPr="000F17F6">
        <w:t xml:space="preserve"> in an external recording solution containing (in mM): 150 NaCl, 5 </w:t>
      </w:r>
      <w:proofErr w:type="spellStart"/>
      <w:r w:rsidRPr="000F17F6">
        <w:t>KCl</w:t>
      </w:r>
      <w:proofErr w:type="spellEnd"/>
      <w:r w:rsidRPr="000F17F6">
        <w:t>, 0.2 CaCl</w:t>
      </w:r>
      <w:r w:rsidRPr="000F17F6">
        <w:rPr>
          <w:vertAlign w:val="subscript"/>
        </w:rPr>
        <w:t>2</w:t>
      </w:r>
      <w:r w:rsidRPr="000F17F6">
        <w:t xml:space="preserve">, 10 HEPES, 10 glucose, and 10 sucrose (pH 7.4). The intracellular recording solution contained (in mM): 140 </w:t>
      </w:r>
      <w:proofErr w:type="spellStart"/>
      <w:r w:rsidRPr="000F17F6">
        <w:t>CsCl</w:t>
      </w:r>
      <w:proofErr w:type="spellEnd"/>
      <w:r w:rsidRPr="000F17F6">
        <w:t xml:space="preserve">, 10 EGTA, and 10 HEPES (pH 7.2). Solutions of glycine and ethanol were applied to patches using a stepper motor-driven solution exchange apparatus (Warner Instruments, Hamden, CT, United States) and 600 </w:t>
      </w:r>
      <w:proofErr w:type="spellStart"/>
      <w:r w:rsidRPr="000F17F6">
        <w:t>μm</w:t>
      </w:r>
      <w:proofErr w:type="spellEnd"/>
      <w:r w:rsidRPr="000F17F6">
        <w:t xml:space="preserve"> </w:t>
      </w:r>
      <w:proofErr w:type="spellStart"/>
      <w:r w:rsidRPr="000F17F6">
        <w:t>i.d.</w:t>
      </w:r>
      <w:proofErr w:type="spellEnd"/>
      <w:r w:rsidRPr="000F17F6">
        <w:t xml:space="preserve"> square glass tubing. Ethanol was alternately applied at 60 s intervals.</w:t>
      </w:r>
    </w:p>
    <w:p w14:paraId="4204A3D8" w14:textId="77777777" w:rsidR="000F17F6" w:rsidRPr="000F17F6" w:rsidRDefault="000F17F6" w:rsidP="00EB32E1">
      <w:pPr>
        <w:pStyle w:val="Heading2"/>
      </w:pPr>
      <w:r w:rsidRPr="000F17F6">
        <w:t>Single Channel Analysis</w:t>
      </w:r>
    </w:p>
    <w:p w14:paraId="470E6C16" w14:textId="77777777" w:rsidR="000F17F6" w:rsidRPr="000F17F6" w:rsidRDefault="000F17F6" w:rsidP="000F17F6">
      <w:r w:rsidRPr="000F17F6">
        <w:t>Data records from single-channel recordings obtained from patches with one to three open levels were idealized using the segmentation K-means algorithm in the QUB software suite (</w:t>
      </w:r>
      <w:hyperlink r:id="rId25" w:anchor="B37" w:history="1">
        <w:r w:rsidRPr="000F17F6">
          <w:rPr>
            <w:rStyle w:val="Hyperlink"/>
          </w:rPr>
          <w:t>Qin, 2004</w:t>
        </w:r>
      </w:hyperlink>
      <w:r w:rsidRPr="000F17F6">
        <w:t xml:space="preserve">). The parameters analyzed were single channel conductance; MOT, mean open time; MST, mean shut time; Po, open probability. For overall mean open times and open probabilities (Po), values reported were obtained from these idealized records using </w:t>
      </w:r>
      <w:proofErr w:type="spellStart"/>
      <w:r w:rsidRPr="000F17F6">
        <w:t>Channelab</w:t>
      </w:r>
      <w:proofErr w:type="spellEnd"/>
      <w:r w:rsidRPr="000F17F6">
        <w:t xml:space="preserve"> (</w:t>
      </w:r>
      <w:proofErr w:type="spellStart"/>
      <w:r w:rsidRPr="000F17F6">
        <w:t>Synaptosoft</w:t>
      </w:r>
      <w:proofErr w:type="spellEnd"/>
      <w:r w:rsidRPr="000F17F6">
        <w:t>). Data were obtained from 5 to 7 patches for each receptor subunit combination tested recorded for 2 min. Bursts were defined as openings or groups of openings that are likely to represent individual activations of the ion channel, and that were separated by shut times greater than a critical duration (</w:t>
      </w:r>
      <w:proofErr w:type="spellStart"/>
      <w:r w:rsidRPr="000F17F6">
        <w:t>τCrit</w:t>
      </w:r>
      <w:proofErr w:type="spellEnd"/>
      <w:r w:rsidRPr="000F17F6">
        <w:t xml:space="preserve">). For burst analysis, shut time distributions were fitted with probability density functions using </w:t>
      </w:r>
      <w:proofErr w:type="spellStart"/>
      <w:r w:rsidRPr="000F17F6">
        <w:t>Channelab</w:t>
      </w:r>
      <w:proofErr w:type="spellEnd"/>
      <w:r w:rsidRPr="000F17F6">
        <w:t xml:space="preserve">, and a </w:t>
      </w:r>
      <w:proofErr w:type="spellStart"/>
      <w:r w:rsidRPr="000F17F6">
        <w:t>τCrit</w:t>
      </w:r>
      <w:proofErr w:type="spellEnd"/>
      <w:r w:rsidRPr="000F17F6">
        <w:t xml:space="preserve"> value that minimized the total number of misclassified events was determined for each subunit combination tested. These values were 39 </w:t>
      </w:r>
      <w:proofErr w:type="spellStart"/>
      <w:r w:rsidRPr="000F17F6">
        <w:t>ms</w:t>
      </w:r>
      <w:proofErr w:type="spellEnd"/>
      <w:r w:rsidRPr="000F17F6">
        <w:t xml:space="preserve"> for α1 and 90 </w:t>
      </w:r>
      <w:proofErr w:type="spellStart"/>
      <w:r w:rsidRPr="000F17F6">
        <w:t>ms</w:t>
      </w:r>
      <w:proofErr w:type="spellEnd"/>
      <w:r w:rsidRPr="000F17F6">
        <w:t xml:space="preserve"> for α2β receptors. Groups of openings in idealized data records were then segmented into bursts using these values in QUB, excluding any segments of data with multi-level openings. The software programs </w:t>
      </w:r>
      <w:proofErr w:type="spellStart"/>
      <w:r w:rsidRPr="000F17F6">
        <w:t>Clampfit</w:t>
      </w:r>
      <w:proofErr w:type="spellEnd"/>
      <w:r w:rsidRPr="000F17F6">
        <w:t xml:space="preserve"> and </w:t>
      </w:r>
      <w:proofErr w:type="spellStart"/>
      <w:r w:rsidRPr="000F17F6">
        <w:t>Channelab</w:t>
      </w:r>
      <w:proofErr w:type="spellEnd"/>
      <w:r w:rsidRPr="000F17F6">
        <w:t xml:space="preserve"> were then used to fit probability density functions to distributions of burst durations as well as to </w:t>
      </w:r>
      <w:proofErr w:type="spellStart"/>
      <w:r w:rsidRPr="000F17F6">
        <w:t>intraburst</w:t>
      </w:r>
      <w:proofErr w:type="spellEnd"/>
      <w:r w:rsidRPr="000F17F6">
        <w:t xml:space="preserve"> open and shut events. Values for </w:t>
      </w:r>
      <w:proofErr w:type="spellStart"/>
      <w:r w:rsidRPr="000F17F6">
        <w:t>intraburst</w:t>
      </w:r>
      <w:proofErr w:type="spellEnd"/>
      <w:r w:rsidRPr="000F17F6">
        <w:t xml:space="preserve"> mean open and shut times and </w:t>
      </w:r>
      <w:proofErr w:type="spellStart"/>
      <w:r w:rsidRPr="000F17F6">
        <w:t>intraburst</w:t>
      </w:r>
      <w:proofErr w:type="spellEnd"/>
      <w:r w:rsidRPr="000F17F6">
        <w:t xml:space="preserve"> Po were obtained using </w:t>
      </w:r>
      <w:proofErr w:type="spellStart"/>
      <w:r w:rsidRPr="000F17F6">
        <w:t>Channelab</w:t>
      </w:r>
      <w:proofErr w:type="spellEnd"/>
      <w:r w:rsidRPr="000F17F6">
        <w:t>.</w:t>
      </w:r>
    </w:p>
    <w:p w14:paraId="0F5560EF" w14:textId="77777777" w:rsidR="000F17F6" w:rsidRPr="000F17F6" w:rsidRDefault="000F17F6" w:rsidP="00100B6D">
      <w:pPr>
        <w:pStyle w:val="Heading2"/>
      </w:pPr>
      <w:r w:rsidRPr="000F17F6">
        <w:t>Reagents</w:t>
      </w:r>
    </w:p>
    <w:p w14:paraId="59747B9A" w14:textId="77777777" w:rsidR="000F17F6" w:rsidRPr="000F17F6" w:rsidRDefault="000F17F6" w:rsidP="000F17F6">
      <w:r w:rsidRPr="000F17F6">
        <w:t xml:space="preserve">Glycine (Sigma-Aldrich) was prepared in external solution at a stock concentration of 10 </w:t>
      </w:r>
      <w:proofErr w:type="spellStart"/>
      <w:r w:rsidRPr="000F17F6">
        <w:t>mM.</w:t>
      </w:r>
      <w:proofErr w:type="spellEnd"/>
      <w:r w:rsidRPr="000F17F6">
        <w:t xml:space="preserve"> Zinc chloride (Sigma-Aldrich) was prepared in H</w:t>
      </w:r>
      <w:r w:rsidRPr="000F17F6">
        <w:rPr>
          <w:vertAlign w:val="subscript"/>
        </w:rPr>
        <w:t>2</w:t>
      </w:r>
      <w:r w:rsidRPr="000F17F6">
        <w:t xml:space="preserve">O at a stock concentration of 10 </w:t>
      </w:r>
      <w:proofErr w:type="spellStart"/>
      <w:r w:rsidRPr="000F17F6">
        <w:t>mM.</w:t>
      </w:r>
      <w:proofErr w:type="spellEnd"/>
      <w:r w:rsidRPr="000F17F6">
        <w:t xml:space="preserve"> Ethanol (Merk-Millipore) and </w:t>
      </w:r>
      <w:proofErr w:type="spellStart"/>
      <w:r w:rsidRPr="000F17F6">
        <w:t>trichloroethanol</w:t>
      </w:r>
      <w:proofErr w:type="spellEnd"/>
      <w:r w:rsidRPr="000F17F6">
        <w:t xml:space="preserve"> was dissolved directly in the external solution. Propofol (Sigma-Aldrich) and isoflurane (Baxter) was dissolved in DMSO at a stock concentration of 100 mM and kept at −20°C.</w:t>
      </w:r>
    </w:p>
    <w:p w14:paraId="64B6A76C" w14:textId="77777777" w:rsidR="000F17F6" w:rsidRPr="000F17F6" w:rsidRDefault="000F17F6" w:rsidP="00100B6D">
      <w:pPr>
        <w:pStyle w:val="Heading2"/>
      </w:pPr>
      <w:r w:rsidRPr="000F17F6">
        <w:lastRenderedPageBreak/>
        <w:t>Sample Size</w:t>
      </w:r>
    </w:p>
    <w:p w14:paraId="4E41CA54" w14:textId="77777777" w:rsidR="000F17F6" w:rsidRPr="000F17F6" w:rsidRDefault="000F17F6" w:rsidP="000F17F6">
      <w:r w:rsidRPr="000F17F6">
        <w:t>The target number of samples in each group for our electrophysiological experiments was determined based on findings reported in our previously published studies (</w:t>
      </w:r>
      <w:proofErr w:type="spellStart"/>
      <w:r w:rsidR="0036006D">
        <w:fldChar w:fldCharType="begin"/>
      </w:r>
      <w:r w:rsidR="0036006D">
        <w:instrText xml:space="preserve"> HYPERLINK "https://www.frontiersin.org/articles/10</w:instrText>
      </w:r>
      <w:r w:rsidR="0036006D">
        <w:instrText xml:space="preserve">.3389/fnmol.2021.763868/full" \l "B45" </w:instrText>
      </w:r>
      <w:r w:rsidR="0036006D">
        <w:fldChar w:fldCharType="separate"/>
      </w:r>
      <w:r w:rsidRPr="000F17F6">
        <w:rPr>
          <w:rStyle w:val="Hyperlink"/>
        </w:rPr>
        <w:t>Yevenes</w:t>
      </w:r>
      <w:proofErr w:type="spellEnd"/>
      <w:r w:rsidRPr="000F17F6">
        <w:rPr>
          <w:rStyle w:val="Hyperlink"/>
        </w:rPr>
        <w:t xml:space="preserve"> et al., 2006</w:t>
      </w:r>
      <w:r w:rsidR="0036006D">
        <w:rPr>
          <w:rStyle w:val="Hyperlink"/>
        </w:rPr>
        <w:fldChar w:fldCharType="end"/>
      </w:r>
      <w:r w:rsidRPr="000F17F6">
        <w:t>, </w:t>
      </w:r>
      <w:hyperlink r:id="rId26" w:anchor="B46" w:history="1">
        <w:r w:rsidRPr="000F17F6">
          <w:rPr>
            <w:rStyle w:val="Hyperlink"/>
          </w:rPr>
          <w:t>2008</w:t>
        </w:r>
      </w:hyperlink>
      <w:r w:rsidRPr="000F17F6">
        <w:t>, </w:t>
      </w:r>
      <w:hyperlink r:id="rId27" w:anchor="B44" w:history="1">
        <w:r w:rsidRPr="000F17F6">
          <w:rPr>
            <w:rStyle w:val="Hyperlink"/>
          </w:rPr>
          <w:t>2010</w:t>
        </w:r>
      </w:hyperlink>
      <w:r w:rsidRPr="000F17F6">
        <w:t>). Using these effect sizes and an α-level set at 0.05 and at 80% power, we determined that 5–7 electrophysiological recordings was an appropriate sample size.</w:t>
      </w:r>
    </w:p>
    <w:p w14:paraId="4CFBC82A" w14:textId="77777777" w:rsidR="000F17F6" w:rsidRPr="000F17F6" w:rsidRDefault="000F17F6" w:rsidP="00100B6D">
      <w:pPr>
        <w:pStyle w:val="Heading2"/>
      </w:pPr>
      <w:r w:rsidRPr="000F17F6">
        <w:t>Replication</w:t>
      </w:r>
    </w:p>
    <w:p w14:paraId="723AD051" w14:textId="77777777" w:rsidR="000F17F6" w:rsidRPr="000F17F6" w:rsidRDefault="000F17F6" w:rsidP="000F17F6">
      <w:r w:rsidRPr="000F17F6">
        <w:t>All sample sizes indicated in figures for electrophysiological experiments represent biological replicates.</w:t>
      </w:r>
    </w:p>
    <w:p w14:paraId="5556A431" w14:textId="77777777" w:rsidR="000F17F6" w:rsidRPr="000F17F6" w:rsidRDefault="000F17F6" w:rsidP="00100B6D">
      <w:pPr>
        <w:pStyle w:val="Heading2"/>
      </w:pPr>
      <w:r w:rsidRPr="000F17F6">
        <w:t>Data Analysis</w:t>
      </w:r>
    </w:p>
    <w:p w14:paraId="77E5D3E0" w14:textId="77777777" w:rsidR="000F17F6" w:rsidRPr="000F17F6" w:rsidRDefault="000F17F6" w:rsidP="000F17F6">
      <w:r w:rsidRPr="000F17F6">
        <w:t>All data was presented as mean ± standard error of means (SEM). The analyses were performed using two-tailed unpaired and two-tailed paired Student’s </w:t>
      </w:r>
      <w:r w:rsidRPr="000F17F6">
        <w:rPr>
          <w:i/>
          <w:iCs/>
        </w:rPr>
        <w:t>t</w:t>
      </w:r>
      <w:r w:rsidRPr="000F17F6">
        <w:t>-tests following an </w:t>
      </w:r>
      <w:r w:rsidRPr="000F17F6">
        <w:rPr>
          <w:i/>
          <w:iCs/>
        </w:rPr>
        <w:t>F</w:t>
      </w:r>
      <w:r w:rsidRPr="000F17F6">
        <w:t xml:space="preserve">-test to confirm similar variances. Non-normally distributed data were analyzed using two-tailed Welch’s tests for unpaired data. A two-way ANOVA test followed by </w:t>
      </w:r>
      <w:proofErr w:type="spellStart"/>
      <w:r w:rsidRPr="000F17F6">
        <w:t>Sidak’s</w:t>
      </w:r>
      <w:proofErr w:type="spellEnd"/>
      <w:r w:rsidRPr="000F17F6">
        <w:t xml:space="preserve"> multiple comparisons test was performed for </w:t>
      </w:r>
      <w:hyperlink r:id="rId28" w:anchor="F2" w:history="1">
        <w:r w:rsidRPr="000F17F6">
          <w:rPr>
            <w:rStyle w:val="Hyperlink"/>
          </w:rPr>
          <w:t>Figures 2B,D</w:t>
        </w:r>
      </w:hyperlink>
      <w:r w:rsidRPr="000F17F6">
        <w:t>, </w:t>
      </w:r>
      <w:hyperlink r:id="rId29" w:anchor="F5" w:history="1">
        <w:r w:rsidRPr="000F17F6">
          <w:rPr>
            <w:rStyle w:val="Hyperlink"/>
          </w:rPr>
          <w:t>5B</w:t>
        </w:r>
      </w:hyperlink>
      <w:r w:rsidRPr="000F17F6">
        <w:t>. The value </w:t>
      </w:r>
      <w:r w:rsidRPr="000F17F6">
        <w:rPr>
          <w:rFonts w:ascii="Cambria Math" w:hAnsi="Cambria Math" w:cs="Cambria Math"/>
          <w:vertAlign w:val="superscript"/>
        </w:rPr>
        <w:t>∗</w:t>
      </w:r>
      <w:r w:rsidRPr="000F17F6">
        <w:rPr>
          <w:i/>
          <w:iCs/>
        </w:rPr>
        <w:t>p</w:t>
      </w:r>
      <w:r w:rsidRPr="000F17F6">
        <w:t xml:space="preserve"> &lt; 0.05 was considered statistically significant. All the statistical analysis and plots were performed with </w:t>
      </w:r>
      <w:proofErr w:type="spellStart"/>
      <w:r w:rsidRPr="000F17F6">
        <w:t>MicroCal</w:t>
      </w:r>
      <w:proofErr w:type="spellEnd"/>
      <w:r w:rsidRPr="000F17F6">
        <w:t xml:space="preserve"> Origin 8.0 (Northampton, MA, United States) and Prism 9.0 (GraphPad, La Jolla, CA, United States) software.</w:t>
      </w:r>
    </w:p>
    <w:p w14:paraId="46FE1DAE" w14:textId="77777777" w:rsidR="000F17F6" w:rsidRPr="000F17F6" w:rsidRDefault="000F17F6" w:rsidP="00100B6D">
      <w:pPr>
        <w:pStyle w:val="Heading1"/>
      </w:pPr>
      <w:bookmarkStart w:id="4" w:name="h4"/>
      <w:bookmarkEnd w:id="4"/>
      <w:r w:rsidRPr="000F17F6">
        <w:t>Results</w:t>
      </w:r>
    </w:p>
    <w:p w14:paraId="1DC565DE" w14:textId="77777777" w:rsidR="000F17F6" w:rsidRPr="000F17F6" w:rsidRDefault="000F17F6" w:rsidP="00100B6D">
      <w:pPr>
        <w:pStyle w:val="Heading2"/>
      </w:pPr>
      <w:r w:rsidRPr="000F17F6">
        <w:t xml:space="preserve">The β Subunit Converts α2 Subunits to an “α1-Like” Glycine Receptor </w:t>
      </w:r>
      <w:proofErr w:type="gramStart"/>
      <w:r w:rsidRPr="000F17F6">
        <w:t>With</w:t>
      </w:r>
      <w:proofErr w:type="gramEnd"/>
      <w:r w:rsidRPr="000F17F6">
        <w:t xml:space="preserve"> Respect to Ethanol Sensitivity</w:t>
      </w:r>
    </w:p>
    <w:p w14:paraId="38E1BE54" w14:textId="77777777" w:rsidR="000F17F6" w:rsidRPr="000F17F6" w:rsidRDefault="000F17F6" w:rsidP="000F17F6">
      <w:r w:rsidRPr="000F17F6">
        <w:t>Glycine receptors can be expressed in recombinant systems as homomeric or heteromeric complexes (4 α subunits:1 β subunit) (</w:t>
      </w:r>
      <w:hyperlink r:id="rId30" w:anchor="B50" w:history="1">
        <w:r w:rsidRPr="000F17F6">
          <w:rPr>
            <w:rStyle w:val="Hyperlink"/>
          </w:rPr>
          <w:t>Yu et al., 2021</w:t>
        </w:r>
      </w:hyperlink>
      <w:r w:rsidRPr="000F17F6">
        <w:t>; </w:t>
      </w:r>
      <w:hyperlink r:id="rId31" w:anchor="B53" w:history="1">
        <w:r w:rsidRPr="000F17F6">
          <w:rPr>
            <w:rStyle w:val="Hyperlink"/>
          </w:rPr>
          <w:t xml:space="preserve">Zhu and </w:t>
        </w:r>
        <w:proofErr w:type="spellStart"/>
        <w:r w:rsidRPr="000F17F6">
          <w:rPr>
            <w:rStyle w:val="Hyperlink"/>
          </w:rPr>
          <w:t>Gouaux</w:t>
        </w:r>
        <w:proofErr w:type="spellEnd"/>
        <w:r w:rsidRPr="000F17F6">
          <w:rPr>
            <w:rStyle w:val="Hyperlink"/>
          </w:rPr>
          <w:t>, 2021</w:t>
        </w:r>
      </w:hyperlink>
      <w:r w:rsidRPr="000F17F6">
        <w:t>) and their expression can be monitored looking at changes on their properties such as time to activation and glycine affinity (</w:t>
      </w:r>
      <w:hyperlink r:id="rId32" w:anchor="F1" w:history="1">
        <w:r w:rsidRPr="000F17F6">
          <w:rPr>
            <w:rStyle w:val="Hyperlink"/>
          </w:rPr>
          <w:t>Figure 1A</w:t>
        </w:r>
      </w:hyperlink>
      <w:r w:rsidRPr="000F17F6">
        <w:t>). </w:t>
      </w:r>
      <w:hyperlink r:id="rId33" w:anchor="F1" w:history="1">
        <w:r w:rsidRPr="000F17F6">
          <w:rPr>
            <w:rStyle w:val="Hyperlink"/>
          </w:rPr>
          <w:t>Figure 1B</w:t>
        </w:r>
      </w:hyperlink>
      <w:r w:rsidRPr="000F17F6">
        <w:t> shows current traces activated by an EC</w:t>
      </w:r>
      <w:r w:rsidRPr="000F17F6">
        <w:rPr>
          <w:vertAlign w:val="subscript"/>
        </w:rPr>
        <w:t>10</w:t>
      </w:r>
      <w:r w:rsidRPr="000F17F6">
        <w:t xml:space="preserve"> concentration of glycine in homomeric and heteromeric </w:t>
      </w:r>
      <w:proofErr w:type="spellStart"/>
      <w:r w:rsidRPr="000F17F6">
        <w:t>GlyRs</w:t>
      </w:r>
      <w:proofErr w:type="spellEnd"/>
      <w:r w:rsidRPr="000F17F6">
        <w:t>. In agreement to previous studies (</w:t>
      </w:r>
      <w:proofErr w:type="spellStart"/>
      <w:r w:rsidR="0036006D">
        <w:fldChar w:fldCharType="begin"/>
      </w:r>
      <w:r w:rsidR="0036006D">
        <w:instrText xml:space="preserve"> HYPERLINK "https://www.frontiersin.org/articles/10.3389/fnmol.2021.763868/full" \l "B44" </w:instrText>
      </w:r>
      <w:r w:rsidR="0036006D">
        <w:fldChar w:fldCharType="separate"/>
      </w:r>
      <w:r w:rsidRPr="000F17F6">
        <w:rPr>
          <w:rStyle w:val="Hyperlink"/>
        </w:rPr>
        <w:t>Yevenes</w:t>
      </w:r>
      <w:proofErr w:type="spellEnd"/>
      <w:r w:rsidRPr="000F17F6">
        <w:rPr>
          <w:rStyle w:val="Hyperlink"/>
        </w:rPr>
        <w:t xml:space="preserve"> et al., 2010</w:t>
      </w:r>
      <w:r w:rsidR="0036006D">
        <w:rPr>
          <w:rStyle w:val="Hyperlink"/>
        </w:rPr>
        <w:fldChar w:fldCharType="end"/>
      </w:r>
      <w:r w:rsidRPr="000F17F6">
        <w:t xml:space="preserve">), this data shows that homomeric α1 </w:t>
      </w:r>
      <w:proofErr w:type="spellStart"/>
      <w:r w:rsidRPr="000F17F6">
        <w:t>GlyRs</w:t>
      </w:r>
      <w:proofErr w:type="spellEnd"/>
      <w:r w:rsidRPr="000F17F6">
        <w:t xml:space="preserve"> activate faster than the α2 </w:t>
      </w:r>
      <w:proofErr w:type="spellStart"/>
      <w:r w:rsidRPr="000F17F6">
        <w:t>GlyRs</w:t>
      </w:r>
      <w:proofErr w:type="spellEnd"/>
      <w:r w:rsidRPr="000F17F6">
        <w:t>. Additionally, the co-expression of β with α2 resulted in an α2β complex that displayed a faster time course for activation, thus resulting in an α1-like phenotype (</w:t>
      </w:r>
      <w:hyperlink r:id="rId34" w:anchor="F1" w:history="1">
        <w:r w:rsidRPr="000F17F6">
          <w:rPr>
            <w:rStyle w:val="Hyperlink"/>
          </w:rPr>
          <w:t>Figure 1C</w:t>
        </w:r>
      </w:hyperlink>
      <w:r w:rsidRPr="000F17F6">
        <w:t xml:space="preserve">). As indicated in methods, we used a high </w:t>
      </w:r>
      <w:proofErr w:type="gramStart"/>
      <w:r w:rsidRPr="000F17F6">
        <w:t>β:α</w:t>
      </w:r>
      <w:proofErr w:type="gramEnd"/>
      <w:r w:rsidRPr="000F17F6">
        <w:t xml:space="preserve"> plasmid ratio to ensure the assembly of </w:t>
      </w:r>
      <w:proofErr w:type="spellStart"/>
      <w:r w:rsidRPr="000F17F6">
        <w:t>heteropentameric</w:t>
      </w:r>
      <w:proofErr w:type="spellEnd"/>
      <w:r w:rsidRPr="000F17F6">
        <w:t xml:space="preserve"> receptors (4 α subunits:1 β subunit). Analyses of concentration-response relationships show that the α2-homomeric </w:t>
      </w:r>
      <w:proofErr w:type="spellStart"/>
      <w:r w:rsidRPr="000F17F6">
        <w:t>GlyRs</w:t>
      </w:r>
      <w:proofErr w:type="spellEnd"/>
      <w:r w:rsidRPr="000F17F6">
        <w:t xml:space="preserve"> display a higher EC</w:t>
      </w:r>
      <w:r w:rsidRPr="000F17F6">
        <w:rPr>
          <w:vertAlign w:val="subscript"/>
        </w:rPr>
        <w:t>50</w:t>
      </w:r>
      <w:r w:rsidRPr="000F17F6">
        <w:t xml:space="preserve"> than the α1 </w:t>
      </w:r>
      <w:proofErr w:type="spellStart"/>
      <w:r w:rsidRPr="000F17F6">
        <w:t>GlyRs</w:t>
      </w:r>
      <w:proofErr w:type="spellEnd"/>
      <w:r w:rsidRPr="000F17F6">
        <w:t xml:space="preserve">. In the α1 </w:t>
      </w:r>
      <w:proofErr w:type="spellStart"/>
      <w:r w:rsidRPr="000F17F6">
        <w:t>GlyRs</w:t>
      </w:r>
      <w:proofErr w:type="spellEnd"/>
      <w:r w:rsidRPr="000F17F6">
        <w:t>, for example, the EC</w:t>
      </w:r>
      <w:r w:rsidRPr="000F17F6">
        <w:rPr>
          <w:vertAlign w:val="subscript"/>
        </w:rPr>
        <w:t>50</w:t>
      </w:r>
      <w:r w:rsidRPr="000F17F6">
        <w:t xml:space="preserve"> was 40 ± 1 </w:t>
      </w:r>
      <w:proofErr w:type="spellStart"/>
      <w:r w:rsidRPr="000F17F6">
        <w:t>μM</w:t>
      </w:r>
      <w:proofErr w:type="spellEnd"/>
      <w:r w:rsidRPr="000F17F6">
        <w:t xml:space="preserve"> (</w:t>
      </w:r>
      <w:r w:rsidRPr="000F17F6">
        <w:rPr>
          <w:i/>
          <w:iCs/>
        </w:rPr>
        <w:t>n</w:t>
      </w:r>
      <w:r w:rsidRPr="000F17F6">
        <w:t xml:space="preserve"> = 10), while in α2 it was 86 ± 2 </w:t>
      </w:r>
      <w:proofErr w:type="spellStart"/>
      <w:r w:rsidRPr="000F17F6">
        <w:t>μM</w:t>
      </w:r>
      <w:proofErr w:type="spellEnd"/>
      <w:r w:rsidRPr="000F17F6">
        <w:t xml:space="preserve"> (</w:t>
      </w:r>
      <w:r w:rsidRPr="000F17F6">
        <w:rPr>
          <w:i/>
          <w:iCs/>
        </w:rPr>
        <w:t>p</w:t>
      </w:r>
      <w:r w:rsidRPr="000F17F6">
        <w:t> &lt; 0.001, </w:t>
      </w:r>
      <w:r w:rsidRPr="000F17F6">
        <w:rPr>
          <w:i/>
          <w:iCs/>
        </w:rPr>
        <w:t>n</w:t>
      </w:r>
      <w:r w:rsidRPr="000F17F6">
        <w:t> = 10, </w:t>
      </w:r>
      <w:hyperlink r:id="rId35" w:anchor="F1" w:history="1">
        <w:r w:rsidRPr="000F17F6">
          <w:rPr>
            <w:rStyle w:val="Hyperlink"/>
          </w:rPr>
          <w:t>Figure 1E</w:t>
        </w:r>
      </w:hyperlink>
      <w:r w:rsidRPr="000F17F6">
        <w:t> and </w:t>
      </w:r>
      <w:hyperlink r:id="rId36" w:anchor="T1" w:history="1">
        <w:r w:rsidRPr="000F17F6">
          <w:rPr>
            <w:rStyle w:val="Hyperlink"/>
          </w:rPr>
          <w:t>Table 1</w:t>
        </w:r>
      </w:hyperlink>
      <w:r w:rsidRPr="000F17F6">
        <w:t>). In addition, co-expression of the β subunit decreased the EC</w:t>
      </w:r>
      <w:r w:rsidRPr="000F17F6">
        <w:rPr>
          <w:vertAlign w:val="subscript"/>
        </w:rPr>
        <w:t>50</w:t>
      </w:r>
      <w:r w:rsidRPr="000F17F6">
        <w:t xml:space="preserve"> in α2-containings </w:t>
      </w:r>
      <w:proofErr w:type="spellStart"/>
      <w:r w:rsidRPr="000F17F6">
        <w:t>GlyRs</w:t>
      </w:r>
      <w:proofErr w:type="spellEnd"/>
      <w:r w:rsidRPr="000F17F6">
        <w:t xml:space="preserve"> to 48 ± 8 </w:t>
      </w:r>
      <w:proofErr w:type="spellStart"/>
      <w:r w:rsidRPr="000F17F6">
        <w:t>μM</w:t>
      </w:r>
      <w:proofErr w:type="spellEnd"/>
      <w:r w:rsidRPr="000F17F6">
        <w:t xml:space="preserve"> (</w:t>
      </w:r>
      <w:r w:rsidRPr="000F17F6">
        <w:rPr>
          <w:i/>
          <w:iCs/>
        </w:rPr>
        <w:t>n</w:t>
      </w:r>
      <w:r w:rsidRPr="000F17F6">
        <w:t xml:space="preserve"> = 10), without significant differences in α1β </w:t>
      </w:r>
      <w:proofErr w:type="spellStart"/>
      <w:r w:rsidRPr="000F17F6">
        <w:t>GlyRs</w:t>
      </w:r>
      <w:proofErr w:type="spellEnd"/>
      <w:r w:rsidRPr="000F17F6">
        <w:t xml:space="preserve"> (</w:t>
      </w:r>
      <w:hyperlink r:id="rId37" w:anchor="F1" w:history="1">
        <w:r w:rsidRPr="000F17F6">
          <w:rPr>
            <w:rStyle w:val="Hyperlink"/>
          </w:rPr>
          <w:t>Figures 1D,E</w:t>
        </w:r>
      </w:hyperlink>
      <w:r w:rsidRPr="000F17F6">
        <w:t> and </w:t>
      </w:r>
      <w:hyperlink r:id="rId38" w:anchor="T1" w:history="1">
        <w:r w:rsidRPr="000F17F6">
          <w:rPr>
            <w:rStyle w:val="Hyperlink"/>
          </w:rPr>
          <w:t>Table 1</w:t>
        </w:r>
      </w:hyperlink>
      <w:r w:rsidRPr="000F17F6">
        <w:t>). This decrease in EC</w:t>
      </w:r>
      <w:r w:rsidRPr="000F17F6">
        <w:rPr>
          <w:vertAlign w:val="subscript"/>
        </w:rPr>
        <w:t>50</w:t>
      </w:r>
      <w:r w:rsidRPr="000F17F6">
        <w:t xml:space="preserve"> in α2β </w:t>
      </w:r>
      <w:proofErr w:type="spellStart"/>
      <w:r w:rsidRPr="000F17F6">
        <w:t>GlyRs</w:t>
      </w:r>
      <w:proofErr w:type="spellEnd"/>
      <w:r w:rsidRPr="000F17F6">
        <w:t xml:space="preserve"> changes some properties of the α2-homomeric receptor complex, thus functionally it is an α1-like </w:t>
      </w:r>
      <w:proofErr w:type="spellStart"/>
      <w:r w:rsidRPr="000F17F6">
        <w:t>GlyRs</w:t>
      </w:r>
      <w:proofErr w:type="spellEnd"/>
      <w:r w:rsidRPr="000F17F6">
        <w:t>. Because the WT subunits display two basic residues in the IL that are important for ethanol modulation (</w:t>
      </w:r>
      <w:proofErr w:type="spellStart"/>
      <w:r w:rsidR="0036006D">
        <w:fldChar w:fldCharType="begin"/>
      </w:r>
      <w:r w:rsidR="0036006D">
        <w:instrText xml:space="preserve"> HYPERLINK "https://www.frontiersin.org/articles/10.3389/fnmol.2021.763868/full" \l "B44" </w:instrText>
      </w:r>
      <w:r w:rsidR="0036006D">
        <w:fldChar w:fldCharType="separate"/>
      </w:r>
      <w:r w:rsidRPr="000F17F6">
        <w:rPr>
          <w:rStyle w:val="Hyperlink"/>
        </w:rPr>
        <w:t>Yevenes</w:t>
      </w:r>
      <w:proofErr w:type="spellEnd"/>
      <w:r w:rsidRPr="000F17F6">
        <w:rPr>
          <w:rStyle w:val="Hyperlink"/>
        </w:rPr>
        <w:t xml:space="preserve"> et al., 2010</w:t>
      </w:r>
      <w:r w:rsidR="0036006D">
        <w:rPr>
          <w:rStyle w:val="Hyperlink"/>
        </w:rPr>
        <w:fldChar w:fldCharType="end"/>
      </w:r>
      <w:r w:rsidRPr="000F17F6">
        <w:t>; </w:t>
      </w:r>
      <w:hyperlink r:id="rId39" w:anchor="B34" w:history="1">
        <w:r w:rsidRPr="000F17F6">
          <w:rPr>
            <w:rStyle w:val="Hyperlink"/>
          </w:rPr>
          <w:t>Munoz et al., 2020</w:t>
        </w:r>
      </w:hyperlink>
      <w:r w:rsidRPr="000F17F6">
        <w:t xml:space="preserve">), we replaced the K389 and R390 residues in the WT α2 </w:t>
      </w:r>
      <w:proofErr w:type="spellStart"/>
      <w:r w:rsidRPr="000F17F6">
        <w:t>GlyR</w:t>
      </w:r>
      <w:proofErr w:type="spellEnd"/>
      <w:r w:rsidRPr="000F17F6">
        <w:t xml:space="preserve"> (α2AAβ) to test their role in the </w:t>
      </w:r>
      <w:proofErr w:type="spellStart"/>
      <w:r w:rsidRPr="000F17F6">
        <w:t>heteropentameric</w:t>
      </w:r>
      <w:proofErr w:type="spellEnd"/>
      <w:r w:rsidRPr="000F17F6">
        <w:t xml:space="preserve"> receptor (</w:t>
      </w:r>
      <w:hyperlink r:id="rId40" w:anchor="B14" w:history="1">
        <w:r w:rsidRPr="000F17F6">
          <w:rPr>
            <w:rStyle w:val="Hyperlink"/>
          </w:rPr>
          <w:t>Gallegos et al., 2021</w:t>
        </w:r>
      </w:hyperlink>
      <w:r w:rsidRPr="000F17F6">
        <w:t>). We found that the mutations did not cause large effects in the properties of the current (</w:t>
      </w:r>
      <w:hyperlink r:id="rId41" w:anchor="F1" w:history="1">
        <w:r w:rsidRPr="000F17F6">
          <w:rPr>
            <w:rStyle w:val="Hyperlink"/>
          </w:rPr>
          <w:t>Figures 1C,E</w:t>
        </w:r>
      </w:hyperlink>
      <w:r w:rsidRPr="000F17F6">
        <w:t> see legend for explanation of denoted residues in the IL).</w:t>
      </w:r>
    </w:p>
    <w:p w14:paraId="4F96060E" w14:textId="13ECB2BF" w:rsidR="000F17F6" w:rsidRPr="000F17F6" w:rsidRDefault="000F17F6" w:rsidP="00100B6D">
      <w:pPr>
        <w:pStyle w:val="NoSpacing"/>
      </w:pPr>
      <w:bookmarkStart w:id="5" w:name="figure1"/>
      <w:r w:rsidRPr="000F17F6">
        <w:rPr>
          <w:noProof/>
        </w:rPr>
        <w:lastRenderedPageBreak/>
        <w:drawing>
          <wp:inline distT="0" distB="0" distL="0" distR="0" wp14:anchorId="7D22DC77" wp14:editId="1BA494C9">
            <wp:extent cx="1339850" cy="1424940"/>
            <wp:effectExtent l="0" t="0" r="0" b="3810"/>
            <wp:docPr id="11" name="Picture 11" descr="www.frontiersin.org">
              <a:hlinkClick xmlns:a="http://schemas.openxmlformats.org/drawingml/2006/main" r:id="rId4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1" descr="www.frontiersin.org">
                      <a:hlinkClick r:id="rId42" tgtFrame="&quot;_blank&quot;"/>
                    </pic:cNvPr>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339850" cy="1424940"/>
                    </a:xfrm>
                    <a:prstGeom prst="rect">
                      <a:avLst/>
                    </a:prstGeom>
                    <a:noFill/>
                    <a:ln>
                      <a:noFill/>
                    </a:ln>
                  </pic:spPr>
                </pic:pic>
              </a:graphicData>
            </a:graphic>
          </wp:inline>
        </w:drawing>
      </w:r>
      <w:bookmarkEnd w:id="5"/>
    </w:p>
    <w:p w14:paraId="4973329C" w14:textId="77777777" w:rsidR="000F17F6" w:rsidRPr="000F17F6" w:rsidRDefault="000F17F6" w:rsidP="00100B6D">
      <w:pPr>
        <w:pStyle w:val="NoSpacing"/>
      </w:pPr>
      <w:r w:rsidRPr="000F17F6">
        <w:rPr>
          <w:b/>
          <w:bCs/>
        </w:rPr>
        <w:t>Figure 1.</w:t>
      </w:r>
      <w:r w:rsidRPr="000F17F6">
        <w:t xml:space="preserve"> Co-expression of β subunits convert α2 </w:t>
      </w:r>
      <w:proofErr w:type="spellStart"/>
      <w:r w:rsidRPr="000F17F6">
        <w:t>GlyRs</w:t>
      </w:r>
      <w:proofErr w:type="spellEnd"/>
      <w:r w:rsidRPr="000F17F6">
        <w:t xml:space="preserve"> into an α1-like </w:t>
      </w:r>
      <w:proofErr w:type="spellStart"/>
      <w:r w:rsidRPr="000F17F6">
        <w:t>GlyRs</w:t>
      </w:r>
      <w:proofErr w:type="spellEnd"/>
      <w:r w:rsidRPr="000F17F6">
        <w:t>. </w:t>
      </w:r>
      <w:r w:rsidRPr="000F17F6">
        <w:rPr>
          <w:b/>
          <w:bCs/>
        </w:rPr>
        <w:t>(A)</w:t>
      </w:r>
      <w:r w:rsidRPr="000F17F6">
        <w:t> Topology scheme of the glycine receptors used in the present study. Note that the intracellular loop in wild type α subunits present pairs of basic residues important for ethanol potentiation (KK or KR). </w:t>
      </w:r>
      <w:r w:rsidRPr="000F17F6">
        <w:rPr>
          <w:b/>
          <w:bCs/>
        </w:rPr>
        <w:t>(B)</w:t>
      </w:r>
      <w:r w:rsidRPr="000F17F6">
        <w:t> Representative traces of glycine-evoked currents, at EC</w:t>
      </w:r>
      <w:r w:rsidRPr="000F17F6">
        <w:rPr>
          <w:vertAlign w:val="subscript"/>
        </w:rPr>
        <w:t>10</w:t>
      </w:r>
      <w:r w:rsidRPr="000F17F6">
        <w:t xml:space="preserve">, showing the kinetic differences between homomeric and heteromeric </w:t>
      </w:r>
      <w:proofErr w:type="spellStart"/>
      <w:r w:rsidRPr="000F17F6">
        <w:t>GlyRs</w:t>
      </w:r>
      <w:proofErr w:type="spellEnd"/>
      <w:r w:rsidRPr="000F17F6">
        <w:t>. </w:t>
      </w:r>
      <w:r w:rsidRPr="000F17F6">
        <w:rPr>
          <w:b/>
          <w:bCs/>
        </w:rPr>
        <w:t>(C)</w:t>
      </w:r>
      <w:r w:rsidRPr="000F17F6">
        <w:t xml:space="preserve"> The bar graph shows the increase in rise time in α2 </w:t>
      </w:r>
      <w:proofErr w:type="spellStart"/>
      <w:r w:rsidRPr="000F17F6">
        <w:t>GlyRs</w:t>
      </w:r>
      <w:proofErr w:type="spellEnd"/>
      <w:r w:rsidRPr="000F17F6">
        <w:t xml:space="preserve">, which is significantly reduced in heteromeric α2β </w:t>
      </w:r>
      <w:proofErr w:type="spellStart"/>
      <w:r w:rsidRPr="000F17F6">
        <w:t>GlyRs</w:t>
      </w:r>
      <w:proofErr w:type="spellEnd"/>
      <w:r w:rsidRPr="000F17F6">
        <w:t>. </w:t>
      </w:r>
      <w:r w:rsidRPr="000F17F6">
        <w:rPr>
          <w:b/>
          <w:bCs/>
        </w:rPr>
        <w:t>(D)</w:t>
      </w:r>
      <w:r w:rsidRPr="000F17F6">
        <w:t xml:space="preserve"> Representative glycine-evoked current traces showing the differences of glycine affinity between α2 and α2β </w:t>
      </w:r>
      <w:proofErr w:type="spellStart"/>
      <w:r w:rsidRPr="000F17F6">
        <w:t>GlyRs</w:t>
      </w:r>
      <w:proofErr w:type="spellEnd"/>
      <w:r w:rsidRPr="000F17F6">
        <w:t>. </w:t>
      </w:r>
      <w:r w:rsidRPr="000F17F6">
        <w:rPr>
          <w:b/>
          <w:bCs/>
        </w:rPr>
        <w:t>(E)</w:t>
      </w:r>
      <w:r w:rsidRPr="000F17F6">
        <w:t xml:space="preserve"> The graph shows the glycine concentration-response curve for all the </w:t>
      </w:r>
      <w:proofErr w:type="spellStart"/>
      <w:r w:rsidRPr="000F17F6">
        <w:t>GlyRs</w:t>
      </w:r>
      <w:proofErr w:type="spellEnd"/>
      <w:r w:rsidRPr="000F17F6">
        <w:t xml:space="preserve"> conformations. Values for EC</w:t>
      </w:r>
      <w:r w:rsidRPr="000F17F6">
        <w:rPr>
          <w:vertAlign w:val="subscript"/>
        </w:rPr>
        <w:t>50</w:t>
      </w:r>
      <w:r w:rsidRPr="000F17F6">
        <w:t> can be found in </w:t>
      </w:r>
      <w:hyperlink r:id="rId44" w:anchor="T1" w:history="1">
        <w:r w:rsidRPr="000F17F6">
          <w:rPr>
            <w:rStyle w:val="Hyperlink"/>
          </w:rPr>
          <w:t>Table 1</w:t>
        </w:r>
      </w:hyperlink>
      <w:r w:rsidRPr="000F17F6">
        <w:t>. Data are mean ± SEM. *</w:t>
      </w:r>
      <w:r w:rsidRPr="000F17F6">
        <w:rPr>
          <w:i/>
          <w:iCs/>
        </w:rPr>
        <w:t>p</w:t>
      </w:r>
      <w:r w:rsidRPr="000F17F6">
        <w:t> &lt; 0.05, ***</w:t>
      </w:r>
      <w:r w:rsidRPr="000F17F6">
        <w:rPr>
          <w:i/>
          <w:iCs/>
        </w:rPr>
        <w:t>p</w:t>
      </w:r>
      <w:r w:rsidRPr="000F17F6">
        <w:t> &lt; 0.001. Unpaired Student’s </w:t>
      </w:r>
      <w:r w:rsidRPr="000F17F6">
        <w:rPr>
          <w:i/>
          <w:iCs/>
        </w:rPr>
        <w:t>t</w:t>
      </w:r>
      <w:r w:rsidRPr="000F17F6">
        <w:t> test.</w:t>
      </w:r>
    </w:p>
    <w:p w14:paraId="5B44FE27" w14:textId="492C17FE" w:rsidR="000F17F6" w:rsidRPr="000F17F6" w:rsidRDefault="000F17F6" w:rsidP="000F17F6"/>
    <w:p w14:paraId="69DD78AA" w14:textId="77777777" w:rsidR="0025406D" w:rsidRDefault="0025406D" w:rsidP="000F17F6">
      <w:pPr>
        <w:rPr>
          <w:b/>
          <w:bCs/>
        </w:rPr>
        <w:sectPr w:rsidR="0025406D" w:rsidSect="00013176">
          <w:pgSz w:w="12240" w:h="15840"/>
          <w:pgMar w:top="1080" w:right="1080" w:bottom="1080" w:left="1080" w:header="720" w:footer="720" w:gutter="0"/>
          <w:cols w:space="720"/>
          <w:docGrid w:linePitch="360"/>
        </w:sectPr>
      </w:pPr>
    </w:p>
    <w:p w14:paraId="00D6F816" w14:textId="77777777" w:rsidR="000F17F6" w:rsidRDefault="000F17F6" w:rsidP="000D23B1">
      <w:pPr>
        <w:spacing w:after="0"/>
      </w:pPr>
      <w:r w:rsidRPr="000F17F6">
        <w:rPr>
          <w:b/>
          <w:bCs/>
        </w:rPr>
        <w:lastRenderedPageBreak/>
        <w:t>Table 1.</w:t>
      </w:r>
      <w:r w:rsidRPr="000F17F6">
        <w:t xml:space="preserve"> Properties of whole cell currents activated by several </w:t>
      </w:r>
      <w:proofErr w:type="spellStart"/>
      <w:r w:rsidRPr="000F17F6">
        <w:t>GlyRs</w:t>
      </w:r>
      <w:proofErr w:type="spellEnd"/>
      <w:r w:rsidRPr="000F17F6">
        <w:t xml:space="preserve"> conformations.</w:t>
      </w:r>
    </w:p>
    <w:p w14:paraId="3D1BEEAF" w14:textId="77777777" w:rsidR="0025406D" w:rsidRPr="0025406D" w:rsidRDefault="0025406D" w:rsidP="0025406D">
      <w:pPr>
        <w:kinsoku w:val="0"/>
        <w:overflowPunct w:val="0"/>
        <w:autoSpaceDE w:val="0"/>
        <w:autoSpaceDN w:val="0"/>
        <w:adjustRightInd w:val="0"/>
        <w:spacing w:before="11" w:after="0" w:line="240" w:lineRule="auto"/>
        <w:rPr>
          <w:rFonts w:ascii="Times New Roman" w:hAnsi="Times New Roman" w:cs="Times New Roman"/>
          <w:sz w:val="3"/>
          <w:szCs w:val="3"/>
        </w:rPr>
      </w:pPr>
    </w:p>
    <w:tbl>
      <w:tblPr>
        <w:tblStyle w:val="TableGrid"/>
        <w:tblW w:w="0" w:type="auto"/>
        <w:tblLook w:val="0020" w:firstRow="1" w:lastRow="0" w:firstColumn="0" w:lastColumn="0" w:noHBand="0" w:noVBand="0"/>
      </w:tblPr>
      <w:tblGrid>
        <w:gridCol w:w="805"/>
        <w:gridCol w:w="1710"/>
        <w:gridCol w:w="1170"/>
        <w:gridCol w:w="1260"/>
        <w:gridCol w:w="1710"/>
        <w:gridCol w:w="1710"/>
        <w:gridCol w:w="1890"/>
        <w:gridCol w:w="1710"/>
        <w:gridCol w:w="1705"/>
      </w:tblGrid>
      <w:tr w:rsidR="000D23B1" w:rsidRPr="000D23B1" w14:paraId="7BDAB38F" w14:textId="77777777" w:rsidTr="0034091D">
        <w:trPr>
          <w:trHeight w:val="446"/>
        </w:trPr>
        <w:tc>
          <w:tcPr>
            <w:tcW w:w="805" w:type="dxa"/>
          </w:tcPr>
          <w:p w14:paraId="73A0812B" w14:textId="77777777" w:rsidR="0025406D" w:rsidRPr="000D23B1" w:rsidRDefault="0025406D" w:rsidP="00202EE3">
            <w:pPr>
              <w:pStyle w:val="NoSpacing"/>
              <w:rPr>
                <w:sz w:val="20"/>
                <w:szCs w:val="20"/>
              </w:rPr>
            </w:pPr>
            <w:bookmarkStart w:id="6" w:name="_bookmark0"/>
            <w:bookmarkStart w:id="7" w:name="_bookmark1"/>
            <w:bookmarkEnd w:id="6"/>
            <w:bookmarkEnd w:id="7"/>
            <w:proofErr w:type="spellStart"/>
            <w:r w:rsidRPr="000D23B1">
              <w:rPr>
                <w:sz w:val="20"/>
                <w:szCs w:val="20"/>
              </w:rPr>
              <w:t>GlyR</w:t>
            </w:r>
            <w:proofErr w:type="spellEnd"/>
          </w:p>
        </w:tc>
        <w:tc>
          <w:tcPr>
            <w:tcW w:w="1710" w:type="dxa"/>
          </w:tcPr>
          <w:p w14:paraId="6F884767" w14:textId="77777777" w:rsidR="0025406D" w:rsidRPr="000D23B1" w:rsidRDefault="0025406D" w:rsidP="00202EE3">
            <w:pPr>
              <w:pStyle w:val="NoSpacing"/>
              <w:rPr>
                <w:sz w:val="20"/>
                <w:szCs w:val="20"/>
              </w:rPr>
            </w:pPr>
            <w:r w:rsidRPr="000D23B1">
              <w:rPr>
                <w:sz w:val="20"/>
                <w:szCs w:val="20"/>
              </w:rPr>
              <w:t>EC</w:t>
            </w:r>
            <w:r w:rsidRPr="000D23B1">
              <w:rPr>
                <w:sz w:val="20"/>
                <w:szCs w:val="20"/>
                <w:vertAlign w:val="subscript"/>
              </w:rPr>
              <w:t>50</w:t>
            </w:r>
            <w:r w:rsidRPr="000D23B1">
              <w:rPr>
                <w:sz w:val="20"/>
                <w:szCs w:val="20"/>
              </w:rPr>
              <w:t xml:space="preserve"> (</w:t>
            </w:r>
            <w:r w:rsidRPr="000D23B1">
              <w:rPr>
                <w:rFonts w:ascii="Verdana" w:hAnsi="Verdana" w:cs="Verdana"/>
                <w:b/>
                <w:bCs/>
                <w:sz w:val="20"/>
                <w:szCs w:val="20"/>
              </w:rPr>
              <w:t>µ</w:t>
            </w:r>
            <w:r w:rsidRPr="000D23B1">
              <w:rPr>
                <w:sz w:val="20"/>
                <w:szCs w:val="20"/>
              </w:rPr>
              <w:t>M)</w:t>
            </w:r>
          </w:p>
        </w:tc>
        <w:tc>
          <w:tcPr>
            <w:tcW w:w="1170" w:type="dxa"/>
          </w:tcPr>
          <w:p w14:paraId="5A283320" w14:textId="77777777" w:rsidR="0025406D" w:rsidRPr="000D23B1" w:rsidRDefault="0025406D" w:rsidP="00202EE3">
            <w:pPr>
              <w:pStyle w:val="NoSpacing"/>
              <w:rPr>
                <w:w w:val="105"/>
                <w:sz w:val="20"/>
                <w:szCs w:val="20"/>
              </w:rPr>
            </w:pPr>
            <w:proofErr w:type="spellStart"/>
            <w:r w:rsidRPr="000D23B1">
              <w:rPr>
                <w:w w:val="105"/>
                <w:sz w:val="20"/>
                <w:szCs w:val="20"/>
              </w:rPr>
              <w:t>nH</w:t>
            </w:r>
            <w:proofErr w:type="spellEnd"/>
          </w:p>
        </w:tc>
        <w:tc>
          <w:tcPr>
            <w:tcW w:w="1260" w:type="dxa"/>
          </w:tcPr>
          <w:p w14:paraId="533E4471" w14:textId="77777777" w:rsidR="0025406D" w:rsidRPr="000D23B1" w:rsidRDefault="0025406D" w:rsidP="00202EE3">
            <w:pPr>
              <w:pStyle w:val="NoSpacing"/>
              <w:rPr>
                <w:w w:val="105"/>
                <w:sz w:val="20"/>
                <w:szCs w:val="20"/>
              </w:rPr>
            </w:pPr>
            <w:r w:rsidRPr="000D23B1">
              <w:rPr>
                <w:w w:val="105"/>
                <w:sz w:val="20"/>
                <w:szCs w:val="20"/>
              </w:rPr>
              <w:t>Imax (</w:t>
            </w:r>
            <w:proofErr w:type="spellStart"/>
            <w:r w:rsidRPr="000D23B1">
              <w:rPr>
                <w:w w:val="105"/>
                <w:sz w:val="20"/>
                <w:szCs w:val="20"/>
              </w:rPr>
              <w:t>pA</w:t>
            </w:r>
            <w:proofErr w:type="spellEnd"/>
            <w:r w:rsidRPr="000D23B1">
              <w:rPr>
                <w:w w:val="105"/>
                <w:sz w:val="20"/>
                <w:szCs w:val="20"/>
              </w:rPr>
              <w:t>)</w:t>
            </w:r>
          </w:p>
        </w:tc>
        <w:tc>
          <w:tcPr>
            <w:tcW w:w="1710" w:type="dxa"/>
          </w:tcPr>
          <w:p w14:paraId="16D47985" w14:textId="77777777" w:rsidR="0025406D" w:rsidRPr="000D23B1" w:rsidRDefault="0025406D" w:rsidP="00202EE3">
            <w:pPr>
              <w:pStyle w:val="NoSpacing"/>
              <w:rPr>
                <w:w w:val="105"/>
                <w:sz w:val="20"/>
                <w:szCs w:val="20"/>
              </w:rPr>
            </w:pPr>
            <w:r w:rsidRPr="000D23B1">
              <w:rPr>
                <w:w w:val="105"/>
                <w:sz w:val="20"/>
                <w:szCs w:val="20"/>
              </w:rPr>
              <w:t>Rise time (s)</w:t>
            </w:r>
          </w:p>
        </w:tc>
        <w:tc>
          <w:tcPr>
            <w:tcW w:w="1710" w:type="dxa"/>
          </w:tcPr>
          <w:p w14:paraId="7046AE51" w14:textId="77777777" w:rsidR="0025406D" w:rsidRPr="000D23B1" w:rsidRDefault="0025406D" w:rsidP="00202EE3">
            <w:pPr>
              <w:pStyle w:val="NoSpacing"/>
              <w:rPr>
                <w:w w:val="110"/>
                <w:sz w:val="20"/>
                <w:szCs w:val="20"/>
              </w:rPr>
            </w:pPr>
            <w:r w:rsidRPr="000D23B1">
              <w:rPr>
                <w:w w:val="110"/>
                <w:sz w:val="20"/>
                <w:szCs w:val="20"/>
              </w:rPr>
              <w:t>10 mM ethanol potentiation (%)</w:t>
            </w:r>
          </w:p>
        </w:tc>
        <w:tc>
          <w:tcPr>
            <w:tcW w:w="1890" w:type="dxa"/>
          </w:tcPr>
          <w:p w14:paraId="629A52CF" w14:textId="77777777" w:rsidR="0025406D" w:rsidRPr="000D23B1" w:rsidRDefault="0025406D" w:rsidP="00202EE3">
            <w:pPr>
              <w:pStyle w:val="NoSpacing"/>
              <w:rPr>
                <w:w w:val="110"/>
                <w:sz w:val="20"/>
                <w:szCs w:val="20"/>
              </w:rPr>
            </w:pPr>
            <w:r w:rsidRPr="000D23B1">
              <w:rPr>
                <w:w w:val="110"/>
                <w:sz w:val="20"/>
                <w:szCs w:val="20"/>
              </w:rPr>
              <w:t>100 mM ethanol potentiation (%)</w:t>
            </w:r>
          </w:p>
        </w:tc>
        <w:tc>
          <w:tcPr>
            <w:tcW w:w="1710" w:type="dxa"/>
          </w:tcPr>
          <w:p w14:paraId="5567B2EE" w14:textId="77777777" w:rsidR="0025406D" w:rsidRPr="000D23B1" w:rsidRDefault="0025406D" w:rsidP="00202EE3">
            <w:pPr>
              <w:pStyle w:val="NoSpacing"/>
              <w:rPr>
                <w:sz w:val="20"/>
                <w:szCs w:val="20"/>
              </w:rPr>
            </w:pPr>
            <w:r w:rsidRPr="000D23B1">
              <w:rPr>
                <w:sz w:val="20"/>
                <w:szCs w:val="20"/>
              </w:rPr>
              <w:t>GTP-</w:t>
            </w:r>
            <w:r w:rsidRPr="000D23B1">
              <w:rPr>
                <w:rFonts w:ascii="Verdana" w:hAnsi="Verdana" w:cs="Verdana"/>
                <w:b/>
                <w:bCs/>
                <w:sz w:val="20"/>
                <w:szCs w:val="20"/>
              </w:rPr>
              <w:t>γ</w:t>
            </w:r>
            <w:r w:rsidRPr="000D23B1">
              <w:rPr>
                <w:sz w:val="20"/>
                <w:szCs w:val="20"/>
              </w:rPr>
              <w:t>-S</w:t>
            </w:r>
          </w:p>
          <w:p w14:paraId="0648253D" w14:textId="77777777" w:rsidR="0025406D" w:rsidRPr="000D23B1" w:rsidRDefault="0025406D" w:rsidP="00202EE3">
            <w:pPr>
              <w:pStyle w:val="NoSpacing"/>
              <w:rPr>
                <w:w w:val="110"/>
                <w:sz w:val="20"/>
                <w:szCs w:val="20"/>
              </w:rPr>
            </w:pPr>
            <w:r w:rsidRPr="000D23B1">
              <w:rPr>
                <w:w w:val="110"/>
                <w:sz w:val="20"/>
                <w:szCs w:val="20"/>
              </w:rPr>
              <w:t>potentiation (%)</w:t>
            </w:r>
          </w:p>
        </w:tc>
        <w:tc>
          <w:tcPr>
            <w:tcW w:w="1705" w:type="dxa"/>
          </w:tcPr>
          <w:p w14:paraId="18C9414C" w14:textId="77777777" w:rsidR="0025406D" w:rsidRPr="000D23B1" w:rsidRDefault="0025406D" w:rsidP="00202EE3">
            <w:pPr>
              <w:pStyle w:val="NoSpacing"/>
              <w:rPr>
                <w:w w:val="110"/>
                <w:sz w:val="20"/>
                <w:szCs w:val="20"/>
              </w:rPr>
            </w:pPr>
            <w:r w:rsidRPr="000D23B1">
              <w:rPr>
                <w:w w:val="110"/>
                <w:sz w:val="20"/>
                <w:szCs w:val="20"/>
              </w:rPr>
              <w:t>Propofol potentiation (%)</w:t>
            </w:r>
          </w:p>
        </w:tc>
      </w:tr>
      <w:tr w:rsidR="000D23B1" w:rsidRPr="000D23B1" w14:paraId="37B3C399" w14:textId="77777777" w:rsidTr="0034091D">
        <w:trPr>
          <w:trHeight w:val="328"/>
        </w:trPr>
        <w:tc>
          <w:tcPr>
            <w:tcW w:w="805" w:type="dxa"/>
          </w:tcPr>
          <w:p w14:paraId="10276293" w14:textId="77777777" w:rsidR="0025406D" w:rsidRPr="000D23B1" w:rsidRDefault="0025406D" w:rsidP="00202EE3">
            <w:pPr>
              <w:pStyle w:val="NoSpacing"/>
              <w:rPr>
                <w:sz w:val="20"/>
                <w:szCs w:val="20"/>
              </w:rPr>
            </w:pPr>
            <w:r w:rsidRPr="000D23B1">
              <w:rPr>
                <w:sz w:val="20"/>
                <w:szCs w:val="20"/>
              </w:rPr>
              <w:t>α1</w:t>
            </w:r>
          </w:p>
        </w:tc>
        <w:tc>
          <w:tcPr>
            <w:tcW w:w="1710" w:type="dxa"/>
          </w:tcPr>
          <w:p w14:paraId="51FD4AFD" w14:textId="77777777" w:rsidR="0025406D" w:rsidRPr="000D23B1" w:rsidRDefault="0025406D" w:rsidP="00202EE3">
            <w:pPr>
              <w:pStyle w:val="NoSpacing"/>
              <w:rPr>
                <w:sz w:val="20"/>
                <w:szCs w:val="20"/>
              </w:rPr>
            </w:pPr>
            <w:r w:rsidRPr="000D23B1">
              <w:rPr>
                <w:sz w:val="20"/>
                <w:szCs w:val="20"/>
              </w:rPr>
              <w:t xml:space="preserve">40 </w:t>
            </w:r>
            <w:r w:rsidRPr="000D23B1">
              <w:rPr>
                <w:rFonts w:ascii="Lucida Sans Unicode" w:hAnsi="Lucida Sans Unicode" w:cs="Lucida Sans Unicode"/>
                <w:sz w:val="20"/>
                <w:szCs w:val="20"/>
              </w:rPr>
              <w:t xml:space="preserve">± </w:t>
            </w:r>
            <w:r w:rsidRPr="000D23B1">
              <w:rPr>
                <w:sz w:val="20"/>
                <w:szCs w:val="20"/>
              </w:rPr>
              <w:t>1 (10)</w:t>
            </w:r>
          </w:p>
        </w:tc>
        <w:tc>
          <w:tcPr>
            <w:tcW w:w="1170" w:type="dxa"/>
          </w:tcPr>
          <w:p w14:paraId="7D329E7A" w14:textId="77777777" w:rsidR="0025406D" w:rsidRPr="000D23B1" w:rsidRDefault="0025406D" w:rsidP="00202EE3">
            <w:pPr>
              <w:pStyle w:val="NoSpacing"/>
              <w:rPr>
                <w:sz w:val="20"/>
                <w:szCs w:val="20"/>
              </w:rPr>
            </w:pPr>
            <w:r w:rsidRPr="000D23B1">
              <w:rPr>
                <w:sz w:val="20"/>
                <w:szCs w:val="20"/>
              </w:rPr>
              <w:t xml:space="preserve">1.96 </w:t>
            </w:r>
            <w:r w:rsidRPr="000D23B1">
              <w:rPr>
                <w:rFonts w:ascii="Lucida Sans Unicode" w:hAnsi="Lucida Sans Unicode" w:cs="Lucida Sans Unicode"/>
                <w:sz w:val="20"/>
                <w:szCs w:val="20"/>
              </w:rPr>
              <w:t xml:space="preserve">± </w:t>
            </w:r>
            <w:r w:rsidRPr="000D23B1">
              <w:rPr>
                <w:sz w:val="20"/>
                <w:szCs w:val="20"/>
              </w:rPr>
              <w:t>0.1</w:t>
            </w:r>
          </w:p>
        </w:tc>
        <w:tc>
          <w:tcPr>
            <w:tcW w:w="1260" w:type="dxa"/>
          </w:tcPr>
          <w:p w14:paraId="19F6B4F8" w14:textId="77777777" w:rsidR="0025406D" w:rsidRPr="000D23B1" w:rsidRDefault="0025406D" w:rsidP="00202EE3">
            <w:pPr>
              <w:pStyle w:val="NoSpacing"/>
              <w:rPr>
                <w:sz w:val="20"/>
                <w:szCs w:val="20"/>
              </w:rPr>
            </w:pPr>
            <w:r w:rsidRPr="000D23B1">
              <w:rPr>
                <w:sz w:val="20"/>
                <w:szCs w:val="20"/>
              </w:rPr>
              <w:t xml:space="preserve">2111 </w:t>
            </w:r>
            <w:r w:rsidRPr="000D23B1">
              <w:rPr>
                <w:rFonts w:ascii="Lucida Sans Unicode" w:hAnsi="Lucida Sans Unicode" w:cs="Lucida Sans Unicode"/>
                <w:sz w:val="20"/>
                <w:szCs w:val="20"/>
              </w:rPr>
              <w:t xml:space="preserve">± </w:t>
            </w:r>
            <w:r w:rsidRPr="000D23B1">
              <w:rPr>
                <w:sz w:val="20"/>
                <w:szCs w:val="20"/>
              </w:rPr>
              <w:t>351</w:t>
            </w:r>
          </w:p>
        </w:tc>
        <w:tc>
          <w:tcPr>
            <w:tcW w:w="1710" w:type="dxa"/>
          </w:tcPr>
          <w:p w14:paraId="2889514E" w14:textId="77777777" w:rsidR="0025406D" w:rsidRPr="000D23B1" w:rsidRDefault="0025406D" w:rsidP="00202EE3">
            <w:pPr>
              <w:pStyle w:val="NoSpacing"/>
              <w:rPr>
                <w:sz w:val="20"/>
                <w:szCs w:val="20"/>
              </w:rPr>
            </w:pPr>
            <w:r w:rsidRPr="000D23B1">
              <w:rPr>
                <w:sz w:val="20"/>
                <w:szCs w:val="20"/>
              </w:rPr>
              <w:t xml:space="preserve">1.111 </w:t>
            </w:r>
            <w:r w:rsidRPr="000D23B1">
              <w:rPr>
                <w:rFonts w:ascii="Lucida Sans Unicode" w:hAnsi="Lucida Sans Unicode" w:cs="Lucida Sans Unicode"/>
                <w:sz w:val="20"/>
                <w:szCs w:val="20"/>
              </w:rPr>
              <w:t xml:space="preserve">± </w:t>
            </w:r>
            <w:r w:rsidRPr="000D23B1">
              <w:rPr>
                <w:sz w:val="20"/>
                <w:szCs w:val="20"/>
              </w:rPr>
              <w:t>0.1</w:t>
            </w:r>
          </w:p>
        </w:tc>
        <w:tc>
          <w:tcPr>
            <w:tcW w:w="1710" w:type="dxa"/>
          </w:tcPr>
          <w:p w14:paraId="3700F48E" w14:textId="77777777" w:rsidR="0025406D" w:rsidRPr="000D23B1" w:rsidRDefault="0025406D" w:rsidP="00202EE3">
            <w:pPr>
              <w:pStyle w:val="NoSpacing"/>
              <w:rPr>
                <w:sz w:val="20"/>
                <w:szCs w:val="20"/>
              </w:rPr>
            </w:pPr>
            <w:r w:rsidRPr="000D23B1">
              <w:rPr>
                <w:sz w:val="20"/>
                <w:szCs w:val="20"/>
              </w:rPr>
              <w:t xml:space="preserve">11 </w:t>
            </w:r>
            <w:r w:rsidRPr="000D23B1">
              <w:rPr>
                <w:rFonts w:ascii="Lucida Sans Unicode" w:hAnsi="Lucida Sans Unicode" w:cs="Lucida Sans Unicode"/>
                <w:sz w:val="20"/>
                <w:szCs w:val="20"/>
              </w:rPr>
              <w:t xml:space="preserve">± </w:t>
            </w:r>
            <w:r w:rsidRPr="000D23B1">
              <w:rPr>
                <w:sz w:val="20"/>
                <w:szCs w:val="20"/>
              </w:rPr>
              <w:t>3 (16)</w:t>
            </w:r>
          </w:p>
        </w:tc>
        <w:tc>
          <w:tcPr>
            <w:tcW w:w="1890" w:type="dxa"/>
          </w:tcPr>
          <w:p w14:paraId="3AB2AF8C" w14:textId="77777777" w:rsidR="0025406D" w:rsidRPr="000D23B1" w:rsidRDefault="0025406D" w:rsidP="00202EE3">
            <w:pPr>
              <w:pStyle w:val="NoSpacing"/>
              <w:rPr>
                <w:sz w:val="20"/>
                <w:szCs w:val="20"/>
              </w:rPr>
            </w:pPr>
            <w:r w:rsidRPr="000D23B1">
              <w:rPr>
                <w:sz w:val="20"/>
                <w:szCs w:val="20"/>
              </w:rPr>
              <w:t xml:space="preserve">46 </w:t>
            </w:r>
            <w:r w:rsidRPr="000D23B1">
              <w:rPr>
                <w:rFonts w:ascii="Lucida Sans Unicode" w:hAnsi="Lucida Sans Unicode" w:cs="Lucida Sans Unicode"/>
                <w:sz w:val="20"/>
                <w:szCs w:val="20"/>
              </w:rPr>
              <w:t xml:space="preserve">± </w:t>
            </w:r>
            <w:r w:rsidRPr="000D23B1">
              <w:rPr>
                <w:sz w:val="20"/>
                <w:szCs w:val="20"/>
              </w:rPr>
              <w:t>4 (16) (**)</w:t>
            </w:r>
          </w:p>
        </w:tc>
        <w:tc>
          <w:tcPr>
            <w:tcW w:w="1710" w:type="dxa"/>
          </w:tcPr>
          <w:p w14:paraId="74055E08" w14:textId="77777777" w:rsidR="0025406D" w:rsidRPr="000D23B1" w:rsidRDefault="0025406D" w:rsidP="00202EE3">
            <w:pPr>
              <w:pStyle w:val="NoSpacing"/>
              <w:rPr>
                <w:sz w:val="20"/>
                <w:szCs w:val="20"/>
              </w:rPr>
            </w:pPr>
            <w:r w:rsidRPr="000D23B1">
              <w:rPr>
                <w:sz w:val="20"/>
                <w:szCs w:val="20"/>
              </w:rPr>
              <w:t xml:space="preserve">80 </w:t>
            </w:r>
            <w:r w:rsidRPr="000D23B1">
              <w:rPr>
                <w:rFonts w:ascii="Lucida Sans Unicode" w:hAnsi="Lucida Sans Unicode" w:cs="Lucida Sans Unicode"/>
                <w:sz w:val="20"/>
                <w:szCs w:val="20"/>
              </w:rPr>
              <w:t xml:space="preserve">± </w:t>
            </w:r>
            <w:r w:rsidRPr="000D23B1">
              <w:rPr>
                <w:sz w:val="20"/>
                <w:szCs w:val="20"/>
              </w:rPr>
              <w:t>10 (ref)</w:t>
            </w:r>
          </w:p>
        </w:tc>
        <w:tc>
          <w:tcPr>
            <w:tcW w:w="1705" w:type="dxa"/>
          </w:tcPr>
          <w:p w14:paraId="0CF54063" w14:textId="77777777" w:rsidR="0025406D" w:rsidRPr="000D23B1" w:rsidRDefault="0025406D" w:rsidP="00202EE3">
            <w:pPr>
              <w:pStyle w:val="NoSpacing"/>
              <w:rPr>
                <w:sz w:val="20"/>
                <w:szCs w:val="20"/>
              </w:rPr>
            </w:pPr>
            <w:r w:rsidRPr="000D23B1">
              <w:rPr>
                <w:sz w:val="20"/>
                <w:szCs w:val="20"/>
              </w:rPr>
              <w:t xml:space="preserve">363 </w:t>
            </w:r>
            <w:r w:rsidRPr="000D23B1">
              <w:rPr>
                <w:rFonts w:ascii="Lucida Sans Unicode" w:hAnsi="Lucida Sans Unicode" w:cs="Lucida Sans Unicode"/>
                <w:sz w:val="20"/>
                <w:szCs w:val="20"/>
              </w:rPr>
              <w:t xml:space="preserve">± </w:t>
            </w:r>
            <w:r w:rsidRPr="000D23B1">
              <w:rPr>
                <w:sz w:val="20"/>
                <w:szCs w:val="20"/>
              </w:rPr>
              <w:t>33 (ref)</w:t>
            </w:r>
          </w:p>
        </w:tc>
      </w:tr>
      <w:tr w:rsidR="000D23B1" w:rsidRPr="000D23B1" w14:paraId="4E0A0EB4" w14:textId="77777777" w:rsidTr="0034091D">
        <w:trPr>
          <w:trHeight w:val="227"/>
        </w:trPr>
        <w:tc>
          <w:tcPr>
            <w:tcW w:w="805" w:type="dxa"/>
          </w:tcPr>
          <w:p w14:paraId="06638FD0" w14:textId="77777777" w:rsidR="0025406D" w:rsidRPr="000D23B1" w:rsidRDefault="0025406D" w:rsidP="00202EE3">
            <w:pPr>
              <w:pStyle w:val="NoSpacing"/>
              <w:rPr>
                <w:sz w:val="20"/>
                <w:szCs w:val="20"/>
              </w:rPr>
            </w:pPr>
            <w:r w:rsidRPr="000D23B1">
              <w:rPr>
                <w:sz w:val="20"/>
                <w:szCs w:val="20"/>
              </w:rPr>
              <w:t>α1β</w:t>
            </w:r>
          </w:p>
        </w:tc>
        <w:tc>
          <w:tcPr>
            <w:tcW w:w="1710" w:type="dxa"/>
          </w:tcPr>
          <w:p w14:paraId="3490E020" w14:textId="77777777" w:rsidR="0025406D" w:rsidRPr="000D23B1" w:rsidRDefault="0025406D" w:rsidP="00202EE3">
            <w:pPr>
              <w:pStyle w:val="NoSpacing"/>
              <w:rPr>
                <w:sz w:val="20"/>
                <w:szCs w:val="20"/>
              </w:rPr>
            </w:pPr>
            <w:r w:rsidRPr="000D23B1">
              <w:rPr>
                <w:sz w:val="20"/>
                <w:szCs w:val="20"/>
              </w:rPr>
              <w:t xml:space="preserve">46 </w:t>
            </w:r>
            <w:r w:rsidRPr="000D23B1">
              <w:rPr>
                <w:rFonts w:ascii="Lucida Sans Unicode" w:hAnsi="Lucida Sans Unicode" w:cs="Lucida Sans Unicode"/>
                <w:sz w:val="20"/>
                <w:szCs w:val="20"/>
              </w:rPr>
              <w:t xml:space="preserve">± </w:t>
            </w:r>
            <w:r w:rsidRPr="000D23B1">
              <w:rPr>
                <w:sz w:val="20"/>
                <w:szCs w:val="20"/>
              </w:rPr>
              <w:t>2 (9)</w:t>
            </w:r>
          </w:p>
        </w:tc>
        <w:tc>
          <w:tcPr>
            <w:tcW w:w="1170" w:type="dxa"/>
          </w:tcPr>
          <w:p w14:paraId="34F302FE" w14:textId="77777777" w:rsidR="0025406D" w:rsidRPr="000D23B1" w:rsidRDefault="0025406D" w:rsidP="00202EE3">
            <w:pPr>
              <w:pStyle w:val="NoSpacing"/>
              <w:rPr>
                <w:sz w:val="20"/>
                <w:szCs w:val="20"/>
              </w:rPr>
            </w:pPr>
            <w:r w:rsidRPr="000D23B1">
              <w:rPr>
                <w:sz w:val="20"/>
                <w:szCs w:val="20"/>
              </w:rPr>
              <w:t xml:space="preserve">1.85 </w:t>
            </w:r>
            <w:r w:rsidRPr="000D23B1">
              <w:rPr>
                <w:rFonts w:ascii="Lucida Sans Unicode" w:hAnsi="Lucida Sans Unicode" w:cs="Lucida Sans Unicode"/>
                <w:sz w:val="20"/>
                <w:szCs w:val="20"/>
              </w:rPr>
              <w:t xml:space="preserve">± </w:t>
            </w:r>
            <w:r w:rsidRPr="000D23B1">
              <w:rPr>
                <w:sz w:val="20"/>
                <w:szCs w:val="20"/>
              </w:rPr>
              <w:t>0.1</w:t>
            </w:r>
          </w:p>
        </w:tc>
        <w:tc>
          <w:tcPr>
            <w:tcW w:w="1260" w:type="dxa"/>
          </w:tcPr>
          <w:p w14:paraId="69C69C2B" w14:textId="77777777" w:rsidR="0025406D" w:rsidRPr="000D23B1" w:rsidRDefault="0025406D" w:rsidP="00202EE3">
            <w:pPr>
              <w:pStyle w:val="NoSpacing"/>
              <w:rPr>
                <w:sz w:val="20"/>
                <w:szCs w:val="20"/>
              </w:rPr>
            </w:pPr>
            <w:r w:rsidRPr="000D23B1">
              <w:rPr>
                <w:sz w:val="20"/>
                <w:szCs w:val="20"/>
              </w:rPr>
              <w:t xml:space="preserve">2355 </w:t>
            </w:r>
            <w:r w:rsidRPr="000D23B1">
              <w:rPr>
                <w:rFonts w:ascii="Lucida Sans Unicode" w:hAnsi="Lucida Sans Unicode" w:cs="Lucida Sans Unicode"/>
                <w:sz w:val="20"/>
                <w:szCs w:val="20"/>
              </w:rPr>
              <w:t xml:space="preserve">± </w:t>
            </w:r>
            <w:r w:rsidRPr="000D23B1">
              <w:rPr>
                <w:sz w:val="20"/>
                <w:szCs w:val="20"/>
              </w:rPr>
              <w:t>573</w:t>
            </w:r>
          </w:p>
        </w:tc>
        <w:tc>
          <w:tcPr>
            <w:tcW w:w="1710" w:type="dxa"/>
          </w:tcPr>
          <w:p w14:paraId="03620BEB" w14:textId="77777777" w:rsidR="0025406D" w:rsidRPr="000D23B1" w:rsidRDefault="0025406D" w:rsidP="00202EE3">
            <w:pPr>
              <w:pStyle w:val="NoSpacing"/>
              <w:rPr>
                <w:sz w:val="20"/>
                <w:szCs w:val="20"/>
              </w:rPr>
            </w:pPr>
            <w:r w:rsidRPr="000D23B1">
              <w:rPr>
                <w:sz w:val="20"/>
                <w:szCs w:val="20"/>
              </w:rPr>
              <w:t xml:space="preserve">1.847 </w:t>
            </w:r>
            <w:r w:rsidRPr="000D23B1">
              <w:rPr>
                <w:rFonts w:ascii="Lucida Sans Unicode" w:hAnsi="Lucida Sans Unicode" w:cs="Lucida Sans Unicode"/>
                <w:sz w:val="20"/>
                <w:szCs w:val="20"/>
              </w:rPr>
              <w:t xml:space="preserve">± </w:t>
            </w:r>
            <w:r w:rsidRPr="000D23B1">
              <w:rPr>
                <w:sz w:val="20"/>
                <w:szCs w:val="20"/>
              </w:rPr>
              <w:t>0.3</w:t>
            </w:r>
          </w:p>
        </w:tc>
        <w:tc>
          <w:tcPr>
            <w:tcW w:w="1710" w:type="dxa"/>
          </w:tcPr>
          <w:p w14:paraId="636FF83B" w14:textId="77777777" w:rsidR="0025406D" w:rsidRPr="000D23B1" w:rsidRDefault="0025406D" w:rsidP="00202EE3">
            <w:pPr>
              <w:pStyle w:val="NoSpacing"/>
              <w:rPr>
                <w:sz w:val="20"/>
                <w:szCs w:val="20"/>
              </w:rPr>
            </w:pPr>
            <w:r w:rsidRPr="000D23B1">
              <w:rPr>
                <w:sz w:val="20"/>
                <w:szCs w:val="20"/>
              </w:rPr>
              <w:t xml:space="preserve">9 </w:t>
            </w:r>
            <w:r w:rsidRPr="000D23B1">
              <w:rPr>
                <w:rFonts w:ascii="Lucida Sans Unicode" w:hAnsi="Lucida Sans Unicode" w:cs="Lucida Sans Unicode"/>
                <w:sz w:val="20"/>
                <w:szCs w:val="20"/>
              </w:rPr>
              <w:t xml:space="preserve">± </w:t>
            </w:r>
            <w:r w:rsidRPr="000D23B1">
              <w:rPr>
                <w:sz w:val="20"/>
                <w:szCs w:val="20"/>
              </w:rPr>
              <w:t>4 (10)</w:t>
            </w:r>
          </w:p>
        </w:tc>
        <w:tc>
          <w:tcPr>
            <w:tcW w:w="1890" w:type="dxa"/>
          </w:tcPr>
          <w:p w14:paraId="5992E2AC" w14:textId="77777777" w:rsidR="0025406D" w:rsidRPr="000D23B1" w:rsidRDefault="0025406D" w:rsidP="00202EE3">
            <w:pPr>
              <w:pStyle w:val="NoSpacing"/>
              <w:rPr>
                <w:sz w:val="20"/>
                <w:szCs w:val="20"/>
              </w:rPr>
            </w:pPr>
            <w:r w:rsidRPr="000D23B1">
              <w:rPr>
                <w:sz w:val="20"/>
                <w:szCs w:val="20"/>
              </w:rPr>
              <w:t xml:space="preserve">25 </w:t>
            </w:r>
            <w:r w:rsidRPr="000D23B1">
              <w:rPr>
                <w:rFonts w:ascii="Lucida Sans Unicode" w:hAnsi="Lucida Sans Unicode" w:cs="Lucida Sans Unicode"/>
                <w:sz w:val="20"/>
                <w:szCs w:val="20"/>
              </w:rPr>
              <w:t xml:space="preserve">± </w:t>
            </w:r>
            <w:r w:rsidRPr="000D23B1">
              <w:rPr>
                <w:sz w:val="20"/>
                <w:szCs w:val="20"/>
              </w:rPr>
              <w:t>5 (10)</w:t>
            </w:r>
          </w:p>
        </w:tc>
        <w:tc>
          <w:tcPr>
            <w:tcW w:w="1710" w:type="dxa"/>
          </w:tcPr>
          <w:p w14:paraId="730EC842" w14:textId="77777777" w:rsidR="0025406D" w:rsidRPr="000D23B1" w:rsidRDefault="0025406D" w:rsidP="00202EE3">
            <w:pPr>
              <w:pStyle w:val="NoSpacing"/>
              <w:rPr>
                <w:sz w:val="20"/>
                <w:szCs w:val="20"/>
              </w:rPr>
            </w:pPr>
            <w:r w:rsidRPr="000D23B1">
              <w:rPr>
                <w:sz w:val="20"/>
                <w:szCs w:val="20"/>
              </w:rPr>
              <w:t>ND</w:t>
            </w:r>
          </w:p>
        </w:tc>
        <w:tc>
          <w:tcPr>
            <w:tcW w:w="1705" w:type="dxa"/>
          </w:tcPr>
          <w:p w14:paraId="19257BC6" w14:textId="77777777" w:rsidR="0025406D" w:rsidRPr="000D23B1" w:rsidRDefault="0025406D" w:rsidP="00202EE3">
            <w:pPr>
              <w:pStyle w:val="NoSpacing"/>
              <w:rPr>
                <w:sz w:val="20"/>
                <w:szCs w:val="20"/>
              </w:rPr>
            </w:pPr>
            <w:r w:rsidRPr="000D23B1">
              <w:rPr>
                <w:sz w:val="20"/>
                <w:szCs w:val="20"/>
              </w:rPr>
              <w:t>ND</w:t>
            </w:r>
          </w:p>
        </w:tc>
      </w:tr>
      <w:tr w:rsidR="000D23B1" w:rsidRPr="000D23B1" w14:paraId="380CFC71" w14:textId="77777777" w:rsidTr="0034091D">
        <w:trPr>
          <w:trHeight w:val="227"/>
        </w:trPr>
        <w:tc>
          <w:tcPr>
            <w:tcW w:w="805" w:type="dxa"/>
          </w:tcPr>
          <w:p w14:paraId="72E2FCEF" w14:textId="77777777" w:rsidR="0025406D" w:rsidRPr="000D23B1" w:rsidRDefault="0025406D" w:rsidP="00202EE3">
            <w:pPr>
              <w:pStyle w:val="NoSpacing"/>
              <w:rPr>
                <w:sz w:val="20"/>
                <w:szCs w:val="20"/>
              </w:rPr>
            </w:pPr>
            <w:r w:rsidRPr="000D23B1">
              <w:rPr>
                <w:sz w:val="20"/>
                <w:szCs w:val="20"/>
              </w:rPr>
              <w:t>α2</w:t>
            </w:r>
          </w:p>
        </w:tc>
        <w:tc>
          <w:tcPr>
            <w:tcW w:w="1710" w:type="dxa"/>
          </w:tcPr>
          <w:p w14:paraId="090E4C19" w14:textId="77777777" w:rsidR="0025406D" w:rsidRPr="000D23B1" w:rsidRDefault="0025406D" w:rsidP="00202EE3">
            <w:pPr>
              <w:pStyle w:val="NoSpacing"/>
              <w:rPr>
                <w:sz w:val="20"/>
                <w:szCs w:val="20"/>
              </w:rPr>
            </w:pPr>
            <w:r w:rsidRPr="000D23B1">
              <w:rPr>
                <w:sz w:val="20"/>
                <w:szCs w:val="20"/>
              </w:rPr>
              <w:t xml:space="preserve">86 </w:t>
            </w:r>
            <w:r w:rsidRPr="000D23B1">
              <w:rPr>
                <w:rFonts w:ascii="Lucida Sans Unicode" w:hAnsi="Lucida Sans Unicode" w:cs="Lucida Sans Unicode"/>
                <w:sz w:val="20"/>
                <w:szCs w:val="20"/>
              </w:rPr>
              <w:t xml:space="preserve">± </w:t>
            </w:r>
            <w:r w:rsidRPr="000D23B1">
              <w:rPr>
                <w:sz w:val="20"/>
                <w:szCs w:val="20"/>
              </w:rPr>
              <w:t>2 (10) (***)</w:t>
            </w:r>
          </w:p>
        </w:tc>
        <w:tc>
          <w:tcPr>
            <w:tcW w:w="1170" w:type="dxa"/>
          </w:tcPr>
          <w:p w14:paraId="048A0485" w14:textId="77777777" w:rsidR="0025406D" w:rsidRPr="000D23B1" w:rsidRDefault="0025406D" w:rsidP="00202EE3">
            <w:pPr>
              <w:pStyle w:val="NoSpacing"/>
              <w:rPr>
                <w:sz w:val="20"/>
                <w:szCs w:val="20"/>
              </w:rPr>
            </w:pPr>
            <w:r w:rsidRPr="000D23B1">
              <w:rPr>
                <w:sz w:val="20"/>
                <w:szCs w:val="20"/>
              </w:rPr>
              <w:t xml:space="preserve">1.52 </w:t>
            </w:r>
            <w:r w:rsidRPr="000D23B1">
              <w:rPr>
                <w:rFonts w:ascii="Lucida Sans Unicode" w:hAnsi="Lucida Sans Unicode" w:cs="Lucida Sans Unicode"/>
                <w:sz w:val="20"/>
                <w:szCs w:val="20"/>
              </w:rPr>
              <w:t xml:space="preserve">± </w:t>
            </w:r>
            <w:r w:rsidRPr="000D23B1">
              <w:rPr>
                <w:sz w:val="20"/>
                <w:szCs w:val="20"/>
              </w:rPr>
              <w:t>0.1</w:t>
            </w:r>
          </w:p>
        </w:tc>
        <w:tc>
          <w:tcPr>
            <w:tcW w:w="1260" w:type="dxa"/>
          </w:tcPr>
          <w:p w14:paraId="3DDC26F4" w14:textId="77777777" w:rsidR="0025406D" w:rsidRPr="000D23B1" w:rsidRDefault="0025406D" w:rsidP="00202EE3">
            <w:pPr>
              <w:pStyle w:val="NoSpacing"/>
              <w:rPr>
                <w:sz w:val="20"/>
                <w:szCs w:val="20"/>
              </w:rPr>
            </w:pPr>
            <w:r w:rsidRPr="000D23B1">
              <w:rPr>
                <w:sz w:val="20"/>
                <w:szCs w:val="20"/>
              </w:rPr>
              <w:t xml:space="preserve">2493 </w:t>
            </w:r>
            <w:r w:rsidRPr="000D23B1">
              <w:rPr>
                <w:rFonts w:ascii="Lucida Sans Unicode" w:hAnsi="Lucida Sans Unicode" w:cs="Lucida Sans Unicode"/>
                <w:sz w:val="20"/>
                <w:szCs w:val="20"/>
              </w:rPr>
              <w:t xml:space="preserve">± </w:t>
            </w:r>
            <w:r w:rsidRPr="000D23B1">
              <w:rPr>
                <w:sz w:val="20"/>
                <w:szCs w:val="20"/>
              </w:rPr>
              <w:t>359</w:t>
            </w:r>
          </w:p>
        </w:tc>
        <w:tc>
          <w:tcPr>
            <w:tcW w:w="1710" w:type="dxa"/>
          </w:tcPr>
          <w:p w14:paraId="41CF20CD" w14:textId="77777777" w:rsidR="0025406D" w:rsidRPr="000D23B1" w:rsidRDefault="0025406D" w:rsidP="00202EE3">
            <w:pPr>
              <w:pStyle w:val="NoSpacing"/>
              <w:rPr>
                <w:sz w:val="20"/>
                <w:szCs w:val="20"/>
              </w:rPr>
            </w:pPr>
            <w:r w:rsidRPr="000D23B1">
              <w:rPr>
                <w:sz w:val="20"/>
                <w:szCs w:val="20"/>
              </w:rPr>
              <w:t xml:space="preserve">8.116 </w:t>
            </w:r>
            <w:r w:rsidRPr="000D23B1">
              <w:rPr>
                <w:rFonts w:ascii="Lucida Sans Unicode" w:hAnsi="Lucida Sans Unicode" w:cs="Lucida Sans Unicode"/>
                <w:sz w:val="20"/>
                <w:szCs w:val="20"/>
              </w:rPr>
              <w:t xml:space="preserve">± </w:t>
            </w:r>
            <w:r w:rsidRPr="000D23B1">
              <w:rPr>
                <w:sz w:val="20"/>
                <w:szCs w:val="20"/>
              </w:rPr>
              <w:t>1.5</w:t>
            </w:r>
          </w:p>
        </w:tc>
        <w:tc>
          <w:tcPr>
            <w:tcW w:w="1710" w:type="dxa"/>
          </w:tcPr>
          <w:p w14:paraId="422A4139" w14:textId="77777777" w:rsidR="0025406D" w:rsidRPr="000D23B1" w:rsidRDefault="0025406D" w:rsidP="00202EE3">
            <w:pPr>
              <w:pStyle w:val="NoSpacing"/>
              <w:rPr>
                <w:sz w:val="20"/>
                <w:szCs w:val="20"/>
              </w:rPr>
            </w:pPr>
            <w:r w:rsidRPr="000D23B1">
              <w:rPr>
                <w:rFonts w:ascii="Lucida Sans Unicode" w:hAnsi="Lucida Sans Unicode" w:cs="Lucida Sans Unicode"/>
                <w:sz w:val="20"/>
                <w:szCs w:val="20"/>
              </w:rPr>
              <w:t>−</w:t>
            </w:r>
            <w:r w:rsidRPr="000D23B1">
              <w:rPr>
                <w:sz w:val="20"/>
                <w:szCs w:val="20"/>
              </w:rPr>
              <w:t xml:space="preserve">4 </w:t>
            </w:r>
            <w:r w:rsidRPr="000D23B1">
              <w:rPr>
                <w:rFonts w:ascii="Lucida Sans Unicode" w:hAnsi="Lucida Sans Unicode" w:cs="Lucida Sans Unicode"/>
                <w:sz w:val="20"/>
                <w:szCs w:val="20"/>
              </w:rPr>
              <w:t xml:space="preserve">± </w:t>
            </w:r>
            <w:r w:rsidRPr="000D23B1">
              <w:rPr>
                <w:sz w:val="20"/>
                <w:szCs w:val="20"/>
              </w:rPr>
              <w:t>4 (12)</w:t>
            </w:r>
          </w:p>
        </w:tc>
        <w:tc>
          <w:tcPr>
            <w:tcW w:w="1890" w:type="dxa"/>
          </w:tcPr>
          <w:p w14:paraId="6A14FEFF" w14:textId="77777777" w:rsidR="0025406D" w:rsidRPr="000D23B1" w:rsidRDefault="0025406D" w:rsidP="00202EE3">
            <w:pPr>
              <w:pStyle w:val="NoSpacing"/>
              <w:rPr>
                <w:sz w:val="20"/>
                <w:szCs w:val="20"/>
              </w:rPr>
            </w:pPr>
            <w:r w:rsidRPr="000D23B1">
              <w:rPr>
                <w:sz w:val="20"/>
                <w:szCs w:val="20"/>
              </w:rPr>
              <w:t xml:space="preserve">12 </w:t>
            </w:r>
            <w:r w:rsidRPr="000D23B1">
              <w:rPr>
                <w:rFonts w:ascii="Lucida Sans Unicode" w:hAnsi="Lucida Sans Unicode" w:cs="Lucida Sans Unicode"/>
                <w:sz w:val="20"/>
                <w:szCs w:val="20"/>
              </w:rPr>
              <w:t xml:space="preserve">± </w:t>
            </w:r>
            <w:r w:rsidRPr="000D23B1">
              <w:rPr>
                <w:sz w:val="20"/>
                <w:szCs w:val="20"/>
              </w:rPr>
              <w:t>4 (12)</w:t>
            </w:r>
          </w:p>
        </w:tc>
        <w:tc>
          <w:tcPr>
            <w:tcW w:w="1710" w:type="dxa"/>
          </w:tcPr>
          <w:p w14:paraId="42876DEE" w14:textId="77777777" w:rsidR="0025406D" w:rsidRPr="000D23B1" w:rsidRDefault="0025406D" w:rsidP="00202EE3">
            <w:pPr>
              <w:pStyle w:val="NoSpacing"/>
              <w:rPr>
                <w:sz w:val="20"/>
                <w:szCs w:val="20"/>
              </w:rPr>
            </w:pPr>
            <w:r w:rsidRPr="000D23B1">
              <w:rPr>
                <w:rFonts w:ascii="Lucida Sans Unicode" w:hAnsi="Lucida Sans Unicode" w:cs="Lucida Sans Unicode"/>
                <w:sz w:val="20"/>
                <w:szCs w:val="20"/>
              </w:rPr>
              <w:t>−</w:t>
            </w:r>
            <w:r w:rsidRPr="000D23B1">
              <w:rPr>
                <w:sz w:val="20"/>
                <w:szCs w:val="20"/>
              </w:rPr>
              <w:t xml:space="preserve">1 </w:t>
            </w:r>
            <w:r w:rsidRPr="000D23B1">
              <w:rPr>
                <w:rFonts w:ascii="Lucida Sans Unicode" w:hAnsi="Lucida Sans Unicode" w:cs="Lucida Sans Unicode"/>
                <w:sz w:val="20"/>
                <w:szCs w:val="20"/>
              </w:rPr>
              <w:t xml:space="preserve">± </w:t>
            </w:r>
            <w:r w:rsidRPr="000D23B1">
              <w:rPr>
                <w:sz w:val="20"/>
                <w:szCs w:val="20"/>
              </w:rPr>
              <w:t>7 (4)</w:t>
            </w:r>
          </w:p>
        </w:tc>
        <w:tc>
          <w:tcPr>
            <w:tcW w:w="1705" w:type="dxa"/>
          </w:tcPr>
          <w:p w14:paraId="60910F83" w14:textId="77777777" w:rsidR="0025406D" w:rsidRPr="000D23B1" w:rsidRDefault="0025406D" w:rsidP="00202EE3">
            <w:pPr>
              <w:pStyle w:val="NoSpacing"/>
              <w:rPr>
                <w:sz w:val="20"/>
                <w:szCs w:val="20"/>
              </w:rPr>
            </w:pPr>
            <w:r w:rsidRPr="000D23B1">
              <w:rPr>
                <w:sz w:val="20"/>
                <w:szCs w:val="20"/>
              </w:rPr>
              <w:t xml:space="preserve">30 </w:t>
            </w:r>
            <w:r w:rsidRPr="000D23B1">
              <w:rPr>
                <w:rFonts w:ascii="Lucida Sans Unicode" w:hAnsi="Lucida Sans Unicode" w:cs="Lucida Sans Unicode"/>
                <w:sz w:val="20"/>
                <w:szCs w:val="20"/>
              </w:rPr>
              <w:t xml:space="preserve">± </w:t>
            </w:r>
            <w:r w:rsidRPr="000D23B1">
              <w:rPr>
                <w:sz w:val="20"/>
                <w:szCs w:val="20"/>
              </w:rPr>
              <w:t>7 (6)</w:t>
            </w:r>
          </w:p>
        </w:tc>
      </w:tr>
      <w:tr w:rsidR="000D23B1" w:rsidRPr="000D23B1" w14:paraId="712A4441" w14:textId="77777777" w:rsidTr="0034091D">
        <w:trPr>
          <w:trHeight w:val="227"/>
        </w:trPr>
        <w:tc>
          <w:tcPr>
            <w:tcW w:w="805" w:type="dxa"/>
          </w:tcPr>
          <w:p w14:paraId="653D4B72" w14:textId="77777777" w:rsidR="0025406D" w:rsidRPr="000D23B1" w:rsidRDefault="0025406D" w:rsidP="00202EE3">
            <w:pPr>
              <w:pStyle w:val="NoSpacing"/>
              <w:rPr>
                <w:sz w:val="20"/>
                <w:szCs w:val="20"/>
              </w:rPr>
            </w:pPr>
            <w:r w:rsidRPr="000D23B1">
              <w:rPr>
                <w:sz w:val="20"/>
                <w:szCs w:val="20"/>
              </w:rPr>
              <w:t>α2β</w:t>
            </w:r>
          </w:p>
        </w:tc>
        <w:tc>
          <w:tcPr>
            <w:tcW w:w="1710" w:type="dxa"/>
          </w:tcPr>
          <w:p w14:paraId="7B8450CB" w14:textId="77777777" w:rsidR="0025406D" w:rsidRPr="000D23B1" w:rsidRDefault="0025406D" w:rsidP="00202EE3">
            <w:pPr>
              <w:pStyle w:val="NoSpacing"/>
              <w:rPr>
                <w:sz w:val="20"/>
                <w:szCs w:val="20"/>
              </w:rPr>
            </w:pPr>
            <w:r w:rsidRPr="000D23B1">
              <w:rPr>
                <w:sz w:val="20"/>
                <w:szCs w:val="20"/>
              </w:rPr>
              <w:t xml:space="preserve">48 </w:t>
            </w:r>
            <w:r w:rsidRPr="000D23B1">
              <w:rPr>
                <w:rFonts w:ascii="Lucida Sans Unicode" w:hAnsi="Lucida Sans Unicode" w:cs="Lucida Sans Unicode"/>
                <w:sz w:val="20"/>
                <w:szCs w:val="20"/>
              </w:rPr>
              <w:t xml:space="preserve">± </w:t>
            </w:r>
            <w:r w:rsidRPr="000D23B1">
              <w:rPr>
                <w:sz w:val="20"/>
                <w:szCs w:val="20"/>
              </w:rPr>
              <w:t>8 (10) (***)</w:t>
            </w:r>
          </w:p>
        </w:tc>
        <w:tc>
          <w:tcPr>
            <w:tcW w:w="1170" w:type="dxa"/>
          </w:tcPr>
          <w:p w14:paraId="1E1C69AB" w14:textId="77777777" w:rsidR="0025406D" w:rsidRPr="000D23B1" w:rsidRDefault="0025406D" w:rsidP="00202EE3">
            <w:pPr>
              <w:pStyle w:val="NoSpacing"/>
              <w:rPr>
                <w:sz w:val="20"/>
                <w:szCs w:val="20"/>
              </w:rPr>
            </w:pPr>
            <w:r w:rsidRPr="000D23B1">
              <w:rPr>
                <w:sz w:val="20"/>
                <w:szCs w:val="20"/>
              </w:rPr>
              <w:t xml:space="preserve">1.5 </w:t>
            </w:r>
            <w:r w:rsidRPr="000D23B1">
              <w:rPr>
                <w:rFonts w:ascii="Lucida Sans Unicode" w:hAnsi="Lucida Sans Unicode" w:cs="Lucida Sans Unicode"/>
                <w:sz w:val="20"/>
                <w:szCs w:val="20"/>
              </w:rPr>
              <w:t xml:space="preserve">± </w:t>
            </w:r>
            <w:r w:rsidRPr="000D23B1">
              <w:rPr>
                <w:sz w:val="20"/>
                <w:szCs w:val="20"/>
              </w:rPr>
              <w:t>0.1</w:t>
            </w:r>
          </w:p>
        </w:tc>
        <w:tc>
          <w:tcPr>
            <w:tcW w:w="1260" w:type="dxa"/>
          </w:tcPr>
          <w:p w14:paraId="430E8A94" w14:textId="77777777" w:rsidR="0025406D" w:rsidRPr="000D23B1" w:rsidRDefault="0025406D" w:rsidP="00202EE3">
            <w:pPr>
              <w:pStyle w:val="NoSpacing"/>
              <w:rPr>
                <w:sz w:val="20"/>
                <w:szCs w:val="20"/>
              </w:rPr>
            </w:pPr>
            <w:r w:rsidRPr="000D23B1">
              <w:rPr>
                <w:sz w:val="20"/>
                <w:szCs w:val="20"/>
              </w:rPr>
              <w:t xml:space="preserve">3280 </w:t>
            </w:r>
            <w:r w:rsidRPr="000D23B1">
              <w:rPr>
                <w:rFonts w:ascii="Lucida Sans Unicode" w:hAnsi="Lucida Sans Unicode" w:cs="Lucida Sans Unicode"/>
                <w:sz w:val="20"/>
                <w:szCs w:val="20"/>
              </w:rPr>
              <w:t xml:space="preserve">± </w:t>
            </w:r>
            <w:r w:rsidRPr="000D23B1">
              <w:rPr>
                <w:sz w:val="20"/>
                <w:szCs w:val="20"/>
              </w:rPr>
              <w:t>471</w:t>
            </w:r>
          </w:p>
        </w:tc>
        <w:tc>
          <w:tcPr>
            <w:tcW w:w="1710" w:type="dxa"/>
          </w:tcPr>
          <w:p w14:paraId="1FE73838" w14:textId="77777777" w:rsidR="0025406D" w:rsidRPr="000D23B1" w:rsidRDefault="0025406D" w:rsidP="00202EE3">
            <w:pPr>
              <w:pStyle w:val="NoSpacing"/>
              <w:rPr>
                <w:sz w:val="20"/>
                <w:szCs w:val="20"/>
              </w:rPr>
            </w:pPr>
            <w:r w:rsidRPr="000D23B1">
              <w:rPr>
                <w:sz w:val="20"/>
                <w:szCs w:val="20"/>
              </w:rPr>
              <w:t xml:space="preserve">2.339 </w:t>
            </w:r>
            <w:r w:rsidRPr="000D23B1">
              <w:rPr>
                <w:rFonts w:ascii="Lucida Sans Unicode" w:hAnsi="Lucida Sans Unicode" w:cs="Lucida Sans Unicode"/>
                <w:sz w:val="20"/>
                <w:szCs w:val="20"/>
              </w:rPr>
              <w:t xml:space="preserve">± </w:t>
            </w:r>
            <w:r w:rsidRPr="000D23B1">
              <w:rPr>
                <w:sz w:val="20"/>
                <w:szCs w:val="20"/>
              </w:rPr>
              <w:t>0.3 (***)</w:t>
            </w:r>
          </w:p>
        </w:tc>
        <w:tc>
          <w:tcPr>
            <w:tcW w:w="1710" w:type="dxa"/>
          </w:tcPr>
          <w:p w14:paraId="046477C4" w14:textId="77777777" w:rsidR="0025406D" w:rsidRPr="000D23B1" w:rsidRDefault="0025406D" w:rsidP="00202EE3">
            <w:pPr>
              <w:pStyle w:val="NoSpacing"/>
              <w:rPr>
                <w:sz w:val="20"/>
                <w:szCs w:val="20"/>
              </w:rPr>
            </w:pPr>
            <w:r w:rsidRPr="000D23B1">
              <w:rPr>
                <w:sz w:val="20"/>
                <w:szCs w:val="20"/>
              </w:rPr>
              <w:t xml:space="preserve">31 </w:t>
            </w:r>
            <w:r w:rsidRPr="000D23B1">
              <w:rPr>
                <w:rFonts w:ascii="Lucida Sans Unicode" w:hAnsi="Lucida Sans Unicode" w:cs="Lucida Sans Unicode"/>
                <w:sz w:val="20"/>
                <w:szCs w:val="20"/>
              </w:rPr>
              <w:t xml:space="preserve">± </w:t>
            </w:r>
            <w:r w:rsidRPr="000D23B1">
              <w:rPr>
                <w:sz w:val="20"/>
                <w:szCs w:val="20"/>
              </w:rPr>
              <w:t>7 (15) (***)</w:t>
            </w:r>
          </w:p>
        </w:tc>
        <w:tc>
          <w:tcPr>
            <w:tcW w:w="1890" w:type="dxa"/>
          </w:tcPr>
          <w:p w14:paraId="1D534F41" w14:textId="77777777" w:rsidR="0025406D" w:rsidRPr="000D23B1" w:rsidRDefault="0025406D" w:rsidP="00202EE3">
            <w:pPr>
              <w:pStyle w:val="NoSpacing"/>
              <w:rPr>
                <w:sz w:val="20"/>
                <w:szCs w:val="20"/>
              </w:rPr>
            </w:pPr>
            <w:r w:rsidRPr="000D23B1">
              <w:rPr>
                <w:sz w:val="20"/>
                <w:szCs w:val="20"/>
              </w:rPr>
              <w:t xml:space="preserve">90 </w:t>
            </w:r>
            <w:r w:rsidRPr="000D23B1">
              <w:rPr>
                <w:rFonts w:ascii="Lucida Sans Unicode" w:hAnsi="Lucida Sans Unicode" w:cs="Lucida Sans Unicode"/>
                <w:sz w:val="20"/>
                <w:szCs w:val="20"/>
              </w:rPr>
              <w:t xml:space="preserve">± </w:t>
            </w:r>
            <w:r w:rsidRPr="000D23B1">
              <w:rPr>
                <w:sz w:val="20"/>
                <w:szCs w:val="20"/>
              </w:rPr>
              <w:t>20 (15) (**)</w:t>
            </w:r>
          </w:p>
        </w:tc>
        <w:tc>
          <w:tcPr>
            <w:tcW w:w="1710" w:type="dxa"/>
          </w:tcPr>
          <w:p w14:paraId="20143B2B" w14:textId="77777777" w:rsidR="0025406D" w:rsidRPr="000D23B1" w:rsidRDefault="0025406D" w:rsidP="00202EE3">
            <w:pPr>
              <w:pStyle w:val="NoSpacing"/>
              <w:rPr>
                <w:sz w:val="20"/>
                <w:szCs w:val="20"/>
              </w:rPr>
            </w:pPr>
            <w:r w:rsidRPr="000D23B1">
              <w:rPr>
                <w:sz w:val="20"/>
                <w:szCs w:val="20"/>
              </w:rPr>
              <w:t xml:space="preserve">73 </w:t>
            </w:r>
            <w:r w:rsidRPr="000D23B1">
              <w:rPr>
                <w:rFonts w:ascii="Lucida Sans Unicode" w:hAnsi="Lucida Sans Unicode" w:cs="Lucida Sans Unicode"/>
                <w:sz w:val="20"/>
                <w:szCs w:val="20"/>
              </w:rPr>
              <w:t xml:space="preserve">± </w:t>
            </w:r>
            <w:r w:rsidRPr="000D23B1">
              <w:rPr>
                <w:sz w:val="20"/>
                <w:szCs w:val="20"/>
              </w:rPr>
              <w:t>11 (10) (**)</w:t>
            </w:r>
          </w:p>
        </w:tc>
        <w:tc>
          <w:tcPr>
            <w:tcW w:w="1705" w:type="dxa"/>
          </w:tcPr>
          <w:p w14:paraId="432EB032" w14:textId="77777777" w:rsidR="0025406D" w:rsidRPr="000D23B1" w:rsidRDefault="0025406D" w:rsidP="00202EE3">
            <w:pPr>
              <w:pStyle w:val="NoSpacing"/>
              <w:rPr>
                <w:sz w:val="20"/>
                <w:szCs w:val="20"/>
              </w:rPr>
            </w:pPr>
            <w:r w:rsidRPr="000D23B1">
              <w:rPr>
                <w:sz w:val="20"/>
                <w:szCs w:val="20"/>
              </w:rPr>
              <w:t xml:space="preserve">210 </w:t>
            </w:r>
            <w:r w:rsidRPr="000D23B1">
              <w:rPr>
                <w:rFonts w:ascii="Lucida Sans Unicode" w:hAnsi="Lucida Sans Unicode" w:cs="Lucida Sans Unicode"/>
                <w:sz w:val="20"/>
                <w:szCs w:val="20"/>
              </w:rPr>
              <w:t xml:space="preserve">± </w:t>
            </w:r>
            <w:r w:rsidRPr="000D23B1">
              <w:rPr>
                <w:sz w:val="20"/>
                <w:szCs w:val="20"/>
              </w:rPr>
              <w:t>50 (7)</w:t>
            </w:r>
          </w:p>
        </w:tc>
      </w:tr>
      <w:tr w:rsidR="000D23B1" w:rsidRPr="000D23B1" w14:paraId="03F410F1" w14:textId="77777777" w:rsidTr="0034091D">
        <w:trPr>
          <w:trHeight w:val="248"/>
        </w:trPr>
        <w:tc>
          <w:tcPr>
            <w:tcW w:w="805" w:type="dxa"/>
          </w:tcPr>
          <w:p w14:paraId="7D89667F" w14:textId="77777777" w:rsidR="0025406D" w:rsidRPr="000D23B1" w:rsidRDefault="0025406D" w:rsidP="00202EE3">
            <w:pPr>
              <w:pStyle w:val="NoSpacing"/>
              <w:rPr>
                <w:sz w:val="20"/>
                <w:szCs w:val="20"/>
              </w:rPr>
            </w:pPr>
            <w:r w:rsidRPr="000D23B1">
              <w:rPr>
                <w:sz w:val="20"/>
                <w:szCs w:val="20"/>
              </w:rPr>
              <w:t>α2AAβ</w:t>
            </w:r>
          </w:p>
        </w:tc>
        <w:tc>
          <w:tcPr>
            <w:tcW w:w="1710" w:type="dxa"/>
          </w:tcPr>
          <w:p w14:paraId="1B2E2421" w14:textId="77777777" w:rsidR="0025406D" w:rsidRPr="000D23B1" w:rsidRDefault="0025406D" w:rsidP="00202EE3">
            <w:pPr>
              <w:pStyle w:val="NoSpacing"/>
              <w:rPr>
                <w:sz w:val="20"/>
                <w:szCs w:val="20"/>
              </w:rPr>
            </w:pPr>
            <w:r w:rsidRPr="000D23B1">
              <w:rPr>
                <w:sz w:val="20"/>
                <w:szCs w:val="20"/>
              </w:rPr>
              <w:t xml:space="preserve">60 </w:t>
            </w:r>
            <w:r w:rsidRPr="000D23B1">
              <w:rPr>
                <w:rFonts w:ascii="Lucida Sans Unicode" w:hAnsi="Lucida Sans Unicode" w:cs="Lucida Sans Unicode"/>
                <w:sz w:val="20"/>
                <w:szCs w:val="20"/>
              </w:rPr>
              <w:t xml:space="preserve">± </w:t>
            </w:r>
            <w:r w:rsidRPr="000D23B1">
              <w:rPr>
                <w:sz w:val="20"/>
                <w:szCs w:val="20"/>
              </w:rPr>
              <w:t>1 (12)</w:t>
            </w:r>
          </w:p>
        </w:tc>
        <w:tc>
          <w:tcPr>
            <w:tcW w:w="1170" w:type="dxa"/>
          </w:tcPr>
          <w:p w14:paraId="542CC18E" w14:textId="77777777" w:rsidR="0025406D" w:rsidRPr="000D23B1" w:rsidRDefault="0025406D" w:rsidP="00202EE3">
            <w:pPr>
              <w:pStyle w:val="NoSpacing"/>
              <w:rPr>
                <w:sz w:val="20"/>
                <w:szCs w:val="20"/>
              </w:rPr>
            </w:pPr>
            <w:r w:rsidRPr="000D23B1">
              <w:rPr>
                <w:sz w:val="20"/>
                <w:szCs w:val="20"/>
              </w:rPr>
              <w:t xml:space="preserve">1.5 </w:t>
            </w:r>
            <w:r w:rsidRPr="000D23B1">
              <w:rPr>
                <w:rFonts w:ascii="Lucida Sans Unicode" w:hAnsi="Lucida Sans Unicode" w:cs="Lucida Sans Unicode"/>
                <w:sz w:val="20"/>
                <w:szCs w:val="20"/>
              </w:rPr>
              <w:t xml:space="preserve">± </w:t>
            </w:r>
            <w:r w:rsidRPr="000D23B1">
              <w:rPr>
                <w:sz w:val="20"/>
                <w:szCs w:val="20"/>
              </w:rPr>
              <w:t>0.03</w:t>
            </w:r>
          </w:p>
        </w:tc>
        <w:tc>
          <w:tcPr>
            <w:tcW w:w="1260" w:type="dxa"/>
          </w:tcPr>
          <w:p w14:paraId="540A4DEF" w14:textId="77777777" w:rsidR="0025406D" w:rsidRPr="000D23B1" w:rsidRDefault="0025406D" w:rsidP="00202EE3">
            <w:pPr>
              <w:pStyle w:val="NoSpacing"/>
              <w:rPr>
                <w:sz w:val="20"/>
                <w:szCs w:val="20"/>
              </w:rPr>
            </w:pPr>
            <w:r w:rsidRPr="000D23B1">
              <w:rPr>
                <w:sz w:val="20"/>
                <w:szCs w:val="20"/>
              </w:rPr>
              <w:t xml:space="preserve">1676 </w:t>
            </w:r>
            <w:r w:rsidRPr="000D23B1">
              <w:rPr>
                <w:rFonts w:ascii="Lucida Sans Unicode" w:hAnsi="Lucida Sans Unicode" w:cs="Lucida Sans Unicode"/>
                <w:sz w:val="20"/>
                <w:szCs w:val="20"/>
              </w:rPr>
              <w:t xml:space="preserve">± </w:t>
            </w:r>
            <w:r w:rsidRPr="000D23B1">
              <w:rPr>
                <w:sz w:val="20"/>
                <w:szCs w:val="20"/>
              </w:rPr>
              <w:t>276</w:t>
            </w:r>
          </w:p>
        </w:tc>
        <w:tc>
          <w:tcPr>
            <w:tcW w:w="1710" w:type="dxa"/>
          </w:tcPr>
          <w:p w14:paraId="2A5CB280" w14:textId="77777777" w:rsidR="0025406D" w:rsidRPr="000D23B1" w:rsidRDefault="0025406D" w:rsidP="00202EE3">
            <w:pPr>
              <w:pStyle w:val="NoSpacing"/>
              <w:rPr>
                <w:sz w:val="20"/>
                <w:szCs w:val="20"/>
              </w:rPr>
            </w:pPr>
            <w:r w:rsidRPr="000D23B1">
              <w:rPr>
                <w:sz w:val="20"/>
                <w:szCs w:val="20"/>
              </w:rPr>
              <w:t xml:space="preserve">3.286 </w:t>
            </w:r>
            <w:r w:rsidRPr="000D23B1">
              <w:rPr>
                <w:rFonts w:ascii="Lucida Sans Unicode" w:hAnsi="Lucida Sans Unicode" w:cs="Lucida Sans Unicode"/>
                <w:sz w:val="20"/>
                <w:szCs w:val="20"/>
              </w:rPr>
              <w:t xml:space="preserve">± </w:t>
            </w:r>
            <w:r w:rsidRPr="000D23B1">
              <w:rPr>
                <w:sz w:val="20"/>
                <w:szCs w:val="20"/>
              </w:rPr>
              <w:t>0.2 (*)</w:t>
            </w:r>
          </w:p>
        </w:tc>
        <w:tc>
          <w:tcPr>
            <w:tcW w:w="1710" w:type="dxa"/>
          </w:tcPr>
          <w:p w14:paraId="4138A8D3" w14:textId="77777777" w:rsidR="0025406D" w:rsidRPr="000D23B1" w:rsidRDefault="0025406D" w:rsidP="00202EE3">
            <w:pPr>
              <w:pStyle w:val="NoSpacing"/>
              <w:rPr>
                <w:sz w:val="20"/>
                <w:szCs w:val="20"/>
              </w:rPr>
            </w:pPr>
            <w:r w:rsidRPr="000D23B1">
              <w:rPr>
                <w:sz w:val="20"/>
                <w:szCs w:val="20"/>
              </w:rPr>
              <w:t xml:space="preserve">12 </w:t>
            </w:r>
            <w:r w:rsidRPr="000D23B1">
              <w:rPr>
                <w:rFonts w:ascii="Lucida Sans Unicode" w:hAnsi="Lucida Sans Unicode" w:cs="Lucida Sans Unicode"/>
                <w:sz w:val="20"/>
                <w:szCs w:val="20"/>
              </w:rPr>
              <w:t xml:space="preserve">± </w:t>
            </w:r>
            <w:r w:rsidRPr="000D23B1">
              <w:rPr>
                <w:sz w:val="20"/>
                <w:szCs w:val="20"/>
              </w:rPr>
              <w:t>7 (8)</w:t>
            </w:r>
          </w:p>
        </w:tc>
        <w:tc>
          <w:tcPr>
            <w:tcW w:w="1890" w:type="dxa"/>
          </w:tcPr>
          <w:p w14:paraId="35B175B4" w14:textId="77777777" w:rsidR="0025406D" w:rsidRPr="000D23B1" w:rsidRDefault="0025406D" w:rsidP="00202EE3">
            <w:pPr>
              <w:pStyle w:val="NoSpacing"/>
              <w:rPr>
                <w:sz w:val="20"/>
                <w:szCs w:val="20"/>
              </w:rPr>
            </w:pPr>
            <w:r w:rsidRPr="000D23B1">
              <w:rPr>
                <w:sz w:val="20"/>
                <w:szCs w:val="20"/>
              </w:rPr>
              <w:t xml:space="preserve">10 </w:t>
            </w:r>
            <w:r w:rsidRPr="000D23B1">
              <w:rPr>
                <w:rFonts w:ascii="Lucida Sans Unicode" w:hAnsi="Lucida Sans Unicode" w:cs="Lucida Sans Unicode"/>
                <w:sz w:val="20"/>
                <w:szCs w:val="20"/>
              </w:rPr>
              <w:t xml:space="preserve">± </w:t>
            </w:r>
            <w:r w:rsidRPr="000D23B1">
              <w:rPr>
                <w:sz w:val="20"/>
                <w:szCs w:val="20"/>
              </w:rPr>
              <w:t>6 (8)</w:t>
            </w:r>
          </w:p>
        </w:tc>
        <w:tc>
          <w:tcPr>
            <w:tcW w:w="1710" w:type="dxa"/>
          </w:tcPr>
          <w:p w14:paraId="73FD4611" w14:textId="77777777" w:rsidR="0025406D" w:rsidRPr="000D23B1" w:rsidRDefault="0025406D" w:rsidP="00202EE3">
            <w:pPr>
              <w:pStyle w:val="NoSpacing"/>
              <w:rPr>
                <w:sz w:val="20"/>
                <w:szCs w:val="20"/>
              </w:rPr>
            </w:pPr>
            <w:r w:rsidRPr="000D23B1">
              <w:rPr>
                <w:rFonts w:ascii="Lucida Sans Unicode" w:hAnsi="Lucida Sans Unicode" w:cs="Lucida Sans Unicode"/>
                <w:sz w:val="20"/>
                <w:szCs w:val="20"/>
              </w:rPr>
              <w:t>−</w:t>
            </w:r>
            <w:r w:rsidRPr="000D23B1">
              <w:rPr>
                <w:sz w:val="20"/>
                <w:szCs w:val="20"/>
              </w:rPr>
              <w:t xml:space="preserve">14 </w:t>
            </w:r>
            <w:r w:rsidRPr="000D23B1">
              <w:rPr>
                <w:rFonts w:ascii="Lucida Sans Unicode" w:hAnsi="Lucida Sans Unicode" w:cs="Lucida Sans Unicode"/>
                <w:sz w:val="20"/>
                <w:szCs w:val="20"/>
              </w:rPr>
              <w:t xml:space="preserve">± </w:t>
            </w:r>
            <w:r w:rsidRPr="000D23B1">
              <w:rPr>
                <w:sz w:val="20"/>
                <w:szCs w:val="20"/>
              </w:rPr>
              <w:t>12 (10)</w:t>
            </w:r>
          </w:p>
        </w:tc>
        <w:tc>
          <w:tcPr>
            <w:tcW w:w="1705" w:type="dxa"/>
          </w:tcPr>
          <w:p w14:paraId="5675E58C" w14:textId="77777777" w:rsidR="0025406D" w:rsidRPr="000D23B1" w:rsidRDefault="0025406D" w:rsidP="00202EE3">
            <w:pPr>
              <w:pStyle w:val="NoSpacing"/>
              <w:rPr>
                <w:sz w:val="20"/>
                <w:szCs w:val="20"/>
              </w:rPr>
            </w:pPr>
            <w:r w:rsidRPr="000D23B1">
              <w:rPr>
                <w:sz w:val="20"/>
                <w:szCs w:val="20"/>
              </w:rPr>
              <w:t xml:space="preserve">306 </w:t>
            </w:r>
            <w:r w:rsidRPr="000D23B1">
              <w:rPr>
                <w:rFonts w:ascii="Lucida Sans Unicode" w:hAnsi="Lucida Sans Unicode" w:cs="Lucida Sans Unicode"/>
                <w:sz w:val="20"/>
                <w:szCs w:val="20"/>
              </w:rPr>
              <w:t xml:space="preserve">± </w:t>
            </w:r>
            <w:r w:rsidRPr="000D23B1">
              <w:rPr>
                <w:sz w:val="20"/>
                <w:szCs w:val="20"/>
              </w:rPr>
              <w:t>58 (8)</w:t>
            </w:r>
          </w:p>
        </w:tc>
      </w:tr>
    </w:tbl>
    <w:p w14:paraId="37C23A3B" w14:textId="6C9434FF" w:rsidR="00100B6D" w:rsidRPr="000F17F6" w:rsidRDefault="00202EE3" w:rsidP="00202EE3">
      <w:pPr>
        <w:pStyle w:val="NoSpacing"/>
      </w:pPr>
      <w:r w:rsidRPr="00202EE3">
        <w:t xml:space="preserve">Values are given as mean </w:t>
      </w:r>
      <w:r w:rsidR="00C65EA1">
        <w:rPr>
          <w:rFonts w:ascii="Calibri" w:hAnsi="Calibri" w:cs="Calibri"/>
        </w:rPr>
        <w:t>±</w:t>
      </w:r>
      <w:r w:rsidRPr="00202EE3">
        <w:rPr>
          <w:rFonts w:ascii="MTSYN" w:hAnsi="MTSYN" w:cs="MTSYN"/>
        </w:rPr>
        <w:t xml:space="preserve"> </w:t>
      </w:r>
      <w:r w:rsidRPr="00202EE3">
        <w:t xml:space="preserve">SEM. Values were fitted to the equation </w:t>
      </w:r>
      <w:proofErr w:type="spellStart"/>
      <w:r w:rsidRPr="00202EE3">
        <w:t>I</w:t>
      </w:r>
      <w:r w:rsidRPr="00202EE3">
        <w:rPr>
          <w:sz w:val="11"/>
          <w:szCs w:val="11"/>
        </w:rPr>
        <w:t>glicine</w:t>
      </w:r>
      <w:proofErr w:type="spellEnd"/>
      <w:r w:rsidRPr="00202EE3">
        <w:rPr>
          <w:sz w:val="11"/>
          <w:szCs w:val="11"/>
        </w:rPr>
        <w:t xml:space="preserve"> </w:t>
      </w:r>
      <w:r w:rsidRPr="00202EE3">
        <w:t>= I</w:t>
      </w:r>
      <w:r w:rsidRPr="00202EE3">
        <w:rPr>
          <w:sz w:val="11"/>
          <w:szCs w:val="11"/>
        </w:rPr>
        <w:t xml:space="preserve">max </w:t>
      </w:r>
      <w:r w:rsidRPr="00202EE3">
        <w:t>[glycine]</w:t>
      </w:r>
      <w:proofErr w:type="spellStart"/>
      <w:r w:rsidRPr="00202EE3">
        <w:rPr>
          <w:sz w:val="11"/>
          <w:szCs w:val="11"/>
        </w:rPr>
        <w:t>nH</w:t>
      </w:r>
      <w:proofErr w:type="spellEnd"/>
      <w:r w:rsidRPr="00202EE3">
        <w:t>/([glycine]</w:t>
      </w:r>
      <w:proofErr w:type="spellStart"/>
      <w:r w:rsidRPr="00202EE3">
        <w:rPr>
          <w:sz w:val="11"/>
          <w:szCs w:val="11"/>
        </w:rPr>
        <w:t>nH</w:t>
      </w:r>
      <w:proofErr w:type="spellEnd"/>
      <w:r w:rsidRPr="00202EE3">
        <w:t>+[EC</w:t>
      </w:r>
      <w:proofErr w:type="gramStart"/>
      <w:r w:rsidRPr="00202EE3">
        <w:rPr>
          <w:sz w:val="11"/>
          <w:szCs w:val="11"/>
        </w:rPr>
        <w:t>50</w:t>
      </w:r>
      <w:r w:rsidRPr="00202EE3">
        <w:t>]</w:t>
      </w:r>
      <w:proofErr w:type="spellStart"/>
      <w:r w:rsidRPr="00202EE3">
        <w:rPr>
          <w:sz w:val="11"/>
          <w:szCs w:val="11"/>
        </w:rPr>
        <w:t>nH</w:t>
      </w:r>
      <w:proofErr w:type="spellEnd"/>
      <w:proofErr w:type="gramEnd"/>
      <w:r w:rsidRPr="00202EE3">
        <w:t>) using Origin 8.0 software. The EC10 calculated for all</w:t>
      </w:r>
      <w:r w:rsidR="00146998">
        <w:t xml:space="preserve"> </w:t>
      </w:r>
      <w:r w:rsidRPr="00202EE3">
        <w:t xml:space="preserve">subunits was used to measure rise time, decay time, </w:t>
      </w:r>
      <w:proofErr w:type="gramStart"/>
      <w:r w:rsidRPr="00202EE3">
        <w:t>ethanol</w:t>
      </w:r>
      <w:proofErr w:type="gramEnd"/>
      <w:r w:rsidRPr="00202EE3">
        <w:t xml:space="preserve"> and GTP-</w:t>
      </w:r>
      <w:r w:rsidRPr="00202EE3">
        <w:rPr>
          <w:rFonts w:ascii="MTGU" w:hAnsi="MTGU" w:cs="MTGU"/>
        </w:rPr>
        <w:t>g</w:t>
      </w:r>
      <w:r w:rsidRPr="00202EE3">
        <w:t>-S sensitivity experiment. “Ethanol potentiation” corresponds to the change between the control</w:t>
      </w:r>
      <w:r w:rsidR="00146998">
        <w:t xml:space="preserve"> </w:t>
      </w:r>
      <w:r w:rsidRPr="00202EE3">
        <w:t xml:space="preserve">with glycine EC10 and presence of </w:t>
      </w:r>
      <w:proofErr w:type="gramStart"/>
      <w:r w:rsidRPr="00202EE3">
        <w:t>10 and 100 mM</w:t>
      </w:r>
      <w:proofErr w:type="gramEnd"/>
      <w:r w:rsidRPr="00202EE3">
        <w:t xml:space="preserve"> ethanol. The “GTP-</w:t>
      </w:r>
      <w:r w:rsidRPr="00202EE3">
        <w:rPr>
          <w:rFonts w:ascii="MTGU" w:hAnsi="MTGU" w:cs="MTGU"/>
        </w:rPr>
        <w:t>g</w:t>
      </w:r>
      <w:r w:rsidRPr="00202EE3">
        <w:t>-S potentiation” corresponds to the change after 15 minutes of dialysis of the non-hydrolyzed</w:t>
      </w:r>
      <w:r w:rsidR="00146998">
        <w:t xml:space="preserve"> </w:t>
      </w:r>
      <w:r w:rsidRPr="00202EE3">
        <w:t>analog, GTP-</w:t>
      </w:r>
      <w:r w:rsidRPr="00202EE3">
        <w:rPr>
          <w:rFonts w:ascii="MTGU" w:hAnsi="MTGU" w:cs="MTGU"/>
        </w:rPr>
        <w:t>g</w:t>
      </w:r>
      <w:r w:rsidRPr="00202EE3">
        <w:t xml:space="preserve">-S (200 </w:t>
      </w:r>
      <w:r w:rsidRPr="00202EE3">
        <w:rPr>
          <w:rFonts w:ascii="MTGU" w:hAnsi="MTGU" w:cs="MTGU"/>
        </w:rPr>
        <w:t>m</w:t>
      </w:r>
      <w:r w:rsidRPr="00202EE3">
        <w:t xml:space="preserve">M). The “Propofol Potentiation” corresponds to the change between control with 30 </w:t>
      </w:r>
      <w:r w:rsidRPr="00202EE3">
        <w:rPr>
          <w:rFonts w:ascii="MTGU" w:hAnsi="MTGU" w:cs="MTGU"/>
        </w:rPr>
        <w:t>m</w:t>
      </w:r>
      <w:r w:rsidRPr="00202EE3">
        <w:t>M Propofol. ND: Non determined *p &lt; 0.05, **p &lt; 0.01 and</w:t>
      </w:r>
      <w:r w:rsidR="00146998">
        <w:t xml:space="preserve"> </w:t>
      </w:r>
      <w:r w:rsidRPr="00202EE3">
        <w:t>***p &lt;0.001, One way ANOVA (n) = number of cells.</w:t>
      </w:r>
    </w:p>
    <w:p w14:paraId="792CBD25" w14:textId="77777777" w:rsidR="00CA1E8F" w:rsidRDefault="00CA1E8F" w:rsidP="000F17F6">
      <w:pPr>
        <w:sectPr w:rsidR="00CA1E8F" w:rsidSect="0025406D">
          <w:pgSz w:w="15840" w:h="12240" w:orient="landscape"/>
          <w:pgMar w:top="1080" w:right="1080" w:bottom="1080" w:left="1080" w:header="720" w:footer="720" w:gutter="0"/>
          <w:cols w:space="720"/>
          <w:docGrid w:linePitch="360"/>
        </w:sectPr>
      </w:pPr>
    </w:p>
    <w:p w14:paraId="51F81645" w14:textId="77777777" w:rsidR="000F17F6" w:rsidRPr="000F17F6" w:rsidRDefault="000F17F6" w:rsidP="000F17F6">
      <w:r w:rsidRPr="000F17F6">
        <w:lastRenderedPageBreak/>
        <w:t>Next, we tested the sensitivity of the different homomeric and heteromeric receptor conformations to ethanol using the EC</w:t>
      </w:r>
      <w:r w:rsidRPr="000F17F6">
        <w:rPr>
          <w:vertAlign w:val="subscript"/>
        </w:rPr>
        <w:t>10–20</w:t>
      </w:r>
      <w:r w:rsidRPr="000F17F6">
        <w:t> determined from the data in </w:t>
      </w:r>
      <w:hyperlink r:id="rId45" w:anchor="T1" w:history="1">
        <w:r w:rsidRPr="000F17F6">
          <w:rPr>
            <w:rStyle w:val="Hyperlink"/>
          </w:rPr>
          <w:t>Table 1</w:t>
        </w:r>
      </w:hyperlink>
      <w:r w:rsidRPr="000F17F6">
        <w:t>. The low concentration of the agonist used in this experiment is related to its property of acting as a positive allosteric modulator (PAM), where its largest effect is at EC</w:t>
      </w:r>
      <w:r w:rsidRPr="000F17F6">
        <w:rPr>
          <w:vertAlign w:val="subscript"/>
        </w:rPr>
        <w:t>10–20</w:t>
      </w:r>
      <w:r w:rsidRPr="000F17F6">
        <w:t> (</w:t>
      </w:r>
      <w:hyperlink r:id="rId46" w:anchor="B4" w:history="1">
        <w:r w:rsidRPr="000F17F6">
          <w:rPr>
            <w:rStyle w:val="Hyperlink"/>
          </w:rPr>
          <w:t>Aguayo et al., 1996</w:t>
        </w:r>
      </w:hyperlink>
      <w:r w:rsidRPr="000F17F6">
        <w:t xml:space="preserve">). First, we tested the sensitivity of α1 homomeric </w:t>
      </w:r>
      <w:proofErr w:type="spellStart"/>
      <w:r w:rsidRPr="000F17F6">
        <w:t>GlyRs</w:t>
      </w:r>
      <w:proofErr w:type="spellEnd"/>
      <w:r w:rsidRPr="000F17F6">
        <w:t xml:space="preserve"> to increasing concentrations of ethanol and found that 50 and 100 mM potentiated the peak current activated with 15 </w:t>
      </w:r>
      <w:proofErr w:type="spellStart"/>
      <w:r w:rsidRPr="000F17F6">
        <w:t>μM</w:t>
      </w:r>
      <w:proofErr w:type="spellEnd"/>
      <w:r w:rsidRPr="000F17F6">
        <w:t xml:space="preserve"> glycine (</w:t>
      </w:r>
      <w:hyperlink r:id="rId47" w:anchor="F2" w:history="1">
        <w:r w:rsidRPr="000F17F6">
          <w:rPr>
            <w:rStyle w:val="Hyperlink"/>
          </w:rPr>
          <w:t>Figures 2A,B</w:t>
        </w:r>
      </w:hyperlink>
      <w:r w:rsidRPr="000F17F6">
        <w:t xml:space="preserve">, closed squares). The data also showed that the potentiation of glycine-mediated currents was smaller in α1β heteromeric </w:t>
      </w:r>
      <w:proofErr w:type="spellStart"/>
      <w:r w:rsidRPr="000F17F6">
        <w:t>GlyRs</w:t>
      </w:r>
      <w:proofErr w:type="spellEnd"/>
      <w:r w:rsidRPr="000F17F6">
        <w:t>, mostly at higher ethanol concentrations (50 and 100 mM). For example, at 100 mM of ethanol, the potentiation was 46 ± 4% in α1 and 25 ± 5% in the α1β conformer (</w:t>
      </w:r>
      <w:r w:rsidRPr="000F17F6">
        <w:rPr>
          <w:i/>
          <w:iCs/>
        </w:rPr>
        <w:t>p</w:t>
      </w:r>
      <w:r w:rsidRPr="000F17F6">
        <w:t> &lt; 0.001, </w:t>
      </w:r>
      <w:hyperlink r:id="rId48" w:anchor="F2" w:history="1">
        <w:r w:rsidRPr="000F17F6">
          <w:rPr>
            <w:rStyle w:val="Hyperlink"/>
          </w:rPr>
          <w:t>Figures 2A,B</w:t>
        </w:r>
      </w:hyperlink>
      <w:r w:rsidRPr="000F17F6">
        <w:t> and </w:t>
      </w:r>
      <w:hyperlink r:id="rId49" w:anchor="T1" w:history="1">
        <w:r w:rsidRPr="000F17F6">
          <w:rPr>
            <w:rStyle w:val="Hyperlink"/>
          </w:rPr>
          <w:t>Table 1</w:t>
        </w:r>
      </w:hyperlink>
      <w:r w:rsidRPr="000F17F6">
        <w:t>). In agreement with a previous study (</w:t>
      </w:r>
      <w:proofErr w:type="spellStart"/>
      <w:r w:rsidR="0036006D">
        <w:fldChar w:fldCharType="begin"/>
      </w:r>
      <w:r w:rsidR="0036006D">
        <w:instrText xml:space="preserve"> HYPERLINK "http</w:instrText>
      </w:r>
      <w:r w:rsidR="0036006D">
        <w:instrText xml:space="preserve">s://www.frontiersin.org/articles/10.3389/fnmol.2021.763868/full" \l "B44" </w:instrText>
      </w:r>
      <w:r w:rsidR="0036006D">
        <w:fldChar w:fldCharType="separate"/>
      </w:r>
      <w:r w:rsidRPr="000F17F6">
        <w:rPr>
          <w:rStyle w:val="Hyperlink"/>
        </w:rPr>
        <w:t>Yevenes</w:t>
      </w:r>
      <w:proofErr w:type="spellEnd"/>
      <w:r w:rsidRPr="000F17F6">
        <w:rPr>
          <w:rStyle w:val="Hyperlink"/>
        </w:rPr>
        <w:t xml:space="preserve"> et al., 2010</w:t>
      </w:r>
      <w:r w:rsidR="0036006D">
        <w:rPr>
          <w:rStyle w:val="Hyperlink"/>
        </w:rPr>
        <w:fldChar w:fldCharType="end"/>
      </w:r>
      <w:r w:rsidRPr="000F17F6">
        <w:t xml:space="preserve">), α2 homomeric </w:t>
      </w:r>
      <w:proofErr w:type="spellStart"/>
      <w:r w:rsidRPr="000F17F6">
        <w:t>GlyRs</w:t>
      </w:r>
      <w:proofErr w:type="spellEnd"/>
      <w:r w:rsidRPr="000F17F6">
        <w:t xml:space="preserve"> activated with 20 </w:t>
      </w:r>
      <w:proofErr w:type="spellStart"/>
      <w:r w:rsidRPr="000F17F6">
        <w:t>μM</w:t>
      </w:r>
      <w:proofErr w:type="spellEnd"/>
      <w:r w:rsidRPr="000F17F6">
        <w:t xml:space="preserve"> glycine were insensitive to 100 mM ethanol (12 ± 4%, </w:t>
      </w:r>
      <w:hyperlink r:id="rId50" w:anchor="F2" w:history="1">
        <w:r w:rsidRPr="000F17F6">
          <w:rPr>
            <w:rStyle w:val="Hyperlink"/>
          </w:rPr>
          <w:t>Figures 2C,D</w:t>
        </w:r>
      </w:hyperlink>
      <w:r w:rsidRPr="000F17F6">
        <w:t xml:space="preserve">, closed circles). However, α2β heteromeric </w:t>
      </w:r>
      <w:proofErr w:type="spellStart"/>
      <w:r w:rsidRPr="000F17F6">
        <w:t>GlyRs</w:t>
      </w:r>
      <w:proofErr w:type="spellEnd"/>
      <w:r w:rsidRPr="000F17F6">
        <w:t xml:space="preserve"> showed a higher sensitivity at concentrations as low as 10 mM (31 ± 7% of control, </w:t>
      </w:r>
      <w:r w:rsidRPr="000F17F6">
        <w:rPr>
          <w:i/>
          <w:iCs/>
        </w:rPr>
        <w:t>p</w:t>
      </w:r>
      <w:r w:rsidRPr="000F17F6">
        <w:t xml:space="preserve"> = 0.035, Two-way ANOVA, </w:t>
      </w:r>
      <w:proofErr w:type="spellStart"/>
      <w:r w:rsidRPr="000F17F6">
        <w:t>Sidak’s</w:t>
      </w:r>
      <w:proofErr w:type="spellEnd"/>
      <w:r w:rsidRPr="000F17F6">
        <w:t xml:space="preserve"> multiple comparisons test), 50 mM (65 ± 9% of control, </w:t>
      </w:r>
      <w:r w:rsidRPr="000F17F6">
        <w:rPr>
          <w:i/>
          <w:iCs/>
        </w:rPr>
        <w:t>p</w:t>
      </w:r>
      <w:r w:rsidRPr="000F17F6">
        <w:t xml:space="preserve"> &lt; 0.0001, Two-way ANOVA, </w:t>
      </w:r>
      <w:proofErr w:type="spellStart"/>
      <w:r w:rsidRPr="000F17F6">
        <w:t>Sidak’s</w:t>
      </w:r>
      <w:proofErr w:type="spellEnd"/>
      <w:r w:rsidRPr="000F17F6">
        <w:t xml:space="preserve"> multiple comparisons test) and up to 100 mM ethanol (90 ± 20% of control, </w:t>
      </w:r>
      <w:r w:rsidRPr="000F17F6">
        <w:rPr>
          <w:i/>
          <w:iCs/>
        </w:rPr>
        <w:t>p</w:t>
      </w:r>
      <w:r w:rsidRPr="000F17F6">
        <w:t xml:space="preserve"> = 0.0056, Two-way ANOVA, </w:t>
      </w:r>
      <w:proofErr w:type="spellStart"/>
      <w:r w:rsidRPr="000F17F6">
        <w:t>Sidak’s</w:t>
      </w:r>
      <w:proofErr w:type="spellEnd"/>
      <w:r w:rsidRPr="000F17F6">
        <w:t xml:space="preserve"> multiple comparisons test, </w:t>
      </w:r>
      <w:hyperlink r:id="rId51" w:anchor="F2" w:history="1">
        <w:r w:rsidRPr="000F17F6">
          <w:rPr>
            <w:rStyle w:val="Hyperlink"/>
          </w:rPr>
          <w:t>Figures 2C,D</w:t>
        </w:r>
      </w:hyperlink>
      <w:r w:rsidRPr="000F17F6">
        <w:t> and </w:t>
      </w:r>
      <w:hyperlink r:id="rId52" w:anchor="T1" w:history="1">
        <w:r w:rsidRPr="000F17F6">
          <w:rPr>
            <w:rStyle w:val="Hyperlink"/>
          </w:rPr>
          <w:t>Table 1</w:t>
        </w:r>
      </w:hyperlink>
      <w:r w:rsidRPr="000F17F6">
        <w:t xml:space="preserve">). Thus, the more significant effect of co-expressing β with α subunits is the increase in sensitivity to ethanol with the α2 containing subunit [ethanol × </w:t>
      </w:r>
      <w:proofErr w:type="spellStart"/>
      <w:r w:rsidRPr="000F17F6">
        <w:t>GlyR</w:t>
      </w:r>
      <w:proofErr w:type="spellEnd"/>
      <w:r w:rsidRPr="000F17F6">
        <w:t xml:space="preserve"> subunit composition interaction: </w:t>
      </w:r>
      <w:r w:rsidRPr="000F17F6">
        <w:rPr>
          <w:i/>
          <w:iCs/>
        </w:rPr>
        <w:t>p</w:t>
      </w:r>
      <w:r w:rsidRPr="000F17F6">
        <w:t> = 0.0001, </w:t>
      </w:r>
      <w:proofErr w:type="gramStart"/>
      <w:r w:rsidRPr="000F17F6">
        <w:rPr>
          <w:i/>
          <w:iCs/>
        </w:rPr>
        <w:t>F</w:t>
      </w:r>
      <w:r w:rsidRPr="000F17F6">
        <w:t>(</w:t>
      </w:r>
      <w:proofErr w:type="gramEnd"/>
      <w:r w:rsidRPr="000F17F6">
        <w:t>4,90) = 7.271, Two-way ANOVA].</w:t>
      </w:r>
    </w:p>
    <w:p w14:paraId="5113FF4E" w14:textId="26488A5B" w:rsidR="000F17F6" w:rsidRPr="000F17F6" w:rsidRDefault="000F17F6" w:rsidP="000D23B1">
      <w:pPr>
        <w:pStyle w:val="NoSpacing"/>
      </w:pPr>
      <w:bookmarkStart w:id="8" w:name="figure2"/>
      <w:r w:rsidRPr="000F17F6">
        <w:rPr>
          <w:noProof/>
        </w:rPr>
        <w:drawing>
          <wp:inline distT="0" distB="0" distL="0" distR="0" wp14:anchorId="2A044DB6" wp14:editId="4F7A6A30">
            <wp:extent cx="1424940" cy="1105535"/>
            <wp:effectExtent l="0" t="0" r="3810" b="0"/>
            <wp:docPr id="9" name="Picture 9" descr="www.frontiersin.org">
              <a:hlinkClick xmlns:a="http://schemas.openxmlformats.org/drawingml/2006/main" r:id="rId5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2" descr="www.frontiersin.org">
                      <a:hlinkClick r:id="rId53" tgtFrame="&quot;_blank&quot;"/>
                    </pic:cNvPr>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424940" cy="1105535"/>
                    </a:xfrm>
                    <a:prstGeom prst="rect">
                      <a:avLst/>
                    </a:prstGeom>
                    <a:noFill/>
                    <a:ln>
                      <a:noFill/>
                    </a:ln>
                  </pic:spPr>
                </pic:pic>
              </a:graphicData>
            </a:graphic>
          </wp:inline>
        </w:drawing>
      </w:r>
      <w:bookmarkEnd w:id="8"/>
    </w:p>
    <w:p w14:paraId="073639EB" w14:textId="77777777" w:rsidR="000F17F6" w:rsidRDefault="000F17F6" w:rsidP="000D23B1">
      <w:pPr>
        <w:pStyle w:val="NoSpacing"/>
      </w:pPr>
      <w:r w:rsidRPr="000F17F6">
        <w:rPr>
          <w:b/>
          <w:bCs/>
        </w:rPr>
        <w:t>Figure 2.</w:t>
      </w:r>
      <w:r w:rsidRPr="000F17F6">
        <w:t xml:space="preserve"> Modulatory effects of the beta subunit on the sensitivity of α2-expressing </w:t>
      </w:r>
      <w:proofErr w:type="spellStart"/>
      <w:r w:rsidRPr="000F17F6">
        <w:t>GlyRs</w:t>
      </w:r>
      <w:proofErr w:type="spellEnd"/>
      <w:r w:rsidRPr="000F17F6">
        <w:t xml:space="preserve"> to ethanol. </w:t>
      </w:r>
      <w:r w:rsidRPr="000F17F6">
        <w:rPr>
          <w:b/>
          <w:bCs/>
        </w:rPr>
        <w:t>(A)</w:t>
      </w:r>
      <w:r w:rsidRPr="000F17F6">
        <w:t xml:space="preserve"> Representative current traces recorded in HEK cells expressing homomeric α1 and heteromeric α1β </w:t>
      </w:r>
      <w:proofErr w:type="spellStart"/>
      <w:r w:rsidRPr="000F17F6">
        <w:t>GlyRs</w:t>
      </w:r>
      <w:proofErr w:type="spellEnd"/>
      <w:r w:rsidRPr="000F17F6">
        <w:t xml:space="preserve"> and activated with an EC</w:t>
      </w:r>
      <w:r w:rsidRPr="000F17F6">
        <w:rPr>
          <w:vertAlign w:val="subscript"/>
        </w:rPr>
        <w:t>10</w:t>
      </w:r>
      <w:r w:rsidRPr="000F17F6">
        <w:t xml:space="preserve"> of glycine (15 </w:t>
      </w:r>
      <w:proofErr w:type="spellStart"/>
      <w:r w:rsidRPr="000F17F6">
        <w:t>μM</w:t>
      </w:r>
      <w:proofErr w:type="spellEnd"/>
      <w:r w:rsidRPr="000F17F6">
        <w:t>) in presence and absence of 100 mM ethanol (by co-application). </w:t>
      </w:r>
      <w:r w:rsidRPr="000F17F6">
        <w:rPr>
          <w:b/>
          <w:bCs/>
        </w:rPr>
        <w:t>(B)</w:t>
      </w:r>
      <w:r w:rsidRPr="000F17F6">
        <w:t xml:space="preserve"> The graph summarizes the effect of ethanol concentrations (0–100 mM) on α1 (black squares) and α1β (open squares) </w:t>
      </w:r>
      <w:proofErr w:type="spellStart"/>
      <w:r w:rsidRPr="000F17F6">
        <w:t>GlyRs</w:t>
      </w:r>
      <w:proofErr w:type="spellEnd"/>
      <w:r w:rsidRPr="000F17F6">
        <w:t xml:space="preserve">. Data show positive ethanol modulation in both conformations, being significantly attenuated in α1β </w:t>
      </w:r>
      <w:proofErr w:type="spellStart"/>
      <w:r w:rsidRPr="000F17F6">
        <w:t>GlyRs</w:t>
      </w:r>
      <w:proofErr w:type="spellEnd"/>
      <w:r w:rsidRPr="000F17F6">
        <w:t xml:space="preserve"> (</w:t>
      </w:r>
      <w:r w:rsidRPr="000F17F6">
        <w:rPr>
          <w:i/>
          <w:iCs/>
        </w:rPr>
        <w:t>n</w:t>
      </w:r>
      <w:r w:rsidRPr="000F17F6">
        <w:t> = 16 α1 and </w:t>
      </w:r>
      <w:r w:rsidRPr="000F17F6">
        <w:rPr>
          <w:i/>
          <w:iCs/>
        </w:rPr>
        <w:t>n</w:t>
      </w:r>
      <w:r w:rsidRPr="000F17F6">
        <w:t> = 10 α1β) [</w:t>
      </w:r>
      <w:r w:rsidRPr="000F17F6">
        <w:rPr>
          <w:i/>
          <w:iCs/>
        </w:rPr>
        <w:t>P</w:t>
      </w:r>
      <w:r w:rsidRPr="000F17F6">
        <w:t> = 0.0014, </w:t>
      </w:r>
      <w:proofErr w:type="gramStart"/>
      <w:r w:rsidRPr="000F17F6">
        <w:rPr>
          <w:i/>
          <w:iCs/>
        </w:rPr>
        <w:t>F</w:t>
      </w:r>
      <w:r w:rsidRPr="000F17F6">
        <w:t>(</w:t>
      </w:r>
      <w:proofErr w:type="gramEnd"/>
      <w:r w:rsidRPr="000F17F6">
        <w:t>4,28) = 5.941]. </w:t>
      </w:r>
      <w:r w:rsidRPr="000F17F6">
        <w:rPr>
          <w:b/>
          <w:bCs/>
        </w:rPr>
        <w:t>(C)</w:t>
      </w:r>
      <w:r w:rsidRPr="000F17F6">
        <w:t xml:space="preserve"> Representative evoked current traces recorded in homomeric α2 and heteromeric α2β </w:t>
      </w:r>
      <w:proofErr w:type="spellStart"/>
      <w:r w:rsidRPr="000F17F6">
        <w:t>GlyRs</w:t>
      </w:r>
      <w:proofErr w:type="spellEnd"/>
      <w:r w:rsidRPr="000F17F6">
        <w:t xml:space="preserve"> activated with an EC</w:t>
      </w:r>
      <w:r w:rsidRPr="000F17F6">
        <w:rPr>
          <w:vertAlign w:val="subscript"/>
        </w:rPr>
        <w:t>10</w:t>
      </w:r>
      <w:r w:rsidRPr="000F17F6">
        <w:t xml:space="preserve"> of glycine (20 </w:t>
      </w:r>
      <w:proofErr w:type="spellStart"/>
      <w:r w:rsidRPr="000F17F6">
        <w:t>μM</w:t>
      </w:r>
      <w:proofErr w:type="spellEnd"/>
      <w:r w:rsidRPr="000F17F6">
        <w:t>) with and without ethanol. </w:t>
      </w:r>
      <w:r w:rsidRPr="000F17F6">
        <w:rPr>
          <w:b/>
          <w:bCs/>
        </w:rPr>
        <w:t>(D)</w:t>
      </w:r>
      <w:r w:rsidRPr="000F17F6">
        <w:t xml:space="preserve"> The graph summarizes the effect of ethanol concentrations on α2 (blue circles) and α2β (open blue circles) </w:t>
      </w:r>
      <w:proofErr w:type="spellStart"/>
      <w:r w:rsidRPr="000F17F6">
        <w:t>GlyRs</w:t>
      </w:r>
      <w:proofErr w:type="spellEnd"/>
      <w:r w:rsidRPr="000F17F6">
        <w:t xml:space="preserve">. Data show positive ethanol modulation only in α2β </w:t>
      </w:r>
      <w:proofErr w:type="spellStart"/>
      <w:r w:rsidRPr="000F17F6">
        <w:t>GlyRs</w:t>
      </w:r>
      <w:proofErr w:type="spellEnd"/>
      <w:r w:rsidRPr="000F17F6">
        <w:t>, being significant when compared with α2 (</w:t>
      </w:r>
      <w:r w:rsidRPr="000F17F6">
        <w:rPr>
          <w:i/>
          <w:iCs/>
        </w:rPr>
        <w:t>n</w:t>
      </w:r>
      <w:r w:rsidRPr="000F17F6">
        <w:t> = 12 α2, </w:t>
      </w:r>
      <w:r w:rsidRPr="000F17F6">
        <w:rPr>
          <w:i/>
          <w:iCs/>
        </w:rPr>
        <w:t>n</w:t>
      </w:r>
      <w:r w:rsidRPr="000F17F6">
        <w:t> = 15 α2β). Data are mean ± SEM. **</w:t>
      </w:r>
      <w:r w:rsidRPr="000F17F6">
        <w:rPr>
          <w:i/>
          <w:iCs/>
        </w:rPr>
        <w:t>p</w:t>
      </w:r>
      <w:r w:rsidRPr="000F17F6">
        <w:t> &lt; 0.01, ***</w:t>
      </w:r>
      <w:r w:rsidRPr="000F17F6">
        <w:rPr>
          <w:i/>
          <w:iCs/>
        </w:rPr>
        <w:t>p</w:t>
      </w:r>
      <w:r w:rsidRPr="000F17F6">
        <w:t xml:space="preserve"> &lt; 0.001. Two-way ANOVA and </w:t>
      </w:r>
      <w:proofErr w:type="spellStart"/>
      <w:r w:rsidRPr="000F17F6">
        <w:t>Sidak’s</w:t>
      </w:r>
      <w:proofErr w:type="spellEnd"/>
      <w:r w:rsidRPr="000F17F6">
        <w:t xml:space="preserve"> multiple comparisons test.</w:t>
      </w:r>
    </w:p>
    <w:p w14:paraId="7B77F4E9" w14:textId="77777777" w:rsidR="000D23B1" w:rsidRPr="000F17F6" w:rsidRDefault="000D23B1" w:rsidP="000F17F6"/>
    <w:p w14:paraId="46589309" w14:textId="77777777" w:rsidR="000F17F6" w:rsidRPr="000F17F6" w:rsidRDefault="000F17F6" w:rsidP="006B4503">
      <w:pPr>
        <w:pStyle w:val="Heading2"/>
      </w:pPr>
      <w:r w:rsidRPr="000F17F6">
        <w:t>Effect of the β Subunit on the Action of Ethanol at the Single Channel Level</w:t>
      </w:r>
    </w:p>
    <w:p w14:paraId="4F0D8F9E" w14:textId="77777777" w:rsidR="000F17F6" w:rsidRPr="000F17F6" w:rsidRDefault="000F17F6" w:rsidP="000F17F6">
      <w:r w:rsidRPr="000F17F6">
        <w:t xml:space="preserve">To further characterize the effects of a low ethanol concentration (10 mM) on the homomeric and heteromeric </w:t>
      </w:r>
      <w:proofErr w:type="spellStart"/>
      <w:r w:rsidRPr="000F17F6">
        <w:t>GlyRs</w:t>
      </w:r>
      <w:proofErr w:type="spellEnd"/>
      <w:r w:rsidRPr="000F17F6">
        <w:t xml:space="preserve"> conformations, we recorded single channel activity using the outside out configuration with glycine alone as control (10 </w:t>
      </w:r>
      <w:proofErr w:type="spellStart"/>
      <w:r w:rsidRPr="000F17F6">
        <w:t>μM</w:t>
      </w:r>
      <w:proofErr w:type="spellEnd"/>
      <w:r w:rsidRPr="000F17F6">
        <w:t xml:space="preserve"> for α1, 20 </w:t>
      </w:r>
      <w:proofErr w:type="spellStart"/>
      <w:r w:rsidRPr="000F17F6">
        <w:t>μM</w:t>
      </w:r>
      <w:proofErr w:type="spellEnd"/>
      <w:r w:rsidRPr="000F17F6">
        <w:t xml:space="preserve"> for α2, and 10 </w:t>
      </w:r>
      <w:proofErr w:type="spellStart"/>
      <w:r w:rsidRPr="000F17F6">
        <w:t>μM</w:t>
      </w:r>
      <w:proofErr w:type="spellEnd"/>
      <w:r w:rsidRPr="000F17F6">
        <w:t xml:space="preserve"> for α2β) and comparing with 10 mM ethanol in the same recording. In α1 homomeric </w:t>
      </w:r>
      <w:proofErr w:type="spellStart"/>
      <w:r w:rsidRPr="000F17F6">
        <w:t>GlyRs</w:t>
      </w:r>
      <w:proofErr w:type="spellEnd"/>
      <w:r w:rsidRPr="000F17F6">
        <w:t>, ethanol altered the Po and frequency of opening (</w:t>
      </w:r>
      <w:hyperlink r:id="rId55" w:anchor="F3" w:history="1">
        <w:r w:rsidRPr="000F17F6">
          <w:rPr>
            <w:rStyle w:val="Hyperlink"/>
          </w:rPr>
          <w:t>Figures 3A,B</w:t>
        </w:r>
      </w:hyperlink>
      <w:r w:rsidRPr="000F17F6">
        <w:t> and </w:t>
      </w:r>
      <w:hyperlink r:id="rId56" w:anchor="T2" w:history="1">
        <w:r w:rsidRPr="000F17F6">
          <w:rPr>
            <w:rStyle w:val="Hyperlink"/>
          </w:rPr>
          <w:t>Table 2</w:t>
        </w:r>
      </w:hyperlink>
      <w:r w:rsidRPr="000F17F6">
        <w:t xml:space="preserve">). For example, open probability in α1 homomeric </w:t>
      </w:r>
      <w:proofErr w:type="spellStart"/>
      <w:r w:rsidRPr="000F17F6">
        <w:t>GlyRs</w:t>
      </w:r>
      <w:proofErr w:type="spellEnd"/>
      <w:r w:rsidRPr="000F17F6">
        <w:t xml:space="preserve"> increased by 300% above control (control: 0.12 ± 0.03 vs. 10 mM: 0.52 ± 0.18; </w:t>
      </w:r>
      <w:r w:rsidRPr="000F17F6">
        <w:rPr>
          <w:i/>
          <w:iCs/>
        </w:rPr>
        <w:t>p</w:t>
      </w:r>
      <w:r w:rsidRPr="000F17F6">
        <w:t> &lt; 0.001, paired </w:t>
      </w:r>
      <w:r w:rsidRPr="000F17F6">
        <w:rPr>
          <w:i/>
          <w:iCs/>
        </w:rPr>
        <w:t>t</w:t>
      </w:r>
      <w:r w:rsidRPr="000F17F6">
        <w:t>-test, </w:t>
      </w:r>
      <w:hyperlink r:id="rId57" w:anchor="F3" w:history="1">
        <w:r w:rsidRPr="000F17F6">
          <w:rPr>
            <w:rStyle w:val="Hyperlink"/>
          </w:rPr>
          <w:t>Figures 3A,B</w:t>
        </w:r>
      </w:hyperlink>
      <w:r w:rsidRPr="000F17F6">
        <w:t> and </w:t>
      </w:r>
      <w:hyperlink r:id="rId58" w:anchor="T2" w:history="1">
        <w:r w:rsidRPr="000F17F6">
          <w:rPr>
            <w:rStyle w:val="Hyperlink"/>
          </w:rPr>
          <w:t>Table 2</w:t>
        </w:r>
      </w:hyperlink>
      <w:r w:rsidRPr="000F17F6">
        <w:t>). The heteromeric α1β conformation showed a smaller increase in open probability than homomeric α1 subunits after ethanol application (control: 0.22 ± 0.06 vs. 10 mM: 0.47 ± 0.18; Unpaired </w:t>
      </w:r>
      <w:r w:rsidRPr="000F17F6">
        <w:rPr>
          <w:i/>
          <w:iCs/>
        </w:rPr>
        <w:t>t</w:t>
      </w:r>
      <w:r w:rsidRPr="000F17F6">
        <w:t>-test, </w:t>
      </w:r>
      <w:hyperlink r:id="rId59" w:anchor="F3" w:history="1">
        <w:r w:rsidRPr="000F17F6">
          <w:rPr>
            <w:rStyle w:val="Hyperlink"/>
          </w:rPr>
          <w:t>Figure 3B</w:t>
        </w:r>
      </w:hyperlink>
      <w:r w:rsidRPr="000F17F6">
        <w:t> and </w:t>
      </w:r>
      <w:hyperlink r:id="rId60" w:anchor="T2" w:history="1">
        <w:r w:rsidRPr="000F17F6">
          <w:rPr>
            <w:rStyle w:val="Hyperlink"/>
          </w:rPr>
          <w:t>Table 2</w:t>
        </w:r>
      </w:hyperlink>
      <w:r w:rsidRPr="000F17F6">
        <w:t xml:space="preserve">). In agreement with the whole-cell results, α2 homomeric </w:t>
      </w:r>
      <w:proofErr w:type="spellStart"/>
      <w:r w:rsidRPr="000F17F6">
        <w:t>GlyRs</w:t>
      </w:r>
      <w:proofErr w:type="spellEnd"/>
      <w:r w:rsidRPr="000F17F6">
        <w:t xml:space="preserve"> showed no changes in this parameter with 10 mM ethanol (control: 0.15 ± 0.03 vs. 10 mM: 0.11 ± 0.04; </w:t>
      </w:r>
      <w:hyperlink r:id="rId61" w:anchor="F3" w:history="1">
        <w:r w:rsidRPr="000F17F6">
          <w:rPr>
            <w:rStyle w:val="Hyperlink"/>
          </w:rPr>
          <w:t>Figure 3B</w:t>
        </w:r>
      </w:hyperlink>
      <w:r w:rsidRPr="000F17F6">
        <w:t> and </w:t>
      </w:r>
      <w:hyperlink r:id="rId62" w:anchor="T2" w:history="1">
        <w:r w:rsidRPr="000F17F6">
          <w:rPr>
            <w:rStyle w:val="Hyperlink"/>
          </w:rPr>
          <w:t>Table 2</w:t>
        </w:r>
      </w:hyperlink>
      <w:r w:rsidRPr="000F17F6">
        <w:t xml:space="preserve">). On the other hand, heteromeric α2β </w:t>
      </w:r>
      <w:proofErr w:type="spellStart"/>
      <w:r w:rsidRPr="000F17F6">
        <w:t>GlyRs</w:t>
      </w:r>
      <w:proofErr w:type="spellEnd"/>
      <w:r w:rsidRPr="000F17F6">
        <w:t xml:space="preserve"> were markedly affected by ethanol as reflected by an increase in open probability (control: 0.17 ± 0.03 vs. 10 mM: 0.45 ± 0.1; </w:t>
      </w:r>
      <w:r w:rsidRPr="000F17F6">
        <w:rPr>
          <w:i/>
          <w:iCs/>
        </w:rPr>
        <w:t>p</w:t>
      </w:r>
      <w:r w:rsidRPr="000F17F6">
        <w:t xml:space="preserve"> &lt; 0.001, </w:t>
      </w:r>
      <w:r w:rsidRPr="000F17F6">
        <w:lastRenderedPageBreak/>
        <w:t>paired </w:t>
      </w:r>
      <w:r w:rsidRPr="000F17F6">
        <w:rPr>
          <w:i/>
          <w:iCs/>
        </w:rPr>
        <w:t>t</w:t>
      </w:r>
      <w:r w:rsidRPr="000F17F6">
        <w:t>-test, </w:t>
      </w:r>
      <w:hyperlink r:id="rId63" w:anchor="F3" w:history="1">
        <w:r w:rsidRPr="000F17F6">
          <w:rPr>
            <w:rStyle w:val="Hyperlink"/>
          </w:rPr>
          <w:t>Figures 3A,B</w:t>
        </w:r>
      </w:hyperlink>
      <w:r w:rsidRPr="000F17F6">
        <w:t> and </w:t>
      </w:r>
      <w:hyperlink r:id="rId64" w:anchor="T2" w:history="1">
        <w:r w:rsidRPr="000F17F6">
          <w:rPr>
            <w:rStyle w:val="Hyperlink"/>
          </w:rPr>
          <w:t>Table 2</w:t>
        </w:r>
      </w:hyperlink>
      <w:r w:rsidRPr="000F17F6">
        <w:t xml:space="preserve">). The data shows that β subunit co-expression with α decreased channel conductance between homo-and heteromeric </w:t>
      </w:r>
      <w:proofErr w:type="spellStart"/>
      <w:r w:rsidRPr="000F17F6">
        <w:t>GlyRs</w:t>
      </w:r>
      <w:proofErr w:type="spellEnd"/>
      <w:r w:rsidRPr="000F17F6">
        <w:t xml:space="preserve"> (85–90 vs. 45 </w:t>
      </w:r>
      <w:proofErr w:type="spellStart"/>
      <w:r w:rsidRPr="000F17F6">
        <w:t>pS</w:t>
      </w:r>
      <w:proofErr w:type="spellEnd"/>
      <w:r w:rsidRPr="000F17F6">
        <w:t>, respectively), and that no differences were found in the values of channel conductance in the presence of ethanol in any of the different subunit conformations (</w:t>
      </w:r>
      <w:hyperlink r:id="rId65" w:anchor="F3" w:history="1">
        <w:r w:rsidRPr="000F17F6">
          <w:rPr>
            <w:rStyle w:val="Hyperlink"/>
          </w:rPr>
          <w:t>Figure 3A</w:t>
        </w:r>
      </w:hyperlink>
      <w:r w:rsidRPr="000F17F6">
        <w:t> and </w:t>
      </w:r>
      <w:hyperlink r:id="rId66" w:anchor="T2" w:history="1">
        <w:r w:rsidRPr="000F17F6">
          <w:rPr>
            <w:rStyle w:val="Hyperlink"/>
          </w:rPr>
          <w:t>Table 2</w:t>
        </w:r>
      </w:hyperlink>
      <w:r w:rsidRPr="000F17F6">
        <w:t>).</w:t>
      </w:r>
    </w:p>
    <w:p w14:paraId="2AAB502B" w14:textId="47D0A131" w:rsidR="000F17F6" w:rsidRPr="000F17F6" w:rsidRDefault="000F17F6" w:rsidP="006B4503">
      <w:pPr>
        <w:pStyle w:val="NoSpacing"/>
      </w:pPr>
      <w:bookmarkStart w:id="9" w:name="figure3"/>
      <w:r w:rsidRPr="000F17F6">
        <w:rPr>
          <w:noProof/>
        </w:rPr>
        <w:drawing>
          <wp:inline distT="0" distB="0" distL="0" distR="0" wp14:anchorId="0226010F" wp14:editId="7D913CA6">
            <wp:extent cx="1424940" cy="403860"/>
            <wp:effectExtent l="0" t="0" r="3810" b="0"/>
            <wp:docPr id="8" name="Picture 8" descr="www.frontiersin.org">
              <a:hlinkClick xmlns:a="http://schemas.openxmlformats.org/drawingml/2006/main" r:id="rId6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3" descr="www.frontiersin.org">
                      <a:hlinkClick r:id="rId67" tgtFrame="&quot;_blank&quot;"/>
                    </pic:cNvPr>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1424940" cy="403860"/>
                    </a:xfrm>
                    <a:prstGeom prst="rect">
                      <a:avLst/>
                    </a:prstGeom>
                    <a:noFill/>
                    <a:ln>
                      <a:noFill/>
                    </a:ln>
                  </pic:spPr>
                </pic:pic>
              </a:graphicData>
            </a:graphic>
          </wp:inline>
        </w:drawing>
      </w:r>
      <w:bookmarkEnd w:id="9"/>
    </w:p>
    <w:p w14:paraId="092F41C3" w14:textId="77777777" w:rsidR="000F17F6" w:rsidRDefault="000F17F6" w:rsidP="006B4503">
      <w:pPr>
        <w:pStyle w:val="NoSpacing"/>
      </w:pPr>
      <w:r w:rsidRPr="000F17F6">
        <w:rPr>
          <w:b/>
          <w:bCs/>
        </w:rPr>
        <w:t>Figure 3.</w:t>
      </w:r>
      <w:r w:rsidRPr="000F17F6">
        <w:t xml:space="preserve"> Effects of ethanol on single channels in homomeric and heteromeric </w:t>
      </w:r>
      <w:proofErr w:type="spellStart"/>
      <w:r w:rsidRPr="000F17F6">
        <w:t>GlyRs</w:t>
      </w:r>
      <w:proofErr w:type="spellEnd"/>
      <w:r w:rsidRPr="000F17F6">
        <w:t>. </w:t>
      </w:r>
      <w:r w:rsidRPr="000F17F6">
        <w:rPr>
          <w:b/>
          <w:bCs/>
        </w:rPr>
        <w:t>(A)</w:t>
      </w:r>
      <w:r w:rsidRPr="000F17F6">
        <w:t xml:space="preserve"> The traces are single channel recordings obtained in transfected HEK 293 cells with different </w:t>
      </w:r>
      <w:proofErr w:type="spellStart"/>
      <w:r w:rsidRPr="000F17F6">
        <w:t>GlyRs</w:t>
      </w:r>
      <w:proofErr w:type="spellEnd"/>
      <w:r w:rsidRPr="000F17F6">
        <w:t xml:space="preserve"> conformations before and after the application of 10 mM EtOH in presence of EC</w:t>
      </w:r>
      <w:r w:rsidRPr="000F17F6">
        <w:rPr>
          <w:vertAlign w:val="subscript"/>
        </w:rPr>
        <w:t>10</w:t>
      </w:r>
      <w:r w:rsidRPr="000F17F6">
        <w:t> glycine. </w:t>
      </w:r>
      <w:r w:rsidRPr="000F17F6">
        <w:rPr>
          <w:b/>
          <w:bCs/>
        </w:rPr>
        <w:t>(B)</w:t>
      </w:r>
      <w:r w:rsidRPr="000F17F6">
        <w:t xml:space="preserve"> The bar graph shows the percentage of change of open probability (Po) after the application of 10 mM EtOH in homomeric and heteromeric α1- and α2 </w:t>
      </w:r>
      <w:proofErr w:type="spellStart"/>
      <w:r w:rsidRPr="000F17F6">
        <w:t>GlyRs</w:t>
      </w:r>
      <w:proofErr w:type="spellEnd"/>
      <w:r w:rsidRPr="000F17F6">
        <w:t xml:space="preserve">. The values show a decrease in heteromeric α1β </w:t>
      </w:r>
      <w:proofErr w:type="spellStart"/>
      <w:r w:rsidRPr="000F17F6">
        <w:t>GlyRs</w:t>
      </w:r>
      <w:proofErr w:type="spellEnd"/>
      <w:r w:rsidRPr="000F17F6">
        <w:t xml:space="preserve"> (</w:t>
      </w:r>
      <w:r w:rsidRPr="000F17F6">
        <w:rPr>
          <w:i/>
          <w:iCs/>
        </w:rPr>
        <w:t>p</w:t>
      </w:r>
      <w:r w:rsidRPr="000F17F6">
        <w:t> = 0.0211, t14 = 2.598, </w:t>
      </w:r>
      <w:r w:rsidRPr="000F17F6">
        <w:rPr>
          <w:i/>
          <w:iCs/>
        </w:rPr>
        <w:t>n</w:t>
      </w:r>
      <w:r w:rsidRPr="000F17F6">
        <w:t> = 8 α1, and </w:t>
      </w:r>
      <w:r w:rsidRPr="000F17F6">
        <w:rPr>
          <w:i/>
          <w:iCs/>
        </w:rPr>
        <w:t>n</w:t>
      </w:r>
      <w:r w:rsidRPr="000F17F6">
        <w:t xml:space="preserve"> = 8 α1β) and an increase in the open probability of α2β </w:t>
      </w:r>
      <w:proofErr w:type="spellStart"/>
      <w:r w:rsidRPr="000F17F6">
        <w:t>GlyRs</w:t>
      </w:r>
      <w:proofErr w:type="spellEnd"/>
      <w:r w:rsidRPr="000F17F6">
        <w:t xml:space="preserve"> (</w:t>
      </w:r>
      <w:r w:rsidRPr="000F17F6">
        <w:rPr>
          <w:i/>
          <w:iCs/>
        </w:rPr>
        <w:t>p</w:t>
      </w:r>
      <w:r w:rsidRPr="000F17F6">
        <w:t> &lt; 0.0001, t13 = 5.98, </w:t>
      </w:r>
      <w:r w:rsidRPr="000F17F6">
        <w:rPr>
          <w:i/>
          <w:iCs/>
        </w:rPr>
        <w:t>n</w:t>
      </w:r>
      <w:r w:rsidRPr="000F17F6">
        <w:t> = 8 α2, and </w:t>
      </w:r>
      <w:r w:rsidRPr="000F17F6">
        <w:rPr>
          <w:i/>
          <w:iCs/>
        </w:rPr>
        <w:t>n</w:t>
      </w:r>
      <w:r w:rsidRPr="000F17F6">
        <w:t> = 7 α2β). The single channel conductance was not affected by ethanol. Data are mean ± SEM, </w:t>
      </w:r>
      <w:r w:rsidRPr="000F17F6">
        <w:rPr>
          <w:rFonts w:ascii="Cambria Math" w:hAnsi="Cambria Math" w:cs="Cambria Math"/>
          <w:vertAlign w:val="superscript"/>
        </w:rPr>
        <w:t>∗</w:t>
      </w:r>
      <w:r w:rsidRPr="000F17F6">
        <w:rPr>
          <w:i/>
          <w:iCs/>
        </w:rPr>
        <w:t>p</w:t>
      </w:r>
      <w:r w:rsidRPr="000F17F6">
        <w:t> &lt; 0.05, </w:t>
      </w:r>
      <w:r w:rsidRPr="000F17F6">
        <w:rPr>
          <w:rFonts w:ascii="Cambria Math" w:hAnsi="Cambria Math" w:cs="Cambria Math"/>
          <w:vertAlign w:val="superscript"/>
        </w:rPr>
        <w:t>∗∗∗</w:t>
      </w:r>
      <w:r w:rsidRPr="000F17F6">
        <w:rPr>
          <w:i/>
          <w:iCs/>
        </w:rPr>
        <w:t>p</w:t>
      </w:r>
      <w:r w:rsidRPr="000F17F6">
        <w:t> &lt; 0.001. Unpaired Student’s </w:t>
      </w:r>
      <w:r w:rsidRPr="000F17F6">
        <w:rPr>
          <w:i/>
          <w:iCs/>
        </w:rPr>
        <w:t>t</w:t>
      </w:r>
      <w:r w:rsidRPr="000F17F6">
        <w:t xml:space="preserve">-test. ns, </w:t>
      </w:r>
      <w:proofErr w:type="spellStart"/>
      <w:proofErr w:type="gramStart"/>
      <w:r w:rsidRPr="000F17F6">
        <w:t>non significant</w:t>
      </w:r>
      <w:proofErr w:type="spellEnd"/>
      <w:proofErr w:type="gramEnd"/>
      <w:r w:rsidRPr="000F17F6">
        <w:t>.</w:t>
      </w:r>
    </w:p>
    <w:p w14:paraId="4D3B9A06" w14:textId="4976614E" w:rsidR="000F17F6" w:rsidRPr="000F17F6" w:rsidRDefault="000F17F6" w:rsidP="000F17F6"/>
    <w:p w14:paraId="38E1F18A" w14:textId="77777777" w:rsidR="00331965" w:rsidRDefault="00331965" w:rsidP="000F17F6">
      <w:pPr>
        <w:rPr>
          <w:b/>
          <w:bCs/>
        </w:rPr>
        <w:sectPr w:rsidR="00331965" w:rsidSect="00CA1E8F">
          <w:pgSz w:w="12240" w:h="15840"/>
          <w:pgMar w:top="1080" w:right="1080" w:bottom="1080" w:left="1080" w:header="720" w:footer="720" w:gutter="0"/>
          <w:cols w:space="720"/>
          <w:docGrid w:linePitch="360"/>
        </w:sectPr>
      </w:pPr>
    </w:p>
    <w:p w14:paraId="0290BF83" w14:textId="77777777" w:rsidR="000F17F6" w:rsidRDefault="000F17F6" w:rsidP="00654D4E">
      <w:pPr>
        <w:spacing w:after="0"/>
      </w:pPr>
      <w:r w:rsidRPr="000F17F6">
        <w:rPr>
          <w:b/>
          <w:bCs/>
        </w:rPr>
        <w:lastRenderedPageBreak/>
        <w:t>Table 2.</w:t>
      </w:r>
      <w:r w:rsidRPr="000F17F6">
        <w:t> Effects of ethanol on the single channel properties for different conformations.</w:t>
      </w:r>
    </w:p>
    <w:p w14:paraId="261EEA3B" w14:textId="77777777" w:rsidR="007D29AA" w:rsidRPr="007D29AA" w:rsidRDefault="007D29AA" w:rsidP="007D29AA">
      <w:pPr>
        <w:kinsoku w:val="0"/>
        <w:overflowPunct w:val="0"/>
        <w:autoSpaceDE w:val="0"/>
        <w:autoSpaceDN w:val="0"/>
        <w:adjustRightInd w:val="0"/>
        <w:spacing w:before="1" w:after="0" w:line="240" w:lineRule="auto"/>
        <w:rPr>
          <w:rFonts w:ascii="Arial" w:hAnsi="Arial" w:cs="Arial"/>
          <w:i/>
          <w:iCs/>
          <w:sz w:val="8"/>
          <w:szCs w:val="8"/>
        </w:rPr>
      </w:pPr>
    </w:p>
    <w:tbl>
      <w:tblPr>
        <w:tblStyle w:val="TableGrid"/>
        <w:tblW w:w="0" w:type="auto"/>
        <w:tblLook w:val="0020" w:firstRow="1" w:lastRow="0" w:firstColumn="0" w:lastColumn="0" w:noHBand="0" w:noVBand="0"/>
      </w:tblPr>
      <w:tblGrid>
        <w:gridCol w:w="824"/>
        <w:gridCol w:w="1206"/>
        <w:gridCol w:w="1787"/>
        <w:gridCol w:w="1560"/>
        <w:gridCol w:w="440"/>
        <w:gridCol w:w="1718"/>
        <w:gridCol w:w="1787"/>
        <w:gridCol w:w="1560"/>
        <w:gridCol w:w="440"/>
      </w:tblGrid>
      <w:tr w:rsidR="007D29AA" w:rsidRPr="00C65EA1" w14:paraId="1AD37504" w14:textId="77777777" w:rsidTr="00994D36">
        <w:trPr>
          <w:trHeight w:val="328"/>
        </w:trPr>
        <w:tc>
          <w:tcPr>
            <w:tcW w:w="0" w:type="auto"/>
          </w:tcPr>
          <w:p w14:paraId="14006295" w14:textId="184F9AAE" w:rsidR="007D29AA" w:rsidRPr="00C65EA1" w:rsidRDefault="007D29AA" w:rsidP="00C65EA1">
            <w:pPr>
              <w:pStyle w:val="NoSpacing"/>
            </w:pPr>
            <w:proofErr w:type="spellStart"/>
            <w:r w:rsidRPr="00C65EA1">
              <w:t>GlyR</w:t>
            </w:r>
            <w:proofErr w:type="spellEnd"/>
          </w:p>
        </w:tc>
        <w:tc>
          <w:tcPr>
            <w:tcW w:w="0" w:type="auto"/>
          </w:tcPr>
          <w:p w14:paraId="6DD2B53C" w14:textId="68D7F972" w:rsidR="007D29AA" w:rsidRPr="00C65EA1" w:rsidRDefault="0076089C" w:rsidP="00C65EA1">
            <w:pPr>
              <w:pStyle w:val="NoSpacing"/>
            </w:pPr>
            <w:r w:rsidRPr="00C65EA1">
              <w:t>Control</w:t>
            </w:r>
          </w:p>
        </w:tc>
        <w:tc>
          <w:tcPr>
            <w:tcW w:w="0" w:type="auto"/>
          </w:tcPr>
          <w:p w14:paraId="477FA719" w14:textId="77777777" w:rsidR="007D29AA" w:rsidRPr="00C65EA1" w:rsidRDefault="007D29AA" w:rsidP="00C65EA1">
            <w:pPr>
              <w:pStyle w:val="NoSpacing"/>
            </w:pPr>
          </w:p>
        </w:tc>
        <w:tc>
          <w:tcPr>
            <w:tcW w:w="0" w:type="auto"/>
          </w:tcPr>
          <w:p w14:paraId="073A3DEE" w14:textId="77777777" w:rsidR="007D29AA" w:rsidRPr="00C65EA1" w:rsidRDefault="007D29AA" w:rsidP="00C65EA1">
            <w:pPr>
              <w:pStyle w:val="NoSpacing"/>
            </w:pPr>
          </w:p>
        </w:tc>
        <w:tc>
          <w:tcPr>
            <w:tcW w:w="0" w:type="auto"/>
          </w:tcPr>
          <w:p w14:paraId="606690C0" w14:textId="77777777" w:rsidR="007D29AA" w:rsidRPr="00C65EA1" w:rsidRDefault="007D29AA" w:rsidP="00C65EA1">
            <w:pPr>
              <w:pStyle w:val="NoSpacing"/>
            </w:pPr>
          </w:p>
        </w:tc>
        <w:tc>
          <w:tcPr>
            <w:tcW w:w="0" w:type="auto"/>
          </w:tcPr>
          <w:p w14:paraId="59CC05EB" w14:textId="1770E203" w:rsidR="007D29AA" w:rsidRPr="00C65EA1" w:rsidRDefault="00654D4E" w:rsidP="00C65EA1">
            <w:pPr>
              <w:pStyle w:val="NoSpacing"/>
            </w:pPr>
            <w:r w:rsidRPr="00C65EA1">
              <w:t>10 mM ethanol</w:t>
            </w:r>
          </w:p>
        </w:tc>
        <w:tc>
          <w:tcPr>
            <w:tcW w:w="0" w:type="auto"/>
          </w:tcPr>
          <w:p w14:paraId="030BDEFE" w14:textId="77777777" w:rsidR="007D29AA" w:rsidRPr="00C65EA1" w:rsidRDefault="007D29AA" w:rsidP="00C65EA1">
            <w:pPr>
              <w:pStyle w:val="NoSpacing"/>
            </w:pPr>
          </w:p>
        </w:tc>
        <w:tc>
          <w:tcPr>
            <w:tcW w:w="0" w:type="auto"/>
          </w:tcPr>
          <w:p w14:paraId="797668D9" w14:textId="77777777" w:rsidR="007D29AA" w:rsidRPr="00C65EA1" w:rsidRDefault="007D29AA" w:rsidP="00C65EA1">
            <w:pPr>
              <w:pStyle w:val="NoSpacing"/>
            </w:pPr>
          </w:p>
        </w:tc>
        <w:tc>
          <w:tcPr>
            <w:tcW w:w="0" w:type="auto"/>
          </w:tcPr>
          <w:p w14:paraId="4EA13DFA" w14:textId="77777777" w:rsidR="007D29AA" w:rsidRPr="00C65EA1" w:rsidRDefault="007D29AA" w:rsidP="00C65EA1">
            <w:pPr>
              <w:pStyle w:val="NoSpacing"/>
            </w:pPr>
          </w:p>
        </w:tc>
      </w:tr>
      <w:tr w:rsidR="001A548E" w:rsidRPr="00C65EA1" w14:paraId="582F5DBD" w14:textId="77777777" w:rsidTr="00994D36">
        <w:trPr>
          <w:trHeight w:val="227"/>
        </w:trPr>
        <w:tc>
          <w:tcPr>
            <w:tcW w:w="0" w:type="auto"/>
          </w:tcPr>
          <w:p w14:paraId="50DB363D" w14:textId="7AE288D4" w:rsidR="007D29AA" w:rsidRPr="00C65EA1" w:rsidRDefault="007D29AA" w:rsidP="00C65EA1">
            <w:pPr>
              <w:pStyle w:val="NoSpacing"/>
            </w:pPr>
          </w:p>
        </w:tc>
        <w:tc>
          <w:tcPr>
            <w:tcW w:w="0" w:type="auto"/>
          </w:tcPr>
          <w:p w14:paraId="04BCA5E5" w14:textId="18835C1E" w:rsidR="007D29AA" w:rsidRPr="00C65EA1" w:rsidRDefault="00994D36" w:rsidP="00C65EA1">
            <w:pPr>
              <w:pStyle w:val="NoSpacing"/>
            </w:pPr>
            <w:r w:rsidRPr="00C65EA1">
              <w:t>Po</w:t>
            </w:r>
          </w:p>
        </w:tc>
        <w:tc>
          <w:tcPr>
            <w:tcW w:w="0" w:type="auto"/>
          </w:tcPr>
          <w:p w14:paraId="5434EC9A" w14:textId="0908FB62" w:rsidR="007D29AA" w:rsidRPr="00C65EA1" w:rsidRDefault="00994D36" w:rsidP="00C65EA1">
            <w:pPr>
              <w:pStyle w:val="NoSpacing"/>
            </w:pPr>
            <w:r w:rsidRPr="00C65EA1">
              <w:t>Conductance (</w:t>
            </w:r>
            <w:proofErr w:type="spellStart"/>
            <w:r w:rsidRPr="00C65EA1">
              <w:t>pS</w:t>
            </w:r>
            <w:proofErr w:type="spellEnd"/>
            <w:r w:rsidRPr="00C65EA1">
              <w:t>)</w:t>
            </w:r>
          </w:p>
        </w:tc>
        <w:tc>
          <w:tcPr>
            <w:tcW w:w="0" w:type="auto"/>
          </w:tcPr>
          <w:p w14:paraId="0D65A272" w14:textId="53CA5948" w:rsidR="007D29AA" w:rsidRPr="00C65EA1" w:rsidRDefault="00994D36" w:rsidP="00C65EA1">
            <w:pPr>
              <w:pStyle w:val="NoSpacing"/>
            </w:pPr>
            <w:r w:rsidRPr="00C65EA1">
              <w:t>Frequency (Hz)</w:t>
            </w:r>
          </w:p>
        </w:tc>
        <w:tc>
          <w:tcPr>
            <w:tcW w:w="0" w:type="auto"/>
          </w:tcPr>
          <w:p w14:paraId="0F15A25E" w14:textId="5F0DAB4F" w:rsidR="007D29AA" w:rsidRPr="00C65EA1" w:rsidRDefault="00994D36" w:rsidP="00C65EA1">
            <w:pPr>
              <w:pStyle w:val="NoSpacing"/>
            </w:pPr>
            <w:r w:rsidRPr="00C65EA1">
              <w:t>n</w:t>
            </w:r>
          </w:p>
        </w:tc>
        <w:tc>
          <w:tcPr>
            <w:tcW w:w="0" w:type="auto"/>
          </w:tcPr>
          <w:p w14:paraId="4C02B768" w14:textId="42043033" w:rsidR="007D29AA" w:rsidRPr="00C65EA1" w:rsidRDefault="00994D36" w:rsidP="00C65EA1">
            <w:pPr>
              <w:pStyle w:val="NoSpacing"/>
            </w:pPr>
            <w:r w:rsidRPr="00C65EA1">
              <w:t>Po</w:t>
            </w:r>
          </w:p>
        </w:tc>
        <w:tc>
          <w:tcPr>
            <w:tcW w:w="0" w:type="auto"/>
          </w:tcPr>
          <w:p w14:paraId="1F42E0A8" w14:textId="6DE2945F" w:rsidR="007D29AA" w:rsidRPr="00C65EA1" w:rsidRDefault="00994D36" w:rsidP="00C65EA1">
            <w:pPr>
              <w:pStyle w:val="NoSpacing"/>
            </w:pPr>
            <w:r w:rsidRPr="00C65EA1">
              <w:t>Conductance (</w:t>
            </w:r>
            <w:proofErr w:type="spellStart"/>
            <w:r w:rsidRPr="00C65EA1">
              <w:t>pS</w:t>
            </w:r>
            <w:proofErr w:type="spellEnd"/>
            <w:r w:rsidRPr="00C65EA1">
              <w:t>)</w:t>
            </w:r>
          </w:p>
        </w:tc>
        <w:tc>
          <w:tcPr>
            <w:tcW w:w="0" w:type="auto"/>
          </w:tcPr>
          <w:p w14:paraId="63B158A2" w14:textId="19CA3A7D" w:rsidR="007D29AA" w:rsidRPr="00C65EA1" w:rsidRDefault="00994D36" w:rsidP="00C65EA1">
            <w:pPr>
              <w:pStyle w:val="NoSpacing"/>
            </w:pPr>
            <w:r w:rsidRPr="00C65EA1">
              <w:t>Frequency (Hz)</w:t>
            </w:r>
          </w:p>
        </w:tc>
        <w:tc>
          <w:tcPr>
            <w:tcW w:w="0" w:type="auto"/>
          </w:tcPr>
          <w:p w14:paraId="25A22342" w14:textId="2B8BFF86" w:rsidR="007D29AA" w:rsidRPr="00C65EA1" w:rsidRDefault="00994D36" w:rsidP="00C65EA1">
            <w:pPr>
              <w:pStyle w:val="NoSpacing"/>
            </w:pPr>
            <w:r w:rsidRPr="00C65EA1">
              <w:t>n</w:t>
            </w:r>
          </w:p>
        </w:tc>
      </w:tr>
      <w:tr w:rsidR="00994D36" w:rsidRPr="00C65EA1" w14:paraId="2F2F1694" w14:textId="77777777" w:rsidTr="00994D36">
        <w:trPr>
          <w:trHeight w:val="227"/>
        </w:trPr>
        <w:tc>
          <w:tcPr>
            <w:tcW w:w="0" w:type="auto"/>
          </w:tcPr>
          <w:p w14:paraId="1D0A6B36" w14:textId="094CD715" w:rsidR="00994D36" w:rsidRPr="00C65EA1" w:rsidRDefault="00994D36" w:rsidP="00994D36">
            <w:pPr>
              <w:pStyle w:val="NoSpacing"/>
            </w:pPr>
            <w:r w:rsidRPr="00C65EA1">
              <w:t>α1</w:t>
            </w:r>
          </w:p>
        </w:tc>
        <w:tc>
          <w:tcPr>
            <w:tcW w:w="0" w:type="auto"/>
          </w:tcPr>
          <w:p w14:paraId="33BFC3A5" w14:textId="63E3E857" w:rsidR="00994D36" w:rsidRPr="00C65EA1" w:rsidRDefault="00994D36" w:rsidP="00994D36">
            <w:pPr>
              <w:pStyle w:val="NoSpacing"/>
            </w:pPr>
            <w:r w:rsidRPr="00C65EA1">
              <w:t>0.12 ± 0.03</w:t>
            </w:r>
          </w:p>
        </w:tc>
        <w:tc>
          <w:tcPr>
            <w:tcW w:w="0" w:type="auto"/>
          </w:tcPr>
          <w:p w14:paraId="5EC1604A" w14:textId="39554CC7" w:rsidR="00994D36" w:rsidRPr="00C65EA1" w:rsidRDefault="00994D36" w:rsidP="00994D36">
            <w:pPr>
              <w:pStyle w:val="NoSpacing"/>
            </w:pPr>
            <w:r w:rsidRPr="00C65EA1">
              <w:t>85 ± 2</w:t>
            </w:r>
          </w:p>
        </w:tc>
        <w:tc>
          <w:tcPr>
            <w:tcW w:w="0" w:type="auto"/>
          </w:tcPr>
          <w:p w14:paraId="3B97DE6F" w14:textId="186F5087" w:rsidR="00994D36" w:rsidRPr="00C65EA1" w:rsidRDefault="00994D36" w:rsidP="00994D36">
            <w:pPr>
              <w:pStyle w:val="NoSpacing"/>
            </w:pPr>
            <w:r w:rsidRPr="00C65EA1">
              <w:t>37 ± 9</w:t>
            </w:r>
          </w:p>
        </w:tc>
        <w:tc>
          <w:tcPr>
            <w:tcW w:w="0" w:type="auto"/>
          </w:tcPr>
          <w:p w14:paraId="4C3D2336" w14:textId="0171038B" w:rsidR="00994D36" w:rsidRPr="00C65EA1" w:rsidRDefault="00994D36" w:rsidP="00994D36">
            <w:pPr>
              <w:pStyle w:val="NoSpacing"/>
            </w:pPr>
            <w:r w:rsidRPr="00C65EA1">
              <w:t>8</w:t>
            </w:r>
          </w:p>
        </w:tc>
        <w:tc>
          <w:tcPr>
            <w:tcW w:w="0" w:type="auto"/>
          </w:tcPr>
          <w:p w14:paraId="607CB51E" w14:textId="67A19D52" w:rsidR="00994D36" w:rsidRPr="00C65EA1" w:rsidRDefault="00994D36" w:rsidP="00994D36">
            <w:pPr>
              <w:pStyle w:val="NoSpacing"/>
            </w:pPr>
            <w:r w:rsidRPr="00C65EA1">
              <w:t>0.52 ± 0.18 (***)</w:t>
            </w:r>
          </w:p>
        </w:tc>
        <w:tc>
          <w:tcPr>
            <w:tcW w:w="0" w:type="auto"/>
          </w:tcPr>
          <w:p w14:paraId="2B3D2C52" w14:textId="3E1D4AFA" w:rsidR="00994D36" w:rsidRPr="00C65EA1" w:rsidRDefault="00994D36" w:rsidP="00994D36">
            <w:pPr>
              <w:pStyle w:val="NoSpacing"/>
            </w:pPr>
            <w:r w:rsidRPr="00C65EA1">
              <w:t>85 ± 2</w:t>
            </w:r>
          </w:p>
        </w:tc>
        <w:tc>
          <w:tcPr>
            <w:tcW w:w="0" w:type="auto"/>
          </w:tcPr>
          <w:p w14:paraId="64DA1942" w14:textId="04D22540" w:rsidR="00994D36" w:rsidRPr="00C65EA1" w:rsidRDefault="00994D36" w:rsidP="00994D36">
            <w:pPr>
              <w:pStyle w:val="NoSpacing"/>
            </w:pPr>
            <w:r w:rsidRPr="00C65EA1">
              <w:t>55 ± 9 (*)</w:t>
            </w:r>
          </w:p>
        </w:tc>
        <w:tc>
          <w:tcPr>
            <w:tcW w:w="0" w:type="auto"/>
          </w:tcPr>
          <w:p w14:paraId="1E07E028" w14:textId="0CEBC638" w:rsidR="00994D36" w:rsidRPr="00C65EA1" w:rsidRDefault="00994D36" w:rsidP="00994D36">
            <w:pPr>
              <w:pStyle w:val="NoSpacing"/>
            </w:pPr>
            <w:r w:rsidRPr="00C65EA1">
              <w:t>8</w:t>
            </w:r>
          </w:p>
        </w:tc>
      </w:tr>
      <w:tr w:rsidR="00994D36" w:rsidRPr="00C65EA1" w14:paraId="15581DBC" w14:textId="77777777" w:rsidTr="00994D36">
        <w:trPr>
          <w:trHeight w:val="227"/>
        </w:trPr>
        <w:tc>
          <w:tcPr>
            <w:tcW w:w="0" w:type="auto"/>
          </w:tcPr>
          <w:p w14:paraId="68888973" w14:textId="465BA443" w:rsidR="00994D36" w:rsidRPr="00C65EA1" w:rsidRDefault="00994D36" w:rsidP="00994D36">
            <w:pPr>
              <w:pStyle w:val="NoSpacing"/>
            </w:pPr>
            <w:r w:rsidRPr="00C65EA1">
              <w:t>α1β</w:t>
            </w:r>
          </w:p>
        </w:tc>
        <w:tc>
          <w:tcPr>
            <w:tcW w:w="0" w:type="auto"/>
          </w:tcPr>
          <w:p w14:paraId="590DEC4C" w14:textId="44B97A5A" w:rsidR="00994D36" w:rsidRPr="00C65EA1" w:rsidRDefault="00994D36" w:rsidP="00994D36">
            <w:pPr>
              <w:pStyle w:val="NoSpacing"/>
            </w:pPr>
            <w:r w:rsidRPr="00C65EA1">
              <w:t>0.22 ± 0.06</w:t>
            </w:r>
          </w:p>
        </w:tc>
        <w:tc>
          <w:tcPr>
            <w:tcW w:w="0" w:type="auto"/>
          </w:tcPr>
          <w:p w14:paraId="062F128E" w14:textId="1A97AAA3" w:rsidR="00994D36" w:rsidRPr="00C65EA1" w:rsidRDefault="00994D36" w:rsidP="00994D36">
            <w:pPr>
              <w:pStyle w:val="NoSpacing"/>
            </w:pPr>
            <w:r w:rsidRPr="00C65EA1">
              <w:t>45 ± 2</w:t>
            </w:r>
          </w:p>
        </w:tc>
        <w:tc>
          <w:tcPr>
            <w:tcW w:w="0" w:type="auto"/>
          </w:tcPr>
          <w:p w14:paraId="56E77720" w14:textId="4779DDD2" w:rsidR="00994D36" w:rsidRPr="00C65EA1" w:rsidRDefault="00994D36" w:rsidP="00994D36">
            <w:pPr>
              <w:pStyle w:val="NoSpacing"/>
            </w:pPr>
            <w:r w:rsidRPr="00C65EA1">
              <w:t>56 ± 8</w:t>
            </w:r>
          </w:p>
        </w:tc>
        <w:tc>
          <w:tcPr>
            <w:tcW w:w="0" w:type="auto"/>
          </w:tcPr>
          <w:p w14:paraId="08D1E08B" w14:textId="293F9A61" w:rsidR="00994D36" w:rsidRPr="00C65EA1" w:rsidRDefault="00994D36" w:rsidP="00994D36">
            <w:pPr>
              <w:pStyle w:val="NoSpacing"/>
            </w:pPr>
            <w:r w:rsidRPr="00C65EA1">
              <w:t>8</w:t>
            </w:r>
          </w:p>
        </w:tc>
        <w:tc>
          <w:tcPr>
            <w:tcW w:w="0" w:type="auto"/>
          </w:tcPr>
          <w:p w14:paraId="769FE6C5" w14:textId="081253F5" w:rsidR="00994D36" w:rsidRPr="00C65EA1" w:rsidRDefault="00994D36" w:rsidP="00994D36">
            <w:pPr>
              <w:pStyle w:val="NoSpacing"/>
            </w:pPr>
            <w:r w:rsidRPr="00C65EA1">
              <w:t>0.47 ± 0.18</w:t>
            </w:r>
          </w:p>
        </w:tc>
        <w:tc>
          <w:tcPr>
            <w:tcW w:w="0" w:type="auto"/>
          </w:tcPr>
          <w:p w14:paraId="6F650F32" w14:textId="422B93E1" w:rsidR="00994D36" w:rsidRPr="00C65EA1" w:rsidRDefault="00994D36" w:rsidP="00994D36">
            <w:pPr>
              <w:pStyle w:val="NoSpacing"/>
            </w:pPr>
            <w:r w:rsidRPr="00C65EA1">
              <w:t>47 ± 1</w:t>
            </w:r>
          </w:p>
        </w:tc>
        <w:tc>
          <w:tcPr>
            <w:tcW w:w="0" w:type="auto"/>
          </w:tcPr>
          <w:p w14:paraId="1304E648" w14:textId="1CD4E938" w:rsidR="00994D36" w:rsidRPr="00C65EA1" w:rsidRDefault="00994D36" w:rsidP="00994D36">
            <w:pPr>
              <w:pStyle w:val="NoSpacing"/>
            </w:pPr>
            <w:r w:rsidRPr="00C65EA1">
              <w:t>64 ± 10 (**)</w:t>
            </w:r>
          </w:p>
        </w:tc>
        <w:tc>
          <w:tcPr>
            <w:tcW w:w="0" w:type="auto"/>
          </w:tcPr>
          <w:p w14:paraId="3E030809" w14:textId="2F03D1F3" w:rsidR="00994D36" w:rsidRPr="00C65EA1" w:rsidRDefault="00994D36" w:rsidP="00994D36">
            <w:pPr>
              <w:pStyle w:val="NoSpacing"/>
            </w:pPr>
            <w:r w:rsidRPr="00C65EA1">
              <w:t>8</w:t>
            </w:r>
          </w:p>
        </w:tc>
      </w:tr>
      <w:tr w:rsidR="00994D36" w:rsidRPr="00C65EA1" w14:paraId="2D4D81AB" w14:textId="77777777" w:rsidTr="00994D36">
        <w:trPr>
          <w:trHeight w:val="227"/>
        </w:trPr>
        <w:tc>
          <w:tcPr>
            <w:tcW w:w="0" w:type="auto"/>
          </w:tcPr>
          <w:p w14:paraId="2C2BEF6E" w14:textId="77777777" w:rsidR="00994D36" w:rsidRPr="00C65EA1" w:rsidRDefault="00994D36" w:rsidP="00994D36">
            <w:pPr>
              <w:pStyle w:val="NoSpacing"/>
            </w:pPr>
            <w:r w:rsidRPr="00C65EA1">
              <w:t>α2</w:t>
            </w:r>
          </w:p>
        </w:tc>
        <w:tc>
          <w:tcPr>
            <w:tcW w:w="0" w:type="auto"/>
          </w:tcPr>
          <w:p w14:paraId="2C8D2BA6" w14:textId="77777777" w:rsidR="00994D36" w:rsidRPr="00C65EA1" w:rsidRDefault="00994D36" w:rsidP="00994D36">
            <w:pPr>
              <w:pStyle w:val="NoSpacing"/>
            </w:pPr>
            <w:r w:rsidRPr="00C65EA1">
              <w:t>0.15 ± 0.03</w:t>
            </w:r>
          </w:p>
        </w:tc>
        <w:tc>
          <w:tcPr>
            <w:tcW w:w="0" w:type="auto"/>
          </w:tcPr>
          <w:p w14:paraId="3ED04D3B" w14:textId="77777777" w:rsidR="00994D36" w:rsidRPr="00C65EA1" w:rsidRDefault="00994D36" w:rsidP="00994D36">
            <w:pPr>
              <w:pStyle w:val="NoSpacing"/>
            </w:pPr>
            <w:r w:rsidRPr="00C65EA1">
              <w:t>91 ± 2</w:t>
            </w:r>
          </w:p>
        </w:tc>
        <w:tc>
          <w:tcPr>
            <w:tcW w:w="0" w:type="auto"/>
          </w:tcPr>
          <w:p w14:paraId="582FA6AD" w14:textId="77777777" w:rsidR="00994D36" w:rsidRPr="00C65EA1" w:rsidRDefault="00994D36" w:rsidP="00994D36">
            <w:pPr>
              <w:pStyle w:val="NoSpacing"/>
            </w:pPr>
            <w:r w:rsidRPr="00C65EA1">
              <w:t>37 ± 11</w:t>
            </w:r>
          </w:p>
        </w:tc>
        <w:tc>
          <w:tcPr>
            <w:tcW w:w="0" w:type="auto"/>
          </w:tcPr>
          <w:p w14:paraId="371A174F" w14:textId="77777777" w:rsidR="00994D36" w:rsidRPr="00C65EA1" w:rsidRDefault="00994D36" w:rsidP="00994D36">
            <w:pPr>
              <w:pStyle w:val="NoSpacing"/>
            </w:pPr>
            <w:r w:rsidRPr="00C65EA1">
              <w:t>8</w:t>
            </w:r>
          </w:p>
        </w:tc>
        <w:tc>
          <w:tcPr>
            <w:tcW w:w="0" w:type="auto"/>
          </w:tcPr>
          <w:p w14:paraId="7EFD1114" w14:textId="77777777" w:rsidR="00994D36" w:rsidRPr="00C65EA1" w:rsidRDefault="00994D36" w:rsidP="00994D36">
            <w:pPr>
              <w:pStyle w:val="NoSpacing"/>
            </w:pPr>
            <w:r w:rsidRPr="00C65EA1">
              <w:t>0.11 ± 0.04</w:t>
            </w:r>
          </w:p>
        </w:tc>
        <w:tc>
          <w:tcPr>
            <w:tcW w:w="0" w:type="auto"/>
          </w:tcPr>
          <w:p w14:paraId="4D85353C" w14:textId="77777777" w:rsidR="00994D36" w:rsidRPr="00C65EA1" w:rsidRDefault="00994D36" w:rsidP="00994D36">
            <w:pPr>
              <w:pStyle w:val="NoSpacing"/>
            </w:pPr>
            <w:r w:rsidRPr="00C65EA1">
              <w:t>89 ± 1</w:t>
            </w:r>
          </w:p>
        </w:tc>
        <w:tc>
          <w:tcPr>
            <w:tcW w:w="0" w:type="auto"/>
          </w:tcPr>
          <w:p w14:paraId="0A581A23" w14:textId="77777777" w:rsidR="00994D36" w:rsidRPr="00C65EA1" w:rsidRDefault="00994D36" w:rsidP="00994D36">
            <w:pPr>
              <w:pStyle w:val="NoSpacing"/>
            </w:pPr>
            <w:r w:rsidRPr="00C65EA1">
              <w:t>44 ± 14</w:t>
            </w:r>
          </w:p>
        </w:tc>
        <w:tc>
          <w:tcPr>
            <w:tcW w:w="0" w:type="auto"/>
          </w:tcPr>
          <w:p w14:paraId="70EF744C" w14:textId="77777777" w:rsidR="00994D36" w:rsidRPr="00C65EA1" w:rsidRDefault="00994D36" w:rsidP="00994D36">
            <w:pPr>
              <w:pStyle w:val="NoSpacing"/>
            </w:pPr>
            <w:r w:rsidRPr="00C65EA1">
              <w:t>8</w:t>
            </w:r>
          </w:p>
        </w:tc>
      </w:tr>
      <w:tr w:rsidR="00994D36" w:rsidRPr="00C65EA1" w14:paraId="7243B91E" w14:textId="77777777" w:rsidTr="00994D36">
        <w:trPr>
          <w:trHeight w:val="227"/>
        </w:trPr>
        <w:tc>
          <w:tcPr>
            <w:tcW w:w="0" w:type="auto"/>
          </w:tcPr>
          <w:p w14:paraId="117452EB" w14:textId="77777777" w:rsidR="00994D36" w:rsidRPr="00C65EA1" w:rsidRDefault="00994D36" w:rsidP="00994D36">
            <w:pPr>
              <w:pStyle w:val="NoSpacing"/>
            </w:pPr>
            <w:r w:rsidRPr="00C65EA1">
              <w:t>α2β</w:t>
            </w:r>
          </w:p>
        </w:tc>
        <w:tc>
          <w:tcPr>
            <w:tcW w:w="0" w:type="auto"/>
          </w:tcPr>
          <w:p w14:paraId="369DB406" w14:textId="77777777" w:rsidR="00994D36" w:rsidRPr="00C65EA1" w:rsidRDefault="00994D36" w:rsidP="00994D36">
            <w:pPr>
              <w:pStyle w:val="NoSpacing"/>
            </w:pPr>
            <w:r w:rsidRPr="00C65EA1">
              <w:t>0.17 ± 0.03</w:t>
            </w:r>
          </w:p>
        </w:tc>
        <w:tc>
          <w:tcPr>
            <w:tcW w:w="0" w:type="auto"/>
          </w:tcPr>
          <w:p w14:paraId="5B101BED" w14:textId="77777777" w:rsidR="00994D36" w:rsidRPr="00C65EA1" w:rsidRDefault="00994D36" w:rsidP="00994D36">
            <w:pPr>
              <w:pStyle w:val="NoSpacing"/>
            </w:pPr>
            <w:r w:rsidRPr="00C65EA1">
              <w:t>43 ± 1</w:t>
            </w:r>
          </w:p>
        </w:tc>
        <w:tc>
          <w:tcPr>
            <w:tcW w:w="0" w:type="auto"/>
          </w:tcPr>
          <w:p w14:paraId="140C3375" w14:textId="77777777" w:rsidR="00994D36" w:rsidRPr="00C65EA1" w:rsidRDefault="00994D36" w:rsidP="00994D36">
            <w:pPr>
              <w:pStyle w:val="NoSpacing"/>
            </w:pPr>
            <w:r w:rsidRPr="00C65EA1">
              <w:t>58 ± 14</w:t>
            </w:r>
          </w:p>
        </w:tc>
        <w:tc>
          <w:tcPr>
            <w:tcW w:w="0" w:type="auto"/>
          </w:tcPr>
          <w:p w14:paraId="331ED99C" w14:textId="77777777" w:rsidR="00994D36" w:rsidRPr="00C65EA1" w:rsidRDefault="00994D36" w:rsidP="00994D36">
            <w:pPr>
              <w:pStyle w:val="NoSpacing"/>
            </w:pPr>
            <w:r w:rsidRPr="00C65EA1">
              <w:t>7</w:t>
            </w:r>
          </w:p>
        </w:tc>
        <w:tc>
          <w:tcPr>
            <w:tcW w:w="0" w:type="auto"/>
          </w:tcPr>
          <w:p w14:paraId="418F01CD" w14:textId="77777777" w:rsidR="00994D36" w:rsidRPr="00C65EA1" w:rsidRDefault="00994D36" w:rsidP="00994D36">
            <w:pPr>
              <w:pStyle w:val="NoSpacing"/>
            </w:pPr>
            <w:r w:rsidRPr="00C65EA1">
              <w:t>0.45 ± 0.1 (***)</w:t>
            </w:r>
          </w:p>
        </w:tc>
        <w:tc>
          <w:tcPr>
            <w:tcW w:w="0" w:type="auto"/>
          </w:tcPr>
          <w:p w14:paraId="2644DDEE" w14:textId="77777777" w:rsidR="00994D36" w:rsidRPr="00C65EA1" w:rsidRDefault="00994D36" w:rsidP="00994D36">
            <w:pPr>
              <w:pStyle w:val="NoSpacing"/>
            </w:pPr>
            <w:r w:rsidRPr="00C65EA1">
              <w:t>44 ± 1</w:t>
            </w:r>
          </w:p>
        </w:tc>
        <w:tc>
          <w:tcPr>
            <w:tcW w:w="0" w:type="auto"/>
          </w:tcPr>
          <w:p w14:paraId="3B02BFBD" w14:textId="77777777" w:rsidR="00994D36" w:rsidRPr="00C65EA1" w:rsidRDefault="00994D36" w:rsidP="00994D36">
            <w:pPr>
              <w:pStyle w:val="NoSpacing"/>
            </w:pPr>
            <w:r w:rsidRPr="00C65EA1">
              <w:t>79 ± 11 (*)</w:t>
            </w:r>
          </w:p>
        </w:tc>
        <w:tc>
          <w:tcPr>
            <w:tcW w:w="0" w:type="auto"/>
          </w:tcPr>
          <w:p w14:paraId="73828C0D" w14:textId="77777777" w:rsidR="00994D36" w:rsidRPr="00C65EA1" w:rsidRDefault="00994D36" w:rsidP="00994D36">
            <w:pPr>
              <w:pStyle w:val="NoSpacing"/>
            </w:pPr>
            <w:r w:rsidRPr="00C65EA1">
              <w:t>7</w:t>
            </w:r>
          </w:p>
        </w:tc>
      </w:tr>
      <w:tr w:rsidR="00994D36" w:rsidRPr="00C65EA1" w14:paraId="3100DCC7" w14:textId="77777777" w:rsidTr="00994D36">
        <w:trPr>
          <w:trHeight w:val="248"/>
        </w:trPr>
        <w:tc>
          <w:tcPr>
            <w:tcW w:w="0" w:type="auto"/>
          </w:tcPr>
          <w:p w14:paraId="2B21B168" w14:textId="77777777" w:rsidR="00994D36" w:rsidRPr="00C65EA1" w:rsidRDefault="00994D36" w:rsidP="00994D36">
            <w:pPr>
              <w:pStyle w:val="NoSpacing"/>
            </w:pPr>
            <w:r w:rsidRPr="00C65EA1">
              <w:t>α2AAβ</w:t>
            </w:r>
          </w:p>
        </w:tc>
        <w:tc>
          <w:tcPr>
            <w:tcW w:w="0" w:type="auto"/>
          </w:tcPr>
          <w:p w14:paraId="469F9FD9" w14:textId="77777777" w:rsidR="00994D36" w:rsidRPr="00C65EA1" w:rsidRDefault="00994D36" w:rsidP="00994D36">
            <w:pPr>
              <w:pStyle w:val="NoSpacing"/>
            </w:pPr>
            <w:r w:rsidRPr="00C65EA1">
              <w:t>0.16 ± 0.06</w:t>
            </w:r>
          </w:p>
        </w:tc>
        <w:tc>
          <w:tcPr>
            <w:tcW w:w="0" w:type="auto"/>
          </w:tcPr>
          <w:p w14:paraId="74C42317" w14:textId="77777777" w:rsidR="00994D36" w:rsidRPr="00C65EA1" w:rsidRDefault="00994D36" w:rsidP="00994D36">
            <w:pPr>
              <w:pStyle w:val="NoSpacing"/>
            </w:pPr>
            <w:r w:rsidRPr="00C65EA1">
              <w:t>45 ± 1</w:t>
            </w:r>
          </w:p>
        </w:tc>
        <w:tc>
          <w:tcPr>
            <w:tcW w:w="0" w:type="auto"/>
          </w:tcPr>
          <w:p w14:paraId="238332B3" w14:textId="77777777" w:rsidR="00994D36" w:rsidRPr="00C65EA1" w:rsidRDefault="00994D36" w:rsidP="00994D36">
            <w:pPr>
              <w:pStyle w:val="NoSpacing"/>
            </w:pPr>
            <w:r w:rsidRPr="00C65EA1">
              <w:t>44 ± 3</w:t>
            </w:r>
          </w:p>
        </w:tc>
        <w:tc>
          <w:tcPr>
            <w:tcW w:w="0" w:type="auto"/>
          </w:tcPr>
          <w:p w14:paraId="7B3CD4EA" w14:textId="77777777" w:rsidR="00994D36" w:rsidRPr="00C65EA1" w:rsidRDefault="00994D36" w:rsidP="00994D36">
            <w:pPr>
              <w:pStyle w:val="NoSpacing"/>
            </w:pPr>
            <w:r w:rsidRPr="00C65EA1">
              <w:t>10</w:t>
            </w:r>
          </w:p>
        </w:tc>
        <w:tc>
          <w:tcPr>
            <w:tcW w:w="0" w:type="auto"/>
          </w:tcPr>
          <w:p w14:paraId="67C117AE" w14:textId="77777777" w:rsidR="00994D36" w:rsidRPr="00C65EA1" w:rsidRDefault="00994D36" w:rsidP="00994D36">
            <w:pPr>
              <w:pStyle w:val="NoSpacing"/>
            </w:pPr>
            <w:r w:rsidRPr="00C65EA1">
              <w:t>0.14 ± 0.06</w:t>
            </w:r>
          </w:p>
        </w:tc>
        <w:tc>
          <w:tcPr>
            <w:tcW w:w="0" w:type="auto"/>
          </w:tcPr>
          <w:p w14:paraId="75B66605" w14:textId="77777777" w:rsidR="00994D36" w:rsidRPr="00C65EA1" w:rsidRDefault="00994D36" w:rsidP="00994D36">
            <w:pPr>
              <w:pStyle w:val="NoSpacing"/>
            </w:pPr>
            <w:r w:rsidRPr="00C65EA1">
              <w:t>45 ± 1</w:t>
            </w:r>
          </w:p>
        </w:tc>
        <w:tc>
          <w:tcPr>
            <w:tcW w:w="0" w:type="auto"/>
          </w:tcPr>
          <w:p w14:paraId="7174B8A9" w14:textId="77777777" w:rsidR="00994D36" w:rsidRPr="00C65EA1" w:rsidRDefault="00994D36" w:rsidP="00994D36">
            <w:pPr>
              <w:pStyle w:val="NoSpacing"/>
            </w:pPr>
            <w:r w:rsidRPr="00C65EA1">
              <w:t>43 ± 3</w:t>
            </w:r>
          </w:p>
        </w:tc>
        <w:tc>
          <w:tcPr>
            <w:tcW w:w="0" w:type="auto"/>
          </w:tcPr>
          <w:p w14:paraId="25DD2C7F" w14:textId="77777777" w:rsidR="00994D36" w:rsidRPr="00C65EA1" w:rsidRDefault="00994D36" w:rsidP="00994D36">
            <w:pPr>
              <w:pStyle w:val="NoSpacing"/>
            </w:pPr>
            <w:r w:rsidRPr="00C65EA1">
              <w:t>10</w:t>
            </w:r>
          </w:p>
        </w:tc>
      </w:tr>
    </w:tbl>
    <w:p w14:paraId="50240EE8" w14:textId="1821CF35" w:rsidR="00E825CA" w:rsidRDefault="00E825CA" w:rsidP="00E825CA">
      <w:pPr>
        <w:pStyle w:val="NoSpacing"/>
      </w:pPr>
      <w:r>
        <w:t xml:space="preserve">Values are given as mean </w:t>
      </w:r>
      <w:r w:rsidR="007E3EDD">
        <w:rPr>
          <w:rFonts w:ascii="Calibri" w:hAnsi="Calibri" w:cs="Calibri"/>
        </w:rPr>
        <w:t>±</w:t>
      </w:r>
      <w:r w:rsidR="007E3EDD">
        <w:rPr>
          <w:rFonts w:ascii="MTSYN" w:hAnsi="MTSYN" w:cs="MTSYN"/>
        </w:rPr>
        <w:t xml:space="preserve"> </w:t>
      </w:r>
      <w:r>
        <w:t>SEM. The EC</w:t>
      </w:r>
      <w:r>
        <w:rPr>
          <w:sz w:val="11"/>
          <w:szCs w:val="11"/>
        </w:rPr>
        <w:t xml:space="preserve">10 </w:t>
      </w:r>
      <w:r>
        <w:t xml:space="preserve">calculated for all subunits was used for </w:t>
      </w:r>
      <w:proofErr w:type="spellStart"/>
      <w:proofErr w:type="gramStart"/>
      <w:r>
        <w:t>out side</w:t>
      </w:r>
      <w:proofErr w:type="spellEnd"/>
      <w:proofErr w:type="gramEnd"/>
      <w:r>
        <w:t xml:space="preserve"> out ethanol sensitivity recordings (</w:t>
      </w:r>
      <w:r w:rsidR="00C65EA1">
        <w:rPr>
          <w:rFonts w:ascii="Calibri" w:eastAsia="Calibri" w:hAnsi="Calibri" w:cs="Calibri"/>
        </w:rPr>
        <w:t>-</w:t>
      </w:r>
      <w:r>
        <w:t>60 mV). Absolute values were statistically</w:t>
      </w:r>
      <w:r>
        <w:t xml:space="preserve"> </w:t>
      </w:r>
      <w:r>
        <w:t xml:space="preserve">analyzed using the paired t-test. *p </w:t>
      </w:r>
      <w:r>
        <w:rPr>
          <w:rFonts w:ascii="RBLMI" w:hAnsi="RBLMI" w:cs="RBLMI"/>
        </w:rPr>
        <w:t xml:space="preserve">&lt; </w:t>
      </w:r>
      <w:r>
        <w:t xml:space="preserve">0.05, **p </w:t>
      </w:r>
      <w:r>
        <w:rPr>
          <w:rFonts w:ascii="RBLMI" w:hAnsi="RBLMI" w:cs="RBLMI"/>
        </w:rPr>
        <w:t xml:space="preserve">&lt; </w:t>
      </w:r>
      <w:r>
        <w:t xml:space="preserve">0.01, ***p </w:t>
      </w:r>
      <w:r>
        <w:rPr>
          <w:rFonts w:ascii="RBLMI" w:hAnsi="RBLMI" w:cs="RBLMI"/>
        </w:rPr>
        <w:t xml:space="preserve">&lt; </w:t>
      </w:r>
      <w:r>
        <w:t xml:space="preserve">0.001. Below p </w:t>
      </w:r>
      <w:r>
        <w:rPr>
          <w:rFonts w:ascii="RBLMI" w:hAnsi="RBLMI" w:cs="RBLMI"/>
        </w:rPr>
        <w:t xml:space="preserve">&lt; </w:t>
      </w:r>
      <w:r>
        <w:t>0.05 was statistically significant comparing with 10 mM Ethanol. n = (number of cells).</w:t>
      </w:r>
    </w:p>
    <w:p w14:paraId="0BCCC00A" w14:textId="77777777" w:rsidR="00E825CA" w:rsidRDefault="00E825CA" w:rsidP="000F17F6"/>
    <w:p w14:paraId="03A115FC" w14:textId="77777777" w:rsidR="00C65EA1" w:rsidRDefault="00C65EA1" w:rsidP="000F17F6">
      <w:pPr>
        <w:sectPr w:rsidR="00C65EA1" w:rsidSect="00654D4E">
          <w:pgSz w:w="15840" w:h="12240" w:orient="landscape"/>
          <w:pgMar w:top="1080" w:right="1080" w:bottom="1080" w:left="1080" w:header="720" w:footer="720" w:gutter="0"/>
          <w:cols w:space="720"/>
          <w:docGrid w:linePitch="360"/>
        </w:sectPr>
      </w:pPr>
    </w:p>
    <w:p w14:paraId="060FA437" w14:textId="125CC3B5" w:rsidR="000F17F6" w:rsidRPr="000F17F6" w:rsidRDefault="000F17F6" w:rsidP="000F17F6">
      <w:r w:rsidRPr="000F17F6">
        <w:lastRenderedPageBreak/>
        <w:t>A previous study proposed a kinetic model to explain the effects of ethanol in the α1 subunit (</w:t>
      </w:r>
      <w:hyperlink r:id="rId69" w:anchor="B42" w:history="1">
        <w:r w:rsidRPr="000F17F6">
          <w:rPr>
            <w:rStyle w:val="Hyperlink"/>
          </w:rPr>
          <w:t>Welsh et al., 2009</w:t>
        </w:r>
      </w:hyperlink>
      <w:r w:rsidRPr="000F17F6">
        <w:t>). Therefore, using a similar concentration of ethanol to that tested previously (</w:t>
      </w:r>
      <w:hyperlink r:id="rId70" w:anchor="B42" w:history="1">
        <w:r w:rsidRPr="000F17F6">
          <w:rPr>
            <w:rStyle w:val="Hyperlink"/>
          </w:rPr>
          <w:t>Welsh et al., 2009</w:t>
        </w:r>
      </w:hyperlink>
      <w:r w:rsidRPr="000F17F6">
        <w:t>), the effects of ethanol (100 mM) on the α2β conformation were analyzed (</w:t>
      </w:r>
      <w:hyperlink r:id="rId71" w:anchor="F4" w:history="1">
        <w:r w:rsidRPr="000F17F6">
          <w:rPr>
            <w:rStyle w:val="Hyperlink"/>
          </w:rPr>
          <w:t>Figure 4</w:t>
        </w:r>
      </w:hyperlink>
      <w:r w:rsidRPr="000F17F6">
        <w:t xml:space="preserve">). In homomeric α1 </w:t>
      </w:r>
      <w:proofErr w:type="spellStart"/>
      <w:r w:rsidRPr="000F17F6">
        <w:t>GlyRs</w:t>
      </w:r>
      <w:proofErr w:type="spellEnd"/>
      <w:r w:rsidRPr="000F17F6">
        <w:t>, the results showed that this concentration of ethanol did not affect open probability (Po, </w:t>
      </w:r>
      <w:r w:rsidRPr="000F17F6">
        <w:rPr>
          <w:i/>
          <w:iCs/>
        </w:rPr>
        <w:t>p</w:t>
      </w:r>
      <w:r w:rsidRPr="000F17F6">
        <w:t> = 0.1619, t9 = 1.6, Paired </w:t>
      </w:r>
      <w:r w:rsidRPr="000F17F6">
        <w:rPr>
          <w:i/>
          <w:iCs/>
        </w:rPr>
        <w:t>t</w:t>
      </w:r>
      <w:r w:rsidRPr="000F17F6">
        <w:t>-test, </w:t>
      </w:r>
      <w:r w:rsidRPr="000F17F6">
        <w:rPr>
          <w:i/>
          <w:iCs/>
        </w:rPr>
        <w:t>n</w:t>
      </w:r>
      <w:r w:rsidRPr="000F17F6">
        <w:t> = 7), frequency of opening (5,483 ± 2,323 ctrl events vs. 7,166 ± 3,412 ethanol events, </w:t>
      </w:r>
      <w:r w:rsidRPr="000F17F6">
        <w:rPr>
          <w:i/>
          <w:iCs/>
        </w:rPr>
        <w:t>p</w:t>
      </w:r>
      <w:r w:rsidRPr="000F17F6">
        <w:t> = 0.3428, t6 = 1.03, Paired </w:t>
      </w:r>
      <w:r w:rsidRPr="000F17F6">
        <w:rPr>
          <w:i/>
          <w:iCs/>
        </w:rPr>
        <w:t>t</w:t>
      </w:r>
      <w:r w:rsidRPr="000F17F6">
        <w:t xml:space="preserve">-test) and mean open time (4.7 ± 0.4 </w:t>
      </w:r>
      <w:proofErr w:type="spellStart"/>
      <w:r w:rsidRPr="000F17F6">
        <w:t>ms</w:t>
      </w:r>
      <w:proofErr w:type="spellEnd"/>
      <w:r w:rsidRPr="000F17F6">
        <w:t xml:space="preserve"> ctrl vs. 5.8 ± 0.7 </w:t>
      </w:r>
      <w:proofErr w:type="spellStart"/>
      <w:r w:rsidRPr="000F17F6">
        <w:t>ms</w:t>
      </w:r>
      <w:proofErr w:type="spellEnd"/>
      <w:r w:rsidRPr="000F17F6">
        <w:t xml:space="preserve"> ethanol, </w:t>
      </w:r>
      <w:r w:rsidRPr="000F17F6">
        <w:rPr>
          <w:i/>
          <w:iCs/>
        </w:rPr>
        <w:t>p</w:t>
      </w:r>
      <w:r w:rsidRPr="000F17F6">
        <w:t> = 0.07, t6 = 2.198, Paired </w:t>
      </w:r>
      <w:r w:rsidRPr="000F17F6">
        <w:rPr>
          <w:i/>
          <w:iCs/>
        </w:rPr>
        <w:t>t</w:t>
      </w:r>
      <w:r w:rsidRPr="000F17F6">
        <w:t>-test) (</w:t>
      </w:r>
      <w:hyperlink r:id="rId72" w:anchor="F4" w:history="1">
        <w:r w:rsidRPr="000F17F6">
          <w:rPr>
            <w:rStyle w:val="Hyperlink"/>
          </w:rPr>
          <w:t>Figures 4A–C</w:t>
        </w:r>
      </w:hyperlink>
      <w:r w:rsidRPr="000F17F6">
        <w:t xml:space="preserve">). On the other hand, in α2 homomeric </w:t>
      </w:r>
      <w:proofErr w:type="spellStart"/>
      <w:r w:rsidRPr="000F17F6">
        <w:t>GlyRs</w:t>
      </w:r>
      <w:proofErr w:type="spellEnd"/>
      <w:r w:rsidRPr="000F17F6">
        <w:t>, ethanol decreased Po (0.3 ± 0.09 ctrl vs. 0.16 ± 0.08 ethanol, </w:t>
      </w:r>
      <w:r w:rsidRPr="000F17F6">
        <w:rPr>
          <w:i/>
          <w:iCs/>
        </w:rPr>
        <w:t>p</w:t>
      </w:r>
      <w:r w:rsidRPr="000F17F6">
        <w:t> = 0.045, t3 = 3.322, Paired </w:t>
      </w:r>
      <w:r w:rsidRPr="000F17F6">
        <w:rPr>
          <w:i/>
          <w:iCs/>
        </w:rPr>
        <w:t>t</w:t>
      </w:r>
      <w:r w:rsidRPr="000F17F6">
        <w:t>-test) and the frequency of opening (928.3 ± 660.8 ctrl events vs. 705.3 ± 620.2 ethanol events, </w:t>
      </w:r>
      <w:r w:rsidRPr="000F17F6">
        <w:rPr>
          <w:i/>
          <w:iCs/>
        </w:rPr>
        <w:t>p</w:t>
      </w:r>
      <w:r w:rsidRPr="000F17F6">
        <w:t> = 0.02, t3 = 4.401, Paired </w:t>
      </w:r>
      <w:r w:rsidRPr="000F17F6">
        <w:rPr>
          <w:i/>
          <w:iCs/>
        </w:rPr>
        <w:t>t</w:t>
      </w:r>
      <w:r w:rsidRPr="000F17F6">
        <w:t>-test) (</w:t>
      </w:r>
      <w:hyperlink r:id="rId73" w:anchor="F4" w:history="1">
        <w:r w:rsidRPr="000F17F6">
          <w:rPr>
            <w:rStyle w:val="Hyperlink"/>
          </w:rPr>
          <w:t>Figures 4D–F</w:t>
        </w:r>
      </w:hyperlink>
      <w:r w:rsidRPr="000F17F6">
        <w:t>). In α2β receptors, however, ethanol enhanced Po (0.11 ± 0.05 ctrl vs. 0.21 ± 0.05 ethanol, </w:t>
      </w:r>
      <w:r w:rsidRPr="000F17F6">
        <w:rPr>
          <w:i/>
          <w:iCs/>
        </w:rPr>
        <w:t>p</w:t>
      </w:r>
      <w:r w:rsidRPr="000F17F6">
        <w:t> = 0.029, t4 = 3.336, Paired </w:t>
      </w:r>
      <w:r w:rsidRPr="000F17F6">
        <w:rPr>
          <w:i/>
          <w:iCs/>
        </w:rPr>
        <w:t>t</w:t>
      </w:r>
      <w:r w:rsidRPr="000F17F6">
        <w:t>-test) and with a tendency to increase the frequency of opening (2,746 ± 2,073 ctrl events vs. 4,782 ± 2,166 ethanol events, </w:t>
      </w:r>
      <w:r w:rsidRPr="000F17F6">
        <w:rPr>
          <w:i/>
          <w:iCs/>
        </w:rPr>
        <w:t>p</w:t>
      </w:r>
      <w:r w:rsidRPr="000F17F6">
        <w:t> = 0.087, t4 = 2.25, Paired </w:t>
      </w:r>
      <w:r w:rsidRPr="000F17F6">
        <w:rPr>
          <w:i/>
          <w:iCs/>
        </w:rPr>
        <w:t>t</w:t>
      </w:r>
      <w:r w:rsidRPr="000F17F6">
        <w:t>-test) (</w:t>
      </w:r>
      <w:hyperlink r:id="rId74" w:anchor="F4" w:history="1">
        <w:r w:rsidRPr="000F17F6">
          <w:rPr>
            <w:rStyle w:val="Hyperlink"/>
          </w:rPr>
          <w:t>Figures 4G–I</w:t>
        </w:r>
      </w:hyperlink>
      <w:r w:rsidRPr="000F17F6">
        <w:t>). Altogether, ethanol enhanced Po in both α1 (1.89 ± 0.35) and α2β, but not in α2 (α2: 0.47 ± 0.16 vs. α2β: 2.68 ± 0.54 ethanol, </w:t>
      </w:r>
      <w:r w:rsidRPr="000F17F6">
        <w:rPr>
          <w:i/>
          <w:iCs/>
        </w:rPr>
        <w:t>p</w:t>
      </w:r>
      <w:r w:rsidRPr="000F17F6">
        <w:t> = 0.0097, t7 = 3.519, unpaired </w:t>
      </w:r>
      <w:r w:rsidRPr="000F17F6">
        <w:rPr>
          <w:i/>
          <w:iCs/>
        </w:rPr>
        <w:t>t</w:t>
      </w:r>
      <w:r w:rsidRPr="000F17F6">
        <w:t>-test) (</w:t>
      </w:r>
      <w:hyperlink r:id="rId75" w:anchor="F4" w:history="1">
        <w:r w:rsidRPr="000F17F6">
          <w:rPr>
            <w:rStyle w:val="Hyperlink"/>
          </w:rPr>
          <w:t>Figure 4J</w:t>
        </w:r>
      </w:hyperlink>
      <w:r w:rsidRPr="000F17F6">
        <w:t>). However, mean open time was not modified by ethanol (</w:t>
      </w:r>
      <w:hyperlink r:id="rId76" w:anchor="F4" w:history="1">
        <w:r w:rsidRPr="000F17F6">
          <w:rPr>
            <w:rStyle w:val="Hyperlink"/>
          </w:rPr>
          <w:t>Figure 4H</w:t>
        </w:r>
      </w:hyperlink>
      <w:r w:rsidRPr="000F17F6">
        <w:t xml:space="preserve">). In addition, analysis of </w:t>
      </w:r>
      <w:proofErr w:type="spellStart"/>
      <w:r w:rsidRPr="000F17F6">
        <w:t>intraburst</w:t>
      </w:r>
      <w:proofErr w:type="spellEnd"/>
      <w:r w:rsidRPr="000F17F6">
        <w:t xml:space="preserve"> open probabilities showed no differences in the α1 and α2β subunit combinations (0.70 ± 0.040 vs. 0.64 ± 0.041, respectively; </w:t>
      </w:r>
      <w:r w:rsidRPr="000F17F6">
        <w:rPr>
          <w:i/>
          <w:iCs/>
        </w:rPr>
        <w:t>P</w:t>
      </w:r>
      <w:r w:rsidRPr="000F17F6">
        <w:t> &gt; 0.05, two-tailed </w:t>
      </w:r>
      <w:r w:rsidRPr="000F17F6">
        <w:rPr>
          <w:i/>
          <w:iCs/>
        </w:rPr>
        <w:t>T</w:t>
      </w:r>
      <w:r w:rsidRPr="000F17F6">
        <w:t xml:space="preserve"> test). In α1 subunit glycine receptors, ethanol increased burst duration (28 ± 5.2 vs. 42 ± 2.2 </w:t>
      </w:r>
      <w:proofErr w:type="spellStart"/>
      <w:r w:rsidRPr="000F17F6">
        <w:t>ms</w:t>
      </w:r>
      <w:proofErr w:type="spellEnd"/>
      <w:r w:rsidRPr="000F17F6">
        <w:t xml:space="preserve"> for control and ethanol, respectively; </w:t>
      </w:r>
      <w:r w:rsidRPr="000F17F6">
        <w:rPr>
          <w:i/>
          <w:iCs/>
        </w:rPr>
        <w:t>P</w:t>
      </w:r>
      <w:r w:rsidRPr="000F17F6">
        <w:t> &lt; 0.01, paired </w:t>
      </w:r>
      <w:r w:rsidRPr="000F17F6">
        <w:rPr>
          <w:i/>
          <w:iCs/>
        </w:rPr>
        <w:t>t</w:t>
      </w:r>
      <w:r w:rsidRPr="000F17F6">
        <w:t xml:space="preserve">-test) without altering </w:t>
      </w:r>
      <w:proofErr w:type="spellStart"/>
      <w:r w:rsidRPr="000F17F6">
        <w:t>intraburst</w:t>
      </w:r>
      <w:proofErr w:type="spellEnd"/>
      <w:r w:rsidRPr="000F17F6">
        <w:t xml:space="preserve"> Po (0.70 ± 0.040 vs. 0.57 ± 0.052 for control and ethanol, respectively; </w:t>
      </w:r>
      <w:r w:rsidRPr="000F17F6">
        <w:rPr>
          <w:i/>
          <w:iCs/>
        </w:rPr>
        <w:t>P</w:t>
      </w:r>
      <w:r w:rsidRPr="000F17F6">
        <w:t> &gt; 0.05, paired </w:t>
      </w:r>
      <w:r w:rsidRPr="000F17F6">
        <w:rPr>
          <w:i/>
          <w:iCs/>
        </w:rPr>
        <w:t>t</w:t>
      </w:r>
      <w:r w:rsidRPr="000F17F6">
        <w:t xml:space="preserve">-test). In α2β subunit glycine receptors, ethanol did not alter burst duration (89 ± 15 vs. 66 ± 12 </w:t>
      </w:r>
      <w:proofErr w:type="spellStart"/>
      <w:r w:rsidRPr="000F17F6">
        <w:t>ms</w:t>
      </w:r>
      <w:proofErr w:type="spellEnd"/>
      <w:r w:rsidRPr="000F17F6">
        <w:t xml:space="preserve"> for control and ethanol, respectively; </w:t>
      </w:r>
      <w:r w:rsidRPr="000F17F6">
        <w:rPr>
          <w:i/>
          <w:iCs/>
        </w:rPr>
        <w:t>P</w:t>
      </w:r>
      <w:r w:rsidRPr="000F17F6">
        <w:t> &gt; 0.05, paired </w:t>
      </w:r>
      <w:r w:rsidRPr="000F17F6">
        <w:rPr>
          <w:i/>
          <w:iCs/>
        </w:rPr>
        <w:t>t</w:t>
      </w:r>
      <w:r w:rsidRPr="000F17F6">
        <w:t xml:space="preserve">-test) or </w:t>
      </w:r>
      <w:proofErr w:type="spellStart"/>
      <w:r w:rsidRPr="000F17F6">
        <w:t>intraburst</w:t>
      </w:r>
      <w:proofErr w:type="spellEnd"/>
      <w:r w:rsidRPr="000F17F6">
        <w:t xml:space="preserve"> Po (0.64 ± 0.041 vs. 0.69 ± 0.019 for control and ethanol, respectively; </w:t>
      </w:r>
      <w:r w:rsidRPr="000F17F6">
        <w:rPr>
          <w:i/>
          <w:iCs/>
        </w:rPr>
        <w:t>P</w:t>
      </w:r>
      <w:r w:rsidRPr="000F17F6">
        <w:t> &gt; 0.05, paired </w:t>
      </w:r>
      <w:r w:rsidRPr="000F17F6">
        <w:rPr>
          <w:i/>
          <w:iCs/>
        </w:rPr>
        <w:t>t</w:t>
      </w:r>
      <w:r w:rsidRPr="000F17F6">
        <w:t xml:space="preserve">-test). Although the addition of the β subunit to the α2 </w:t>
      </w:r>
      <w:proofErr w:type="spellStart"/>
      <w:r w:rsidRPr="000F17F6">
        <w:t>GlyR</w:t>
      </w:r>
      <w:proofErr w:type="spellEnd"/>
      <w:r w:rsidRPr="000F17F6">
        <w:t xml:space="preserve"> conferred ethanol sensitivity </w:t>
      </w:r>
      <w:proofErr w:type="gramStart"/>
      <w:r w:rsidRPr="000F17F6">
        <w:t>similar to</w:t>
      </w:r>
      <w:proofErr w:type="gramEnd"/>
      <w:r w:rsidRPr="000F17F6">
        <w:t xml:space="preserve"> that seen in α1 </w:t>
      </w:r>
      <w:proofErr w:type="spellStart"/>
      <w:r w:rsidRPr="000F17F6">
        <w:t>GlyRs</w:t>
      </w:r>
      <w:proofErr w:type="spellEnd"/>
      <w:r w:rsidRPr="000F17F6">
        <w:t xml:space="preserve">, the kinetics of the α2β </w:t>
      </w:r>
      <w:proofErr w:type="spellStart"/>
      <w:r w:rsidRPr="000F17F6">
        <w:t>GlyR</w:t>
      </w:r>
      <w:proofErr w:type="spellEnd"/>
      <w:r w:rsidRPr="000F17F6">
        <w:t xml:space="preserve"> nevertheless differed from those of the α1 </w:t>
      </w:r>
      <w:proofErr w:type="spellStart"/>
      <w:r w:rsidRPr="000F17F6">
        <w:t>GlyR</w:t>
      </w:r>
      <w:proofErr w:type="spellEnd"/>
      <w:r w:rsidRPr="000F17F6">
        <w:t xml:space="preserve">. For example, while open probability within individual receptor activations (bursts) was similar, burst duration and </w:t>
      </w:r>
      <w:proofErr w:type="spellStart"/>
      <w:r w:rsidRPr="000F17F6">
        <w:t>intraburst</w:t>
      </w:r>
      <w:proofErr w:type="spellEnd"/>
      <w:r w:rsidRPr="000F17F6">
        <w:t xml:space="preserve"> mean open and shut times differed considerably between α1 and α2β </w:t>
      </w:r>
      <w:proofErr w:type="spellStart"/>
      <w:r w:rsidRPr="000F17F6">
        <w:t>GlyRs</w:t>
      </w:r>
      <w:proofErr w:type="spellEnd"/>
      <w:r w:rsidRPr="000F17F6">
        <w:t xml:space="preserve"> (</w:t>
      </w:r>
      <w:hyperlink r:id="rId77" w:anchor="T3" w:history="1">
        <w:r w:rsidRPr="000F17F6">
          <w:rPr>
            <w:rStyle w:val="Hyperlink"/>
          </w:rPr>
          <w:t>Table 3</w:t>
        </w:r>
      </w:hyperlink>
      <w:r w:rsidRPr="000F17F6">
        <w:t>).</w:t>
      </w:r>
    </w:p>
    <w:p w14:paraId="35DC1931" w14:textId="1ED5177D" w:rsidR="000F17F6" w:rsidRPr="000F17F6" w:rsidRDefault="000F17F6" w:rsidP="00E07BB9">
      <w:pPr>
        <w:pStyle w:val="NoSpacing"/>
      </w:pPr>
      <w:bookmarkStart w:id="10" w:name="figure4"/>
      <w:r w:rsidRPr="000F17F6">
        <w:rPr>
          <w:noProof/>
        </w:rPr>
        <w:drawing>
          <wp:inline distT="0" distB="0" distL="0" distR="0" wp14:anchorId="2438131F" wp14:editId="2060060E">
            <wp:extent cx="1424940" cy="1403350"/>
            <wp:effectExtent l="0" t="0" r="3810" b="6350"/>
            <wp:docPr id="6" name="Picture 6" descr="www.frontiersin.org">
              <a:hlinkClick xmlns:a="http://schemas.openxmlformats.org/drawingml/2006/main" r:id="rId7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4" descr="www.frontiersin.org">
                      <a:hlinkClick r:id="rId78" tgtFrame="&quot;_blank&quot;"/>
                    </pic:cNvPr>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1424940" cy="1403350"/>
                    </a:xfrm>
                    <a:prstGeom prst="rect">
                      <a:avLst/>
                    </a:prstGeom>
                    <a:noFill/>
                    <a:ln>
                      <a:noFill/>
                    </a:ln>
                  </pic:spPr>
                </pic:pic>
              </a:graphicData>
            </a:graphic>
          </wp:inline>
        </w:drawing>
      </w:r>
      <w:bookmarkEnd w:id="10"/>
    </w:p>
    <w:p w14:paraId="57BF3285" w14:textId="77777777" w:rsidR="000F17F6" w:rsidRDefault="000F17F6" w:rsidP="00E07BB9">
      <w:pPr>
        <w:pStyle w:val="NoSpacing"/>
        <w:rPr>
          <w:b/>
          <w:bCs/>
        </w:rPr>
      </w:pPr>
      <w:r w:rsidRPr="000F17F6">
        <w:rPr>
          <w:b/>
          <w:bCs/>
        </w:rPr>
        <w:t>Figure 4.</w:t>
      </w:r>
      <w:r w:rsidRPr="000F17F6">
        <w:t> Positive effect of ethanol on Po in the α2β conformation. </w:t>
      </w:r>
      <w:r w:rsidRPr="000F17F6">
        <w:rPr>
          <w:b/>
          <w:bCs/>
        </w:rPr>
        <w:t>(A)</w:t>
      </w:r>
      <w:r w:rsidRPr="000F17F6">
        <w:t xml:space="preserve"> Single channel representative traces for homomeric α1 </w:t>
      </w:r>
      <w:proofErr w:type="spellStart"/>
      <w:r w:rsidRPr="000F17F6">
        <w:t>GlyRs</w:t>
      </w:r>
      <w:proofErr w:type="spellEnd"/>
      <w:r w:rsidRPr="000F17F6">
        <w:t xml:space="preserve"> in the absence and presence of 100 mM ethanol. The lower traces depict burst analysis of single-channel records. Lines (</w:t>
      </w:r>
      <w:r w:rsidRPr="000F17F6">
        <w:rPr>
          <w:i/>
          <w:iCs/>
        </w:rPr>
        <w:t>red</w:t>
      </w:r>
      <w:r w:rsidRPr="000F17F6">
        <w:t>) indicate idealized traces, and boxes (</w:t>
      </w:r>
      <w:r w:rsidRPr="000F17F6">
        <w:rPr>
          <w:i/>
          <w:iCs/>
        </w:rPr>
        <w:t>light blue</w:t>
      </w:r>
      <w:r w:rsidRPr="000F17F6">
        <w:t xml:space="preserve">) indicate bursts, which are considered to represent individual activations of the receptor. Bursts for each subunit composition were determined </w:t>
      </w:r>
      <w:proofErr w:type="gramStart"/>
      <w:r w:rsidRPr="000F17F6">
        <w:t>on the basis of</w:t>
      </w:r>
      <w:proofErr w:type="gramEnd"/>
      <w:r w:rsidRPr="000F17F6">
        <w:t xml:space="preserve"> a critical shut time (</w:t>
      </w:r>
      <w:r w:rsidRPr="000F17F6">
        <w:rPr>
          <w:i/>
          <w:iCs/>
        </w:rPr>
        <w:t>see</w:t>
      </w:r>
      <w:r w:rsidRPr="000F17F6">
        <w:t> section “Materials and Methods”). </w:t>
      </w:r>
      <w:r w:rsidRPr="000F17F6">
        <w:rPr>
          <w:b/>
          <w:bCs/>
        </w:rPr>
        <w:t>(</w:t>
      </w:r>
      <w:proofErr w:type="gramStart"/>
      <w:r w:rsidRPr="000F17F6">
        <w:rPr>
          <w:b/>
          <w:bCs/>
        </w:rPr>
        <w:t>B,C</w:t>
      </w:r>
      <w:proofErr w:type="gramEnd"/>
      <w:r w:rsidRPr="000F17F6">
        <w:rPr>
          <w:b/>
          <w:bCs/>
        </w:rPr>
        <w:t>)</w:t>
      </w:r>
      <w:r w:rsidRPr="000F17F6">
        <w:t> The graphs illustrate that the values for Po and mean open time (MOT) show a tendency to increase with 100 mM ethanol. </w:t>
      </w:r>
      <w:r w:rsidRPr="000F17F6">
        <w:rPr>
          <w:b/>
          <w:bCs/>
        </w:rPr>
        <w:t>(D)</w:t>
      </w:r>
      <w:r w:rsidRPr="000F17F6">
        <w:t xml:space="preserve"> Single channel representative traces for homomeric α2 </w:t>
      </w:r>
      <w:proofErr w:type="spellStart"/>
      <w:r w:rsidRPr="000F17F6">
        <w:t>GlyRs</w:t>
      </w:r>
      <w:proofErr w:type="spellEnd"/>
      <w:r w:rsidRPr="000F17F6">
        <w:t xml:space="preserve"> in the absence and presence of 100 mM ethanol. </w:t>
      </w:r>
      <w:r w:rsidRPr="000F17F6">
        <w:rPr>
          <w:b/>
          <w:bCs/>
        </w:rPr>
        <w:t>(</w:t>
      </w:r>
      <w:proofErr w:type="gramStart"/>
      <w:r w:rsidRPr="000F17F6">
        <w:rPr>
          <w:b/>
          <w:bCs/>
        </w:rPr>
        <w:t>E,F</w:t>
      </w:r>
      <w:proofErr w:type="gramEnd"/>
      <w:r w:rsidRPr="000F17F6">
        <w:rPr>
          <w:b/>
          <w:bCs/>
        </w:rPr>
        <w:t>)</w:t>
      </w:r>
      <w:r w:rsidRPr="000F17F6">
        <w:t> The value for Po was significantly decreased by 100 mM ethanol without changes in MOT. </w:t>
      </w:r>
      <w:r w:rsidRPr="000F17F6">
        <w:rPr>
          <w:b/>
          <w:bCs/>
        </w:rPr>
        <w:t>(G)</w:t>
      </w:r>
      <w:r w:rsidRPr="000F17F6">
        <w:t xml:space="preserve"> Single channel representative traces for homomeric α2β </w:t>
      </w:r>
      <w:proofErr w:type="spellStart"/>
      <w:r w:rsidRPr="000F17F6">
        <w:t>GlyRs</w:t>
      </w:r>
      <w:proofErr w:type="spellEnd"/>
      <w:r w:rsidRPr="000F17F6">
        <w:t xml:space="preserve"> in the absence and presence of 100 mM ethanol. Lines (red) indicate idealized traces, and boxes (light blue) indicate bursts, which are considered to represent individual activations of the receptor. Bursts for each subunit composition were determined </w:t>
      </w:r>
      <w:proofErr w:type="gramStart"/>
      <w:r w:rsidRPr="000F17F6">
        <w:t>on the basis of</w:t>
      </w:r>
      <w:proofErr w:type="gramEnd"/>
      <w:r w:rsidRPr="000F17F6">
        <w:t xml:space="preserve"> a critical shut time (see section “Materials and Methods”). </w:t>
      </w:r>
      <w:r w:rsidRPr="000F17F6">
        <w:rPr>
          <w:b/>
          <w:bCs/>
        </w:rPr>
        <w:t>(</w:t>
      </w:r>
      <w:proofErr w:type="gramStart"/>
      <w:r w:rsidRPr="000F17F6">
        <w:rPr>
          <w:b/>
          <w:bCs/>
        </w:rPr>
        <w:t>H,I</w:t>
      </w:r>
      <w:proofErr w:type="gramEnd"/>
      <w:r w:rsidRPr="000F17F6">
        <w:rPr>
          <w:b/>
          <w:bCs/>
        </w:rPr>
        <w:t>)</w:t>
      </w:r>
      <w:r w:rsidRPr="000F17F6">
        <w:t> The bars show that Po was significantly increased by 100 mM ethanol without changes in MOT. </w:t>
      </w:r>
      <w:r w:rsidRPr="000F17F6">
        <w:rPr>
          <w:b/>
          <w:bCs/>
        </w:rPr>
        <w:t>(J)</w:t>
      </w:r>
      <w:r w:rsidRPr="000F17F6">
        <w:t xml:space="preserve"> The bar graph shows an increase in the fold of change of the Po during the application of 100 mM ethanol in α1 and α2β </w:t>
      </w:r>
      <w:proofErr w:type="spellStart"/>
      <w:r w:rsidRPr="000F17F6">
        <w:t>GlyRs</w:t>
      </w:r>
      <w:proofErr w:type="spellEnd"/>
      <w:r w:rsidRPr="000F17F6">
        <w:t xml:space="preserve"> showing a significant difference between α2 and α2β </w:t>
      </w:r>
      <w:proofErr w:type="spellStart"/>
      <w:r w:rsidRPr="000F17F6">
        <w:t>GlyRs</w:t>
      </w:r>
      <w:proofErr w:type="spellEnd"/>
      <w:r w:rsidRPr="000F17F6">
        <w:t>. Data are mean ± SEM, *</w:t>
      </w:r>
      <w:r w:rsidRPr="000F17F6">
        <w:rPr>
          <w:i/>
          <w:iCs/>
        </w:rPr>
        <w:t>p</w:t>
      </w:r>
      <w:r w:rsidRPr="000F17F6">
        <w:t> &lt; 0.05, **</w:t>
      </w:r>
      <w:r w:rsidRPr="000F17F6">
        <w:rPr>
          <w:i/>
          <w:iCs/>
        </w:rPr>
        <w:t>p</w:t>
      </w:r>
      <w:r w:rsidRPr="000F17F6">
        <w:t> &lt; 0.01. Paired Student’s </w:t>
      </w:r>
      <w:r w:rsidRPr="000F17F6">
        <w:rPr>
          <w:i/>
          <w:iCs/>
        </w:rPr>
        <w:t>t</w:t>
      </w:r>
      <w:r w:rsidRPr="000F17F6">
        <w:t>-test </w:t>
      </w:r>
      <w:r w:rsidRPr="000F17F6">
        <w:rPr>
          <w:b/>
          <w:bCs/>
        </w:rPr>
        <w:t>(A–I)</w:t>
      </w:r>
      <w:r w:rsidRPr="000F17F6">
        <w:t> and Unpaired Student’s </w:t>
      </w:r>
      <w:r w:rsidRPr="000F17F6">
        <w:rPr>
          <w:i/>
          <w:iCs/>
        </w:rPr>
        <w:t>t</w:t>
      </w:r>
      <w:r w:rsidRPr="000F17F6">
        <w:t>-test </w:t>
      </w:r>
      <w:r w:rsidRPr="000F17F6">
        <w:rPr>
          <w:b/>
          <w:bCs/>
        </w:rPr>
        <w:t>(J).</w:t>
      </w:r>
    </w:p>
    <w:p w14:paraId="1B87D9DA" w14:textId="77777777" w:rsidR="001870EC" w:rsidRDefault="001870EC" w:rsidP="000F17F6">
      <w:pPr>
        <w:rPr>
          <w:b/>
          <w:bCs/>
        </w:rPr>
        <w:sectPr w:rsidR="001870EC" w:rsidSect="00C65EA1">
          <w:pgSz w:w="12240" w:h="15840"/>
          <w:pgMar w:top="1080" w:right="1080" w:bottom="1080" w:left="1080" w:header="720" w:footer="720" w:gutter="0"/>
          <w:cols w:space="720"/>
          <w:docGrid w:linePitch="360"/>
        </w:sectPr>
      </w:pPr>
    </w:p>
    <w:p w14:paraId="66DED34E" w14:textId="77777777" w:rsidR="000F17F6" w:rsidRDefault="000F17F6" w:rsidP="00644B94">
      <w:pPr>
        <w:spacing w:after="0"/>
      </w:pPr>
      <w:r w:rsidRPr="000F17F6">
        <w:rPr>
          <w:b/>
          <w:bCs/>
        </w:rPr>
        <w:lastRenderedPageBreak/>
        <w:t>Table 3.</w:t>
      </w:r>
      <w:r w:rsidRPr="000F17F6">
        <w:t> </w:t>
      </w:r>
      <w:proofErr w:type="spellStart"/>
      <w:r w:rsidRPr="000F17F6">
        <w:t>GlyR</w:t>
      </w:r>
      <w:proofErr w:type="spellEnd"/>
      <w:r w:rsidRPr="000F17F6">
        <w:t xml:space="preserve"> Burst Analysis.</w:t>
      </w:r>
    </w:p>
    <w:tbl>
      <w:tblPr>
        <w:tblStyle w:val="TableGrid"/>
        <w:tblW w:w="0" w:type="auto"/>
        <w:tblLook w:val="04A0" w:firstRow="1" w:lastRow="0" w:firstColumn="1" w:lastColumn="0" w:noHBand="0" w:noVBand="1"/>
      </w:tblPr>
      <w:tblGrid>
        <w:gridCol w:w="625"/>
        <w:gridCol w:w="2162"/>
        <w:gridCol w:w="1094"/>
        <w:gridCol w:w="1061"/>
        <w:gridCol w:w="1180"/>
        <w:gridCol w:w="2097"/>
        <w:gridCol w:w="1116"/>
        <w:gridCol w:w="1180"/>
        <w:gridCol w:w="1425"/>
        <w:gridCol w:w="1390"/>
      </w:tblGrid>
      <w:tr w:rsidR="009956A4" w:rsidRPr="006C63F8" w14:paraId="4B07E166" w14:textId="77777777" w:rsidTr="00BD02F4">
        <w:tc>
          <w:tcPr>
            <w:tcW w:w="0" w:type="auto"/>
          </w:tcPr>
          <w:p w14:paraId="73F1E903" w14:textId="77777777" w:rsidR="009956A4" w:rsidRPr="006C63F8" w:rsidRDefault="009956A4" w:rsidP="006C63F8">
            <w:pPr>
              <w:pStyle w:val="NoSpacing"/>
              <w:rPr>
                <w:rFonts w:cstheme="minorHAnsi"/>
              </w:rPr>
            </w:pPr>
          </w:p>
        </w:tc>
        <w:tc>
          <w:tcPr>
            <w:tcW w:w="0" w:type="auto"/>
          </w:tcPr>
          <w:p w14:paraId="228502F1" w14:textId="2D08959D" w:rsidR="009956A4" w:rsidRPr="006C63F8" w:rsidRDefault="00964E27" w:rsidP="006C63F8">
            <w:pPr>
              <w:pStyle w:val="NoSpacing"/>
              <w:rPr>
                <w:rFonts w:cstheme="minorHAnsi"/>
              </w:rPr>
            </w:pPr>
            <w:proofErr w:type="spellStart"/>
            <w:r>
              <w:rPr>
                <w:rFonts w:cstheme="minorHAnsi"/>
              </w:rPr>
              <w:t>Intraburst</w:t>
            </w:r>
            <w:proofErr w:type="spellEnd"/>
            <w:r>
              <w:rPr>
                <w:rFonts w:cstheme="minorHAnsi"/>
              </w:rPr>
              <w:t xml:space="preserve"> open times</w:t>
            </w:r>
          </w:p>
        </w:tc>
        <w:tc>
          <w:tcPr>
            <w:tcW w:w="0" w:type="auto"/>
          </w:tcPr>
          <w:p w14:paraId="63CE8BEC" w14:textId="77777777" w:rsidR="009956A4" w:rsidRPr="006C63F8" w:rsidRDefault="009956A4" w:rsidP="006C63F8">
            <w:pPr>
              <w:pStyle w:val="NoSpacing"/>
              <w:rPr>
                <w:rFonts w:cstheme="minorHAnsi"/>
              </w:rPr>
            </w:pPr>
          </w:p>
        </w:tc>
        <w:tc>
          <w:tcPr>
            <w:tcW w:w="0" w:type="auto"/>
          </w:tcPr>
          <w:p w14:paraId="05DADBAB" w14:textId="77777777" w:rsidR="009956A4" w:rsidRPr="006C63F8" w:rsidRDefault="009956A4" w:rsidP="006C63F8">
            <w:pPr>
              <w:pStyle w:val="NoSpacing"/>
              <w:rPr>
                <w:rFonts w:cstheme="minorHAnsi"/>
              </w:rPr>
            </w:pPr>
          </w:p>
        </w:tc>
        <w:tc>
          <w:tcPr>
            <w:tcW w:w="0" w:type="auto"/>
          </w:tcPr>
          <w:p w14:paraId="3829D70F" w14:textId="77777777" w:rsidR="009956A4" w:rsidRPr="006C63F8" w:rsidRDefault="009956A4" w:rsidP="006C63F8">
            <w:pPr>
              <w:pStyle w:val="NoSpacing"/>
              <w:rPr>
                <w:rFonts w:cstheme="minorHAnsi"/>
              </w:rPr>
            </w:pPr>
          </w:p>
        </w:tc>
        <w:tc>
          <w:tcPr>
            <w:tcW w:w="0" w:type="auto"/>
          </w:tcPr>
          <w:p w14:paraId="382C2D2C" w14:textId="47CB32E9" w:rsidR="009956A4" w:rsidRPr="006C63F8" w:rsidRDefault="00964E27" w:rsidP="006C63F8">
            <w:pPr>
              <w:pStyle w:val="NoSpacing"/>
              <w:rPr>
                <w:rFonts w:cstheme="minorHAnsi"/>
              </w:rPr>
            </w:pPr>
            <w:proofErr w:type="spellStart"/>
            <w:r>
              <w:rPr>
                <w:rFonts w:cstheme="minorHAnsi"/>
              </w:rPr>
              <w:t>Intraburst</w:t>
            </w:r>
            <w:proofErr w:type="spellEnd"/>
            <w:r>
              <w:rPr>
                <w:rFonts w:cstheme="minorHAnsi"/>
              </w:rPr>
              <w:t xml:space="preserve"> shut times</w:t>
            </w:r>
          </w:p>
        </w:tc>
        <w:tc>
          <w:tcPr>
            <w:tcW w:w="0" w:type="auto"/>
          </w:tcPr>
          <w:p w14:paraId="11CDB8D8" w14:textId="77777777" w:rsidR="009956A4" w:rsidRPr="006C63F8" w:rsidRDefault="009956A4" w:rsidP="006C63F8">
            <w:pPr>
              <w:pStyle w:val="NoSpacing"/>
              <w:rPr>
                <w:rFonts w:cstheme="minorHAnsi"/>
              </w:rPr>
            </w:pPr>
          </w:p>
        </w:tc>
        <w:tc>
          <w:tcPr>
            <w:tcW w:w="0" w:type="auto"/>
          </w:tcPr>
          <w:p w14:paraId="1C38F15D" w14:textId="77777777" w:rsidR="009956A4" w:rsidRPr="006C63F8" w:rsidRDefault="009956A4" w:rsidP="006C63F8">
            <w:pPr>
              <w:pStyle w:val="NoSpacing"/>
              <w:rPr>
                <w:rFonts w:cstheme="minorHAnsi"/>
              </w:rPr>
            </w:pPr>
          </w:p>
        </w:tc>
        <w:tc>
          <w:tcPr>
            <w:tcW w:w="0" w:type="auto"/>
          </w:tcPr>
          <w:p w14:paraId="4F904DC8" w14:textId="77777777" w:rsidR="009956A4" w:rsidRPr="006C63F8" w:rsidRDefault="009956A4" w:rsidP="006C63F8">
            <w:pPr>
              <w:pStyle w:val="NoSpacing"/>
              <w:rPr>
                <w:rFonts w:cstheme="minorHAnsi"/>
              </w:rPr>
            </w:pPr>
          </w:p>
        </w:tc>
        <w:tc>
          <w:tcPr>
            <w:tcW w:w="0" w:type="auto"/>
          </w:tcPr>
          <w:p w14:paraId="6E04D90E" w14:textId="77777777" w:rsidR="009956A4" w:rsidRPr="006C63F8" w:rsidRDefault="009956A4" w:rsidP="006C63F8">
            <w:pPr>
              <w:pStyle w:val="NoSpacing"/>
              <w:rPr>
                <w:rFonts w:cstheme="minorHAnsi"/>
              </w:rPr>
            </w:pPr>
          </w:p>
        </w:tc>
      </w:tr>
      <w:tr w:rsidR="009956A4" w:rsidRPr="006C63F8" w14:paraId="55D65F54" w14:textId="77777777" w:rsidTr="00BD02F4">
        <w:tc>
          <w:tcPr>
            <w:tcW w:w="0" w:type="auto"/>
          </w:tcPr>
          <w:p w14:paraId="085EF4E1" w14:textId="47594613" w:rsidR="009956A4" w:rsidRPr="006C63F8" w:rsidRDefault="009566BE" w:rsidP="006C63F8">
            <w:pPr>
              <w:pStyle w:val="NoSpacing"/>
              <w:rPr>
                <w:rFonts w:cstheme="minorHAnsi"/>
              </w:rPr>
            </w:pPr>
            <w:proofErr w:type="spellStart"/>
            <w:r w:rsidRPr="006C63F8">
              <w:rPr>
                <w:rFonts w:cstheme="minorHAnsi"/>
              </w:rPr>
              <w:t>GlyR</w:t>
            </w:r>
            <w:proofErr w:type="spellEnd"/>
          </w:p>
        </w:tc>
        <w:tc>
          <w:tcPr>
            <w:tcW w:w="0" w:type="auto"/>
          </w:tcPr>
          <w:p w14:paraId="54A50015" w14:textId="49CCA230" w:rsidR="009566BE" w:rsidRPr="006C63F8" w:rsidRDefault="00BD02F4" w:rsidP="006C63F8">
            <w:pPr>
              <w:pStyle w:val="NoSpacing"/>
              <w:rPr>
                <w:rFonts w:cstheme="minorHAnsi"/>
              </w:rPr>
            </w:pPr>
            <m:oMath>
              <m:sSub>
                <m:sSubPr>
                  <m:ctrlPr>
                    <w:rPr>
                      <w:rFonts w:ascii="Cambria Math" w:hAnsi="Cambria Math" w:cstheme="minorHAnsi"/>
                      <w:i/>
                    </w:rPr>
                  </m:ctrlPr>
                </m:sSubPr>
                <m:e>
                  <m:r>
                    <w:rPr>
                      <w:rFonts w:ascii="Cambria Math" w:hAnsi="Cambria Math" w:cstheme="minorHAnsi"/>
                    </w:rPr>
                    <m:t>τ</m:t>
                  </m:r>
                </m:e>
                <m:sub>
                  <m:r>
                    <w:rPr>
                      <w:rFonts w:ascii="Cambria Math" w:hAnsi="Cambria Math" w:cstheme="minorHAnsi"/>
                    </w:rPr>
                    <m:t>1</m:t>
                  </m:r>
                </m:sub>
              </m:sSub>
            </m:oMath>
            <w:r w:rsidR="009566BE" w:rsidRPr="006C63F8">
              <w:rPr>
                <w:rFonts w:cstheme="minorHAnsi"/>
              </w:rPr>
              <w:t xml:space="preserve"> (</w:t>
            </w:r>
            <w:proofErr w:type="spellStart"/>
            <w:r w:rsidR="009566BE" w:rsidRPr="006C63F8">
              <w:rPr>
                <w:rFonts w:cstheme="minorHAnsi"/>
              </w:rPr>
              <w:t>ms</w:t>
            </w:r>
            <w:proofErr w:type="spellEnd"/>
            <w:r w:rsidR="009566BE" w:rsidRPr="006C63F8">
              <w:rPr>
                <w:rFonts w:cstheme="minorHAnsi"/>
              </w:rPr>
              <w:t>)</w:t>
            </w:r>
          </w:p>
          <w:p w14:paraId="3DE501A7" w14:textId="5901139F" w:rsidR="009956A4" w:rsidRPr="006C63F8" w:rsidRDefault="009566BE" w:rsidP="006C63F8">
            <w:pPr>
              <w:pStyle w:val="NoSpacing"/>
              <w:rPr>
                <w:rFonts w:cstheme="minorHAnsi"/>
              </w:rPr>
            </w:pPr>
            <w:r w:rsidRPr="006C63F8">
              <w:rPr>
                <w:rFonts w:cstheme="minorHAnsi"/>
              </w:rPr>
              <w:t>(Area)</w:t>
            </w:r>
          </w:p>
        </w:tc>
        <w:tc>
          <w:tcPr>
            <w:tcW w:w="0" w:type="auto"/>
          </w:tcPr>
          <w:p w14:paraId="7AB32A86" w14:textId="0D8260AB" w:rsidR="009566BE" w:rsidRPr="006C63F8" w:rsidRDefault="00BD02F4" w:rsidP="006C63F8">
            <w:pPr>
              <w:pStyle w:val="NoSpacing"/>
              <w:rPr>
                <w:rFonts w:cstheme="minorHAnsi"/>
              </w:rPr>
            </w:pPr>
            <m:oMath>
              <m:sSub>
                <m:sSubPr>
                  <m:ctrlPr>
                    <w:rPr>
                      <w:rFonts w:ascii="Cambria Math" w:hAnsi="Cambria Math" w:cstheme="minorHAnsi"/>
                      <w:i/>
                    </w:rPr>
                  </m:ctrlPr>
                </m:sSubPr>
                <m:e>
                  <m:r>
                    <w:rPr>
                      <w:rFonts w:ascii="Cambria Math" w:hAnsi="Cambria Math" w:cstheme="minorHAnsi"/>
                    </w:rPr>
                    <m:t>τ</m:t>
                  </m:r>
                </m:e>
                <m:sub>
                  <m:r>
                    <w:rPr>
                      <w:rFonts w:ascii="Cambria Math" w:hAnsi="Cambria Math" w:cstheme="minorHAnsi"/>
                    </w:rPr>
                    <m:t>2</m:t>
                  </m:r>
                </m:sub>
              </m:sSub>
            </m:oMath>
            <w:r w:rsidR="009566BE" w:rsidRPr="006C63F8">
              <w:rPr>
                <w:rFonts w:cstheme="minorHAnsi"/>
              </w:rPr>
              <w:t xml:space="preserve"> (</w:t>
            </w:r>
            <w:proofErr w:type="spellStart"/>
            <w:r w:rsidR="009566BE" w:rsidRPr="006C63F8">
              <w:rPr>
                <w:rFonts w:cstheme="minorHAnsi"/>
              </w:rPr>
              <w:t>ms</w:t>
            </w:r>
            <w:proofErr w:type="spellEnd"/>
            <w:r w:rsidR="009566BE" w:rsidRPr="006C63F8">
              <w:rPr>
                <w:rFonts w:cstheme="minorHAnsi"/>
              </w:rPr>
              <w:t>)</w:t>
            </w:r>
          </w:p>
          <w:p w14:paraId="157D3A10" w14:textId="467354B6" w:rsidR="009956A4" w:rsidRPr="006C63F8" w:rsidRDefault="009566BE" w:rsidP="006C63F8">
            <w:pPr>
              <w:pStyle w:val="NoSpacing"/>
              <w:rPr>
                <w:rFonts w:cstheme="minorHAnsi"/>
              </w:rPr>
            </w:pPr>
            <w:r w:rsidRPr="006C63F8">
              <w:rPr>
                <w:rFonts w:cstheme="minorHAnsi"/>
              </w:rPr>
              <w:t>(Area)</w:t>
            </w:r>
          </w:p>
        </w:tc>
        <w:tc>
          <w:tcPr>
            <w:tcW w:w="0" w:type="auto"/>
          </w:tcPr>
          <w:p w14:paraId="49D57923" w14:textId="2ECFBA46" w:rsidR="009566BE" w:rsidRPr="006C63F8" w:rsidRDefault="00BD02F4" w:rsidP="006C63F8">
            <w:pPr>
              <w:pStyle w:val="NoSpacing"/>
              <w:rPr>
                <w:rFonts w:cstheme="minorHAnsi"/>
              </w:rPr>
            </w:pPr>
            <m:oMath>
              <m:sSub>
                <m:sSubPr>
                  <m:ctrlPr>
                    <w:rPr>
                      <w:rFonts w:ascii="Cambria Math" w:hAnsi="Cambria Math" w:cstheme="minorHAnsi"/>
                      <w:i/>
                    </w:rPr>
                  </m:ctrlPr>
                </m:sSubPr>
                <m:e>
                  <m:r>
                    <w:rPr>
                      <w:rFonts w:ascii="Cambria Math" w:hAnsi="Cambria Math" w:cstheme="minorHAnsi"/>
                    </w:rPr>
                    <m:t>τ</m:t>
                  </m:r>
                </m:e>
                <m:sub>
                  <m:r>
                    <w:rPr>
                      <w:rFonts w:ascii="Cambria Math" w:hAnsi="Cambria Math" w:cstheme="minorHAnsi"/>
                    </w:rPr>
                    <m:t>3</m:t>
                  </m:r>
                </m:sub>
              </m:sSub>
            </m:oMath>
            <w:r w:rsidR="009566BE" w:rsidRPr="006C63F8">
              <w:rPr>
                <w:rFonts w:cstheme="minorHAnsi"/>
              </w:rPr>
              <w:t xml:space="preserve"> (</w:t>
            </w:r>
            <w:proofErr w:type="spellStart"/>
            <w:r w:rsidR="009566BE" w:rsidRPr="006C63F8">
              <w:rPr>
                <w:rFonts w:cstheme="minorHAnsi"/>
              </w:rPr>
              <w:t>ms</w:t>
            </w:r>
            <w:proofErr w:type="spellEnd"/>
            <w:r w:rsidR="009566BE" w:rsidRPr="006C63F8">
              <w:rPr>
                <w:rFonts w:cstheme="minorHAnsi"/>
              </w:rPr>
              <w:t>)</w:t>
            </w:r>
          </w:p>
          <w:p w14:paraId="00293BDA" w14:textId="1D952229" w:rsidR="009956A4" w:rsidRPr="006C63F8" w:rsidRDefault="009566BE" w:rsidP="006C63F8">
            <w:pPr>
              <w:pStyle w:val="NoSpacing"/>
              <w:rPr>
                <w:rFonts w:cstheme="minorHAnsi"/>
              </w:rPr>
            </w:pPr>
            <w:r w:rsidRPr="006C63F8">
              <w:rPr>
                <w:rFonts w:cstheme="minorHAnsi"/>
              </w:rPr>
              <w:t>(Area)</w:t>
            </w:r>
          </w:p>
        </w:tc>
        <w:tc>
          <w:tcPr>
            <w:tcW w:w="0" w:type="auto"/>
          </w:tcPr>
          <w:p w14:paraId="48E9CAF9" w14:textId="6FF0FB07" w:rsidR="009956A4" w:rsidRPr="006C63F8" w:rsidRDefault="009566BE" w:rsidP="006C63F8">
            <w:pPr>
              <w:pStyle w:val="NoSpacing"/>
              <w:rPr>
                <w:rFonts w:cstheme="minorHAnsi"/>
              </w:rPr>
            </w:pPr>
            <w:r w:rsidRPr="006C63F8">
              <w:rPr>
                <w:rFonts w:cstheme="minorHAnsi"/>
              </w:rPr>
              <w:t>Mean (</w:t>
            </w:r>
            <w:proofErr w:type="spellStart"/>
            <w:r w:rsidRPr="006C63F8">
              <w:rPr>
                <w:rFonts w:cstheme="minorHAnsi"/>
              </w:rPr>
              <w:t>ms</w:t>
            </w:r>
            <w:proofErr w:type="spellEnd"/>
            <w:r w:rsidRPr="006C63F8">
              <w:rPr>
                <w:rFonts w:cstheme="minorHAnsi"/>
              </w:rPr>
              <w:t>)</w:t>
            </w:r>
          </w:p>
        </w:tc>
        <w:tc>
          <w:tcPr>
            <w:tcW w:w="0" w:type="auto"/>
          </w:tcPr>
          <w:p w14:paraId="5970841A" w14:textId="0F1DC5E0" w:rsidR="00E6378D" w:rsidRPr="006C63F8" w:rsidRDefault="00BD02F4" w:rsidP="006C63F8">
            <w:pPr>
              <w:pStyle w:val="NoSpacing"/>
              <w:rPr>
                <w:rFonts w:cstheme="minorHAnsi"/>
              </w:rPr>
            </w:pPr>
            <m:oMath>
              <m:sSub>
                <m:sSubPr>
                  <m:ctrlPr>
                    <w:rPr>
                      <w:rFonts w:ascii="Cambria Math" w:hAnsi="Cambria Math" w:cstheme="minorHAnsi"/>
                      <w:i/>
                    </w:rPr>
                  </m:ctrlPr>
                </m:sSubPr>
                <m:e>
                  <m:r>
                    <w:rPr>
                      <w:rFonts w:ascii="Cambria Math" w:hAnsi="Cambria Math" w:cstheme="minorHAnsi"/>
                    </w:rPr>
                    <m:t>τ</m:t>
                  </m:r>
                </m:e>
                <m:sub>
                  <m:r>
                    <w:rPr>
                      <w:rFonts w:ascii="Cambria Math" w:hAnsi="Cambria Math" w:cstheme="minorHAnsi"/>
                    </w:rPr>
                    <m:t>1</m:t>
                  </m:r>
                </m:sub>
              </m:sSub>
            </m:oMath>
            <w:r w:rsidR="00E6378D" w:rsidRPr="006C63F8">
              <w:rPr>
                <w:rFonts w:cstheme="minorHAnsi"/>
              </w:rPr>
              <w:t xml:space="preserve"> (</w:t>
            </w:r>
            <w:proofErr w:type="spellStart"/>
            <w:r w:rsidR="00E6378D" w:rsidRPr="006C63F8">
              <w:rPr>
                <w:rFonts w:cstheme="minorHAnsi"/>
              </w:rPr>
              <w:t>ms</w:t>
            </w:r>
            <w:proofErr w:type="spellEnd"/>
            <w:r w:rsidR="00E6378D" w:rsidRPr="006C63F8">
              <w:rPr>
                <w:rFonts w:cstheme="minorHAnsi"/>
              </w:rPr>
              <w:t>)</w:t>
            </w:r>
          </w:p>
          <w:p w14:paraId="4C1C95D0" w14:textId="4C88CAD0" w:rsidR="009956A4" w:rsidRPr="006C63F8" w:rsidRDefault="00E6378D" w:rsidP="006C63F8">
            <w:pPr>
              <w:pStyle w:val="NoSpacing"/>
              <w:rPr>
                <w:rFonts w:cstheme="minorHAnsi"/>
              </w:rPr>
            </w:pPr>
            <w:r w:rsidRPr="006C63F8">
              <w:rPr>
                <w:rFonts w:cstheme="minorHAnsi"/>
              </w:rPr>
              <w:t>(Area)</w:t>
            </w:r>
          </w:p>
        </w:tc>
        <w:tc>
          <w:tcPr>
            <w:tcW w:w="0" w:type="auto"/>
          </w:tcPr>
          <w:p w14:paraId="30991659" w14:textId="3F665544" w:rsidR="00E6378D" w:rsidRPr="006C63F8" w:rsidRDefault="00BD02F4" w:rsidP="006C63F8">
            <w:pPr>
              <w:pStyle w:val="NoSpacing"/>
              <w:rPr>
                <w:rFonts w:cstheme="minorHAnsi"/>
              </w:rPr>
            </w:pPr>
            <m:oMath>
              <m:sSub>
                <m:sSubPr>
                  <m:ctrlPr>
                    <w:rPr>
                      <w:rFonts w:ascii="Cambria Math" w:hAnsi="Cambria Math" w:cstheme="minorHAnsi"/>
                      <w:i/>
                    </w:rPr>
                  </m:ctrlPr>
                </m:sSubPr>
                <m:e>
                  <m:r>
                    <w:rPr>
                      <w:rFonts w:ascii="Cambria Math" w:hAnsi="Cambria Math" w:cstheme="minorHAnsi"/>
                    </w:rPr>
                    <m:t>τ</m:t>
                  </m:r>
                </m:e>
                <m:sub>
                  <m:r>
                    <w:rPr>
                      <w:rFonts w:ascii="Cambria Math" w:hAnsi="Cambria Math" w:cstheme="minorHAnsi"/>
                    </w:rPr>
                    <m:t>2</m:t>
                  </m:r>
                </m:sub>
              </m:sSub>
            </m:oMath>
            <w:r w:rsidR="00E6378D" w:rsidRPr="006C63F8">
              <w:rPr>
                <w:rFonts w:cstheme="minorHAnsi"/>
              </w:rPr>
              <w:t xml:space="preserve"> (</w:t>
            </w:r>
            <w:proofErr w:type="spellStart"/>
            <w:r w:rsidR="00E6378D" w:rsidRPr="006C63F8">
              <w:rPr>
                <w:rFonts w:cstheme="minorHAnsi"/>
              </w:rPr>
              <w:t>ms</w:t>
            </w:r>
            <w:proofErr w:type="spellEnd"/>
            <w:r w:rsidR="00E6378D" w:rsidRPr="006C63F8">
              <w:rPr>
                <w:rFonts w:cstheme="minorHAnsi"/>
              </w:rPr>
              <w:t>)</w:t>
            </w:r>
          </w:p>
          <w:p w14:paraId="7FAC2F3D" w14:textId="7BFB125F" w:rsidR="009956A4" w:rsidRPr="006C63F8" w:rsidRDefault="00E6378D" w:rsidP="006C63F8">
            <w:pPr>
              <w:pStyle w:val="NoSpacing"/>
              <w:rPr>
                <w:rFonts w:cstheme="minorHAnsi"/>
              </w:rPr>
            </w:pPr>
            <w:r w:rsidRPr="006C63F8">
              <w:rPr>
                <w:rFonts w:cstheme="minorHAnsi"/>
              </w:rPr>
              <w:t>(Area)</w:t>
            </w:r>
          </w:p>
        </w:tc>
        <w:tc>
          <w:tcPr>
            <w:tcW w:w="0" w:type="auto"/>
          </w:tcPr>
          <w:p w14:paraId="0B9D3FD5" w14:textId="7A43BE89" w:rsidR="009956A4" w:rsidRPr="006C63F8" w:rsidRDefault="00E6378D" w:rsidP="006C63F8">
            <w:pPr>
              <w:pStyle w:val="NoSpacing"/>
              <w:rPr>
                <w:rFonts w:cstheme="minorHAnsi"/>
              </w:rPr>
            </w:pPr>
            <w:r w:rsidRPr="006C63F8">
              <w:rPr>
                <w:rFonts w:cstheme="minorHAnsi"/>
              </w:rPr>
              <w:t>Mean (</w:t>
            </w:r>
            <w:proofErr w:type="spellStart"/>
            <w:r w:rsidRPr="006C63F8">
              <w:rPr>
                <w:rFonts w:cstheme="minorHAnsi"/>
              </w:rPr>
              <w:t>ms</w:t>
            </w:r>
            <w:proofErr w:type="spellEnd"/>
            <w:r w:rsidRPr="006C63F8">
              <w:rPr>
                <w:rFonts w:cstheme="minorHAnsi"/>
              </w:rPr>
              <w:t>)</w:t>
            </w:r>
          </w:p>
        </w:tc>
        <w:tc>
          <w:tcPr>
            <w:tcW w:w="0" w:type="auto"/>
          </w:tcPr>
          <w:p w14:paraId="68E906AE" w14:textId="77777777" w:rsidR="00E6378D" w:rsidRPr="006C63F8" w:rsidRDefault="00E6378D" w:rsidP="006C63F8">
            <w:pPr>
              <w:pStyle w:val="NoSpacing"/>
              <w:rPr>
                <w:rFonts w:cstheme="minorHAnsi"/>
              </w:rPr>
            </w:pPr>
            <w:r w:rsidRPr="006C63F8">
              <w:rPr>
                <w:rFonts w:cstheme="minorHAnsi"/>
              </w:rPr>
              <w:t>Mean burst</w:t>
            </w:r>
          </w:p>
          <w:p w14:paraId="2AA68DD8" w14:textId="4EB226BD" w:rsidR="009956A4" w:rsidRPr="006C63F8" w:rsidRDefault="00E6378D" w:rsidP="006C63F8">
            <w:pPr>
              <w:pStyle w:val="NoSpacing"/>
              <w:rPr>
                <w:rFonts w:cstheme="minorHAnsi"/>
              </w:rPr>
            </w:pPr>
            <w:r w:rsidRPr="006C63F8">
              <w:rPr>
                <w:rFonts w:cstheme="minorHAnsi"/>
              </w:rPr>
              <w:t>length (</w:t>
            </w:r>
            <w:proofErr w:type="spellStart"/>
            <w:r w:rsidRPr="006C63F8">
              <w:rPr>
                <w:rFonts w:cstheme="minorHAnsi"/>
              </w:rPr>
              <w:t>ms</w:t>
            </w:r>
            <w:proofErr w:type="spellEnd"/>
            <w:r w:rsidRPr="006C63F8">
              <w:rPr>
                <w:rFonts w:cstheme="minorHAnsi"/>
              </w:rPr>
              <w:t>)</w:t>
            </w:r>
          </w:p>
        </w:tc>
        <w:tc>
          <w:tcPr>
            <w:tcW w:w="0" w:type="auto"/>
          </w:tcPr>
          <w:p w14:paraId="529C6B8A" w14:textId="425EA6FD" w:rsidR="009956A4" w:rsidRPr="006C63F8" w:rsidRDefault="00E6378D" w:rsidP="006C63F8">
            <w:pPr>
              <w:pStyle w:val="NoSpacing"/>
              <w:rPr>
                <w:rFonts w:cstheme="minorHAnsi"/>
              </w:rPr>
            </w:pPr>
            <w:proofErr w:type="spellStart"/>
            <w:r w:rsidRPr="006C63F8">
              <w:rPr>
                <w:rFonts w:cstheme="minorHAnsi"/>
              </w:rPr>
              <w:t>Intraburst</w:t>
            </w:r>
            <w:proofErr w:type="spellEnd"/>
            <w:r w:rsidRPr="006C63F8">
              <w:rPr>
                <w:rFonts w:cstheme="minorHAnsi"/>
              </w:rPr>
              <w:t xml:space="preserve"> Po</w:t>
            </w:r>
          </w:p>
        </w:tc>
      </w:tr>
      <w:tr w:rsidR="009956A4" w:rsidRPr="006C63F8" w14:paraId="3986B9FA" w14:textId="77777777" w:rsidTr="00BD02F4">
        <w:tc>
          <w:tcPr>
            <w:tcW w:w="0" w:type="auto"/>
          </w:tcPr>
          <w:p w14:paraId="1C13FD53" w14:textId="4E0415E9" w:rsidR="009956A4" w:rsidRPr="006C63F8" w:rsidRDefault="006C63F8" w:rsidP="006C63F8">
            <w:pPr>
              <w:pStyle w:val="NoSpacing"/>
              <w:rPr>
                <w:rFonts w:cstheme="minorHAnsi"/>
              </w:rPr>
            </w:pPr>
            <m:oMathPara>
              <m:oMath>
                <m:sSub>
                  <m:sSubPr>
                    <m:ctrlPr>
                      <w:rPr>
                        <w:rFonts w:ascii="Cambria Math" w:hAnsi="Cambria Math" w:cstheme="minorHAnsi"/>
                        <w:i/>
                      </w:rPr>
                    </m:ctrlPr>
                  </m:sSubPr>
                  <m:e>
                    <m:r>
                      <w:rPr>
                        <w:rFonts w:ascii="Cambria Math" w:hAnsi="Cambria Math" w:cstheme="minorHAnsi"/>
                      </w:rPr>
                      <m:t>α</m:t>
                    </m:r>
                  </m:e>
                  <m:sub>
                    <m:r>
                      <w:rPr>
                        <w:rFonts w:ascii="Cambria Math" w:hAnsi="Cambria Math" w:cstheme="minorHAnsi"/>
                      </w:rPr>
                      <m:t>1</m:t>
                    </m:r>
                  </m:sub>
                </m:sSub>
              </m:oMath>
            </m:oMathPara>
          </w:p>
        </w:tc>
        <w:tc>
          <w:tcPr>
            <w:tcW w:w="0" w:type="auto"/>
          </w:tcPr>
          <w:p w14:paraId="410B236D" w14:textId="77777777" w:rsidR="002E41D5" w:rsidRPr="006C63F8" w:rsidRDefault="002E41D5" w:rsidP="006C63F8">
            <w:pPr>
              <w:pStyle w:val="NoSpacing"/>
              <w:rPr>
                <w:rFonts w:cstheme="minorHAnsi"/>
              </w:rPr>
            </w:pPr>
            <w:r w:rsidRPr="006C63F8">
              <w:rPr>
                <w:rFonts w:cstheme="minorHAnsi"/>
              </w:rPr>
              <w:t>0.48 ± 0.076</w:t>
            </w:r>
          </w:p>
          <w:p w14:paraId="45EA0A88" w14:textId="0674BF01" w:rsidR="009956A4" w:rsidRPr="006C63F8" w:rsidRDefault="002E41D5" w:rsidP="006C63F8">
            <w:pPr>
              <w:pStyle w:val="NoSpacing"/>
              <w:rPr>
                <w:rFonts w:cstheme="minorHAnsi"/>
              </w:rPr>
            </w:pPr>
            <w:r w:rsidRPr="006C63F8">
              <w:rPr>
                <w:rFonts w:cstheme="minorHAnsi"/>
              </w:rPr>
              <w:t>(35 ± 2.3)</w:t>
            </w:r>
          </w:p>
        </w:tc>
        <w:tc>
          <w:tcPr>
            <w:tcW w:w="0" w:type="auto"/>
          </w:tcPr>
          <w:p w14:paraId="327E9165" w14:textId="77777777" w:rsidR="002E41D5" w:rsidRPr="006C63F8" w:rsidRDefault="002E41D5" w:rsidP="006C63F8">
            <w:pPr>
              <w:pStyle w:val="NoSpacing"/>
              <w:rPr>
                <w:rFonts w:cstheme="minorHAnsi"/>
              </w:rPr>
            </w:pPr>
            <w:r w:rsidRPr="006C63F8">
              <w:rPr>
                <w:rFonts w:cstheme="minorHAnsi"/>
              </w:rPr>
              <w:t>2.7 ± 0.35</w:t>
            </w:r>
          </w:p>
          <w:p w14:paraId="3EA2D1C8" w14:textId="1B96546C" w:rsidR="009956A4" w:rsidRPr="006C63F8" w:rsidRDefault="002E41D5" w:rsidP="006C63F8">
            <w:pPr>
              <w:pStyle w:val="NoSpacing"/>
              <w:rPr>
                <w:rFonts w:cstheme="minorHAnsi"/>
              </w:rPr>
            </w:pPr>
            <w:r w:rsidRPr="006C63F8">
              <w:rPr>
                <w:rFonts w:cstheme="minorHAnsi"/>
              </w:rPr>
              <w:t>(46 ± 3.2)</w:t>
            </w:r>
          </w:p>
        </w:tc>
        <w:tc>
          <w:tcPr>
            <w:tcW w:w="0" w:type="auto"/>
          </w:tcPr>
          <w:p w14:paraId="1FF051A7" w14:textId="77777777" w:rsidR="002E41D5" w:rsidRPr="006C63F8" w:rsidRDefault="002E41D5" w:rsidP="006C63F8">
            <w:pPr>
              <w:pStyle w:val="NoSpacing"/>
              <w:rPr>
                <w:rFonts w:cstheme="minorHAnsi"/>
              </w:rPr>
            </w:pPr>
            <w:r w:rsidRPr="006C63F8">
              <w:rPr>
                <w:rFonts w:cstheme="minorHAnsi"/>
              </w:rPr>
              <w:t>15 ± 2.0</w:t>
            </w:r>
          </w:p>
          <w:p w14:paraId="0756BF59" w14:textId="6FE0108D" w:rsidR="009956A4" w:rsidRPr="006C63F8" w:rsidRDefault="002E41D5" w:rsidP="006C63F8">
            <w:pPr>
              <w:pStyle w:val="NoSpacing"/>
              <w:rPr>
                <w:rFonts w:cstheme="minorHAnsi"/>
              </w:rPr>
            </w:pPr>
            <w:r w:rsidRPr="006C63F8">
              <w:rPr>
                <w:rFonts w:cstheme="minorHAnsi"/>
              </w:rPr>
              <w:t>(20 ± 2.6)</w:t>
            </w:r>
          </w:p>
        </w:tc>
        <w:tc>
          <w:tcPr>
            <w:tcW w:w="0" w:type="auto"/>
          </w:tcPr>
          <w:p w14:paraId="25F77D12" w14:textId="38670EA5" w:rsidR="009956A4" w:rsidRPr="006C63F8" w:rsidRDefault="00B33769" w:rsidP="006C63F8">
            <w:pPr>
              <w:pStyle w:val="NoSpacing"/>
              <w:rPr>
                <w:rFonts w:cstheme="minorHAnsi"/>
              </w:rPr>
            </w:pPr>
            <w:r w:rsidRPr="006C63F8">
              <w:rPr>
                <w:rFonts w:cstheme="minorHAnsi"/>
              </w:rPr>
              <w:t>4.6 ± 0.58</w:t>
            </w:r>
          </w:p>
        </w:tc>
        <w:tc>
          <w:tcPr>
            <w:tcW w:w="0" w:type="auto"/>
          </w:tcPr>
          <w:p w14:paraId="35F07C8C" w14:textId="77777777" w:rsidR="00B33769" w:rsidRPr="006C63F8" w:rsidRDefault="00B33769" w:rsidP="006C63F8">
            <w:pPr>
              <w:pStyle w:val="NoSpacing"/>
              <w:rPr>
                <w:rFonts w:cstheme="minorHAnsi"/>
              </w:rPr>
            </w:pPr>
            <w:r w:rsidRPr="006C63F8">
              <w:rPr>
                <w:rFonts w:cstheme="minorHAnsi"/>
              </w:rPr>
              <w:t>0.50 ± 0.045</w:t>
            </w:r>
          </w:p>
          <w:p w14:paraId="2285D6CF" w14:textId="7413CCE8" w:rsidR="009956A4" w:rsidRPr="006C63F8" w:rsidRDefault="00B33769" w:rsidP="006C63F8">
            <w:pPr>
              <w:pStyle w:val="NoSpacing"/>
              <w:rPr>
                <w:rFonts w:cstheme="minorHAnsi"/>
              </w:rPr>
            </w:pPr>
            <w:r w:rsidRPr="006C63F8">
              <w:rPr>
                <w:rFonts w:cstheme="minorHAnsi"/>
              </w:rPr>
              <w:t>(77 ± 3.6)</w:t>
            </w:r>
          </w:p>
        </w:tc>
        <w:tc>
          <w:tcPr>
            <w:tcW w:w="0" w:type="auto"/>
          </w:tcPr>
          <w:p w14:paraId="69AA02EB" w14:textId="77777777" w:rsidR="00B33769" w:rsidRPr="006C63F8" w:rsidRDefault="00B33769" w:rsidP="006C63F8">
            <w:pPr>
              <w:pStyle w:val="NoSpacing"/>
              <w:rPr>
                <w:rFonts w:cstheme="minorHAnsi"/>
              </w:rPr>
            </w:pPr>
            <w:r w:rsidRPr="006C63F8">
              <w:rPr>
                <w:rFonts w:cstheme="minorHAnsi"/>
              </w:rPr>
              <w:t>4.2 ± 2.1</w:t>
            </w:r>
          </w:p>
          <w:p w14:paraId="038E90AE" w14:textId="49DD6C76" w:rsidR="009956A4" w:rsidRPr="006C63F8" w:rsidRDefault="00B33769" w:rsidP="006C63F8">
            <w:pPr>
              <w:pStyle w:val="NoSpacing"/>
              <w:rPr>
                <w:rFonts w:cstheme="minorHAnsi"/>
              </w:rPr>
            </w:pPr>
            <w:r w:rsidRPr="006C63F8">
              <w:rPr>
                <w:rFonts w:cstheme="minorHAnsi"/>
              </w:rPr>
              <w:t>(9.7 ± 1.8)</w:t>
            </w:r>
          </w:p>
        </w:tc>
        <w:tc>
          <w:tcPr>
            <w:tcW w:w="0" w:type="auto"/>
          </w:tcPr>
          <w:p w14:paraId="0F510FA6" w14:textId="48EC0DAC" w:rsidR="009956A4" w:rsidRPr="006C63F8" w:rsidRDefault="00071B0C" w:rsidP="006C63F8">
            <w:pPr>
              <w:pStyle w:val="NoSpacing"/>
              <w:rPr>
                <w:rFonts w:cstheme="minorHAnsi"/>
              </w:rPr>
            </w:pPr>
            <w:r w:rsidRPr="006C63F8">
              <w:rPr>
                <w:rFonts w:cstheme="minorHAnsi"/>
              </w:rPr>
              <w:t>2.5 ± 0.27</w:t>
            </w:r>
          </w:p>
        </w:tc>
        <w:tc>
          <w:tcPr>
            <w:tcW w:w="0" w:type="auto"/>
          </w:tcPr>
          <w:p w14:paraId="1CD39424" w14:textId="77777777" w:rsidR="00CB5B32" w:rsidRPr="006C63F8" w:rsidRDefault="00CB5B32" w:rsidP="006C63F8">
            <w:pPr>
              <w:pStyle w:val="NoSpacing"/>
              <w:rPr>
                <w:rFonts w:cstheme="minorHAnsi"/>
              </w:rPr>
            </w:pPr>
            <w:bookmarkStart w:id="11" w:name="The Effects of Ethanol on α2β Glycine Re"/>
            <w:bookmarkStart w:id="12" w:name="Beta Subunits Affect the Pharmacology of"/>
            <w:bookmarkEnd w:id="11"/>
            <w:bookmarkEnd w:id="12"/>
            <w:r w:rsidRPr="006C63F8">
              <w:rPr>
                <w:rFonts w:cstheme="minorHAnsi"/>
              </w:rPr>
              <w:t>27.5 ± 5.24</w:t>
            </w:r>
          </w:p>
          <w:p w14:paraId="33D1FBC4" w14:textId="77777777" w:rsidR="009956A4" w:rsidRPr="006C63F8" w:rsidRDefault="009956A4" w:rsidP="006C63F8">
            <w:pPr>
              <w:pStyle w:val="NoSpacing"/>
              <w:rPr>
                <w:rFonts w:cstheme="minorHAnsi"/>
              </w:rPr>
            </w:pPr>
          </w:p>
        </w:tc>
        <w:tc>
          <w:tcPr>
            <w:tcW w:w="0" w:type="auto"/>
          </w:tcPr>
          <w:p w14:paraId="19B46B57" w14:textId="5CC64346" w:rsidR="009956A4" w:rsidRPr="006C63F8" w:rsidRDefault="00071B0C" w:rsidP="006C63F8">
            <w:pPr>
              <w:pStyle w:val="NoSpacing"/>
              <w:rPr>
                <w:rFonts w:cstheme="minorHAnsi"/>
              </w:rPr>
            </w:pPr>
            <w:r w:rsidRPr="006C63F8">
              <w:rPr>
                <w:rFonts w:cstheme="minorHAnsi"/>
              </w:rPr>
              <w:t>0.70 ± 0.040</w:t>
            </w:r>
          </w:p>
        </w:tc>
      </w:tr>
      <w:tr w:rsidR="009956A4" w:rsidRPr="006C63F8" w14:paraId="10A78F14" w14:textId="77777777" w:rsidTr="00BD02F4">
        <w:tc>
          <w:tcPr>
            <w:tcW w:w="0" w:type="auto"/>
          </w:tcPr>
          <w:p w14:paraId="00998FB4" w14:textId="6547EE08" w:rsidR="009956A4" w:rsidRPr="006C63F8" w:rsidRDefault="003F5AAE" w:rsidP="006C63F8">
            <w:pPr>
              <w:pStyle w:val="NoSpacing"/>
              <w:rPr>
                <w:rFonts w:cstheme="minorHAnsi"/>
              </w:rPr>
            </w:pPr>
            <m:oMathPara>
              <m:oMath>
                <m:r>
                  <w:rPr>
                    <w:rFonts w:ascii="Cambria Math" w:hAnsi="Cambria Math" w:cstheme="minorHAnsi"/>
                  </w:rPr>
                  <m:t>α2β</m:t>
                </m:r>
              </m:oMath>
            </m:oMathPara>
          </w:p>
        </w:tc>
        <w:tc>
          <w:tcPr>
            <w:tcW w:w="0" w:type="auto"/>
          </w:tcPr>
          <w:p w14:paraId="0C755115" w14:textId="77777777" w:rsidR="00A806E5" w:rsidRPr="006C63F8" w:rsidRDefault="00A806E5" w:rsidP="006C63F8">
            <w:pPr>
              <w:pStyle w:val="NoSpacing"/>
              <w:rPr>
                <w:rFonts w:cstheme="minorHAnsi"/>
              </w:rPr>
            </w:pPr>
            <w:r w:rsidRPr="006C63F8">
              <w:rPr>
                <w:rFonts w:cstheme="minorHAnsi"/>
              </w:rPr>
              <w:t>0.31 ± 0.12</w:t>
            </w:r>
          </w:p>
          <w:p w14:paraId="0BB43F97" w14:textId="77777777" w:rsidR="00A806E5" w:rsidRPr="006C63F8" w:rsidRDefault="00A806E5" w:rsidP="006C63F8">
            <w:pPr>
              <w:pStyle w:val="NoSpacing"/>
              <w:rPr>
                <w:rFonts w:cstheme="minorHAnsi"/>
              </w:rPr>
            </w:pPr>
            <w:r w:rsidRPr="006C63F8">
              <w:rPr>
                <w:rFonts w:cstheme="minorHAnsi"/>
              </w:rPr>
              <w:t>(26 ± 5.7)</w:t>
            </w:r>
          </w:p>
          <w:p w14:paraId="1E2AA4BD" w14:textId="39B342A2" w:rsidR="009956A4" w:rsidRPr="006C63F8" w:rsidRDefault="009956A4" w:rsidP="006C63F8">
            <w:pPr>
              <w:pStyle w:val="NoSpacing"/>
              <w:rPr>
                <w:rFonts w:cstheme="minorHAnsi"/>
              </w:rPr>
            </w:pPr>
          </w:p>
        </w:tc>
        <w:tc>
          <w:tcPr>
            <w:tcW w:w="0" w:type="auto"/>
          </w:tcPr>
          <w:p w14:paraId="29545B87" w14:textId="77777777" w:rsidR="00083AD9" w:rsidRPr="006C63F8" w:rsidRDefault="00083AD9" w:rsidP="006C63F8">
            <w:pPr>
              <w:pStyle w:val="NoSpacing"/>
              <w:rPr>
                <w:rFonts w:cstheme="minorHAnsi"/>
              </w:rPr>
            </w:pPr>
            <w:r w:rsidRPr="006C63F8">
              <w:rPr>
                <w:rFonts w:cstheme="minorHAnsi"/>
              </w:rPr>
              <w:t>4.4 ± 2.1</w:t>
            </w:r>
          </w:p>
          <w:p w14:paraId="24481280" w14:textId="77777777" w:rsidR="00083AD9" w:rsidRPr="006C63F8" w:rsidRDefault="00083AD9" w:rsidP="006C63F8">
            <w:pPr>
              <w:pStyle w:val="NoSpacing"/>
              <w:rPr>
                <w:rFonts w:cstheme="minorHAnsi"/>
              </w:rPr>
            </w:pPr>
            <w:r w:rsidRPr="006C63F8">
              <w:rPr>
                <w:rFonts w:cstheme="minorHAnsi"/>
              </w:rPr>
              <w:t>(31 ± 10)</w:t>
            </w:r>
          </w:p>
          <w:p w14:paraId="64FEB0EA" w14:textId="77777777" w:rsidR="009956A4" w:rsidRPr="006C63F8" w:rsidRDefault="009956A4" w:rsidP="006C63F8">
            <w:pPr>
              <w:pStyle w:val="NoSpacing"/>
              <w:rPr>
                <w:rFonts w:cstheme="minorHAnsi"/>
              </w:rPr>
            </w:pPr>
          </w:p>
        </w:tc>
        <w:tc>
          <w:tcPr>
            <w:tcW w:w="0" w:type="auto"/>
          </w:tcPr>
          <w:p w14:paraId="7DE271AE" w14:textId="77777777" w:rsidR="00083AD9" w:rsidRPr="006C63F8" w:rsidRDefault="00083AD9" w:rsidP="006C63F8">
            <w:pPr>
              <w:pStyle w:val="NoSpacing"/>
              <w:rPr>
                <w:rFonts w:cstheme="minorHAnsi"/>
              </w:rPr>
            </w:pPr>
            <w:r w:rsidRPr="006C63F8">
              <w:rPr>
                <w:rFonts w:cstheme="minorHAnsi"/>
              </w:rPr>
              <w:t>20 ± 1.7</w:t>
            </w:r>
          </w:p>
          <w:p w14:paraId="7330226F" w14:textId="77777777" w:rsidR="00083AD9" w:rsidRPr="006C63F8" w:rsidRDefault="00083AD9" w:rsidP="006C63F8">
            <w:pPr>
              <w:pStyle w:val="NoSpacing"/>
              <w:rPr>
                <w:rFonts w:cstheme="minorHAnsi"/>
              </w:rPr>
            </w:pPr>
            <w:r w:rsidRPr="006C63F8">
              <w:rPr>
                <w:rFonts w:cstheme="minorHAnsi"/>
              </w:rPr>
              <w:t>(51 ± 12)</w:t>
            </w:r>
          </w:p>
          <w:p w14:paraId="19D5E693" w14:textId="77777777" w:rsidR="009956A4" w:rsidRPr="006C63F8" w:rsidRDefault="009956A4" w:rsidP="006C63F8">
            <w:pPr>
              <w:pStyle w:val="NoSpacing"/>
              <w:rPr>
                <w:rFonts w:cstheme="minorHAnsi"/>
              </w:rPr>
            </w:pPr>
          </w:p>
        </w:tc>
        <w:tc>
          <w:tcPr>
            <w:tcW w:w="0" w:type="auto"/>
          </w:tcPr>
          <w:p w14:paraId="3DFB643A" w14:textId="2D1023E9" w:rsidR="009956A4" w:rsidRPr="006C63F8" w:rsidRDefault="00083AD9" w:rsidP="006C63F8">
            <w:pPr>
              <w:pStyle w:val="NoSpacing"/>
              <w:rPr>
                <w:rFonts w:cstheme="minorHAnsi"/>
              </w:rPr>
            </w:pPr>
            <w:r w:rsidRPr="006C63F8">
              <w:rPr>
                <w:rFonts w:cstheme="minorHAnsi"/>
              </w:rPr>
              <w:t>13 ± 2.3**</w:t>
            </w:r>
          </w:p>
        </w:tc>
        <w:tc>
          <w:tcPr>
            <w:tcW w:w="0" w:type="auto"/>
          </w:tcPr>
          <w:p w14:paraId="15F73997" w14:textId="77777777" w:rsidR="00083AD9" w:rsidRPr="006C63F8" w:rsidRDefault="00083AD9" w:rsidP="006C63F8">
            <w:pPr>
              <w:pStyle w:val="NoSpacing"/>
              <w:rPr>
                <w:rFonts w:cstheme="minorHAnsi"/>
              </w:rPr>
            </w:pPr>
            <w:r w:rsidRPr="006C63F8">
              <w:rPr>
                <w:rFonts w:cstheme="minorHAnsi"/>
              </w:rPr>
              <w:t>0.20 ± 0.0020</w:t>
            </w:r>
          </w:p>
          <w:p w14:paraId="7040E234" w14:textId="20876C5D" w:rsidR="009956A4" w:rsidRPr="006C63F8" w:rsidRDefault="00083AD9" w:rsidP="006C63F8">
            <w:pPr>
              <w:pStyle w:val="NoSpacing"/>
              <w:rPr>
                <w:rFonts w:cstheme="minorHAnsi"/>
              </w:rPr>
            </w:pPr>
            <w:r w:rsidRPr="006C63F8">
              <w:rPr>
                <w:rFonts w:cstheme="minorHAnsi"/>
              </w:rPr>
              <w:t>(27 ± 4.2)</w:t>
            </w:r>
          </w:p>
        </w:tc>
        <w:tc>
          <w:tcPr>
            <w:tcW w:w="0" w:type="auto"/>
          </w:tcPr>
          <w:p w14:paraId="64C23AE9" w14:textId="77777777" w:rsidR="00083AD9" w:rsidRPr="006C63F8" w:rsidRDefault="00083AD9" w:rsidP="006C63F8">
            <w:pPr>
              <w:pStyle w:val="NoSpacing"/>
              <w:rPr>
                <w:rFonts w:cstheme="minorHAnsi"/>
              </w:rPr>
            </w:pPr>
            <w:r w:rsidRPr="006C63F8">
              <w:rPr>
                <w:rFonts w:cstheme="minorHAnsi"/>
              </w:rPr>
              <w:t>2.6 ± 0.63</w:t>
            </w:r>
          </w:p>
          <w:p w14:paraId="0A5AFB80" w14:textId="77777777" w:rsidR="00083AD9" w:rsidRPr="006C63F8" w:rsidRDefault="00083AD9" w:rsidP="006C63F8">
            <w:pPr>
              <w:pStyle w:val="NoSpacing"/>
              <w:rPr>
                <w:rFonts w:cstheme="minorHAnsi"/>
              </w:rPr>
            </w:pPr>
            <w:r w:rsidRPr="006C63F8">
              <w:rPr>
                <w:rFonts w:cstheme="minorHAnsi"/>
              </w:rPr>
              <w:t>(54 ± 9.9)</w:t>
            </w:r>
          </w:p>
          <w:p w14:paraId="0432DCA1" w14:textId="77777777" w:rsidR="009956A4" w:rsidRPr="006C63F8" w:rsidRDefault="009956A4" w:rsidP="006C63F8">
            <w:pPr>
              <w:pStyle w:val="NoSpacing"/>
              <w:rPr>
                <w:rFonts w:cstheme="minorHAnsi"/>
              </w:rPr>
            </w:pPr>
          </w:p>
        </w:tc>
        <w:tc>
          <w:tcPr>
            <w:tcW w:w="0" w:type="auto"/>
          </w:tcPr>
          <w:p w14:paraId="589953AF" w14:textId="77777777" w:rsidR="00A806E5" w:rsidRPr="006C63F8" w:rsidRDefault="00A806E5" w:rsidP="006C63F8">
            <w:pPr>
              <w:pStyle w:val="NoSpacing"/>
              <w:rPr>
                <w:rFonts w:cstheme="minorHAnsi"/>
              </w:rPr>
            </w:pPr>
            <w:r w:rsidRPr="006C63F8">
              <w:rPr>
                <w:rFonts w:cstheme="minorHAnsi"/>
              </w:rPr>
              <w:t xml:space="preserve">9.3 ± 2.6* </w:t>
            </w:r>
          </w:p>
          <w:p w14:paraId="2E46CA28" w14:textId="77777777" w:rsidR="009956A4" w:rsidRPr="006C63F8" w:rsidRDefault="009956A4" w:rsidP="006C63F8">
            <w:pPr>
              <w:pStyle w:val="NoSpacing"/>
              <w:rPr>
                <w:rFonts w:cstheme="minorHAnsi"/>
              </w:rPr>
            </w:pPr>
          </w:p>
        </w:tc>
        <w:tc>
          <w:tcPr>
            <w:tcW w:w="0" w:type="auto"/>
          </w:tcPr>
          <w:p w14:paraId="6CC626D0" w14:textId="2AA3FCFA" w:rsidR="009956A4" w:rsidRPr="006C63F8" w:rsidRDefault="00A806E5" w:rsidP="006C63F8">
            <w:pPr>
              <w:pStyle w:val="NoSpacing"/>
              <w:rPr>
                <w:rFonts w:cstheme="minorHAnsi"/>
              </w:rPr>
            </w:pPr>
            <w:r w:rsidRPr="006C63F8">
              <w:rPr>
                <w:rFonts w:cstheme="minorHAnsi"/>
              </w:rPr>
              <w:t>88.8 ± 14.6**</w:t>
            </w:r>
          </w:p>
        </w:tc>
        <w:tc>
          <w:tcPr>
            <w:tcW w:w="0" w:type="auto"/>
          </w:tcPr>
          <w:p w14:paraId="08CBE1F1" w14:textId="2146A371" w:rsidR="009956A4" w:rsidRPr="006C63F8" w:rsidRDefault="00A806E5" w:rsidP="006C63F8">
            <w:pPr>
              <w:pStyle w:val="NoSpacing"/>
              <w:rPr>
                <w:rFonts w:cstheme="minorHAnsi"/>
              </w:rPr>
            </w:pPr>
            <w:r w:rsidRPr="006C63F8">
              <w:rPr>
                <w:rFonts w:cstheme="minorHAnsi"/>
              </w:rPr>
              <w:t>0.64 ± 0.041</w:t>
            </w:r>
          </w:p>
        </w:tc>
      </w:tr>
    </w:tbl>
    <w:p w14:paraId="01396F75" w14:textId="7AF682A9" w:rsidR="00644B94" w:rsidRPr="00644B94" w:rsidRDefault="00644B94" w:rsidP="00644B94">
      <w:pPr>
        <w:rPr>
          <w:i/>
          <w:iCs/>
        </w:rPr>
      </w:pPr>
      <w:r w:rsidRPr="00644B94">
        <w:rPr>
          <w:i/>
          <w:iCs/>
        </w:rPr>
        <w:t xml:space="preserve">*P &lt; 0.05, **P &lt; 0.01; two-tailed T-test. n = 6 and 4 cells for </w:t>
      </w:r>
      <w:r w:rsidRPr="00644B94">
        <w:t>α</w:t>
      </w:r>
      <w:r w:rsidRPr="00644B94">
        <w:rPr>
          <w:i/>
          <w:iCs/>
        </w:rPr>
        <w:t xml:space="preserve">1 and </w:t>
      </w:r>
      <w:r w:rsidRPr="00644B94">
        <w:t>α</w:t>
      </w:r>
      <w:r w:rsidRPr="00644B94">
        <w:rPr>
          <w:i/>
          <w:iCs/>
        </w:rPr>
        <w:t>2</w:t>
      </w:r>
      <w:r w:rsidRPr="00644B94">
        <w:t>β</w:t>
      </w:r>
      <w:r w:rsidRPr="00644B94">
        <w:rPr>
          <w:i/>
          <w:iCs/>
        </w:rPr>
        <w:t xml:space="preserve">, </w:t>
      </w:r>
      <w:r w:rsidRPr="00644B94">
        <w:rPr>
          <w:i/>
          <w:iCs/>
        </w:rPr>
        <w:t>respectively</w:t>
      </w:r>
      <w:r w:rsidRPr="00644B94">
        <w:rPr>
          <w:i/>
          <w:iCs/>
        </w:rPr>
        <w:t>.</w:t>
      </w:r>
    </w:p>
    <w:p w14:paraId="1F81CA5D" w14:textId="77777777" w:rsidR="00E07BB9" w:rsidRDefault="00E07BB9" w:rsidP="000F17F6"/>
    <w:p w14:paraId="07CA2FC5" w14:textId="77777777" w:rsidR="001870EC" w:rsidRPr="000F17F6" w:rsidRDefault="001870EC" w:rsidP="000F17F6"/>
    <w:p w14:paraId="729753E8" w14:textId="77777777" w:rsidR="001870EC" w:rsidRDefault="001870EC" w:rsidP="000F17F6">
      <w:pPr>
        <w:rPr>
          <w:b/>
          <w:bCs/>
        </w:rPr>
        <w:sectPr w:rsidR="001870EC" w:rsidSect="001870EC">
          <w:pgSz w:w="15840" w:h="12240" w:orient="landscape"/>
          <w:pgMar w:top="1080" w:right="1080" w:bottom="1080" w:left="1080" w:header="720" w:footer="720" w:gutter="0"/>
          <w:cols w:space="720"/>
          <w:docGrid w:linePitch="360"/>
        </w:sectPr>
      </w:pPr>
    </w:p>
    <w:p w14:paraId="0D5D3C1E" w14:textId="77777777" w:rsidR="000F17F6" w:rsidRPr="000F17F6" w:rsidRDefault="000F17F6" w:rsidP="00733CE0">
      <w:pPr>
        <w:pStyle w:val="Heading2"/>
      </w:pPr>
      <w:r w:rsidRPr="000F17F6">
        <w:lastRenderedPageBreak/>
        <w:t>The Effects of Ethanol on α2β Glycine Receptors Is Mediated by a Gβγ-Linked Mechanism</w:t>
      </w:r>
    </w:p>
    <w:p w14:paraId="4CD80A23" w14:textId="77777777" w:rsidR="000F17F6" w:rsidRPr="000F17F6" w:rsidRDefault="000F17F6" w:rsidP="000F17F6">
      <w:r w:rsidRPr="000F17F6">
        <w:t xml:space="preserve">Previous reports using neuronal and recombinant α1 </w:t>
      </w:r>
      <w:proofErr w:type="spellStart"/>
      <w:r w:rsidRPr="000F17F6">
        <w:t>GlyRs</w:t>
      </w:r>
      <w:proofErr w:type="spellEnd"/>
      <w:r w:rsidRPr="000F17F6">
        <w:t xml:space="preserve"> showed that the amplitude of the glycine-activated current was strongly enhanced after 15 min of intracellular dialysis with GTP-γ-S, implying that Gβγ enhances </w:t>
      </w:r>
      <w:proofErr w:type="spellStart"/>
      <w:r w:rsidRPr="000F17F6">
        <w:t>GlyRs</w:t>
      </w:r>
      <w:proofErr w:type="spellEnd"/>
      <w:r w:rsidRPr="000F17F6">
        <w:t xml:space="preserve"> activity (</w:t>
      </w:r>
      <w:proofErr w:type="spellStart"/>
      <w:r w:rsidR="0036006D">
        <w:fldChar w:fldCharType="begin"/>
      </w:r>
      <w:r w:rsidR="0036006D">
        <w:instrText xml:space="preserve"> HYPERLINK "https://www.frontiersin.org/articles/10.3389/fnmol.2021.763868/full" \l "B47" </w:instrText>
      </w:r>
      <w:r w:rsidR="0036006D">
        <w:fldChar w:fldCharType="separate"/>
      </w:r>
      <w:r w:rsidRPr="000F17F6">
        <w:rPr>
          <w:rStyle w:val="Hyperlink"/>
        </w:rPr>
        <w:t>Yevenes</w:t>
      </w:r>
      <w:proofErr w:type="spellEnd"/>
      <w:r w:rsidRPr="000F17F6">
        <w:rPr>
          <w:rStyle w:val="Hyperlink"/>
        </w:rPr>
        <w:t xml:space="preserve"> et al., 2003</w:t>
      </w:r>
      <w:r w:rsidR="0036006D">
        <w:rPr>
          <w:rStyle w:val="Hyperlink"/>
        </w:rPr>
        <w:fldChar w:fldCharType="end"/>
      </w:r>
      <w:r w:rsidRPr="000F17F6">
        <w:t>, </w:t>
      </w:r>
      <w:hyperlink r:id="rId80" w:anchor="B44" w:history="1">
        <w:r w:rsidRPr="000F17F6">
          <w:rPr>
            <w:rStyle w:val="Hyperlink"/>
          </w:rPr>
          <w:t>2010</w:t>
        </w:r>
      </w:hyperlink>
      <w:r w:rsidRPr="000F17F6">
        <w:t xml:space="preserve">). To investigate the dependency of G protein activation on the potentiation of α2β </w:t>
      </w:r>
      <w:proofErr w:type="spellStart"/>
      <w:r w:rsidRPr="000F17F6">
        <w:t>GlyRs</w:t>
      </w:r>
      <w:proofErr w:type="spellEnd"/>
      <w:r w:rsidRPr="000F17F6">
        <w:t xml:space="preserve"> by ethanol, we transfected α2 in different subunit conformations in HEK 293 cells. The data showed that after 15 min of intracellular dialysis, a large current enhancement was found in α2β heteromeric </w:t>
      </w:r>
      <w:proofErr w:type="spellStart"/>
      <w:r w:rsidRPr="000F17F6">
        <w:t>GlyRs</w:t>
      </w:r>
      <w:proofErr w:type="spellEnd"/>
      <w:r w:rsidRPr="000F17F6">
        <w:t xml:space="preserve"> (73 ± 11%), but not in α2 homomeric </w:t>
      </w:r>
      <w:proofErr w:type="spellStart"/>
      <w:r w:rsidRPr="000F17F6">
        <w:t>GlyRs</w:t>
      </w:r>
      <w:proofErr w:type="spellEnd"/>
      <w:r w:rsidRPr="000F17F6">
        <w:t xml:space="preserve"> (−1 ± 7%, </w:t>
      </w:r>
      <w:r w:rsidRPr="000F17F6">
        <w:rPr>
          <w:i/>
          <w:iCs/>
        </w:rPr>
        <w:t>p</w:t>
      </w:r>
      <w:r w:rsidRPr="000F17F6">
        <w:t> = 0.0013, </w:t>
      </w:r>
      <w:r w:rsidRPr="000F17F6">
        <w:rPr>
          <w:i/>
          <w:iCs/>
        </w:rPr>
        <w:t>F</w:t>
      </w:r>
      <w:r w:rsidRPr="000F17F6">
        <w:t xml:space="preserve">(3,15) = 5.03, Two-way ANOVA, </w:t>
      </w:r>
      <w:proofErr w:type="spellStart"/>
      <w:r w:rsidRPr="000F17F6">
        <w:t>Sidak’s</w:t>
      </w:r>
      <w:proofErr w:type="spellEnd"/>
      <w:r w:rsidRPr="000F17F6">
        <w:t xml:space="preserve"> multiple comparisons test; </w:t>
      </w:r>
      <w:hyperlink r:id="rId81" w:anchor="F5" w:history="1">
        <w:r w:rsidRPr="000F17F6">
          <w:rPr>
            <w:rStyle w:val="Hyperlink"/>
          </w:rPr>
          <w:t>Figures 5A,B</w:t>
        </w:r>
      </w:hyperlink>
      <w:r w:rsidRPr="000F17F6">
        <w:t> and </w:t>
      </w:r>
      <w:hyperlink r:id="rId82" w:anchor="T1" w:history="1">
        <w:r w:rsidRPr="000F17F6">
          <w:rPr>
            <w:rStyle w:val="Hyperlink"/>
          </w:rPr>
          <w:t>Table 1</w:t>
        </w:r>
      </w:hyperlink>
      <w:r w:rsidRPr="000F17F6">
        <w:t xml:space="preserve">). Therefore, the data indicates that the β subunit confers the properties for G protein modulation. Thus, these data demonstrate the importance of Gβγ signaling for the ethanol effects on α2 </w:t>
      </w:r>
      <w:proofErr w:type="spellStart"/>
      <w:r w:rsidRPr="000F17F6">
        <w:t>GlyRs</w:t>
      </w:r>
      <w:proofErr w:type="spellEnd"/>
      <w:r w:rsidRPr="000F17F6">
        <w:t>. Employing a widely used approach to examine the involvement of Gβγ, we expressed a Gβγ scavenger protein, ct-GRK2, that binds with high affinity to this dimer (</w:t>
      </w:r>
      <w:proofErr w:type="spellStart"/>
      <w:r w:rsidR="0036006D">
        <w:fldChar w:fldCharType="begin"/>
      </w:r>
      <w:r w:rsidR="0036006D">
        <w:instrText xml:space="preserve"> HYPERLINK "https://www.frontiersin.org/articles/10.3389/fnmol.2021.763868/full" \l "B47" </w:instrText>
      </w:r>
      <w:r w:rsidR="0036006D">
        <w:fldChar w:fldCharType="separate"/>
      </w:r>
      <w:r w:rsidRPr="000F17F6">
        <w:rPr>
          <w:rStyle w:val="Hyperlink"/>
        </w:rPr>
        <w:t>Yevenes</w:t>
      </w:r>
      <w:proofErr w:type="spellEnd"/>
      <w:r w:rsidRPr="000F17F6">
        <w:rPr>
          <w:rStyle w:val="Hyperlink"/>
        </w:rPr>
        <w:t xml:space="preserve"> et al., 2003</w:t>
      </w:r>
      <w:r w:rsidR="0036006D">
        <w:rPr>
          <w:rStyle w:val="Hyperlink"/>
        </w:rPr>
        <w:fldChar w:fldCharType="end"/>
      </w:r>
      <w:r w:rsidRPr="000F17F6">
        <w:t>, </w:t>
      </w:r>
      <w:hyperlink r:id="rId83" w:anchor="B46" w:history="1">
        <w:r w:rsidRPr="000F17F6">
          <w:rPr>
            <w:rStyle w:val="Hyperlink"/>
          </w:rPr>
          <w:t>2008</w:t>
        </w:r>
      </w:hyperlink>
      <w:r w:rsidRPr="000F17F6">
        <w:t xml:space="preserve">). Cells transfected with ct-GRK2 should not be potentiated by ethanol because ct-GRK2 binds “free” Gβγ and prevents its interaction with effectors. Overexpression of ct-GRK2 in an independent experiment show a significant attenuation of the potentiation induced by 100 mM ethanol in α2β </w:t>
      </w:r>
      <w:proofErr w:type="spellStart"/>
      <w:r w:rsidRPr="000F17F6">
        <w:t>GlyRs</w:t>
      </w:r>
      <w:proofErr w:type="spellEnd"/>
      <w:r w:rsidRPr="000F17F6">
        <w:t xml:space="preserve"> (control: 100 ± 13% vs. ct-GRK2: 10 ± 5%; </w:t>
      </w:r>
      <w:r w:rsidRPr="000F17F6">
        <w:rPr>
          <w:i/>
          <w:iCs/>
        </w:rPr>
        <w:t>p</w:t>
      </w:r>
      <w:r w:rsidRPr="000F17F6">
        <w:t> &lt; 0.001, t7 = 7.313, Unpaired </w:t>
      </w:r>
      <w:r w:rsidRPr="000F17F6">
        <w:rPr>
          <w:i/>
          <w:iCs/>
        </w:rPr>
        <w:t>t</w:t>
      </w:r>
      <w:r w:rsidRPr="000F17F6">
        <w:t>-test, </w:t>
      </w:r>
      <w:hyperlink r:id="rId84" w:anchor="F5" w:history="1">
        <w:r w:rsidRPr="000F17F6">
          <w:rPr>
            <w:rStyle w:val="Hyperlink"/>
          </w:rPr>
          <w:t>Figures 5C,D</w:t>
        </w:r>
      </w:hyperlink>
      <w:r w:rsidRPr="000F17F6">
        <w:t xml:space="preserve">) strongly indicating that the Gβγ signaling is critical for ethanol effects on α2β-containing </w:t>
      </w:r>
      <w:proofErr w:type="spellStart"/>
      <w:r w:rsidRPr="000F17F6">
        <w:t>GlyRs</w:t>
      </w:r>
      <w:proofErr w:type="spellEnd"/>
      <w:r w:rsidRPr="000F17F6">
        <w:t>.</w:t>
      </w:r>
    </w:p>
    <w:p w14:paraId="6D071715" w14:textId="16F20D80" w:rsidR="000F17F6" w:rsidRPr="000F17F6" w:rsidRDefault="000F17F6" w:rsidP="00733CE0">
      <w:pPr>
        <w:pStyle w:val="NoSpacing"/>
      </w:pPr>
      <w:bookmarkStart w:id="13" w:name="figure5"/>
      <w:r w:rsidRPr="000F17F6">
        <w:rPr>
          <w:noProof/>
        </w:rPr>
        <w:drawing>
          <wp:inline distT="0" distB="0" distL="0" distR="0" wp14:anchorId="079EFF56" wp14:editId="0D83DE41">
            <wp:extent cx="1424940" cy="1127125"/>
            <wp:effectExtent l="0" t="0" r="3810" b="0"/>
            <wp:docPr id="4" name="Picture 4" descr="www.frontiersin.org">
              <a:hlinkClick xmlns:a="http://schemas.openxmlformats.org/drawingml/2006/main" r:id="rId8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5" descr="www.frontiersin.org">
                      <a:hlinkClick r:id="rId85" tgtFrame="&quot;_blank&quot;"/>
                    </pic:cNvPr>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1424940" cy="1127125"/>
                    </a:xfrm>
                    <a:prstGeom prst="rect">
                      <a:avLst/>
                    </a:prstGeom>
                    <a:noFill/>
                    <a:ln>
                      <a:noFill/>
                    </a:ln>
                  </pic:spPr>
                </pic:pic>
              </a:graphicData>
            </a:graphic>
          </wp:inline>
        </w:drawing>
      </w:r>
      <w:bookmarkEnd w:id="13"/>
    </w:p>
    <w:p w14:paraId="440D634F" w14:textId="77777777" w:rsidR="000F17F6" w:rsidRDefault="000F17F6" w:rsidP="00733CE0">
      <w:pPr>
        <w:pStyle w:val="NoSpacing"/>
      </w:pPr>
      <w:r w:rsidRPr="000F17F6">
        <w:rPr>
          <w:b/>
          <w:bCs/>
        </w:rPr>
        <w:t>Figure 5.</w:t>
      </w:r>
      <w:r w:rsidRPr="000F17F6">
        <w:t xml:space="preserve"> The ethanol induced potentiation in α2β </w:t>
      </w:r>
      <w:proofErr w:type="spellStart"/>
      <w:r w:rsidRPr="000F17F6">
        <w:t>GlyRs</w:t>
      </w:r>
      <w:proofErr w:type="spellEnd"/>
      <w:r w:rsidRPr="000F17F6">
        <w:t xml:space="preserve"> was mediated by a Gβγ-linked mechanism. </w:t>
      </w:r>
      <w:r w:rsidRPr="000F17F6">
        <w:rPr>
          <w:b/>
          <w:bCs/>
        </w:rPr>
        <w:t>(</w:t>
      </w:r>
      <w:proofErr w:type="gramStart"/>
      <w:r w:rsidRPr="000F17F6">
        <w:rPr>
          <w:b/>
          <w:bCs/>
        </w:rPr>
        <w:t>A,B</w:t>
      </w:r>
      <w:proofErr w:type="gramEnd"/>
      <w:r w:rsidRPr="000F17F6">
        <w:rPr>
          <w:b/>
          <w:bCs/>
        </w:rPr>
        <w:t>)</w:t>
      </w:r>
      <w:r w:rsidRPr="000F17F6">
        <w:t xml:space="preserve"> Representative evoked current traces from α2 and α2β conformations showing the effects of G-protein activation by intracellular dialysis of GTP-γ-S (0.2 mM) for 15 min. The time course graph summarizes the effects of G-protein activation by GTP-γ-S in α2 (closed blue circles) and α2β (open blue circles). A significant potentiation was found only in α2β </w:t>
      </w:r>
      <w:proofErr w:type="spellStart"/>
      <w:r w:rsidRPr="000F17F6">
        <w:t>GlyRs</w:t>
      </w:r>
      <w:proofErr w:type="spellEnd"/>
      <w:r w:rsidRPr="000F17F6">
        <w:t>. </w:t>
      </w:r>
      <w:r w:rsidRPr="000F17F6">
        <w:rPr>
          <w:b/>
          <w:bCs/>
        </w:rPr>
        <w:t>(C)</w:t>
      </w:r>
      <w:r w:rsidRPr="000F17F6">
        <w:t xml:space="preserve"> Current traces from HEK 293 cells transfected with α2β </w:t>
      </w:r>
      <w:proofErr w:type="spellStart"/>
      <w:r w:rsidRPr="000F17F6">
        <w:t>GlyRs</w:t>
      </w:r>
      <w:proofErr w:type="spellEnd"/>
      <w:r w:rsidRPr="000F17F6">
        <w:t>, with or without the co-expression of the Gβγ scavenger ct-GRK2. </w:t>
      </w:r>
      <w:r w:rsidRPr="000F17F6">
        <w:rPr>
          <w:b/>
          <w:bCs/>
        </w:rPr>
        <w:t>(D)</w:t>
      </w:r>
      <w:r w:rsidRPr="000F17F6">
        <w:t xml:space="preserve"> The graph summarizes the percentage potentiation elicited by 100 mM ethanol on α2β </w:t>
      </w:r>
      <w:proofErr w:type="spellStart"/>
      <w:r w:rsidRPr="000F17F6">
        <w:t>GlyRs</w:t>
      </w:r>
      <w:proofErr w:type="spellEnd"/>
      <w:r w:rsidRPr="000F17F6">
        <w:t xml:space="preserve"> in the absence or presence of ct-GRK2 in an independent experiment. Data are mean ± SEM. *</w:t>
      </w:r>
      <w:r w:rsidRPr="000F17F6">
        <w:rPr>
          <w:i/>
          <w:iCs/>
        </w:rPr>
        <w:t>p</w:t>
      </w:r>
      <w:r w:rsidRPr="000F17F6">
        <w:t> &lt; 0.05, **</w:t>
      </w:r>
      <w:r w:rsidRPr="000F17F6">
        <w:rPr>
          <w:i/>
          <w:iCs/>
        </w:rPr>
        <w:t>p</w:t>
      </w:r>
      <w:r w:rsidRPr="000F17F6">
        <w:t> &lt; 0.01, and ***</w:t>
      </w:r>
      <w:r w:rsidRPr="000F17F6">
        <w:rPr>
          <w:i/>
          <w:iCs/>
        </w:rPr>
        <w:t>p</w:t>
      </w:r>
      <w:r w:rsidRPr="000F17F6">
        <w:t xml:space="preserve"> &lt; 0.001. Two-way ANOVA and </w:t>
      </w:r>
      <w:proofErr w:type="spellStart"/>
      <w:r w:rsidRPr="000F17F6">
        <w:t>SIdak’s</w:t>
      </w:r>
      <w:proofErr w:type="spellEnd"/>
      <w:r w:rsidRPr="000F17F6">
        <w:t xml:space="preserve"> multiple comparisons test </w:t>
      </w:r>
      <w:r w:rsidRPr="000F17F6">
        <w:rPr>
          <w:b/>
          <w:bCs/>
        </w:rPr>
        <w:t>(B)</w:t>
      </w:r>
      <w:r w:rsidRPr="000F17F6">
        <w:t> and Unpaired Student’s </w:t>
      </w:r>
      <w:r w:rsidRPr="000F17F6">
        <w:rPr>
          <w:i/>
          <w:iCs/>
        </w:rPr>
        <w:t>t</w:t>
      </w:r>
      <w:r w:rsidRPr="000F17F6">
        <w:t>-test </w:t>
      </w:r>
      <w:r w:rsidRPr="000F17F6">
        <w:rPr>
          <w:b/>
          <w:bCs/>
        </w:rPr>
        <w:t>(D)</w:t>
      </w:r>
      <w:r w:rsidRPr="000F17F6">
        <w:t>.</w:t>
      </w:r>
    </w:p>
    <w:p w14:paraId="4A98E909" w14:textId="77777777" w:rsidR="00733CE0" w:rsidRPr="000F17F6" w:rsidRDefault="00733CE0" w:rsidP="000F17F6"/>
    <w:p w14:paraId="50A7B014" w14:textId="77777777" w:rsidR="000F17F6" w:rsidRPr="000F17F6" w:rsidRDefault="000F17F6" w:rsidP="000F17F6">
      <w:r w:rsidRPr="000F17F6">
        <w:t xml:space="preserve">It was previously reported that the α2 subunit has the molecular determinants in the intracellular domain necessary for allosteric modulation of </w:t>
      </w:r>
      <w:proofErr w:type="spellStart"/>
      <w:r w:rsidRPr="000F17F6">
        <w:t>GlyRs</w:t>
      </w:r>
      <w:proofErr w:type="spellEnd"/>
      <w:r w:rsidRPr="000F17F6">
        <w:t xml:space="preserve"> via activation of Gβγ (</w:t>
      </w:r>
      <w:proofErr w:type="spellStart"/>
      <w:r w:rsidR="0036006D">
        <w:fldChar w:fldCharType="begin"/>
      </w:r>
      <w:r w:rsidR="0036006D">
        <w:instrText xml:space="preserve"> HYPERLINK "https://www.frontiersin.org/articles/10.3389/fnmol.2021.763868/full" \l "B44" </w:instrText>
      </w:r>
      <w:r w:rsidR="0036006D">
        <w:fldChar w:fldCharType="separate"/>
      </w:r>
      <w:r w:rsidRPr="000F17F6">
        <w:rPr>
          <w:rStyle w:val="Hyperlink"/>
        </w:rPr>
        <w:t>Yevenes</w:t>
      </w:r>
      <w:proofErr w:type="spellEnd"/>
      <w:r w:rsidRPr="000F17F6">
        <w:rPr>
          <w:rStyle w:val="Hyperlink"/>
        </w:rPr>
        <w:t xml:space="preserve"> et al., 2010</w:t>
      </w:r>
      <w:r w:rsidR="0036006D">
        <w:rPr>
          <w:rStyle w:val="Hyperlink"/>
        </w:rPr>
        <w:fldChar w:fldCharType="end"/>
      </w:r>
      <w:r w:rsidRPr="000F17F6">
        <w:t xml:space="preserve">). Here, two basic amino acids (K389 and R390) in the large intracellular loop of the α2 </w:t>
      </w:r>
      <w:proofErr w:type="spellStart"/>
      <w:r w:rsidRPr="000F17F6">
        <w:t>GlyRs</w:t>
      </w:r>
      <w:proofErr w:type="spellEnd"/>
      <w:r w:rsidRPr="000F17F6">
        <w:t xml:space="preserve"> subunit were detected and they were homologous to residues present in the α1 </w:t>
      </w:r>
      <w:proofErr w:type="spellStart"/>
      <w:r w:rsidRPr="000F17F6">
        <w:t>GlyRs</w:t>
      </w:r>
      <w:proofErr w:type="spellEnd"/>
      <w:r w:rsidRPr="000F17F6">
        <w:t xml:space="preserve"> subunit (K385 and K386) that are critical for binding and functional modulation by ethanol and Gβγ (</w:t>
      </w:r>
      <w:proofErr w:type="spellStart"/>
      <w:r w:rsidR="0036006D">
        <w:fldChar w:fldCharType="begin"/>
      </w:r>
      <w:r w:rsidR="0036006D">
        <w:instrText xml:space="preserve"> HYPERLINK "https://www.frontiersin.org/articles/10.3389/fnmol.2021.763868/full" \l "B45" </w:instrText>
      </w:r>
      <w:r w:rsidR="0036006D">
        <w:fldChar w:fldCharType="separate"/>
      </w:r>
      <w:r w:rsidRPr="000F17F6">
        <w:rPr>
          <w:rStyle w:val="Hyperlink"/>
        </w:rPr>
        <w:t>Yevenes</w:t>
      </w:r>
      <w:proofErr w:type="spellEnd"/>
      <w:r w:rsidRPr="000F17F6">
        <w:rPr>
          <w:rStyle w:val="Hyperlink"/>
        </w:rPr>
        <w:t xml:space="preserve"> et al., 2006</w:t>
      </w:r>
      <w:r w:rsidR="0036006D">
        <w:rPr>
          <w:rStyle w:val="Hyperlink"/>
        </w:rPr>
        <w:fldChar w:fldCharType="end"/>
      </w:r>
      <w:r w:rsidRPr="000F17F6">
        <w:t>, </w:t>
      </w:r>
      <w:hyperlink r:id="rId87" w:anchor="B46" w:history="1">
        <w:r w:rsidRPr="000F17F6">
          <w:rPr>
            <w:rStyle w:val="Hyperlink"/>
          </w:rPr>
          <w:t>2008</w:t>
        </w:r>
      </w:hyperlink>
      <w:r w:rsidRPr="000F17F6">
        <w:t>, </w:t>
      </w:r>
      <w:hyperlink r:id="rId88" w:anchor="B44" w:history="1">
        <w:r w:rsidRPr="000F17F6">
          <w:rPr>
            <w:rStyle w:val="Hyperlink"/>
          </w:rPr>
          <w:t>2010</w:t>
        </w:r>
      </w:hyperlink>
      <w:r w:rsidRPr="000F17F6">
        <w:t>). In this study, we found that changing these two basic amino acids to alanine in α2 and co-expressing the mutant with the β subunit decreased the EC</w:t>
      </w:r>
      <w:r w:rsidRPr="000F17F6">
        <w:rPr>
          <w:vertAlign w:val="subscript"/>
        </w:rPr>
        <w:t>50</w:t>
      </w:r>
      <w:r w:rsidRPr="000F17F6">
        <w:t xml:space="preserve"> value compared to α2 homomeric </w:t>
      </w:r>
      <w:proofErr w:type="spellStart"/>
      <w:r w:rsidRPr="000F17F6">
        <w:t>GlyRs</w:t>
      </w:r>
      <w:proofErr w:type="spellEnd"/>
      <w:r w:rsidRPr="000F17F6">
        <w:t xml:space="preserve"> (</w:t>
      </w:r>
      <w:r w:rsidRPr="000F17F6">
        <w:rPr>
          <w:i/>
          <w:iCs/>
        </w:rPr>
        <w:t>p</w:t>
      </w:r>
      <w:r w:rsidRPr="000F17F6">
        <w:t> &lt; 0.001, </w:t>
      </w:r>
      <w:hyperlink r:id="rId89" w:anchor="F1" w:history="1">
        <w:r w:rsidRPr="000F17F6">
          <w:rPr>
            <w:rStyle w:val="Hyperlink"/>
          </w:rPr>
          <w:t>Figure 1E</w:t>
        </w:r>
      </w:hyperlink>
      <w:r w:rsidRPr="000F17F6">
        <w:t> and </w:t>
      </w:r>
      <w:hyperlink r:id="rId90" w:anchor="T1" w:history="1">
        <w:r w:rsidRPr="000F17F6">
          <w:rPr>
            <w:rStyle w:val="Hyperlink"/>
          </w:rPr>
          <w:t>Table 1</w:t>
        </w:r>
      </w:hyperlink>
      <w:r w:rsidRPr="000F17F6">
        <w:t xml:space="preserve">). More interesting, the mutation abolished the ethanol-induced potentiation present in α2β heteromeric </w:t>
      </w:r>
      <w:proofErr w:type="spellStart"/>
      <w:r w:rsidRPr="000F17F6">
        <w:t>GlyRs</w:t>
      </w:r>
      <w:proofErr w:type="spellEnd"/>
      <w:r w:rsidRPr="000F17F6">
        <w:t xml:space="preserve"> (90 ± 20% vs. 10 ± 6%, </w:t>
      </w:r>
      <w:r w:rsidRPr="000F17F6">
        <w:rPr>
          <w:i/>
          <w:iCs/>
        </w:rPr>
        <w:t>p</w:t>
      </w:r>
      <w:r w:rsidRPr="000F17F6">
        <w:t> = 0.001, t20 = 3.86, Unpaired </w:t>
      </w:r>
      <w:r w:rsidRPr="000F17F6">
        <w:rPr>
          <w:i/>
          <w:iCs/>
        </w:rPr>
        <w:t>t</w:t>
      </w:r>
      <w:r w:rsidRPr="000F17F6">
        <w:t>-test with Welch’s correction) (</w:t>
      </w:r>
      <w:hyperlink r:id="rId91" w:anchor="F6" w:history="1">
        <w:r w:rsidRPr="000F17F6">
          <w:rPr>
            <w:rStyle w:val="Hyperlink"/>
          </w:rPr>
          <w:t>Figures 6A–C</w:t>
        </w:r>
      </w:hyperlink>
      <w:r w:rsidRPr="000F17F6">
        <w:t> and </w:t>
      </w:r>
      <w:hyperlink r:id="rId92" w:anchor="T1" w:history="1">
        <w:r w:rsidRPr="000F17F6">
          <w:rPr>
            <w:rStyle w:val="Hyperlink"/>
          </w:rPr>
          <w:t>Table 1</w:t>
        </w:r>
      </w:hyperlink>
      <w:r w:rsidRPr="000F17F6">
        <w:t>). Single channel recordings confirmed that the mutation of these two residues in α2 conferred resistance against low ethanol concentration effects (Po control: 0.16 ± 0.06 vs. Po 10 mM: 0.14 ± 0.06; </w:t>
      </w:r>
      <w:hyperlink r:id="rId93" w:anchor="F6" w:history="1">
        <w:r w:rsidRPr="000F17F6">
          <w:rPr>
            <w:rStyle w:val="Hyperlink"/>
          </w:rPr>
          <w:t>Figures 6D,E</w:t>
        </w:r>
      </w:hyperlink>
      <w:r w:rsidRPr="000F17F6">
        <w:t> and </w:t>
      </w:r>
      <w:hyperlink r:id="rId94" w:anchor="T2" w:history="1">
        <w:r w:rsidRPr="000F17F6">
          <w:rPr>
            <w:rStyle w:val="Hyperlink"/>
          </w:rPr>
          <w:t>Table 2</w:t>
        </w:r>
      </w:hyperlink>
      <w:r w:rsidRPr="000F17F6">
        <w:t>), being significantly reduced compared with the naïve α2 subunit (143 ± 27% vs. 6.6 ± 33%, </w:t>
      </w:r>
      <w:r w:rsidRPr="000F17F6">
        <w:rPr>
          <w:i/>
          <w:iCs/>
        </w:rPr>
        <w:t>p</w:t>
      </w:r>
      <w:r w:rsidRPr="000F17F6">
        <w:t> = 0.098, t15 = 2.957, Unpaired </w:t>
      </w:r>
      <w:r w:rsidRPr="000F17F6">
        <w:rPr>
          <w:i/>
          <w:iCs/>
        </w:rPr>
        <w:t>t</w:t>
      </w:r>
      <w:r w:rsidRPr="000F17F6">
        <w:t>-test, </w:t>
      </w:r>
      <w:hyperlink r:id="rId95" w:anchor="F6" w:history="1">
        <w:r w:rsidRPr="000F17F6">
          <w:rPr>
            <w:rStyle w:val="Hyperlink"/>
          </w:rPr>
          <w:t>Figure 6E</w:t>
        </w:r>
      </w:hyperlink>
      <w:r w:rsidRPr="000F17F6">
        <w:t xml:space="preserve">). Mechanistically, the activation of G-protein after 15 min of intracellular dialysis with </w:t>
      </w:r>
      <w:r w:rsidRPr="000F17F6">
        <w:lastRenderedPageBreak/>
        <w:t>GTP-γ-S showed that the α2AA mutation in the intracellular loop conferred resistance to potentiation by Gβγ when co-transfected with the β subunit (73 ± 11% vs. −11 ± 11%, </w:t>
      </w:r>
      <w:r w:rsidRPr="000F17F6">
        <w:rPr>
          <w:i/>
          <w:iCs/>
        </w:rPr>
        <w:t>p</w:t>
      </w:r>
      <w:r w:rsidRPr="000F17F6">
        <w:t> &lt; 0.001, t18 = 5.239, Unpaired </w:t>
      </w:r>
      <w:r w:rsidRPr="000F17F6">
        <w:rPr>
          <w:i/>
          <w:iCs/>
        </w:rPr>
        <w:t>t</w:t>
      </w:r>
      <w:r w:rsidRPr="000F17F6">
        <w:t>-test; </w:t>
      </w:r>
      <w:hyperlink r:id="rId96" w:anchor="F6" w:history="1">
        <w:r w:rsidRPr="000F17F6">
          <w:rPr>
            <w:rStyle w:val="Hyperlink"/>
          </w:rPr>
          <w:t>Figures 6F–H</w:t>
        </w:r>
      </w:hyperlink>
      <w:r w:rsidRPr="000F17F6">
        <w:t> and </w:t>
      </w:r>
      <w:hyperlink r:id="rId97" w:anchor="T1" w:history="1">
        <w:r w:rsidRPr="000F17F6">
          <w:rPr>
            <w:rStyle w:val="Hyperlink"/>
          </w:rPr>
          <w:t>Table 1</w:t>
        </w:r>
      </w:hyperlink>
      <w:r w:rsidRPr="000F17F6">
        <w:t xml:space="preserve">). Thus, these results support the idea that these two residues and the β subunit are important for α2 </w:t>
      </w:r>
      <w:proofErr w:type="spellStart"/>
      <w:r w:rsidRPr="000F17F6">
        <w:t>GlyR</w:t>
      </w:r>
      <w:proofErr w:type="spellEnd"/>
      <w:r w:rsidRPr="000F17F6">
        <w:t xml:space="preserve"> modulation by ethanol.</w:t>
      </w:r>
    </w:p>
    <w:p w14:paraId="3D7921C3" w14:textId="6A4973DE" w:rsidR="000F17F6" w:rsidRPr="000F17F6" w:rsidRDefault="000F17F6" w:rsidP="00733CE0">
      <w:pPr>
        <w:pStyle w:val="NoSpacing"/>
      </w:pPr>
      <w:bookmarkStart w:id="14" w:name="figure6"/>
      <w:r w:rsidRPr="000F17F6">
        <w:rPr>
          <w:noProof/>
        </w:rPr>
        <w:drawing>
          <wp:inline distT="0" distB="0" distL="0" distR="0" wp14:anchorId="79B627D8" wp14:editId="11439F78">
            <wp:extent cx="1424940" cy="1308100"/>
            <wp:effectExtent l="0" t="0" r="3810" b="6350"/>
            <wp:docPr id="3" name="Picture 3" descr="www.frontiersin.org">
              <a:hlinkClick xmlns:a="http://schemas.openxmlformats.org/drawingml/2006/main" r:id="rId9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6" descr="www.frontiersin.org">
                      <a:hlinkClick r:id="rId98" tgtFrame="&quot;_blank&quot;"/>
                    </pic:cNvPr>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1424940" cy="1308100"/>
                    </a:xfrm>
                    <a:prstGeom prst="rect">
                      <a:avLst/>
                    </a:prstGeom>
                    <a:noFill/>
                    <a:ln>
                      <a:noFill/>
                    </a:ln>
                  </pic:spPr>
                </pic:pic>
              </a:graphicData>
            </a:graphic>
          </wp:inline>
        </w:drawing>
      </w:r>
      <w:bookmarkEnd w:id="14"/>
    </w:p>
    <w:p w14:paraId="6B110869" w14:textId="77777777" w:rsidR="000F17F6" w:rsidRDefault="000F17F6" w:rsidP="00733CE0">
      <w:pPr>
        <w:pStyle w:val="NoSpacing"/>
      </w:pPr>
      <w:r w:rsidRPr="000F17F6">
        <w:rPr>
          <w:b/>
          <w:bCs/>
        </w:rPr>
        <w:t>Figure 6.</w:t>
      </w:r>
      <w:r w:rsidRPr="000F17F6">
        <w:t> Two basic residues in the IL of α2 subunits are important for Gβγ-ethanol mediated effects. </w:t>
      </w:r>
      <w:r w:rsidRPr="000F17F6">
        <w:rPr>
          <w:b/>
          <w:bCs/>
        </w:rPr>
        <w:t>(A)</w:t>
      </w:r>
      <w:r w:rsidRPr="000F17F6">
        <w:t xml:space="preserve"> Representative evoked current traces from heteromeric α2AAβ </w:t>
      </w:r>
      <w:proofErr w:type="spellStart"/>
      <w:r w:rsidRPr="000F17F6">
        <w:t>GlyRs</w:t>
      </w:r>
      <w:proofErr w:type="spellEnd"/>
      <w:r w:rsidRPr="000F17F6">
        <w:t xml:space="preserve"> showing the effects of 100 mM ethanol measured with an EC</w:t>
      </w:r>
      <w:r w:rsidRPr="000F17F6">
        <w:rPr>
          <w:vertAlign w:val="subscript"/>
        </w:rPr>
        <w:t>10</w:t>
      </w:r>
      <w:r w:rsidRPr="000F17F6">
        <w:t xml:space="preserve"> of glycine (20 </w:t>
      </w:r>
      <w:proofErr w:type="spellStart"/>
      <w:r w:rsidRPr="000F17F6">
        <w:t>μM</w:t>
      </w:r>
      <w:proofErr w:type="spellEnd"/>
      <w:r w:rsidRPr="000F17F6">
        <w:t>). </w:t>
      </w:r>
      <w:r w:rsidRPr="000F17F6">
        <w:rPr>
          <w:b/>
          <w:bCs/>
        </w:rPr>
        <w:t>(B)</w:t>
      </w:r>
      <w:r w:rsidRPr="000F17F6">
        <w:t xml:space="preserve"> The graph summarizes the effect of several ethanol concentrations on α2AAβ (half open blue circles) </w:t>
      </w:r>
      <w:proofErr w:type="spellStart"/>
      <w:r w:rsidRPr="000F17F6">
        <w:t>GlyRs</w:t>
      </w:r>
      <w:proofErr w:type="spellEnd"/>
      <w:r w:rsidRPr="000F17F6">
        <w:t xml:space="preserve">. Data showed that ethanol did not potentiate α2AAβ </w:t>
      </w:r>
      <w:proofErr w:type="spellStart"/>
      <w:r w:rsidRPr="000F17F6">
        <w:t>GlyRs</w:t>
      </w:r>
      <w:proofErr w:type="spellEnd"/>
      <w:r w:rsidRPr="000F17F6">
        <w:t xml:space="preserve"> (</w:t>
      </w:r>
      <w:r w:rsidRPr="000F17F6">
        <w:rPr>
          <w:i/>
          <w:iCs/>
        </w:rPr>
        <w:t>n</w:t>
      </w:r>
      <w:r w:rsidRPr="000F17F6">
        <w:t> = 8). </w:t>
      </w:r>
      <w:r w:rsidRPr="000F17F6">
        <w:rPr>
          <w:b/>
          <w:bCs/>
        </w:rPr>
        <w:t>(C)</w:t>
      </w:r>
      <w:r w:rsidRPr="000F17F6">
        <w:t xml:space="preserve"> Bar graph showing the potentiating effect of 100 mM ethanol on the peak amplitude of the glycine-activated current in heteromeric α2β </w:t>
      </w:r>
      <w:proofErr w:type="spellStart"/>
      <w:r w:rsidRPr="000F17F6">
        <w:t>GlyRs</w:t>
      </w:r>
      <w:proofErr w:type="spellEnd"/>
      <w:r w:rsidRPr="000F17F6">
        <w:t xml:space="preserve"> and the introduced mutation in α2 that makes the heteromeric </w:t>
      </w:r>
      <w:proofErr w:type="spellStart"/>
      <w:r w:rsidRPr="000F17F6">
        <w:t>GlyRs</w:t>
      </w:r>
      <w:proofErr w:type="spellEnd"/>
      <w:r w:rsidRPr="000F17F6">
        <w:t xml:space="preserve"> resistant to ethanol. </w:t>
      </w:r>
      <w:r w:rsidRPr="000F17F6">
        <w:rPr>
          <w:b/>
          <w:bCs/>
        </w:rPr>
        <w:t>(D)</w:t>
      </w:r>
      <w:r w:rsidRPr="000F17F6">
        <w:t xml:space="preserve"> Single channel recordings from transfected HEK 293 cells with α2AAβ </w:t>
      </w:r>
      <w:proofErr w:type="spellStart"/>
      <w:r w:rsidRPr="000F17F6">
        <w:t>GlyRs</w:t>
      </w:r>
      <w:proofErr w:type="spellEnd"/>
      <w:r w:rsidRPr="000F17F6">
        <w:t xml:space="preserve"> before and after the application of 10 mM EtOH. </w:t>
      </w:r>
      <w:r w:rsidRPr="000F17F6">
        <w:rPr>
          <w:b/>
          <w:bCs/>
        </w:rPr>
        <w:t>(E)</w:t>
      </w:r>
      <w:r w:rsidRPr="000F17F6">
        <w:t xml:space="preserve"> The bar graph shows the change of open probability (Po) after the application of 10 mM EtOH in heteromeric α2AAβ </w:t>
      </w:r>
      <w:proofErr w:type="spellStart"/>
      <w:r w:rsidRPr="000F17F6">
        <w:t>GlyRs</w:t>
      </w:r>
      <w:proofErr w:type="spellEnd"/>
      <w:r w:rsidRPr="000F17F6">
        <w:t xml:space="preserve">. The values show an increase in Po in heteromeric α2β </w:t>
      </w:r>
      <w:proofErr w:type="spellStart"/>
      <w:r w:rsidRPr="000F17F6">
        <w:t>GlyRs</w:t>
      </w:r>
      <w:proofErr w:type="spellEnd"/>
      <w:r w:rsidRPr="000F17F6">
        <w:t>. This increase was blocked with the AA mutation in the KR residues present in the IL. </w:t>
      </w:r>
      <w:r w:rsidRPr="000F17F6">
        <w:rPr>
          <w:b/>
          <w:bCs/>
        </w:rPr>
        <w:t>(</w:t>
      </w:r>
      <w:proofErr w:type="gramStart"/>
      <w:r w:rsidRPr="000F17F6">
        <w:rPr>
          <w:b/>
          <w:bCs/>
        </w:rPr>
        <w:t>F,G</w:t>
      </w:r>
      <w:proofErr w:type="gramEnd"/>
      <w:r w:rsidRPr="000F17F6">
        <w:rPr>
          <w:b/>
          <w:bCs/>
        </w:rPr>
        <w:t>)</w:t>
      </w:r>
      <w:r w:rsidRPr="000F17F6">
        <w:t> Representative evoked current traces from α2AAβ showing the effects of G-protein activation by intracellular dialysis of GTP-γ-S (0.2 mM) for 15 min. The time course graph summarizes the effects of G-protein activation by GTP-γ-S in α2AAβ (half open blue circles). </w:t>
      </w:r>
      <w:r w:rsidRPr="000F17F6">
        <w:rPr>
          <w:b/>
          <w:bCs/>
        </w:rPr>
        <w:t>(H)</w:t>
      </w:r>
      <w:r w:rsidRPr="000F17F6">
        <w:t xml:space="preserve"> Bar graph summarizes the effects of G-protein activation after 15 min showing the potentiation of the glycine evoked current in α2β </w:t>
      </w:r>
      <w:proofErr w:type="spellStart"/>
      <w:r w:rsidRPr="000F17F6">
        <w:t>GlyRs</w:t>
      </w:r>
      <w:proofErr w:type="spellEnd"/>
      <w:r w:rsidRPr="000F17F6">
        <w:t>. Data are mean ± SEM. **</w:t>
      </w:r>
      <w:r w:rsidRPr="000F17F6">
        <w:rPr>
          <w:i/>
          <w:iCs/>
        </w:rPr>
        <w:t>p</w:t>
      </w:r>
      <w:r w:rsidRPr="000F17F6">
        <w:t> &lt; 0.01, ***</w:t>
      </w:r>
      <w:r w:rsidRPr="000F17F6">
        <w:rPr>
          <w:i/>
          <w:iCs/>
        </w:rPr>
        <w:t>p</w:t>
      </w:r>
      <w:r w:rsidRPr="000F17F6">
        <w:t xml:space="preserve"> &lt; 0.001, ns, </w:t>
      </w:r>
      <w:proofErr w:type="spellStart"/>
      <w:proofErr w:type="gramStart"/>
      <w:r w:rsidRPr="000F17F6">
        <w:t>non significant</w:t>
      </w:r>
      <w:proofErr w:type="spellEnd"/>
      <w:proofErr w:type="gramEnd"/>
      <w:r w:rsidRPr="000F17F6">
        <w:t>. Unpaired Student’s </w:t>
      </w:r>
      <w:r w:rsidRPr="000F17F6">
        <w:rPr>
          <w:i/>
          <w:iCs/>
        </w:rPr>
        <w:t>t</w:t>
      </w:r>
      <w:r w:rsidRPr="000F17F6">
        <w:t>-test with Welch’s correction </w:t>
      </w:r>
      <w:r w:rsidRPr="000F17F6">
        <w:rPr>
          <w:b/>
          <w:bCs/>
        </w:rPr>
        <w:t>(C)</w:t>
      </w:r>
      <w:r w:rsidRPr="000F17F6">
        <w:t>, Unpaired Student’s </w:t>
      </w:r>
      <w:r w:rsidRPr="000F17F6">
        <w:rPr>
          <w:i/>
          <w:iCs/>
        </w:rPr>
        <w:t>t</w:t>
      </w:r>
      <w:r w:rsidRPr="000F17F6">
        <w:t>-test </w:t>
      </w:r>
      <w:r w:rsidRPr="000F17F6">
        <w:rPr>
          <w:b/>
          <w:bCs/>
        </w:rPr>
        <w:t>(</w:t>
      </w:r>
      <w:proofErr w:type="gramStart"/>
      <w:r w:rsidRPr="000F17F6">
        <w:rPr>
          <w:b/>
          <w:bCs/>
        </w:rPr>
        <w:t>E,H</w:t>
      </w:r>
      <w:proofErr w:type="gramEnd"/>
      <w:r w:rsidRPr="000F17F6">
        <w:rPr>
          <w:b/>
          <w:bCs/>
        </w:rPr>
        <w:t>)</w:t>
      </w:r>
      <w:r w:rsidRPr="000F17F6">
        <w:t>.</w:t>
      </w:r>
    </w:p>
    <w:p w14:paraId="35D2500A" w14:textId="77777777" w:rsidR="00733CE0" w:rsidRPr="000F17F6" w:rsidRDefault="00733CE0" w:rsidP="000F17F6"/>
    <w:p w14:paraId="077C846E" w14:textId="77777777" w:rsidR="000F17F6" w:rsidRPr="000F17F6" w:rsidRDefault="000F17F6" w:rsidP="00733CE0">
      <w:pPr>
        <w:pStyle w:val="Heading2"/>
      </w:pPr>
      <w:r w:rsidRPr="000F17F6">
        <w:t>Beta Subunits Affect the Pharmacology of α2 Glycine Receptors to Positive Allosteric Modulators</w:t>
      </w:r>
    </w:p>
    <w:p w14:paraId="4EF1332C" w14:textId="77777777" w:rsidR="000F17F6" w:rsidRPr="000F17F6" w:rsidRDefault="000F17F6" w:rsidP="000F17F6">
      <w:r w:rsidRPr="000F17F6">
        <w:t>Several studies have reported different molecular sites in transmembrane 2 and 3 (TM2 and TM3) within the α1 subunit that are important for the actions of ethanol and other allosteric modulators (</w:t>
      </w:r>
      <w:proofErr w:type="spellStart"/>
      <w:r w:rsidR="0036006D">
        <w:fldChar w:fldCharType="begin"/>
      </w:r>
      <w:r w:rsidR="0036006D">
        <w:instrText xml:space="preserve"> HYPER</w:instrText>
      </w:r>
      <w:r w:rsidR="0036006D">
        <w:instrText xml:space="preserve">LINK "https://www.frontiersin.org/articles/10.3389/fnmol.2021.763868/full" \l "B27" </w:instrText>
      </w:r>
      <w:r w:rsidR="0036006D">
        <w:fldChar w:fldCharType="separate"/>
      </w:r>
      <w:r w:rsidRPr="000F17F6">
        <w:rPr>
          <w:rStyle w:val="Hyperlink"/>
        </w:rPr>
        <w:t>Mascia</w:t>
      </w:r>
      <w:proofErr w:type="spellEnd"/>
      <w:r w:rsidRPr="000F17F6">
        <w:rPr>
          <w:rStyle w:val="Hyperlink"/>
        </w:rPr>
        <w:t xml:space="preserve"> et al., 1996</w:t>
      </w:r>
      <w:r w:rsidR="0036006D">
        <w:rPr>
          <w:rStyle w:val="Hyperlink"/>
        </w:rPr>
        <w:fldChar w:fldCharType="end"/>
      </w:r>
      <w:r w:rsidRPr="000F17F6">
        <w:t>, </w:t>
      </w:r>
      <w:hyperlink r:id="rId100" w:anchor="B28" w:history="1">
        <w:r w:rsidRPr="000F17F6">
          <w:rPr>
            <w:rStyle w:val="Hyperlink"/>
          </w:rPr>
          <w:t>2000</w:t>
        </w:r>
      </w:hyperlink>
      <w:r w:rsidRPr="000F17F6">
        <w:t>; </w:t>
      </w:r>
      <w:proofErr w:type="spellStart"/>
      <w:r w:rsidR="0036006D">
        <w:fldChar w:fldCharType="begin"/>
      </w:r>
      <w:r w:rsidR="0036006D">
        <w:instrText xml:space="preserve"> HYPERLINK "https://www.frontiersin.org/articles/</w:instrText>
      </w:r>
      <w:r w:rsidR="0036006D">
        <w:instrText xml:space="preserve">10.3389/fnmol.2021.763868/full" \l "B31" </w:instrText>
      </w:r>
      <w:r w:rsidR="0036006D">
        <w:fldChar w:fldCharType="separate"/>
      </w:r>
      <w:r w:rsidRPr="000F17F6">
        <w:rPr>
          <w:rStyle w:val="Hyperlink"/>
        </w:rPr>
        <w:t>Mihic</w:t>
      </w:r>
      <w:proofErr w:type="spellEnd"/>
      <w:r w:rsidRPr="000F17F6">
        <w:rPr>
          <w:rStyle w:val="Hyperlink"/>
        </w:rPr>
        <w:t xml:space="preserve"> et al., 1997</w:t>
      </w:r>
      <w:r w:rsidR="0036006D">
        <w:rPr>
          <w:rStyle w:val="Hyperlink"/>
        </w:rPr>
        <w:fldChar w:fldCharType="end"/>
      </w:r>
      <w:r w:rsidRPr="000F17F6">
        <w:t>; </w:t>
      </w:r>
      <w:hyperlink r:id="rId101" w:anchor="B25" w:history="1">
        <w:r w:rsidRPr="000F17F6">
          <w:rPr>
            <w:rStyle w:val="Hyperlink"/>
          </w:rPr>
          <w:t>Lobo et al., 2004</w:t>
        </w:r>
      </w:hyperlink>
      <w:r w:rsidRPr="000F17F6">
        <w:t>; </w:t>
      </w:r>
      <w:hyperlink r:id="rId102" w:anchor="B8" w:history="1">
        <w:r w:rsidRPr="000F17F6">
          <w:rPr>
            <w:rStyle w:val="Hyperlink"/>
          </w:rPr>
          <w:t>Borghese et al., 2012</w:t>
        </w:r>
      </w:hyperlink>
      <w:r w:rsidRPr="000F17F6">
        <w:t xml:space="preserve">). Furthermore, several PAMs differentially affect homomeric α1 and α2 </w:t>
      </w:r>
      <w:proofErr w:type="spellStart"/>
      <w:r w:rsidRPr="000F17F6">
        <w:t>GlyRs</w:t>
      </w:r>
      <w:proofErr w:type="spellEnd"/>
      <w:r w:rsidRPr="000F17F6">
        <w:t xml:space="preserve"> (</w:t>
      </w:r>
      <w:proofErr w:type="spellStart"/>
      <w:r w:rsidR="0036006D">
        <w:fldChar w:fldCharType="begin"/>
      </w:r>
      <w:r w:rsidR="0036006D">
        <w:instrText xml:space="preserve"> HYPERLINK "https://www.frontiersin.org/articles/10.3389/fnmol.2021.763868/full" \l "B48" </w:instrText>
      </w:r>
      <w:r w:rsidR="0036006D">
        <w:fldChar w:fldCharType="separate"/>
      </w:r>
      <w:r w:rsidRPr="000F17F6">
        <w:rPr>
          <w:rStyle w:val="Hyperlink"/>
        </w:rPr>
        <w:t>Yevenes</w:t>
      </w:r>
      <w:proofErr w:type="spellEnd"/>
      <w:r w:rsidRPr="000F17F6">
        <w:rPr>
          <w:rStyle w:val="Hyperlink"/>
        </w:rPr>
        <w:t xml:space="preserve"> and </w:t>
      </w:r>
      <w:proofErr w:type="spellStart"/>
      <w:r w:rsidRPr="000F17F6">
        <w:rPr>
          <w:rStyle w:val="Hyperlink"/>
        </w:rPr>
        <w:t>Zeilhofer</w:t>
      </w:r>
      <w:proofErr w:type="spellEnd"/>
      <w:r w:rsidRPr="000F17F6">
        <w:rPr>
          <w:rStyle w:val="Hyperlink"/>
        </w:rPr>
        <w:t>, 2011b</w:t>
      </w:r>
      <w:r w:rsidR="0036006D">
        <w:rPr>
          <w:rStyle w:val="Hyperlink"/>
        </w:rPr>
        <w:fldChar w:fldCharType="end"/>
      </w:r>
      <w:r w:rsidRPr="000F17F6">
        <w:t xml:space="preserve">). Therefore, we wanted to characterize whether the incorporation of the β subunit affected the modulation to some typical PAMs in α2 </w:t>
      </w:r>
      <w:proofErr w:type="spellStart"/>
      <w:r w:rsidRPr="000F17F6">
        <w:t>GlyRs</w:t>
      </w:r>
      <w:proofErr w:type="spellEnd"/>
      <w:r w:rsidRPr="000F17F6">
        <w:t xml:space="preserve">. The data show that α2 homomeric </w:t>
      </w:r>
      <w:proofErr w:type="spellStart"/>
      <w:r w:rsidRPr="000F17F6">
        <w:t>GlyRs</w:t>
      </w:r>
      <w:proofErr w:type="spellEnd"/>
      <w:r w:rsidRPr="000F17F6">
        <w:t xml:space="preserve"> are inhibited by the applications of Zn</w:t>
      </w:r>
      <w:r w:rsidRPr="000F17F6">
        <w:rPr>
          <w:vertAlign w:val="superscript"/>
        </w:rPr>
        <w:t>2+</w:t>
      </w:r>
      <w:r w:rsidRPr="000F17F6">
        <w:t xml:space="preserve">, isoflurane, and </w:t>
      </w:r>
      <w:proofErr w:type="spellStart"/>
      <w:r w:rsidRPr="000F17F6">
        <w:t>trichloroethanol</w:t>
      </w:r>
      <w:proofErr w:type="spellEnd"/>
      <w:r w:rsidRPr="000F17F6">
        <w:t xml:space="preserve"> (</w:t>
      </w:r>
      <w:hyperlink r:id="rId103" w:anchor="F7" w:history="1">
        <w:r w:rsidRPr="000F17F6">
          <w:rPr>
            <w:rStyle w:val="Hyperlink"/>
          </w:rPr>
          <w:t>Figures 7A,B</w:t>
        </w:r>
      </w:hyperlink>
      <w:r w:rsidRPr="000F17F6">
        <w:t xml:space="preserve">). The data also show that the β subunit causes a reversal from inhibition to potentiation of the α2β complexes in presence of </w:t>
      </w:r>
      <w:proofErr w:type="spellStart"/>
      <w:r w:rsidRPr="000F17F6">
        <w:t>trichloroethanol</w:t>
      </w:r>
      <w:proofErr w:type="spellEnd"/>
      <w:r w:rsidRPr="000F17F6">
        <w:t xml:space="preserve"> (α2: −29 ± 5% vs. α2β: 60 ± 24%; </w:t>
      </w:r>
      <w:r w:rsidRPr="000F17F6">
        <w:rPr>
          <w:i/>
          <w:iCs/>
        </w:rPr>
        <w:t>p</w:t>
      </w:r>
      <w:r w:rsidRPr="000F17F6">
        <w:t> = 0.0005, t21 = 4.152, </w:t>
      </w:r>
      <w:r w:rsidRPr="000F17F6">
        <w:rPr>
          <w:i/>
          <w:iCs/>
        </w:rPr>
        <w:t>n</w:t>
      </w:r>
      <w:r w:rsidRPr="000F17F6">
        <w:t> = 13 α2, and </w:t>
      </w:r>
      <w:r w:rsidRPr="000F17F6">
        <w:rPr>
          <w:i/>
          <w:iCs/>
        </w:rPr>
        <w:t>n</w:t>
      </w:r>
      <w:r w:rsidRPr="000F17F6">
        <w:t> = 10 α2β, </w:t>
      </w:r>
      <w:hyperlink r:id="rId104" w:anchor="F7" w:history="1">
        <w:r w:rsidRPr="000F17F6">
          <w:rPr>
            <w:rStyle w:val="Hyperlink"/>
          </w:rPr>
          <w:t>Figures 7A,B</w:t>
        </w:r>
      </w:hyperlink>
      <w:r w:rsidRPr="000F17F6">
        <w:t>) and Zn</w:t>
      </w:r>
      <w:r w:rsidRPr="000F17F6">
        <w:rPr>
          <w:vertAlign w:val="superscript"/>
        </w:rPr>
        <w:t>2+</w:t>
      </w:r>
      <w:r w:rsidRPr="000F17F6">
        <w:t> (α2: −10 ± 13% vs. α2β: 44 ± 17%; </w:t>
      </w:r>
      <w:r w:rsidRPr="000F17F6">
        <w:rPr>
          <w:i/>
          <w:iCs/>
        </w:rPr>
        <w:t>p</w:t>
      </w:r>
      <w:r w:rsidRPr="000F17F6">
        <w:t> = 0.0151, t21 = 2.647, </w:t>
      </w:r>
      <w:r w:rsidRPr="000F17F6">
        <w:rPr>
          <w:i/>
          <w:iCs/>
        </w:rPr>
        <w:t>n</w:t>
      </w:r>
      <w:r w:rsidRPr="000F17F6">
        <w:t> = 13 α2, and </w:t>
      </w:r>
      <w:r w:rsidRPr="000F17F6">
        <w:rPr>
          <w:i/>
          <w:iCs/>
        </w:rPr>
        <w:t>n</w:t>
      </w:r>
      <w:r w:rsidRPr="000F17F6">
        <w:t> = 10 α2β, </w:t>
      </w:r>
      <w:hyperlink r:id="rId105" w:anchor="F7" w:history="1">
        <w:r w:rsidRPr="000F17F6">
          <w:rPr>
            <w:rStyle w:val="Hyperlink"/>
          </w:rPr>
          <w:t>Figures 7A,B</w:t>
        </w:r>
      </w:hyperlink>
      <w:r w:rsidRPr="000F17F6">
        <w:t xml:space="preserve">). The finding that isoflurane was unable to produce a potentiating action in α2 and α2β supports the notion that α2 containing </w:t>
      </w:r>
      <w:proofErr w:type="spellStart"/>
      <w:r w:rsidRPr="000F17F6">
        <w:t>GlyRs</w:t>
      </w:r>
      <w:proofErr w:type="spellEnd"/>
      <w:r w:rsidRPr="000F17F6">
        <w:t xml:space="preserve"> are not molecular targets for this PAM (α2: −24 ± 9% vs. α2β: 0 ± 10%; </w:t>
      </w:r>
      <w:r w:rsidRPr="000F17F6">
        <w:rPr>
          <w:i/>
          <w:iCs/>
        </w:rPr>
        <w:t>p</w:t>
      </w:r>
      <w:r w:rsidRPr="000F17F6">
        <w:t> = 0.0879, t20 = 1.794, </w:t>
      </w:r>
      <w:r w:rsidRPr="000F17F6">
        <w:rPr>
          <w:i/>
          <w:iCs/>
        </w:rPr>
        <w:t>n</w:t>
      </w:r>
      <w:r w:rsidRPr="000F17F6">
        <w:t> = 13 α2, and </w:t>
      </w:r>
      <w:r w:rsidRPr="000F17F6">
        <w:rPr>
          <w:i/>
          <w:iCs/>
        </w:rPr>
        <w:t>n</w:t>
      </w:r>
      <w:r w:rsidRPr="000F17F6">
        <w:t> = 9 α2β, </w:t>
      </w:r>
      <w:hyperlink r:id="rId106" w:anchor="F7" w:history="1">
        <w:r w:rsidRPr="000F17F6">
          <w:rPr>
            <w:rStyle w:val="Hyperlink"/>
          </w:rPr>
          <w:t>Figures 7A,B</w:t>
        </w:r>
      </w:hyperlink>
      <w:r w:rsidRPr="000F17F6">
        <w:t xml:space="preserve">). Another classical PAM is propofol, which has been shown to potentiate α1-mediated </w:t>
      </w:r>
      <w:proofErr w:type="spellStart"/>
      <w:r w:rsidRPr="000F17F6">
        <w:t>GlyRs</w:t>
      </w:r>
      <w:proofErr w:type="spellEnd"/>
      <w:r w:rsidRPr="000F17F6">
        <w:t xml:space="preserve"> currents (</w:t>
      </w:r>
      <w:hyperlink r:id="rId107" w:anchor="B33" w:history="1">
        <w:r w:rsidRPr="000F17F6">
          <w:rPr>
            <w:rStyle w:val="Hyperlink"/>
          </w:rPr>
          <w:t>Moraga-Cid et al., 2011</w:t>
        </w:r>
      </w:hyperlink>
      <w:r w:rsidRPr="000F17F6">
        <w:t xml:space="preserve">) and to modulate glycinergic synaptic transmission in medium spiny neurons (MSNs) in the </w:t>
      </w:r>
      <w:proofErr w:type="spellStart"/>
      <w:r w:rsidRPr="000F17F6">
        <w:t>nAc</w:t>
      </w:r>
      <w:proofErr w:type="spellEnd"/>
      <w:r w:rsidRPr="000F17F6">
        <w:t xml:space="preserve"> (</w:t>
      </w:r>
      <w:hyperlink r:id="rId108" w:anchor="B35" w:history="1">
        <w:r w:rsidRPr="000F17F6">
          <w:rPr>
            <w:rStyle w:val="Hyperlink"/>
          </w:rPr>
          <w:t>Munoz et al., 2018</w:t>
        </w:r>
      </w:hyperlink>
      <w:r w:rsidRPr="000F17F6">
        <w:t xml:space="preserve">). In addition, a single phenylalanine residue (F380 in IL) was found to be critical on this effect in α1 </w:t>
      </w:r>
      <w:proofErr w:type="spellStart"/>
      <w:r w:rsidRPr="000F17F6">
        <w:t>GlyRs</w:t>
      </w:r>
      <w:proofErr w:type="spellEnd"/>
      <w:r w:rsidRPr="000F17F6">
        <w:t xml:space="preserve"> (</w:t>
      </w:r>
      <w:hyperlink r:id="rId109" w:anchor="B33" w:history="1">
        <w:r w:rsidRPr="000F17F6">
          <w:rPr>
            <w:rStyle w:val="Hyperlink"/>
          </w:rPr>
          <w:t>Moraga-Cid et al., 2011</w:t>
        </w:r>
      </w:hyperlink>
      <w:r w:rsidRPr="000F17F6">
        <w:t xml:space="preserve">). Our data show that α2 homomeric </w:t>
      </w:r>
      <w:proofErr w:type="spellStart"/>
      <w:r w:rsidRPr="000F17F6">
        <w:t>GlyRs</w:t>
      </w:r>
      <w:proofErr w:type="spellEnd"/>
      <w:r w:rsidRPr="000F17F6">
        <w:t xml:space="preserve"> were potentiated to a small extent by propofol (30 ± 7% of control) </w:t>
      </w:r>
      <w:r w:rsidRPr="000F17F6">
        <w:lastRenderedPageBreak/>
        <w:t>(</w:t>
      </w:r>
      <w:hyperlink r:id="rId110" w:anchor="F7" w:history="1">
        <w:r w:rsidRPr="000F17F6">
          <w:rPr>
            <w:rStyle w:val="Hyperlink"/>
          </w:rPr>
          <w:t>Figure 7D</w:t>
        </w:r>
      </w:hyperlink>
      <w:r w:rsidRPr="000F17F6">
        <w:t> and </w:t>
      </w:r>
      <w:hyperlink r:id="rId111" w:anchor="T1" w:history="1">
        <w:r w:rsidRPr="000F17F6">
          <w:rPr>
            <w:rStyle w:val="Hyperlink"/>
          </w:rPr>
          <w:t>Table 1</w:t>
        </w:r>
      </w:hyperlink>
      <w:r w:rsidRPr="000F17F6">
        <w:t xml:space="preserve">), whereas both α2β naive and its mutant version (α2AA) were significantly potentiated by the modulator as compared to α2 </w:t>
      </w:r>
      <w:proofErr w:type="spellStart"/>
      <w:r w:rsidRPr="000F17F6">
        <w:t>GlyRs</w:t>
      </w:r>
      <w:proofErr w:type="spellEnd"/>
      <w:r w:rsidRPr="000F17F6">
        <w:t xml:space="preserve"> (α2β: 210 ± 50%, α2AAβ: 306 ± 58%; α2 vs. α2β, </w:t>
      </w:r>
      <w:r w:rsidRPr="000F17F6">
        <w:rPr>
          <w:i/>
          <w:iCs/>
        </w:rPr>
        <w:t>p</w:t>
      </w:r>
      <w:r w:rsidRPr="000F17F6">
        <w:t> &lt; 0.0001, t11 = 9.613, </w:t>
      </w:r>
      <w:r w:rsidRPr="000F17F6">
        <w:rPr>
          <w:i/>
          <w:iCs/>
        </w:rPr>
        <w:t>n</w:t>
      </w:r>
      <w:r w:rsidRPr="000F17F6">
        <w:t> = 6 α2 and </w:t>
      </w:r>
      <w:r w:rsidRPr="000F17F6">
        <w:rPr>
          <w:i/>
          <w:iCs/>
        </w:rPr>
        <w:t>n</w:t>
      </w:r>
      <w:r w:rsidRPr="000F17F6">
        <w:t> = 7 α2β, α2 vs. α2AAβ, </w:t>
      </w:r>
      <w:r w:rsidRPr="000F17F6">
        <w:rPr>
          <w:i/>
          <w:iCs/>
        </w:rPr>
        <w:t>p</w:t>
      </w:r>
      <w:r w:rsidRPr="000F17F6">
        <w:t> = 0.0009, t12 = 4.094, </w:t>
      </w:r>
      <w:r w:rsidRPr="000F17F6">
        <w:rPr>
          <w:i/>
          <w:iCs/>
        </w:rPr>
        <w:t>n</w:t>
      </w:r>
      <w:r w:rsidRPr="000F17F6">
        <w:t> = 8 α2AAβ, </w:t>
      </w:r>
      <w:hyperlink r:id="rId112" w:anchor="F7" w:history="1">
        <w:r w:rsidRPr="000F17F6">
          <w:rPr>
            <w:rStyle w:val="Hyperlink"/>
          </w:rPr>
          <w:t>Figures 7C,D</w:t>
        </w:r>
      </w:hyperlink>
      <w:r w:rsidRPr="000F17F6">
        <w:t> and </w:t>
      </w:r>
      <w:hyperlink r:id="rId113" w:anchor="T1" w:history="1">
        <w:r w:rsidRPr="000F17F6">
          <w:rPr>
            <w:rStyle w:val="Hyperlink"/>
          </w:rPr>
          <w:t>Table 1</w:t>
        </w:r>
      </w:hyperlink>
      <w:r w:rsidRPr="000F17F6">
        <w:t>). Thus, the data suggest that the β subunit can exert critical sensitivity to several PAMs in an α2 expressing channel.</w:t>
      </w:r>
    </w:p>
    <w:p w14:paraId="6EA5ECD9" w14:textId="5A26494E" w:rsidR="000F17F6" w:rsidRPr="000F17F6" w:rsidRDefault="000F17F6" w:rsidP="00733CE0">
      <w:pPr>
        <w:pStyle w:val="NoSpacing"/>
      </w:pPr>
      <w:bookmarkStart w:id="15" w:name="figure7"/>
      <w:r w:rsidRPr="000F17F6">
        <w:rPr>
          <w:noProof/>
        </w:rPr>
        <w:drawing>
          <wp:inline distT="0" distB="0" distL="0" distR="0" wp14:anchorId="5C23885C" wp14:editId="24BF4E29">
            <wp:extent cx="1424940" cy="1084580"/>
            <wp:effectExtent l="0" t="0" r="3810" b="1270"/>
            <wp:docPr id="2" name="Picture 2" descr="www.frontiersin.org">
              <a:hlinkClick xmlns:a="http://schemas.openxmlformats.org/drawingml/2006/main" r:id="rId11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7" descr="www.frontiersin.org">
                      <a:hlinkClick r:id="rId114" tgtFrame="&quot;_blank&quot;"/>
                    </pic:cNvPr>
                    <pic:cNvPicPr>
                      <a:picLocks noChangeAspect="1" noChangeArrowheads="1"/>
                    </pic:cNvPicPr>
                  </pic:nvPicPr>
                  <pic:blipFill>
                    <a:blip r:embed="rId115">
                      <a:extLst>
                        <a:ext uri="{28A0092B-C50C-407E-A947-70E740481C1C}">
                          <a14:useLocalDpi xmlns:a14="http://schemas.microsoft.com/office/drawing/2010/main" val="0"/>
                        </a:ext>
                      </a:extLst>
                    </a:blip>
                    <a:srcRect/>
                    <a:stretch>
                      <a:fillRect/>
                    </a:stretch>
                  </pic:blipFill>
                  <pic:spPr bwMode="auto">
                    <a:xfrm>
                      <a:off x="0" y="0"/>
                      <a:ext cx="1424940" cy="1084580"/>
                    </a:xfrm>
                    <a:prstGeom prst="rect">
                      <a:avLst/>
                    </a:prstGeom>
                    <a:noFill/>
                    <a:ln>
                      <a:noFill/>
                    </a:ln>
                  </pic:spPr>
                </pic:pic>
              </a:graphicData>
            </a:graphic>
          </wp:inline>
        </w:drawing>
      </w:r>
      <w:bookmarkEnd w:id="15"/>
    </w:p>
    <w:p w14:paraId="6E7C375E" w14:textId="77777777" w:rsidR="000F17F6" w:rsidRDefault="000F17F6" w:rsidP="00733CE0">
      <w:pPr>
        <w:pStyle w:val="NoSpacing"/>
      </w:pPr>
      <w:r w:rsidRPr="000F17F6">
        <w:rPr>
          <w:b/>
          <w:bCs/>
        </w:rPr>
        <w:t>Figure 7.</w:t>
      </w:r>
      <w:r w:rsidRPr="000F17F6">
        <w:t xml:space="preserve"> The β subunit confers α1-like pharmacological properties to α2β </w:t>
      </w:r>
      <w:proofErr w:type="spellStart"/>
      <w:r w:rsidRPr="000F17F6">
        <w:t>GlyRs</w:t>
      </w:r>
      <w:proofErr w:type="spellEnd"/>
      <w:r w:rsidRPr="000F17F6">
        <w:t xml:space="preserve"> regarding several positive allosteric modulators (PAMs). </w:t>
      </w:r>
      <w:r w:rsidRPr="000F17F6">
        <w:rPr>
          <w:b/>
          <w:bCs/>
        </w:rPr>
        <w:t>(A)</w:t>
      </w:r>
      <w:r w:rsidRPr="000F17F6">
        <w:t xml:space="preserve"> Representative traces of glycine evoked currents in the presence of Zinc (1 </w:t>
      </w:r>
      <w:proofErr w:type="spellStart"/>
      <w:r w:rsidRPr="000F17F6">
        <w:t>μM</w:t>
      </w:r>
      <w:proofErr w:type="spellEnd"/>
      <w:r w:rsidRPr="000F17F6">
        <w:t xml:space="preserve">), isoflurane (500 </w:t>
      </w:r>
      <w:proofErr w:type="spellStart"/>
      <w:r w:rsidRPr="000F17F6">
        <w:t>μM</w:t>
      </w:r>
      <w:proofErr w:type="spellEnd"/>
      <w:r w:rsidRPr="000F17F6">
        <w:t xml:space="preserve">), and </w:t>
      </w:r>
      <w:proofErr w:type="spellStart"/>
      <w:r w:rsidRPr="000F17F6">
        <w:t>trichloroethanol</w:t>
      </w:r>
      <w:proofErr w:type="spellEnd"/>
      <w:r w:rsidRPr="000F17F6">
        <w:t xml:space="preserve"> (3 mM) on HEK 293 cells expressing α2 and α2β </w:t>
      </w:r>
      <w:proofErr w:type="spellStart"/>
      <w:r w:rsidRPr="000F17F6">
        <w:t>GlyRs</w:t>
      </w:r>
      <w:proofErr w:type="spellEnd"/>
      <w:r w:rsidRPr="000F17F6">
        <w:t>. </w:t>
      </w:r>
      <w:r w:rsidRPr="000F17F6">
        <w:rPr>
          <w:b/>
          <w:bCs/>
        </w:rPr>
        <w:t>(B)</w:t>
      </w:r>
      <w:r w:rsidRPr="000F17F6">
        <w:t xml:space="preserve"> The bar graphs show the effects of co-expressing the β subunit on the sensitivity to Zinc and </w:t>
      </w:r>
      <w:proofErr w:type="spellStart"/>
      <w:r w:rsidRPr="000F17F6">
        <w:t>TClEt</w:t>
      </w:r>
      <w:proofErr w:type="spellEnd"/>
      <w:r w:rsidRPr="000F17F6">
        <w:t>. No significant effect was found with isoflurane. </w:t>
      </w:r>
      <w:r w:rsidRPr="000F17F6">
        <w:rPr>
          <w:b/>
          <w:bCs/>
        </w:rPr>
        <w:t>(C)</w:t>
      </w:r>
      <w:r w:rsidRPr="000F17F6">
        <w:t xml:space="preserve"> Glycine evoked current traces in transfected HEK 293 cells with α2β and α2AAβ </w:t>
      </w:r>
      <w:proofErr w:type="spellStart"/>
      <w:r w:rsidRPr="000F17F6">
        <w:t>GlyRs</w:t>
      </w:r>
      <w:proofErr w:type="spellEnd"/>
      <w:r w:rsidRPr="000F17F6">
        <w:t xml:space="preserve"> before and after 30 </w:t>
      </w:r>
      <w:proofErr w:type="spellStart"/>
      <w:r w:rsidRPr="000F17F6">
        <w:t>μM</w:t>
      </w:r>
      <w:proofErr w:type="spellEnd"/>
      <w:r w:rsidRPr="000F17F6">
        <w:t xml:space="preserve"> propofol application. </w:t>
      </w:r>
      <w:r w:rsidRPr="000F17F6">
        <w:rPr>
          <w:b/>
          <w:bCs/>
        </w:rPr>
        <w:t>(D)</w:t>
      </w:r>
      <w:r w:rsidRPr="000F17F6">
        <w:t xml:space="preserve"> The β subunit confers sensitivity to propofol in α2β and α2AAβ expressing </w:t>
      </w:r>
      <w:proofErr w:type="spellStart"/>
      <w:r w:rsidRPr="000F17F6">
        <w:t>GlyRs</w:t>
      </w:r>
      <w:proofErr w:type="spellEnd"/>
      <w:r w:rsidRPr="000F17F6">
        <w:t>. Data are mean ± SEM. *</w:t>
      </w:r>
      <w:r w:rsidRPr="000F17F6">
        <w:rPr>
          <w:i/>
          <w:iCs/>
        </w:rPr>
        <w:t>p</w:t>
      </w:r>
      <w:r w:rsidRPr="000F17F6">
        <w:t> &lt; 0.05, ***</w:t>
      </w:r>
      <w:r w:rsidRPr="000F17F6">
        <w:rPr>
          <w:i/>
          <w:iCs/>
        </w:rPr>
        <w:t>p</w:t>
      </w:r>
      <w:r w:rsidRPr="000F17F6">
        <w:t> &lt; 0.001. Unpaired Student’s </w:t>
      </w:r>
      <w:r w:rsidRPr="000F17F6">
        <w:rPr>
          <w:i/>
          <w:iCs/>
        </w:rPr>
        <w:t>t</w:t>
      </w:r>
      <w:r w:rsidRPr="000F17F6">
        <w:t>-test.</w:t>
      </w:r>
    </w:p>
    <w:p w14:paraId="46E38614" w14:textId="77777777" w:rsidR="00733CE0" w:rsidRPr="000F17F6" w:rsidRDefault="00733CE0" w:rsidP="000F17F6"/>
    <w:p w14:paraId="2E64F8C7" w14:textId="77777777" w:rsidR="000F17F6" w:rsidRPr="000F17F6" w:rsidRDefault="000F17F6" w:rsidP="00733CE0">
      <w:pPr>
        <w:pStyle w:val="Heading1"/>
      </w:pPr>
      <w:bookmarkStart w:id="16" w:name="h5"/>
      <w:bookmarkEnd w:id="16"/>
      <w:r w:rsidRPr="000F17F6">
        <w:t>Discussion</w:t>
      </w:r>
    </w:p>
    <w:p w14:paraId="72A8A5DC" w14:textId="77777777" w:rsidR="000F17F6" w:rsidRPr="000F17F6" w:rsidRDefault="000F17F6" w:rsidP="00290A27">
      <w:pPr>
        <w:pStyle w:val="Heading2"/>
      </w:pPr>
      <w:r w:rsidRPr="000F17F6">
        <w:t>A New Modulatory Role for β Subunits in the Function of Glycine Receptors</w:t>
      </w:r>
    </w:p>
    <w:p w14:paraId="4AEFD245" w14:textId="77777777" w:rsidR="000F17F6" w:rsidRPr="000F17F6" w:rsidRDefault="000F17F6" w:rsidP="000F17F6">
      <w:r w:rsidRPr="000F17F6">
        <w:t xml:space="preserve">The present study provides new information about a previously unrecognized role of the β subunit in the allosteric modulation of </w:t>
      </w:r>
      <w:proofErr w:type="spellStart"/>
      <w:r w:rsidRPr="000F17F6">
        <w:t>GlyRs</w:t>
      </w:r>
      <w:proofErr w:type="spellEnd"/>
      <w:r w:rsidRPr="000F17F6">
        <w:t xml:space="preserve"> by an important group of depressants, i.e., ethanol and general anesthetics. Additionally, it provides evidence for the critical role of basic residues present in the IL of the α2 subunit on its functional modulation by Gβγ and ethanol. Furthermore, the present data support the conclusion that </w:t>
      </w:r>
      <w:proofErr w:type="spellStart"/>
      <w:r w:rsidRPr="000F17F6">
        <w:t>GlyRs</w:t>
      </w:r>
      <w:proofErr w:type="spellEnd"/>
      <w:r w:rsidRPr="000F17F6">
        <w:t xml:space="preserve"> expressing α2β are one of the most sensitive brain targets for ethanol allosteric modulation.</w:t>
      </w:r>
    </w:p>
    <w:p w14:paraId="6D6289E3" w14:textId="77777777" w:rsidR="000F17F6" w:rsidRPr="000F17F6" w:rsidRDefault="000F17F6" w:rsidP="000F17F6">
      <w:r w:rsidRPr="000F17F6">
        <w:t xml:space="preserve">Classically, the β subunit of </w:t>
      </w:r>
      <w:proofErr w:type="spellStart"/>
      <w:r w:rsidRPr="000F17F6">
        <w:t>GlyRs</w:t>
      </w:r>
      <w:proofErr w:type="spellEnd"/>
      <w:r w:rsidRPr="000F17F6">
        <w:t xml:space="preserve"> has been widely understood to act as a structural component in the receptor because it does not present the molecular requirement for glycine binding and Cl</w:t>
      </w:r>
      <w:r w:rsidRPr="000F17F6">
        <w:rPr>
          <w:vertAlign w:val="superscript"/>
        </w:rPr>
        <w:t>–</w:t>
      </w:r>
      <w:r w:rsidRPr="000F17F6">
        <w:t> ion permeation (</w:t>
      </w:r>
      <w:proofErr w:type="spellStart"/>
      <w:r w:rsidR="0036006D">
        <w:fldChar w:fldCharType="begin"/>
      </w:r>
      <w:r w:rsidR="0036006D">
        <w:instrText xml:space="preserve"> HYPERLINK "https://www.frontiersin.org/arti</w:instrText>
      </w:r>
      <w:r w:rsidR="0036006D">
        <w:instrText xml:space="preserve">cles/10.3389/fnmol.2021.763868/full" \l "B16" </w:instrText>
      </w:r>
      <w:r w:rsidR="0036006D">
        <w:fldChar w:fldCharType="separate"/>
      </w:r>
      <w:r w:rsidRPr="000F17F6">
        <w:rPr>
          <w:rStyle w:val="Hyperlink"/>
        </w:rPr>
        <w:t>Grudzinska</w:t>
      </w:r>
      <w:proofErr w:type="spellEnd"/>
      <w:r w:rsidRPr="000F17F6">
        <w:rPr>
          <w:rStyle w:val="Hyperlink"/>
        </w:rPr>
        <w:t xml:space="preserve"> et al., 2005</w:t>
      </w:r>
      <w:r w:rsidR="0036006D">
        <w:rPr>
          <w:rStyle w:val="Hyperlink"/>
        </w:rPr>
        <w:fldChar w:fldCharType="end"/>
      </w:r>
      <w:r w:rsidRPr="000F17F6">
        <w:t>; </w:t>
      </w:r>
      <w:proofErr w:type="spellStart"/>
      <w:r w:rsidR="0036006D">
        <w:fldChar w:fldCharType="begin"/>
      </w:r>
      <w:r w:rsidR="0036006D">
        <w:instrText xml:space="preserve"> HYPERLINK "https://www.frontiersin.org/articles/10.3389/fnmol.2021.763868/full" \l "B43" </w:instrText>
      </w:r>
      <w:r w:rsidR="0036006D">
        <w:fldChar w:fldCharType="separate"/>
      </w:r>
      <w:r w:rsidRPr="000F17F6">
        <w:rPr>
          <w:rStyle w:val="Hyperlink"/>
        </w:rPr>
        <w:t>Weltzien</w:t>
      </w:r>
      <w:proofErr w:type="spellEnd"/>
      <w:r w:rsidRPr="000F17F6">
        <w:rPr>
          <w:rStyle w:val="Hyperlink"/>
        </w:rPr>
        <w:t xml:space="preserve"> et al., 2012</w:t>
      </w:r>
      <w:r w:rsidR="0036006D">
        <w:rPr>
          <w:rStyle w:val="Hyperlink"/>
        </w:rPr>
        <w:fldChar w:fldCharType="end"/>
      </w:r>
      <w:r w:rsidRPr="000F17F6">
        <w:t xml:space="preserve">). The β subunit contributes to </w:t>
      </w:r>
      <w:proofErr w:type="spellStart"/>
      <w:r w:rsidRPr="000F17F6">
        <w:t>GlyR</w:t>
      </w:r>
      <w:proofErr w:type="spellEnd"/>
      <w:r w:rsidRPr="000F17F6">
        <w:t xml:space="preserve"> physiology reducing single channel conductance (</w:t>
      </w:r>
      <w:hyperlink r:id="rId116" w:anchor="T2" w:history="1">
        <w:r w:rsidRPr="000F17F6">
          <w:rPr>
            <w:rStyle w:val="Hyperlink"/>
          </w:rPr>
          <w:t>Table 2</w:t>
        </w:r>
      </w:hyperlink>
      <w:r w:rsidRPr="000F17F6">
        <w:t xml:space="preserve">), affects the pharmacology of the </w:t>
      </w:r>
      <w:proofErr w:type="spellStart"/>
      <w:r w:rsidRPr="000F17F6">
        <w:t>GlyR</w:t>
      </w:r>
      <w:proofErr w:type="spellEnd"/>
      <w:r w:rsidRPr="000F17F6">
        <w:t xml:space="preserve"> complex (</w:t>
      </w:r>
      <w:hyperlink r:id="rId117" w:anchor="T1" w:history="1">
        <w:r w:rsidRPr="000F17F6">
          <w:rPr>
            <w:rStyle w:val="Hyperlink"/>
          </w:rPr>
          <w:t>Table 1</w:t>
        </w:r>
      </w:hyperlink>
      <w:r w:rsidRPr="000F17F6">
        <w:t>), and has a key role in the generation of startle disease (</w:t>
      </w:r>
      <w:hyperlink r:id="rId118" w:anchor="B19" w:history="1">
        <w:r w:rsidRPr="000F17F6">
          <w:rPr>
            <w:rStyle w:val="Hyperlink"/>
          </w:rPr>
          <w:t>James et al., 2013</w:t>
        </w:r>
      </w:hyperlink>
      <w:r w:rsidRPr="000F17F6">
        <w:t>; </w:t>
      </w:r>
      <w:proofErr w:type="spellStart"/>
      <w:r w:rsidR="0036006D">
        <w:fldChar w:fldCharType="begin"/>
      </w:r>
      <w:r w:rsidR="0036006D">
        <w:instrText xml:space="preserve"> HYPERLINK "https://www.frontiersin.org/articles/10.3389/fnmol.2021.763868/</w:instrText>
      </w:r>
      <w:r w:rsidR="0036006D">
        <w:instrText xml:space="preserve">full" \l "B36" </w:instrText>
      </w:r>
      <w:r w:rsidR="0036006D">
        <w:fldChar w:fldCharType="separate"/>
      </w:r>
      <w:r w:rsidRPr="000F17F6">
        <w:rPr>
          <w:rStyle w:val="Hyperlink"/>
        </w:rPr>
        <w:t>Piro</w:t>
      </w:r>
      <w:proofErr w:type="spellEnd"/>
      <w:r w:rsidRPr="000F17F6">
        <w:rPr>
          <w:rStyle w:val="Hyperlink"/>
        </w:rPr>
        <w:t xml:space="preserve"> et al., 2021</w:t>
      </w:r>
      <w:r w:rsidR="0036006D">
        <w:rPr>
          <w:rStyle w:val="Hyperlink"/>
        </w:rPr>
        <w:fldChar w:fldCharType="end"/>
      </w:r>
      <w:r w:rsidRPr="000F17F6">
        <w:t xml:space="preserve">). Together with α subunits, the β subunit forms </w:t>
      </w:r>
      <w:proofErr w:type="spellStart"/>
      <w:r w:rsidRPr="000F17F6">
        <w:t>heteropentameric</w:t>
      </w:r>
      <w:proofErr w:type="spellEnd"/>
      <w:r w:rsidRPr="000F17F6">
        <w:t xml:space="preserve"> receptors having all the properties of native receptors, i.e., highly selective to its natural agonist, inhibited by strychnine, and modulated by several PAMs such as Zn</w:t>
      </w:r>
      <w:r w:rsidRPr="000F17F6">
        <w:rPr>
          <w:vertAlign w:val="superscript"/>
        </w:rPr>
        <w:t>2+</w:t>
      </w:r>
      <w:r w:rsidRPr="000F17F6">
        <w:t>, propofol, and ethanol (</w:t>
      </w:r>
      <w:proofErr w:type="spellStart"/>
      <w:r w:rsidR="0036006D">
        <w:fldChar w:fldCharType="begin"/>
      </w:r>
      <w:r w:rsidR="0036006D">
        <w:instrText xml:space="preserve"> HYPERLINK "https://www.frontiersin.org/articles/10.3389/fnmol.2021.763868/full" \l "B49" </w:instrText>
      </w:r>
      <w:r w:rsidR="0036006D">
        <w:fldChar w:fldCharType="separate"/>
      </w:r>
      <w:r w:rsidRPr="000F17F6">
        <w:rPr>
          <w:rStyle w:val="Hyperlink"/>
        </w:rPr>
        <w:t>Yevenes</w:t>
      </w:r>
      <w:proofErr w:type="spellEnd"/>
      <w:r w:rsidRPr="000F17F6">
        <w:rPr>
          <w:rStyle w:val="Hyperlink"/>
        </w:rPr>
        <w:t xml:space="preserve"> and </w:t>
      </w:r>
      <w:proofErr w:type="spellStart"/>
      <w:r w:rsidRPr="000F17F6">
        <w:rPr>
          <w:rStyle w:val="Hyperlink"/>
        </w:rPr>
        <w:t>Zeilhofer</w:t>
      </w:r>
      <w:proofErr w:type="spellEnd"/>
      <w:r w:rsidRPr="000F17F6">
        <w:rPr>
          <w:rStyle w:val="Hyperlink"/>
        </w:rPr>
        <w:t>, 2011a</w:t>
      </w:r>
      <w:r w:rsidR="0036006D">
        <w:rPr>
          <w:rStyle w:val="Hyperlink"/>
        </w:rPr>
        <w:fldChar w:fldCharType="end"/>
      </w:r>
      <w:r w:rsidRPr="000F17F6">
        <w:t xml:space="preserve">). Also, together with a peripheral protein (gephyrin), the β subunit has a receptor anchoring function that localizes the </w:t>
      </w:r>
      <w:proofErr w:type="spellStart"/>
      <w:r w:rsidRPr="000F17F6">
        <w:t>GlyRs</w:t>
      </w:r>
      <w:proofErr w:type="spellEnd"/>
      <w:r w:rsidRPr="000F17F6">
        <w:t xml:space="preserve"> to the postsynaptic region (</w:t>
      </w:r>
      <w:proofErr w:type="spellStart"/>
      <w:r w:rsidR="0036006D">
        <w:fldChar w:fldCharType="begin"/>
      </w:r>
      <w:r w:rsidR="0036006D">
        <w:instrText xml:space="preserve"> HYPERLINK "https://www.frontiersin.org/articles/10.3389/fnmol.2021.763868/full" \l "B16" </w:instrText>
      </w:r>
      <w:r w:rsidR="0036006D">
        <w:fldChar w:fldCharType="separate"/>
      </w:r>
      <w:r w:rsidRPr="000F17F6">
        <w:rPr>
          <w:rStyle w:val="Hyperlink"/>
        </w:rPr>
        <w:t>Grudzinska</w:t>
      </w:r>
      <w:proofErr w:type="spellEnd"/>
      <w:r w:rsidRPr="000F17F6">
        <w:rPr>
          <w:rStyle w:val="Hyperlink"/>
        </w:rPr>
        <w:t xml:space="preserve"> et al., 2005</w:t>
      </w:r>
      <w:r w:rsidR="0036006D">
        <w:rPr>
          <w:rStyle w:val="Hyperlink"/>
        </w:rPr>
        <w:fldChar w:fldCharType="end"/>
      </w:r>
      <w:r w:rsidRPr="000F17F6">
        <w:t>; </w:t>
      </w:r>
      <w:proofErr w:type="spellStart"/>
      <w:r w:rsidR="0036006D">
        <w:fldChar w:fldCharType="begin"/>
      </w:r>
      <w:r w:rsidR="0036006D">
        <w:instrText xml:space="preserve"> HYPERLINK "https://www.frontiersin.org/articles/10.3389/fnmol.2021.763868/</w:instrText>
      </w:r>
      <w:r w:rsidR="0036006D">
        <w:instrText xml:space="preserve">full" \l "B51" </w:instrText>
      </w:r>
      <w:r w:rsidR="0036006D">
        <w:fldChar w:fldCharType="separate"/>
      </w:r>
      <w:r w:rsidRPr="000F17F6">
        <w:rPr>
          <w:rStyle w:val="Hyperlink"/>
        </w:rPr>
        <w:t>Zeilhofer</w:t>
      </w:r>
      <w:proofErr w:type="spellEnd"/>
      <w:r w:rsidRPr="000F17F6">
        <w:rPr>
          <w:rStyle w:val="Hyperlink"/>
        </w:rPr>
        <w:t xml:space="preserve"> et al., 2005</w:t>
      </w:r>
      <w:r w:rsidR="0036006D">
        <w:rPr>
          <w:rStyle w:val="Hyperlink"/>
        </w:rPr>
        <w:fldChar w:fldCharType="end"/>
      </w:r>
      <w:r w:rsidRPr="000F17F6">
        <w:t>; </w:t>
      </w:r>
      <w:proofErr w:type="spellStart"/>
      <w:r w:rsidR="0036006D">
        <w:fldChar w:fldCharType="begin"/>
      </w:r>
      <w:r w:rsidR="0036006D">
        <w:instrText xml:space="preserve"> HYPERLINK "https://www.frontiersin.org/articles/10.3389/fnmol.2021.763868/full" \l "B43" </w:instrText>
      </w:r>
      <w:r w:rsidR="0036006D">
        <w:fldChar w:fldCharType="separate"/>
      </w:r>
      <w:r w:rsidRPr="000F17F6">
        <w:rPr>
          <w:rStyle w:val="Hyperlink"/>
        </w:rPr>
        <w:t>Weltzien</w:t>
      </w:r>
      <w:proofErr w:type="spellEnd"/>
      <w:r w:rsidRPr="000F17F6">
        <w:rPr>
          <w:rStyle w:val="Hyperlink"/>
        </w:rPr>
        <w:t xml:space="preserve"> et al., 2012</w:t>
      </w:r>
      <w:r w:rsidR="0036006D">
        <w:rPr>
          <w:rStyle w:val="Hyperlink"/>
        </w:rPr>
        <w:fldChar w:fldCharType="end"/>
      </w:r>
      <w:r w:rsidRPr="000F17F6">
        <w:t xml:space="preserve">). Heteromeric </w:t>
      </w:r>
      <w:proofErr w:type="spellStart"/>
      <w:r w:rsidRPr="000F17F6">
        <w:t>GlyRs</w:t>
      </w:r>
      <w:proofErr w:type="spellEnd"/>
      <w:r w:rsidRPr="000F17F6">
        <w:t xml:space="preserve">, however, have also been found at </w:t>
      </w:r>
      <w:proofErr w:type="spellStart"/>
      <w:r w:rsidRPr="000F17F6">
        <w:t>extrasynaptic</w:t>
      </w:r>
      <w:proofErr w:type="spellEnd"/>
      <w:r w:rsidRPr="000F17F6">
        <w:t xml:space="preserve"> locations where they mediate tonic glycinergic inhibition in the spinal dorsal horn (</w:t>
      </w:r>
      <w:proofErr w:type="spellStart"/>
      <w:r w:rsidR="0036006D">
        <w:fldChar w:fldCharType="begin"/>
      </w:r>
      <w:r w:rsidR="0036006D">
        <w:instrText xml:space="preserve"> HYPERLINK "https://www.frontiersin.org/articles/10.3389/fnmol.2021.763868/full" \l "B15" </w:instrText>
      </w:r>
      <w:r w:rsidR="0036006D">
        <w:fldChar w:fldCharType="separate"/>
      </w:r>
      <w:r w:rsidRPr="000F17F6">
        <w:rPr>
          <w:rStyle w:val="Hyperlink"/>
        </w:rPr>
        <w:t>Gradwell</w:t>
      </w:r>
      <w:proofErr w:type="spellEnd"/>
      <w:r w:rsidRPr="000F17F6">
        <w:rPr>
          <w:rStyle w:val="Hyperlink"/>
        </w:rPr>
        <w:t xml:space="preserve"> et al., 2017</w:t>
      </w:r>
      <w:r w:rsidR="0036006D">
        <w:rPr>
          <w:rStyle w:val="Hyperlink"/>
        </w:rPr>
        <w:fldChar w:fldCharType="end"/>
      </w:r>
      <w:r w:rsidRPr="000F17F6">
        <w:t>), supporting a structural and anchoring role in sensorial pathways. Because α2β heteromeric conformations are found in the central nervous system (</w:t>
      </w:r>
      <w:proofErr w:type="spellStart"/>
      <w:r w:rsidR="0036006D">
        <w:fldChar w:fldCharType="begin"/>
      </w:r>
      <w:r w:rsidR="0036006D">
        <w:instrText xml:space="preserve"> HYPERLINK "https://www.frontiersin.org/articles/10.3389/fnmol.2021.763868/full" \l "B11" </w:instrText>
      </w:r>
      <w:r w:rsidR="0036006D">
        <w:fldChar w:fldCharType="separate"/>
      </w:r>
      <w:r w:rsidRPr="000F17F6">
        <w:rPr>
          <w:rStyle w:val="Hyperlink"/>
        </w:rPr>
        <w:t>Forstera</w:t>
      </w:r>
      <w:proofErr w:type="spellEnd"/>
      <w:r w:rsidRPr="000F17F6">
        <w:rPr>
          <w:rStyle w:val="Hyperlink"/>
        </w:rPr>
        <w:t xml:space="preserve"> et al., 2017</w:t>
      </w:r>
      <w:r w:rsidR="0036006D">
        <w:rPr>
          <w:rStyle w:val="Hyperlink"/>
        </w:rPr>
        <w:fldChar w:fldCharType="end"/>
      </w:r>
      <w:r w:rsidRPr="000F17F6">
        <w:t xml:space="preserve">), it is likely that they contribute to the effect of ethanol on the tonic current induced by glycine in the nucleus </w:t>
      </w:r>
      <w:proofErr w:type="spellStart"/>
      <w:r w:rsidRPr="000F17F6">
        <w:t>accumbens</w:t>
      </w:r>
      <w:proofErr w:type="spellEnd"/>
      <w:r w:rsidRPr="000F17F6">
        <w:t xml:space="preserve"> (</w:t>
      </w:r>
      <w:hyperlink r:id="rId119" w:anchor="B34" w:history="1">
        <w:r w:rsidRPr="000F17F6">
          <w:rPr>
            <w:rStyle w:val="Hyperlink"/>
          </w:rPr>
          <w:t>Munoz et al., 2020</w:t>
        </w:r>
      </w:hyperlink>
      <w:r w:rsidRPr="000F17F6">
        <w:t xml:space="preserve">). However, the homomeric α2 </w:t>
      </w:r>
      <w:proofErr w:type="spellStart"/>
      <w:r w:rsidRPr="000F17F6">
        <w:t>GlyR</w:t>
      </w:r>
      <w:proofErr w:type="spellEnd"/>
      <w:r w:rsidRPr="000F17F6">
        <w:t xml:space="preserve"> was found to be insensitive to ethanol (</w:t>
      </w:r>
      <w:hyperlink r:id="rId120" w:anchor="B39" w:history="1">
        <w:r w:rsidRPr="000F17F6">
          <w:rPr>
            <w:rStyle w:val="Hyperlink"/>
          </w:rPr>
          <w:t>Sanchez et al., 2015</w:t>
        </w:r>
      </w:hyperlink>
      <w:r w:rsidRPr="000F17F6">
        <w:t>).</w:t>
      </w:r>
    </w:p>
    <w:p w14:paraId="7850CE16" w14:textId="77777777" w:rsidR="000F17F6" w:rsidRPr="000F17F6" w:rsidRDefault="000F17F6" w:rsidP="000F17F6">
      <w:r w:rsidRPr="000F17F6">
        <w:t xml:space="preserve">The present study provides functional evidence supporting a modulatory role for α2 containing </w:t>
      </w:r>
      <w:proofErr w:type="spellStart"/>
      <w:r w:rsidRPr="000F17F6">
        <w:t>GlyRs</w:t>
      </w:r>
      <w:proofErr w:type="spellEnd"/>
      <w:r w:rsidRPr="000F17F6">
        <w:t xml:space="preserve">. For example, we found that co-expression of the β subunit in heteromeric </w:t>
      </w:r>
      <w:proofErr w:type="spellStart"/>
      <w:r w:rsidRPr="000F17F6">
        <w:t>GlyRs</w:t>
      </w:r>
      <w:proofErr w:type="spellEnd"/>
      <w:r w:rsidRPr="000F17F6">
        <w:t xml:space="preserve"> makes the α2β configuration more sensitive to glycine (</w:t>
      </w:r>
      <w:hyperlink r:id="rId121" w:anchor="T1" w:history="1">
        <w:r w:rsidRPr="000F17F6">
          <w:rPr>
            <w:rStyle w:val="Hyperlink"/>
          </w:rPr>
          <w:t>Table 1</w:t>
        </w:r>
      </w:hyperlink>
      <w:r w:rsidRPr="000F17F6">
        <w:t xml:space="preserve">), ethanol, and to several pharmacologically relevant PAMs. Furthermore, mutation </w:t>
      </w:r>
      <w:r w:rsidRPr="000F17F6">
        <w:lastRenderedPageBreak/>
        <w:t>of two amino acids in the IL that were suggested to be related to Gβγ binding and modulation of α1 subunits (</w:t>
      </w:r>
      <w:proofErr w:type="spellStart"/>
      <w:r w:rsidR="0036006D">
        <w:fldChar w:fldCharType="begin"/>
      </w:r>
      <w:r w:rsidR="0036006D">
        <w:instrText xml:space="preserve"> HYPERLINK "https://www.frontiersin.org/articles/10.3389/fnmol.2021.763868/full" \l "B44" </w:instrText>
      </w:r>
      <w:r w:rsidR="0036006D">
        <w:fldChar w:fldCharType="separate"/>
      </w:r>
      <w:r w:rsidRPr="000F17F6">
        <w:rPr>
          <w:rStyle w:val="Hyperlink"/>
        </w:rPr>
        <w:t>Yevenes</w:t>
      </w:r>
      <w:proofErr w:type="spellEnd"/>
      <w:r w:rsidRPr="000F17F6">
        <w:rPr>
          <w:rStyle w:val="Hyperlink"/>
        </w:rPr>
        <w:t xml:space="preserve"> et al., 2010</w:t>
      </w:r>
      <w:r w:rsidR="0036006D">
        <w:rPr>
          <w:rStyle w:val="Hyperlink"/>
        </w:rPr>
        <w:fldChar w:fldCharType="end"/>
      </w:r>
      <w:r w:rsidRPr="000F17F6">
        <w:t xml:space="preserve">) abolished the potentiation of the α2β </w:t>
      </w:r>
      <w:proofErr w:type="spellStart"/>
      <w:r w:rsidRPr="000F17F6">
        <w:t>GlyRs</w:t>
      </w:r>
      <w:proofErr w:type="spellEnd"/>
      <w:r w:rsidRPr="000F17F6">
        <w:t xml:space="preserve"> by ethanol and GTP-γ-S. Additionally, co-expression of ct-GRK2, a ligand with Gβγ blocking properties (</w:t>
      </w:r>
      <w:proofErr w:type="spellStart"/>
      <w:r w:rsidR="0036006D">
        <w:fldChar w:fldCharType="begin"/>
      </w:r>
      <w:r w:rsidR="0036006D">
        <w:instrText xml:space="preserve"> HYPERLINK "https://www.frontiersin.org/articles/10.3389/fnmol.2021.763868/full" \l "B47" </w:instrText>
      </w:r>
      <w:r w:rsidR="0036006D">
        <w:fldChar w:fldCharType="separate"/>
      </w:r>
      <w:r w:rsidRPr="000F17F6">
        <w:rPr>
          <w:rStyle w:val="Hyperlink"/>
        </w:rPr>
        <w:t>Yevenes</w:t>
      </w:r>
      <w:proofErr w:type="spellEnd"/>
      <w:r w:rsidRPr="000F17F6">
        <w:rPr>
          <w:rStyle w:val="Hyperlink"/>
        </w:rPr>
        <w:t xml:space="preserve"> et al., 2003</w:t>
      </w:r>
      <w:r w:rsidR="0036006D">
        <w:rPr>
          <w:rStyle w:val="Hyperlink"/>
        </w:rPr>
        <w:fldChar w:fldCharType="end"/>
      </w:r>
      <w:r w:rsidRPr="000F17F6">
        <w:t xml:space="preserve">), significantly reduced the potentiation by ethanol in α2β </w:t>
      </w:r>
      <w:proofErr w:type="spellStart"/>
      <w:r w:rsidRPr="000F17F6">
        <w:t>GlyRs</w:t>
      </w:r>
      <w:proofErr w:type="spellEnd"/>
      <w:r w:rsidRPr="000F17F6">
        <w:t xml:space="preserve"> adding additional support to the notion that the β subunit changes the functional properties of α2-containing </w:t>
      </w:r>
      <w:proofErr w:type="spellStart"/>
      <w:r w:rsidRPr="000F17F6">
        <w:t>GlyRs</w:t>
      </w:r>
      <w:proofErr w:type="spellEnd"/>
      <w:r w:rsidRPr="000F17F6">
        <w:t>. Thus, the α2β conformer shows an α1-like pharmacological phenotype and adds new information about the molecular requirements for several clinically relevant PAMs (</w:t>
      </w:r>
      <w:proofErr w:type="spellStart"/>
      <w:r w:rsidR="0036006D">
        <w:fldChar w:fldCharType="begin"/>
      </w:r>
      <w:r w:rsidR="0036006D">
        <w:instrText xml:space="preserve"> HYPERLINK "https://www.frontiersin.org/article</w:instrText>
      </w:r>
      <w:r w:rsidR="0036006D">
        <w:instrText xml:space="preserve">s/10.3389/fnmol.2021.763868/full" \l "B27" </w:instrText>
      </w:r>
      <w:r w:rsidR="0036006D">
        <w:fldChar w:fldCharType="separate"/>
      </w:r>
      <w:r w:rsidRPr="000F17F6">
        <w:rPr>
          <w:rStyle w:val="Hyperlink"/>
        </w:rPr>
        <w:t>Mascia</w:t>
      </w:r>
      <w:proofErr w:type="spellEnd"/>
      <w:r w:rsidRPr="000F17F6">
        <w:rPr>
          <w:rStyle w:val="Hyperlink"/>
        </w:rPr>
        <w:t xml:space="preserve"> et al., 1996</w:t>
      </w:r>
      <w:r w:rsidR="0036006D">
        <w:rPr>
          <w:rStyle w:val="Hyperlink"/>
        </w:rPr>
        <w:fldChar w:fldCharType="end"/>
      </w:r>
      <w:r w:rsidRPr="000F17F6">
        <w:t>, </w:t>
      </w:r>
      <w:hyperlink r:id="rId122" w:anchor="B28" w:history="1">
        <w:r w:rsidRPr="000F17F6">
          <w:rPr>
            <w:rStyle w:val="Hyperlink"/>
          </w:rPr>
          <w:t>2000</w:t>
        </w:r>
      </w:hyperlink>
      <w:r w:rsidRPr="000F17F6">
        <w:t>; </w:t>
      </w:r>
      <w:proofErr w:type="spellStart"/>
      <w:r w:rsidR="0036006D">
        <w:fldChar w:fldCharType="begin"/>
      </w:r>
      <w:r w:rsidR="0036006D">
        <w:instrText xml:space="preserve"> HYPERLINK "https://www.frontiersin.org/articles/10.3389/fnmol.2021.763868/full" \l "B31" </w:instrText>
      </w:r>
      <w:r w:rsidR="0036006D">
        <w:fldChar w:fldCharType="separate"/>
      </w:r>
      <w:r w:rsidRPr="000F17F6">
        <w:rPr>
          <w:rStyle w:val="Hyperlink"/>
        </w:rPr>
        <w:t>Mihic</w:t>
      </w:r>
      <w:proofErr w:type="spellEnd"/>
      <w:r w:rsidRPr="000F17F6">
        <w:rPr>
          <w:rStyle w:val="Hyperlink"/>
        </w:rPr>
        <w:t xml:space="preserve"> et al., 1997</w:t>
      </w:r>
      <w:r w:rsidR="0036006D">
        <w:rPr>
          <w:rStyle w:val="Hyperlink"/>
        </w:rPr>
        <w:fldChar w:fldCharType="end"/>
      </w:r>
      <w:r w:rsidRPr="000F17F6">
        <w:t>; </w:t>
      </w:r>
      <w:proofErr w:type="spellStart"/>
      <w:r w:rsidR="0036006D">
        <w:fldChar w:fldCharType="begin"/>
      </w:r>
      <w:r w:rsidR="0036006D">
        <w:instrText xml:space="preserve"> HYPERLINK "https://www.frontiersin.org/articles/10.3389/fnmol.2021.763868/full" \l "B49" </w:instrText>
      </w:r>
      <w:r w:rsidR="0036006D">
        <w:fldChar w:fldCharType="separate"/>
      </w:r>
      <w:r w:rsidRPr="000F17F6">
        <w:rPr>
          <w:rStyle w:val="Hyperlink"/>
        </w:rPr>
        <w:t>Yevenes</w:t>
      </w:r>
      <w:proofErr w:type="spellEnd"/>
      <w:r w:rsidRPr="000F17F6">
        <w:rPr>
          <w:rStyle w:val="Hyperlink"/>
        </w:rPr>
        <w:t xml:space="preserve"> and </w:t>
      </w:r>
      <w:proofErr w:type="spellStart"/>
      <w:r w:rsidRPr="000F17F6">
        <w:rPr>
          <w:rStyle w:val="Hyperlink"/>
        </w:rPr>
        <w:t>Zeilhofer</w:t>
      </w:r>
      <w:proofErr w:type="spellEnd"/>
      <w:r w:rsidRPr="000F17F6">
        <w:rPr>
          <w:rStyle w:val="Hyperlink"/>
        </w:rPr>
        <w:t>, 2011a</w:t>
      </w:r>
      <w:r w:rsidR="0036006D">
        <w:rPr>
          <w:rStyle w:val="Hyperlink"/>
        </w:rPr>
        <w:fldChar w:fldCharType="end"/>
      </w:r>
      <w:r w:rsidRPr="000F17F6">
        <w:t>; </w:t>
      </w:r>
      <w:hyperlink r:id="rId123" w:anchor="B30" w:history="1">
        <w:r w:rsidRPr="000F17F6">
          <w:rPr>
            <w:rStyle w:val="Hyperlink"/>
          </w:rPr>
          <w:t>McCracken et al., 2013</w:t>
        </w:r>
      </w:hyperlink>
      <w:r w:rsidRPr="000F17F6">
        <w:t>).</w:t>
      </w:r>
    </w:p>
    <w:p w14:paraId="4EFF0F50" w14:textId="77777777" w:rsidR="000F17F6" w:rsidRPr="000F17F6" w:rsidRDefault="000F17F6" w:rsidP="00290A27">
      <w:pPr>
        <w:pStyle w:val="Heading2"/>
      </w:pPr>
      <w:r w:rsidRPr="000F17F6">
        <w:t>Implication for the Presence of β Containing Glycine Receptors in the Upper Brain</w:t>
      </w:r>
    </w:p>
    <w:p w14:paraId="29FB4A81" w14:textId="77777777" w:rsidR="000F17F6" w:rsidRPr="000F17F6" w:rsidRDefault="000F17F6" w:rsidP="000F17F6">
      <w:r w:rsidRPr="000F17F6">
        <w:t xml:space="preserve">Although </w:t>
      </w:r>
      <w:proofErr w:type="spellStart"/>
      <w:r w:rsidRPr="000F17F6">
        <w:t>GlyRs</w:t>
      </w:r>
      <w:proofErr w:type="spellEnd"/>
      <w:r w:rsidRPr="000F17F6">
        <w:t xml:space="preserve"> have been routinely linked to neuronal inhibition of spinal regions (</w:t>
      </w:r>
      <w:hyperlink r:id="rId124" w:anchor="B23" w:history="1">
        <w:r w:rsidRPr="000F17F6">
          <w:rPr>
            <w:rStyle w:val="Hyperlink"/>
          </w:rPr>
          <w:t>Legendre, 2001</w:t>
        </w:r>
      </w:hyperlink>
      <w:r w:rsidRPr="000F17F6">
        <w:t>; </w:t>
      </w:r>
      <w:hyperlink r:id="rId125" w:anchor="B26" w:history="1">
        <w:r w:rsidRPr="000F17F6">
          <w:rPr>
            <w:rStyle w:val="Hyperlink"/>
          </w:rPr>
          <w:t>Lynch, 2004</w:t>
        </w:r>
      </w:hyperlink>
      <w:r w:rsidRPr="000F17F6">
        <w:t>; </w:t>
      </w:r>
      <w:proofErr w:type="spellStart"/>
      <w:r w:rsidR="0036006D">
        <w:fldChar w:fldCharType="begin"/>
      </w:r>
      <w:r w:rsidR="0036006D">
        <w:instrText xml:space="preserve"> HYPERLINK "https://www.frontiersin.org/articles/10.3389/fnmol.2021.763868/full" \l "B52" </w:instrText>
      </w:r>
      <w:r w:rsidR="0036006D">
        <w:fldChar w:fldCharType="separate"/>
      </w:r>
      <w:r w:rsidRPr="000F17F6">
        <w:rPr>
          <w:rStyle w:val="Hyperlink"/>
        </w:rPr>
        <w:t>Zeilhofer</w:t>
      </w:r>
      <w:proofErr w:type="spellEnd"/>
      <w:r w:rsidRPr="000F17F6">
        <w:rPr>
          <w:rStyle w:val="Hyperlink"/>
        </w:rPr>
        <w:t xml:space="preserve"> et al., 2012</w:t>
      </w:r>
      <w:r w:rsidR="0036006D">
        <w:rPr>
          <w:rStyle w:val="Hyperlink"/>
        </w:rPr>
        <w:fldChar w:fldCharType="end"/>
      </w:r>
      <w:r w:rsidRPr="000F17F6">
        <w:t>), more recent studies have reported the expression of α2 and α3 subunits in supra spinal regions (</w:t>
      </w:r>
      <w:proofErr w:type="spellStart"/>
      <w:r w:rsidR="0036006D">
        <w:fldChar w:fldCharType="begin"/>
      </w:r>
      <w:r w:rsidR="0036006D">
        <w:instrText xml:space="preserve"> HYPERLINK "https://www.frontiersin.org/articles/10.3389/fnmol.2021.763868/full" \l "B38" </w:instrText>
      </w:r>
      <w:r w:rsidR="0036006D">
        <w:fldChar w:fldCharType="separate"/>
      </w:r>
      <w:r w:rsidRPr="000F17F6">
        <w:rPr>
          <w:rStyle w:val="Hyperlink"/>
        </w:rPr>
        <w:t>Salling</w:t>
      </w:r>
      <w:proofErr w:type="spellEnd"/>
      <w:r w:rsidRPr="000F17F6">
        <w:rPr>
          <w:rStyle w:val="Hyperlink"/>
        </w:rPr>
        <w:t xml:space="preserve"> and Harrison, 2014</w:t>
      </w:r>
      <w:r w:rsidR="0036006D">
        <w:rPr>
          <w:rStyle w:val="Hyperlink"/>
        </w:rPr>
        <w:fldChar w:fldCharType="end"/>
      </w:r>
      <w:r w:rsidRPr="000F17F6">
        <w:t>; </w:t>
      </w:r>
      <w:proofErr w:type="spellStart"/>
      <w:r w:rsidR="0036006D">
        <w:fldChar w:fldCharType="begin"/>
      </w:r>
      <w:r w:rsidR="0036006D">
        <w:instrText xml:space="preserve"> HYPERLINK "https://www.frontiersin.org/arti</w:instrText>
      </w:r>
      <w:r w:rsidR="0036006D">
        <w:instrText xml:space="preserve">cles/10.3389/fnmol.2021.763868/full" \l "B11" </w:instrText>
      </w:r>
      <w:r w:rsidR="0036006D">
        <w:fldChar w:fldCharType="separate"/>
      </w:r>
      <w:r w:rsidRPr="000F17F6">
        <w:rPr>
          <w:rStyle w:val="Hyperlink"/>
        </w:rPr>
        <w:t>Forstera</w:t>
      </w:r>
      <w:proofErr w:type="spellEnd"/>
      <w:r w:rsidRPr="000F17F6">
        <w:rPr>
          <w:rStyle w:val="Hyperlink"/>
        </w:rPr>
        <w:t xml:space="preserve"> et al., 2017</w:t>
      </w:r>
      <w:r w:rsidR="0036006D">
        <w:rPr>
          <w:rStyle w:val="Hyperlink"/>
        </w:rPr>
        <w:fldChar w:fldCharType="end"/>
      </w:r>
      <w:r w:rsidRPr="000F17F6">
        <w:t>; </w:t>
      </w:r>
      <w:hyperlink r:id="rId126" w:anchor="B29" w:history="1">
        <w:r w:rsidRPr="000F17F6">
          <w:rPr>
            <w:rStyle w:val="Hyperlink"/>
          </w:rPr>
          <w:t>McCracken et al., 2017</w:t>
        </w:r>
      </w:hyperlink>
      <w:r w:rsidRPr="000F17F6">
        <w:t>; </w:t>
      </w:r>
      <w:hyperlink r:id="rId127" w:anchor="B35" w:history="1">
        <w:r w:rsidRPr="000F17F6">
          <w:rPr>
            <w:rStyle w:val="Hyperlink"/>
          </w:rPr>
          <w:t>Munoz et al., 2018</w:t>
        </w:r>
      </w:hyperlink>
      <w:r w:rsidRPr="000F17F6">
        <w:t>, </w:t>
      </w:r>
      <w:hyperlink r:id="rId128" w:anchor="B34" w:history="1">
        <w:r w:rsidRPr="000F17F6">
          <w:rPr>
            <w:rStyle w:val="Hyperlink"/>
          </w:rPr>
          <w:t>2020</w:t>
        </w:r>
      </w:hyperlink>
      <w:r w:rsidRPr="000F17F6">
        <w:t>; </w:t>
      </w:r>
      <w:hyperlink r:id="rId129" w:anchor="B13" w:history="1">
        <w:r w:rsidRPr="000F17F6">
          <w:rPr>
            <w:rStyle w:val="Hyperlink"/>
          </w:rPr>
          <w:t>Gallegos et al., 2019</w:t>
        </w:r>
      </w:hyperlink>
      <w:r w:rsidRPr="000F17F6">
        <w:t>) being primarily related to ethanol (</w:t>
      </w:r>
      <w:proofErr w:type="spellStart"/>
      <w:r w:rsidR="0036006D">
        <w:fldChar w:fldCharType="begin"/>
      </w:r>
      <w:r w:rsidR="0036006D">
        <w:instrText xml:space="preserve"> HYPERLINK "https://www.frontiersin.org/articles/10.3389/fnmol.2021.763868/full" \l "B11" </w:instrText>
      </w:r>
      <w:r w:rsidR="0036006D">
        <w:fldChar w:fldCharType="separate"/>
      </w:r>
      <w:r w:rsidRPr="000F17F6">
        <w:rPr>
          <w:rStyle w:val="Hyperlink"/>
        </w:rPr>
        <w:t>Forstera</w:t>
      </w:r>
      <w:proofErr w:type="spellEnd"/>
      <w:r w:rsidRPr="000F17F6">
        <w:rPr>
          <w:rStyle w:val="Hyperlink"/>
        </w:rPr>
        <w:t xml:space="preserve"> et al., 2017</w:t>
      </w:r>
      <w:r w:rsidR="0036006D">
        <w:rPr>
          <w:rStyle w:val="Hyperlink"/>
        </w:rPr>
        <w:fldChar w:fldCharType="end"/>
      </w:r>
      <w:r w:rsidRPr="000F17F6">
        <w:t>; </w:t>
      </w:r>
      <w:hyperlink r:id="rId130" w:anchor="B29" w:history="1">
        <w:r w:rsidRPr="000F17F6">
          <w:rPr>
            <w:rStyle w:val="Hyperlink"/>
          </w:rPr>
          <w:t>McCracken et al., 2017</w:t>
        </w:r>
      </w:hyperlink>
      <w:r w:rsidRPr="000F17F6">
        <w:t>; </w:t>
      </w:r>
      <w:hyperlink r:id="rId131" w:anchor="B13" w:history="1">
        <w:r w:rsidRPr="000F17F6">
          <w:rPr>
            <w:rStyle w:val="Hyperlink"/>
          </w:rPr>
          <w:t>Gallegos et al., 2019</w:t>
        </w:r>
      </w:hyperlink>
      <w:r w:rsidRPr="000F17F6">
        <w:t>; </w:t>
      </w:r>
      <w:hyperlink r:id="rId132" w:anchor="B34" w:history="1">
        <w:r w:rsidRPr="000F17F6">
          <w:rPr>
            <w:rStyle w:val="Hyperlink"/>
          </w:rPr>
          <w:t>Munoz et al., 2020</w:t>
        </w:r>
      </w:hyperlink>
      <w:r w:rsidRPr="000F17F6">
        <w:t>) and propofol actions (</w:t>
      </w:r>
      <w:hyperlink r:id="rId133" w:anchor="B35" w:history="1">
        <w:r w:rsidRPr="000F17F6">
          <w:rPr>
            <w:rStyle w:val="Hyperlink"/>
          </w:rPr>
          <w:t>Munoz et al., 2018</w:t>
        </w:r>
      </w:hyperlink>
      <w:r w:rsidRPr="000F17F6">
        <w:t xml:space="preserve">). Using KO mice, it was suggested that α2- and α3-containing </w:t>
      </w:r>
      <w:proofErr w:type="spellStart"/>
      <w:r w:rsidRPr="000F17F6">
        <w:t>GlyRs</w:t>
      </w:r>
      <w:proofErr w:type="spellEnd"/>
      <w:r w:rsidRPr="000F17F6">
        <w:t xml:space="preserve"> are important for sustaining tonic currents in the forebrain (</w:t>
      </w:r>
      <w:hyperlink r:id="rId134" w:anchor="B29" w:history="1">
        <w:r w:rsidRPr="000F17F6">
          <w:rPr>
            <w:rStyle w:val="Hyperlink"/>
          </w:rPr>
          <w:t>McCracken et al., 2017</w:t>
        </w:r>
      </w:hyperlink>
      <w:r w:rsidRPr="000F17F6">
        <w:t>) and that they might contribute to ethanol consumption (</w:t>
      </w:r>
      <w:proofErr w:type="spellStart"/>
      <w:r w:rsidR="0036006D">
        <w:fldChar w:fldCharType="begin"/>
      </w:r>
      <w:r w:rsidR="0036006D">
        <w:instrText xml:space="preserve"> HYPERLINK "https://www.frontiersin.org/articles/10.3389/fnmol.2021.763868/full" \l "B7" </w:instrText>
      </w:r>
      <w:r w:rsidR="0036006D">
        <w:fldChar w:fldCharType="separate"/>
      </w:r>
      <w:r w:rsidRPr="000F17F6">
        <w:rPr>
          <w:rStyle w:val="Hyperlink"/>
        </w:rPr>
        <w:t>Blednov</w:t>
      </w:r>
      <w:proofErr w:type="spellEnd"/>
      <w:r w:rsidRPr="000F17F6">
        <w:rPr>
          <w:rStyle w:val="Hyperlink"/>
        </w:rPr>
        <w:t xml:space="preserve"> et al., 2015</w:t>
      </w:r>
      <w:r w:rsidR="0036006D">
        <w:rPr>
          <w:rStyle w:val="Hyperlink"/>
        </w:rPr>
        <w:fldChar w:fldCharType="end"/>
      </w:r>
      <w:r w:rsidRPr="000F17F6">
        <w:t xml:space="preserve">). These published results are interesting because while homomeric α2 or α3 </w:t>
      </w:r>
      <w:proofErr w:type="spellStart"/>
      <w:r w:rsidRPr="000F17F6">
        <w:t>GlyRs</w:t>
      </w:r>
      <w:proofErr w:type="spellEnd"/>
      <w:r w:rsidRPr="000F17F6">
        <w:t xml:space="preserve"> are insensitive to ethanol (</w:t>
      </w:r>
      <w:proofErr w:type="spellStart"/>
      <w:r w:rsidR="0036006D">
        <w:fldChar w:fldCharType="begin"/>
      </w:r>
      <w:r w:rsidR="0036006D">
        <w:instrText xml:space="preserve"> HYPERLINK "https://w</w:instrText>
      </w:r>
      <w:r w:rsidR="0036006D">
        <w:instrText xml:space="preserve">ww.frontiersin.org/articles/10.3389/fnmol.2021.763868/full" \l "B44" </w:instrText>
      </w:r>
      <w:r w:rsidR="0036006D">
        <w:fldChar w:fldCharType="separate"/>
      </w:r>
      <w:r w:rsidRPr="000F17F6">
        <w:rPr>
          <w:rStyle w:val="Hyperlink"/>
        </w:rPr>
        <w:t>Yevenes</w:t>
      </w:r>
      <w:proofErr w:type="spellEnd"/>
      <w:r w:rsidRPr="000F17F6">
        <w:rPr>
          <w:rStyle w:val="Hyperlink"/>
        </w:rPr>
        <w:t xml:space="preserve"> et al., 2010</w:t>
      </w:r>
      <w:r w:rsidR="0036006D">
        <w:rPr>
          <w:rStyle w:val="Hyperlink"/>
        </w:rPr>
        <w:fldChar w:fldCharType="end"/>
      </w:r>
      <w:r w:rsidRPr="000F17F6">
        <w:t>; </w:t>
      </w:r>
      <w:hyperlink r:id="rId135" w:anchor="B39" w:history="1">
        <w:r w:rsidRPr="000F17F6">
          <w:rPr>
            <w:rStyle w:val="Hyperlink"/>
          </w:rPr>
          <w:t>Sanchez et al., 2015</w:t>
        </w:r>
      </w:hyperlink>
      <w:r w:rsidRPr="000F17F6">
        <w:t xml:space="preserve">), any effect on animal behavior should be associated to the expression of β subunits in α2-containing </w:t>
      </w:r>
      <w:proofErr w:type="spellStart"/>
      <w:r w:rsidRPr="000F17F6">
        <w:t>GlyRs</w:t>
      </w:r>
      <w:proofErr w:type="spellEnd"/>
      <w:r w:rsidRPr="000F17F6">
        <w:t xml:space="preserve">, or to some receptor compensation in the KO mice. Recent studies provided experimental evidence supporting the expression of α1, α2, and α3 subunits in the </w:t>
      </w:r>
      <w:proofErr w:type="spellStart"/>
      <w:r w:rsidRPr="000F17F6">
        <w:t>nAc</w:t>
      </w:r>
      <w:proofErr w:type="spellEnd"/>
      <w:r w:rsidRPr="000F17F6">
        <w:t xml:space="preserve"> in WT mice (</w:t>
      </w:r>
      <w:proofErr w:type="spellStart"/>
      <w:r w:rsidR="0036006D">
        <w:fldChar w:fldCharType="begin"/>
      </w:r>
      <w:r w:rsidR="0036006D">
        <w:instrText xml:space="preserve"> HYPERLINK "https://www.</w:instrText>
      </w:r>
      <w:r w:rsidR="0036006D">
        <w:instrText xml:space="preserve">frontiersin.org/articles/10.3389/fnmol.2021.763868/full" \l "B11" </w:instrText>
      </w:r>
      <w:r w:rsidR="0036006D">
        <w:fldChar w:fldCharType="separate"/>
      </w:r>
      <w:r w:rsidRPr="000F17F6">
        <w:rPr>
          <w:rStyle w:val="Hyperlink"/>
        </w:rPr>
        <w:t>Forstera</w:t>
      </w:r>
      <w:proofErr w:type="spellEnd"/>
      <w:r w:rsidRPr="000F17F6">
        <w:rPr>
          <w:rStyle w:val="Hyperlink"/>
        </w:rPr>
        <w:t xml:space="preserve"> et al., 2017</w:t>
      </w:r>
      <w:r w:rsidR="0036006D">
        <w:rPr>
          <w:rStyle w:val="Hyperlink"/>
        </w:rPr>
        <w:fldChar w:fldCharType="end"/>
      </w:r>
      <w:r w:rsidRPr="000F17F6">
        <w:t xml:space="preserve">). In addition, using KI mice with the same mutation in α2 (K389 and R390), we demonstrated the presence of α2β </w:t>
      </w:r>
      <w:proofErr w:type="spellStart"/>
      <w:r w:rsidRPr="000F17F6">
        <w:t>GlyRs</w:t>
      </w:r>
      <w:proofErr w:type="spellEnd"/>
      <w:r w:rsidRPr="000F17F6">
        <w:t xml:space="preserve"> in </w:t>
      </w:r>
      <w:proofErr w:type="spellStart"/>
      <w:r w:rsidRPr="000F17F6">
        <w:t>accumbal</w:t>
      </w:r>
      <w:proofErr w:type="spellEnd"/>
      <w:r w:rsidRPr="000F17F6">
        <w:t xml:space="preserve"> neurons (</w:t>
      </w:r>
      <w:hyperlink r:id="rId136" w:anchor="B14" w:history="1">
        <w:r w:rsidRPr="000F17F6">
          <w:rPr>
            <w:rStyle w:val="Hyperlink"/>
          </w:rPr>
          <w:t>Gallegos et al., 2021</w:t>
        </w:r>
      </w:hyperlink>
      <w:r w:rsidRPr="000F17F6">
        <w:t xml:space="preserve">). Interestingly, α2 KI mice showed reduced sedation and increased ethanol consumption, suggesting that the α2 subunit is important for the ethanol potentiation of </w:t>
      </w:r>
      <w:proofErr w:type="spellStart"/>
      <w:r w:rsidRPr="000F17F6">
        <w:t>GlyRs</w:t>
      </w:r>
      <w:proofErr w:type="spellEnd"/>
      <w:r w:rsidRPr="000F17F6">
        <w:t xml:space="preserve"> in the adult brain (</w:t>
      </w:r>
      <w:hyperlink r:id="rId137" w:anchor="B14" w:history="1">
        <w:r w:rsidRPr="000F17F6">
          <w:rPr>
            <w:rStyle w:val="Hyperlink"/>
          </w:rPr>
          <w:t>Gallegos et al., 2021</w:t>
        </w:r>
      </w:hyperlink>
      <w:r w:rsidRPr="000F17F6">
        <w:t xml:space="preserve">). The insensitivity to ethanol of glycinergic synaptic currents in the </w:t>
      </w:r>
      <w:proofErr w:type="spellStart"/>
      <w:r w:rsidRPr="000F17F6">
        <w:t>nAc</w:t>
      </w:r>
      <w:proofErr w:type="spellEnd"/>
      <w:r w:rsidRPr="000F17F6">
        <w:t xml:space="preserve"> suggests that these </w:t>
      </w:r>
      <w:proofErr w:type="spellStart"/>
      <w:r w:rsidRPr="000F17F6">
        <w:t>GlyRs</w:t>
      </w:r>
      <w:proofErr w:type="spellEnd"/>
      <w:r w:rsidRPr="000F17F6">
        <w:t xml:space="preserve"> are mainly composed of α1β conformations (</w:t>
      </w:r>
      <w:hyperlink r:id="rId138" w:anchor="B35" w:history="1">
        <w:r w:rsidRPr="000F17F6">
          <w:rPr>
            <w:rStyle w:val="Hyperlink"/>
          </w:rPr>
          <w:t>Munoz et al., 2018</w:t>
        </w:r>
      </w:hyperlink>
      <w:r w:rsidRPr="000F17F6">
        <w:t>). Therefore, the broad expression of α and β subunits likely play a role in several behavioral conduits and might allow for the development of pharmacotherapy based on the presence of these ethanol sensitive targets.</w:t>
      </w:r>
    </w:p>
    <w:p w14:paraId="2865F38F" w14:textId="77777777" w:rsidR="000F17F6" w:rsidRPr="000F17F6" w:rsidRDefault="000F17F6" w:rsidP="00290A27">
      <w:pPr>
        <w:pStyle w:val="Heading2"/>
      </w:pPr>
      <w:r w:rsidRPr="000F17F6">
        <w:t>Potential Mechanisms for the Conversion of the α2 Subunit Into an “α1-Like” Heteromeric Complex</w:t>
      </w:r>
    </w:p>
    <w:p w14:paraId="6A3D6D5E" w14:textId="77777777" w:rsidR="000F17F6" w:rsidRPr="000F17F6" w:rsidRDefault="000F17F6" w:rsidP="000F17F6">
      <w:r w:rsidRPr="000F17F6">
        <w:t xml:space="preserve">In an attempt to understand how the addition of the β subunit to the α2 subunit was able to confer sensitivity to several PAMs, and primarily to ethanol, we can consider a previously published model for </w:t>
      </w:r>
      <w:proofErr w:type="spellStart"/>
      <w:r w:rsidRPr="000F17F6">
        <w:t>GlyRs</w:t>
      </w:r>
      <w:proofErr w:type="spellEnd"/>
      <w:r w:rsidRPr="000F17F6">
        <w:t xml:space="preserve"> gating (</w:t>
      </w:r>
      <w:proofErr w:type="spellStart"/>
      <w:r w:rsidR="0036006D">
        <w:fldChar w:fldCharType="begin"/>
      </w:r>
      <w:r w:rsidR="0036006D">
        <w:instrText xml:space="preserve"> HYPERLINK "https://www.frontiersin.org/articles/10.3389/fnmol.2021.763868/full" \l "B21" </w:instrText>
      </w:r>
      <w:r w:rsidR="0036006D">
        <w:fldChar w:fldCharType="separate"/>
      </w:r>
      <w:r w:rsidRPr="000F17F6">
        <w:rPr>
          <w:rStyle w:val="Hyperlink"/>
        </w:rPr>
        <w:t>Krashia</w:t>
      </w:r>
      <w:proofErr w:type="spellEnd"/>
      <w:r w:rsidRPr="000F17F6">
        <w:rPr>
          <w:rStyle w:val="Hyperlink"/>
        </w:rPr>
        <w:t xml:space="preserve"> et al., 2011</w:t>
      </w:r>
      <w:r w:rsidR="0036006D">
        <w:rPr>
          <w:rStyle w:val="Hyperlink"/>
        </w:rPr>
        <w:fldChar w:fldCharType="end"/>
      </w:r>
      <w:r w:rsidRPr="000F17F6">
        <w:t>). The study on the α1 subunit showed that ethanol did not affect channel conductance or open and closed dwell times and likelihoods of the channel. On the other hand, the main effect of ethanol on α1 function was the enhancement of burst durations (</w:t>
      </w:r>
      <w:hyperlink r:id="rId139" w:anchor="B42" w:history="1">
        <w:r w:rsidRPr="000F17F6">
          <w:rPr>
            <w:rStyle w:val="Hyperlink"/>
          </w:rPr>
          <w:t>Welsh et al., 2009</w:t>
        </w:r>
      </w:hyperlink>
      <w:r w:rsidRPr="000F17F6">
        <w:t>) which likely reflected a decreased glycine unbinding rate(s) (k-1 and/or 2k-2), without affecting other transitions (</w:t>
      </w:r>
      <w:proofErr w:type="spellStart"/>
      <w:r w:rsidR="0036006D">
        <w:fldChar w:fldCharType="begin"/>
      </w:r>
      <w:r w:rsidR="0036006D">
        <w:instrText xml:space="preserve"> HYPERLINK "https://ww</w:instrText>
      </w:r>
      <w:r w:rsidR="0036006D">
        <w:instrText xml:space="preserve">w.frontiersin.org/articles/10.3389/fnmol.2021.763868/full" \l "B20" </w:instrText>
      </w:r>
      <w:r w:rsidR="0036006D">
        <w:fldChar w:fldCharType="separate"/>
      </w:r>
      <w:r w:rsidRPr="000F17F6">
        <w:rPr>
          <w:rStyle w:val="Hyperlink"/>
        </w:rPr>
        <w:t>Kirson</w:t>
      </w:r>
      <w:proofErr w:type="spellEnd"/>
      <w:r w:rsidRPr="000F17F6">
        <w:rPr>
          <w:rStyle w:val="Hyperlink"/>
        </w:rPr>
        <w:t xml:space="preserve"> et al., 2017</w:t>
      </w:r>
      <w:r w:rsidR="0036006D">
        <w:rPr>
          <w:rStyle w:val="Hyperlink"/>
        </w:rPr>
        <w:fldChar w:fldCharType="end"/>
      </w:r>
      <w:r w:rsidRPr="000F17F6">
        <w:t>), which resulted in a prolongation of burst durations without a change in mean open time (</w:t>
      </w:r>
      <w:hyperlink r:id="rId140" w:anchor="B42" w:history="1">
        <w:r w:rsidRPr="000F17F6">
          <w:rPr>
            <w:rStyle w:val="Hyperlink"/>
          </w:rPr>
          <w:t>Welsh et al., 2009</w:t>
        </w:r>
      </w:hyperlink>
      <w:r w:rsidRPr="000F17F6">
        <w:t xml:space="preserve">). The present results show that ethanol increased open probability (Po) and frequency of opening without affecting mean open time in α1 </w:t>
      </w:r>
      <w:proofErr w:type="spellStart"/>
      <w:proofErr w:type="gramStart"/>
      <w:r w:rsidRPr="000F17F6">
        <w:t>GlyRs</w:t>
      </w:r>
      <w:proofErr w:type="spellEnd"/>
      <w:r w:rsidRPr="000F17F6">
        <w:t>, but</w:t>
      </w:r>
      <w:proofErr w:type="gramEnd"/>
      <w:r w:rsidRPr="000F17F6">
        <w:t xml:space="preserve"> decreased Po and frequency of opening in α2 </w:t>
      </w:r>
      <w:proofErr w:type="spellStart"/>
      <w:r w:rsidRPr="000F17F6">
        <w:t>GlyRs</w:t>
      </w:r>
      <w:proofErr w:type="spellEnd"/>
      <w:r w:rsidRPr="000F17F6">
        <w:t xml:space="preserve">. In α2β </w:t>
      </w:r>
      <w:proofErr w:type="spellStart"/>
      <w:r w:rsidRPr="000F17F6">
        <w:t>GlyRs</w:t>
      </w:r>
      <w:proofErr w:type="spellEnd"/>
      <w:r w:rsidRPr="000F17F6">
        <w:t xml:space="preserve">, ethanol enhanced both Po and frequency of opening in a manner </w:t>
      </w:r>
      <w:proofErr w:type="gramStart"/>
      <w:r w:rsidRPr="000F17F6">
        <w:t>similar to</w:t>
      </w:r>
      <w:proofErr w:type="gramEnd"/>
      <w:r w:rsidRPr="000F17F6">
        <w:t xml:space="preserve"> that found in the α1 subunit. On the other hand, we found that ethanol did not change the </w:t>
      </w:r>
      <w:proofErr w:type="spellStart"/>
      <w:r w:rsidRPr="000F17F6">
        <w:t>intraburst</w:t>
      </w:r>
      <w:proofErr w:type="spellEnd"/>
      <w:r w:rsidRPr="000F17F6">
        <w:t xml:space="preserve"> MOT or </w:t>
      </w:r>
      <w:proofErr w:type="spellStart"/>
      <w:r w:rsidRPr="000F17F6">
        <w:t>intraburst</w:t>
      </w:r>
      <w:proofErr w:type="spellEnd"/>
      <w:r w:rsidRPr="000F17F6">
        <w:t xml:space="preserve"> Po or burst duration in the α2β. In addition, expression of the β subunit in α2 receptors shortened mean open time to approximately that of the α1 subunit, indicating an increase in closing rate. The higher affinity of α2 receptors for glycine compared to α1 receptors, which results from multiple kinetic rates rather than a simple change in unbinding rate (</w:t>
      </w:r>
      <w:proofErr w:type="spellStart"/>
      <w:r w:rsidR="0036006D">
        <w:fldChar w:fldCharType="begin"/>
      </w:r>
      <w:r w:rsidR="0036006D">
        <w:instrText xml:space="preserve"> HYPERLINK "https://www.frontiersin.org/articles/10.3389/fnmol.2021.763868/full" \l "B22" </w:instrText>
      </w:r>
      <w:r w:rsidR="0036006D">
        <w:fldChar w:fldCharType="separate"/>
      </w:r>
      <w:r w:rsidRPr="000F17F6">
        <w:rPr>
          <w:rStyle w:val="Hyperlink"/>
        </w:rPr>
        <w:t>Lape</w:t>
      </w:r>
      <w:proofErr w:type="spellEnd"/>
      <w:r w:rsidRPr="000F17F6">
        <w:rPr>
          <w:rStyle w:val="Hyperlink"/>
        </w:rPr>
        <w:t xml:space="preserve"> et al., 2008</w:t>
      </w:r>
      <w:r w:rsidR="0036006D">
        <w:rPr>
          <w:rStyle w:val="Hyperlink"/>
        </w:rPr>
        <w:fldChar w:fldCharType="end"/>
      </w:r>
      <w:r w:rsidRPr="000F17F6">
        <w:t>; </w:t>
      </w:r>
      <w:proofErr w:type="spellStart"/>
      <w:r w:rsidR="0036006D">
        <w:fldChar w:fldCharType="begin"/>
      </w:r>
      <w:r w:rsidR="0036006D">
        <w:instrText xml:space="preserve"> HYPERLINK "https://www.frontiersin.org/articles/10.3389/fnmol.2021.763868/full" \l "B21" </w:instrText>
      </w:r>
      <w:r w:rsidR="0036006D">
        <w:fldChar w:fldCharType="separate"/>
      </w:r>
      <w:r w:rsidRPr="000F17F6">
        <w:rPr>
          <w:rStyle w:val="Hyperlink"/>
        </w:rPr>
        <w:t>Krashia</w:t>
      </w:r>
      <w:proofErr w:type="spellEnd"/>
      <w:r w:rsidRPr="000F17F6">
        <w:rPr>
          <w:rStyle w:val="Hyperlink"/>
        </w:rPr>
        <w:t xml:space="preserve"> et al., 2011</w:t>
      </w:r>
      <w:r w:rsidR="0036006D">
        <w:rPr>
          <w:rStyle w:val="Hyperlink"/>
        </w:rPr>
        <w:fldChar w:fldCharType="end"/>
      </w:r>
      <w:r w:rsidRPr="000F17F6">
        <w:t>), may render this conformer resistant to the potentiating effects of ethanol in the absence of the β subunit (see scheme, </w:t>
      </w:r>
      <w:hyperlink r:id="rId141" w:anchor="F8" w:history="1">
        <w:r w:rsidRPr="000F17F6">
          <w:rPr>
            <w:rStyle w:val="Hyperlink"/>
          </w:rPr>
          <w:t>Figure 8</w:t>
        </w:r>
      </w:hyperlink>
      <w:r w:rsidRPr="000F17F6">
        <w:t>).</w:t>
      </w:r>
    </w:p>
    <w:p w14:paraId="0E9E503E" w14:textId="2E01B17E" w:rsidR="000F17F6" w:rsidRPr="000F17F6" w:rsidRDefault="000F17F6" w:rsidP="00290A27">
      <w:pPr>
        <w:pStyle w:val="NoSpacing"/>
      </w:pPr>
      <w:bookmarkStart w:id="17" w:name="figure8"/>
      <w:r w:rsidRPr="000F17F6">
        <w:rPr>
          <w:noProof/>
        </w:rPr>
        <w:lastRenderedPageBreak/>
        <w:drawing>
          <wp:inline distT="0" distB="0" distL="0" distR="0" wp14:anchorId="5A330F75" wp14:editId="351CD41A">
            <wp:extent cx="1424940" cy="861060"/>
            <wp:effectExtent l="0" t="0" r="3810" b="0"/>
            <wp:docPr id="1" name="Picture 1" descr="www.frontiersin.org">
              <a:hlinkClick xmlns:a="http://schemas.openxmlformats.org/drawingml/2006/main" r:id="rId14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8" descr="www.frontiersin.org">
                      <a:hlinkClick r:id="rId142" tgtFrame="&quot;_blank&quot;"/>
                    </pic:cNvPr>
                    <pic:cNvPicPr>
                      <a:picLocks noChangeAspect="1" noChangeArrowheads="1"/>
                    </pic:cNvPicPr>
                  </pic:nvPicPr>
                  <pic:blipFill>
                    <a:blip r:embed="rId143">
                      <a:extLst>
                        <a:ext uri="{28A0092B-C50C-407E-A947-70E740481C1C}">
                          <a14:useLocalDpi xmlns:a14="http://schemas.microsoft.com/office/drawing/2010/main" val="0"/>
                        </a:ext>
                      </a:extLst>
                    </a:blip>
                    <a:srcRect/>
                    <a:stretch>
                      <a:fillRect/>
                    </a:stretch>
                  </pic:blipFill>
                  <pic:spPr bwMode="auto">
                    <a:xfrm>
                      <a:off x="0" y="0"/>
                      <a:ext cx="1424940" cy="861060"/>
                    </a:xfrm>
                    <a:prstGeom prst="rect">
                      <a:avLst/>
                    </a:prstGeom>
                    <a:noFill/>
                    <a:ln>
                      <a:noFill/>
                    </a:ln>
                  </pic:spPr>
                </pic:pic>
              </a:graphicData>
            </a:graphic>
          </wp:inline>
        </w:drawing>
      </w:r>
      <w:bookmarkEnd w:id="17"/>
    </w:p>
    <w:p w14:paraId="6A791B1C" w14:textId="77777777" w:rsidR="000F17F6" w:rsidRDefault="000F17F6" w:rsidP="00290A27">
      <w:pPr>
        <w:pStyle w:val="NoSpacing"/>
      </w:pPr>
      <w:r w:rsidRPr="000F17F6">
        <w:rPr>
          <w:b/>
          <w:bCs/>
        </w:rPr>
        <w:t>Figure 8.</w:t>
      </w:r>
      <w:r w:rsidRPr="000F17F6">
        <w:t xml:space="preserve"> Scheme legend. </w:t>
      </w:r>
      <w:proofErr w:type="spellStart"/>
      <w:r w:rsidRPr="000F17F6">
        <w:t>GlyR</w:t>
      </w:r>
      <w:proofErr w:type="spellEnd"/>
      <w:r w:rsidRPr="000F17F6">
        <w:t xml:space="preserve"> kinetic model from </w:t>
      </w:r>
      <w:proofErr w:type="spellStart"/>
      <w:r w:rsidR="0036006D">
        <w:fldChar w:fldCharType="begin"/>
      </w:r>
      <w:r w:rsidR="0036006D">
        <w:instrText xml:space="preserve"> HYPERLINK "https://www.frontiersin.org/articles/10.3389/fnmol.2021.763868/full" \l "B21" </w:instrText>
      </w:r>
      <w:r w:rsidR="0036006D">
        <w:fldChar w:fldCharType="separate"/>
      </w:r>
      <w:r w:rsidRPr="000F17F6">
        <w:rPr>
          <w:rStyle w:val="Hyperlink"/>
        </w:rPr>
        <w:t>Krashia</w:t>
      </w:r>
      <w:proofErr w:type="spellEnd"/>
      <w:r w:rsidRPr="000F17F6">
        <w:rPr>
          <w:rStyle w:val="Hyperlink"/>
        </w:rPr>
        <w:t xml:space="preserve"> et al. (2011)</w:t>
      </w:r>
      <w:r w:rsidR="0036006D">
        <w:rPr>
          <w:rStyle w:val="Hyperlink"/>
        </w:rPr>
        <w:fldChar w:fldCharType="end"/>
      </w:r>
      <w:r w:rsidRPr="000F17F6">
        <w:t xml:space="preserve"> showing possible changes in </w:t>
      </w:r>
      <w:proofErr w:type="spellStart"/>
      <w:r w:rsidRPr="000F17F6">
        <w:t>GlyR</w:t>
      </w:r>
      <w:proofErr w:type="spellEnd"/>
      <w:r w:rsidRPr="000F17F6">
        <w:t xml:space="preserve"> α2 kinetics (left) due to the expression of the β subunit (right) and that could account for the observed differences in ethanol modulation. The proposed increase in closing rate α is based on the observations of decreased mean open time in α2β vs. α2 homomeric subunits, whereas the increases in glycine dissociation rates are proposed based on both the reported action of ethanol to decreased glycine unbinding rate (</w:t>
      </w:r>
      <w:hyperlink r:id="rId144" w:anchor="B42" w:history="1">
        <w:r w:rsidRPr="000F17F6">
          <w:rPr>
            <w:rStyle w:val="Hyperlink"/>
          </w:rPr>
          <w:t>Welsh et al., 2009</w:t>
        </w:r>
      </w:hyperlink>
      <w:r w:rsidRPr="000F17F6">
        <w:t>) and the lower glycine potency observed in the present study. R, receptor; A, agonist; F, “flipped” (pre-activated) state. Note that the proposed changes to the model are hypothetical and further analysis should test it in detail.</w:t>
      </w:r>
    </w:p>
    <w:p w14:paraId="6D8E08D1" w14:textId="77777777" w:rsidR="00290A27" w:rsidRPr="000F17F6" w:rsidRDefault="00290A27" w:rsidP="000F17F6"/>
    <w:p w14:paraId="4311F10A" w14:textId="77777777" w:rsidR="000F17F6" w:rsidRPr="000F17F6" w:rsidRDefault="000F17F6" w:rsidP="000F17F6">
      <w:r w:rsidRPr="000F17F6">
        <w:t xml:space="preserve">Our results suggest that the β subunit might rearrange the states of </w:t>
      </w:r>
      <w:proofErr w:type="spellStart"/>
      <w:r w:rsidRPr="000F17F6">
        <w:t>GlyRs</w:t>
      </w:r>
      <w:proofErr w:type="spellEnd"/>
      <w:r w:rsidRPr="000F17F6">
        <w:t xml:space="preserve"> changing the kinetics at the single channel level. It is possible that the β subunit interspaced with α2 allows the exposure of key residues important for the conformational changes occurring after agonist binding (</w:t>
      </w:r>
      <w:proofErr w:type="spellStart"/>
      <w:r w:rsidR="0036006D">
        <w:fldChar w:fldCharType="begin"/>
      </w:r>
      <w:r w:rsidR="0036006D">
        <w:instrText xml:space="preserve"> HYPERLINK "https://www.frontiersin.org/</w:instrText>
      </w:r>
      <w:r w:rsidR="0036006D">
        <w:instrText xml:space="preserve">articles/10.3389/fnmol.2021.763868/full" \l "B22" </w:instrText>
      </w:r>
      <w:r w:rsidR="0036006D">
        <w:fldChar w:fldCharType="separate"/>
      </w:r>
      <w:r w:rsidRPr="000F17F6">
        <w:rPr>
          <w:rStyle w:val="Hyperlink"/>
        </w:rPr>
        <w:t>Lape</w:t>
      </w:r>
      <w:proofErr w:type="spellEnd"/>
      <w:r w:rsidRPr="000F17F6">
        <w:rPr>
          <w:rStyle w:val="Hyperlink"/>
        </w:rPr>
        <w:t xml:space="preserve"> et al., 2008</w:t>
      </w:r>
      <w:r w:rsidR="0036006D">
        <w:rPr>
          <w:rStyle w:val="Hyperlink"/>
        </w:rPr>
        <w:fldChar w:fldCharType="end"/>
      </w:r>
      <w:r w:rsidRPr="000F17F6">
        <w:t>; </w:t>
      </w:r>
      <w:proofErr w:type="spellStart"/>
      <w:r w:rsidR="0036006D">
        <w:fldChar w:fldCharType="begin"/>
      </w:r>
      <w:r w:rsidR="0036006D">
        <w:instrText xml:space="preserve"> HYPERLINK "https://www.frontiersin.org/articles/10.3389/fnmol.2021.763868/full" \l "B21" </w:instrText>
      </w:r>
      <w:r w:rsidR="0036006D">
        <w:fldChar w:fldCharType="separate"/>
      </w:r>
      <w:r w:rsidRPr="000F17F6">
        <w:rPr>
          <w:rStyle w:val="Hyperlink"/>
        </w:rPr>
        <w:t>Krashia</w:t>
      </w:r>
      <w:proofErr w:type="spellEnd"/>
      <w:r w:rsidRPr="000F17F6">
        <w:rPr>
          <w:rStyle w:val="Hyperlink"/>
        </w:rPr>
        <w:t xml:space="preserve"> et al., 2011</w:t>
      </w:r>
      <w:r w:rsidR="0036006D">
        <w:rPr>
          <w:rStyle w:val="Hyperlink"/>
        </w:rPr>
        <w:fldChar w:fldCharType="end"/>
      </w:r>
      <w:r w:rsidRPr="000F17F6">
        <w:t xml:space="preserve">). They might be complementary to those recently reported that showed that shortening the IL in human </w:t>
      </w:r>
      <w:proofErr w:type="spellStart"/>
      <w:r w:rsidRPr="000F17F6">
        <w:t>GlyRs</w:t>
      </w:r>
      <w:proofErr w:type="spellEnd"/>
      <w:r w:rsidRPr="000F17F6">
        <w:t xml:space="preserve"> increased the open probability. The model proposed was that the IL has a modulatory action on </w:t>
      </w:r>
      <w:proofErr w:type="spellStart"/>
      <w:r w:rsidRPr="000F17F6">
        <w:t>GlyRs</w:t>
      </w:r>
      <w:proofErr w:type="spellEnd"/>
      <w:r w:rsidRPr="000F17F6">
        <w:t xml:space="preserve"> gating by introducing tension between TM3 and TM4 and causing them to reorient during channel opening (</w:t>
      </w:r>
      <w:hyperlink r:id="rId145" w:anchor="B18" w:history="1">
        <w:r w:rsidRPr="000F17F6">
          <w:rPr>
            <w:rStyle w:val="Hyperlink"/>
          </w:rPr>
          <w:t>Ivica et al., 2020</w:t>
        </w:r>
      </w:hyperlink>
      <w:r w:rsidRPr="000F17F6">
        <w:t>).</w:t>
      </w:r>
    </w:p>
    <w:p w14:paraId="2258EDBE" w14:textId="77777777" w:rsidR="000F17F6" w:rsidRPr="000F17F6" w:rsidRDefault="000F17F6" w:rsidP="00290A27">
      <w:pPr>
        <w:pStyle w:val="Heading1"/>
      </w:pPr>
      <w:bookmarkStart w:id="18" w:name="h6"/>
      <w:bookmarkEnd w:id="18"/>
      <w:r w:rsidRPr="000F17F6">
        <w:t>Conclusion</w:t>
      </w:r>
    </w:p>
    <w:p w14:paraId="48A55516" w14:textId="77777777" w:rsidR="000F17F6" w:rsidRPr="000F17F6" w:rsidRDefault="000F17F6" w:rsidP="000F17F6">
      <w:r w:rsidRPr="000F17F6">
        <w:t xml:space="preserve">We describe a new role for the β subunit for modulation by ethanol and other PAMs in α2 containing </w:t>
      </w:r>
      <w:proofErr w:type="spellStart"/>
      <w:r w:rsidRPr="000F17F6">
        <w:t>GlyRs</w:t>
      </w:r>
      <w:proofErr w:type="spellEnd"/>
      <w:r w:rsidRPr="000F17F6">
        <w:t xml:space="preserve">. Additionally, our study supports the notion that heteromeric β expressing </w:t>
      </w:r>
      <w:proofErr w:type="spellStart"/>
      <w:r w:rsidRPr="000F17F6">
        <w:t>GlyRs</w:t>
      </w:r>
      <w:proofErr w:type="spellEnd"/>
      <w:r w:rsidRPr="000F17F6">
        <w:t xml:space="preserve"> might play a crucial role in the control of excitability in upper brain regions that express α2 subunits.</w:t>
      </w:r>
    </w:p>
    <w:p w14:paraId="09BDF647" w14:textId="77777777" w:rsidR="000F17F6" w:rsidRPr="000F17F6" w:rsidRDefault="000F17F6" w:rsidP="00290A27">
      <w:pPr>
        <w:pStyle w:val="Heading1"/>
      </w:pPr>
      <w:bookmarkStart w:id="19" w:name="h7"/>
      <w:bookmarkEnd w:id="19"/>
      <w:r w:rsidRPr="000F17F6">
        <w:t>Data Availability Statement</w:t>
      </w:r>
    </w:p>
    <w:p w14:paraId="579DA7A1" w14:textId="77777777" w:rsidR="000F17F6" w:rsidRPr="000F17F6" w:rsidRDefault="000F17F6" w:rsidP="000F17F6">
      <w:r w:rsidRPr="000F17F6">
        <w:t>The raw data supporting the conclusions of this article will be made available by the authors, without undue reservation.</w:t>
      </w:r>
    </w:p>
    <w:p w14:paraId="5634C146" w14:textId="77777777" w:rsidR="000F17F6" w:rsidRPr="000F17F6" w:rsidRDefault="000F17F6" w:rsidP="00290A27">
      <w:pPr>
        <w:pStyle w:val="Heading1"/>
      </w:pPr>
      <w:bookmarkStart w:id="20" w:name="h8"/>
      <w:bookmarkEnd w:id="20"/>
      <w:r w:rsidRPr="000F17F6">
        <w:t>Author Contributions</w:t>
      </w:r>
    </w:p>
    <w:p w14:paraId="40E788F3" w14:textId="77777777" w:rsidR="000F17F6" w:rsidRPr="000F17F6" w:rsidRDefault="000F17F6" w:rsidP="000F17F6">
      <w:r w:rsidRPr="000F17F6">
        <w:t>BM and LA designed the study and wrote the manuscript. BM performed and analyzed most whole cell experiments. RP performed and analyzed the single channel studies. TM, PM, CP, and GM-C assisted in the electrophysiological experiments. BM, GY, GM-C, and LA corrected and discussed the manuscript. LA obtained the funding to support the study, guided and discussed the experiments, and corrected the manuscript. All authors revised and approved the final version of the manuscript.</w:t>
      </w:r>
    </w:p>
    <w:p w14:paraId="0D7DA90C" w14:textId="77777777" w:rsidR="000F17F6" w:rsidRPr="000F17F6" w:rsidRDefault="000F17F6" w:rsidP="00290A27">
      <w:pPr>
        <w:pStyle w:val="Heading1"/>
      </w:pPr>
      <w:bookmarkStart w:id="21" w:name="fun1"/>
      <w:bookmarkEnd w:id="21"/>
      <w:r w:rsidRPr="000F17F6">
        <w:t>Funding</w:t>
      </w:r>
    </w:p>
    <w:p w14:paraId="28CAF1E0" w14:textId="77777777" w:rsidR="000F17F6" w:rsidRPr="000F17F6" w:rsidRDefault="000F17F6" w:rsidP="000F17F6">
      <w:r w:rsidRPr="000F17F6">
        <w:t>This work was supported by NIH RO1 AA025718 and CONICYT DPI20140008.</w:t>
      </w:r>
    </w:p>
    <w:p w14:paraId="0CADE0EA" w14:textId="77777777" w:rsidR="000F17F6" w:rsidRPr="000F17F6" w:rsidRDefault="000F17F6" w:rsidP="00290A27">
      <w:pPr>
        <w:pStyle w:val="Heading1"/>
      </w:pPr>
      <w:bookmarkStart w:id="22" w:name="conf1"/>
      <w:bookmarkEnd w:id="22"/>
      <w:r w:rsidRPr="000F17F6">
        <w:t>Conflict of Interest</w:t>
      </w:r>
    </w:p>
    <w:p w14:paraId="059A2FE0" w14:textId="77777777" w:rsidR="000F17F6" w:rsidRPr="000F17F6" w:rsidRDefault="000F17F6" w:rsidP="000F17F6">
      <w:r w:rsidRPr="000F17F6">
        <w:t>The authors declare that the research was conducted in the absence of any commercial or financial relationships that could be construed as a potential conflict of interest.</w:t>
      </w:r>
    </w:p>
    <w:p w14:paraId="072B6711" w14:textId="77777777" w:rsidR="000F17F6" w:rsidRPr="000F17F6" w:rsidRDefault="000F17F6" w:rsidP="00290A27">
      <w:pPr>
        <w:pStyle w:val="Heading1"/>
      </w:pPr>
      <w:bookmarkStart w:id="23" w:name="h9"/>
      <w:bookmarkEnd w:id="23"/>
      <w:r w:rsidRPr="000F17F6">
        <w:lastRenderedPageBreak/>
        <w:t>Publisher’s Note</w:t>
      </w:r>
    </w:p>
    <w:p w14:paraId="271D9D9E" w14:textId="77777777" w:rsidR="000F17F6" w:rsidRPr="000F17F6" w:rsidRDefault="000F17F6" w:rsidP="000F17F6">
      <w:r w:rsidRPr="000F17F6">
        <w:t xml:space="preserve">All claims expressed in this article are solely those of the authors and do not necessarily represent those of their affiliated organizations, or those of the publisher, the </w:t>
      </w:r>
      <w:proofErr w:type="gramStart"/>
      <w:r w:rsidRPr="000F17F6">
        <w:t>editors</w:t>
      </w:r>
      <w:proofErr w:type="gramEnd"/>
      <w:r w:rsidRPr="000F17F6">
        <w:t xml:space="preserve"> and the reviewers. Any product that may be evaluated in this article, or claim that may be made by its manufacturer, is not </w:t>
      </w:r>
      <w:proofErr w:type="gramStart"/>
      <w:r w:rsidRPr="000F17F6">
        <w:t>guaranteed</w:t>
      </w:r>
      <w:proofErr w:type="gramEnd"/>
      <w:r w:rsidRPr="000F17F6">
        <w:t xml:space="preserve"> or endorsed by the publisher.</w:t>
      </w:r>
    </w:p>
    <w:p w14:paraId="363470D8" w14:textId="77777777" w:rsidR="000F17F6" w:rsidRPr="000F17F6" w:rsidRDefault="000F17F6" w:rsidP="00290A27">
      <w:pPr>
        <w:pStyle w:val="Heading1"/>
      </w:pPr>
      <w:bookmarkStart w:id="24" w:name="ack1"/>
      <w:bookmarkEnd w:id="24"/>
      <w:r w:rsidRPr="000F17F6">
        <w:t>Acknowledgments</w:t>
      </w:r>
    </w:p>
    <w:p w14:paraId="14D9DC06" w14:textId="77777777" w:rsidR="000F17F6" w:rsidRPr="000F17F6" w:rsidRDefault="000F17F6" w:rsidP="000F17F6">
      <w:r w:rsidRPr="000F17F6">
        <w:t xml:space="preserve">The authors would like to thank Lauren J. Aguayo for her expert technical assistance and English revision. We appreciate the constructive comments of Lucia </w:t>
      </w:r>
      <w:proofErr w:type="spellStart"/>
      <w:r w:rsidRPr="000F17F6">
        <w:t>Sivilotti</w:t>
      </w:r>
      <w:proofErr w:type="spellEnd"/>
      <w:r w:rsidRPr="000F17F6">
        <w:t xml:space="preserve"> (University College London, United Kingdom).</w:t>
      </w:r>
    </w:p>
    <w:p w14:paraId="04DA8596" w14:textId="77777777" w:rsidR="000F17F6" w:rsidRPr="000F17F6" w:rsidRDefault="000F17F6" w:rsidP="00290A27">
      <w:pPr>
        <w:pStyle w:val="Heading1"/>
      </w:pPr>
      <w:bookmarkStart w:id="25" w:name="refer1"/>
      <w:bookmarkEnd w:id="25"/>
      <w:r w:rsidRPr="000F17F6">
        <w:t>References</w:t>
      </w:r>
    </w:p>
    <w:p w14:paraId="4E436FD5" w14:textId="77777777" w:rsidR="000F17F6" w:rsidRPr="000F17F6" w:rsidRDefault="000F17F6" w:rsidP="00290A27">
      <w:pPr>
        <w:spacing w:after="0"/>
        <w:ind w:left="720" w:hanging="720"/>
      </w:pPr>
      <w:bookmarkStart w:id="26" w:name="B1"/>
      <w:bookmarkEnd w:id="26"/>
      <w:proofErr w:type="spellStart"/>
      <w:r w:rsidRPr="000F17F6">
        <w:t>Adermark</w:t>
      </w:r>
      <w:proofErr w:type="spellEnd"/>
      <w:r w:rsidRPr="000F17F6">
        <w:t xml:space="preserve">, L., Clarke, R. B., Olsson, T., Hansson, E., </w:t>
      </w:r>
      <w:proofErr w:type="spellStart"/>
      <w:r w:rsidRPr="000F17F6">
        <w:t>Soderpalm</w:t>
      </w:r>
      <w:proofErr w:type="spellEnd"/>
      <w:r w:rsidRPr="000F17F6">
        <w:t xml:space="preserve">, B., and Ericson, M. (2011). Implications for glycine receptors and astrocytes in ethanol-induced elevation of dopamine levels in the nucleus </w:t>
      </w:r>
      <w:proofErr w:type="spellStart"/>
      <w:r w:rsidRPr="000F17F6">
        <w:t>accumbens</w:t>
      </w:r>
      <w:proofErr w:type="spellEnd"/>
      <w:r w:rsidRPr="000F17F6">
        <w:t>. </w:t>
      </w:r>
      <w:r w:rsidRPr="000F17F6">
        <w:rPr>
          <w:i/>
          <w:iCs/>
        </w:rPr>
        <w:t>Addict. Biol.</w:t>
      </w:r>
      <w:r w:rsidRPr="000F17F6">
        <w:t xml:space="preserve"> 16, 43–54. </w:t>
      </w:r>
      <w:proofErr w:type="spellStart"/>
      <w:r w:rsidRPr="000F17F6">
        <w:t>doi</w:t>
      </w:r>
      <w:proofErr w:type="spellEnd"/>
      <w:r w:rsidRPr="000F17F6">
        <w:t>: 10.1111/j.1369-1600.</w:t>
      </w:r>
      <w:proofErr w:type="gramStart"/>
      <w:r w:rsidRPr="000F17F6">
        <w:t>2010.00206.x</w:t>
      </w:r>
      <w:proofErr w:type="gramEnd"/>
    </w:p>
    <w:p w14:paraId="2D08C7AE" w14:textId="77777777" w:rsidR="000F17F6" w:rsidRPr="000F17F6" w:rsidRDefault="000F17F6" w:rsidP="00290A27">
      <w:pPr>
        <w:spacing w:after="0"/>
        <w:ind w:left="720" w:hanging="720"/>
      </w:pPr>
      <w:bookmarkStart w:id="27" w:name="B2"/>
      <w:bookmarkEnd w:id="27"/>
      <w:r w:rsidRPr="000F17F6">
        <w:t xml:space="preserve">Aguayo, L. G., Castro, P., </w:t>
      </w:r>
      <w:proofErr w:type="spellStart"/>
      <w:r w:rsidRPr="000F17F6">
        <w:t>Mariqueo</w:t>
      </w:r>
      <w:proofErr w:type="spellEnd"/>
      <w:r w:rsidRPr="000F17F6">
        <w:t xml:space="preserve">, T., Munoz, B., </w:t>
      </w:r>
      <w:proofErr w:type="spellStart"/>
      <w:r w:rsidRPr="000F17F6">
        <w:t>Xiong</w:t>
      </w:r>
      <w:proofErr w:type="spellEnd"/>
      <w:r w:rsidRPr="000F17F6">
        <w:t xml:space="preserve">, W., Zhang, L., et al. (2014). Altered sedative effects of ethanol in mice with alpha1 glycine receptor subunits that are insensitive to </w:t>
      </w:r>
      <w:proofErr w:type="spellStart"/>
      <w:r w:rsidRPr="000F17F6">
        <w:t>Gbetagamma</w:t>
      </w:r>
      <w:proofErr w:type="spellEnd"/>
      <w:r w:rsidRPr="000F17F6">
        <w:t xml:space="preserve"> modulation. </w:t>
      </w:r>
      <w:r w:rsidRPr="000F17F6">
        <w:rPr>
          <w:i/>
          <w:iCs/>
        </w:rPr>
        <w:t>Neuropsychopharmacology</w:t>
      </w:r>
      <w:r w:rsidRPr="000F17F6">
        <w:t xml:space="preserve"> 39, 2538–2548. </w:t>
      </w:r>
      <w:proofErr w:type="spellStart"/>
      <w:r w:rsidRPr="000F17F6">
        <w:t>doi</w:t>
      </w:r>
      <w:proofErr w:type="spellEnd"/>
      <w:r w:rsidRPr="000F17F6">
        <w:t>: 10.1038/npp.2014.100</w:t>
      </w:r>
    </w:p>
    <w:p w14:paraId="0D9ACEA2" w14:textId="77777777" w:rsidR="000F17F6" w:rsidRPr="000F17F6" w:rsidRDefault="000F17F6" w:rsidP="00290A27">
      <w:pPr>
        <w:spacing w:after="0"/>
        <w:ind w:left="720" w:hanging="720"/>
      </w:pPr>
      <w:bookmarkStart w:id="28" w:name="B3"/>
      <w:bookmarkEnd w:id="28"/>
      <w:r w:rsidRPr="000F17F6">
        <w:t xml:space="preserve">Aguayo, L. G., and </w:t>
      </w:r>
      <w:proofErr w:type="spellStart"/>
      <w:r w:rsidRPr="000F17F6">
        <w:t>Pancetti</w:t>
      </w:r>
      <w:proofErr w:type="spellEnd"/>
      <w:r w:rsidRPr="000F17F6">
        <w:t xml:space="preserve">, F. C. (1994). Ethanol modulation of the gamma-aminobutyric </w:t>
      </w:r>
      <w:proofErr w:type="spellStart"/>
      <w:r w:rsidRPr="000F17F6">
        <w:t>acidA</w:t>
      </w:r>
      <w:proofErr w:type="spellEnd"/>
      <w:r w:rsidRPr="000F17F6">
        <w:t>- and glycine-activated Cl- current in cultured mouse neurons. </w:t>
      </w:r>
      <w:r w:rsidRPr="000F17F6">
        <w:rPr>
          <w:i/>
          <w:iCs/>
        </w:rPr>
        <w:t xml:space="preserve">J. </w:t>
      </w:r>
      <w:proofErr w:type="spellStart"/>
      <w:r w:rsidRPr="000F17F6">
        <w:rPr>
          <w:i/>
          <w:iCs/>
        </w:rPr>
        <w:t>Pharmacol</w:t>
      </w:r>
      <w:proofErr w:type="spellEnd"/>
      <w:r w:rsidRPr="000F17F6">
        <w:rPr>
          <w:i/>
          <w:iCs/>
        </w:rPr>
        <w:t xml:space="preserve">. Exp. </w:t>
      </w:r>
      <w:proofErr w:type="spellStart"/>
      <w:r w:rsidRPr="000F17F6">
        <w:rPr>
          <w:i/>
          <w:iCs/>
        </w:rPr>
        <w:t>Ther</w:t>
      </w:r>
      <w:proofErr w:type="spellEnd"/>
      <w:r w:rsidRPr="000F17F6">
        <w:rPr>
          <w:i/>
          <w:iCs/>
        </w:rPr>
        <w:t>.</w:t>
      </w:r>
      <w:r w:rsidRPr="000F17F6">
        <w:t> 270, 61–69.</w:t>
      </w:r>
    </w:p>
    <w:p w14:paraId="200C4F44" w14:textId="77777777" w:rsidR="000F17F6" w:rsidRPr="000F17F6" w:rsidRDefault="000F17F6" w:rsidP="00290A27">
      <w:pPr>
        <w:spacing w:after="0"/>
        <w:ind w:left="720" w:hanging="720"/>
      </w:pPr>
      <w:bookmarkStart w:id="29" w:name="B4"/>
      <w:bookmarkEnd w:id="29"/>
      <w:r w:rsidRPr="000F17F6">
        <w:t xml:space="preserve">Aguayo, L. G., Tapia, J. C., and </w:t>
      </w:r>
      <w:proofErr w:type="spellStart"/>
      <w:r w:rsidRPr="000F17F6">
        <w:t>Pancetti</w:t>
      </w:r>
      <w:proofErr w:type="spellEnd"/>
      <w:r w:rsidRPr="000F17F6">
        <w:t>, F. C. (1996). Potentiation of the glycine-activated Cl- current by ethanol in cultured mouse spinal neurons. </w:t>
      </w:r>
      <w:r w:rsidRPr="000F17F6">
        <w:rPr>
          <w:i/>
          <w:iCs/>
        </w:rPr>
        <w:t xml:space="preserve">J. </w:t>
      </w:r>
      <w:proofErr w:type="spellStart"/>
      <w:r w:rsidRPr="000F17F6">
        <w:rPr>
          <w:i/>
          <w:iCs/>
        </w:rPr>
        <w:t>Pharmacol</w:t>
      </w:r>
      <w:proofErr w:type="spellEnd"/>
      <w:r w:rsidRPr="000F17F6">
        <w:rPr>
          <w:i/>
          <w:iCs/>
        </w:rPr>
        <w:t xml:space="preserve">. Exp. </w:t>
      </w:r>
      <w:proofErr w:type="spellStart"/>
      <w:r w:rsidRPr="000F17F6">
        <w:rPr>
          <w:i/>
          <w:iCs/>
        </w:rPr>
        <w:t>Ther</w:t>
      </w:r>
      <w:proofErr w:type="spellEnd"/>
      <w:r w:rsidRPr="000F17F6">
        <w:rPr>
          <w:i/>
          <w:iCs/>
        </w:rPr>
        <w:t>.</w:t>
      </w:r>
      <w:r w:rsidRPr="000F17F6">
        <w:t> 279, 1116–1122.</w:t>
      </w:r>
    </w:p>
    <w:p w14:paraId="0C898B3C" w14:textId="77777777" w:rsidR="000F17F6" w:rsidRPr="000F17F6" w:rsidRDefault="000F17F6" w:rsidP="00290A27">
      <w:pPr>
        <w:spacing w:after="0"/>
        <w:ind w:left="720" w:hanging="720"/>
      </w:pPr>
      <w:bookmarkStart w:id="30" w:name="B5"/>
      <w:bookmarkEnd w:id="30"/>
      <w:r w:rsidRPr="000F17F6">
        <w:t xml:space="preserve">Avila, A., Nguyen, L., and </w:t>
      </w:r>
      <w:proofErr w:type="spellStart"/>
      <w:r w:rsidRPr="000F17F6">
        <w:t>Rigo</w:t>
      </w:r>
      <w:proofErr w:type="spellEnd"/>
      <w:r w:rsidRPr="000F17F6">
        <w:t>, J. M. (2013a). Glycine receptors and brain development. </w:t>
      </w:r>
      <w:r w:rsidRPr="000F17F6">
        <w:rPr>
          <w:i/>
          <w:iCs/>
        </w:rPr>
        <w:t xml:space="preserve">Front. Cell. </w:t>
      </w:r>
      <w:proofErr w:type="spellStart"/>
      <w:r w:rsidRPr="000F17F6">
        <w:rPr>
          <w:i/>
          <w:iCs/>
        </w:rPr>
        <w:t>Neurosci</w:t>
      </w:r>
      <w:proofErr w:type="spellEnd"/>
      <w:r w:rsidRPr="000F17F6">
        <w:rPr>
          <w:i/>
          <w:iCs/>
        </w:rPr>
        <w:t>.</w:t>
      </w:r>
      <w:r w:rsidRPr="000F17F6">
        <w:t xml:space="preserve"> 7:184. </w:t>
      </w:r>
      <w:proofErr w:type="spellStart"/>
      <w:r w:rsidRPr="000F17F6">
        <w:t>doi</w:t>
      </w:r>
      <w:proofErr w:type="spellEnd"/>
      <w:r w:rsidRPr="000F17F6">
        <w:t>: 10.3389/fncel.2013.00184</w:t>
      </w:r>
    </w:p>
    <w:p w14:paraId="44938B51" w14:textId="77777777" w:rsidR="000F17F6" w:rsidRPr="000F17F6" w:rsidRDefault="000F17F6" w:rsidP="00290A27">
      <w:pPr>
        <w:spacing w:after="0"/>
        <w:ind w:left="720" w:hanging="720"/>
      </w:pPr>
      <w:bookmarkStart w:id="31" w:name="B6"/>
      <w:bookmarkEnd w:id="31"/>
      <w:r w:rsidRPr="000F17F6">
        <w:t xml:space="preserve">Avila, A., Vidal, P. M., Dear, T. N., Harvey, R. J., </w:t>
      </w:r>
      <w:proofErr w:type="spellStart"/>
      <w:r w:rsidRPr="000F17F6">
        <w:t>Rigo</w:t>
      </w:r>
      <w:proofErr w:type="spellEnd"/>
      <w:r w:rsidRPr="000F17F6">
        <w:t>, J. M., and Nguyen, L. (2013b). Glycine receptor alpha2 subunit activation promotes cortical interneuron migration. </w:t>
      </w:r>
      <w:r w:rsidRPr="000F17F6">
        <w:rPr>
          <w:i/>
          <w:iCs/>
        </w:rPr>
        <w:t>Cell Rep.</w:t>
      </w:r>
      <w:r w:rsidRPr="000F17F6">
        <w:t xml:space="preserve"> 4, 738–750. </w:t>
      </w:r>
      <w:proofErr w:type="spellStart"/>
      <w:r w:rsidRPr="000F17F6">
        <w:t>doi</w:t>
      </w:r>
      <w:proofErr w:type="spellEnd"/>
      <w:r w:rsidRPr="000F17F6">
        <w:t>: 10.1016/j.celrep.2013.07.016</w:t>
      </w:r>
    </w:p>
    <w:p w14:paraId="209DCBFE" w14:textId="77777777" w:rsidR="000F17F6" w:rsidRPr="000F17F6" w:rsidRDefault="000F17F6" w:rsidP="00290A27">
      <w:pPr>
        <w:spacing w:after="0"/>
        <w:ind w:left="720" w:hanging="720"/>
      </w:pPr>
      <w:bookmarkStart w:id="32" w:name="B7"/>
      <w:bookmarkEnd w:id="32"/>
      <w:proofErr w:type="spellStart"/>
      <w:r w:rsidRPr="000F17F6">
        <w:t>Blednov</w:t>
      </w:r>
      <w:proofErr w:type="spellEnd"/>
      <w:r w:rsidRPr="000F17F6">
        <w:t xml:space="preserve">, Y. A., Benavidez, J. M., Black, M., Leiter, C. R., </w:t>
      </w:r>
      <w:proofErr w:type="spellStart"/>
      <w:r w:rsidRPr="000F17F6">
        <w:t>Osterndorff-Kahanek</w:t>
      </w:r>
      <w:proofErr w:type="spellEnd"/>
      <w:r w:rsidRPr="000F17F6">
        <w:t>, E., and Harris, R. A. (2015). Glycine receptors containing alpha2 or alpha3 subunits regulate specific ethanol-mediated behaviors. </w:t>
      </w:r>
      <w:r w:rsidRPr="000F17F6">
        <w:rPr>
          <w:i/>
          <w:iCs/>
        </w:rPr>
        <w:t xml:space="preserve">J. </w:t>
      </w:r>
      <w:proofErr w:type="spellStart"/>
      <w:r w:rsidRPr="000F17F6">
        <w:rPr>
          <w:i/>
          <w:iCs/>
        </w:rPr>
        <w:t>Pharmacol</w:t>
      </w:r>
      <w:proofErr w:type="spellEnd"/>
      <w:r w:rsidRPr="000F17F6">
        <w:rPr>
          <w:i/>
          <w:iCs/>
        </w:rPr>
        <w:t xml:space="preserve">. Exp. </w:t>
      </w:r>
      <w:proofErr w:type="spellStart"/>
      <w:r w:rsidRPr="000F17F6">
        <w:rPr>
          <w:i/>
          <w:iCs/>
        </w:rPr>
        <w:t>Ther</w:t>
      </w:r>
      <w:proofErr w:type="spellEnd"/>
      <w:r w:rsidRPr="000F17F6">
        <w:rPr>
          <w:i/>
          <w:iCs/>
        </w:rPr>
        <w:t>.</w:t>
      </w:r>
      <w:r w:rsidRPr="000F17F6">
        <w:t xml:space="preserve"> 353, 181–191. </w:t>
      </w:r>
      <w:proofErr w:type="spellStart"/>
      <w:r w:rsidRPr="000F17F6">
        <w:t>doi</w:t>
      </w:r>
      <w:proofErr w:type="spellEnd"/>
      <w:r w:rsidRPr="000F17F6">
        <w:t>: 10.1124/jpet.114.221895</w:t>
      </w:r>
    </w:p>
    <w:p w14:paraId="18B3EA5E" w14:textId="77777777" w:rsidR="000F17F6" w:rsidRPr="000F17F6" w:rsidRDefault="000F17F6" w:rsidP="00290A27">
      <w:pPr>
        <w:spacing w:after="0"/>
        <w:ind w:left="720" w:hanging="720"/>
      </w:pPr>
      <w:bookmarkStart w:id="33" w:name="B8"/>
      <w:bookmarkEnd w:id="33"/>
      <w:r w:rsidRPr="000F17F6">
        <w:t xml:space="preserve">Borghese, C. M., </w:t>
      </w:r>
      <w:proofErr w:type="spellStart"/>
      <w:r w:rsidRPr="000F17F6">
        <w:t>Blednov</w:t>
      </w:r>
      <w:proofErr w:type="spellEnd"/>
      <w:r w:rsidRPr="000F17F6">
        <w:t xml:space="preserve">, Y. A., Quan, Y., </w:t>
      </w:r>
      <w:proofErr w:type="spellStart"/>
      <w:r w:rsidRPr="000F17F6">
        <w:t>Iyer</w:t>
      </w:r>
      <w:proofErr w:type="spellEnd"/>
      <w:r w:rsidRPr="000F17F6">
        <w:t xml:space="preserve">, S. V., </w:t>
      </w:r>
      <w:proofErr w:type="spellStart"/>
      <w:r w:rsidRPr="000F17F6">
        <w:t>Xiong</w:t>
      </w:r>
      <w:proofErr w:type="spellEnd"/>
      <w:r w:rsidRPr="000F17F6">
        <w:t xml:space="preserve">, W., </w:t>
      </w:r>
      <w:proofErr w:type="spellStart"/>
      <w:r w:rsidRPr="000F17F6">
        <w:t>Mihic</w:t>
      </w:r>
      <w:proofErr w:type="spellEnd"/>
      <w:r w:rsidRPr="000F17F6">
        <w:t>, S. J., et al. (2012). Characterization of two mutations, M287L and Q266I, in the alpha1 glycine receptor subunit that modify sensitivity to alcohols. </w:t>
      </w:r>
      <w:r w:rsidRPr="000F17F6">
        <w:rPr>
          <w:i/>
          <w:iCs/>
        </w:rPr>
        <w:t xml:space="preserve">J. </w:t>
      </w:r>
      <w:proofErr w:type="spellStart"/>
      <w:r w:rsidRPr="000F17F6">
        <w:rPr>
          <w:i/>
          <w:iCs/>
        </w:rPr>
        <w:t>Pharmacol</w:t>
      </w:r>
      <w:proofErr w:type="spellEnd"/>
      <w:r w:rsidRPr="000F17F6">
        <w:rPr>
          <w:i/>
          <w:iCs/>
        </w:rPr>
        <w:t xml:space="preserve">. Exp. </w:t>
      </w:r>
      <w:proofErr w:type="spellStart"/>
      <w:r w:rsidRPr="000F17F6">
        <w:rPr>
          <w:i/>
          <w:iCs/>
        </w:rPr>
        <w:t>Ther</w:t>
      </w:r>
      <w:proofErr w:type="spellEnd"/>
      <w:r w:rsidRPr="000F17F6">
        <w:rPr>
          <w:i/>
          <w:iCs/>
        </w:rPr>
        <w:t>.</w:t>
      </w:r>
      <w:r w:rsidRPr="000F17F6">
        <w:t xml:space="preserve"> 340, 304–316. </w:t>
      </w:r>
      <w:proofErr w:type="spellStart"/>
      <w:r w:rsidRPr="000F17F6">
        <w:t>doi</w:t>
      </w:r>
      <w:proofErr w:type="spellEnd"/>
      <w:r w:rsidRPr="000F17F6">
        <w:t>: 10.1124/jpet.111.185116</w:t>
      </w:r>
    </w:p>
    <w:p w14:paraId="3FDF6696" w14:textId="77777777" w:rsidR="000F17F6" w:rsidRPr="000F17F6" w:rsidRDefault="000F17F6" w:rsidP="00290A27">
      <w:pPr>
        <w:spacing w:after="0"/>
        <w:ind w:left="720" w:hanging="720"/>
      </w:pPr>
      <w:bookmarkStart w:id="34" w:name="B9"/>
      <w:bookmarkEnd w:id="34"/>
      <w:r w:rsidRPr="000F17F6">
        <w:t xml:space="preserve">Crawford, D. K., Perkins, D. I., Trudell, J. R., </w:t>
      </w:r>
      <w:proofErr w:type="spellStart"/>
      <w:r w:rsidRPr="000F17F6">
        <w:t>Bertaccini</w:t>
      </w:r>
      <w:proofErr w:type="spellEnd"/>
      <w:r w:rsidRPr="000F17F6">
        <w:t xml:space="preserve">, E. J., Davies, D. L., and </w:t>
      </w:r>
      <w:proofErr w:type="spellStart"/>
      <w:r w:rsidRPr="000F17F6">
        <w:t>Alkana</w:t>
      </w:r>
      <w:proofErr w:type="spellEnd"/>
      <w:r w:rsidRPr="000F17F6">
        <w:t>, R. L. (2008). Roles for loop 2 residues of alpha1 glycine receptors in agonist activation. </w:t>
      </w:r>
      <w:r w:rsidRPr="000F17F6">
        <w:rPr>
          <w:i/>
          <w:iCs/>
        </w:rPr>
        <w:t>J. Biol. Chem.</w:t>
      </w:r>
      <w:r w:rsidRPr="000F17F6">
        <w:t xml:space="preserve"> 283, 27698–27706. </w:t>
      </w:r>
      <w:proofErr w:type="spellStart"/>
      <w:r w:rsidRPr="000F17F6">
        <w:t>doi</w:t>
      </w:r>
      <w:proofErr w:type="spellEnd"/>
      <w:r w:rsidRPr="000F17F6">
        <w:t>: 10.1074/jbc.m802384200</w:t>
      </w:r>
    </w:p>
    <w:p w14:paraId="6397EE7F" w14:textId="77777777" w:rsidR="000F17F6" w:rsidRPr="000F17F6" w:rsidRDefault="000F17F6" w:rsidP="00290A27">
      <w:pPr>
        <w:spacing w:after="0"/>
        <w:ind w:left="720" w:hanging="720"/>
      </w:pPr>
      <w:bookmarkStart w:id="35" w:name="B10"/>
      <w:bookmarkEnd w:id="35"/>
      <w:r w:rsidRPr="000F17F6">
        <w:t xml:space="preserve">Eggers, E. D., </w:t>
      </w:r>
      <w:proofErr w:type="spellStart"/>
      <w:r w:rsidRPr="000F17F6">
        <w:t>O’brien</w:t>
      </w:r>
      <w:proofErr w:type="spellEnd"/>
      <w:r w:rsidRPr="000F17F6">
        <w:t>, J. A., and Berger, A. J. (2000). Developmental changes in the modulation of synaptic glycine receptors by ethanol. </w:t>
      </w:r>
      <w:r w:rsidRPr="000F17F6">
        <w:rPr>
          <w:i/>
          <w:iCs/>
        </w:rPr>
        <w:t xml:space="preserve">J. </w:t>
      </w:r>
      <w:proofErr w:type="spellStart"/>
      <w:r w:rsidRPr="000F17F6">
        <w:rPr>
          <w:i/>
          <w:iCs/>
        </w:rPr>
        <w:t>Neurophysiol</w:t>
      </w:r>
      <w:proofErr w:type="spellEnd"/>
      <w:r w:rsidRPr="000F17F6">
        <w:rPr>
          <w:i/>
          <w:iCs/>
        </w:rPr>
        <w:t>.</w:t>
      </w:r>
      <w:r w:rsidRPr="000F17F6">
        <w:t xml:space="preserve"> 84, 2409–2416. </w:t>
      </w:r>
      <w:proofErr w:type="spellStart"/>
      <w:r w:rsidRPr="000F17F6">
        <w:t>doi</w:t>
      </w:r>
      <w:proofErr w:type="spellEnd"/>
      <w:r w:rsidRPr="000F17F6">
        <w:t>: 10.1152/jn.2000.84.5.2409</w:t>
      </w:r>
    </w:p>
    <w:p w14:paraId="258525EF" w14:textId="77777777" w:rsidR="000F17F6" w:rsidRPr="000F17F6" w:rsidRDefault="000F17F6" w:rsidP="00290A27">
      <w:pPr>
        <w:spacing w:after="0"/>
        <w:ind w:left="720" w:hanging="720"/>
      </w:pPr>
      <w:bookmarkStart w:id="36" w:name="B11"/>
      <w:bookmarkEnd w:id="36"/>
      <w:proofErr w:type="spellStart"/>
      <w:r w:rsidRPr="000F17F6">
        <w:t>Forstera</w:t>
      </w:r>
      <w:proofErr w:type="spellEnd"/>
      <w:r w:rsidRPr="000F17F6">
        <w:t xml:space="preserve">, B., Munoz, B., Lobo, M. K., Chandra, R., </w:t>
      </w:r>
      <w:proofErr w:type="spellStart"/>
      <w:r w:rsidRPr="000F17F6">
        <w:t>Lovinger</w:t>
      </w:r>
      <w:proofErr w:type="spellEnd"/>
      <w:r w:rsidRPr="000F17F6">
        <w:t xml:space="preserve">, D. M., and Aguayo, L. G. (2017). Presence of ethanol-sensitive glycine receptors in medium spiny neurons in the mouse nucleus </w:t>
      </w:r>
      <w:proofErr w:type="spellStart"/>
      <w:r w:rsidRPr="000F17F6">
        <w:t>accumbens</w:t>
      </w:r>
      <w:proofErr w:type="spellEnd"/>
      <w:r w:rsidRPr="000F17F6">
        <w:t>. </w:t>
      </w:r>
      <w:r w:rsidRPr="000F17F6">
        <w:rPr>
          <w:i/>
          <w:iCs/>
        </w:rPr>
        <w:t>J. Physiol.</w:t>
      </w:r>
      <w:r w:rsidRPr="000F17F6">
        <w:t xml:space="preserve"> 595, 5285–5300. </w:t>
      </w:r>
      <w:proofErr w:type="spellStart"/>
      <w:r w:rsidRPr="000F17F6">
        <w:t>doi</w:t>
      </w:r>
      <w:proofErr w:type="spellEnd"/>
      <w:r w:rsidRPr="000F17F6">
        <w:t>: 10.1113/jp273767</w:t>
      </w:r>
    </w:p>
    <w:p w14:paraId="11166401" w14:textId="77777777" w:rsidR="000F17F6" w:rsidRPr="000F17F6" w:rsidRDefault="000F17F6" w:rsidP="00290A27">
      <w:pPr>
        <w:spacing w:after="0"/>
        <w:ind w:left="720" w:hanging="720"/>
      </w:pPr>
      <w:bookmarkStart w:id="37" w:name="B12"/>
      <w:bookmarkEnd w:id="37"/>
      <w:proofErr w:type="spellStart"/>
      <w:r w:rsidRPr="000F17F6">
        <w:t>Fuentealba</w:t>
      </w:r>
      <w:proofErr w:type="spellEnd"/>
      <w:r w:rsidRPr="000F17F6">
        <w:t xml:space="preserve">, J., Munoz, B., </w:t>
      </w:r>
      <w:proofErr w:type="spellStart"/>
      <w:r w:rsidRPr="000F17F6">
        <w:t>Yevenes</w:t>
      </w:r>
      <w:proofErr w:type="spellEnd"/>
      <w:r w:rsidRPr="000F17F6">
        <w:t xml:space="preserve">, G., Moraga-Cid, G., Perez, C., Guzman, L., et al. (2011). Potentiation and inhibition of glycine receptors by </w:t>
      </w:r>
      <w:proofErr w:type="spellStart"/>
      <w:r w:rsidRPr="000F17F6">
        <w:t>tutin</w:t>
      </w:r>
      <w:proofErr w:type="spellEnd"/>
      <w:r w:rsidRPr="000F17F6">
        <w:t>. </w:t>
      </w:r>
      <w:r w:rsidRPr="000F17F6">
        <w:rPr>
          <w:i/>
          <w:iCs/>
        </w:rPr>
        <w:t>Neuropharmacology</w:t>
      </w:r>
      <w:r w:rsidRPr="000F17F6">
        <w:t xml:space="preserve"> 60, 453–459. </w:t>
      </w:r>
      <w:proofErr w:type="spellStart"/>
      <w:r w:rsidRPr="000F17F6">
        <w:t>doi</w:t>
      </w:r>
      <w:proofErr w:type="spellEnd"/>
      <w:r w:rsidRPr="000F17F6">
        <w:t>: 10.1016/j.neuropharm.2010.10.023</w:t>
      </w:r>
    </w:p>
    <w:p w14:paraId="651A7492" w14:textId="77777777" w:rsidR="000F17F6" w:rsidRPr="000F17F6" w:rsidRDefault="000F17F6" w:rsidP="00290A27">
      <w:pPr>
        <w:spacing w:after="0"/>
        <w:ind w:left="720" w:hanging="720"/>
      </w:pPr>
      <w:bookmarkStart w:id="38" w:name="B13"/>
      <w:bookmarkEnd w:id="38"/>
      <w:r w:rsidRPr="000F17F6">
        <w:t xml:space="preserve">Gallegos, S., Munoz, B., Araya, A., and Aguayo, L. G. (2019). High ethanol sensitive glycine receptors regulate firing in D1 medium spiny neurons in the nucleus </w:t>
      </w:r>
      <w:proofErr w:type="spellStart"/>
      <w:r w:rsidRPr="000F17F6">
        <w:t>accumbens</w:t>
      </w:r>
      <w:proofErr w:type="spellEnd"/>
      <w:r w:rsidRPr="000F17F6">
        <w:t>. </w:t>
      </w:r>
      <w:r w:rsidRPr="000F17F6">
        <w:rPr>
          <w:i/>
          <w:iCs/>
        </w:rPr>
        <w:t>Neuropharmacology</w:t>
      </w:r>
      <w:r w:rsidRPr="000F17F6">
        <w:t xml:space="preserve"> 160:107773. </w:t>
      </w:r>
      <w:proofErr w:type="spellStart"/>
      <w:r w:rsidRPr="000F17F6">
        <w:t>doi</w:t>
      </w:r>
      <w:proofErr w:type="spellEnd"/>
      <w:r w:rsidRPr="000F17F6">
        <w:t>: 10.1016/j.neuropharm.2019.107773</w:t>
      </w:r>
    </w:p>
    <w:p w14:paraId="156C3CEB" w14:textId="77777777" w:rsidR="000F17F6" w:rsidRPr="000F17F6" w:rsidRDefault="000F17F6" w:rsidP="00290A27">
      <w:pPr>
        <w:spacing w:after="0"/>
        <w:ind w:left="720" w:hanging="720"/>
      </w:pPr>
      <w:bookmarkStart w:id="39" w:name="B14"/>
      <w:bookmarkEnd w:id="39"/>
      <w:r w:rsidRPr="000F17F6">
        <w:lastRenderedPageBreak/>
        <w:t xml:space="preserve">Gallegos, S., San Martin, L., Araya, A., </w:t>
      </w:r>
      <w:proofErr w:type="spellStart"/>
      <w:r w:rsidRPr="000F17F6">
        <w:t>Lovinger</w:t>
      </w:r>
      <w:proofErr w:type="spellEnd"/>
      <w:r w:rsidRPr="000F17F6">
        <w:t xml:space="preserve">, D. M., </w:t>
      </w:r>
      <w:proofErr w:type="spellStart"/>
      <w:r w:rsidRPr="000F17F6">
        <w:t>Homanics</w:t>
      </w:r>
      <w:proofErr w:type="spellEnd"/>
      <w:r w:rsidRPr="000F17F6">
        <w:t>, G. E., and Aguayo, L. G. (2021). Reduced sedation and increased ethanol consumption in knock-in mice expressing an ethanol insensitive alpha 2 subunit of the glycine receptor. </w:t>
      </w:r>
      <w:r w:rsidRPr="000F17F6">
        <w:rPr>
          <w:i/>
          <w:iCs/>
        </w:rPr>
        <w:t>Neuropsychopharmacology</w:t>
      </w:r>
      <w:r w:rsidRPr="000F17F6">
        <w:t xml:space="preserve"> 46, 528–536. </w:t>
      </w:r>
      <w:proofErr w:type="spellStart"/>
      <w:r w:rsidRPr="000F17F6">
        <w:t>doi</w:t>
      </w:r>
      <w:proofErr w:type="spellEnd"/>
      <w:r w:rsidRPr="000F17F6">
        <w:t>: 10.1038/s41386-020-0689-9</w:t>
      </w:r>
    </w:p>
    <w:p w14:paraId="1A332AFE" w14:textId="77777777" w:rsidR="000F17F6" w:rsidRPr="000F17F6" w:rsidRDefault="000F17F6" w:rsidP="00290A27">
      <w:pPr>
        <w:spacing w:after="0"/>
        <w:ind w:left="720" w:hanging="720"/>
      </w:pPr>
      <w:bookmarkStart w:id="40" w:name="B15"/>
      <w:bookmarkEnd w:id="40"/>
      <w:proofErr w:type="spellStart"/>
      <w:r w:rsidRPr="000F17F6">
        <w:t>Gradwell</w:t>
      </w:r>
      <w:proofErr w:type="spellEnd"/>
      <w:r w:rsidRPr="000F17F6">
        <w:t>, M. A., Boyle, K. A., Callister, R. J., Hughes, D. I., and Graham, B. A. (2017). Heteromeric α/β glycine receptors regulate excitability in parvalbumin-expressing dorsal horn neurons through phasic and tonic glycinergic inhibition. </w:t>
      </w:r>
      <w:r w:rsidRPr="000F17F6">
        <w:rPr>
          <w:i/>
          <w:iCs/>
        </w:rPr>
        <w:t>J. Physiol.</w:t>
      </w:r>
      <w:r w:rsidRPr="000F17F6">
        <w:t xml:space="preserve"> 595, 7185–7202. </w:t>
      </w:r>
      <w:proofErr w:type="spellStart"/>
      <w:r w:rsidRPr="000F17F6">
        <w:t>doi</w:t>
      </w:r>
      <w:proofErr w:type="spellEnd"/>
      <w:r w:rsidRPr="000F17F6">
        <w:t>: 10.1113/JP274926</w:t>
      </w:r>
    </w:p>
    <w:p w14:paraId="36A5C6CC" w14:textId="77777777" w:rsidR="000F17F6" w:rsidRPr="000F17F6" w:rsidRDefault="000F17F6" w:rsidP="00290A27">
      <w:pPr>
        <w:spacing w:after="0"/>
        <w:ind w:left="720" w:hanging="720"/>
      </w:pPr>
      <w:bookmarkStart w:id="41" w:name="B16"/>
      <w:bookmarkEnd w:id="41"/>
      <w:proofErr w:type="spellStart"/>
      <w:r w:rsidRPr="000F17F6">
        <w:t>Grudzinska</w:t>
      </w:r>
      <w:proofErr w:type="spellEnd"/>
      <w:r w:rsidRPr="000F17F6">
        <w:t xml:space="preserve">, J., </w:t>
      </w:r>
      <w:proofErr w:type="spellStart"/>
      <w:r w:rsidRPr="000F17F6">
        <w:t>Schemm</w:t>
      </w:r>
      <w:proofErr w:type="spellEnd"/>
      <w:r w:rsidRPr="000F17F6">
        <w:t xml:space="preserve">, R., </w:t>
      </w:r>
      <w:proofErr w:type="spellStart"/>
      <w:r w:rsidRPr="000F17F6">
        <w:t>Haeger</w:t>
      </w:r>
      <w:proofErr w:type="spellEnd"/>
      <w:r w:rsidRPr="000F17F6">
        <w:t xml:space="preserve">, S., </w:t>
      </w:r>
      <w:proofErr w:type="spellStart"/>
      <w:r w:rsidRPr="000F17F6">
        <w:t>Nicke</w:t>
      </w:r>
      <w:proofErr w:type="spellEnd"/>
      <w:r w:rsidRPr="000F17F6">
        <w:t xml:space="preserve">, A., </w:t>
      </w:r>
      <w:proofErr w:type="spellStart"/>
      <w:r w:rsidRPr="000F17F6">
        <w:t>Schmalzing</w:t>
      </w:r>
      <w:proofErr w:type="spellEnd"/>
      <w:r w:rsidRPr="000F17F6">
        <w:t>, G., Betz, H., et al. (2005). The beta subunit determines the ligand binding properties of synaptic glycine receptors. </w:t>
      </w:r>
      <w:r w:rsidRPr="000F17F6">
        <w:rPr>
          <w:i/>
          <w:iCs/>
        </w:rPr>
        <w:t>Neuron</w:t>
      </w:r>
      <w:r w:rsidRPr="000F17F6">
        <w:t xml:space="preserve"> 45, 727–739. </w:t>
      </w:r>
      <w:proofErr w:type="spellStart"/>
      <w:r w:rsidRPr="000F17F6">
        <w:t>doi</w:t>
      </w:r>
      <w:proofErr w:type="spellEnd"/>
      <w:r w:rsidRPr="000F17F6">
        <w:t>: 10.1016/j.neuron.2005.01.028</w:t>
      </w:r>
    </w:p>
    <w:p w14:paraId="7185CD11" w14:textId="77777777" w:rsidR="000F17F6" w:rsidRPr="000F17F6" w:rsidRDefault="000F17F6" w:rsidP="00290A27">
      <w:pPr>
        <w:spacing w:after="0"/>
        <w:ind w:left="720" w:hanging="720"/>
      </w:pPr>
      <w:bookmarkStart w:id="42" w:name="B17"/>
      <w:bookmarkEnd w:id="42"/>
      <w:r w:rsidRPr="000F17F6">
        <w:t xml:space="preserve">Harvey, R. J., </w:t>
      </w:r>
      <w:proofErr w:type="spellStart"/>
      <w:r w:rsidRPr="000F17F6">
        <w:t>Depner</w:t>
      </w:r>
      <w:proofErr w:type="spellEnd"/>
      <w:r w:rsidRPr="000F17F6">
        <w:t xml:space="preserve">, U. B., </w:t>
      </w:r>
      <w:proofErr w:type="spellStart"/>
      <w:r w:rsidRPr="000F17F6">
        <w:t>Wassle</w:t>
      </w:r>
      <w:proofErr w:type="spellEnd"/>
      <w:r w:rsidRPr="000F17F6">
        <w:t xml:space="preserve">, H., Ahmadi, S., </w:t>
      </w:r>
      <w:proofErr w:type="spellStart"/>
      <w:r w:rsidRPr="000F17F6">
        <w:t>Heindl</w:t>
      </w:r>
      <w:proofErr w:type="spellEnd"/>
      <w:r w:rsidRPr="000F17F6">
        <w:t xml:space="preserve">, C., </w:t>
      </w:r>
      <w:proofErr w:type="spellStart"/>
      <w:r w:rsidRPr="000F17F6">
        <w:t>Reinold</w:t>
      </w:r>
      <w:proofErr w:type="spellEnd"/>
      <w:r w:rsidRPr="000F17F6">
        <w:t xml:space="preserve">, H., et al. (2004). </w:t>
      </w:r>
      <w:proofErr w:type="spellStart"/>
      <w:r w:rsidRPr="000F17F6">
        <w:t>GlyR</w:t>
      </w:r>
      <w:proofErr w:type="spellEnd"/>
      <w:r w:rsidRPr="000F17F6">
        <w:t xml:space="preserve"> alpha3: an essential target for spinal PGE2-mediated inflammatory pain sensitization. </w:t>
      </w:r>
      <w:r w:rsidRPr="000F17F6">
        <w:rPr>
          <w:i/>
          <w:iCs/>
        </w:rPr>
        <w:t>Science</w:t>
      </w:r>
      <w:r w:rsidRPr="000F17F6">
        <w:t xml:space="preserve"> 304, 884–887. </w:t>
      </w:r>
      <w:proofErr w:type="spellStart"/>
      <w:r w:rsidRPr="000F17F6">
        <w:t>doi</w:t>
      </w:r>
      <w:proofErr w:type="spellEnd"/>
      <w:r w:rsidRPr="000F17F6">
        <w:t>: 10.1126/science.1094925</w:t>
      </w:r>
    </w:p>
    <w:p w14:paraId="1A973B82" w14:textId="77777777" w:rsidR="000F17F6" w:rsidRPr="000F17F6" w:rsidRDefault="000F17F6" w:rsidP="00290A27">
      <w:pPr>
        <w:spacing w:after="0"/>
        <w:ind w:left="720" w:hanging="720"/>
      </w:pPr>
      <w:bookmarkStart w:id="43" w:name="B18"/>
      <w:bookmarkEnd w:id="43"/>
      <w:r w:rsidRPr="000F17F6">
        <w:t xml:space="preserve">Ivica, J., </w:t>
      </w:r>
      <w:proofErr w:type="spellStart"/>
      <w:r w:rsidRPr="000F17F6">
        <w:t>Lape</w:t>
      </w:r>
      <w:proofErr w:type="spellEnd"/>
      <w:r w:rsidRPr="000F17F6">
        <w:t xml:space="preserve">, R., </w:t>
      </w:r>
      <w:proofErr w:type="spellStart"/>
      <w:r w:rsidRPr="000F17F6">
        <w:t>Jazbec</w:t>
      </w:r>
      <w:proofErr w:type="spellEnd"/>
      <w:r w:rsidRPr="000F17F6">
        <w:t xml:space="preserve">, V., Yu, J., Zhu, H., </w:t>
      </w:r>
      <w:proofErr w:type="spellStart"/>
      <w:r w:rsidRPr="000F17F6">
        <w:t>Gouaux</w:t>
      </w:r>
      <w:proofErr w:type="spellEnd"/>
      <w:r w:rsidRPr="000F17F6">
        <w:t>, E., et al. (2020). The intracellular domain of homomeric glycine receptors modulates agonist efficacy. </w:t>
      </w:r>
      <w:r w:rsidRPr="000F17F6">
        <w:rPr>
          <w:i/>
          <w:iCs/>
        </w:rPr>
        <w:t>J. Biol. Chem.</w:t>
      </w:r>
      <w:r w:rsidRPr="000F17F6">
        <w:t xml:space="preserve"> 296:100387. </w:t>
      </w:r>
      <w:proofErr w:type="spellStart"/>
      <w:r w:rsidRPr="000F17F6">
        <w:t>doi</w:t>
      </w:r>
      <w:proofErr w:type="spellEnd"/>
      <w:r w:rsidRPr="000F17F6">
        <w:t>: 10.1074/jbc.RA119.012358</w:t>
      </w:r>
    </w:p>
    <w:p w14:paraId="4951F00E" w14:textId="77777777" w:rsidR="000F17F6" w:rsidRPr="000F17F6" w:rsidRDefault="000F17F6" w:rsidP="00290A27">
      <w:pPr>
        <w:spacing w:after="0"/>
        <w:ind w:left="720" w:hanging="720"/>
      </w:pPr>
      <w:bookmarkStart w:id="44" w:name="B19"/>
      <w:bookmarkEnd w:id="44"/>
      <w:r w:rsidRPr="000F17F6">
        <w:t>James, V. M., Bode, A., Chung, S.-K., Gill, J. L., Nielsen, M., Cowan, F. M., et al. (2013). Novel missense mutations in the glycine receptor β subunit gene (GLRB) in startle disease. </w:t>
      </w:r>
      <w:proofErr w:type="spellStart"/>
      <w:r w:rsidRPr="000F17F6">
        <w:rPr>
          <w:i/>
          <w:iCs/>
        </w:rPr>
        <w:t>Neurobiol</w:t>
      </w:r>
      <w:proofErr w:type="spellEnd"/>
      <w:r w:rsidRPr="000F17F6">
        <w:rPr>
          <w:i/>
          <w:iCs/>
        </w:rPr>
        <w:t>. Dis.</w:t>
      </w:r>
      <w:r w:rsidRPr="000F17F6">
        <w:t xml:space="preserve"> 52, 137–149. </w:t>
      </w:r>
      <w:proofErr w:type="spellStart"/>
      <w:r w:rsidRPr="000F17F6">
        <w:t>doi</w:t>
      </w:r>
      <w:proofErr w:type="spellEnd"/>
      <w:r w:rsidRPr="000F17F6">
        <w:t>: 10.1016/j.nbd.2012.12.001</w:t>
      </w:r>
    </w:p>
    <w:p w14:paraId="4518A667" w14:textId="77777777" w:rsidR="000F17F6" w:rsidRPr="000F17F6" w:rsidRDefault="000F17F6" w:rsidP="00290A27">
      <w:pPr>
        <w:spacing w:after="0"/>
        <w:ind w:left="720" w:hanging="720"/>
      </w:pPr>
      <w:bookmarkStart w:id="45" w:name="B20"/>
      <w:bookmarkEnd w:id="45"/>
      <w:proofErr w:type="spellStart"/>
      <w:r w:rsidRPr="000F17F6">
        <w:t>Kirson</w:t>
      </w:r>
      <w:proofErr w:type="spellEnd"/>
      <w:r w:rsidRPr="000F17F6">
        <w:t xml:space="preserve">, D., </w:t>
      </w:r>
      <w:proofErr w:type="spellStart"/>
      <w:r w:rsidRPr="000F17F6">
        <w:t>Todorovic</w:t>
      </w:r>
      <w:proofErr w:type="spellEnd"/>
      <w:r w:rsidRPr="000F17F6">
        <w:t xml:space="preserve">, J., and </w:t>
      </w:r>
      <w:proofErr w:type="spellStart"/>
      <w:r w:rsidRPr="000F17F6">
        <w:t>Mihic</w:t>
      </w:r>
      <w:proofErr w:type="spellEnd"/>
      <w:r w:rsidRPr="000F17F6">
        <w:t>, S. J. (2017). Single channel analysis of isoflurane and ethanol enhancement of taurine-activated glycine receptors. </w:t>
      </w:r>
      <w:r w:rsidRPr="000F17F6">
        <w:rPr>
          <w:i/>
          <w:iCs/>
        </w:rPr>
        <w:t xml:space="preserve">J. </w:t>
      </w:r>
      <w:proofErr w:type="spellStart"/>
      <w:r w:rsidRPr="000F17F6">
        <w:rPr>
          <w:i/>
          <w:iCs/>
        </w:rPr>
        <w:t>Pharmacol</w:t>
      </w:r>
      <w:proofErr w:type="spellEnd"/>
      <w:r w:rsidRPr="000F17F6">
        <w:rPr>
          <w:i/>
          <w:iCs/>
        </w:rPr>
        <w:t xml:space="preserve">. Exp. </w:t>
      </w:r>
      <w:proofErr w:type="spellStart"/>
      <w:r w:rsidRPr="000F17F6">
        <w:rPr>
          <w:i/>
          <w:iCs/>
        </w:rPr>
        <w:t>Ther</w:t>
      </w:r>
      <w:proofErr w:type="spellEnd"/>
      <w:r w:rsidRPr="000F17F6">
        <w:rPr>
          <w:i/>
          <w:iCs/>
        </w:rPr>
        <w:t>.</w:t>
      </w:r>
      <w:r w:rsidRPr="000F17F6">
        <w:t xml:space="preserve"> 364, 70–76. </w:t>
      </w:r>
      <w:proofErr w:type="spellStart"/>
      <w:r w:rsidRPr="000F17F6">
        <w:t>doi</w:t>
      </w:r>
      <w:proofErr w:type="spellEnd"/>
      <w:r w:rsidRPr="000F17F6">
        <w:t>: 10.1124/jpet.117.243840</w:t>
      </w:r>
    </w:p>
    <w:p w14:paraId="72E23EBE" w14:textId="77777777" w:rsidR="000F17F6" w:rsidRPr="000F17F6" w:rsidRDefault="000F17F6" w:rsidP="00290A27">
      <w:pPr>
        <w:spacing w:after="0"/>
        <w:ind w:left="720" w:hanging="720"/>
      </w:pPr>
      <w:bookmarkStart w:id="46" w:name="B21"/>
      <w:bookmarkEnd w:id="46"/>
      <w:proofErr w:type="spellStart"/>
      <w:r w:rsidRPr="000F17F6">
        <w:t>Krashia</w:t>
      </w:r>
      <w:proofErr w:type="spellEnd"/>
      <w:r w:rsidRPr="000F17F6">
        <w:t xml:space="preserve">, P., </w:t>
      </w:r>
      <w:proofErr w:type="spellStart"/>
      <w:r w:rsidRPr="000F17F6">
        <w:t>Lape</w:t>
      </w:r>
      <w:proofErr w:type="spellEnd"/>
      <w:r w:rsidRPr="000F17F6">
        <w:t xml:space="preserve">, R., </w:t>
      </w:r>
      <w:proofErr w:type="spellStart"/>
      <w:r w:rsidRPr="000F17F6">
        <w:t>Lodesani</w:t>
      </w:r>
      <w:proofErr w:type="spellEnd"/>
      <w:r w:rsidRPr="000F17F6">
        <w:t xml:space="preserve">, F., Colquhoun, D., and </w:t>
      </w:r>
      <w:proofErr w:type="spellStart"/>
      <w:r w:rsidRPr="000F17F6">
        <w:t>Sivilotti</w:t>
      </w:r>
      <w:proofErr w:type="spellEnd"/>
      <w:r w:rsidRPr="000F17F6">
        <w:t>, L. G. (2011). The long activations of α2 glycine channels can be described by a mechanism with reaction intermediates (“flip”). </w:t>
      </w:r>
      <w:r w:rsidRPr="000F17F6">
        <w:rPr>
          <w:i/>
          <w:iCs/>
        </w:rPr>
        <w:t>J. Gen. Physiol.</w:t>
      </w:r>
      <w:r w:rsidRPr="000F17F6">
        <w:t xml:space="preserve"> 137, 197–216. </w:t>
      </w:r>
      <w:proofErr w:type="spellStart"/>
      <w:r w:rsidRPr="000F17F6">
        <w:t>doi</w:t>
      </w:r>
      <w:proofErr w:type="spellEnd"/>
      <w:r w:rsidRPr="000F17F6">
        <w:t>: 10.1085/jgp.201010521</w:t>
      </w:r>
    </w:p>
    <w:p w14:paraId="1CC799CA" w14:textId="77777777" w:rsidR="000F17F6" w:rsidRPr="000F17F6" w:rsidRDefault="000F17F6" w:rsidP="00290A27">
      <w:pPr>
        <w:spacing w:after="0"/>
        <w:ind w:left="720" w:hanging="720"/>
      </w:pPr>
      <w:bookmarkStart w:id="47" w:name="B22"/>
      <w:bookmarkEnd w:id="47"/>
      <w:proofErr w:type="spellStart"/>
      <w:r w:rsidRPr="000F17F6">
        <w:t>Lape</w:t>
      </w:r>
      <w:proofErr w:type="spellEnd"/>
      <w:r w:rsidRPr="000F17F6">
        <w:t xml:space="preserve">, R., Colquhoun, D., and </w:t>
      </w:r>
      <w:proofErr w:type="spellStart"/>
      <w:r w:rsidRPr="000F17F6">
        <w:t>Sivilotti</w:t>
      </w:r>
      <w:proofErr w:type="spellEnd"/>
      <w:r w:rsidRPr="000F17F6">
        <w:t>, L. G. (2008). On the nature of partial agonism in the nicotinic receptor superfamily. </w:t>
      </w:r>
      <w:r w:rsidRPr="000F17F6">
        <w:rPr>
          <w:i/>
          <w:iCs/>
        </w:rPr>
        <w:t>Nature</w:t>
      </w:r>
      <w:r w:rsidRPr="000F17F6">
        <w:t xml:space="preserve"> 454, 722–727. </w:t>
      </w:r>
      <w:proofErr w:type="spellStart"/>
      <w:r w:rsidRPr="000F17F6">
        <w:t>doi</w:t>
      </w:r>
      <w:proofErr w:type="spellEnd"/>
      <w:r w:rsidRPr="000F17F6">
        <w:t>: 10.1038/nature07139</w:t>
      </w:r>
    </w:p>
    <w:p w14:paraId="79F4D82C" w14:textId="77777777" w:rsidR="000F17F6" w:rsidRPr="000F17F6" w:rsidRDefault="000F17F6" w:rsidP="00290A27">
      <w:pPr>
        <w:spacing w:after="0"/>
        <w:ind w:left="720" w:hanging="720"/>
      </w:pPr>
      <w:bookmarkStart w:id="48" w:name="B23"/>
      <w:bookmarkEnd w:id="48"/>
      <w:r w:rsidRPr="000F17F6">
        <w:t>Legendre, P. (2001). The glycinergic inhibitory synapse. </w:t>
      </w:r>
      <w:r w:rsidRPr="000F17F6">
        <w:rPr>
          <w:i/>
          <w:iCs/>
        </w:rPr>
        <w:t>Cell. Mol. Life Sci.</w:t>
      </w:r>
      <w:r w:rsidRPr="000F17F6">
        <w:t xml:space="preserve"> 58, 760–793. </w:t>
      </w:r>
      <w:proofErr w:type="spellStart"/>
      <w:r w:rsidRPr="000F17F6">
        <w:t>doi</w:t>
      </w:r>
      <w:proofErr w:type="spellEnd"/>
      <w:r w:rsidRPr="000F17F6">
        <w:t>: 10.1007/pl00000899</w:t>
      </w:r>
    </w:p>
    <w:p w14:paraId="050DA37C" w14:textId="77777777" w:rsidR="000F17F6" w:rsidRPr="000F17F6" w:rsidRDefault="000F17F6" w:rsidP="00290A27">
      <w:pPr>
        <w:spacing w:after="0"/>
        <w:ind w:left="720" w:hanging="720"/>
      </w:pPr>
      <w:bookmarkStart w:id="49" w:name="B24"/>
      <w:bookmarkEnd w:id="49"/>
      <w:r w:rsidRPr="000F17F6">
        <w:t xml:space="preserve">Li, J., </w:t>
      </w:r>
      <w:proofErr w:type="spellStart"/>
      <w:r w:rsidRPr="000F17F6">
        <w:t>Nie</w:t>
      </w:r>
      <w:proofErr w:type="spellEnd"/>
      <w:r w:rsidRPr="000F17F6">
        <w:t xml:space="preserve">, H., </w:t>
      </w:r>
      <w:proofErr w:type="spellStart"/>
      <w:r w:rsidRPr="000F17F6">
        <w:t>Bian</w:t>
      </w:r>
      <w:proofErr w:type="spellEnd"/>
      <w:r w:rsidRPr="000F17F6">
        <w:t xml:space="preserve">, W., Dave, V., </w:t>
      </w:r>
      <w:proofErr w:type="spellStart"/>
      <w:r w:rsidRPr="000F17F6">
        <w:t>Janak</w:t>
      </w:r>
      <w:proofErr w:type="spellEnd"/>
      <w:r w:rsidRPr="000F17F6">
        <w:t>, P. H., and Ye, J. H. (2012). Microinjection of glycine into the ventral tegmental area selectively decreases ethanol consumption. </w:t>
      </w:r>
      <w:r w:rsidRPr="000F17F6">
        <w:rPr>
          <w:i/>
          <w:iCs/>
        </w:rPr>
        <w:t xml:space="preserve">J. </w:t>
      </w:r>
      <w:proofErr w:type="spellStart"/>
      <w:r w:rsidRPr="000F17F6">
        <w:rPr>
          <w:i/>
          <w:iCs/>
        </w:rPr>
        <w:t>Pharmacol</w:t>
      </w:r>
      <w:proofErr w:type="spellEnd"/>
      <w:r w:rsidRPr="000F17F6">
        <w:rPr>
          <w:i/>
          <w:iCs/>
        </w:rPr>
        <w:t xml:space="preserve">. Exp. </w:t>
      </w:r>
      <w:proofErr w:type="spellStart"/>
      <w:r w:rsidRPr="000F17F6">
        <w:rPr>
          <w:i/>
          <w:iCs/>
        </w:rPr>
        <w:t>Ther</w:t>
      </w:r>
      <w:proofErr w:type="spellEnd"/>
      <w:r w:rsidRPr="000F17F6">
        <w:rPr>
          <w:i/>
          <w:iCs/>
        </w:rPr>
        <w:t>.</w:t>
      </w:r>
      <w:r w:rsidRPr="000F17F6">
        <w:t xml:space="preserve"> 341, 196–204. </w:t>
      </w:r>
      <w:proofErr w:type="spellStart"/>
      <w:r w:rsidRPr="000F17F6">
        <w:t>doi</w:t>
      </w:r>
      <w:proofErr w:type="spellEnd"/>
      <w:r w:rsidRPr="000F17F6">
        <w:t>: 10.1124/jpet.111.190058</w:t>
      </w:r>
    </w:p>
    <w:p w14:paraId="3E87FCE1" w14:textId="77777777" w:rsidR="000F17F6" w:rsidRPr="000F17F6" w:rsidRDefault="000F17F6" w:rsidP="00290A27">
      <w:pPr>
        <w:spacing w:after="0"/>
        <w:ind w:left="720" w:hanging="720"/>
      </w:pPr>
      <w:bookmarkStart w:id="50" w:name="B25"/>
      <w:bookmarkEnd w:id="50"/>
      <w:r w:rsidRPr="000F17F6">
        <w:t xml:space="preserve">Lobo, I. A., </w:t>
      </w:r>
      <w:proofErr w:type="spellStart"/>
      <w:r w:rsidRPr="000F17F6">
        <w:t>Mascia</w:t>
      </w:r>
      <w:proofErr w:type="spellEnd"/>
      <w:r w:rsidRPr="000F17F6">
        <w:t>, M. P., Trudell, J. R., and Harris, R. A. (2004). Channel gating of the glycine receptor changes accessibility to residues implicated in receptor potentiation by alcohols and anesthetics. </w:t>
      </w:r>
      <w:r w:rsidRPr="000F17F6">
        <w:rPr>
          <w:i/>
          <w:iCs/>
        </w:rPr>
        <w:t>J. Biol. Chem.</w:t>
      </w:r>
      <w:r w:rsidRPr="000F17F6">
        <w:t xml:space="preserve"> 279, 33919–33927. </w:t>
      </w:r>
      <w:proofErr w:type="spellStart"/>
      <w:r w:rsidRPr="000F17F6">
        <w:t>doi</w:t>
      </w:r>
      <w:proofErr w:type="spellEnd"/>
      <w:r w:rsidRPr="000F17F6">
        <w:t>: 10.1074/jbc.M313941200</w:t>
      </w:r>
    </w:p>
    <w:p w14:paraId="679AFA78" w14:textId="77777777" w:rsidR="000F17F6" w:rsidRPr="000F17F6" w:rsidRDefault="000F17F6" w:rsidP="00290A27">
      <w:pPr>
        <w:spacing w:after="0"/>
        <w:ind w:left="720" w:hanging="720"/>
      </w:pPr>
      <w:bookmarkStart w:id="51" w:name="B26"/>
      <w:bookmarkEnd w:id="51"/>
      <w:r w:rsidRPr="000F17F6">
        <w:t>Lynch, J. W. (2004). Molecular structure and function of the glycine receptor chloride channel. </w:t>
      </w:r>
      <w:r w:rsidRPr="000F17F6">
        <w:rPr>
          <w:i/>
          <w:iCs/>
        </w:rPr>
        <w:t>Physiol. Rev.</w:t>
      </w:r>
      <w:r w:rsidRPr="000F17F6">
        <w:t xml:space="preserve"> 84, 1051–1095. </w:t>
      </w:r>
      <w:proofErr w:type="spellStart"/>
      <w:r w:rsidRPr="000F17F6">
        <w:t>doi</w:t>
      </w:r>
      <w:proofErr w:type="spellEnd"/>
      <w:r w:rsidRPr="000F17F6">
        <w:t>: 10.1152/physrev.00042.2003</w:t>
      </w:r>
    </w:p>
    <w:p w14:paraId="54685C64" w14:textId="77777777" w:rsidR="000F17F6" w:rsidRPr="000F17F6" w:rsidRDefault="000F17F6" w:rsidP="00290A27">
      <w:pPr>
        <w:spacing w:after="0"/>
        <w:ind w:left="720" w:hanging="720"/>
      </w:pPr>
      <w:bookmarkStart w:id="52" w:name="B27"/>
      <w:bookmarkEnd w:id="52"/>
      <w:proofErr w:type="spellStart"/>
      <w:r w:rsidRPr="000F17F6">
        <w:t>Mascia</w:t>
      </w:r>
      <w:proofErr w:type="spellEnd"/>
      <w:r w:rsidRPr="000F17F6">
        <w:t xml:space="preserve">, M. P., </w:t>
      </w:r>
      <w:proofErr w:type="spellStart"/>
      <w:r w:rsidRPr="000F17F6">
        <w:t>Mihic</w:t>
      </w:r>
      <w:proofErr w:type="spellEnd"/>
      <w:r w:rsidRPr="000F17F6">
        <w:t>, S. J., Valenzuela, C. F., Schofield, P. R., and Harris, R. A. (1996). A single amino acid determines differences in ethanol actions on strychnine-sensitive glycine receptors. </w:t>
      </w:r>
      <w:r w:rsidRPr="000F17F6">
        <w:rPr>
          <w:i/>
          <w:iCs/>
        </w:rPr>
        <w:t xml:space="preserve">Mol. </w:t>
      </w:r>
      <w:proofErr w:type="spellStart"/>
      <w:r w:rsidRPr="000F17F6">
        <w:rPr>
          <w:i/>
          <w:iCs/>
        </w:rPr>
        <w:t>Pharmacol</w:t>
      </w:r>
      <w:proofErr w:type="spellEnd"/>
      <w:r w:rsidRPr="000F17F6">
        <w:rPr>
          <w:i/>
          <w:iCs/>
        </w:rPr>
        <w:t>.</w:t>
      </w:r>
      <w:r w:rsidRPr="000F17F6">
        <w:t> 50, 402–406.</w:t>
      </w:r>
    </w:p>
    <w:p w14:paraId="0E963D5A" w14:textId="77777777" w:rsidR="000F17F6" w:rsidRPr="000F17F6" w:rsidRDefault="000F17F6" w:rsidP="00290A27">
      <w:pPr>
        <w:spacing w:after="0"/>
        <w:ind w:left="720" w:hanging="720"/>
      </w:pPr>
      <w:bookmarkStart w:id="53" w:name="B28"/>
      <w:bookmarkEnd w:id="53"/>
      <w:proofErr w:type="spellStart"/>
      <w:r w:rsidRPr="000F17F6">
        <w:t>Mascia</w:t>
      </w:r>
      <w:proofErr w:type="spellEnd"/>
      <w:r w:rsidRPr="000F17F6">
        <w:t>, M. P., Trudell, J. R., and Harris, R. A. (2000). Specific binding sites for alcohols and anesthetics on ligand-gated ion channels. </w:t>
      </w:r>
      <w:r w:rsidRPr="000F17F6">
        <w:rPr>
          <w:i/>
          <w:iCs/>
        </w:rPr>
        <w:t>Proc. Natl. Acad. Sci. U.S.A.</w:t>
      </w:r>
      <w:r w:rsidRPr="000F17F6">
        <w:t xml:space="preserve"> 97, 9305–9310. </w:t>
      </w:r>
      <w:proofErr w:type="spellStart"/>
      <w:r w:rsidRPr="000F17F6">
        <w:t>doi</w:t>
      </w:r>
      <w:proofErr w:type="spellEnd"/>
      <w:r w:rsidRPr="000F17F6">
        <w:t>: 10.1073/pnas.160128797</w:t>
      </w:r>
    </w:p>
    <w:p w14:paraId="3B538086" w14:textId="77777777" w:rsidR="000F17F6" w:rsidRPr="000F17F6" w:rsidRDefault="000F17F6" w:rsidP="00290A27">
      <w:pPr>
        <w:spacing w:after="0"/>
        <w:ind w:left="720" w:hanging="720"/>
      </w:pPr>
      <w:bookmarkStart w:id="54" w:name="B29"/>
      <w:bookmarkEnd w:id="54"/>
      <w:r w:rsidRPr="000F17F6">
        <w:t xml:space="preserve">McCracken, L. M., Lowes, D. C., </w:t>
      </w:r>
      <w:proofErr w:type="spellStart"/>
      <w:r w:rsidRPr="000F17F6">
        <w:t>Salling</w:t>
      </w:r>
      <w:proofErr w:type="spellEnd"/>
      <w:r w:rsidRPr="000F17F6">
        <w:t xml:space="preserve">, M. C., </w:t>
      </w:r>
      <w:proofErr w:type="spellStart"/>
      <w:r w:rsidRPr="000F17F6">
        <w:t>Carreau</w:t>
      </w:r>
      <w:proofErr w:type="spellEnd"/>
      <w:r w:rsidRPr="000F17F6">
        <w:t xml:space="preserve">-Vollmer, C., </w:t>
      </w:r>
      <w:proofErr w:type="spellStart"/>
      <w:r w:rsidRPr="000F17F6">
        <w:t>Odean</w:t>
      </w:r>
      <w:proofErr w:type="spellEnd"/>
      <w:r w:rsidRPr="000F17F6">
        <w:t xml:space="preserve">, N. N., </w:t>
      </w:r>
      <w:proofErr w:type="spellStart"/>
      <w:r w:rsidRPr="000F17F6">
        <w:t>Blednov</w:t>
      </w:r>
      <w:proofErr w:type="spellEnd"/>
      <w:r w:rsidRPr="000F17F6">
        <w:t>, Y. A., et al. (2017). Glycine receptor α3 and α2 subunits mediate tonic and exogenous agonist-induced currents in forebrain. </w:t>
      </w:r>
      <w:r w:rsidRPr="000F17F6">
        <w:rPr>
          <w:i/>
          <w:iCs/>
        </w:rPr>
        <w:t>Proc. Natl. Acad. Sci. U.S.A.</w:t>
      </w:r>
      <w:r w:rsidRPr="000F17F6">
        <w:t xml:space="preserve"> 114, E7179–E7186. </w:t>
      </w:r>
      <w:proofErr w:type="spellStart"/>
      <w:r w:rsidRPr="000F17F6">
        <w:t>doi</w:t>
      </w:r>
      <w:proofErr w:type="spellEnd"/>
      <w:r w:rsidRPr="000F17F6">
        <w:t>: 10.1073/pnas.1703839114</w:t>
      </w:r>
    </w:p>
    <w:p w14:paraId="133E58B5" w14:textId="77777777" w:rsidR="000F17F6" w:rsidRPr="000F17F6" w:rsidRDefault="000F17F6" w:rsidP="00290A27">
      <w:pPr>
        <w:spacing w:after="0"/>
        <w:ind w:left="720" w:hanging="720"/>
      </w:pPr>
      <w:bookmarkStart w:id="55" w:name="B30"/>
      <w:bookmarkEnd w:id="55"/>
      <w:r w:rsidRPr="000F17F6">
        <w:t xml:space="preserve">McCracken, L. M., Trudell, J. R., </w:t>
      </w:r>
      <w:proofErr w:type="spellStart"/>
      <w:r w:rsidRPr="000F17F6">
        <w:t>Mccracken</w:t>
      </w:r>
      <w:proofErr w:type="spellEnd"/>
      <w:r w:rsidRPr="000F17F6">
        <w:t>, M. L., and Harris, R. A. (2013). Zinc-dependent modulation of alpha2- and alpha3-glycine receptor subunits by ethanol. </w:t>
      </w:r>
      <w:r w:rsidRPr="000F17F6">
        <w:rPr>
          <w:i/>
          <w:iCs/>
        </w:rPr>
        <w:t>Alcohol. Clin. Exp. Res.</w:t>
      </w:r>
      <w:r w:rsidRPr="000F17F6">
        <w:t xml:space="preserve"> 37, 2002–2010. </w:t>
      </w:r>
      <w:proofErr w:type="spellStart"/>
      <w:r w:rsidRPr="000F17F6">
        <w:t>doi</w:t>
      </w:r>
      <w:proofErr w:type="spellEnd"/>
      <w:r w:rsidRPr="000F17F6">
        <w:t>: 10.1111/acer.12192</w:t>
      </w:r>
    </w:p>
    <w:p w14:paraId="2E31B7F1" w14:textId="77777777" w:rsidR="000F17F6" w:rsidRPr="000F17F6" w:rsidRDefault="000F17F6" w:rsidP="00290A27">
      <w:pPr>
        <w:spacing w:after="0"/>
        <w:ind w:left="720" w:hanging="720"/>
      </w:pPr>
      <w:bookmarkStart w:id="56" w:name="B31"/>
      <w:bookmarkEnd w:id="56"/>
      <w:proofErr w:type="spellStart"/>
      <w:r w:rsidRPr="000F17F6">
        <w:lastRenderedPageBreak/>
        <w:t>Mihic</w:t>
      </w:r>
      <w:proofErr w:type="spellEnd"/>
      <w:r w:rsidRPr="000F17F6">
        <w:t xml:space="preserve">, S. J., Ye, Q., Wick, M. J., </w:t>
      </w:r>
      <w:proofErr w:type="spellStart"/>
      <w:r w:rsidRPr="000F17F6">
        <w:t>Koltchine</w:t>
      </w:r>
      <w:proofErr w:type="spellEnd"/>
      <w:r w:rsidRPr="000F17F6">
        <w:t xml:space="preserve">, V. V., </w:t>
      </w:r>
      <w:proofErr w:type="spellStart"/>
      <w:r w:rsidRPr="000F17F6">
        <w:t>Krasowski</w:t>
      </w:r>
      <w:proofErr w:type="spellEnd"/>
      <w:r w:rsidRPr="000F17F6">
        <w:t xml:space="preserve">, M. D., Finn, S. E., et al. (1997). Sites of alcohol and volatile </w:t>
      </w:r>
      <w:proofErr w:type="spellStart"/>
      <w:r w:rsidRPr="000F17F6">
        <w:t>anaesthetic</w:t>
      </w:r>
      <w:proofErr w:type="spellEnd"/>
      <w:r w:rsidRPr="000F17F6">
        <w:t xml:space="preserve"> action on GABA(A) and glycine receptors. </w:t>
      </w:r>
      <w:r w:rsidRPr="000F17F6">
        <w:rPr>
          <w:i/>
          <w:iCs/>
        </w:rPr>
        <w:t>Nature</w:t>
      </w:r>
      <w:r w:rsidRPr="000F17F6">
        <w:t xml:space="preserve"> 389, 385–389. </w:t>
      </w:r>
      <w:proofErr w:type="spellStart"/>
      <w:r w:rsidRPr="000F17F6">
        <w:t>doi</w:t>
      </w:r>
      <w:proofErr w:type="spellEnd"/>
      <w:r w:rsidRPr="000F17F6">
        <w:t>: 10.1038/38738</w:t>
      </w:r>
    </w:p>
    <w:p w14:paraId="402C7519" w14:textId="77777777" w:rsidR="000F17F6" w:rsidRPr="000F17F6" w:rsidRDefault="000F17F6" w:rsidP="00290A27">
      <w:pPr>
        <w:spacing w:after="0"/>
        <w:ind w:left="720" w:hanging="720"/>
      </w:pPr>
      <w:bookmarkStart w:id="57" w:name="B32"/>
      <w:bookmarkEnd w:id="57"/>
      <w:proofErr w:type="spellStart"/>
      <w:r w:rsidRPr="000F17F6">
        <w:t>Molander</w:t>
      </w:r>
      <w:proofErr w:type="spellEnd"/>
      <w:r w:rsidRPr="000F17F6">
        <w:t xml:space="preserve">, A., and </w:t>
      </w:r>
      <w:proofErr w:type="spellStart"/>
      <w:r w:rsidRPr="000F17F6">
        <w:t>Soderpalm</w:t>
      </w:r>
      <w:proofErr w:type="spellEnd"/>
      <w:r w:rsidRPr="000F17F6">
        <w:t xml:space="preserve">, B. (2005). Glycine receptors regulate dopamine release in the rat nucleus </w:t>
      </w:r>
      <w:proofErr w:type="spellStart"/>
      <w:r w:rsidRPr="000F17F6">
        <w:t>accumbens</w:t>
      </w:r>
      <w:proofErr w:type="spellEnd"/>
      <w:r w:rsidRPr="000F17F6">
        <w:t>. </w:t>
      </w:r>
      <w:r w:rsidRPr="000F17F6">
        <w:rPr>
          <w:i/>
          <w:iCs/>
        </w:rPr>
        <w:t>Alcohol. Clin. Exp. Res.</w:t>
      </w:r>
      <w:r w:rsidRPr="000F17F6">
        <w:t xml:space="preserve"> 29, 17–26. </w:t>
      </w:r>
      <w:proofErr w:type="spellStart"/>
      <w:r w:rsidRPr="000F17F6">
        <w:t>doi</w:t>
      </w:r>
      <w:proofErr w:type="spellEnd"/>
      <w:r w:rsidRPr="000F17F6">
        <w:t>: 10.1097/01.alc.</w:t>
      </w:r>
      <w:proofErr w:type="gramStart"/>
      <w:r w:rsidRPr="000F17F6">
        <w:t>0000150006.17168.f</w:t>
      </w:r>
      <w:proofErr w:type="gramEnd"/>
      <w:r w:rsidRPr="000F17F6">
        <w:t>7</w:t>
      </w:r>
    </w:p>
    <w:p w14:paraId="67F919EE" w14:textId="77777777" w:rsidR="000F17F6" w:rsidRPr="000F17F6" w:rsidRDefault="000F17F6" w:rsidP="00290A27">
      <w:pPr>
        <w:spacing w:after="0"/>
        <w:ind w:left="720" w:hanging="720"/>
      </w:pPr>
      <w:bookmarkStart w:id="58" w:name="B33"/>
      <w:bookmarkEnd w:id="58"/>
      <w:r w:rsidRPr="000F17F6">
        <w:t xml:space="preserve">Moraga-Cid, G., </w:t>
      </w:r>
      <w:proofErr w:type="spellStart"/>
      <w:r w:rsidRPr="000F17F6">
        <w:t>Yevenes</w:t>
      </w:r>
      <w:proofErr w:type="spellEnd"/>
      <w:r w:rsidRPr="000F17F6">
        <w:t xml:space="preserve">, G. E., </w:t>
      </w:r>
      <w:proofErr w:type="spellStart"/>
      <w:r w:rsidRPr="000F17F6">
        <w:t>Schmalzing</w:t>
      </w:r>
      <w:proofErr w:type="spellEnd"/>
      <w:r w:rsidRPr="000F17F6">
        <w:t>, G., Peoples, R. W., and Aguayo, L. G. (2011). A Single phenylalanine residue in the main intracellular loop of alpha1 gamma-aminobutyric acid type A and glycine receptors influences their sensitivity to propofol. </w:t>
      </w:r>
      <w:r w:rsidRPr="000F17F6">
        <w:rPr>
          <w:i/>
          <w:iCs/>
        </w:rPr>
        <w:t>Anesthesiology</w:t>
      </w:r>
      <w:r w:rsidRPr="000F17F6">
        <w:t xml:space="preserve"> 115, 464–473. </w:t>
      </w:r>
      <w:proofErr w:type="spellStart"/>
      <w:r w:rsidRPr="000F17F6">
        <w:t>doi</w:t>
      </w:r>
      <w:proofErr w:type="spellEnd"/>
      <w:r w:rsidRPr="000F17F6">
        <w:t>: 10.1097/ALN.0b013e31822550f7</w:t>
      </w:r>
    </w:p>
    <w:p w14:paraId="62007DA2" w14:textId="77777777" w:rsidR="000F17F6" w:rsidRPr="000F17F6" w:rsidRDefault="000F17F6" w:rsidP="00290A27">
      <w:pPr>
        <w:spacing w:after="0"/>
        <w:ind w:left="720" w:hanging="720"/>
      </w:pPr>
      <w:bookmarkStart w:id="59" w:name="B34"/>
      <w:bookmarkEnd w:id="59"/>
      <w:r w:rsidRPr="000F17F6">
        <w:t xml:space="preserve">Munoz, B., Gallegos, S., Peters, C., </w:t>
      </w:r>
      <w:proofErr w:type="spellStart"/>
      <w:r w:rsidRPr="000F17F6">
        <w:t>Murath</w:t>
      </w:r>
      <w:proofErr w:type="spellEnd"/>
      <w:r w:rsidRPr="000F17F6">
        <w:t xml:space="preserve">, P., </w:t>
      </w:r>
      <w:proofErr w:type="spellStart"/>
      <w:r w:rsidRPr="000F17F6">
        <w:t>Lovinger</w:t>
      </w:r>
      <w:proofErr w:type="spellEnd"/>
      <w:r w:rsidRPr="000F17F6">
        <w:t xml:space="preserve">, D. M., </w:t>
      </w:r>
      <w:proofErr w:type="spellStart"/>
      <w:r w:rsidRPr="000F17F6">
        <w:t>Homanics</w:t>
      </w:r>
      <w:proofErr w:type="spellEnd"/>
      <w:r w:rsidRPr="000F17F6">
        <w:t xml:space="preserve">, G. E., et al. (2020). Influence of </w:t>
      </w:r>
      <w:proofErr w:type="spellStart"/>
      <w:r w:rsidRPr="000F17F6">
        <w:t>nonsynaptic</w:t>
      </w:r>
      <w:proofErr w:type="spellEnd"/>
      <w:r w:rsidRPr="000F17F6">
        <w:t xml:space="preserve"> alpha1 glycine receptors on ethanol consumption and place preference. </w:t>
      </w:r>
      <w:r w:rsidRPr="000F17F6">
        <w:rPr>
          <w:i/>
          <w:iCs/>
        </w:rPr>
        <w:t>Addict. Biol.</w:t>
      </w:r>
      <w:r w:rsidRPr="000F17F6">
        <w:t> </w:t>
      </w:r>
      <w:proofErr w:type="gramStart"/>
      <w:r w:rsidRPr="000F17F6">
        <w:t>25:e</w:t>
      </w:r>
      <w:proofErr w:type="gramEnd"/>
      <w:r w:rsidRPr="000F17F6">
        <w:t xml:space="preserve">12726. </w:t>
      </w:r>
      <w:proofErr w:type="spellStart"/>
      <w:r w:rsidRPr="000F17F6">
        <w:t>doi</w:t>
      </w:r>
      <w:proofErr w:type="spellEnd"/>
      <w:r w:rsidRPr="000F17F6">
        <w:t>: 10.1111/adb.12726</w:t>
      </w:r>
    </w:p>
    <w:p w14:paraId="0D316FEA" w14:textId="77777777" w:rsidR="000F17F6" w:rsidRPr="000F17F6" w:rsidRDefault="000F17F6" w:rsidP="00290A27">
      <w:pPr>
        <w:spacing w:after="0"/>
        <w:ind w:left="720" w:hanging="720"/>
      </w:pPr>
      <w:bookmarkStart w:id="60" w:name="B35"/>
      <w:bookmarkEnd w:id="60"/>
      <w:r w:rsidRPr="000F17F6">
        <w:t xml:space="preserve">Munoz, B., </w:t>
      </w:r>
      <w:proofErr w:type="spellStart"/>
      <w:r w:rsidRPr="000F17F6">
        <w:t>Yevenes</w:t>
      </w:r>
      <w:proofErr w:type="spellEnd"/>
      <w:r w:rsidRPr="000F17F6">
        <w:t xml:space="preserve">, G. E., </w:t>
      </w:r>
      <w:proofErr w:type="spellStart"/>
      <w:r w:rsidRPr="000F17F6">
        <w:t>Forstera</w:t>
      </w:r>
      <w:proofErr w:type="spellEnd"/>
      <w:r w:rsidRPr="000F17F6">
        <w:t xml:space="preserve">, B., </w:t>
      </w:r>
      <w:proofErr w:type="spellStart"/>
      <w:r w:rsidRPr="000F17F6">
        <w:t>Lovinger</w:t>
      </w:r>
      <w:proofErr w:type="spellEnd"/>
      <w:r w:rsidRPr="000F17F6">
        <w:t xml:space="preserve">, D. M., and Aguayo, L. G. (2018). Presence of inhibitory glycinergic transmission in medium spiny neurons in the nucleus </w:t>
      </w:r>
      <w:proofErr w:type="spellStart"/>
      <w:r w:rsidRPr="000F17F6">
        <w:t>accumbens</w:t>
      </w:r>
      <w:proofErr w:type="spellEnd"/>
      <w:r w:rsidRPr="000F17F6">
        <w:t>. </w:t>
      </w:r>
      <w:r w:rsidRPr="000F17F6">
        <w:rPr>
          <w:i/>
          <w:iCs/>
        </w:rPr>
        <w:t xml:space="preserve">Front. Mol. </w:t>
      </w:r>
      <w:proofErr w:type="spellStart"/>
      <w:r w:rsidRPr="000F17F6">
        <w:rPr>
          <w:i/>
          <w:iCs/>
        </w:rPr>
        <w:t>Neurosci</w:t>
      </w:r>
      <w:proofErr w:type="spellEnd"/>
      <w:r w:rsidRPr="000F17F6">
        <w:rPr>
          <w:i/>
          <w:iCs/>
        </w:rPr>
        <w:t>.</w:t>
      </w:r>
      <w:r w:rsidRPr="000F17F6">
        <w:t xml:space="preserve"> 11:228. </w:t>
      </w:r>
      <w:proofErr w:type="spellStart"/>
      <w:r w:rsidRPr="000F17F6">
        <w:t>doi</w:t>
      </w:r>
      <w:proofErr w:type="spellEnd"/>
      <w:r w:rsidRPr="000F17F6">
        <w:t>: 10.3389/fnmol.2018.00228</w:t>
      </w:r>
    </w:p>
    <w:p w14:paraId="3F20D889" w14:textId="77777777" w:rsidR="000F17F6" w:rsidRPr="000F17F6" w:rsidRDefault="000F17F6" w:rsidP="00290A27">
      <w:pPr>
        <w:spacing w:after="0"/>
        <w:ind w:left="720" w:hanging="720"/>
      </w:pPr>
      <w:bookmarkStart w:id="61" w:name="B36"/>
      <w:bookmarkEnd w:id="61"/>
      <w:proofErr w:type="spellStart"/>
      <w:r w:rsidRPr="000F17F6">
        <w:t>Piro</w:t>
      </w:r>
      <w:proofErr w:type="spellEnd"/>
      <w:r w:rsidRPr="000F17F6">
        <w:t xml:space="preserve">, I., </w:t>
      </w:r>
      <w:proofErr w:type="spellStart"/>
      <w:r w:rsidRPr="000F17F6">
        <w:t>Eckes</w:t>
      </w:r>
      <w:proofErr w:type="spellEnd"/>
      <w:r w:rsidRPr="000F17F6">
        <w:t>, A.-L., Kasaragod, V. B., Sommer, C., Harvey, R. J., Schaefer, N., et al. (2021). Novel functional properties of missense mutations in the glycine receptor β subunit in startle disease. </w:t>
      </w:r>
      <w:r w:rsidRPr="000F17F6">
        <w:rPr>
          <w:i/>
          <w:iCs/>
        </w:rPr>
        <w:t xml:space="preserve">Front. Mol. </w:t>
      </w:r>
      <w:proofErr w:type="spellStart"/>
      <w:r w:rsidRPr="000F17F6">
        <w:rPr>
          <w:i/>
          <w:iCs/>
        </w:rPr>
        <w:t>Neurosci</w:t>
      </w:r>
      <w:proofErr w:type="spellEnd"/>
      <w:r w:rsidRPr="000F17F6">
        <w:rPr>
          <w:i/>
          <w:iCs/>
        </w:rPr>
        <w:t>.</w:t>
      </w:r>
      <w:r w:rsidRPr="000F17F6">
        <w:t xml:space="preserve"> 14:745275. </w:t>
      </w:r>
      <w:proofErr w:type="spellStart"/>
      <w:r w:rsidRPr="000F17F6">
        <w:t>doi</w:t>
      </w:r>
      <w:proofErr w:type="spellEnd"/>
      <w:r w:rsidRPr="000F17F6">
        <w:t>: 10.3389/fnmol.2021.745275</w:t>
      </w:r>
    </w:p>
    <w:p w14:paraId="64FFCF6B" w14:textId="77777777" w:rsidR="000F17F6" w:rsidRPr="000F17F6" w:rsidRDefault="000F17F6" w:rsidP="00290A27">
      <w:pPr>
        <w:spacing w:after="0"/>
        <w:ind w:left="720" w:hanging="720"/>
      </w:pPr>
      <w:bookmarkStart w:id="62" w:name="B37"/>
      <w:bookmarkEnd w:id="62"/>
      <w:r w:rsidRPr="000F17F6">
        <w:t>Qin, F. (2004). Restoration of single-channel currents using the segmental k-means method based on hidden Markov modeling. </w:t>
      </w:r>
      <w:proofErr w:type="spellStart"/>
      <w:r w:rsidRPr="000F17F6">
        <w:rPr>
          <w:i/>
          <w:iCs/>
        </w:rPr>
        <w:t>Biophys</w:t>
      </w:r>
      <w:proofErr w:type="spellEnd"/>
      <w:r w:rsidRPr="000F17F6">
        <w:rPr>
          <w:i/>
          <w:iCs/>
        </w:rPr>
        <w:t>. J.</w:t>
      </w:r>
      <w:r w:rsidRPr="000F17F6">
        <w:t xml:space="preserve"> 86, 1488–1501. </w:t>
      </w:r>
      <w:proofErr w:type="spellStart"/>
      <w:r w:rsidRPr="000F17F6">
        <w:t>doi</w:t>
      </w:r>
      <w:proofErr w:type="spellEnd"/>
      <w:r w:rsidRPr="000F17F6">
        <w:t>: 10.1016/S0006-3495(04)74217-4</w:t>
      </w:r>
    </w:p>
    <w:p w14:paraId="58885128" w14:textId="77777777" w:rsidR="000F17F6" w:rsidRPr="000F17F6" w:rsidRDefault="000F17F6" w:rsidP="00290A27">
      <w:pPr>
        <w:spacing w:after="0"/>
        <w:ind w:left="720" w:hanging="720"/>
      </w:pPr>
      <w:bookmarkStart w:id="63" w:name="B38"/>
      <w:bookmarkEnd w:id="63"/>
      <w:proofErr w:type="spellStart"/>
      <w:r w:rsidRPr="000F17F6">
        <w:t>Salling</w:t>
      </w:r>
      <w:proofErr w:type="spellEnd"/>
      <w:r w:rsidRPr="000F17F6">
        <w:t>, M. C., and Harrison, N. L. (2014). Strychnine-sensitive glycine receptors on pyramidal neurons in layers II/III of the mouse prefrontal cortex are tonically activated. </w:t>
      </w:r>
      <w:r w:rsidRPr="000F17F6">
        <w:rPr>
          <w:i/>
          <w:iCs/>
        </w:rPr>
        <w:t xml:space="preserve">J. </w:t>
      </w:r>
      <w:proofErr w:type="spellStart"/>
      <w:r w:rsidRPr="000F17F6">
        <w:rPr>
          <w:i/>
          <w:iCs/>
        </w:rPr>
        <w:t>Neurophysiol</w:t>
      </w:r>
      <w:proofErr w:type="spellEnd"/>
      <w:r w:rsidRPr="000F17F6">
        <w:rPr>
          <w:i/>
          <w:iCs/>
        </w:rPr>
        <w:t>.</w:t>
      </w:r>
      <w:r w:rsidRPr="000F17F6">
        <w:t xml:space="preserve"> 112, 1169–1178. </w:t>
      </w:r>
      <w:proofErr w:type="spellStart"/>
      <w:r w:rsidRPr="000F17F6">
        <w:t>doi</w:t>
      </w:r>
      <w:proofErr w:type="spellEnd"/>
      <w:r w:rsidRPr="000F17F6">
        <w:t>: 10.1152/jn.00714.2013</w:t>
      </w:r>
    </w:p>
    <w:p w14:paraId="5695541E" w14:textId="77777777" w:rsidR="000F17F6" w:rsidRPr="000F17F6" w:rsidRDefault="000F17F6" w:rsidP="00290A27">
      <w:pPr>
        <w:spacing w:after="0"/>
        <w:ind w:left="720" w:hanging="720"/>
      </w:pPr>
      <w:bookmarkStart w:id="64" w:name="B39"/>
      <w:bookmarkEnd w:id="64"/>
      <w:r w:rsidRPr="000F17F6">
        <w:t xml:space="preserve">Sanchez, A., </w:t>
      </w:r>
      <w:proofErr w:type="spellStart"/>
      <w:r w:rsidRPr="000F17F6">
        <w:t>Yevenes</w:t>
      </w:r>
      <w:proofErr w:type="spellEnd"/>
      <w:r w:rsidRPr="000F17F6">
        <w:t>, G. E., San Martin, L., Burgos, C. F., Moraga-Cid, G., Harvey, R. J., et al. (2015). Control of ethanol sensitivity of the glycine receptor alpha3 subunit by transmembrane 2, the intracellular splice cassette and C-terminal domains. </w:t>
      </w:r>
      <w:r w:rsidRPr="000F17F6">
        <w:rPr>
          <w:i/>
          <w:iCs/>
        </w:rPr>
        <w:t xml:space="preserve">J. </w:t>
      </w:r>
      <w:proofErr w:type="spellStart"/>
      <w:r w:rsidRPr="000F17F6">
        <w:rPr>
          <w:i/>
          <w:iCs/>
        </w:rPr>
        <w:t>Pharmacol</w:t>
      </w:r>
      <w:proofErr w:type="spellEnd"/>
      <w:r w:rsidRPr="000F17F6">
        <w:rPr>
          <w:i/>
          <w:iCs/>
        </w:rPr>
        <w:t xml:space="preserve">. Exp. </w:t>
      </w:r>
      <w:proofErr w:type="spellStart"/>
      <w:r w:rsidRPr="000F17F6">
        <w:rPr>
          <w:i/>
          <w:iCs/>
        </w:rPr>
        <w:t>Ther</w:t>
      </w:r>
      <w:proofErr w:type="spellEnd"/>
      <w:r w:rsidRPr="000F17F6">
        <w:rPr>
          <w:i/>
          <w:iCs/>
        </w:rPr>
        <w:t>.</w:t>
      </w:r>
      <w:r w:rsidRPr="000F17F6">
        <w:t xml:space="preserve"> 353, 80–90. </w:t>
      </w:r>
      <w:proofErr w:type="spellStart"/>
      <w:r w:rsidRPr="000F17F6">
        <w:t>doi</w:t>
      </w:r>
      <w:proofErr w:type="spellEnd"/>
      <w:r w:rsidRPr="000F17F6">
        <w:t>: 10.1124/jpet.114.221143</w:t>
      </w:r>
    </w:p>
    <w:p w14:paraId="6B082D70" w14:textId="77777777" w:rsidR="000F17F6" w:rsidRPr="000F17F6" w:rsidRDefault="000F17F6" w:rsidP="00290A27">
      <w:pPr>
        <w:spacing w:after="0"/>
        <w:ind w:left="720" w:hanging="720"/>
      </w:pPr>
      <w:bookmarkStart w:id="65" w:name="B40"/>
      <w:bookmarkEnd w:id="65"/>
      <w:proofErr w:type="spellStart"/>
      <w:r w:rsidRPr="000F17F6">
        <w:t>Sebe</w:t>
      </w:r>
      <w:proofErr w:type="spellEnd"/>
      <w:r w:rsidRPr="000F17F6">
        <w:t>, J. Y., Eggers, E. D., and Berger, A. J. (2003). Differential effects of ethanol on GABA(A) and glycine receptor-mediated synaptic currents in brain stem motoneurons. </w:t>
      </w:r>
      <w:r w:rsidRPr="000F17F6">
        <w:rPr>
          <w:i/>
          <w:iCs/>
        </w:rPr>
        <w:t xml:space="preserve">J. </w:t>
      </w:r>
      <w:proofErr w:type="spellStart"/>
      <w:r w:rsidRPr="000F17F6">
        <w:rPr>
          <w:i/>
          <w:iCs/>
        </w:rPr>
        <w:t>Neurophysiol</w:t>
      </w:r>
      <w:proofErr w:type="spellEnd"/>
      <w:r w:rsidRPr="000F17F6">
        <w:rPr>
          <w:i/>
          <w:iCs/>
        </w:rPr>
        <w:t>.</w:t>
      </w:r>
      <w:r w:rsidRPr="000F17F6">
        <w:t xml:space="preserve"> 90, 870–875. </w:t>
      </w:r>
      <w:proofErr w:type="spellStart"/>
      <w:r w:rsidRPr="000F17F6">
        <w:t>doi</w:t>
      </w:r>
      <w:proofErr w:type="spellEnd"/>
      <w:r w:rsidRPr="000F17F6">
        <w:t>: 10.1152/jn.00119.2003</w:t>
      </w:r>
    </w:p>
    <w:p w14:paraId="05804326" w14:textId="77777777" w:rsidR="000F17F6" w:rsidRPr="000F17F6" w:rsidRDefault="000F17F6" w:rsidP="00290A27">
      <w:pPr>
        <w:spacing w:after="0"/>
        <w:ind w:left="720" w:hanging="720"/>
      </w:pPr>
      <w:bookmarkStart w:id="66" w:name="B41"/>
      <w:bookmarkEnd w:id="66"/>
      <w:proofErr w:type="spellStart"/>
      <w:r w:rsidRPr="000F17F6">
        <w:t>Spanagel</w:t>
      </w:r>
      <w:proofErr w:type="spellEnd"/>
      <w:r w:rsidRPr="000F17F6">
        <w:t>, R. (2009). Alcoholism: a systems approach from molecular physiology to addictive behavior. </w:t>
      </w:r>
      <w:r w:rsidRPr="000F17F6">
        <w:rPr>
          <w:i/>
          <w:iCs/>
        </w:rPr>
        <w:t>Physiol. Rev.</w:t>
      </w:r>
      <w:r w:rsidRPr="000F17F6">
        <w:t xml:space="preserve"> 89, 649–705. </w:t>
      </w:r>
      <w:proofErr w:type="spellStart"/>
      <w:r w:rsidRPr="000F17F6">
        <w:t>doi</w:t>
      </w:r>
      <w:proofErr w:type="spellEnd"/>
      <w:r w:rsidRPr="000F17F6">
        <w:t>: 10.1152/physrev.00013.2008</w:t>
      </w:r>
    </w:p>
    <w:p w14:paraId="2C9F3FF1" w14:textId="77777777" w:rsidR="000F17F6" w:rsidRPr="000F17F6" w:rsidRDefault="000F17F6" w:rsidP="00290A27">
      <w:pPr>
        <w:spacing w:after="0"/>
        <w:ind w:left="720" w:hanging="720"/>
      </w:pPr>
      <w:bookmarkStart w:id="67" w:name="B42"/>
      <w:bookmarkEnd w:id="67"/>
      <w:r w:rsidRPr="000F17F6">
        <w:t xml:space="preserve">Welsh, B. T., Goldstein, B. E., and </w:t>
      </w:r>
      <w:proofErr w:type="spellStart"/>
      <w:r w:rsidRPr="000F17F6">
        <w:t>Mihic</w:t>
      </w:r>
      <w:proofErr w:type="spellEnd"/>
      <w:r w:rsidRPr="000F17F6">
        <w:t>, S. J. (2009). Single-channel analysis of ethanol enhancement of glycine receptor function. </w:t>
      </w:r>
      <w:r w:rsidRPr="000F17F6">
        <w:rPr>
          <w:i/>
          <w:iCs/>
        </w:rPr>
        <w:t xml:space="preserve">J. </w:t>
      </w:r>
      <w:proofErr w:type="spellStart"/>
      <w:r w:rsidRPr="000F17F6">
        <w:rPr>
          <w:i/>
          <w:iCs/>
        </w:rPr>
        <w:t>Pharmacol</w:t>
      </w:r>
      <w:proofErr w:type="spellEnd"/>
      <w:r w:rsidRPr="000F17F6">
        <w:rPr>
          <w:i/>
          <w:iCs/>
        </w:rPr>
        <w:t xml:space="preserve">. Exp. </w:t>
      </w:r>
      <w:proofErr w:type="spellStart"/>
      <w:r w:rsidRPr="000F17F6">
        <w:rPr>
          <w:i/>
          <w:iCs/>
        </w:rPr>
        <w:t>Ther</w:t>
      </w:r>
      <w:proofErr w:type="spellEnd"/>
      <w:r w:rsidRPr="000F17F6">
        <w:rPr>
          <w:i/>
          <w:iCs/>
        </w:rPr>
        <w:t>.</w:t>
      </w:r>
      <w:r w:rsidRPr="000F17F6">
        <w:t xml:space="preserve"> 330, 198–205. </w:t>
      </w:r>
      <w:proofErr w:type="spellStart"/>
      <w:r w:rsidRPr="000F17F6">
        <w:t>doi</w:t>
      </w:r>
      <w:proofErr w:type="spellEnd"/>
      <w:r w:rsidRPr="000F17F6">
        <w:t>: 10.1124/jpet.109.154344</w:t>
      </w:r>
    </w:p>
    <w:p w14:paraId="58DC4560" w14:textId="77777777" w:rsidR="000F17F6" w:rsidRPr="000F17F6" w:rsidRDefault="000F17F6" w:rsidP="00290A27">
      <w:pPr>
        <w:spacing w:after="0"/>
        <w:ind w:left="720" w:hanging="720"/>
      </w:pPr>
      <w:bookmarkStart w:id="68" w:name="B43"/>
      <w:bookmarkEnd w:id="68"/>
      <w:proofErr w:type="spellStart"/>
      <w:r w:rsidRPr="000F17F6">
        <w:t>Weltzien</w:t>
      </w:r>
      <w:proofErr w:type="spellEnd"/>
      <w:r w:rsidRPr="000F17F6">
        <w:t xml:space="preserve">, F., Puller, C., </w:t>
      </w:r>
      <w:proofErr w:type="spellStart"/>
      <w:r w:rsidRPr="000F17F6">
        <w:t>O’sullivan</w:t>
      </w:r>
      <w:proofErr w:type="spellEnd"/>
      <w:r w:rsidRPr="000F17F6">
        <w:t xml:space="preserve">, G. A., </w:t>
      </w:r>
      <w:proofErr w:type="spellStart"/>
      <w:r w:rsidRPr="000F17F6">
        <w:t>Paarmann</w:t>
      </w:r>
      <w:proofErr w:type="spellEnd"/>
      <w:r w:rsidRPr="000F17F6">
        <w:t>, I., and Betz, H. (2012). Distribution of the glycine receptor beta-subunit in the mouse CNS as revealed by a novel monoclonal antibody. </w:t>
      </w:r>
      <w:r w:rsidRPr="000F17F6">
        <w:rPr>
          <w:i/>
          <w:iCs/>
        </w:rPr>
        <w:t>J. Comp. Neurol.</w:t>
      </w:r>
      <w:r w:rsidRPr="000F17F6">
        <w:t xml:space="preserve"> 520, 3962–3981. </w:t>
      </w:r>
      <w:proofErr w:type="spellStart"/>
      <w:r w:rsidRPr="000F17F6">
        <w:t>doi</w:t>
      </w:r>
      <w:proofErr w:type="spellEnd"/>
      <w:r w:rsidRPr="000F17F6">
        <w:t>: 10.1002/cne.23139</w:t>
      </w:r>
    </w:p>
    <w:p w14:paraId="5E0BF4D3" w14:textId="77777777" w:rsidR="000F17F6" w:rsidRPr="000F17F6" w:rsidRDefault="000F17F6" w:rsidP="00290A27">
      <w:pPr>
        <w:spacing w:after="0"/>
        <w:ind w:left="720" w:hanging="720"/>
      </w:pPr>
      <w:bookmarkStart w:id="69" w:name="B44"/>
      <w:bookmarkEnd w:id="69"/>
      <w:proofErr w:type="spellStart"/>
      <w:r w:rsidRPr="000F17F6">
        <w:t>Yevenes</w:t>
      </w:r>
      <w:proofErr w:type="spellEnd"/>
      <w:r w:rsidRPr="000F17F6">
        <w:t xml:space="preserve">, G. E., Moraga-Cid, G., Avila, A., Guzman, L., Figueroa, M., Peoples, R. W., et al. (2010). Molecular requirements for ethanol differential allosteric modulation of glycine receptors based on selective </w:t>
      </w:r>
      <w:proofErr w:type="spellStart"/>
      <w:r w:rsidRPr="000F17F6">
        <w:t>Gbetagamma</w:t>
      </w:r>
      <w:proofErr w:type="spellEnd"/>
      <w:r w:rsidRPr="000F17F6">
        <w:t xml:space="preserve"> modulation. </w:t>
      </w:r>
      <w:r w:rsidRPr="000F17F6">
        <w:rPr>
          <w:i/>
          <w:iCs/>
        </w:rPr>
        <w:t>J. Biol. Chem.</w:t>
      </w:r>
      <w:r w:rsidRPr="000F17F6">
        <w:t xml:space="preserve"> 285, 30203–30213. </w:t>
      </w:r>
      <w:proofErr w:type="spellStart"/>
      <w:r w:rsidRPr="000F17F6">
        <w:t>doi</w:t>
      </w:r>
      <w:proofErr w:type="spellEnd"/>
      <w:r w:rsidRPr="000F17F6">
        <w:t>: 10.1074/jbc.M110.134676</w:t>
      </w:r>
    </w:p>
    <w:p w14:paraId="4AEE5BD3" w14:textId="77777777" w:rsidR="000F17F6" w:rsidRPr="000F17F6" w:rsidRDefault="000F17F6" w:rsidP="00290A27">
      <w:pPr>
        <w:spacing w:after="0"/>
        <w:ind w:left="720" w:hanging="720"/>
      </w:pPr>
      <w:bookmarkStart w:id="70" w:name="B45"/>
      <w:bookmarkEnd w:id="70"/>
      <w:proofErr w:type="spellStart"/>
      <w:r w:rsidRPr="000F17F6">
        <w:t>Yevenes</w:t>
      </w:r>
      <w:proofErr w:type="spellEnd"/>
      <w:r w:rsidRPr="000F17F6">
        <w:t xml:space="preserve">, G. E., Moraga-Cid, G., Guzman, L., </w:t>
      </w:r>
      <w:proofErr w:type="spellStart"/>
      <w:r w:rsidRPr="000F17F6">
        <w:t>Haeger</w:t>
      </w:r>
      <w:proofErr w:type="spellEnd"/>
      <w:r w:rsidRPr="000F17F6">
        <w:t xml:space="preserve">, S., Oliveira, L., </w:t>
      </w:r>
      <w:proofErr w:type="spellStart"/>
      <w:r w:rsidRPr="000F17F6">
        <w:t>Olate</w:t>
      </w:r>
      <w:proofErr w:type="spellEnd"/>
      <w:r w:rsidRPr="000F17F6">
        <w:t xml:space="preserve">, J., et al. (2006). Molecular determinants for G protein </w:t>
      </w:r>
      <w:proofErr w:type="spellStart"/>
      <w:r w:rsidRPr="000F17F6">
        <w:t>bg</w:t>
      </w:r>
      <w:proofErr w:type="spellEnd"/>
      <w:r w:rsidRPr="000F17F6">
        <w:t xml:space="preserve"> modulation of ionotropic glycine receptors. </w:t>
      </w:r>
      <w:r w:rsidRPr="000F17F6">
        <w:rPr>
          <w:i/>
          <w:iCs/>
        </w:rPr>
        <w:t>J. Biol. Chem.</w:t>
      </w:r>
      <w:r w:rsidRPr="000F17F6">
        <w:t xml:space="preserve"> 281, 39300–39307. </w:t>
      </w:r>
      <w:proofErr w:type="spellStart"/>
      <w:r w:rsidRPr="000F17F6">
        <w:t>doi</w:t>
      </w:r>
      <w:proofErr w:type="spellEnd"/>
      <w:r w:rsidRPr="000F17F6">
        <w:t>: 10.1074/jbc.M608272200</w:t>
      </w:r>
    </w:p>
    <w:p w14:paraId="474EFFBD" w14:textId="77777777" w:rsidR="000F17F6" w:rsidRPr="000F17F6" w:rsidRDefault="000F17F6" w:rsidP="00290A27">
      <w:pPr>
        <w:spacing w:after="0"/>
        <w:ind w:left="720" w:hanging="720"/>
      </w:pPr>
      <w:bookmarkStart w:id="71" w:name="B46"/>
      <w:bookmarkEnd w:id="71"/>
      <w:proofErr w:type="spellStart"/>
      <w:r w:rsidRPr="000F17F6">
        <w:t>Yevenes</w:t>
      </w:r>
      <w:proofErr w:type="spellEnd"/>
      <w:r w:rsidRPr="000F17F6">
        <w:t xml:space="preserve">, G. E., Moraga-Cid, G., Peoples, R. W., </w:t>
      </w:r>
      <w:proofErr w:type="spellStart"/>
      <w:r w:rsidRPr="000F17F6">
        <w:t>Schmalzing</w:t>
      </w:r>
      <w:proofErr w:type="spellEnd"/>
      <w:r w:rsidRPr="000F17F6">
        <w:t xml:space="preserve">, G., and Aguayo, L. G. (2008). A selective G </w:t>
      </w:r>
      <w:proofErr w:type="spellStart"/>
      <w:r w:rsidRPr="000F17F6">
        <w:t>betagamma</w:t>
      </w:r>
      <w:proofErr w:type="spellEnd"/>
      <w:r w:rsidRPr="000F17F6">
        <w:t>-linked intracellular mechanism for modulation of a ligand-gated ion channel by ethanol. </w:t>
      </w:r>
      <w:r w:rsidRPr="000F17F6">
        <w:rPr>
          <w:i/>
          <w:iCs/>
        </w:rPr>
        <w:t>Proc. Natl. Acad. Sci. U.S.A.</w:t>
      </w:r>
      <w:r w:rsidRPr="000F17F6">
        <w:t xml:space="preserve"> 105, 20523–20528. </w:t>
      </w:r>
      <w:proofErr w:type="spellStart"/>
      <w:r w:rsidRPr="000F17F6">
        <w:t>doi</w:t>
      </w:r>
      <w:proofErr w:type="spellEnd"/>
      <w:r w:rsidRPr="000F17F6">
        <w:t>: 10.1073/pnas.0806257105</w:t>
      </w:r>
    </w:p>
    <w:p w14:paraId="26422F09" w14:textId="77777777" w:rsidR="000F17F6" w:rsidRPr="000F17F6" w:rsidRDefault="000F17F6" w:rsidP="00290A27">
      <w:pPr>
        <w:spacing w:after="0"/>
        <w:ind w:left="720" w:hanging="720"/>
      </w:pPr>
      <w:bookmarkStart w:id="72" w:name="B47"/>
      <w:bookmarkEnd w:id="72"/>
      <w:proofErr w:type="spellStart"/>
      <w:r w:rsidRPr="000F17F6">
        <w:t>Yevenes</w:t>
      </w:r>
      <w:proofErr w:type="spellEnd"/>
      <w:r w:rsidRPr="000F17F6">
        <w:t xml:space="preserve">, G. E., Peoples, R. W., Tapia, J. C., </w:t>
      </w:r>
      <w:proofErr w:type="spellStart"/>
      <w:r w:rsidRPr="000F17F6">
        <w:t>Parodi</w:t>
      </w:r>
      <w:proofErr w:type="spellEnd"/>
      <w:r w:rsidRPr="000F17F6">
        <w:t xml:space="preserve">, J., Soto, X., </w:t>
      </w:r>
      <w:proofErr w:type="spellStart"/>
      <w:r w:rsidRPr="000F17F6">
        <w:t>Olate</w:t>
      </w:r>
      <w:proofErr w:type="spellEnd"/>
      <w:r w:rsidRPr="000F17F6">
        <w:t xml:space="preserve">, J., et al. (2003). Modulation of glycine-activated ion channel function by G-protein </w:t>
      </w:r>
      <w:proofErr w:type="spellStart"/>
      <w:r w:rsidRPr="000F17F6">
        <w:t>betagamma</w:t>
      </w:r>
      <w:proofErr w:type="spellEnd"/>
      <w:r w:rsidRPr="000F17F6">
        <w:t xml:space="preserve"> subunits. </w:t>
      </w:r>
      <w:r w:rsidRPr="000F17F6">
        <w:rPr>
          <w:i/>
          <w:iCs/>
        </w:rPr>
        <w:t xml:space="preserve">Nat. </w:t>
      </w:r>
      <w:proofErr w:type="spellStart"/>
      <w:r w:rsidRPr="000F17F6">
        <w:rPr>
          <w:i/>
          <w:iCs/>
        </w:rPr>
        <w:t>Neurosci</w:t>
      </w:r>
      <w:proofErr w:type="spellEnd"/>
      <w:r w:rsidRPr="000F17F6">
        <w:rPr>
          <w:i/>
          <w:iCs/>
        </w:rPr>
        <w:t>.</w:t>
      </w:r>
      <w:r w:rsidRPr="000F17F6">
        <w:t xml:space="preserve"> 6, 819–824. </w:t>
      </w:r>
      <w:proofErr w:type="spellStart"/>
      <w:r w:rsidRPr="000F17F6">
        <w:t>doi</w:t>
      </w:r>
      <w:proofErr w:type="spellEnd"/>
      <w:r w:rsidRPr="000F17F6">
        <w:t>: 10.1038/nn1095</w:t>
      </w:r>
    </w:p>
    <w:p w14:paraId="7FE04F96" w14:textId="77777777" w:rsidR="000F17F6" w:rsidRPr="000F17F6" w:rsidRDefault="000F17F6" w:rsidP="00290A27">
      <w:pPr>
        <w:spacing w:after="0"/>
        <w:ind w:left="720" w:hanging="720"/>
      </w:pPr>
      <w:bookmarkStart w:id="73" w:name="B48"/>
      <w:bookmarkEnd w:id="73"/>
      <w:proofErr w:type="spellStart"/>
      <w:r w:rsidRPr="000F17F6">
        <w:lastRenderedPageBreak/>
        <w:t>Yevenes</w:t>
      </w:r>
      <w:proofErr w:type="spellEnd"/>
      <w:r w:rsidRPr="000F17F6">
        <w:t xml:space="preserve">, G. E., and </w:t>
      </w:r>
      <w:proofErr w:type="spellStart"/>
      <w:r w:rsidRPr="000F17F6">
        <w:t>Zeilhofer</w:t>
      </w:r>
      <w:proofErr w:type="spellEnd"/>
      <w:r w:rsidRPr="000F17F6">
        <w:t>, H. U. (2011b). Molecular sites for the positive allosteric modulation of glycine receptors by endocannabinoids. </w:t>
      </w:r>
      <w:proofErr w:type="spellStart"/>
      <w:r w:rsidRPr="000F17F6">
        <w:rPr>
          <w:i/>
          <w:iCs/>
        </w:rPr>
        <w:t>PLoS</w:t>
      </w:r>
      <w:proofErr w:type="spellEnd"/>
      <w:r w:rsidRPr="000F17F6">
        <w:rPr>
          <w:i/>
          <w:iCs/>
        </w:rPr>
        <w:t xml:space="preserve"> One</w:t>
      </w:r>
      <w:r w:rsidRPr="000F17F6">
        <w:t> </w:t>
      </w:r>
      <w:proofErr w:type="gramStart"/>
      <w:r w:rsidRPr="000F17F6">
        <w:t>6:e</w:t>
      </w:r>
      <w:proofErr w:type="gramEnd"/>
      <w:r w:rsidRPr="000F17F6">
        <w:t xml:space="preserve">23886. </w:t>
      </w:r>
      <w:proofErr w:type="spellStart"/>
      <w:r w:rsidRPr="000F17F6">
        <w:t>doi</w:t>
      </w:r>
      <w:proofErr w:type="spellEnd"/>
      <w:r w:rsidRPr="000F17F6">
        <w:t>: 10.1371/journal.pone.0023886</w:t>
      </w:r>
    </w:p>
    <w:p w14:paraId="2BD76B96" w14:textId="77777777" w:rsidR="000F17F6" w:rsidRPr="000F17F6" w:rsidRDefault="000F17F6" w:rsidP="00290A27">
      <w:pPr>
        <w:spacing w:after="0"/>
        <w:ind w:left="720" w:hanging="720"/>
      </w:pPr>
      <w:bookmarkStart w:id="74" w:name="B49"/>
      <w:bookmarkEnd w:id="74"/>
      <w:proofErr w:type="spellStart"/>
      <w:r w:rsidRPr="000F17F6">
        <w:t>Yevenes</w:t>
      </w:r>
      <w:proofErr w:type="spellEnd"/>
      <w:r w:rsidRPr="000F17F6">
        <w:t xml:space="preserve">, G. E., and </w:t>
      </w:r>
      <w:proofErr w:type="spellStart"/>
      <w:r w:rsidRPr="000F17F6">
        <w:t>Zeilhofer</w:t>
      </w:r>
      <w:proofErr w:type="spellEnd"/>
      <w:r w:rsidRPr="000F17F6">
        <w:t>, H. U. (2011a). Allosteric modulation of glycine receptors. </w:t>
      </w:r>
      <w:r w:rsidRPr="000F17F6">
        <w:rPr>
          <w:i/>
          <w:iCs/>
        </w:rPr>
        <w:t xml:space="preserve">Br. J. </w:t>
      </w:r>
      <w:proofErr w:type="spellStart"/>
      <w:r w:rsidRPr="000F17F6">
        <w:rPr>
          <w:i/>
          <w:iCs/>
        </w:rPr>
        <w:t>Pharmacol</w:t>
      </w:r>
      <w:proofErr w:type="spellEnd"/>
      <w:r w:rsidRPr="000F17F6">
        <w:rPr>
          <w:i/>
          <w:iCs/>
        </w:rPr>
        <w:t>.</w:t>
      </w:r>
      <w:r w:rsidRPr="000F17F6">
        <w:t xml:space="preserve"> 164, 224–236. </w:t>
      </w:r>
      <w:proofErr w:type="spellStart"/>
      <w:r w:rsidRPr="000F17F6">
        <w:t>doi</w:t>
      </w:r>
      <w:proofErr w:type="spellEnd"/>
      <w:r w:rsidRPr="000F17F6">
        <w:t>: 10.1111/j.1476-5381.</w:t>
      </w:r>
      <w:proofErr w:type="gramStart"/>
      <w:r w:rsidRPr="000F17F6">
        <w:t>2011.01471.x</w:t>
      </w:r>
      <w:proofErr w:type="gramEnd"/>
    </w:p>
    <w:p w14:paraId="001EBA57" w14:textId="77777777" w:rsidR="000F17F6" w:rsidRPr="000F17F6" w:rsidRDefault="000F17F6" w:rsidP="00290A27">
      <w:pPr>
        <w:spacing w:after="0"/>
        <w:ind w:left="720" w:hanging="720"/>
      </w:pPr>
      <w:bookmarkStart w:id="75" w:name="B50"/>
      <w:bookmarkEnd w:id="75"/>
      <w:r w:rsidRPr="000F17F6">
        <w:t>Yu, H., Bai, X.-C., and Wang, W. (2021). Characterization of the subunit composition and structure of adult human glycine receptors. </w:t>
      </w:r>
      <w:r w:rsidRPr="000F17F6">
        <w:rPr>
          <w:i/>
          <w:iCs/>
        </w:rPr>
        <w:t>Neuron</w:t>
      </w:r>
      <w:r w:rsidRPr="000F17F6">
        <w:t xml:space="preserve"> 109, 2707–2716.e6. </w:t>
      </w:r>
      <w:proofErr w:type="spellStart"/>
      <w:r w:rsidRPr="000F17F6">
        <w:t>doi</w:t>
      </w:r>
      <w:proofErr w:type="spellEnd"/>
      <w:r w:rsidRPr="000F17F6">
        <w:t>: 10.1016/j.neuron.2021.08.019</w:t>
      </w:r>
    </w:p>
    <w:p w14:paraId="52B323C1" w14:textId="77777777" w:rsidR="000F17F6" w:rsidRPr="000F17F6" w:rsidRDefault="000F17F6" w:rsidP="00290A27">
      <w:pPr>
        <w:spacing w:after="0"/>
        <w:ind w:left="720" w:hanging="720"/>
      </w:pPr>
      <w:bookmarkStart w:id="76" w:name="B51"/>
      <w:bookmarkEnd w:id="76"/>
      <w:proofErr w:type="spellStart"/>
      <w:r w:rsidRPr="000F17F6">
        <w:t>Zeilhofer</w:t>
      </w:r>
      <w:proofErr w:type="spellEnd"/>
      <w:r w:rsidRPr="000F17F6">
        <w:t xml:space="preserve">, H. U., </w:t>
      </w:r>
      <w:proofErr w:type="spellStart"/>
      <w:r w:rsidRPr="000F17F6">
        <w:t>Studler</w:t>
      </w:r>
      <w:proofErr w:type="spellEnd"/>
      <w:r w:rsidRPr="000F17F6">
        <w:t xml:space="preserve">, B., </w:t>
      </w:r>
      <w:proofErr w:type="spellStart"/>
      <w:r w:rsidRPr="000F17F6">
        <w:t>Arabadzisz</w:t>
      </w:r>
      <w:proofErr w:type="spellEnd"/>
      <w:r w:rsidRPr="000F17F6">
        <w:t xml:space="preserve">, D., Schweizer, C., Ahmadi, S., </w:t>
      </w:r>
      <w:proofErr w:type="spellStart"/>
      <w:r w:rsidRPr="000F17F6">
        <w:t>Layh</w:t>
      </w:r>
      <w:proofErr w:type="spellEnd"/>
      <w:r w:rsidRPr="000F17F6">
        <w:t>, B., et al. (2005). Glycinergic neurons expressing enhanced green fluorescent protein in bacterial artificial chromosome transgenic mice. </w:t>
      </w:r>
      <w:r w:rsidRPr="000F17F6">
        <w:rPr>
          <w:i/>
          <w:iCs/>
        </w:rPr>
        <w:t>J. Comp. Neurol.</w:t>
      </w:r>
      <w:r w:rsidRPr="000F17F6">
        <w:t> 482, 123–141.</w:t>
      </w:r>
    </w:p>
    <w:p w14:paraId="7B38B5DE" w14:textId="77777777" w:rsidR="000F17F6" w:rsidRPr="000F17F6" w:rsidRDefault="000F17F6" w:rsidP="00290A27">
      <w:pPr>
        <w:spacing w:after="0"/>
        <w:ind w:left="720" w:hanging="720"/>
      </w:pPr>
      <w:bookmarkStart w:id="77" w:name="B52"/>
      <w:bookmarkEnd w:id="77"/>
      <w:proofErr w:type="spellStart"/>
      <w:r w:rsidRPr="000F17F6">
        <w:t>Zeilhofer</w:t>
      </w:r>
      <w:proofErr w:type="spellEnd"/>
      <w:r w:rsidRPr="000F17F6">
        <w:t xml:space="preserve">, H. U., </w:t>
      </w:r>
      <w:proofErr w:type="spellStart"/>
      <w:r w:rsidRPr="000F17F6">
        <w:t>Wildner</w:t>
      </w:r>
      <w:proofErr w:type="spellEnd"/>
      <w:r w:rsidRPr="000F17F6">
        <w:t xml:space="preserve">, H., and </w:t>
      </w:r>
      <w:proofErr w:type="spellStart"/>
      <w:r w:rsidRPr="000F17F6">
        <w:t>Yevenes</w:t>
      </w:r>
      <w:proofErr w:type="spellEnd"/>
      <w:r w:rsidRPr="000F17F6">
        <w:t>, G. E. (2012). Fast synaptic inhibition in spinal sensory processing and pain control. </w:t>
      </w:r>
      <w:r w:rsidRPr="000F17F6">
        <w:rPr>
          <w:i/>
          <w:iCs/>
        </w:rPr>
        <w:t>Physiol. Rev.</w:t>
      </w:r>
      <w:r w:rsidRPr="000F17F6">
        <w:t xml:space="preserve"> 92, 193–235. </w:t>
      </w:r>
      <w:proofErr w:type="spellStart"/>
      <w:r w:rsidRPr="000F17F6">
        <w:t>doi</w:t>
      </w:r>
      <w:proofErr w:type="spellEnd"/>
      <w:r w:rsidRPr="000F17F6">
        <w:t>: 10.1152/physrev.00043.2010</w:t>
      </w:r>
    </w:p>
    <w:p w14:paraId="7F6C82D6" w14:textId="77777777" w:rsidR="000F17F6" w:rsidRPr="000F17F6" w:rsidRDefault="000F17F6" w:rsidP="00290A27">
      <w:pPr>
        <w:spacing w:after="0"/>
        <w:ind w:left="720" w:hanging="720"/>
      </w:pPr>
      <w:bookmarkStart w:id="78" w:name="B53"/>
      <w:bookmarkEnd w:id="78"/>
      <w:r w:rsidRPr="000F17F6">
        <w:t xml:space="preserve">Zhu, H., and </w:t>
      </w:r>
      <w:proofErr w:type="spellStart"/>
      <w:r w:rsidRPr="000F17F6">
        <w:t>Gouaux</w:t>
      </w:r>
      <w:proofErr w:type="spellEnd"/>
      <w:r w:rsidRPr="000F17F6">
        <w:t>, E. (2021). Architecture and assembly mechanism of native glycine receptors. </w:t>
      </w:r>
      <w:r w:rsidRPr="000F17F6">
        <w:rPr>
          <w:i/>
          <w:iCs/>
        </w:rPr>
        <w:t>Nature</w:t>
      </w:r>
      <w:r w:rsidRPr="000F17F6">
        <w:t> </w:t>
      </w:r>
      <w:proofErr w:type="spellStart"/>
      <w:r w:rsidRPr="000F17F6">
        <w:t>doi</w:t>
      </w:r>
      <w:proofErr w:type="spellEnd"/>
      <w:r w:rsidRPr="000F17F6">
        <w:t>: 10.1038/s41586-021-04022-z [Online ahead print].</w:t>
      </w:r>
    </w:p>
    <w:p w14:paraId="43FB4894" w14:textId="77777777" w:rsidR="000F17F6" w:rsidRPr="000F17F6" w:rsidRDefault="000F17F6" w:rsidP="000F17F6"/>
    <w:p w14:paraId="6CA9AE1A" w14:textId="77777777" w:rsidR="000F17F6" w:rsidRPr="000976FB" w:rsidRDefault="000F17F6" w:rsidP="000976FB"/>
    <w:sectPr w:rsidR="000F17F6" w:rsidRPr="000976FB" w:rsidSect="001870EC">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MTSYN">
    <w:altName w:val="Calibri"/>
    <w:panose1 w:val="00000000000000000000"/>
    <w:charset w:val="00"/>
    <w:family w:val="auto"/>
    <w:notTrueType/>
    <w:pitch w:val="default"/>
    <w:sig w:usb0="00000003" w:usb1="00000000" w:usb2="00000000" w:usb3="00000000" w:csb0="00000001" w:csb1="00000000"/>
  </w:font>
  <w:font w:name="MTGU">
    <w:altName w:val="Calibri"/>
    <w:panose1 w:val="00000000000000000000"/>
    <w:charset w:val="00"/>
    <w:family w:val="auto"/>
    <w:notTrueType/>
    <w:pitch w:val="default"/>
    <w:sig w:usb0="00000003" w:usb1="00000000" w:usb2="00000000" w:usb3="00000000" w:csb0="00000001" w:csb1="00000000"/>
  </w:font>
  <w:font w:name="RBLMI">
    <w:altName w:val="Calibri"/>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715741461">
    <w:abstractNumId w:val="0"/>
  </w:num>
  <w:num w:numId="2" w16cid:durableId="1111314865">
    <w:abstractNumId w:val="2"/>
  </w:num>
  <w:num w:numId="3" w16cid:durableId="640305911">
    <w:abstractNumId w:val="15"/>
  </w:num>
  <w:num w:numId="4" w16cid:durableId="525024082">
    <w:abstractNumId w:val="4"/>
  </w:num>
  <w:num w:numId="5" w16cid:durableId="1479422542">
    <w:abstractNumId w:val="12"/>
  </w:num>
  <w:num w:numId="6" w16cid:durableId="1242134183">
    <w:abstractNumId w:val="16"/>
  </w:num>
  <w:num w:numId="7" w16cid:durableId="1246110379">
    <w:abstractNumId w:val="1"/>
  </w:num>
  <w:num w:numId="8" w16cid:durableId="1389843770">
    <w:abstractNumId w:val="11"/>
  </w:num>
  <w:num w:numId="9" w16cid:durableId="588928513">
    <w:abstractNumId w:val="8"/>
  </w:num>
  <w:num w:numId="10" w16cid:durableId="539780355">
    <w:abstractNumId w:val="3"/>
  </w:num>
  <w:num w:numId="11" w16cid:durableId="1986202297">
    <w:abstractNumId w:val="13"/>
  </w:num>
  <w:num w:numId="12" w16cid:durableId="1964076084">
    <w:abstractNumId w:val="17"/>
  </w:num>
  <w:num w:numId="13" w16cid:durableId="1220630359">
    <w:abstractNumId w:val="9"/>
  </w:num>
  <w:num w:numId="14" w16cid:durableId="673872701">
    <w:abstractNumId w:val="6"/>
  </w:num>
  <w:num w:numId="15" w16cid:durableId="890194859">
    <w:abstractNumId w:val="14"/>
  </w:num>
  <w:num w:numId="16" w16cid:durableId="1475025698">
    <w:abstractNumId w:val="7"/>
  </w:num>
  <w:num w:numId="17" w16cid:durableId="743452293">
    <w:abstractNumId w:val="5"/>
  </w:num>
  <w:num w:numId="18" w16cid:durableId="134397076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Yfb+xDYYktPT+9lL9QkE5J17jwv7R6k1fl477EuHz6x9C3x25plCi3Z0khR3b1ylrnfn+fy9RA8aK2gQR6SZ1w==" w:salt="ORvqC7g2RXEudiERuQ5P+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665"/>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6C17"/>
    <w:rsid w:val="00057D20"/>
    <w:rsid w:val="000606A8"/>
    <w:rsid w:val="00061102"/>
    <w:rsid w:val="00064ECB"/>
    <w:rsid w:val="00071537"/>
    <w:rsid w:val="00071B0C"/>
    <w:rsid w:val="00072612"/>
    <w:rsid w:val="000735D6"/>
    <w:rsid w:val="00074B64"/>
    <w:rsid w:val="000769FD"/>
    <w:rsid w:val="00077000"/>
    <w:rsid w:val="00082637"/>
    <w:rsid w:val="00083102"/>
    <w:rsid w:val="00083AD9"/>
    <w:rsid w:val="000846CC"/>
    <w:rsid w:val="00085797"/>
    <w:rsid w:val="00087367"/>
    <w:rsid w:val="0009064A"/>
    <w:rsid w:val="00091815"/>
    <w:rsid w:val="00092DFF"/>
    <w:rsid w:val="00093C1A"/>
    <w:rsid w:val="000976FB"/>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23B1"/>
    <w:rsid w:val="000D3573"/>
    <w:rsid w:val="000D4F0B"/>
    <w:rsid w:val="000D6BF2"/>
    <w:rsid w:val="000E69EF"/>
    <w:rsid w:val="000E7C46"/>
    <w:rsid w:val="000F0449"/>
    <w:rsid w:val="000F08DA"/>
    <w:rsid w:val="000F14F0"/>
    <w:rsid w:val="000F17F6"/>
    <w:rsid w:val="000F1D5E"/>
    <w:rsid w:val="000F33D0"/>
    <w:rsid w:val="000F7FB1"/>
    <w:rsid w:val="00100B6D"/>
    <w:rsid w:val="00101A98"/>
    <w:rsid w:val="00104CE6"/>
    <w:rsid w:val="00107EA8"/>
    <w:rsid w:val="00114114"/>
    <w:rsid w:val="00117F89"/>
    <w:rsid w:val="00120313"/>
    <w:rsid w:val="00121209"/>
    <w:rsid w:val="001233A5"/>
    <w:rsid w:val="00123BC0"/>
    <w:rsid w:val="00123E80"/>
    <w:rsid w:val="00126F90"/>
    <w:rsid w:val="0013073E"/>
    <w:rsid w:val="00131A15"/>
    <w:rsid w:val="00131C28"/>
    <w:rsid w:val="00134CF7"/>
    <w:rsid w:val="0014182B"/>
    <w:rsid w:val="0014490B"/>
    <w:rsid w:val="00146998"/>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870EC"/>
    <w:rsid w:val="00196C7C"/>
    <w:rsid w:val="001A1C71"/>
    <w:rsid w:val="001A1DF4"/>
    <w:rsid w:val="001A34C4"/>
    <w:rsid w:val="001A548E"/>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2EE3"/>
    <w:rsid w:val="00206486"/>
    <w:rsid w:val="00206CC8"/>
    <w:rsid w:val="00211422"/>
    <w:rsid w:val="00212109"/>
    <w:rsid w:val="00224240"/>
    <w:rsid w:val="00226FA2"/>
    <w:rsid w:val="0024134B"/>
    <w:rsid w:val="00251132"/>
    <w:rsid w:val="002535DF"/>
    <w:rsid w:val="0025406D"/>
    <w:rsid w:val="002558EB"/>
    <w:rsid w:val="00255B43"/>
    <w:rsid w:val="00255BDC"/>
    <w:rsid w:val="00255BEA"/>
    <w:rsid w:val="00261403"/>
    <w:rsid w:val="00261F59"/>
    <w:rsid w:val="00272AF4"/>
    <w:rsid w:val="00276C06"/>
    <w:rsid w:val="00280198"/>
    <w:rsid w:val="00282094"/>
    <w:rsid w:val="002843BC"/>
    <w:rsid w:val="00284A84"/>
    <w:rsid w:val="00290A27"/>
    <w:rsid w:val="0029129F"/>
    <w:rsid w:val="00296B90"/>
    <w:rsid w:val="00297296"/>
    <w:rsid w:val="002A0668"/>
    <w:rsid w:val="002A6B8B"/>
    <w:rsid w:val="002A7FBB"/>
    <w:rsid w:val="002B1ED8"/>
    <w:rsid w:val="002B2EAC"/>
    <w:rsid w:val="002B45EC"/>
    <w:rsid w:val="002B62C6"/>
    <w:rsid w:val="002C17A7"/>
    <w:rsid w:val="002C2DA5"/>
    <w:rsid w:val="002C4714"/>
    <w:rsid w:val="002C6160"/>
    <w:rsid w:val="002D02F2"/>
    <w:rsid w:val="002D28EA"/>
    <w:rsid w:val="002D51BB"/>
    <w:rsid w:val="002D5BAE"/>
    <w:rsid w:val="002D5DDC"/>
    <w:rsid w:val="002D6AA3"/>
    <w:rsid w:val="002E18BA"/>
    <w:rsid w:val="002E41D5"/>
    <w:rsid w:val="002E5C33"/>
    <w:rsid w:val="002E5D29"/>
    <w:rsid w:val="00300EE4"/>
    <w:rsid w:val="0030197F"/>
    <w:rsid w:val="0030223E"/>
    <w:rsid w:val="00303A1E"/>
    <w:rsid w:val="00303BBD"/>
    <w:rsid w:val="00313440"/>
    <w:rsid w:val="00314FCD"/>
    <w:rsid w:val="00324290"/>
    <w:rsid w:val="003245CA"/>
    <w:rsid w:val="00331737"/>
    <w:rsid w:val="00331965"/>
    <w:rsid w:val="00332300"/>
    <w:rsid w:val="0033243D"/>
    <w:rsid w:val="0033652E"/>
    <w:rsid w:val="00340617"/>
    <w:rsid w:val="0034091D"/>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1DFB"/>
    <w:rsid w:val="003E6CFF"/>
    <w:rsid w:val="003F5AAE"/>
    <w:rsid w:val="004010E3"/>
    <w:rsid w:val="004055B8"/>
    <w:rsid w:val="004061C0"/>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10DD"/>
    <w:rsid w:val="004C2D7B"/>
    <w:rsid w:val="004C45D2"/>
    <w:rsid w:val="004C5EEF"/>
    <w:rsid w:val="004D118A"/>
    <w:rsid w:val="004D1CB9"/>
    <w:rsid w:val="004D21C9"/>
    <w:rsid w:val="004E34F8"/>
    <w:rsid w:val="004E3C84"/>
    <w:rsid w:val="004E528B"/>
    <w:rsid w:val="004E7D07"/>
    <w:rsid w:val="004F146C"/>
    <w:rsid w:val="004F1F3C"/>
    <w:rsid w:val="004F657B"/>
    <w:rsid w:val="0050408D"/>
    <w:rsid w:val="00504C6A"/>
    <w:rsid w:val="00510364"/>
    <w:rsid w:val="005116C9"/>
    <w:rsid w:val="00511BEE"/>
    <w:rsid w:val="00514152"/>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4B94"/>
    <w:rsid w:val="00645D2C"/>
    <w:rsid w:val="00650724"/>
    <w:rsid w:val="006517B5"/>
    <w:rsid w:val="00652076"/>
    <w:rsid w:val="00653DA3"/>
    <w:rsid w:val="00654D37"/>
    <w:rsid w:val="00654D4E"/>
    <w:rsid w:val="006621F0"/>
    <w:rsid w:val="006647E7"/>
    <w:rsid w:val="00666FD4"/>
    <w:rsid w:val="00667217"/>
    <w:rsid w:val="006702C6"/>
    <w:rsid w:val="006769E6"/>
    <w:rsid w:val="00676C63"/>
    <w:rsid w:val="00680BCF"/>
    <w:rsid w:val="00682333"/>
    <w:rsid w:val="006844CA"/>
    <w:rsid w:val="006871E0"/>
    <w:rsid w:val="00693B53"/>
    <w:rsid w:val="00697377"/>
    <w:rsid w:val="006A1F61"/>
    <w:rsid w:val="006A533C"/>
    <w:rsid w:val="006A5E52"/>
    <w:rsid w:val="006A712D"/>
    <w:rsid w:val="006A7B71"/>
    <w:rsid w:val="006B20FD"/>
    <w:rsid w:val="006B3B2B"/>
    <w:rsid w:val="006B4503"/>
    <w:rsid w:val="006C024E"/>
    <w:rsid w:val="006C63F8"/>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D95"/>
    <w:rsid w:val="007246B0"/>
    <w:rsid w:val="007258CB"/>
    <w:rsid w:val="00730E29"/>
    <w:rsid w:val="00732FF6"/>
    <w:rsid w:val="00733CE0"/>
    <w:rsid w:val="00735393"/>
    <w:rsid w:val="00745E32"/>
    <w:rsid w:val="007466F7"/>
    <w:rsid w:val="00747ABA"/>
    <w:rsid w:val="00757D89"/>
    <w:rsid w:val="0076089C"/>
    <w:rsid w:val="0076194B"/>
    <w:rsid w:val="00763676"/>
    <w:rsid w:val="00772776"/>
    <w:rsid w:val="00776E56"/>
    <w:rsid w:val="00781619"/>
    <w:rsid w:val="00782F19"/>
    <w:rsid w:val="0079146B"/>
    <w:rsid w:val="00791DD5"/>
    <w:rsid w:val="00796875"/>
    <w:rsid w:val="0079756E"/>
    <w:rsid w:val="007A1233"/>
    <w:rsid w:val="007A258F"/>
    <w:rsid w:val="007A3B3A"/>
    <w:rsid w:val="007B0BBA"/>
    <w:rsid w:val="007C16F7"/>
    <w:rsid w:val="007C679F"/>
    <w:rsid w:val="007D25DB"/>
    <w:rsid w:val="007D29AA"/>
    <w:rsid w:val="007D51E8"/>
    <w:rsid w:val="007D655B"/>
    <w:rsid w:val="007D762B"/>
    <w:rsid w:val="007D7C64"/>
    <w:rsid w:val="007E2E07"/>
    <w:rsid w:val="007E3EDD"/>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25D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28AF"/>
    <w:rsid w:val="008A6C51"/>
    <w:rsid w:val="008B15CF"/>
    <w:rsid w:val="008B2242"/>
    <w:rsid w:val="008B4AD1"/>
    <w:rsid w:val="008B6D93"/>
    <w:rsid w:val="008B7AF1"/>
    <w:rsid w:val="008C3543"/>
    <w:rsid w:val="008C550F"/>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6BE"/>
    <w:rsid w:val="00956FEB"/>
    <w:rsid w:val="00964E27"/>
    <w:rsid w:val="009650D5"/>
    <w:rsid w:val="0096535F"/>
    <w:rsid w:val="00965F35"/>
    <w:rsid w:val="00966500"/>
    <w:rsid w:val="009729A3"/>
    <w:rsid w:val="009732A9"/>
    <w:rsid w:val="00977C0E"/>
    <w:rsid w:val="00977F1D"/>
    <w:rsid w:val="00982217"/>
    <w:rsid w:val="00984B39"/>
    <w:rsid w:val="00986A83"/>
    <w:rsid w:val="00990645"/>
    <w:rsid w:val="00994D36"/>
    <w:rsid w:val="009956A4"/>
    <w:rsid w:val="009A130B"/>
    <w:rsid w:val="009A2639"/>
    <w:rsid w:val="009A397F"/>
    <w:rsid w:val="009B4F83"/>
    <w:rsid w:val="009B6983"/>
    <w:rsid w:val="009C5450"/>
    <w:rsid w:val="009C5716"/>
    <w:rsid w:val="009D316A"/>
    <w:rsid w:val="009D3527"/>
    <w:rsid w:val="009D5368"/>
    <w:rsid w:val="009D54DF"/>
    <w:rsid w:val="009E2732"/>
    <w:rsid w:val="009E56AC"/>
    <w:rsid w:val="009E56AF"/>
    <w:rsid w:val="009E678D"/>
    <w:rsid w:val="009F28E2"/>
    <w:rsid w:val="009F4BDF"/>
    <w:rsid w:val="009F60BA"/>
    <w:rsid w:val="009F7F44"/>
    <w:rsid w:val="00A01B8D"/>
    <w:rsid w:val="00A034AE"/>
    <w:rsid w:val="00A035F5"/>
    <w:rsid w:val="00A11F34"/>
    <w:rsid w:val="00A1350A"/>
    <w:rsid w:val="00A167B8"/>
    <w:rsid w:val="00A231A4"/>
    <w:rsid w:val="00A2723B"/>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06E5"/>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76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2F4"/>
    <w:rsid w:val="00BD0D8D"/>
    <w:rsid w:val="00BD439F"/>
    <w:rsid w:val="00BD4F14"/>
    <w:rsid w:val="00BE2644"/>
    <w:rsid w:val="00BE42F3"/>
    <w:rsid w:val="00BE551C"/>
    <w:rsid w:val="00BF6ECD"/>
    <w:rsid w:val="00BF790B"/>
    <w:rsid w:val="00C01E67"/>
    <w:rsid w:val="00C05302"/>
    <w:rsid w:val="00C06B6B"/>
    <w:rsid w:val="00C06F37"/>
    <w:rsid w:val="00C0799A"/>
    <w:rsid w:val="00C109CE"/>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5EA1"/>
    <w:rsid w:val="00C6619F"/>
    <w:rsid w:val="00C6624A"/>
    <w:rsid w:val="00C742C3"/>
    <w:rsid w:val="00C75559"/>
    <w:rsid w:val="00C76D88"/>
    <w:rsid w:val="00C7785D"/>
    <w:rsid w:val="00C77A26"/>
    <w:rsid w:val="00C85BDD"/>
    <w:rsid w:val="00C86B81"/>
    <w:rsid w:val="00C91557"/>
    <w:rsid w:val="00C92F74"/>
    <w:rsid w:val="00CA1C19"/>
    <w:rsid w:val="00CA1E8F"/>
    <w:rsid w:val="00CA204D"/>
    <w:rsid w:val="00CA2E14"/>
    <w:rsid w:val="00CA60CD"/>
    <w:rsid w:val="00CB10E9"/>
    <w:rsid w:val="00CB11D6"/>
    <w:rsid w:val="00CB5475"/>
    <w:rsid w:val="00CB5B32"/>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B691F"/>
    <w:rsid w:val="00DC4F7C"/>
    <w:rsid w:val="00DC7134"/>
    <w:rsid w:val="00DC7C2C"/>
    <w:rsid w:val="00DD2256"/>
    <w:rsid w:val="00DD4B55"/>
    <w:rsid w:val="00DD5871"/>
    <w:rsid w:val="00DE2F66"/>
    <w:rsid w:val="00DE3037"/>
    <w:rsid w:val="00DE4173"/>
    <w:rsid w:val="00DE4592"/>
    <w:rsid w:val="00DF6125"/>
    <w:rsid w:val="00E07BB9"/>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6378D"/>
    <w:rsid w:val="00E7043E"/>
    <w:rsid w:val="00E747D9"/>
    <w:rsid w:val="00E75D5D"/>
    <w:rsid w:val="00E766CA"/>
    <w:rsid w:val="00E81F85"/>
    <w:rsid w:val="00E825CA"/>
    <w:rsid w:val="00E8413D"/>
    <w:rsid w:val="00E84C2A"/>
    <w:rsid w:val="00E90CA1"/>
    <w:rsid w:val="00E91D25"/>
    <w:rsid w:val="00E95F4D"/>
    <w:rsid w:val="00E97067"/>
    <w:rsid w:val="00EA6E8E"/>
    <w:rsid w:val="00EA7978"/>
    <w:rsid w:val="00EA7D19"/>
    <w:rsid w:val="00EB32E1"/>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4A9C"/>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76A3B"/>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45CA"/>
  </w:style>
  <w:style w:type="paragraph" w:styleId="Heading1">
    <w:name w:val="heading 1"/>
    <w:basedOn w:val="Normal"/>
    <w:next w:val="Normal"/>
    <w:link w:val="Heading1Char"/>
    <w:uiPriority w:val="9"/>
    <w:qFormat/>
    <w:rsid w:val="003245CA"/>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3245CA"/>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3245CA"/>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3245CA"/>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3245CA"/>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3245CA"/>
    <w:pPr>
      <w:keepNext/>
      <w:keepLines/>
      <w:spacing w:before="40" w:after="0"/>
      <w:outlineLvl w:val="5"/>
    </w:pPr>
  </w:style>
  <w:style w:type="paragraph" w:styleId="Heading7">
    <w:name w:val="heading 7"/>
    <w:basedOn w:val="Normal"/>
    <w:next w:val="Normal"/>
    <w:link w:val="Heading7Char"/>
    <w:uiPriority w:val="9"/>
    <w:semiHidden/>
    <w:unhideWhenUsed/>
    <w:qFormat/>
    <w:rsid w:val="003245CA"/>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3245CA"/>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3245CA"/>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45CA"/>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3245CA"/>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3245CA"/>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3245CA"/>
    <w:rPr>
      <w:i/>
      <w:iCs/>
    </w:rPr>
  </w:style>
  <w:style w:type="character" w:customStyle="1" w:styleId="Heading5Char">
    <w:name w:val="Heading 5 Char"/>
    <w:basedOn w:val="DefaultParagraphFont"/>
    <w:link w:val="Heading5"/>
    <w:uiPriority w:val="9"/>
    <w:semiHidden/>
    <w:rsid w:val="003245CA"/>
    <w:rPr>
      <w:color w:val="404040" w:themeColor="text1" w:themeTint="BF"/>
    </w:rPr>
  </w:style>
  <w:style w:type="character" w:customStyle="1" w:styleId="Heading6Char">
    <w:name w:val="Heading 6 Char"/>
    <w:basedOn w:val="DefaultParagraphFont"/>
    <w:link w:val="Heading6"/>
    <w:uiPriority w:val="9"/>
    <w:semiHidden/>
    <w:rsid w:val="003245CA"/>
  </w:style>
  <w:style w:type="character" w:customStyle="1" w:styleId="Heading7Char">
    <w:name w:val="Heading 7 Char"/>
    <w:basedOn w:val="DefaultParagraphFont"/>
    <w:link w:val="Heading7"/>
    <w:uiPriority w:val="9"/>
    <w:semiHidden/>
    <w:rsid w:val="003245CA"/>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3245CA"/>
    <w:rPr>
      <w:color w:val="262626" w:themeColor="text1" w:themeTint="D9"/>
      <w:sz w:val="21"/>
      <w:szCs w:val="21"/>
    </w:rPr>
  </w:style>
  <w:style w:type="character" w:customStyle="1" w:styleId="Heading9Char">
    <w:name w:val="Heading 9 Char"/>
    <w:basedOn w:val="DefaultParagraphFont"/>
    <w:link w:val="Heading9"/>
    <w:uiPriority w:val="9"/>
    <w:semiHidden/>
    <w:rsid w:val="003245CA"/>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3245CA"/>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3245CA"/>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3245CA"/>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3245CA"/>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3245CA"/>
    <w:rPr>
      <w:color w:val="5A5A5A" w:themeColor="text1" w:themeTint="A5"/>
      <w:spacing w:val="15"/>
    </w:rPr>
  </w:style>
  <w:style w:type="character" w:styleId="Strong">
    <w:name w:val="Strong"/>
    <w:basedOn w:val="DefaultParagraphFont"/>
    <w:uiPriority w:val="22"/>
    <w:qFormat/>
    <w:rsid w:val="003245CA"/>
    <w:rPr>
      <w:b/>
      <w:bCs/>
      <w:color w:val="auto"/>
    </w:rPr>
  </w:style>
  <w:style w:type="character" w:styleId="Emphasis">
    <w:name w:val="Emphasis"/>
    <w:basedOn w:val="DefaultParagraphFont"/>
    <w:uiPriority w:val="20"/>
    <w:qFormat/>
    <w:rsid w:val="003245CA"/>
    <w:rPr>
      <w:i/>
      <w:iCs/>
      <w:color w:val="auto"/>
    </w:rPr>
  </w:style>
  <w:style w:type="paragraph" w:styleId="NoSpacing">
    <w:name w:val="No Spacing"/>
    <w:uiPriority w:val="1"/>
    <w:qFormat/>
    <w:rsid w:val="003245CA"/>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3245CA"/>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3245CA"/>
    <w:rPr>
      <w:i/>
      <w:iCs/>
      <w:color w:val="404040" w:themeColor="text1" w:themeTint="BF"/>
    </w:rPr>
  </w:style>
  <w:style w:type="paragraph" w:styleId="IntenseQuote">
    <w:name w:val="Intense Quote"/>
    <w:basedOn w:val="Normal"/>
    <w:next w:val="Normal"/>
    <w:link w:val="IntenseQuoteChar"/>
    <w:uiPriority w:val="30"/>
    <w:qFormat/>
    <w:rsid w:val="003245CA"/>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3245CA"/>
    <w:rPr>
      <w:i/>
      <w:iCs/>
      <w:color w:val="404040" w:themeColor="text1" w:themeTint="BF"/>
    </w:rPr>
  </w:style>
  <w:style w:type="character" w:styleId="SubtleEmphasis">
    <w:name w:val="Subtle Emphasis"/>
    <w:basedOn w:val="DefaultParagraphFont"/>
    <w:uiPriority w:val="19"/>
    <w:qFormat/>
    <w:rsid w:val="003245CA"/>
    <w:rPr>
      <w:i/>
      <w:iCs/>
      <w:color w:val="404040" w:themeColor="text1" w:themeTint="BF"/>
    </w:rPr>
  </w:style>
  <w:style w:type="character" w:styleId="IntenseEmphasis">
    <w:name w:val="Intense Emphasis"/>
    <w:basedOn w:val="DefaultParagraphFont"/>
    <w:uiPriority w:val="21"/>
    <w:qFormat/>
    <w:rsid w:val="003245CA"/>
    <w:rPr>
      <w:b/>
      <w:bCs/>
      <w:i/>
      <w:iCs/>
      <w:color w:val="auto"/>
    </w:rPr>
  </w:style>
  <w:style w:type="character" w:styleId="SubtleReference">
    <w:name w:val="Subtle Reference"/>
    <w:basedOn w:val="DefaultParagraphFont"/>
    <w:uiPriority w:val="31"/>
    <w:qFormat/>
    <w:rsid w:val="003245CA"/>
    <w:rPr>
      <w:smallCaps/>
      <w:color w:val="404040" w:themeColor="text1" w:themeTint="BF"/>
    </w:rPr>
  </w:style>
  <w:style w:type="character" w:styleId="IntenseReference">
    <w:name w:val="Intense Reference"/>
    <w:basedOn w:val="DefaultParagraphFont"/>
    <w:uiPriority w:val="32"/>
    <w:qFormat/>
    <w:rsid w:val="003245CA"/>
    <w:rPr>
      <w:b/>
      <w:bCs/>
      <w:smallCaps/>
      <w:color w:val="404040" w:themeColor="text1" w:themeTint="BF"/>
      <w:spacing w:val="5"/>
    </w:rPr>
  </w:style>
  <w:style w:type="character" w:styleId="BookTitle">
    <w:name w:val="Book Title"/>
    <w:basedOn w:val="DefaultParagraphFont"/>
    <w:uiPriority w:val="33"/>
    <w:qFormat/>
    <w:rsid w:val="003245CA"/>
    <w:rPr>
      <w:b/>
      <w:bCs/>
      <w:i/>
      <w:iCs/>
      <w:spacing w:val="5"/>
    </w:rPr>
  </w:style>
  <w:style w:type="paragraph" w:styleId="TOCHeading">
    <w:name w:val="TOC Heading"/>
    <w:basedOn w:val="Heading1"/>
    <w:next w:val="Normal"/>
    <w:uiPriority w:val="39"/>
    <w:semiHidden/>
    <w:unhideWhenUsed/>
    <w:qFormat/>
    <w:rsid w:val="003245CA"/>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b0">
    <w:name w:val="mb0"/>
    <w:basedOn w:val="Normal"/>
    <w:rsid w:val="000F17F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b15">
    <w:name w:val="mb15"/>
    <w:basedOn w:val="Normal"/>
    <w:rsid w:val="000F17F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copy1">
    <w:name w:val="referencescopy1"/>
    <w:basedOn w:val="Normal"/>
    <w:rsid w:val="000F17F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copy2">
    <w:name w:val="referencescopy2"/>
    <w:basedOn w:val="Normal"/>
    <w:rsid w:val="000F17F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8142948">
      <w:bodyDiv w:val="1"/>
      <w:marLeft w:val="0"/>
      <w:marRight w:val="0"/>
      <w:marTop w:val="0"/>
      <w:marBottom w:val="0"/>
      <w:divBdr>
        <w:top w:val="none" w:sz="0" w:space="0" w:color="auto"/>
        <w:left w:val="none" w:sz="0" w:space="0" w:color="auto"/>
        <w:bottom w:val="none" w:sz="0" w:space="0" w:color="auto"/>
        <w:right w:val="none" w:sz="0" w:space="0" w:color="auto"/>
      </w:divBdr>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687748710">
      <w:bodyDiv w:val="1"/>
      <w:marLeft w:val="0"/>
      <w:marRight w:val="0"/>
      <w:marTop w:val="0"/>
      <w:marBottom w:val="0"/>
      <w:divBdr>
        <w:top w:val="none" w:sz="0" w:space="0" w:color="auto"/>
        <w:left w:val="none" w:sz="0" w:space="0" w:color="auto"/>
        <w:bottom w:val="none" w:sz="0" w:space="0" w:color="auto"/>
        <w:right w:val="none" w:sz="0" w:space="0" w:color="auto"/>
      </w:divBdr>
      <w:divsChild>
        <w:div w:id="1881743406">
          <w:marLeft w:val="0"/>
          <w:marRight w:val="0"/>
          <w:marTop w:val="0"/>
          <w:marBottom w:val="0"/>
          <w:divBdr>
            <w:top w:val="none" w:sz="0" w:space="0" w:color="auto"/>
            <w:left w:val="none" w:sz="0" w:space="0" w:color="auto"/>
            <w:bottom w:val="none" w:sz="0" w:space="0" w:color="auto"/>
            <w:right w:val="none" w:sz="0" w:space="0" w:color="auto"/>
          </w:divBdr>
        </w:div>
        <w:div w:id="1880168189">
          <w:marLeft w:val="0"/>
          <w:marRight w:val="0"/>
          <w:marTop w:val="0"/>
          <w:marBottom w:val="0"/>
          <w:divBdr>
            <w:top w:val="none" w:sz="0" w:space="0" w:color="auto"/>
            <w:left w:val="none" w:sz="0" w:space="0" w:color="auto"/>
            <w:bottom w:val="none" w:sz="0" w:space="0" w:color="auto"/>
            <w:right w:val="none" w:sz="0" w:space="0" w:color="auto"/>
          </w:divBdr>
          <w:divsChild>
            <w:div w:id="227227057">
              <w:marLeft w:val="0"/>
              <w:marRight w:val="0"/>
              <w:marTop w:val="270"/>
              <w:marBottom w:val="0"/>
              <w:divBdr>
                <w:top w:val="none" w:sz="0" w:space="0" w:color="auto"/>
                <w:left w:val="none" w:sz="0" w:space="0" w:color="auto"/>
                <w:bottom w:val="none" w:sz="0" w:space="0" w:color="auto"/>
                <w:right w:val="none" w:sz="0" w:space="0" w:color="auto"/>
              </w:divBdr>
            </w:div>
            <w:div w:id="1690984626">
              <w:marLeft w:val="0"/>
              <w:marRight w:val="0"/>
              <w:marTop w:val="0"/>
              <w:marBottom w:val="270"/>
              <w:divBdr>
                <w:top w:val="none" w:sz="0" w:space="0" w:color="auto"/>
                <w:left w:val="none" w:sz="0" w:space="0" w:color="auto"/>
                <w:bottom w:val="none" w:sz="0" w:space="0" w:color="auto"/>
                <w:right w:val="none" w:sz="0" w:space="0" w:color="auto"/>
              </w:divBdr>
            </w:div>
            <w:div w:id="891772819">
              <w:marLeft w:val="0"/>
              <w:marRight w:val="0"/>
              <w:marTop w:val="270"/>
              <w:marBottom w:val="0"/>
              <w:divBdr>
                <w:top w:val="none" w:sz="0" w:space="0" w:color="auto"/>
                <w:left w:val="none" w:sz="0" w:space="0" w:color="auto"/>
                <w:bottom w:val="none" w:sz="0" w:space="0" w:color="auto"/>
                <w:right w:val="none" w:sz="0" w:space="0" w:color="auto"/>
              </w:divBdr>
            </w:div>
            <w:div w:id="1103527064">
              <w:marLeft w:val="0"/>
              <w:marRight w:val="0"/>
              <w:marTop w:val="0"/>
              <w:marBottom w:val="270"/>
              <w:divBdr>
                <w:top w:val="none" w:sz="0" w:space="0" w:color="auto"/>
                <w:left w:val="none" w:sz="0" w:space="0" w:color="auto"/>
                <w:bottom w:val="none" w:sz="0" w:space="0" w:color="auto"/>
                <w:right w:val="none" w:sz="0" w:space="0" w:color="auto"/>
              </w:divBdr>
            </w:div>
            <w:div w:id="2036227950">
              <w:marLeft w:val="0"/>
              <w:marRight w:val="0"/>
              <w:marTop w:val="270"/>
              <w:marBottom w:val="0"/>
              <w:divBdr>
                <w:top w:val="none" w:sz="0" w:space="0" w:color="auto"/>
                <w:left w:val="none" w:sz="0" w:space="0" w:color="auto"/>
                <w:bottom w:val="none" w:sz="0" w:space="0" w:color="auto"/>
                <w:right w:val="none" w:sz="0" w:space="0" w:color="auto"/>
              </w:divBdr>
            </w:div>
            <w:div w:id="748888013">
              <w:marLeft w:val="0"/>
              <w:marRight w:val="0"/>
              <w:marTop w:val="0"/>
              <w:marBottom w:val="270"/>
              <w:divBdr>
                <w:top w:val="none" w:sz="0" w:space="0" w:color="auto"/>
                <w:left w:val="none" w:sz="0" w:space="0" w:color="auto"/>
                <w:bottom w:val="none" w:sz="0" w:space="0" w:color="auto"/>
                <w:right w:val="none" w:sz="0" w:space="0" w:color="auto"/>
              </w:divBdr>
            </w:div>
            <w:div w:id="267397974">
              <w:marLeft w:val="0"/>
              <w:marRight w:val="0"/>
              <w:marTop w:val="270"/>
              <w:marBottom w:val="0"/>
              <w:divBdr>
                <w:top w:val="none" w:sz="0" w:space="0" w:color="auto"/>
                <w:left w:val="none" w:sz="0" w:space="0" w:color="auto"/>
                <w:bottom w:val="none" w:sz="0" w:space="0" w:color="auto"/>
                <w:right w:val="none" w:sz="0" w:space="0" w:color="auto"/>
              </w:divBdr>
            </w:div>
            <w:div w:id="283510179">
              <w:marLeft w:val="0"/>
              <w:marRight w:val="0"/>
              <w:marTop w:val="0"/>
              <w:marBottom w:val="270"/>
              <w:divBdr>
                <w:top w:val="none" w:sz="0" w:space="0" w:color="auto"/>
                <w:left w:val="none" w:sz="0" w:space="0" w:color="auto"/>
                <w:bottom w:val="none" w:sz="0" w:space="0" w:color="auto"/>
                <w:right w:val="none" w:sz="0" w:space="0" w:color="auto"/>
              </w:divBdr>
            </w:div>
            <w:div w:id="931276194">
              <w:marLeft w:val="0"/>
              <w:marRight w:val="0"/>
              <w:marTop w:val="270"/>
              <w:marBottom w:val="0"/>
              <w:divBdr>
                <w:top w:val="none" w:sz="0" w:space="0" w:color="auto"/>
                <w:left w:val="none" w:sz="0" w:space="0" w:color="auto"/>
                <w:bottom w:val="none" w:sz="0" w:space="0" w:color="auto"/>
                <w:right w:val="none" w:sz="0" w:space="0" w:color="auto"/>
              </w:divBdr>
            </w:div>
            <w:div w:id="1389917822">
              <w:marLeft w:val="0"/>
              <w:marRight w:val="0"/>
              <w:marTop w:val="0"/>
              <w:marBottom w:val="270"/>
              <w:divBdr>
                <w:top w:val="none" w:sz="0" w:space="0" w:color="auto"/>
                <w:left w:val="none" w:sz="0" w:space="0" w:color="auto"/>
                <w:bottom w:val="none" w:sz="0" w:space="0" w:color="auto"/>
                <w:right w:val="none" w:sz="0" w:space="0" w:color="auto"/>
              </w:divBdr>
            </w:div>
            <w:div w:id="1658534634">
              <w:marLeft w:val="0"/>
              <w:marRight w:val="0"/>
              <w:marTop w:val="270"/>
              <w:marBottom w:val="0"/>
              <w:divBdr>
                <w:top w:val="none" w:sz="0" w:space="0" w:color="auto"/>
                <w:left w:val="none" w:sz="0" w:space="0" w:color="auto"/>
                <w:bottom w:val="none" w:sz="0" w:space="0" w:color="auto"/>
                <w:right w:val="none" w:sz="0" w:space="0" w:color="auto"/>
              </w:divBdr>
            </w:div>
            <w:div w:id="1275093883">
              <w:marLeft w:val="0"/>
              <w:marRight w:val="0"/>
              <w:marTop w:val="0"/>
              <w:marBottom w:val="270"/>
              <w:divBdr>
                <w:top w:val="none" w:sz="0" w:space="0" w:color="auto"/>
                <w:left w:val="none" w:sz="0" w:space="0" w:color="auto"/>
                <w:bottom w:val="none" w:sz="0" w:space="0" w:color="auto"/>
                <w:right w:val="none" w:sz="0" w:space="0" w:color="auto"/>
              </w:divBdr>
            </w:div>
            <w:div w:id="277221451">
              <w:marLeft w:val="0"/>
              <w:marRight w:val="0"/>
              <w:marTop w:val="270"/>
              <w:marBottom w:val="0"/>
              <w:divBdr>
                <w:top w:val="none" w:sz="0" w:space="0" w:color="auto"/>
                <w:left w:val="none" w:sz="0" w:space="0" w:color="auto"/>
                <w:bottom w:val="none" w:sz="0" w:space="0" w:color="auto"/>
                <w:right w:val="none" w:sz="0" w:space="0" w:color="auto"/>
              </w:divBdr>
            </w:div>
            <w:div w:id="688682738">
              <w:marLeft w:val="0"/>
              <w:marRight w:val="0"/>
              <w:marTop w:val="0"/>
              <w:marBottom w:val="270"/>
              <w:divBdr>
                <w:top w:val="none" w:sz="0" w:space="0" w:color="auto"/>
                <w:left w:val="none" w:sz="0" w:space="0" w:color="auto"/>
                <w:bottom w:val="none" w:sz="0" w:space="0" w:color="auto"/>
                <w:right w:val="none" w:sz="0" w:space="0" w:color="auto"/>
              </w:divBdr>
            </w:div>
            <w:div w:id="1462310712">
              <w:marLeft w:val="0"/>
              <w:marRight w:val="0"/>
              <w:marTop w:val="270"/>
              <w:marBottom w:val="0"/>
              <w:divBdr>
                <w:top w:val="none" w:sz="0" w:space="0" w:color="auto"/>
                <w:left w:val="none" w:sz="0" w:space="0" w:color="auto"/>
                <w:bottom w:val="none" w:sz="0" w:space="0" w:color="auto"/>
                <w:right w:val="none" w:sz="0" w:space="0" w:color="auto"/>
              </w:divBdr>
            </w:div>
            <w:div w:id="1196119971">
              <w:marLeft w:val="0"/>
              <w:marRight w:val="0"/>
              <w:marTop w:val="0"/>
              <w:marBottom w:val="270"/>
              <w:divBdr>
                <w:top w:val="none" w:sz="0" w:space="0" w:color="auto"/>
                <w:left w:val="none" w:sz="0" w:space="0" w:color="auto"/>
                <w:bottom w:val="none" w:sz="0" w:space="0" w:color="auto"/>
                <w:right w:val="none" w:sz="0" w:space="0" w:color="auto"/>
              </w:divBdr>
            </w:div>
            <w:div w:id="591742449">
              <w:marLeft w:val="0"/>
              <w:marRight w:val="0"/>
              <w:marTop w:val="270"/>
              <w:marBottom w:val="0"/>
              <w:divBdr>
                <w:top w:val="none" w:sz="0" w:space="0" w:color="auto"/>
                <w:left w:val="none" w:sz="0" w:space="0" w:color="auto"/>
                <w:bottom w:val="none" w:sz="0" w:space="0" w:color="auto"/>
                <w:right w:val="none" w:sz="0" w:space="0" w:color="auto"/>
              </w:divBdr>
            </w:div>
            <w:div w:id="1212305268">
              <w:marLeft w:val="0"/>
              <w:marRight w:val="0"/>
              <w:marTop w:val="0"/>
              <w:marBottom w:val="270"/>
              <w:divBdr>
                <w:top w:val="none" w:sz="0" w:space="0" w:color="auto"/>
                <w:left w:val="none" w:sz="0" w:space="0" w:color="auto"/>
                <w:bottom w:val="none" w:sz="0" w:space="0" w:color="auto"/>
                <w:right w:val="none" w:sz="0" w:space="0" w:color="auto"/>
              </w:divBdr>
            </w:div>
            <w:div w:id="590628855">
              <w:marLeft w:val="0"/>
              <w:marRight w:val="0"/>
              <w:marTop w:val="270"/>
              <w:marBottom w:val="0"/>
              <w:divBdr>
                <w:top w:val="none" w:sz="0" w:space="0" w:color="auto"/>
                <w:left w:val="none" w:sz="0" w:space="0" w:color="auto"/>
                <w:bottom w:val="none" w:sz="0" w:space="0" w:color="auto"/>
                <w:right w:val="none" w:sz="0" w:space="0" w:color="auto"/>
              </w:divBdr>
            </w:div>
            <w:div w:id="2087802319">
              <w:marLeft w:val="0"/>
              <w:marRight w:val="0"/>
              <w:marTop w:val="0"/>
              <w:marBottom w:val="270"/>
              <w:divBdr>
                <w:top w:val="none" w:sz="0" w:space="0" w:color="auto"/>
                <w:left w:val="none" w:sz="0" w:space="0" w:color="auto"/>
                <w:bottom w:val="none" w:sz="0" w:space="0" w:color="auto"/>
                <w:right w:val="none" w:sz="0" w:space="0" w:color="auto"/>
              </w:divBdr>
            </w:div>
            <w:div w:id="208882152">
              <w:marLeft w:val="0"/>
              <w:marRight w:val="0"/>
              <w:marTop w:val="270"/>
              <w:marBottom w:val="0"/>
              <w:divBdr>
                <w:top w:val="none" w:sz="0" w:space="0" w:color="auto"/>
                <w:left w:val="none" w:sz="0" w:space="0" w:color="auto"/>
                <w:bottom w:val="none" w:sz="0" w:space="0" w:color="auto"/>
                <w:right w:val="none" w:sz="0" w:space="0" w:color="auto"/>
              </w:divBdr>
            </w:div>
            <w:div w:id="1938057296">
              <w:marLeft w:val="0"/>
              <w:marRight w:val="0"/>
              <w:marTop w:val="0"/>
              <w:marBottom w:val="270"/>
              <w:divBdr>
                <w:top w:val="none" w:sz="0" w:space="0" w:color="auto"/>
                <w:left w:val="none" w:sz="0" w:space="0" w:color="auto"/>
                <w:bottom w:val="none" w:sz="0" w:space="0" w:color="auto"/>
                <w:right w:val="none" w:sz="0" w:space="0" w:color="auto"/>
              </w:divBdr>
            </w:div>
            <w:div w:id="1526093143">
              <w:marLeft w:val="0"/>
              <w:marRight w:val="0"/>
              <w:marTop w:val="0"/>
              <w:marBottom w:val="120"/>
              <w:divBdr>
                <w:top w:val="none" w:sz="0" w:space="0" w:color="auto"/>
                <w:left w:val="none" w:sz="0" w:space="0" w:color="auto"/>
                <w:bottom w:val="none" w:sz="0" w:space="0" w:color="auto"/>
                <w:right w:val="none" w:sz="0" w:space="0" w:color="auto"/>
              </w:divBdr>
            </w:div>
            <w:div w:id="2094013303">
              <w:marLeft w:val="0"/>
              <w:marRight w:val="0"/>
              <w:marTop w:val="0"/>
              <w:marBottom w:val="120"/>
              <w:divBdr>
                <w:top w:val="none" w:sz="0" w:space="0" w:color="auto"/>
                <w:left w:val="none" w:sz="0" w:space="0" w:color="auto"/>
                <w:bottom w:val="none" w:sz="0" w:space="0" w:color="auto"/>
                <w:right w:val="none" w:sz="0" w:space="0" w:color="auto"/>
              </w:divBdr>
            </w:div>
            <w:div w:id="571700198">
              <w:marLeft w:val="0"/>
              <w:marRight w:val="0"/>
              <w:marTop w:val="0"/>
              <w:marBottom w:val="120"/>
              <w:divBdr>
                <w:top w:val="none" w:sz="0" w:space="0" w:color="auto"/>
                <w:left w:val="none" w:sz="0" w:space="0" w:color="auto"/>
                <w:bottom w:val="none" w:sz="0" w:space="0" w:color="auto"/>
                <w:right w:val="none" w:sz="0" w:space="0" w:color="auto"/>
              </w:divBdr>
            </w:div>
            <w:div w:id="1614365686">
              <w:marLeft w:val="0"/>
              <w:marRight w:val="0"/>
              <w:marTop w:val="0"/>
              <w:marBottom w:val="120"/>
              <w:divBdr>
                <w:top w:val="none" w:sz="0" w:space="0" w:color="auto"/>
                <w:left w:val="none" w:sz="0" w:space="0" w:color="auto"/>
                <w:bottom w:val="none" w:sz="0" w:space="0" w:color="auto"/>
                <w:right w:val="none" w:sz="0" w:space="0" w:color="auto"/>
              </w:divBdr>
            </w:div>
            <w:div w:id="1157720253">
              <w:marLeft w:val="0"/>
              <w:marRight w:val="0"/>
              <w:marTop w:val="0"/>
              <w:marBottom w:val="120"/>
              <w:divBdr>
                <w:top w:val="none" w:sz="0" w:space="0" w:color="auto"/>
                <w:left w:val="none" w:sz="0" w:space="0" w:color="auto"/>
                <w:bottom w:val="none" w:sz="0" w:space="0" w:color="auto"/>
                <w:right w:val="none" w:sz="0" w:space="0" w:color="auto"/>
              </w:divBdr>
            </w:div>
            <w:div w:id="892733854">
              <w:marLeft w:val="0"/>
              <w:marRight w:val="0"/>
              <w:marTop w:val="0"/>
              <w:marBottom w:val="120"/>
              <w:divBdr>
                <w:top w:val="none" w:sz="0" w:space="0" w:color="auto"/>
                <w:left w:val="none" w:sz="0" w:space="0" w:color="auto"/>
                <w:bottom w:val="none" w:sz="0" w:space="0" w:color="auto"/>
                <w:right w:val="none" w:sz="0" w:space="0" w:color="auto"/>
              </w:divBdr>
            </w:div>
            <w:div w:id="1843932821">
              <w:marLeft w:val="0"/>
              <w:marRight w:val="0"/>
              <w:marTop w:val="0"/>
              <w:marBottom w:val="120"/>
              <w:divBdr>
                <w:top w:val="none" w:sz="0" w:space="0" w:color="auto"/>
                <w:left w:val="none" w:sz="0" w:space="0" w:color="auto"/>
                <w:bottom w:val="none" w:sz="0" w:space="0" w:color="auto"/>
                <w:right w:val="none" w:sz="0" w:space="0" w:color="auto"/>
              </w:divBdr>
            </w:div>
            <w:div w:id="597562611">
              <w:marLeft w:val="0"/>
              <w:marRight w:val="0"/>
              <w:marTop w:val="0"/>
              <w:marBottom w:val="120"/>
              <w:divBdr>
                <w:top w:val="none" w:sz="0" w:space="0" w:color="auto"/>
                <w:left w:val="none" w:sz="0" w:space="0" w:color="auto"/>
                <w:bottom w:val="none" w:sz="0" w:space="0" w:color="auto"/>
                <w:right w:val="none" w:sz="0" w:space="0" w:color="auto"/>
              </w:divBdr>
            </w:div>
            <w:div w:id="1258294098">
              <w:marLeft w:val="0"/>
              <w:marRight w:val="0"/>
              <w:marTop w:val="0"/>
              <w:marBottom w:val="120"/>
              <w:divBdr>
                <w:top w:val="none" w:sz="0" w:space="0" w:color="auto"/>
                <w:left w:val="none" w:sz="0" w:space="0" w:color="auto"/>
                <w:bottom w:val="none" w:sz="0" w:space="0" w:color="auto"/>
                <w:right w:val="none" w:sz="0" w:space="0" w:color="auto"/>
              </w:divBdr>
            </w:div>
            <w:div w:id="1301882972">
              <w:marLeft w:val="0"/>
              <w:marRight w:val="0"/>
              <w:marTop w:val="0"/>
              <w:marBottom w:val="120"/>
              <w:divBdr>
                <w:top w:val="none" w:sz="0" w:space="0" w:color="auto"/>
                <w:left w:val="none" w:sz="0" w:space="0" w:color="auto"/>
                <w:bottom w:val="none" w:sz="0" w:space="0" w:color="auto"/>
                <w:right w:val="none" w:sz="0" w:space="0" w:color="auto"/>
              </w:divBdr>
            </w:div>
            <w:div w:id="1940681030">
              <w:marLeft w:val="0"/>
              <w:marRight w:val="0"/>
              <w:marTop w:val="0"/>
              <w:marBottom w:val="120"/>
              <w:divBdr>
                <w:top w:val="none" w:sz="0" w:space="0" w:color="auto"/>
                <w:left w:val="none" w:sz="0" w:space="0" w:color="auto"/>
                <w:bottom w:val="none" w:sz="0" w:space="0" w:color="auto"/>
                <w:right w:val="none" w:sz="0" w:space="0" w:color="auto"/>
              </w:divBdr>
            </w:div>
            <w:div w:id="1002659523">
              <w:marLeft w:val="0"/>
              <w:marRight w:val="0"/>
              <w:marTop w:val="0"/>
              <w:marBottom w:val="120"/>
              <w:divBdr>
                <w:top w:val="none" w:sz="0" w:space="0" w:color="auto"/>
                <w:left w:val="none" w:sz="0" w:space="0" w:color="auto"/>
                <w:bottom w:val="none" w:sz="0" w:space="0" w:color="auto"/>
                <w:right w:val="none" w:sz="0" w:space="0" w:color="auto"/>
              </w:divBdr>
            </w:div>
            <w:div w:id="78913886">
              <w:marLeft w:val="0"/>
              <w:marRight w:val="0"/>
              <w:marTop w:val="0"/>
              <w:marBottom w:val="120"/>
              <w:divBdr>
                <w:top w:val="none" w:sz="0" w:space="0" w:color="auto"/>
                <w:left w:val="none" w:sz="0" w:space="0" w:color="auto"/>
                <w:bottom w:val="none" w:sz="0" w:space="0" w:color="auto"/>
                <w:right w:val="none" w:sz="0" w:space="0" w:color="auto"/>
              </w:divBdr>
            </w:div>
            <w:div w:id="814569874">
              <w:marLeft w:val="0"/>
              <w:marRight w:val="0"/>
              <w:marTop w:val="0"/>
              <w:marBottom w:val="120"/>
              <w:divBdr>
                <w:top w:val="none" w:sz="0" w:space="0" w:color="auto"/>
                <w:left w:val="none" w:sz="0" w:space="0" w:color="auto"/>
                <w:bottom w:val="none" w:sz="0" w:space="0" w:color="auto"/>
                <w:right w:val="none" w:sz="0" w:space="0" w:color="auto"/>
              </w:divBdr>
            </w:div>
            <w:div w:id="1618293925">
              <w:marLeft w:val="0"/>
              <w:marRight w:val="0"/>
              <w:marTop w:val="0"/>
              <w:marBottom w:val="120"/>
              <w:divBdr>
                <w:top w:val="none" w:sz="0" w:space="0" w:color="auto"/>
                <w:left w:val="none" w:sz="0" w:space="0" w:color="auto"/>
                <w:bottom w:val="none" w:sz="0" w:space="0" w:color="auto"/>
                <w:right w:val="none" w:sz="0" w:space="0" w:color="auto"/>
              </w:divBdr>
            </w:div>
            <w:div w:id="932783091">
              <w:marLeft w:val="0"/>
              <w:marRight w:val="0"/>
              <w:marTop w:val="0"/>
              <w:marBottom w:val="120"/>
              <w:divBdr>
                <w:top w:val="none" w:sz="0" w:space="0" w:color="auto"/>
                <w:left w:val="none" w:sz="0" w:space="0" w:color="auto"/>
                <w:bottom w:val="none" w:sz="0" w:space="0" w:color="auto"/>
                <w:right w:val="none" w:sz="0" w:space="0" w:color="auto"/>
              </w:divBdr>
            </w:div>
            <w:div w:id="828247894">
              <w:marLeft w:val="0"/>
              <w:marRight w:val="0"/>
              <w:marTop w:val="0"/>
              <w:marBottom w:val="120"/>
              <w:divBdr>
                <w:top w:val="none" w:sz="0" w:space="0" w:color="auto"/>
                <w:left w:val="none" w:sz="0" w:space="0" w:color="auto"/>
                <w:bottom w:val="none" w:sz="0" w:space="0" w:color="auto"/>
                <w:right w:val="none" w:sz="0" w:space="0" w:color="auto"/>
              </w:divBdr>
            </w:div>
            <w:div w:id="1971283618">
              <w:marLeft w:val="0"/>
              <w:marRight w:val="0"/>
              <w:marTop w:val="0"/>
              <w:marBottom w:val="120"/>
              <w:divBdr>
                <w:top w:val="none" w:sz="0" w:space="0" w:color="auto"/>
                <w:left w:val="none" w:sz="0" w:space="0" w:color="auto"/>
                <w:bottom w:val="none" w:sz="0" w:space="0" w:color="auto"/>
                <w:right w:val="none" w:sz="0" w:space="0" w:color="auto"/>
              </w:divBdr>
            </w:div>
            <w:div w:id="2088073012">
              <w:marLeft w:val="0"/>
              <w:marRight w:val="0"/>
              <w:marTop w:val="0"/>
              <w:marBottom w:val="120"/>
              <w:divBdr>
                <w:top w:val="none" w:sz="0" w:space="0" w:color="auto"/>
                <w:left w:val="none" w:sz="0" w:space="0" w:color="auto"/>
                <w:bottom w:val="none" w:sz="0" w:space="0" w:color="auto"/>
                <w:right w:val="none" w:sz="0" w:space="0" w:color="auto"/>
              </w:divBdr>
            </w:div>
            <w:div w:id="900404015">
              <w:marLeft w:val="0"/>
              <w:marRight w:val="0"/>
              <w:marTop w:val="0"/>
              <w:marBottom w:val="120"/>
              <w:divBdr>
                <w:top w:val="none" w:sz="0" w:space="0" w:color="auto"/>
                <w:left w:val="none" w:sz="0" w:space="0" w:color="auto"/>
                <w:bottom w:val="none" w:sz="0" w:space="0" w:color="auto"/>
                <w:right w:val="none" w:sz="0" w:space="0" w:color="auto"/>
              </w:divBdr>
            </w:div>
            <w:div w:id="2011593923">
              <w:marLeft w:val="0"/>
              <w:marRight w:val="0"/>
              <w:marTop w:val="0"/>
              <w:marBottom w:val="120"/>
              <w:divBdr>
                <w:top w:val="none" w:sz="0" w:space="0" w:color="auto"/>
                <w:left w:val="none" w:sz="0" w:space="0" w:color="auto"/>
                <w:bottom w:val="none" w:sz="0" w:space="0" w:color="auto"/>
                <w:right w:val="none" w:sz="0" w:space="0" w:color="auto"/>
              </w:divBdr>
            </w:div>
            <w:div w:id="2042973828">
              <w:marLeft w:val="0"/>
              <w:marRight w:val="0"/>
              <w:marTop w:val="0"/>
              <w:marBottom w:val="120"/>
              <w:divBdr>
                <w:top w:val="none" w:sz="0" w:space="0" w:color="auto"/>
                <w:left w:val="none" w:sz="0" w:space="0" w:color="auto"/>
                <w:bottom w:val="none" w:sz="0" w:space="0" w:color="auto"/>
                <w:right w:val="none" w:sz="0" w:space="0" w:color="auto"/>
              </w:divBdr>
            </w:div>
            <w:div w:id="1010566713">
              <w:marLeft w:val="0"/>
              <w:marRight w:val="0"/>
              <w:marTop w:val="0"/>
              <w:marBottom w:val="120"/>
              <w:divBdr>
                <w:top w:val="none" w:sz="0" w:space="0" w:color="auto"/>
                <w:left w:val="none" w:sz="0" w:space="0" w:color="auto"/>
                <w:bottom w:val="none" w:sz="0" w:space="0" w:color="auto"/>
                <w:right w:val="none" w:sz="0" w:space="0" w:color="auto"/>
              </w:divBdr>
            </w:div>
            <w:div w:id="1059745808">
              <w:marLeft w:val="0"/>
              <w:marRight w:val="0"/>
              <w:marTop w:val="0"/>
              <w:marBottom w:val="120"/>
              <w:divBdr>
                <w:top w:val="none" w:sz="0" w:space="0" w:color="auto"/>
                <w:left w:val="none" w:sz="0" w:space="0" w:color="auto"/>
                <w:bottom w:val="none" w:sz="0" w:space="0" w:color="auto"/>
                <w:right w:val="none" w:sz="0" w:space="0" w:color="auto"/>
              </w:divBdr>
            </w:div>
            <w:div w:id="1345278488">
              <w:marLeft w:val="0"/>
              <w:marRight w:val="0"/>
              <w:marTop w:val="0"/>
              <w:marBottom w:val="120"/>
              <w:divBdr>
                <w:top w:val="none" w:sz="0" w:space="0" w:color="auto"/>
                <w:left w:val="none" w:sz="0" w:space="0" w:color="auto"/>
                <w:bottom w:val="none" w:sz="0" w:space="0" w:color="auto"/>
                <w:right w:val="none" w:sz="0" w:space="0" w:color="auto"/>
              </w:divBdr>
            </w:div>
            <w:div w:id="332219374">
              <w:marLeft w:val="0"/>
              <w:marRight w:val="0"/>
              <w:marTop w:val="0"/>
              <w:marBottom w:val="120"/>
              <w:divBdr>
                <w:top w:val="none" w:sz="0" w:space="0" w:color="auto"/>
                <w:left w:val="none" w:sz="0" w:space="0" w:color="auto"/>
                <w:bottom w:val="none" w:sz="0" w:space="0" w:color="auto"/>
                <w:right w:val="none" w:sz="0" w:space="0" w:color="auto"/>
              </w:divBdr>
            </w:div>
            <w:div w:id="446855753">
              <w:marLeft w:val="0"/>
              <w:marRight w:val="0"/>
              <w:marTop w:val="0"/>
              <w:marBottom w:val="120"/>
              <w:divBdr>
                <w:top w:val="none" w:sz="0" w:space="0" w:color="auto"/>
                <w:left w:val="none" w:sz="0" w:space="0" w:color="auto"/>
                <w:bottom w:val="none" w:sz="0" w:space="0" w:color="auto"/>
                <w:right w:val="none" w:sz="0" w:space="0" w:color="auto"/>
              </w:divBdr>
            </w:div>
            <w:div w:id="1708018680">
              <w:marLeft w:val="0"/>
              <w:marRight w:val="0"/>
              <w:marTop w:val="0"/>
              <w:marBottom w:val="120"/>
              <w:divBdr>
                <w:top w:val="none" w:sz="0" w:space="0" w:color="auto"/>
                <w:left w:val="none" w:sz="0" w:space="0" w:color="auto"/>
                <w:bottom w:val="none" w:sz="0" w:space="0" w:color="auto"/>
                <w:right w:val="none" w:sz="0" w:space="0" w:color="auto"/>
              </w:divBdr>
            </w:div>
            <w:div w:id="1960381112">
              <w:marLeft w:val="0"/>
              <w:marRight w:val="0"/>
              <w:marTop w:val="0"/>
              <w:marBottom w:val="120"/>
              <w:divBdr>
                <w:top w:val="none" w:sz="0" w:space="0" w:color="auto"/>
                <w:left w:val="none" w:sz="0" w:space="0" w:color="auto"/>
                <w:bottom w:val="none" w:sz="0" w:space="0" w:color="auto"/>
                <w:right w:val="none" w:sz="0" w:space="0" w:color="auto"/>
              </w:divBdr>
            </w:div>
            <w:div w:id="1371610524">
              <w:marLeft w:val="0"/>
              <w:marRight w:val="0"/>
              <w:marTop w:val="0"/>
              <w:marBottom w:val="120"/>
              <w:divBdr>
                <w:top w:val="none" w:sz="0" w:space="0" w:color="auto"/>
                <w:left w:val="none" w:sz="0" w:space="0" w:color="auto"/>
                <w:bottom w:val="none" w:sz="0" w:space="0" w:color="auto"/>
                <w:right w:val="none" w:sz="0" w:space="0" w:color="auto"/>
              </w:divBdr>
            </w:div>
            <w:div w:id="1856267449">
              <w:marLeft w:val="0"/>
              <w:marRight w:val="0"/>
              <w:marTop w:val="0"/>
              <w:marBottom w:val="120"/>
              <w:divBdr>
                <w:top w:val="none" w:sz="0" w:space="0" w:color="auto"/>
                <w:left w:val="none" w:sz="0" w:space="0" w:color="auto"/>
                <w:bottom w:val="none" w:sz="0" w:space="0" w:color="auto"/>
                <w:right w:val="none" w:sz="0" w:space="0" w:color="auto"/>
              </w:divBdr>
            </w:div>
            <w:div w:id="1177841944">
              <w:marLeft w:val="0"/>
              <w:marRight w:val="0"/>
              <w:marTop w:val="0"/>
              <w:marBottom w:val="120"/>
              <w:divBdr>
                <w:top w:val="none" w:sz="0" w:space="0" w:color="auto"/>
                <w:left w:val="none" w:sz="0" w:space="0" w:color="auto"/>
                <w:bottom w:val="none" w:sz="0" w:space="0" w:color="auto"/>
                <w:right w:val="none" w:sz="0" w:space="0" w:color="auto"/>
              </w:divBdr>
            </w:div>
            <w:div w:id="1293289855">
              <w:marLeft w:val="0"/>
              <w:marRight w:val="0"/>
              <w:marTop w:val="0"/>
              <w:marBottom w:val="120"/>
              <w:divBdr>
                <w:top w:val="none" w:sz="0" w:space="0" w:color="auto"/>
                <w:left w:val="none" w:sz="0" w:space="0" w:color="auto"/>
                <w:bottom w:val="none" w:sz="0" w:space="0" w:color="auto"/>
                <w:right w:val="none" w:sz="0" w:space="0" w:color="auto"/>
              </w:divBdr>
            </w:div>
            <w:div w:id="1706056324">
              <w:marLeft w:val="0"/>
              <w:marRight w:val="0"/>
              <w:marTop w:val="0"/>
              <w:marBottom w:val="120"/>
              <w:divBdr>
                <w:top w:val="none" w:sz="0" w:space="0" w:color="auto"/>
                <w:left w:val="none" w:sz="0" w:space="0" w:color="auto"/>
                <w:bottom w:val="none" w:sz="0" w:space="0" w:color="auto"/>
                <w:right w:val="none" w:sz="0" w:space="0" w:color="auto"/>
              </w:divBdr>
            </w:div>
            <w:div w:id="694427028">
              <w:marLeft w:val="0"/>
              <w:marRight w:val="0"/>
              <w:marTop w:val="0"/>
              <w:marBottom w:val="120"/>
              <w:divBdr>
                <w:top w:val="none" w:sz="0" w:space="0" w:color="auto"/>
                <w:left w:val="none" w:sz="0" w:space="0" w:color="auto"/>
                <w:bottom w:val="none" w:sz="0" w:space="0" w:color="auto"/>
                <w:right w:val="none" w:sz="0" w:space="0" w:color="auto"/>
              </w:divBdr>
            </w:div>
            <w:div w:id="905842202">
              <w:marLeft w:val="0"/>
              <w:marRight w:val="0"/>
              <w:marTop w:val="0"/>
              <w:marBottom w:val="120"/>
              <w:divBdr>
                <w:top w:val="none" w:sz="0" w:space="0" w:color="auto"/>
                <w:left w:val="none" w:sz="0" w:space="0" w:color="auto"/>
                <w:bottom w:val="none" w:sz="0" w:space="0" w:color="auto"/>
                <w:right w:val="none" w:sz="0" w:space="0" w:color="auto"/>
              </w:divBdr>
            </w:div>
            <w:div w:id="2031176802">
              <w:marLeft w:val="0"/>
              <w:marRight w:val="0"/>
              <w:marTop w:val="0"/>
              <w:marBottom w:val="120"/>
              <w:divBdr>
                <w:top w:val="none" w:sz="0" w:space="0" w:color="auto"/>
                <w:left w:val="none" w:sz="0" w:space="0" w:color="auto"/>
                <w:bottom w:val="none" w:sz="0" w:space="0" w:color="auto"/>
                <w:right w:val="none" w:sz="0" w:space="0" w:color="auto"/>
              </w:divBdr>
            </w:div>
            <w:div w:id="1542009464">
              <w:marLeft w:val="0"/>
              <w:marRight w:val="0"/>
              <w:marTop w:val="0"/>
              <w:marBottom w:val="120"/>
              <w:divBdr>
                <w:top w:val="none" w:sz="0" w:space="0" w:color="auto"/>
                <w:left w:val="none" w:sz="0" w:space="0" w:color="auto"/>
                <w:bottom w:val="none" w:sz="0" w:space="0" w:color="auto"/>
                <w:right w:val="none" w:sz="0" w:space="0" w:color="auto"/>
              </w:divBdr>
            </w:div>
            <w:div w:id="1091240412">
              <w:marLeft w:val="0"/>
              <w:marRight w:val="0"/>
              <w:marTop w:val="0"/>
              <w:marBottom w:val="120"/>
              <w:divBdr>
                <w:top w:val="none" w:sz="0" w:space="0" w:color="auto"/>
                <w:left w:val="none" w:sz="0" w:space="0" w:color="auto"/>
                <w:bottom w:val="none" w:sz="0" w:space="0" w:color="auto"/>
                <w:right w:val="none" w:sz="0" w:space="0" w:color="auto"/>
              </w:divBdr>
            </w:div>
            <w:div w:id="1846435789">
              <w:marLeft w:val="0"/>
              <w:marRight w:val="0"/>
              <w:marTop w:val="0"/>
              <w:marBottom w:val="120"/>
              <w:divBdr>
                <w:top w:val="none" w:sz="0" w:space="0" w:color="auto"/>
                <w:left w:val="none" w:sz="0" w:space="0" w:color="auto"/>
                <w:bottom w:val="none" w:sz="0" w:space="0" w:color="auto"/>
                <w:right w:val="none" w:sz="0" w:space="0" w:color="auto"/>
              </w:divBdr>
            </w:div>
            <w:div w:id="1716813465">
              <w:marLeft w:val="0"/>
              <w:marRight w:val="0"/>
              <w:marTop w:val="0"/>
              <w:marBottom w:val="120"/>
              <w:divBdr>
                <w:top w:val="none" w:sz="0" w:space="0" w:color="auto"/>
                <w:left w:val="none" w:sz="0" w:space="0" w:color="auto"/>
                <w:bottom w:val="none" w:sz="0" w:space="0" w:color="auto"/>
                <w:right w:val="none" w:sz="0" w:space="0" w:color="auto"/>
              </w:divBdr>
            </w:div>
            <w:div w:id="1576621707">
              <w:marLeft w:val="0"/>
              <w:marRight w:val="0"/>
              <w:marTop w:val="0"/>
              <w:marBottom w:val="120"/>
              <w:divBdr>
                <w:top w:val="none" w:sz="0" w:space="0" w:color="auto"/>
                <w:left w:val="none" w:sz="0" w:space="0" w:color="auto"/>
                <w:bottom w:val="none" w:sz="0" w:space="0" w:color="auto"/>
                <w:right w:val="none" w:sz="0" w:space="0" w:color="auto"/>
              </w:divBdr>
            </w:div>
            <w:div w:id="666515931">
              <w:marLeft w:val="0"/>
              <w:marRight w:val="0"/>
              <w:marTop w:val="0"/>
              <w:marBottom w:val="120"/>
              <w:divBdr>
                <w:top w:val="none" w:sz="0" w:space="0" w:color="auto"/>
                <w:left w:val="none" w:sz="0" w:space="0" w:color="auto"/>
                <w:bottom w:val="none" w:sz="0" w:space="0" w:color="auto"/>
                <w:right w:val="none" w:sz="0" w:space="0" w:color="auto"/>
              </w:divBdr>
            </w:div>
            <w:div w:id="763720327">
              <w:marLeft w:val="0"/>
              <w:marRight w:val="0"/>
              <w:marTop w:val="0"/>
              <w:marBottom w:val="120"/>
              <w:divBdr>
                <w:top w:val="none" w:sz="0" w:space="0" w:color="auto"/>
                <w:left w:val="none" w:sz="0" w:space="0" w:color="auto"/>
                <w:bottom w:val="none" w:sz="0" w:space="0" w:color="auto"/>
                <w:right w:val="none" w:sz="0" w:space="0" w:color="auto"/>
              </w:divBdr>
            </w:div>
            <w:div w:id="1043793299">
              <w:marLeft w:val="0"/>
              <w:marRight w:val="0"/>
              <w:marTop w:val="0"/>
              <w:marBottom w:val="120"/>
              <w:divBdr>
                <w:top w:val="none" w:sz="0" w:space="0" w:color="auto"/>
                <w:left w:val="none" w:sz="0" w:space="0" w:color="auto"/>
                <w:bottom w:val="none" w:sz="0" w:space="0" w:color="auto"/>
                <w:right w:val="none" w:sz="0" w:space="0" w:color="auto"/>
              </w:divBdr>
            </w:div>
            <w:div w:id="1587811341">
              <w:marLeft w:val="0"/>
              <w:marRight w:val="0"/>
              <w:marTop w:val="0"/>
              <w:marBottom w:val="120"/>
              <w:divBdr>
                <w:top w:val="none" w:sz="0" w:space="0" w:color="auto"/>
                <w:left w:val="none" w:sz="0" w:space="0" w:color="auto"/>
                <w:bottom w:val="none" w:sz="0" w:space="0" w:color="auto"/>
                <w:right w:val="none" w:sz="0" w:space="0" w:color="auto"/>
              </w:divBdr>
            </w:div>
            <w:div w:id="1363828032">
              <w:marLeft w:val="0"/>
              <w:marRight w:val="0"/>
              <w:marTop w:val="0"/>
              <w:marBottom w:val="120"/>
              <w:divBdr>
                <w:top w:val="none" w:sz="0" w:space="0" w:color="auto"/>
                <w:left w:val="none" w:sz="0" w:space="0" w:color="auto"/>
                <w:bottom w:val="none" w:sz="0" w:space="0" w:color="auto"/>
                <w:right w:val="none" w:sz="0" w:space="0" w:color="auto"/>
              </w:divBdr>
            </w:div>
            <w:div w:id="376512173">
              <w:marLeft w:val="0"/>
              <w:marRight w:val="0"/>
              <w:marTop w:val="0"/>
              <w:marBottom w:val="120"/>
              <w:divBdr>
                <w:top w:val="none" w:sz="0" w:space="0" w:color="auto"/>
                <w:left w:val="none" w:sz="0" w:space="0" w:color="auto"/>
                <w:bottom w:val="none" w:sz="0" w:space="0" w:color="auto"/>
                <w:right w:val="none" w:sz="0" w:space="0" w:color="auto"/>
              </w:divBdr>
            </w:div>
            <w:div w:id="1848061748">
              <w:marLeft w:val="0"/>
              <w:marRight w:val="0"/>
              <w:marTop w:val="0"/>
              <w:marBottom w:val="120"/>
              <w:divBdr>
                <w:top w:val="none" w:sz="0" w:space="0" w:color="auto"/>
                <w:left w:val="none" w:sz="0" w:space="0" w:color="auto"/>
                <w:bottom w:val="none" w:sz="0" w:space="0" w:color="auto"/>
                <w:right w:val="none" w:sz="0" w:space="0" w:color="auto"/>
              </w:divBdr>
            </w:div>
            <w:div w:id="1803427926">
              <w:marLeft w:val="0"/>
              <w:marRight w:val="0"/>
              <w:marTop w:val="0"/>
              <w:marBottom w:val="120"/>
              <w:divBdr>
                <w:top w:val="none" w:sz="0" w:space="0" w:color="auto"/>
                <w:left w:val="none" w:sz="0" w:space="0" w:color="auto"/>
                <w:bottom w:val="none" w:sz="0" w:space="0" w:color="auto"/>
                <w:right w:val="none" w:sz="0" w:space="0" w:color="auto"/>
              </w:divBdr>
            </w:div>
            <w:div w:id="593364494">
              <w:marLeft w:val="0"/>
              <w:marRight w:val="0"/>
              <w:marTop w:val="0"/>
              <w:marBottom w:val="120"/>
              <w:divBdr>
                <w:top w:val="none" w:sz="0" w:space="0" w:color="auto"/>
                <w:left w:val="none" w:sz="0" w:space="0" w:color="auto"/>
                <w:bottom w:val="none" w:sz="0" w:space="0" w:color="auto"/>
                <w:right w:val="none" w:sz="0" w:space="0" w:color="auto"/>
              </w:divBdr>
            </w:div>
            <w:div w:id="1454446531">
              <w:marLeft w:val="0"/>
              <w:marRight w:val="0"/>
              <w:marTop w:val="0"/>
              <w:marBottom w:val="120"/>
              <w:divBdr>
                <w:top w:val="none" w:sz="0" w:space="0" w:color="auto"/>
                <w:left w:val="none" w:sz="0" w:space="0" w:color="auto"/>
                <w:bottom w:val="none" w:sz="0" w:space="0" w:color="auto"/>
                <w:right w:val="none" w:sz="0" w:space="0" w:color="auto"/>
              </w:divBdr>
            </w:div>
            <w:div w:id="4592986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frontiersin.org/articles/10.3389/fnmol.2021.763868/full" TargetMode="External"/><Relationship Id="rId21" Type="http://schemas.openxmlformats.org/officeDocument/2006/relationships/hyperlink" Target="https://www.frontiersin.org/articles/10.3389/fnmol.2021.763868/full" TargetMode="External"/><Relationship Id="rId42" Type="http://schemas.openxmlformats.org/officeDocument/2006/relationships/hyperlink" Target="https://www.frontiersin.org/files/Articles/763868/fnmol-14-763868-HTML-r1/image_m/fnmol-14-763868-g001.jpg" TargetMode="External"/><Relationship Id="rId63" Type="http://schemas.openxmlformats.org/officeDocument/2006/relationships/hyperlink" Target="https://www.frontiersin.org/articles/10.3389/fnmol.2021.763868/full" TargetMode="External"/><Relationship Id="rId84" Type="http://schemas.openxmlformats.org/officeDocument/2006/relationships/hyperlink" Target="https://www.frontiersin.org/articles/10.3389/fnmol.2021.763868/full" TargetMode="External"/><Relationship Id="rId138" Type="http://schemas.openxmlformats.org/officeDocument/2006/relationships/hyperlink" Target="https://www.frontiersin.org/articles/10.3389/fnmol.2021.763868/full" TargetMode="External"/><Relationship Id="rId107" Type="http://schemas.openxmlformats.org/officeDocument/2006/relationships/hyperlink" Target="https://www.frontiersin.org/articles/10.3389/fnmol.2021.763868/full" TargetMode="External"/><Relationship Id="rId11" Type="http://schemas.openxmlformats.org/officeDocument/2006/relationships/hyperlink" Target="https://www.frontiersin.org/articles/10.3389/fnmol.2021.763868/full" TargetMode="External"/><Relationship Id="rId32" Type="http://schemas.openxmlformats.org/officeDocument/2006/relationships/hyperlink" Target="https://www.frontiersin.org/articles/10.3389/fnmol.2021.763868/full" TargetMode="External"/><Relationship Id="rId53" Type="http://schemas.openxmlformats.org/officeDocument/2006/relationships/hyperlink" Target="https://www.frontiersin.org/files/Articles/763868/fnmol-14-763868-HTML-r1/image_m/fnmol-14-763868-g002.jpg" TargetMode="External"/><Relationship Id="rId74" Type="http://schemas.openxmlformats.org/officeDocument/2006/relationships/hyperlink" Target="https://www.frontiersin.org/articles/10.3389/fnmol.2021.763868/full" TargetMode="External"/><Relationship Id="rId128" Type="http://schemas.openxmlformats.org/officeDocument/2006/relationships/hyperlink" Target="https://www.frontiersin.org/articles/10.3389/fnmol.2021.763868/full" TargetMode="External"/><Relationship Id="rId5" Type="http://schemas.openxmlformats.org/officeDocument/2006/relationships/styles" Target="styles.xml"/><Relationship Id="rId90" Type="http://schemas.openxmlformats.org/officeDocument/2006/relationships/hyperlink" Target="https://www.frontiersin.org/articles/10.3389/fnmol.2021.763868/full" TargetMode="External"/><Relationship Id="rId95" Type="http://schemas.openxmlformats.org/officeDocument/2006/relationships/hyperlink" Target="https://www.frontiersin.org/articles/10.3389/fnmol.2021.763868/full" TargetMode="External"/><Relationship Id="rId22" Type="http://schemas.openxmlformats.org/officeDocument/2006/relationships/hyperlink" Target="https://www.frontiersin.org/articles/10.3389/fnmol.2021.763868/full" TargetMode="External"/><Relationship Id="rId27" Type="http://schemas.openxmlformats.org/officeDocument/2006/relationships/hyperlink" Target="https://www.frontiersin.org/articles/10.3389/fnmol.2021.763868/full" TargetMode="External"/><Relationship Id="rId43" Type="http://schemas.openxmlformats.org/officeDocument/2006/relationships/image" Target="media/image1.gif"/><Relationship Id="rId48" Type="http://schemas.openxmlformats.org/officeDocument/2006/relationships/hyperlink" Target="https://www.frontiersin.org/articles/10.3389/fnmol.2021.763868/full" TargetMode="External"/><Relationship Id="rId64" Type="http://schemas.openxmlformats.org/officeDocument/2006/relationships/hyperlink" Target="https://www.frontiersin.org/articles/10.3389/fnmol.2021.763868/full" TargetMode="External"/><Relationship Id="rId69" Type="http://schemas.openxmlformats.org/officeDocument/2006/relationships/hyperlink" Target="https://www.frontiersin.org/articles/10.3389/fnmol.2021.763868/full" TargetMode="External"/><Relationship Id="rId113" Type="http://schemas.openxmlformats.org/officeDocument/2006/relationships/hyperlink" Target="https://www.frontiersin.org/articles/10.3389/fnmol.2021.763868/full" TargetMode="External"/><Relationship Id="rId118" Type="http://schemas.openxmlformats.org/officeDocument/2006/relationships/hyperlink" Target="https://www.frontiersin.org/articles/10.3389/fnmol.2021.763868/full" TargetMode="External"/><Relationship Id="rId134" Type="http://schemas.openxmlformats.org/officeDocument/2006/relationships/hyperlink" Target="https://www.frontiersin.org/articles/10.3389/fnmol.2021.763868/full" TargetMode="External"/><Relationship Id="rId139" Type="http://schemas.openxmlformats.org/officeDocument/2006/relationships/hyperlink" Target="https://www.frontiersin.org/articles/10.3389/fnmol.2021.763868/full" TargetMode="External"/><Relationship Id="rId80" Type="http://schemas.openxmlformats.org/officeDocument/2006/relationships/hyperlink" Target="https://www.frontiersin.org/articles/10.3389/fnmol.2021.763868/full" TargetMode="External"/><Relationship Id="rId85" Type="http://schemas.openxmlformats.org/officeDocument/2006/relationships/hyperlink" Target="https://www.frontiersin.org/files/Articles/763868/fnmol-14-763868-HTML-r1/image_m/fnmol-14-763868-g005.jpg" TargetMode="External"/><Relationship Id="rId12" Type="http://schemas.openxmlformats.org/officeDocument/2006/relationships/hyperlink" Target="https://www.frontiersin.org/articles/10.3389/fnmol.2021.763868/full" TargetMode="External"/><Relationship Id="rId17" Type="http://schemas.openxmlformats.org/officeDocument/2006/relationships/hyperlink" Target="https://www.frontiersin.org/articles/10.3389/fnmol.2021.763868/full" TargetMode="External"/><Relationship Id="rId33" Type="http://schemas.openxmlformats.org/officeDocument/2006/relationships/hyperlink" Target="https://www.frontiersin.org/articles/10.3389/fnmol.2021.763868/full" TargetMode="External"/><Relationship Id="rId38" Type="http://schemas.openxmlformats.org/officeDocument/2006/relationships/hyperlink" Target="https://www.frontiersin.org/articles/10.3389/fnmol.2021.763868/full" TargetMode="External"/><Relationship Id="rId59" Type="http://schemas.openxmlformats.org/officeDocument/2006/relationships/hyperlink" Target="https://www.frontiersin.org/articles/10.3389/fnmol.2021.763868/full" TargetMode="External"/><Relationship Id="rId103" Type="http://schemas.openxmlformats.org/officeDocument/2006/relationships/hyperlink" Target="https://www.frontiersin.org/articles/10.3389/fnmol.2021.763868/full" TargetMode="External"/><Relationship Id="rId108" Type="http://schemas.openxmlformats.org/officeDocument/2006/relationships/hyperlink" Target="https://www.frontiersin.org/articles/10.3389/fnmol.2021.763868/full" TargetMode="External"/><Relationship Id="rId124" Type="http://schemas.openxmlformats.org/officeDocument/2006/relationships/hyperlink" Target="https://www.frontiersin.org/articles/10.3389/fnmol.2021.763868/full" TargetMode="External"/><Relationship Id="rId129" Type="http://schemas.openxmlformats.org/officeDocument/2006/relationships/hyperlink" Target="https://www.frontiersin.org/articles/10.3389/fnmol.2021.763868/full" TargetMode="External"/><Relationship Id="rId54" Type="http://schemas.openxmlformats.org/officeDocument/2006/relationships/image" Target="media/image2.gif"/><Relationship Id="rId70" Type="http://schemas.openxmlformats.org/officeDocument/2006/relationships/hyperlink" Target="https://www.frontiersin.org/articles/10.3389/fnmol.2021.763868/full" TargetMode="External"/><Relationship Id="rId75" Type="http://schemas.openxmlformats.org/officeDocument/2006/relationships/hyperlink" Target="https://www.frontiersin.org/articles/10.3389/fnmol.2021.763868/full" TargetMode="External"/><Relationship Id="rId91" Type="http://schemas.openxmlformats.org/officeDocument/2006/relationships/hyperlink" Target="https://www.frontiersin.org/articles/10.3389/fnmol.2021.763868/full" TargetMode="External"/><Relationship Id="rId96" Type="http://schemas.openxmlformats.org/officeDocument/2006/relationships/hyperlink" Target="https://www.frontiersin.org/articles/10.3389/fnmol.2021.763868/full" TargetMode="External"/><Relationship Id="rId140" Type="http://schemas.openxmlformats.org/officeDocument/2006/relationships/hyperlink" Target="https://www.frontiersin.org/articles/10.3389/fnmol.2021.763868/full" TargetMode="External"/><Relationship Id="rId145" Type="http://schemas.openxmlformats.org/officeDocument/2006/relationships/hyperlink" Target="https://www.frontiersin.org/articles/10.3389/fnmol.2021.763868/full" TargetMode="External"/><Relationship Id="rId1" Type="http://schemas.openxmlformats.org/officeDocument/2006/relationships/customXml" Target="../customXml/item1.xml"/><Relationship Id="rId6" Type="http://schemas.openxmlformats.org/officeDocument/2006/relationships/settings" Target="settings.xml"/><Relationship Id="rId23" Type="http://schemas.openxmlformats.org/officeDocument/2006/relationships/hyperlink" Target="https://www.frontiersin.org/articles/10.3389/fnmol.2021.763868/full" TargetMode="External"/><Relationship Id="rId28" Type="http://schemas.openxmlformats.org/officeDocument/2006/relationships/hyperlink" Target="https://www.frontiersin.org/articles/10.3389/fnmol.2021.763868/full" TargetMode="External"/><Relationship Id="rId49" Type="http://schemas.openxmlformats.org/officeDocument/2006/relationships/hyperlink" Target="https://www.frontiersin.org/articles/10.3389/fnmol.2021.763868/full" TargetMode="External"/><Relationship Id="rId114" Type="http://schemas.openxmlformats.org/officeDocument/2006/relationships/hyperlink" Target="https://www.frontiersin.org/files/Articles/763868/fnmol-14-763868-HTML-r1/image_m/fnmol-14-763868-g007.jpg" TargetMode="External"/><Relationship Id="rId119" Type="http://schemas.openxmlformats.org/officeDocument/2006/relationships/hyperlink" Target="https://www.frontiersin.org/articles/10.3389/fnmol.2021.763868/full" TargetMode="External"/><Relationship Id="rId44" Type="http://schemas.openxmlformats.org/officeDocument/2006/relationships/hyperlink" Target="https://www.frontiersin.org/articles/10.3389/fnmol.2021.763868/full" TargetMode="External"/><Relationship Id="rId60" Type="http://schemas.openxmlformats.org/officeDocument/2006/relationships/hyperlink" Target="https://www.frontiersin.org/articles/10.3389/fnmol.2021.763868/full" TargetMode="External"/><Relationship Id="rId65" Type="http://schemas.openxmlformats.org/officeDocument/2006/relationships/hyperlink" Target="https://www.frontiersin.org/articles/10.3389/fnmol.2021.763868/full" TargetMode="External"/><Relationship Id="rId81" Type="http://schemas.openxmlformats.org/officeDocument/2006/relationships/hyperlink" Target="https://www.frontiersin.org/articles/10.3389/fnmol.2021.763868/full" TargetMode="External"/><Relationship Id="rId86" Type="http://schemas.openxmlformats.org/officeDocument/2006/relationships/image" Target="media/image5.gif"/><Relationship Id="rId130" Type="http://schemas.openxmlformats.org/officeDocument/2006/relationships/hyperlink" Target="https://www.frontiersin.org/articles/10.3389/fnmol.2021.763868/full" TargetMode="External"/><Relationship Id="rId135" Type="http://schemas.openxmlformats.org/officeDocument/2006/relationships/hyperlink" Target="https://www.frontiersin.org/articles/10.3389/fnmol.2021.763868/full" TargetMode="External"/><Relationship Id="rId13" Type="http://schemas.openxmlformats.org/officeDocument/2006/relationships/hyperlink" Target="https://www.frontiersin.org/articles/10.3389/fnmol.2021.763868/full" TargetMode="External"/><Relationship Id="rId18" Type="http://schemas.openxmlformats.org/officeDocument/2006/relationships/hyperlink" Target="https://www.frontiersin.org/articles/10.3389/fnmol.2021.763868/full" TargetMode="External"/><Relationship Id="rId39" Type="http://schemas.openxmlformats.org/officeDocument/2006/relationships/hyperlink" Target="https://www.frontiersin.org/articles/10.3389/fnmol.2021.763868/full" TargetMode="External"/><Relationship Id="rId109" Type="http://schemas.openxmlformats.org/officeDocument/2006/relationships/hyperlink" Target="https://www.frontiersin.org/articles/10.3389/fnmol.2021.763868/full" TargetMode="External"/><Relationship Id="rId34" Type="http://schemas.openxmlformats.org/officeDocument/2006/relationships/hyperlink" Target="https://www.frontiersin.org/articles/10.3389/fnmol.2021.763868/full" TargetMode="External"/><Relationship Id="rId50" Type="http://schemas.openxmlformats.org/officeDocument/2006/relationships/hyperlink" Target="https://www.frontiersin.org/articles/10.3389/fnmol.2021.763868/full" TargetMode="External"/><Relationship Id="rId55" Type="http://schemas.openxmlformats.org/officeDocument/2006/relationships/hyperlink" Target="https://www.frontiersin.org/articles/10.3389/fnmol.2021.763868/full" TargetMode="External"/><Relationship Id="rId76" Type="http://schemas.openxmlformats.org/officeDocument/2006/relationships/hyperlink" Target="https://www.frontiersin.org/articles/10.3389/fnmol.2021.763868/full" TargetMode="External"/><Relationship Id="rId97" Type="http://schemas.openxmlformats.org/officeDocument/2006/relationships/hyperlink" Target="https://www.frontiersin.org/articles/10.3389/fnmol.2021.763868/full" TargetMode="External"/><Relationship Id="rId104" Type="http://schemas.openxmlformats.org/officeDocument/2006/relationships/hyperlink" Target="https://www.frontiersin.org/articles/10.3389/fnmol.2021.763868/full" TargetMode="External"/><Relationship Id="rId120" Type="http://schemas.openxmlformats.org/officeDocument/2006/relationships/hyperlink" Target="https://www.frontiersin.org/articles/10.3389/fnmol.2021.763868/full" TargetMode="External"/><Relationship Id="rId125" Type="http://schemas.openxmlformats.org/officeDocument/2006/relationships/hyperlink" Target="https://www.frontiersin.org/articles/10.3389/fnmol.2021.763868/full" TargetMode="External"/><Relationship Id="rId141" Type="http://schemas.openxmlformats.org/officeDocument/2006/relationships/hyperlink" Target="https://www.frontiersin.org/articles/10.3389/fnmol.2021.763868/full" TargetMode="External"/><Relationship Id="rId146" Type="http://schemas.openxmlformats.org/officeDocument/2006/relationships/fontTable" Target="fontTable.xml"/><Relationship Id="rId7" Type="http://schemas.openxmlformats.org/officeDocument/2006/relationships/webSettings" Target="webSettings.xml"/><Relationship Id="rId71" Type="http://schemas.openxmlformats.org/officeDocument/2006/relationships/hyperlink" Target="https://www.frontiersin.org/articles/10.3389/fnmol.2021.763868/full" TargetMode="External"/><Relationship Id="rId92" Type="http://schemas.openxmlformats.org/officeDocument/2006/relationships/hyperlink" Target="https://www.frontiersin.org/articles/10.3389/fnmol.2021.763868/full" TargetMode="External"/><Relationship Id="rId2" Type="http://schemas.openxmlformats.org/officeDocument/2006/relationships/customXml" Target="../customXml/item2.xml"/><Relationship Id="rId29" Type="http://schemas.openxmlformats.org/officeDocument/2006/relationships/hyperlink" Target="https://www.frontiersin.org/articles/10.3389/fnmol.2021.763868/full" TargetMode="External"/><Relationship Id="rId24" Type="http://schemas.openxmlformats.org/officeDocument/2006/relationships/hyperlink" Target="https://www.frontiersin.org/articles/10.3389/fnmol.2021.763868/full" TargetMode="External"/><Relationship Id="rId40" Type="http://schemas.openxmlformats.org/officeDocument/2006/relationships/hyperlink" Target="https://www.frontiersin.org/articles/10.3389/fnmol.2021.763868/full" TargetMode="External"/><Relationship Id="rId45" Type="http://schemas.openxmlformats.org/officeDocument/2006/relationships/hyperlink" Target="https://www.frontiersin.org/articles/10.3389/fnmol.2021.763868/full" TargetMode="External"/><Relationship Id="rId66" Type="http://schemas.openxmlformats.org/officeDocument/2006/relationships/hyperlink" Target="https://www.frontiersin.org/articles/10.3389/fnmol.2021.763868/full" TargetMode="External"/><Relationship Id="rId87" Type="http://schemas.openxmlformats.org/officeDocument/2006/relationships/hyperlink" Target="https://www.frontiersin.org/articles/10.3389/fnmol.2021.763868/full" TargetMode="External"/><Relationship Id="rId110" Type="http://schemas.openxmlformats.org/officeDocument/2006/relationships/hyperlink" Target="https://www.frontiersin.org/articles/10.3389/fnmol.2021.763868/full" TargetMode="External"/><Relationship Id="rId115" Type="http://schemas.openxmlformats.org/officeDocument/2006/relationships/image" Target="media/image7.gif"/><Relationship Id="rId131" Type="http://schemas.openxmlformats.org/officeDocument/2006/relationships/hyperlink" Target="https://www.frontiersin.org/articles/10.3389/fnmol.2021.763868/full" TargetMode="External"/><Relationship Id="rId136" Type="http://schemas.openxmlformats.org/officeDocument/2006/relationships/hyperlink" Target="https://www.frontiersin.org/articles/10.3389/fnmol.2021.763868/full" TargetMode="External"/><Relationship Id="rId61" Type="http://schemas.openxmlformats.org/officeDocument/2006/relationships/hyperlink" Target="https://www.frontiersin.org/articles/10.3389/fnmol.2021.763868/full" TargetMode="External"/><Relationship Id="rId82" Type="http://schemas.openxmlformats.org/officeDocument/2006/relationships/hyperlink" Target="https://www.frontiersin.org/articles/10.3389/fnmol.2021.763868/full" TargetMode="External"/><Relationship Id="rId19" Type="http://schemas.openxmlformats.org/officeDocument/2006/relationships/hyperlink" Target="https://www.frontiersin.org/articles/10.3389/fnmol.2021.763868/full" TargetMode="External"/><Relationship Id="rId14" Type="http://schemas.openxmlformats.org/officeDocument/2006/relationships/hyperlink" Target="https://www.frontiersin.org/articles/10.3389/fnmol.2021.763868/full" TargetMode="External"/><Relationship Id="rId30" Type="http://schemas.openxmlformats.org/officeDocument/2006/relationships/hyperlink" Target="https://www.frontiersin.org/articles/10.3389/fnmol.2021.763868/full" TargetMode="External"/><Relationship Id="rId35" Type="http://schemas.openxmlformats.org/officeDocument/2006/relationships/hyperlink" Target="https://www.frontiersin.org/articles/10.3389/fnmol.2021.763868/full" TargetMode="External"/><Relationship Id="rId56" Type="http://schemas.openxmlformats.org/officeDocument/2006/relationships/hyperlink" Target="https://www.frontiersin.org/articles/10.3389/fnmol.2021.763868/full" TargetMode="External"/><Relationship Id="rId77" Type="http://schemas.openxmlformats.org/officeDocument/2006/relationships/hyperlink" Target="https://www.frontiersin.org/articles/10.3389/fnmol.2021.763868/full" TargetMode="External"/><Relationship Id="rId100" Type="http://schemas.openxmlformats.org/officeDocument/2006/relationships/hyperlink" Target="https://www.frontiersin.org/articles/10.3389/fnmol.2021.763868/full" TargetMode="External"/><Relationship Id="rId105" Type="http://schemas.openxmlformats.org/officeDocument/2006/relationships/hyperlink" Target="https://www.frontiersin.org/articles/10.3389/fnmol.2021.763868/full" TargetMode="External"/><Relationship Id="rId126" Type="http://schemas.openxmlformats.org/officeDocument/2006/relationships/hyperlink" Target="https://www.frontiersin.org/articles/10.3389/fnmol.2021.763868/full" TargetMode="External"/><Relationship Id="rId147" Type="http://schemas.openxmlformats.org/officeDocument/2006/relationships/theme" Target="theme/theme1.xml"/><Relationship Id="rId8" Type="http://schemas.openxmlformats.org/officeDocument/2006/relationships/hyperlink" Target="https://doi.org/10.3389/fnmol.2021.763868" TargetMode="External"/><Relationship Id="rId51" Type="http://schemas.openxmlformats.org/officeDocument/2006/relationships/hyperlink" Target="https://www.frontiersin.org/articles/10.3389/fnmol.2021.763868/full" TargetMode="External"/><Relationship Id="rId72" Type="http://schemas.openxmlformats.org/officeDocument/2006/relationships/hyperlink" Target="https://www.frontiersin.org/articles/10.3389/fnmol.2021.763868/full" TargetMode="External"/><Relationship Id="rId93" Type="http://schemas.openxmlformats.org/officeDocument/2006/relationships/hyperlink" Target="https://www.frontiersin.org/articles/10.3389/fnmol.2021.763868/full" TargetMode="External"/><Relationship Id="rId98" Type="http://schemas.openxmlformats.org/officeDocument/2006/relationships/hyperlink" Target="https://www.frontiersin.org/files/Articles/763868/fnmol-14-763868-HTML-r1/image_m/fnmol-14-763868-g006.jpg" TargetMode="External"/><Relationship Id="rId121" Type="http://schemas.openxmlformats.org/officeDocument/2006/relationships/hyperlink" Target="https://www.frontiersin.org/articles/10.3389/fnmol.2021.763868/full" TargetMode="External"/><Relationship Id="rId142" Type="http://schemas.openxmlformats.org/officeDocument/2006/relationships/hyperlink" Target="https://www.frontiersin.org/files/Articles/763868/fnmol-14-763868-HTML-r1/image_m/fnmol-14-763868-g008.jpg" TargetMode="External"/><Relationship Id="rId3" Type="http://schemas.openxmlformats.org/officeDocument/2006/relationships/customXml" Target="../customXml/item3.xml"/><Relationship Id="rId25" Type="http://schemas.openxmlformats.org/officeDocument/2006/relationships/hyperlink" Target="https://www.frontiersin.org/articles/10.3389/fnmol.2021.763868/full" TargetMode="External"/><Relationship Id="rId46" Type="http://schemas.openxmlformats.org/officeDocument/2006/relationships/hyperlink" Target="https://www.frontiersin.org/articles/10.3389/fnmol.2021.763868/full" TargetMode="External"/><Relationship Id="rId67" Type="http://schemas.openxmlformats.org/officeDocument/2006/relationships/hyperlink" Target="https://www.frontiersin.org/files/Articles/763868/fnmol-14-763868-HTML-r1/image_m/fnmol-14-763868-g003.jpg" TargetMode="External"/><Relationship Id="rId116" Type="http://schemas.openxmlformats.org/officeDocument/2006/relationships/hyperlink" Target="https://www.frontiersin.org/articles/10.3389/fnmol.2021.763868/full" TargetMode="External"/><Relationship Id="rId137" Type="http://schemas.openxmlformats.org/officeDocument/2006/relationships/hyperlink" Target="https://www.frontiersin.org/articles/10.3389/fnmol.2021.763868/full" TargetMode="External"/><Relationship Id="rId20" Type="http://schemas.openxmlformats.org/officeDocument/2006/relationships/hyperlink" Target="https://www.frontiersin.org/articles/10.3389/fnmol.2021.763868/full" TargetMode="External"/><Relationship Id="rId41" Type="http://schemas.openxmlformats.org/officeDocument/2006/relationships/hyperlink" Target="https://www.frontiersin.org/articles/10.3389/fnmol.2021.763868/full" TargetMode="External"/><Relationship Id="rId62" Type="http://schemas.openxmlformats.org/officeDocument/2006/relationships/hyperlink" Target="https://www.frontiersin.org/articles/10.3389/fnmol.2021.763868/full" TargetMode="External"/><Relationship Id="rId83" Type="http://schemas.openxmlformats.org/officeDocument/2006/relationships/hyperlink" Target="https://www.frontiersin.org/articles/10.3389/fnmol.2021.763868/full" TargetMode="External"/><Relationship Id="rId88" Type="http://schemas.openxmlformats.org/officeDocument/2006/relationships/hyperlink" Target="https://www.frontiersin.org/articles/10.3389/fnmol.2021.763868/full" TargetMode="External"/><Relationship Id="rId111" Type="http://schemas.openxmlformats.org/officeDocument/2006/relationships/hyperlink" Target="https://www.frontiersin.org/articles/10.3389/fnmol.2021.763868/full" TargetMode="External"/><Relationship Id="rId132" Type="http://schemas.openxmlformats.org/officeDocument/2006/relationships/hyperlink" Target="https://www.frontiersin.org/articles/10.3389/fnmol.2021.763868/full" TargetMode="External"/><Relationship Id="rId15" Type="http://schemas.openxmlformats.org/officeDocument/2006/relationships/hyperlink" Target="https://www.frontiersin.org/articles/10.3389/fnmol.2021.763868/full" TargetMode="External"/><Relationship Id="rId36" Type="http://schemas.openxmlformats.org/officeDocument/2006/relationships/hyperlink" Target="https://www.frontiersin.org/articles/10.3389/fnmol.2021.763868/full" TargetMode="External"/><Relationship Id="rId57" Type="http://schemas.openxmlformats.org/officeDocument/2006/relationships/hyperlink" Target="https://www.frontiersin.org/articles/10.3389/fnmol.2021.763868/full" TargetMode="External"/><Relationship Id="rId106" Type="http://schemas.openxmlformats.org/officeDocument/2006/relationships/hyperlink" Target="https://www.frontiersin.org/articles/10.3389/fnmol.2021.763868/full" TargetMode="External"/><Relationship Id="rId127" Type="http://schemas.openxmlformats.org/officeDocument/2006/relationships/hyperlink" Target="https://www.frontiersin.org/articles/10.3389/fnmol.2021.763868/full" TargetMode="External"/><Relationship Id="rId10" Type="http://schemas.openxmlformats.org/officeDocument/2006/relationships/hyperlink" Target="https://www.frontiersin.org/articles/10.3389/fnmol.2021.763868/full" TargetMode="External"/><Relationship Id="rId31" Type="http://schemas.openxmlformats.org/officeDocument/2006/relationships/hyperlink" Target="https://www.frontiersin.org/articles/10.3389/fnmol.2021.763868/full" TargetMode="External"/><Relationship Id="rId52" Type="http://schemas.openxmlformats.org/officeDocument/2006/relationships/hyperlink" Target="https://www.frontiersin.org/articles/10.3389/fnmol.2021.763868/full" TargetMode="External"/><Relationship Id="rId73" Type="http://schemas.openxmlformats.org/officeDocument/2006/relationships/hyperlink" Target="https://www.frontiersin.org/articles/10.3389/fnmol.2021.763868/full" TargetMode="External"/><Relationship Id="rId78" Type="http://schemas.openxmlformats.org/officeDocument/2006/relationships/hyperlink" Target="https://www.frontiersin.org/files/Articles/763868/fnmol-14-763868-HTML-r1/image_m/fnmol-14-763868-g004.jpg" TargetMode="External"/><Relationship Id="rId94" Type="http://schemas.openxmlformats.org/officeDocument/2006/relationships/hyperlink" Target="https://www.frontiersin.org/articles/10.3389/fnmol.2021.763868/full" TargetMode="External"/><Relationship Id="rId99" Type="http://schemas.openxmlformats.org/officeDocument/2006/relationships/image" Target="media/image6.gif"/><Relationship Id="rId101" Type="http://schemas.openxmlformats.org/officeDocument/2006/relationships/hyperlink" Target="https://www.frontiersin.org/articles/10.3389/fnmol.2021.763868/full" TargetMode="External"/><Relationship Id="rId122" Type="http://schemas.openxmlformats.org/officeDocument/2006/relationships/hyperlink" Target="https://www.frontiersin.org/articles/10.3389/fnmol.2021.763868/full" TargetMode="External"/><Relationship Id="rId143" Type="http://schemas.openxmlformats.org/officeDocument/2006/relationships/image" Target="media/image8.gif"/><Relationship Id="rId4" Type="http://schemas.openxmlformats.org/officeDocument/2006/relationships/numbering" Target="numbering.xml"/><Relationship Id="rId9" Type="http://schemas.openxmlformats.org/officeDocument/2006/relationships/hyperlink" Target="http://epublications.marquette.edu/" TargetMode="External"/><Relationship Id="rId26" Type="http://schemas.openxmlformats.org/officeDocument/2006/relationships/hyperlink" Target="https://www.frontiersin.org/articles/10.3389/fnmol.2021.763868/full" TargetMode="External"/><Relationship Id="rId47" Type="http://schemas.openxmlformats.org/officeDocument/2006/relationships/hyperlink" Target="https://www.frontiersin.org/articles/10.3389/fnmol.2021.763868/full" TargetMode="External"/><Relationship Id="rId68" Type="http://schemas.openxmlformats.org/officeDocument/2006/relationships/image" Target="media/image3.gif"/><Relationship Id="rId89" Type="http://schemas.openxmlformats.org/officeDocument/2006/relationships/hyperlink" Target="https://www.frontiersin.org/articles/10.3389/fnmol.2021.763868/full" TargetMode="External"/><Relationship Id="rId112" Type="http://schemas.openxmlformats.org/officeDocument/2006/relationships/hyperlink" Target="https://www.frontiersin.org/articles/10.3389/fnmol.2021.763868/full" TargetMode="External"/><Relationship Id="rId133" Type="http://schemas.openxmlformats.org/officeDocument/2006/relationships/hyperlink" Target="https://www.frontiersin.org/articles/10.3389/fnmol.2021.763868/full" TargetMode="External"/><Relationship Id="rId16" Type="http://schemas.openxmlformats.org/officeDocument/2006/relationships/hyperlink" Target="https://www.frontiersin.org/articles/10.3389/fnmol.2021.763868/full" TargetMode="External"/><Relationship Id="rId37" Type="http://schemas.openxmlformats.org/officeDocument/2006/relationships/hyperlink" Target="https://www.frontiersin.org/articles/10.3389/fnmol.2021.763868/full" TargetMode="External"/><Relationship Id="rId58" Type="http://schemas.openxmlformats.org/officeDocument/2006/relationships/hyperlink" Target="https://www.frontiersin.org/articles/10.3389/fnmol.2021.763868/full" TargetMode="External"/><Relationship Id="rId79" Type="http://schemas.openxmlformats.org/officeDocument/2006/relationships/image" Target="media/image4.gif"/><Relationship Id="rId102" Type="http://schemas.openxmlformats.org/officeDocument/2006/relationships/hyperlink" Target="https://www.frontiersin.org/articles/10.3389/fnmol.2021.763868/full" TargetMode="External"/><Relationship Id="rId123" Type="http://schemas.openxmlformats.org/officeDocument/2006/relationships/hyperlink" Target="https://www.frontiersin.org/articles/10.3389/fnmol.2021.763868/full" TargetMode="External"/><Relationship Id="rId144" Type="http://schemas.openxmlformats.org/officeDocument/2006/relationships/hyperlink" Target="https://www.frontiersin.org/articles/10.3389/fnmol.2021.763868/ful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21</Pages>
  <Words>11549</Words>
  <Characters>65832</Characters>
  <Application>Microsoft Office Word</Application>
  <DocSecurity>8</DocSecurity>
  <Lines>548</Lines>
  <Paragraphs>154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53</cp:revision>
  <dcterms:created xsi:type="dcterms:W3CDTF">2022-02-28T17:24:00Z</dcterms:created>
  <dcterms:modified xsi:type="dcterms:W3CDTF">2022-08-09T15:40:00Z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