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0735EB1" w:rsidR="000A7622" w:rsidRPr="00C04F25" w:rsidRDefault="00510139" w:rsidP="00D14423">
      <w:pPr>
        <w:autoSpaceDE w:val="0"/>
        <w:autoSpaceDN w:val="0"/>
        <w:adjustRightInd w:val="0"/>
        <w:rPr>
          <w:rFonts w:cstheme="minorHAnsi"/>
          <w:b/>
          <w:bCs/>
          <w:i/>
          <w:iCs/>
          <w:sz w:val="32"/>
          <w:szCs w:val="32"/>
        </w:rPr>
      </w:pPr>
      <w:r>
        <w:rPr>
          <w:rFonts w:cstheme="minorHAnsi"/>
          <w:b/>
          <w:bCs/>
          <w:i/>
          <w:iCs/>
          <w:sz w:val="32"/>
          <w:szCs w:val="32"/>
        </w:rPr>
        <w:t xml:space="preserve">Civil, </w:t>
      </w:r>
      <w:r w:rsidR="00FF3435">
        <w:rPr>
          <w:rFonts w:cstheme="minorHAnsi"/>
          <w:b/>
          <w:bCs/>
          <w:i/>
          <w:iCs/>
          <w:sz w:val="32"/>
          <w:szCs w:val="32"/>
        </w:rPr>
        <w:t xml:space="preserve">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FF3435">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5509BF0" w14:textId="15049F3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FF3435">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5E61DD1" w:rsidR="000A7622" w:rsidRPr="00744CAF" w:rsidRDefault="00E37A10" w:rsidP="00744CAF">
      <w:pPr>
        <w:pStyle w:val="NoSpacing"/>
        <w:rPr>
          <w:rFonts w:cstheme="minorHAnsi"/>
          <w:color w:val="000000" w:themeColor="text1"/>
        </w:rPr>
      </w:pPr>
      <w:r w:rsidRPr="00744CAF">
        <w:rPr>
          <w:rFonts w:cstheme="minorHAnsi"/>
          <w:i/>
          <w:color w:val="000000" w:themeColor="text1"/>
          <w:lang w:val="fr-FR"/>
        </w:rPr>
        <w:t xml:space="preserve">Frontiers </w:t>
      </w:r>
      <w:r w:rsidR="007E642F" w:rsidRPr="00744CAF">
        <w:rPr>
          <w:rFonts w:cstheme="minorHAnsi"/>
          <w:i/>
          <w:color w:val="000000" w:themeColor="text1"/>
          <w:lang w:val="fr-FR"/>
        </w:rPr>
        <w:t>in Energy Research</w:t>
      </w:r>
      <w:r w:rsidR="000A7622" w:rsidRPr="00744CAF">
        <w:rPr>
          <w:rFonts w:cstheme="minorHAnsi"/>
          <w:color w:val="000000" w:themeColor="text1"/>
          <w:lang w:val="fr-FR"/>
        </w:rPr>
        <w:t xml:space="preserve">, Vol. xx, No. </w:t>
      </w:r>
      <w:proofErr w:type="gramStart"/>
      <w:r w:rsidR="000A7622" w:rsidRPr="00744CAF">
        <w:rPr>
          <w:rFonts w:cstheme="minorHAnsi"/>
          <w:color w:val="000000" w:themeColor="text1"/>
          <w:lang w:val="fr-FR"/>
        </w:rPr>
        <w:t>x</w:t>
      </w:r>
      <w:proofErr w:type="gramEnd"/>
      <w:r w:rsidR="000A7622" w:rsidRPr="00744CAF">
        <w:rPr>
          <w:rFonts w:cstheme="minorHAnsi"/>
          <w:color w:val="000000" w:themeColor="text1"/>
          <w:lang w:val="fr-FR"/>
        </w:rPr>
        <w:t xml:space="preserve"> (</w:t>
      </w:r>
      <w:proofErr w:type="spellStart"/>
      <w:r w:rsidR="00C555A6" w:rsidRPr="00744CAF">
        <w:rPr>
          <w:rFonts w:cstheme="minorHAnsi"/>
          <w:color w:val="000000" w:themeColor="text1"/>
          <w:lang w:val="fr-FR"/>
        </w:rPr>
        <w:t>February</w:t>
      </w:r>
      <w:proofErr w:type="spellEnd"/>
      <w:r w:rsidR="00C555A6" w:rsidRPr="00744CAF">
        <w:rPr>
          <w:rFonts w:cstheme="minorHAnsi"/>
          <w:color w:val="000000" w:themeColor="text1"/>
          <w:lang w:val="fr-FR"/>
        </w:rPr>
        <w:t xml:space="preserve"> 2019</w:t>
      </w:r>
      <w:r w:rsidR="000A7622" w:rsidRPr="00744CAF">
        <w:rPr>
          <w:rFonts w:cstheme="minorHAnsi"/>
          <w:color w:val="000000" w:themeColor="text1"/>
          <w:lang w:val="fr-FR"/>
        </w:rPr>
        <w:t xml:space="preserve">). </w:t>
      </w:r>
      <w:hyperlink r:id="rId7" w:history="1">
        <w:r w:rsidR="000A7622" w:rsidRPr="00744CAF">
          <w:rPr>
            <w:rFonts w:cstheme="minorHAnsi"/>
            <w:color w:val="000000" w:themeColor="text1"/>
            <w:u w:val="single"/>
            <w:lang w:val="fr-FR"/>
          </w:rPr>
          <w:t>DOI</w:t>
        </w:r>
      </w:hyperlink>
      <w:r w:rsidR="000A7622" w:rsidRPr="00744CAF">
        <w:rPr>
          <w:rFonts w:cstheme="minorHAnsi"/>
          <w:color w:val="000000" w:themeColor="text1"/>
          <w:lang w:val="fr-FR"/>
        </w:rPr>
        <w:t xml:space="preserve">. </w:t>
      </w:r>
      <w:r w:rsidR="000A7622" w:rsidRPr="00744CAF">
        <w:rPr>
          <w:rFonts w:cstheme="minorHAnsi"/>
          <w:color w:val="000000" w:themeColor="text1"/>
        </w:rPr>
        <w:t xml:space="preserve">This article is </w:t>
      </w:r>
      <w:r w:rsidR="00744CAF" w:rsidRPr="00744CAF">
        <w:rPr>
          <w:rFonts w:cstheme="minorHAnsi"/>
          <w:color w:val="000000" w:themeColor="text1"/>
          <w:sz w:val="20"/>
          <w:szCs w:val="20"/>
          <w:shd w:val="clear" w:color="auto" w:fill="FFFFFF"/>
        </w:rPr>
        <w:t xml:space="preserve">© 2019 </w:t>
      </w:r>
      <w:proofErr w:type="spellStart"/>
      <w:r w:rsidR="00744CAF" w:rsidRPr="00744CAF">
        <w:rPr>
          <w:rFonts w:cstheme="minorHAnsi"/>
          <w:color w:val="000000" w:themeColor="text1"/>
          <w:sz w:val="20"/>
          <w:szCs w:val="20"/>
          <w:shd w:val="clear" w:color="auto" w:fill="FFFFFF"/>
        </w:rPr>
        <w:t>Seyedi</w:t>
      </w:r>
      <w:proofErr w:type="spellEnd"/>
      <w:r w:rsidR="00744CAF" w:rsidRPr="00744CAF">
        <w:rPr>
          <w:rFonts w:cstheme="minorHAnsi"/>
          <w:color w:val="000000" w:themeColor="text1"/>
          <w:sz w:val="20"/>
          <w:szCs w:val="20"/>
          <w:shd w:val="clear" w:color="auto" w:fill="FFFFFF"/>
        </w:rPr>
        <w:t xml:space="preserve">, </w:t>
      </w:r>
      <w:proofErr w:type="spellStart"/>
      <w:r w:rsidR="00744CAF" w:rsidRPr="00744CAF">
        <w:rPr>
          <w:rFonts w:cstheme="minorHAnsi"/>
          <w:color w:val="000000" w:themeColor="text1"/>
          <w:sz w:val="20"/>
          <w:szCs w:val="20"/>
          <w:shd w:val="clear" w:color="auto" w:fill="FFFFFF"/>
        </w:rPr>
        <w:t>Venkiteshwaran</w:t>
      </w:r>
      <w:proofErr w:type="spellEnd"/>
      <w:r w:rsidR="00744CAF" w:rsidRPr="00744CAF">
        <w:rPr>
          <w:rFonts w:cstheme="minorHAnsi"/>
          <w:color w:val="000000" w:themeColor="text1"/>
          <w:sz w:val="20"/>
          <w:szCs w:val="20"/>
          <w:shd w:val="clear" w:color="auto" w:fill="FFFFFF"/>
        </w:rPr>
        <w:t xml:space="preserve"> and Zitomer. This is an open-access article distributed under the terms of the </w:t>
      </w:r>
      <w:hyperlink r:id="rId8" w:tgtFrame="_blank" w:history="1">
        <w:r w:rsidR="00744CAF" w:rsidRPr="00744CAF">
          <w:rPr>
            <w:rStyle w:val="Hyperlink"/>
            <w:rFonts w:cstheme="minorHAnsi"/>
            <w:b/>
            <w:bCs/>
            <w:color w:val="000000" w:themeColor="text1"/>
            <w:sz w:val="20"/>
            <w:szCs w:val="20"/>
            <w:shd w:val="clear" w:color="auto" w:fill="FFFFFF"/>
          </w:rPr>
          <w:t>Creative Commons Attribution License (CC BY)</w:t>
        </w:r>
      </w:hyperlink>
      <w:r w:rsidR="00744CAF" w:rsidRPr="00744CAF">
        <w:rPr>
          <w:rFonts w:cstheme="minorHAnsi"/>
          <w:color w:val="000000" w:themeColor="text1"/>
          <w:sz w:val="20"/>
          <w:szCs w:val="20"/>
          <w:shd w:val="clear" w:color="auto" w:fill="FFFFFF"/>
        </w:rPr>
        <w:t>. The use, distribution or reproduction in other forums is perm</w:t>
      </w:r>
      <w:bookmarkStart w:id="2" w:name="_GoBack"/>
      <w:bookmarkEnd w:id="2"/>
      <w:r w:rsidR="00744CAF" w:rsidRPr="00744CAF">
        <w:rPr>
          <w:rFonts w:cstheme="minorHAnsi"/>
          <w:color w:val="000000" w:themeColor="text1"/>
          <w:sz w:val="20"/>
          <w:szCs w:val="20"/>
          <w:shd w:val="clear" w:color="auto" w:fill="FFFFFF"/>
        </w:rPr>
        <w:t>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00744CAF" w:rsidRPr="00744CAF">
        <w:rPr>
          <w:rFonts w:cstheme="minorHAnsi"/>
          <w:color w:val="000000" w:themeColor="text1"/>
          <w:sz w:val="20"/>
          <w:szCs w:val="20"/>
          <w:shd w:val="clear" w:color="auto" w:fill="FFFFFF"/>
        </w:rPr>
        <w:t xml:space="preserve"> P</w:t>
      </w:r>
      <w:r w:rsidR="000A7622" w:rsidRPr="00744CAF">
        <w:rPr>
          <w:rFonts w:cstheme="minorHAnsi"/>
          <w:color w:val="000000" w:themeColor="text1"/>
        </w:rPr>
        <w:t xml:space="preserve">ermission has been granted for this version to appear in </w:t>
      </w:r>
      <w:hyperlink r:id="rId9" w:history="1">
        <w:r w:rsidR="000A7622" w:rsidRPr="00744CAF">
          <w:rPr>
            <w:rFonts w:cstheme="minorHAnsi"/>
            <w:color w:val="000000" w:themeColor="text1"/>
            <w:u w:val="single"/>
          </w:rPr>
          <w:t>e-Publications@Marquette</w:t>
        </w:r>
      </w:hyperlink>
      <w:r w:rsidR="000A7622" w:rsidRPr="00744CAF">
        <w:rPr>
          <w:rFonts w:cstheme="minorHAnsi"/>
          <w:color w:val="000000" w:themeColor="text1"/>
        </w:rPr>
        <w:t xml:space="preserve">. </w:t>
      </w:r>
      <w:r w:rsidR="005A322F" w:rsidRPr="00744CAF">
        <w:rPr>
          <w:rFonts w:cstheme="minorHAnsi"/>
          <w:color w:val="000000" w:themeColor="text1"/>
        </w:rPr>
        <w:t xml:space="preserve">Frontiers Media S.A. </w:t>
      </w:r>
      <w:r w:rsidR="000A7622" w:rsidRPr="00744CAF">
        <w:rPr>
          <w:rFonts w:cstheme="minorHAnsi"/>
          <w:color w:val="000000" w:themeColor="text1"/>
        </w:rPr>
        <w:t xml:space="preserve">does not grant permission for this article to be further copied/distributed or hosted elsewhere without the express permission from </w:t>
      </w:r>
      <w:r w:rsidR="005A322F" w:rsidRPr="00744CAF">
        <w:rPr>
          <w:rFonts w:cstheme="minorHAnsi"/>
          <w:color w:val="000000" w:themeColor="text1"/>
        </w:rPr>
        <w:t>Frontiers Media S.A.</w:t>
      </w:r>
    </w:p>
    <w:p w14:paraId="5B0E80A6" w14:textId="77777777" w:rsidR="00744CAF" w:rsidRDefault="00744CAF" w:rsidP="00744CAF">
      <w:pPr>
        <w:pStyle w:val="NoSpacing"/>
        <w:rPr>
          <w:rFonts w:cstheme="minorHAnsi"/>
        </w:rPr>
      </w:pPr>
    </w:p>
    <w:p w14:paraId="6E81FBB8" w14:textId="319451EB" w:rsidR="00250496" w:rsidRDefault="00250496" w:rsidP="00250496">
      <w:pPr>
        <w:pStyle w:val="Title"/>
      </w:pPr>
      <w:r w:rsidRPr="00250496">
        <w:t xml:space="preserve">Toxicity of Various Pyrolysis Liquids </w:t>
      </w:r>
      <w:proofErr w:type="gramStart"/>
      <w:r w:rsidRPr="00250496">
        <w:t>From</w:t>
      </w:r>
      <w:proofErr w:type="gramEnd"/>
      <w:r w:rsidRPr="00250496">
        <w:t xml:space="preserve"> Biosolids on Methane Production Yield</w:t>
      </w:r>
    </w:p>
    <w:p w14:paraId="22178508" w14:textId="77777777" w:rsidR="002B7885" w:rsidRPr="002B7885" w:rsidRDefault="002B7885" w:rsidP="002B7885"/>
    <w:bookmarkEnd w:id="1"/>
    <w:p w14:paraId="27B7D50E" w14:textId="77777777" w:rsidR="00446B3D" w:rsidRDefault="005D55BE" w:rsidP="00446B3D">
      <w:pPr>
        <w:spacing w:after="0"/>
        <w:rPr>
          <w:rFonts w:cstheme="minorHAnsi"/>
          <w:sz w:val="28"/>
          <w:szCs w:val="28"/>
        </w:rPr>
      </w:pPr>
      <w:r w:rsidRPr="00300BAE">
        <w:rPr>
          <w:rFonts w:cstheme="minorHAnsi"/>
          <w:sz w:val="28"/>
          <w:szCs w:val="28"/>
        </w:rPr>
        <w:t xml:space="preserve">Saba </w:t>
      </w:r>
      <w:proofErr w:type="spellStart"/>
      <w:r w:rsidRPr="00300BAE">
        <w:rPr>
          <w:rFonts w:cstheme="minorHAnsi"/>
          <w:sz w:val="28"/>
          <w:szCs w:val="28"/>
        </w:rPr>
        <w:t>Seyedi</w:t>
      </w:r>
      <w:proofErr w:type="spellEnd"/>
    </w:p>
    <w:p w14:paraId="5E243E2D" w14:textId="136F1651" w:rsidR="005D55BE" w:rsidRDefault="00300BAE" w:rsidP="00446B3D">
      <w:pPr>
        <w:spacing w:after="0"/>
        <w:rPr>
          <w:rFonts w:cstheme="minorHAnsi"/>
        </w:rPr>
      </w:pPr>
      <w:r w:rsidRPr="00300BAE">
        <w:rPr>
          <w:rFonts w:cstheme="minorHAnsi"/>
        </w:rPr>
        <w:t>Department of Civil, Construction and Environmental Engineering, Marquette University, Milwaukee, WI</w:t>
      </w:r>
    </w:p>
    <w:p w14:paraId="49B3BF2D" w14:textId="77777777" w:rsidR="00446B3D" w:rsidRDefault="00177079" w:rsidP="00446B3D">
      <w:pPr>
        <w:spacing w:after="0"/>
        <w:rPr>
          <w:rFonts w:cstheme="minorHAnsi"/>
          <w:sz w:val="28"/>
          <w:szCs w:val="28"/>
        </w:rPr>
      </w:pPr>
      <w:r w:rsidRPr="00300BAE">
        <w:rPr>
          <w:rFonts w:cstheme="minorHAnsi"/>
          <w:sz w:val="28"/>
          <w:szCs w:val="28"/>
        </w:rPr>
        <w:t xml:space="preserve">Kaushik </w:t>
      </w:r>
      <w:proofErr w:type="spellStart"/>
      <w:r w:rsidRPr="00300BAE">
        <w:rPr>
          <w:rFonts w:cstheme="minorHAnsi"/>
          <w:sz w:val="28"/>
          <w:szCs w:val="28"/>
        </w:rPr>
        <w:t>Venkiteshwaran</w:t>
      </w:r>
      <w:proofErr w:type="spellEnd"/>
    </w:p>
    <w:p w14:paraId="5BC0075B" w14:textId="10167C85" w:rsidR="000A7622" w:rsidRDefault="00300BAE" w:rsidP="00446B3D">
      <w:pPr>
        <w:spacing w:after="0"/>
        <w:rPr>
          <w:rFonts w:cstheme="minorHAnsi"/>
        </w:rPr>
      </w:pPr>
      <w:r w:rsidRPr="00300BAE">
        <w:rPr>
          <w:rFonts w:cstheme="minorHAnsi"/>
        </w:rPr>
        <w:t>Department of Civil, Construction and Environmental Engineering, Marquette University, Milwaukee, WI</w:t>
      </w:r>
    </w:p>
    <w:p w14:paraId="3F950C09" w14:textId="77777777" w:rsidR="00446B3D" w:rsidRDefault="00B61B66" w:rsidP="00446B3D">
      <w:pPr>
        <w:spacing w:after="0"/>
        <w:rPr>
          <w:rFonts w:cstheme="minorHAnsi"/>
          <w:sz w:val="28"/>
          <w:szCs w:val="28"/>
        </w:rPr>
      </w:pPr>
      <w:r w:rsidRPr="00300BAE">
        <w:rPr>
          <w:rFonts w:cstheme="minorHAnsi"/>
          <w:sz w:val="28"/>
          <w:szCs w:val="28"/>
        </w:rPr>
        <w:t>Daniel Zitomer</w:t>
      </w:r>
    </w:p>
    <w:p w14:paraId="7E7FFEAF" w14:textId="65EFE79B" w:rsidR="005D55BE" w:rsidRDefault="00D17328" w:rsidP="00446B3D">
      <w:pPr>
        <w:spacing w:after="0"/>
        <w:rPr>
          <w:rFonts w:cstheme="minorHAnsi"/>
        </w:rPr>
      </w:pPr>
      <w:r w:rsidRPr="00D17328">
        <w:rPr>
          <w:rFonts w:cstheme="minorHAnsi"/>
        </w:rPr>
        <w:t>Department of Civil, Construction and Environmental Engineering, Marquette University, Milwaukee, WI</w:t>
      </w:r>
    </w:p>
    <w:p w14:paraId="48B08582" w14:textId="77777777" w:rsidR="00446B3D" w:rsidRDefault="00446B3D" w:rsidP="00A20512"/>
    <w:p w14:paraId="1640E5FE" w14:textId="5AAD62B4" w:rsidR="00AE0154" w:rsidRDefault="00AE0154" w:rsidP="00A20512">
      <w:r>
        <w:t>Aqueous pyrolysis liquid (APL) is a high-COD byproduct of wastewater biosolids pyrolysis that is comprised of numerous complex organic compounds and ammonia nitrogen (NH</w:t>
      </w:r>
      <w:r>
        <w:rPr>
          <w:sz w:val="23"/>
          <w:szCs w:val="23"/>
          <w:vertAlign w:val="subscript"/>
        </w:rPr>
        <w:t>3</w:t>
      </w:r>
      <w:r>
        <w:t>-N). One potential beneficial use of APL is as a co-digestate to produce more biogas in anaerobic digesters. However, some APL organics and NH</w:t>
      </w:r>
      <w:r>
        <w:rPr>
          <w:sz w:val="23"/>
          <w:szCs w:val="23"/>
          <w:vertAlign w:val="subscript"/>
        </w:rPr>
        <w:t>3</w:t>
      </w:r>
      <w:r>
        <w:t xml:space="preserve">-N are known to inhibit methane-producing microbes. Autocatalytic pyrolysis which uses previously-produced biochar as a catalyst during biosolids pyrolysis, increases energy-rich py-gas while eliminating bio-oil production and reducing COD concentration in the APL (catalyzed APL). However, the catalyzed APL still has a high organic strength and no suitable treatment strategies have yet been identified. In this study, the methane production </w:t>
      </w:r>
      <w:r>
        <w:lastRenderedPageBreak/>
        <w:t>yields and methanogenic toxicity of non-catalyzed and catalyzed APLs were investigated. Both non-catalyzed and catalyzed APLs were produced at 800°C from a mix of digested primary and raw waste activated sludge from a municipal water resource reclamation facility. Using the anaerobic toxicity assay, APL digester loading rates higher than 0.5 gCOD/L for non-catalyzed and 0.10 gCOD/L for catalyzed APL were not sustainable due to toxicity. The IC</w:t>
      </w:r>
      <w:r>
        <w:rPr>
          <w:sz w:val="23"/>
          <w:szCs w:val="23"/>
          <w:vertAlign w:val="subscript"/>
        </w:rPr>
        <w:t>50</w:t>
      </w:r>
      <w:r>
        <w:t> values (APL concentration that inhibited methane production rate by 50%) for non-catalyzed and catalyzed APLs were 2.3 and 0.3 gCOD/L, respectively. Despite having significantly fewer identified organic compounds catalytic APL resulted in higher methanogenic toxicity than non-catalytic APL. NH</w:t>
      </w:r>
      <w:r>
        <w:rPr>
          <w:sz w:val="23"/>
          <w:szCs w:val="23"/>
          <w:vertAlign w:val="subscript"/>
        </w:rPr>
        <w:t>3</w:t>
      </w:r>
      <w:r>
        <w:t>-N was not the main inhibitory constituent and other organics in APL, including 3,5-dimethoxy-4-hydroxybenzaldehyde, 2,5-dimethoxybenzyl alcohol, benzene, cresol, ethylbenzene, phenols, styrene, and xylenes as well as nitrogenated organics (e.g., benzonitrile, pyridine) ostensibly caused considerable methane production inhibition. Future research focused on pretreatment methods to overcome APL toxicity and the use of acclimated biomass to increase methane production rates during APL anaerobic digestion or co-digestion is warranted.</w:t>
      </w:r>
    </w:p>
    <w:p w14:paraId="52C40FDF" w14:textId="77777777" w:rsidR="00AE0154" w:rsidRDefault="00AE0154" w:rsidP="00B635E1">
      <w:pPr>
        <w:pStyle w:val="Heading1"/>
      </w:pPr>
      <w:bookmarkStart w:id="3" w:name="h2"/>
      <w:bookmarkEnd w:id="3"/>
      <w:r>
        <w:t>Introduction</w:t>
      </w:r>
    </w:p>
    <w:p w14:paraId="46A1CC9B" w14:textId="77777777" w:rsidR="00AE0154" w:rsidRPr="00446B3D" w:rsidRDefault="00AE0154" w:rsidP="00B635E1">
      <w:r w:rsidRPr="00446B3D">
        <w:t>Primary and waste activated sludge volumes produced from municipal water reclamation processes are increasing due to population increase and more strict effluent requirements (</w:t>
      </w:r>
      <w:hyperlink r:id="rId10" w:anchor="B1" w:history="1">
        <w:r w:rsidRPr="00446B3D">
          <w:rPr>
            <w:rStyle w:val="Hyperlink"/>
            <w:rFonts w:ascii="Georgia" w:eastAsiaTheme="majorEastAsia" w:hAnsi="Georgia"/>
          </w:rPr>
          <w:t>Agrafioti et al., 2013</w:t>
        </w:r>
      </w:hyperlink>
      <w:r w:rsidRPr="00446B3D">
        <w:t>; </w:t>
      </w:r>
      <w:hyperlink r:id="rId11" w:anchor="B6" w:history="1">
        <w:r w:rsidRPr="00446B3D">
          <w:rPr>
            <w:rStyle w:val="Hyperlink"/>
            <w:rFonts w:ascii="Georgia" w:eastAsiaTheme="majorEastAsia" w:hAnsi="Georgia"/>
          </w:rPr>
          <w:t>Bravo et al., 2017</w:t>
        </w:r>
      </w:hyperlink>
      <w:r w:rsidRPr="00446B3D">
        <w:t>). Conventional solids management including landfilling and biosolids land application for agriculture are employed (</w:t>
      </w:r>
      <w:hyperlink r:id="rId12" w:anchor="B1" w:history="1">
        <w:r w:rsidRPr="00446B3D">
          <w:rPr>
            <w:rStyle w:val="Hyperlink"/>
            <w:rFonts w:ascii="Georgia" w:eastAsiaTheme="majorEastAsia" w:hAnsi="Georgia"/>
          </w:rPr>
          <w:t>Agrafioti et al., 2013</w:t>
        </w:r>
      </w:hyperlink>
      <w:r w:rsidRPr="00446B3D">
        <w:t>; </w:t>
      </w:r>
      <w:hyperlink r:id="rId13" w:anchor="B29" w:history="1">
        <w:r w:rsidRPr="00446B3D">
          <w:rPr>
            <w:rStyle w:val="Hyperlink"/>
            <w:rFonts w:ascii="Georgia" w:eastAsiaTheme="majorEastAsia" w:hAnsi="Georgia"/>
          </w:rPr>
          <w:t>McNamara et al., 2016</w:t>
        </w:r>
      </w:hyperlink>
      <w:r w:rsidRPr="00446B3D">
        <w:t>). However, there are health and environmental concerns related to these approaches due to pathogens, micropollutants, and excess nutrients in the environment as well as a desire for energy and resource recovery from wastewater solids (</w:t>
      </w:r>
      <w:hyperlink r:id="rId14" w:anchor="B7" w:history="1">
        <w:r w:rsidRPr="00446B3D">
          <w:rPr>
            <w:rStyle w:val="Hyperlink"/>
            <w:rFonts w:ascii="Georgia" w:eastAsiaTheme="majorEastAsia" w:hAnsi="Georgia"/>
          </w:rPr>
          <w:t>Bridle and Skrypski-Mantele, 2004</w:t>
        </w:r>
      </w:hyperlink>
      <w:r w:rsidRPr="00446B3D">
        <w:t>; </w:t>
      </w:r>
      <w:hyperlink r:id="rId15" w:anchor="B40" w:history="1">
        <w:r w:rsidRPr="00446B3D">
          <w:rPr>
            <w:rStyle w:val="Hyperlink"/>
            <w:rFonts w:ascii="Georgia" w:eastAsiaTheme="majorEastAsia" w:hAnsi="Georgia"/>
          </w:rPr>
          <w:t>Tsai et al., 2009</w:t>
        </w:r>
      </w:hyperlink>
      <w:r w:rsidRPr="00446B3D">
        <w:t>; </w:t>
      </w:r>
      <w:hyperlink r:id="rId16" w:anchor="B18" w:history="1">
        <w:r w:rsidRPr="00446B3D">
          <w:rPr>
            <w:rStyle w:val="Hyperlink"/>
            <w:rFonts w:ascii="Georgia" w:eastAsiaTheme="majorEastAsia" w:hAnsi="Georgia"/>
          </w:rPr>
          <w:t>Hamidi et al., 2017</w:t>
        </w:r>
      </w:hyperlink>
      <w:r w:rsidRPr="00446B3D">
        <w:t>; </w:t>
      </w:r>
      <w:hyperlink r:id="rId17" w:anchor="B21" w:history="1">
        <w:r w:rsidRPr="00446B3D">
          <w:rPr>
            <w:rStyle w:val="Hyperlink"/>
            <w:rFonts w:ascii="Georgia" w:eastAsiaTheme="majorEastAsia" w:hAnsi="Georgia"/>
          </w:rPr>
          <w:t>Khazaei et al., 2017</w:t>
        </w:r>
      </w:hyperlink>
      <w:r w:rsidRPr="00446B3D">
        <w:t>, </w:t>
      </w:r>
      <w:hyperlink r:id="rId18" w:anchor="B22" w:history="1">
        <w:r w:rsidRPr="00446B3D">
          <w:rPr>
            <w:rStyle w:val="Hyperlink"/>
            <w:rFonts w:ascii="Georgia" w:eastAsiaTheme="majorEastAsia" w:hAnsi="Georgia"/>
          </w:rPr>
          <w:t>2018</w:t>
        </w:r>
      </w:hyperlink>
      <w:r w:rsidRPr="00446B3D">
        <w:t>). Therefore, technologies that destroy pathogens and micropollutants while generating energy, such as thermochemical processes, are being investigated.</w:t>
      </w:r>
    </w:p>
    <w:p w14:paraId="4833340B" w14:textId="77777777" w:rsidR="00AE0154" w:rsidRPr="00446B3D" w:rsidRDefault="00AE0154" w:rsidP="00B635E1">
      <w:r w:rsidRPr="00446B3D">
        <w:t>Pyrolysis is one thermochemical technology that converts wastewater solids to biochar, pyrolysis gas (py-gas), and pyrolysis liquid. In pyrolysis, sludges or solids are heated in the absence of oxygen to temperatures &gt;400°C (</w:t>
      </w:r>
      <w:hyperlink r:id="rId19" w:anchor="B29" w:history="1">
        <w:r w:rsidRPr="00446B3D">
          <w:rPr>
            <w:rStyle w:val="Hyperlink"/>
            <w:rFonts w:ascii="Georgia" w:eastAsiaTheme="majorEastAsia" w:hAnsi="Georgia"/>
          </w:rPr>
          <w:t>McNamara et al., 2016</w:t>
        </w:r>
      </w:hyperlink>
      <w:r w:rsidRPr="00446B3D">
        <w:t>; </w:t>
      </w:r>
      <w:hyperlink r:id="rId20" w:anchor="B26" w:history="1">
        <w:r w:rsidRPr="00446B3D">
          <w:rPr>
            <w:rStyle w:val="Hyperlink"/>
            <w:rFonts w:ascii="Georgia" w:eastAsiaTheme="majorEastAsia" w:hAnsi="Georgia"/>
          </w:rPr>
          <w:t>Liu et al., 2017</w:t>
        </w:r>
      </w:hyperlink>
      <w:r w:rsidRPr="00446B3D">
        <w:t>, </w:t>
      </w:r>
      <w:hyperlink r:id="rId21" w:anchor="B27" w:history="1">
        <w:r w:rsidRPr="00446B3D">
          <w:rPr>
            <w:rStyle w:val="Hyperlink"/>
            <w:rFonts w:ascii="Georgia" w:eastAsiaTheme="majorEastAsia" w:hAnsi="Georgia"/>
          </w:rPr>
          <w:t>2018</w:t>
        </w:r>
      </w:hyperlink>
      <w:r w:rsidRPr="00446B3D">
        <w:t>). Biochar is a solid product similar to charcoal that can be used as a beneficial soil amendment because of its high capacity to hold moisture and nutrients for plants (</w:t>
      </w:r>
      <w:hyperlink r:id="rId22" w:anchor="B23" w:history="1">
        <w:r w:rsidRPr="00446B3D">
          <w:rPr>
            <w:rStyle w:val="Hyperlink"/>
            <w:rFonts w:ascii="Georgia" w:eastAsiaTheme="majorEastAsia" w:hAnsi="Georgia"/>
          </w:rPr>
          <w:t>Laird et al., 2009</w:t>
        </w:r>
      </w:hyperlink>
      <w:r w:rsidRPr="00446B3D">
        <w:t>; </w:t>
      </w:r>
      <w:hyperlink r:id="rId23" w:anchor="B29" w:history="1">
        <w:r w:rsidRPr="00446B3D">
          <w:rPr>
            <w:rStyle w:val="Hyperlink"/>
            <w:rFonts w:ascii="Georgia" w:eastAsiaTheme="majorEastAsia" w:hAnsi="Georgia"/>
          </w:rPr>
          <w:t>McNamara et al., 2016</w:t>
        </w:r>
      </w:hyperlink>
      <w:r w:rsidRPr="00446B3D">
        <w:t>). In addition, pyrolysis reduces or eliminates pathogens and micropollutant mass when transforming sludge to biochar (</w:t>
      </w:r>
      <w:hyperlink r:id="rId24" w:anchor="B29" w:history="1">
        <w:r w:rsidRPr="00446B3D">
          <w:rPr>
            <w:rStyle w:val="Hyperlink"/>
            <w:rFonts w:ascii="Georgia" w:eastAsiaTheme="majorEastAsia" w:hAnsi="Georgia"/>
          </w:rPr>
          <w:t>McNamara et al., 2016</w:t>
        </w:r>
      </w:hyperlink>
      <w:r w:rsidRPr="00446B3D">
        <w:t>; </w:t>
      </w:r>
      <w:hyperlink r:id="rId25" w:anchor="B26" w:history="1">
        <w:r w:rsidRPr="00446B3D">
          <w:rPr>
            <w:rStyle w:val="Hyperlink"/>
            <w:rFonts w:ascii="Georgia" w:eastAsiaTheme="majorEastAsia" w:hAnsi="Georgia"/>
          </w:rPr>
          <w:t>Liu et al., 2017</w:t>
        </w:r>
      </w:hyperlink>
      <w:r w:rsidRPr="00446B3D">
        <w:t>). Py-gas is a relatively clean-burning product containing hydrogen (H</w:t>
      </w:r>
      <w:r w:rsidRPr="00446B3D">
        <w:rPr>
          <w:vertAlign w:val="subscript"/>
        </w:rPr>
        <w:t>2</w:t>
      </w:r>
      <w:r w:rsidRPr="00446B3D">
        <w:t>), carbon monoxide (CO), methane (CH</w:t>
      </w:r>
      <w:r w:rsidRPr="00446B3D">
        <w:rPr>
          <w:vertAlign w:val="subscript"/>
        </w:rPr>
        <w:t>4</w:t>
      </w:r>
      <w:r w:rsidRPr="00446B3D">
        <w:t>) and other constituents that can be combusted alone or mixed with anaerobic digester biogas in boilers, engines, and other equipment for renewable energy (</w:t>
      </w:r>
      <w:hyperlink r:id="rId26" w:anchor="B11" w:history="1">
        <w:r w:rsidRPr="00446B3D">
          <w:rPr>
            <w:rStyle w:val="Hyperlink"/>
            <w:rFonts w:ascii="Georgia" w:eastAsiaTheme="majorEastAsia" w:hAnsi="Georgia"/>
          </w:rPr>
          <w:t>Domínguez et al., 2006</w:t>
        </w:r>
      </w:hyperlink>
      <w:r w:rsidRPr="00446B3D">
        <w:t>; </w:t>
      </w:r>
      <w:hyperlink r:id="rId27" w:anchor="B29" w:history="1">
        <w:r w:rsidRPr="00446B3D">
          <w:rPr>
            <w:rStyle w:val="Hyperlink"/>
            <w:rFonts w:ascii="Georgia" w:eastAsiaTheme="majorEastAsia" w:hAnsi="Georgia"/>
          </w:rPr>
          <w:t>McNamara et al., 2016</w:t>
        </w:r>
      </w:hyperlink>
      <w:r w:rsidRPr="00446B3D">
        <w:t>).</w:t>
      </w:r>
    </w:p>
    <w:p w14:paraId="6F606CC0" w14:textId="77777777" w:rsidR="00AE0154" w:rsidRPr="00446B3D" w:rsidRDefault="00AE0154" w:rsidP="00B635E1">
      <w:r w:rsidRPr="00446B3D">
        <w:t>Pyrolysis liquid is a light- to dark-brown material consisting of a complex mixture containing hundreds of organic compounds (</w:t>
      </w:r>
      <w:hyperlink r:id="rId28" w:anchor="B19" w:history="1">
        <w:r w:rsidRPr="00446B3D">
          <w:rPr>
            <w:rStyle w:val="Hyperlink"/>
            <w:rFonts w:ascii="Georgia" w:eastAsiaTheme="majorEastAsia" w:hAnsi="Georgia"/>
          </w:rPr>
          <w:t>Huber et al., 2006</w:t>
        </w:r>
      </w:hyperlink>
      <w:r w:rsidRPr="00446B3D">
        <w:t>). Often, pyrolysis liquid separates into an organic, light non-aqueous phase (bio-oil), and an aqueous phase known as aqueous pyrolysis liquid (APL) (</w:t>
      </w:r>
      <w:hyperlink r:id="rId29" w:anchor="B31" w:history="1">
        <w:r w:rsidRPr="00446B3D">
          <w:rPr>
            <w:rStyle w:val="Hyperlink"/>
            <w:rFonts w:ascii="Georgia" w:eastAsiaTheme="majorEastAsia" w:hAnsi="Georgia"/>
          </w:rPr>
          <w:t>Park et al., 2008</w:t>
        </w:r>
      </w:hyperlink>
      <w:r w:rsidRPr="00446B3D">
        <w:t>; </w:t>
      </w:r>
      <w:hyperlink r:id="rId30" w:anchor="B15" w:history="1">
        <w:r w:rsidRPr="00446B3D">
          <w:rPr>
            <w:rStyle w:val="Hyperlink"/>
            <w:rFonts w:ascii="Georgia" w:eastAsiaTheme="majorEastAsia" w:hAnsi="Georgia"/>
          </w:rPr>
          <w:t>Fonts et al., 2012</w:t>
        </w:r>
      </w:hyperlink>
      <w:r w:rsidRPr="00446B3D">
        <w:t>). Crude bio-oil that has not been upgraded may damage typical combustion systems due to its corrosiveness, high viscosity, water content, and ash content (</w:t>
      </w:r>
      <w:hyperlink r:id="rId31" w:anchor="B13" w:history="1">
        <w:r w:rsidRPr="00446B3D">
          <w:rPr>
            <w:rStyle w:val="Hyperlink"/>
            <w:rFonts w:ascii="Georgia" w:eastAsiaTheme="majorEastAsia" w:hAnsi="Georgia"/>
          </w:rPr>
          <w:t>Evans and Milne, 1987</w:t>
        </w:r>
      </w:hyperlink>
      <w:r w:rsidRPr="00446B3D">
        <w:t>; </w:t>
      </w:r>
      <w:hyperlink r:id="rId32" w:anchor="B41" w:history="1">
        <w:r w:rsidRPr="00446B3D">
          <w:rPr>
            <w:rStyle w:val="Hyperlink"/>
            <w:rFonts w:ascii="Georgia" w:eastAsiaTheme="majorEastAsia" w:hAnsi="Georgia"/>
          </w:rPr>
          <w:t>Xiu and Shahbazi, 2012</w:t>
        </w:r>
      </w:hyperlink>
      <w:r w:rsidRPr="00446B3D">
        <w:t>). Therefore, bio-oil upgrading is typically required to obtain a stable, renewable fuel product (</w:t>
      </w:r>
      <w:hyperlink r:id="rId33" w:anchor="B41" w:history="1">
        <w:r w:rsidRPr="00446B3D">
          <w:rPr>
            <w:rStyle w:val="Hyperlink"/>
            <w:rFonts w:ascii="Georgia" w:eastAsiaTheme="majorEastAsia" w:hAnsi="Georgia"/>
          </w:rPr>
          <w:t>Xiu and Shahbazi, 2012</w:t>
        </w:r>
      </w:hyperlink>
      <w:r w:rsidRPr="00446B3D">
        <w:t>; </w:t>
      </w:r>
      <w:hyperlink r:id="rId34" w:anchor="B9" w:history="1">
        <w:r w:rsidRPr="00446B3D">
          <w:rPr>
            <w:rStyle w:val="Hyperlink"/>
            <w:rFonts w:ascii="Georgia" w:eastAsiaTheme="majorEastAsia" w:hAnsi="Georgia"/>
          </w:rPr>
          <w:t>Chen et al., 2014</w:t>
        </w:r>
      </w:hyperlink>
      <w:r w:rsidRPr="00446B3D">
        <w:t>; </w:t>
      </w:r>
      <w:hyperlink r:id="rId35" w:anchor="B29" w:history="1">
        <w:r w:rsidRPr="00446B3D">
          <w:rPr>
            <w:rStyle w:val="Hyperlink"/>
            <w:rFonts w:ascii="Georgia" w:eastAsiaTheme="majorEastAsia" w:hAnsi="Georgia"/>
          </w:rPr>
          <w:t>McNamara et al., 2016</w:t>
        </w:r>
      </w:hyperlink>
      <w:r w:rsidRPr="00446B3D">
        <w:t>).</w:t>
      </w:r>
    </w:p>
    <w:p w14:paraId="6138EB06" w14:textId="77777777" w:rsidR="00AE0154" w:rsidRPr="00446B3D" w:rsidRDefault="00AE0154" w:rsidP="00B635E1">
      <w:r w:rsidRPr="00446B3D">
        <w:t>The APL contains numerous complex aromatic and nitrogenated compounds (</w:t>
      </w:r>
      <w:hyperlink r:id="rId36" w:anchor="B20" w:history="1">
        <w:r w:rsidRPr="00446B3D">
          <w:rPr>
            <w:rStyle w:val="Hyperlink"/>
            <w:rFonts w:ascii="Georgia" w:eastAsiaTheme="majorEastAsia" w:hAnsi="Georgia"/>
          </w:rPr>
          <w:t>Hübner and Mumme, 2015</w:t>
        </w:r>
      </w:hyperlink>
      <w:r w:rsidRPr="00446B3D">
        <w:t>). APL also has a high pH value and sometimes a high NH</w:t>
      </w:r>
      <w:r w:rsidRPr="00446B3D">
        <w:rPr>
          <w:vertAlign w:val="subscript"/>
        </w:rPr>
        <w:t>3</w:t>
      </w:r>
      <w:r w:rsidRPr="00446B3D">
        <w:t>-N concentration. </w:t>
      </w:r>
      <w:hyperlink r:id="rId37" w:anchor="B31" w:history="1">
        <w:r w:rsidRPr="00446B3D">
          <w:rPr>
            <w:rStyle w:val="Hyperlink"/>
            <w:rFonts w:ascii="Georgia" w:eastAsiaTheme="majorEastAsia" w:hAnsi="Georgia"/>
          </w:rPr>
          <w:t>Park et al. (2008)</w:t>
        </w:r>
      </w:hyperlink>
      <w:r w:rsidRPr="00446B3D">
        <w:t>, investigated the nitrogen content in pyrolysis oils obtained from pyrolysis of dried sewage sludge containing polymer flocculants in a fluidized bed reactor at temperatures between 446 and 720°C. They reported relatively high nitrogen content, from 5 to 7 wt% was mainly due to NH</w:t>
      </w:r>
      <w:r w:rsidRPr="00446B3D">
        <w:rPr>
          <w:vertAlign w:val="subscript"/>
        </w:rPr>
        <w:t>3</w:t>
      </w:r>
      <w:r w:rsidRPr="00446B3D">
        <w:t>-N produced during pyrolysis. Approximately, 70% of the total nitrogen in the pyrolysis oils was in the form of NH</w:t>
      </w:r>
      <w:r w:rsidRPr="00446B3D">
        <w:rPr>
          <w:vertAlign w:val="subscript"/>
        </w:rPr>
        <w:t>3</w:t>
      </w:r>
      <w:r w:rsidRPr="00446B3D">
        <w:t xml:space="preserve">-N. Pyrolysis of pine nut shells yielded APL having 85–90% </w:t>
      </w:r>
      <w:r w:rsidRPr="00446B3D">
        <w:lastRenderedPageBreak/>
        <w:t>water content and a low heating value, whereas the bio-oil contained &lt;10% water content and a high heating value (</w:t>
      </w:r>
      <w:hyperlink r:id="rId38" w:anchor="B24" w:history="1">
        <w:r w:rsidRPr="00446B3D">
          <w:rPr>
            <w:rStyle w:val="Hyperlink"/>
            <w:rFonts w:ascii="Georgia" w:eastAsiaTheme="majorEastAsia" w:hAnsi="Georgia"/>
          </w:rPr>
          <w:t>Li et al., 2009</w:t>
        </w:r>
      </w:hyperlink>
      <w:r w:rsidRPr="00446B3D">
        <w:t>; </w:t>
      </w:r>
      <w:hyperlink r:id="rId39" w:anchor="B8" w:history="1">
        <w:r w:rsidRPr="00446B3D">
          <w:rPr>
            <w:rStyle w:val="Hyperlink"/>
            <w:rFonts w:ascii="Georgia" w:eastAsiaTheme="majorEastAsia" w:hAnsi="Georgia"/>
          </w:rPr>
          <w:t>Chen et al., 2016</w:t>
        </w:r>
      </w:hyperlink>
      <w:r w:rsidRPr="00446B3D">
        <w:t>). </w:t>
      </w:r>
      <w:hyperlink r:id="rId40" w:anchor="B43" w:history="1">
        <w:r w:rsidRPr="00446B3D">
          <w:rPr>
            <w:rStyle w:val="Hyperlink"/>
            <w:rFonts w:ascii="Georgia" w:eastAsiaTheme="majorEastAsia" w:hAnsi="Georgia"/>
          </w:rPr>
          <w:t>Zhang et al. (2005)</w:t>
        </w:r>
      </w:hyperlink>
      <w:r w:rsidRPr="00446B3D">
        <w:t> reported that APL from fast pyrolysis of sawdust at 470°C contained organic compounds including acetic acid, hydroxyacetone, and phenol (</w:t>
      </w:r>
      <w:hyperlink r:id="rId41" w:anchor="B43" w:history="1">
        <w:r w:rsidRPr="00446B3D">
          <w:rPr>
            <w:rStyle w:val="Hyperlink"/>
            <w:rFonts w:ascii="Georgia" w:eastAsiaTheme="majorEastAsia" w:hAnsi="Georgia"/>
          </w:rPr>
          <w:t>Zhang et al., 2005</w:t>
        </w:r>
      </w:hyperlink>
      <w:r w:rsidRPr="00446B3D">
        <w:t>). </w:t>
      </w:r>
      <w:hyperlink r:id="rId42" w:anchor="B39" w:history="1">
        <w:r w:rsidRPr="00446B3D">
          <w:rPr>
            <w:rStyle w:val="Hyperlink"/>
            <w:rFonts w:ascii="Georgia" w:eastAsiaTheme="majorEastAsia" w:hAnsi="Georgia"/>
          </w:rPr>
          <w:t>Torri and Fabbri (2014)</w:t>
        </w:r>
      </w:hyperlink>
      <w:r w:rsidRPr="00446B3D">
        <w:t> described volatile fatty acids (VFAs) concentrations in APL derived from pyrolysis of corn stalk pellets at 400°C in a fixed bed reactor, with acetic, isovaleric, and propionic acid concentrations of 26, 3.2, and 1.6 g Kg</w:t>
      </w:r>
      <w:r w:rsidRPr="00446B3D">
        <w:rPr>
          <w:vertAlign w:val="superscript"/>
        </w:rPr>
        <w:t>−1</w:t>
      </w:r>
      <w:r w:rsidRPr="00446B3D">
        <w:t>, respectively, whereas isobutyric, butyric and valeric acid concentrations were all lower (&lt;0.5 g Kg</w:t>
      </w:r>
      <w:r w:rsidRPr="00446B3D">
        <w:rPr>
          <w:vertAlign w:val="superscript"/>
        </w:rPr>
        <w:t>−1</w:t>
      </w:r>
      <w:r w:rsidRPr="00446B3D">
        <w:t>). Currently, APL has no apparent use and must be carefully managed due to its high organic strength. The complex composition of APL makes it a challenging wastewater to treat and suitable methods to recover resources or energy from APL are yet to be established.</w:t>
      </w:r>
    </w:p>
    <w:p w14:paraId="5F9D26F6" w14:textId="77777777" w:rsidR="00AE0154" w:rsidRPr="00446B3D" w:rsidRDefault="00AE0154" w:rsidP="00B635E1">
      <w:r w:rsidRPr="00446B3D">
        <w:t>One potential strategy could be to convert the organic compounds in APL to methane for energy recovery via anaerobic digestion; however, APL can be a difficult substrate to digest since it contains organic compounds that are known to inhibit methanogens and methane production. </w:t>
      </w:r>
      <w:hyperlink r:id="rId43" w:anchor="B3" w:history="1">
        <w:r w:rsidRPr="00446B3D">
          <w:rPr>
            <w:rStyle w:val="Hyperlink"/>
            <w:rFonts w:ascii="Georgia" w:eastAsiaTheme="majorEastAsia" w:hAnsi="Georgia"/>
          </w:rPr>
          <w:t>Andreoni et al. (1990)</w:t>
        </w:r>
      </w:hyperlink>
      <w:r w:rsidRPr="00446B3D">
        <w:t> described anaerobic digestion of pyroligneous acid from pyrolysis of wood mixed with swine slurry. Upflow anaerobic digesters were employed and some COD removal was achieved at low organic loading rates, whereas pyroligneous acid concentrations greater than about 10% v/v significantly inhibited methane production (</w:t>
      </w:r>
      <w:hyperlink r:id="rId44" w:anchor="B3" w:history="1">
        <w:r w:rsidRPr="00446B3D">
          <w:rPr>
            <w:rStyle w:val="Hyperlink"/>
            <w:rFonts w:ascii="Georgia" w:eastAsiaTheme="majorEastAsia" w:hAnsi="Georgia"/>
          </w:rPr>
          <w:t>Andreoni et al., 1990</w:t>
        </w:r>
      </w:hyperlink>
      <w:r w:rsidRPr="00446B3D">
        <w:t>). Another study concluded that condensate from pyrolysis of dried wastewater biosolids was anaerobically digestible under the specific conditions studied; however, the pyrolysis temperature was low (200°C) and only short-term, batch biochemical methane potential tests were performed with a diluted bio-oil which may not reproduce conditions under continuous feeding (</w:t>
      </w:r>
      <w:hyperlink r:id="rId45" w:anchor="B32" w:history="1">
        <w:r w:rsidRPr="00446B3D">
          <w:rPr>
            <w:rStyle w:val="Hyperlink"/>
            <w:rFonts w:ascii="Georgia" w:eastAsiaTheme="majorEastAsia" w:hAnsi="Georgia"/>
          </w:rPr>
          <w:t>Parry et al., 2012</w:t>
        </w:r>
      </w:hyperlink>
      <w:r w:rsidRPr="00446B3D">
        <w:t>). </w:t>
      </w:r>
      <w:hyperlink r:id="rId46" w:anchor="B39" w:history="1">
        <w:r w:rsidRPr="00446B3D">
          <w:rPr>
            <w:rStyle w:val="Hyperlink"/>
            <w:rFonts w:ascii="Georgia" w:eastAsiaTheme="majorEastAsia" w:hAnsi="Georgia"/>
          </w:rPr>
          <w:t>Torri and Fabbri (2014)</w:t>
        </w:r>
      </w:hyperlink>
      <w:r w:rsidRPr="00446B3D">
        <w:t>, described inhibition of methanogenic batch tests seeded with unacclimated biomass, using the aqueous phase from corn stalk pyrolysis. By adding biochar to the systems, methane production rate increased to 60% of the theoretical methane yield (</w:t>
      </w:r>
      <w:hyperlink r:id="rId47" w:anchor="B39" w:history="1">
        <w:r w:rsidRPr="00446B3D">
          <w:rPr>
            <w:rStyle w:val="Hyperlink"/>
            <w:rFonts w:ascii="Georgia" w:eastAsiaTheme="majorEastAsia" w:hAnsi="Georgia"/>
          </w:rPr>
          <w:t>Torri and Fabbri, 2014</w:t>
        </w:r>
      </w:hyperlink>
      <w:r w:rsidRPr="00446B3D">
        <w:t>). Another methanogenic batch study conducted using unacclimated inoculum showed that APL derived from digestate pyrolysis at lower temperatures (330 and 430°C) was less inhibitory than APL generated at 530°C (</w:t>
      </w:r>
      <w:hyperlink r:id="rId48" w:anchor="B20" w:history="1">
        <w:r w:rsidRPr="00446B3D">
          <w:rPr>
            <w:rStyle w:val="Hyperlink"/>
            <w:rFonts w:ascii="Georgia" w:eastAsiaTheme="majorEastAsia" w:hAnsi="Georgia"/>
          </w:rPr>
          <w:t>Hübner and Mumme, 2015</w:t>
        </w:r>
      </w:hyperlink>
      <w:r w:rsidRPr="00446B3D">
        <w:t>).</w:t>
      </w:r>
    </w:p>
    <w:p w14:paraId="2AEC86C8" w14:textId="77777777" w:rsidR="00AE0154" w:rsidRPr="00446B3D" w:rsidRDefault="00AE0154" w:rsidP="00B635E1">
      <w:r w:rsidRPr="00446B3D">
        <w:t>Autocatalytic pyrolysis, which uses biosolids-derived biochar as a catalyst during subsequent pyrolysis, is one promising method to increase py-gas production and decrease or eliminate bio-oil (</w:t>
      </w:r>
      <w:hyperlink r:id="rId49" w:anchor="B26" w:history="1">
        <w:r w:rsidRPr="00446B3D">
          <w:rPr>
            <w:rStyle w:val="Hyperlink"/>
            <w:rFonts w:ascii="Georgia" w:eastAsiaTheme="majorEastAsia" w:hAnsi="Georgia"/>
          </w:rPr>
          <w:t>Liu et al., 2017</w:t>
        </w:r>
      </w:hyperlink>
      <w:r w:rsidRPr="00446B3D">
        <w:t>). Catalyzed pyrolysis shifted the energy from bio-oil to py-gas such that at the highest catalyst loading, py-gas energy increased from 2,940 kJ/kg biosolids-pyrolyzed to 10,200 kJ/kg biosolids-pyrolyzed, while bio-oil energy decreased from 2,900 kJ/kg-biosolids-pyrolyzed to 275 kJ/kg-biosolids-pyrolyzed (</w:t>
      </w:r>
      <w:hyperlink r:id="rId50" w:anchor="B26" w:history="1">
        <w:r w:rsidRPr="00446B3D">
          <w:rPr>
            <w:rStyle w:val="Hyperlink"/>
            <w:rFonts w:ascii="Georgia" w:eastAsiaTheme="majorEastAsia" w:hAnsi="Georgia"/>
          </w:rPr>
          <w:t>Liu et al., 2017</w:t>
        </w:r>
      </w:hyperlink>
      <w:r w:rsidRPr="00446B3D">
        <w:t>). Unlike bio-oil, py-gas does not require extensive conditioning before use as a fuel. Therefore, increasing py-gas and reducing bio-oil yields can be a favorable process to simplify and increase energy recovery at water resource recovery facilities (</w:t>
      </w:r>
      <w:hyperlink r:id="rId51" w:anchor="B26" w:history="1">
        <w:r w:rsidRPr="00446B3D">
          <w:rPr>
            <w:rStyle w:val="Hyperlink"/>
            <w:rFonts w:ascii="Georgia" w:eastAsiaTheme="majorEastAsia" w:hAnsi="Georgia"/>
          </w:rPr>
          <w:t>Liu et al., 2017</w:t>
        </w:r>
      </w:hyperlink>
      <w:r w:rsidRPr="00446B3D">
        <w:t>). Autocatalytic pyrolysis changes APL composition, resulting in significantly lower organic content. However, APL produced during autocatalysis (catalyzed APL) still contains organics and requires further treatment for disposal (</w:t>
      </w:r>
      <w:hyperlink r:id="rId52" w:anchor="B26" w:history="1">
        <w:r w:rsidRPr="00446B3D">
          <w:rPr>
            <w:rStyle w:val="Hyperlink"/>
            <w:rFonts w:ascii="Georgia" w:eastAsiaTheme="majorEastAsia" w:hAnsi="Georgia"/>
          </w:rPr>
          <w:t>Liu et al., 2017</w:t>
        </w:r>
      </w:hyperlink>
      <w:r w:rsidRPr="00446B3D">
        <w:t>; </w:t>
      </w:r>
      <w:hyperlink r:id="rId53" w:anchor="B36" w:history="1">
        <w:r w:rsidRPr="00446B3D">
          <w:rPr>
            <w:rStyle w:val="Hyperlink"/>
            <w:rFonts w:ascii="Georgia" w:eastAsiaTheme="majorEastAsia" w:hAnsi="Georgia"/>
          </w:rPr>
          <w:t>Seyedi, 2018</w:t>
        </w:r>
      </w:hyperlink>
      <w:r w:rsidRPr="00446B3D">
        <w:t>). The application of catalyzed APL as a suitable co-substrate for methane production through anaerobic digestion has not been previously investigated.</w:t>
      </w:r>
    </w:p>
    <w:p w14:paraId="4EFB7136" w14:textId="77777777" w:rsidR="00AE0154" w:rsidRPr="00446B3D" w:rsidRDefault="00AE0154" w:rsidP="0034143D">
      <w:r w:rsidRPr="00446B3D">
        <w:t>Therefore, the objective of this study was to investigate the methane production yield and methanogenic toxicity of non-catalyzed and catalyzed APLs produced at 800°C from pyrolysis of municipal wastewater biosolids. Anaerobic toxicity assays (ATA) were performed to determine catalyzed and non-catalyzed APL organic loading rates that would be sustainable in anaerobic digesters containing unacclimated biomass. APL composition was determined, and NH</w:t>
      </w:r>
      <w:r w:rsidRPr="00446B3D">
        <w:rPr>
          <w:vertAlign w:val="subscript"/>
        </w:rPr>
        <w:t>3</w:t>
      </w:r>
      <w:r w:rsidRPr="00446B3D">
        <w:t>-N stripping was performed to reduce potential inhibitory concentrations of NH</w:t>
      </w:r>
      <w:r w:rsidRPr="00446B3D">
        <w:rPr>
          <w:vertAlign w:val="subscript"/>
        </w:rPr>
        <w:t>3</w:t>
      </w:r>
      <w:r w:rsidRPr="00446B3D">
        <w:t>-N in APL before anaerobic digestion.</w:t>
      </w:r>
    </w:p>
    <w:p w14:paraId="1F32F432" w14:textId="77777777" w:rsidR="00AE0154" w:rsidRDefault="00AE0154" w:rsidP="0034143D">
      <w:pPr>
        <w:pStyle w:val="Heading1"/>
      </w:pPr>
      <w:bookmarkStart w:id="4" w:name="h3"/>
      <w:bookmarkEnd w:id="4"/>
      <w:r>
        <w:lastRenderedPageBreak/>
        <w:t>Materials and Methods</w:t>
      </w:r>
    </w:p>
    <w:p w14:paraId="00CED1E6" w14:textId="77777777" w:rsidR="00AE0154" w:rsidRDefault="00AE0154" w:rsidP="0034143D">
      <w:pPr>
        <w:pStyle w:val="Heading2"/>
      </w:pPr>
      <w:r>
        <w:t>APL Production and APL NH</w:t>
      </w:r>
      <w:r>
        <w:rPr>
          <w:vertAlign w:val="subscript"/>
        </w:rPr>
        <w:t>3</w:t>
      </w:r>
      <w:r>
        <w:t>-N Air Stripping</w:t>
      </w:r>
    </w:p>
    <w:p w14:paraId="19570CB8" w14:textId="77777777" w:rsidR="00AE0154" w:rsidRPr="00446B3D" w:rsidRDefault="00AE0154" w:rsidP="0034143D">
      <w:r w:rsidRPr="00446B3D">
        <w:t>Catalyzed and non-catalyzed APLs were produced by pyrolysis of commercially available, dried biosolids at 800°C. The biosolids were a mix of anaerobically digested primary sludge and raw waste activated sludge (Milorganite) from the Jones Island Water Resource Recovery Facility (Milwaukee, Wisconsin) as described elsewhere (</w:t>
      </w:r>
      <w:hyperlink r:id="rId54" w:anchor="B26" w:history="1">
        <w:r w:rsidRPr="00446B3D">
          <w:rPr>
            <w:rStyle w:val="Hyperlink"/>
            <w:rFonts w:ascii="Georgia" w:eastAsiaTheme="majorEastAsia" w:hAnsi="Georgia"/>
          </w:rPr>
          <w:t>Liu et al., 2017</w:t>
        </w:r>
      </w:hyperlink>
      <w:r w:rsidRPr="00446B3D">
        <w:t>). Air stripping was utilized to reduce the NH</w:t>
      </w:r>
      <w:r w:rsidRPr="00446B3D">
        <w:rPr>
          <w:vertAlign w:val="subscript"/>
        </w:rPr>
        <w:t>3</w:t>
      </w:r>
      <w:r w:rsidRPr="00446B3D">
        <w:t xml:space="preserve">-N concentration in some APL samples before anaerobic digestion. For this, 30 mL of catalyzed or non-catalyzed APL was aerated (2 L/min, 1 atm, 20°C) for 9 h to </w:t>
      </w:r>
      <w:proofErr w:type="gramStart"/>
      <w:r w:rsidRPr="00446B3D">
        <w:t>air-strip</w:t>
      </w:r>
      <w:proofErr w:type="gramEnd"/>
      <w:r w:rsidRPr="00446B3D">
        <w:t xml:space="preserve"> NH</w:t>
      </w:r>
      <w:r w:rsidRPr="00446B3D">
        <w:rPr>
          <w:vertAlign w:val="subscript"/>
        </w:rPr>
        <w:t>3</w:t>
      </w:r>
      <w:r w:rsidRPr="00446B3D">
        <w:t>-N.</w:t>
      </w:r>
    </w:p>
    <w:p w14:paraId="3B8FB01C" w14:textId="77777777" w:rsidR="00AE0154" w:rsidRDefault="00AE0154" w:rsidP="0034143D">
      <w:pPr>
        <w:pStyle w:val="Heading2"/>
      </w:pPr>
      <w:r>
        <w:t>Anaerobic Toxicity Assay (ATA)</w:t>
      </w:r>
    </w:p>
    <w:p w14:paraId="4AD9EA97" w14:textId="77777777" w:rsidR="00D56FAF" w:rsidRPr="00446B3D" w:rsidRDefault="00AE0154" w:rsidP="00D56FAF">
      <w:pPr>
        <w:pStyle w:val="NoSpacing"/>
        <w:rPr>
          <w:rStyle w:val="Strong"/>
          <w:rFonts w:ascii="Georgia" w:eastAsiaTheme="majorEastAsia" w:hAnsi="Georgia"/>
          <w:color w:val="3E3D40"/>
        </w:rPr>
      </w:pPr>
      <w:r w:rsidRPr="00446B3D">
        <w:rPr>
          <w:rFonts w:cstheme="minorHAnsi"/>
          <w:color w:val="3E3D40"/>
        </w:rPr>
        <w:t>ATA tests were performed to measure the effect of APLs on the rate of methane production from acetate (</w:t>
      </w:r>
      <w:hyperlink r:id="rId55" w:anchor="B30" w:history="1">
        <w:r w:rsidRPr="00446B3D">
          <w:rPr>
            <w:rStyle w:val="Hyperlink"/>
            <w:rFonts w:eastAsiaTheme="majorEastAsia" w:cstheme="minorHAnsi"/>
          </w:rPr>
          <w:t>Owen et al., 1979</w:t>
        </w:r>
      </w:hyperlink>
      <w:r w:rsidRPr="00446B3D">
        <w:rPr>
          <w:rFonts w:cstheme="minorHAnsi"/>
          <w:color w:val="3E3D40"/>
        </w:rPr>
        <w:t>; </w:t>
      </w:r>
      <w:hyperlink r:id="rId56" w:anchor="B38" w:history="1">
        <w:r w:rsidRPr="00446B3D">
          <w:rPr>
            <w:rStyle w:val="Hyperlink"/>
            <w:rFonts w:eastAsiaTheme="majorEastAsia" w:cstheme="minorHAnsi"/>
          </w:rPr>
          <w:t>Speece, 2008</w:t>
        </w:r>
      </w:hyperlink>
      <w:r w:rsidRPr="00446B3D">
        <w:rPr>
          <w:rFonts w:cstheme="minorHAnsi"/>
          <w:color w:val="3E3D40"/>
        </w:rPr>
        <w:t>). For ATA analysis, each of six serum bottles was fed a different APL concentration (</w:t>
      </w:r>
      <w:hyperlink r:id="rId57" w:anchor="T1" w:history="1">
        <w:r w:rsidRPr="00446B3D">
          <w:rPr>
            <w:rStyle w:val="Hyperlink"/>
            <w:rFonts w:eastAsiaTheme="majorEastAsia" w:cstheme="minorHAnsi"/>
          </w:rPr>
          <w:t>Table 1</w:t>
        </w:r>
      </w:hyperlink>
      <w:r w:rsidRPr="00446B3D">
        <w:rPr>
          <w:rFonts w:cstheme="minorHAnsi"/>
          <w:color w:val="3E3D40"/>
        </w:rPr>
        <w:t>) and all received 10 g/L calcium acetate with basal nutrient media (</w:t>
      </w:r>
      <w:hyperlink r:id="rId58" w:anchor="B38" w:history="1">
        <w:r w:rsidRPr="00446B3D">
          <w:rPr>
            <w:rStyle w:val="Hyperlink"/>
            <w:rFonts w:eastAsiaTheme="majorEastAsia" w:cstheme="minorHAnsi"/>
          </w:rPr>
          <w:t>Speece, 2008</w:t>
        </w:r>
      </w:hyperlink>
      <w:r w:rsidRPr="00446B3D">
        <w:rPr>
          <w:rFonts w:cstheme="minorHAnsi"/>
          <w:color w:val="3E3D40"/>
        </w:rPr>
        <w:t>). Serum bottles were inoculated with biomass taken from a lab-scale anaerobic digester fed non-fat dry milk and basal nutrients media. NH</w:t>
      </w:r>
      <w:r w:rsidRPr="00446B3D">
        <w:rPr>
          <w:rFonts w:cstheme="minorHAnsi"/>
          <w:color w:val="3E3D40"/>
          <w:vertAlign w:val="subscript"/>
        </w:rPr>
        <w:t>3</w:t>
      </w:r>
      <w:r w:rsidRPr="00446B3D">
        <w:rPr>
          <w:rFonts w:cstheme="minorHAnsi"/>
          <w:color w:val="3E3D40"/>
        </w:rPr>
        <w:t>-N loadings in bottles receiving air-stripped APL were significantly lower than those in bottles receiving non-air-stripped APL (</w:t>
      </w:r>
      <w:hyperlink r:id="rId59" w:anchor="T1" w:history="1">
        <w:r w:rsidRPr="00446B3D">
          <w:rPr>
            <w:rStyle w:val="Hyperlink"/>
            <w:rFonts w:eastAsiaTheme="majorEastAsia" w:cstheme="minorHAnsi"/>
          </w:rPr>
          <w:t>Table 1</w:t>
        </w:r>
      </w:hyperlink>
      <w:r w:rsidRPr="00446B3D">
        <w:rPr>
          <w:rFonts w:cstheme="minorHAnsi"/>
          <w:color w:val="3E3D40"/>
        </w:rPr>
        <w:t>). Therefore, toxicity from constituents other than NH</w:t>
      </w:r>
      <w:r w:rsidRPr="00446B3D">
        <w:rPr>
          <w:rFonts w:cstheme="minorHAnsi"/>
          <w:color w:val="3E3D40"/>
          <w:vertAlign w:val="subscript"/>
        </w:rPr>
        <w:t>3</w:t>
      </w:r>
      <w:r w:rsidRPr="00446B3D">
        <w:rPr>
          <w:rFonts w:cstheme="minorHAnsi"/>
          <w:color w:val="3E3D40"/>
        </w:rPr>
        <w:t>-N was identified using results from bottles receiving air-stripped APL. In addition, preliminary ATA tests were conducted using ammonium chloride to determine the response of the inoculum to NH</w:t>
      </w:r>
      <w:r w:rsidRPr="00446B3D">
        <w:rPr>
          <w:rFonts w:cstheme="minorHAnsi"/>
          <w:color w:val="3E3D40"/>
          <w:vertAlign w:val="subscript"/>
        </w:rPr>
        <w:t>3</w:t>
      </w:r>
      <w:r w:rsidRPr="00446B3D">
        <w:rPr>
          <w:rFonts w:cstheme="minorHAnsi"/>
          <w:color w:val="3E3D40"/>
        </w:rPr>
        <w:t>-N.</w:t>
      </w:r>
      <w:r w:rsidR="00D56FAF" w:rsidRPr="00446B3D">
        <w:rPr>
          <w:rStyle w:val="Strong"/>
          <w:rFonts w:ascii="Georgia" w:eastAsiaTheme="majorEastAsia" w:hAnsi="Georgia"/>
          <w:color w:val="3E3D40"/>
        </w:rPr>
        <w:t xml:space="preserve"> </w:t>
      </w:r>
    </w:p>
    <w:p w14:paraId="7995592E" w14:textId="77777777" w:rsidR="00BE62B7" w:rsidRDefault="00BE62B7" w:rsidP="00D56FAF">
      <w:pPr>
        <w:pStyle w:val="NoSpacing"/>
        <w:rPr>
          <w:rStyle w:val="Strong"/>
          <w:rFonts w:ascii="Georgia" w:eastAsiaTheme="majorEastAsia" w:hAnsi="Georgia"/>
          <w:color w:val="3E3D40"/>
          <w:sz w:val="27"/>
          <w:szCs w:val="27"/>
        </w:rPr>
      </w:pPr>
    </w:p>
    <w:p w14:paraId="7752FBC6" w14:textId="637423FC" w:rsidR="00D56FAF" w:rsidRPr="00DB0C67" w:rsidRDefault="00D56FAF" w:rsidP="00446B3D">
      <w:pPr>
        <w:pStyle w:val="NoSpacing"/>
      </w:pPr>
      <w:r w:rsidRPr="00DB0C67">
        <w:rPr>
          <w:rStyle w:val="Strong"/>
          <w:rFonts w:eastAsiaTheme="majorEastAsia" w:cstheme="minorHAnsi"/>
          <w:color w:val="3E3D40"/>
        </w:rPr>
        <w:t>Table 1</w:t>
      </w:r>
      <w:r w:rsidRPr="00DB0C67">
        <w:t>. ATA COD and NH</w:t>
      </w:r>
      <w:r w:rsidRPr="00DB0C67">
        <w:rPr>
          <w:vertAlign w:val="subscript"/>
        </w:rPr>
        <w:t>3</w:t>
      </w:r>
      <w:r w:rsidRPr="00DB0C67">
        <w:t>-N loadings for catalyzed and non-catalyzed APL.</w:t>
      </w:r>
    </w:p>
    <w:tbl>
      <w:tblPr>
        <w:tblStyle w:val="TableGrid"/>
        <w:tblW w:w="5000" w:type="pct"/>
        <w:tblLook w:val="04A0" w:firstRow="1" w:lastRow="0" w:firstColumn="1" w:lastColumn="0" w:noHBand="0" w:noVBand="1"/>
      </w:tblPr>
      <w:tblGrid>
        <w:gridCol w:w="2014"/>
        <w:gridCol w:w="2014"/>
        <w:gridCol w:w="2014"/>
        <w:gridCol w:w="2014"/>
        <w:gridCol w:w="2014"/>
      </w:tblGrid>
      <w:tr w:rsidR="00E353A7" w:rsidRPr="00446B3D" w14:paraId="21562ACC" w14:textId="77777777" w:rsidTr="00446B3D">
        <w:tc>
          <w:tcPr>
            <w:tcW w:w="1000" w:type="pct"/>
          </w:tcPr>
          <w:p w14:paraId="45D6A1C4" w14:textId="2F281C73" w:rsidR="00E353A7" w:rsidRPr="00446B3D" w:rsidRDefault="00E353A7" w:rsidP="00446B3D">
            <w:pPr>
              <w:pStyle w:val="NoSpacing"/>
              <w:rPr>
                <w:sz w:val="20"/>
                <w:szCs w:val="20"/>
              </w:rPr>
            </w:pPr>
            <w:r w:rsidRPr="00446B3D">
              <w:rPr>
                <w:sz w:val="20"/>
                <w:szCs w:val="20"/>
              </w:rPr>
              <w:t xml:space="preserve">Bottle number </w:t>
            </w:r>
          </w:p>
        </w:tc>
        <w:tc>
          <w:tcPr>
            <w:tcW w:w="1000" w:type="pct"/>
          </w:tcPr>
          <w:p w14:paraId="5608BAC3" w14:textId="444D4A4C" w:rsidR="00E353A7" w:rsidRPr="00446B3D" w:rsidRDefault="00E22AEC" w:rsidP="00446B3D">
            <w:pPr>
              <w:pStyle w:val="NoSpacing"/>
              <w:rPr>
                <w:sz w:val="20"/>
                <w:szCs w:val="20"/>
              </w:rPr>
            </w:pPr>
            <w:r w:rsidRPr="00446B3D">
              <w:rPr>
                <w:sz w:val="20"/>
                <w:szCs w:val="20"/>
              </w:rPr>
              <w:t>Catalyzed and non-catalyzed APL COD loading (g COD/L)</w:t>
            </w:r>
          </w:p>
        </w:tc>
        <w:tc>
          <w:tcPr>
            <w:tcW w:w="1000" w:type="pct"/>
          </w:tcPr>
          <w:p w14:paraId="27F1AD86" w14:textId="6E01E074" w:rsidR="00E353A7" w:rsidRPr="00446B3D" w:rsidRDefault="00E22AEC" w:rsidP="00446B3D">
            <w:pPr>
              <w:pStyle w:val="NoSpacing"/>
              <w:rPr>
                <w:sz w:val="20"/>
                <w:szCs w:val="20"/>
              </w:rPr>
            </w:pPr>
            <w:r w:rsidRPr="00446B3D">
              <w:rPr>
                <w:sz w:val="20"/>
                <w:szCs w:val="20"/>
              </w:rPr>
              <w:t>Non-catalyzed APL NH3 -N loading (g NH3-N/L)</w:t>
            </w:r>
          </w:p>
        </w:tc>
        <w:tc>
          <w:tcPr>
            <w:tcW w:w="1000" w:type="pct"/>
          </w:tcPr>
          <w:p w14:paraId="7D9AA99E" w14:textId="469BE7EA" w:rsidR="00E353A7" w:rsidRPr="00446B3D" w:rsidRDefault="009F349C" w:rsidP="00446B3D">
            <w:pPr>
              <w:pStyle w:val="NoSpacing"/>
              <w:rPr>
                <w:sz w:val="20"/>
                <w:szCs w:val="20"/>
              </w:rPr>
            </w:pPr>
            <w:r w:rsidRPr="00446B3D">
              <w:rPr>
                <w:sz w:val="20"/>
                <w:szCs w:val="20"/>
              </w:rPr>
              <w:t>Catalyzed APL NH3</w:t>
            </w:r>
            <w:r w:rsidR="00F314D5" w:rsidRPr="00446B3D">
              <w:rPr>
                <w:sz w:val="20"/>
                <w:szCs w:val="20"/>
              </w:rPr>
              <w:t xml:space="preserve">-N </w:t>
            </w:r>
            <w:proofErr w:type="gramStart"/>
            <w:r w:rsidR="00F314D5" w:rsidRPr="00446B3D">
              <w:rPr>
                <w:sz w:val="20"/>
                <w:szCs w:val="20"/>
              </w:rPr>
              <w:t>loading(</w:t>
            </w:r>
            <w:proofErr w:type="gramEnd"/>
            <w:r w:rsidR="00F314D5" w:rsidRPr="00446B3D">
              <w:rPr>
                <w:sz w:val="20"/>
                <w:szCs w:val="20"/>
              </w:rPr>
              <w:t>g NH3-N/L)</w:t>
            </w:r>
          </w:p>
        </w:tc>
        <w:tc>
          <w:tcPr>
            <w:tcW w:w="1000" w:type="pct"/>
          </w:tcPr>
          <w:p w14:paraId="05EE483E" w14:textId="532ECF61" w:rsidR="00E353A7" w:rsidRPr="00446B3D" w:rsidRDefault="00E353A7" w:rsidP="00446B3D">
            <w:pPr>
              <w:pStyle w:val="NoSpacing"/>
              <w:rPr>
                <w:sz w:val="20"/>
                <w:szCs w:val="20"/>
              </w:rPr>
            </w:pPr>
          </w:p>
        </w:tc>
      </w:tr>
      <w:tr w:rsidR="00E353A7" w:rsidRPr="00446B3D" w14:paraId="0820DBE1" w14:textId="77777777" w:rsidTr="00446B3D">
        <w:tc>
          <w:tcPr>
            <w:tcW w:w="1000" w:type="pct"/>
          </w:tcPr>
          <w:p w14:paraId="7F420DE3" w14:textId="7DEFDF88" w:rsidR="00E353A7" w:rsidRPr="00446B3D" w:rsidRDefault="00E353A7" w:rsidP="00446B3D">
            <w:pPr>
              <w:pStyle w:val="NoSpacing"/>
              <w:rPr>
                <w:sz w:val="20"/>
                <w:szCs w:val="20"/>
              </w:rPr>
            </w:pPr>
          </w:p>
        </w:tc>
        <w:tc>
          <w:tcPr>
            <w:tcW w:w="1000" w:type="pct"/>
          </w:tcPr>
          <w:p w14:paraId="241BB3DB" w14:textId="77777777" w:rsidR="00E353A7" w:rsidRPr="00446B3D" w:rsidRDefault="00E353A7" w:rsidP="00446B3D">
            <w:pPr>
              <w:pStyle w:val="NoSpacing"/>
              <w:rPr>
                <w:sz w:val="20"/>
                <w:szCs w:val="20"/>
              </w:rPr>
            </w:pPr>
          </w:p>
        </w:tc>
        <w:tc>
          <w:tcPr>
            <w:tcW w:w="1000" w:type="pct"/>
          </w:tcPr>
          <w:p w14:paraId="55CF8BBC" w14:textId="2FCD1295" w:rsidR="00E353A7" w:rsidRPr="00446B3D" w:rsidRDefault="00AF3654" w:rsidP="00446B3D">
            <w:pPr>
              <w:pStyle w:val="NoSpacing"/>
              <w:rPr>
                <w:sz w:val="20"/>
                <w:szCs w:val="20"/>
              </w:rPr>
            </w:pPr>
            <w:r w:rsidRPr="00446B3D">
              <w:rPr>
                <w:sz w:val="20"/>
                <w:szCs w:val="20"/>
              </w:rPr>
              <w:t>Without air stripping</w:t>
            </w:r>
          </w:p>
        </w:tc>
        <w:tc>
          <w:tcPr>
            <w:tcW w:w="1000" w:type="pct"/>
          </w:tcPr>
          <w:p w14:paraId="16308776" w14:textId="444264D2" w:rsidR="00E353A7" w:rsidRPr="00446B3D" w:rsidRDefault="00AF3654" w:rsidP="00446B3D">
            <w:pPr>
              <w:pStyle w:val="NoSpacing"/>
              <w:rPr>
                <w:sz w:val="20"/>
                <w:szCs w:val="20"/>
              </w:rPr>
            </w:pPr>
            <w:r w:rsidRPr="00446B3D">
              <w:rPr>
                <w:sz w:val="20"/>
                <w:szCs w:val="20"/>
              </w:rPr>
              <w:t>Without air stripping</w:t>
            </w:r>
          </w:p>
        </w:tc>
        <w:tc>
          <w:tcPr>
            <w:tcW w:w="1000" w:type="pct"/>
          </w:tcPr>
          <w:p w14:paraId="01B49766" w14:textId="5CCFD7CA" w:rsidR="00E353A7" w:rsidRPr="00446B3D" w:rsidRDefault="00AF3654" w:rsidP="00446B3D">
            <w:pPr>
              <w:pStyle w:val="NoSpacing"/>
              <w:rPr>
                <w:sz w:val="20"/>
                <w:szCs w:val="20"/>
              </w:rPr>
            </w:pPr>
            <w:r w:rsidRPr="00446B3D">
              <w:rPr>
                <w:sz w:val="20"/>
                <w:szCs w:val="20"/>
              </w:rPr>
              <w:t>With air stripping</w:t>
            </w:r>
          </w:p>
        </w:tc>
      </w:tr>
      <w:tr w:rsidR="00E353A7" w:rsidRPr="00446B3D" w14:paraId="6929434E" w14:textId="77777777" w:rsidTr="00446B3D">
        <w:tc>
          <w:tcPr>
            <w:tcW w:w="1000" w:type="pct"/>
          </w:tcPr>
          <w:p w14:paraId="563C02BD" w14:textId="162A17DA" w:rsidR="00E353A7" w:rsidRPr="00446B3D" w:rsidRDefault="00D63AB0" w:rsidP="00446B3D">
            <w:pPr>
              <w:pStyle w:val="NoSpacing"/>
              <w:rPr>
                <w:sz w:val="20"/>
                <w:szCs w:val="20"/>
              </w:rPr>
            </w:pPr>
            <w:r w:rsidRPr="00446B3D">
              <w:rPr>
                <w:sz w:val="20"/>
                <w:szCs w:val="20"/>
              </w:rPr>
              <w:t>1</w:t>
            </w:r>
          </w:p>
        </w:tc>
        <w:tc>
          <w:tcPr>
            <w:tcW w:w="1000" w:type="pct"/>
          </w:tcPr>
          <w:p w14:paraId="5741FBC7" w14:textId="5C0D763B" w:rsidR="00E353A7" w:rsidRPr="00446B3D" w:rsidRDefault="00C16C10" w:rsidP="00446B3D">
            <w:pPr>
              <w:pStyle w:val="NoSpacing"/>
              <w:rPr>
                <w:sz w:val="20"/>
                <w:szCs w:val="20"/>
              </w:rPr>
            </w:pPr>
            <w:r w:rsidRPr="00446B3D">
              <w:rPr>
                <w:sz w:val="20"/>
                <w:szCs w:val="20"/>
              </w:rPr>
              <w:t>0</w:t>
            </w:r>
          </w:p>
        </w:tc>
        <w:tc>
          <w:tcPr>
            <w:tcW w:w="1000" w:type="pct"/>
          </w:tcPr>
          <w:p w14:paraId="1964E972" w14:textId="0B7D9ABD" w:rsidR="00E353A7" w:rsidRPr="00446B3D" w:rsidRDefault="00C16C10" w:rsidP="00446B3D">
            <w:pPr>
              <w:pStyle w:val="NoSpacing"/>
              <w:rPr>
                <w:sz w:val="20"/>
                <w:szCs w:val="20"/>
              </w:rPr>
            </w:pPr>
            <w:r w:rsidRPr="00446B3D">
              <w:rPr>
                <w:sz w:val="20"/>
                <w:szCs w:val="20"/>
              </w:rPr>
              <w:t>0</w:t>
            </w:r>
          </w:p>
        </w:tc>
        <w:tc>
          <w:tcPr>
            <w:tcW w:w="1000" w:type="pct"/>
          </w:tcPr>
          <w:p w14:paraId="4F5C8052" w14:textId="6CA60E50" w:rsidR="00E353A7" w:rsidRPr="00446B3D" w:rsidRDefault="00C16C10" w:rsidP="00446B3D">
            <w:pPr>
              <w:pStyle w:val="NoSpacing"/>
              <w:rPr>
                <w:sz w:val="20"/>
                <w:szCs w:val="20"/>
              </w:rPr>
            </w:pPr>
            <w:r w:rsidRPr="00446B3D">
              <w:rPr>
                <w:sz w:val="20"/>
                <w:szCs w:val="20"/>
              </w:rPr>
              <w:t>0</w:t>
            </w:r>
          </w:p>
        </w:tc>
        <w:tc>
          <w:tcPr>
            <w:tcW w:w="1000" w:type="pct"/>
          </w:tcPr>
          <w:p w14:paraId="6FA00694" w14:textId="3980021B" w:rsidR="00E353A7" w:rsidRPr="00446B3D" w:rsidRDefault="00C16C10" w:rsidP="00446B3D">
            <w:pPr>
              <w:pStyle w:val="NoSpacing"/>
              <w:rPr>
                <w:sz w:val="20"/>
                <w:szCs w:val="20"/>
              </w:rPr>
            </w:pPr>
            <w:r w:rsidRPr="00446B3D">
              <w:rPr>
                <w:sz w:val="20"/>
                <w:szCs w:val="20"/>
              </w:rPr>
              <w:t>0</w:t>
            </w:r>
          </w:p>
        </w:tc>
      </w:tr>
      <w:tr w:rsidR="00E353A7" w:rsidRPr="00446B3D" w14:paraId="1FF9A31F" w14:textId="77777777" w:rsidTr="00446B3D">
        <w:tc>
          <w:tcPr>
            <w:tcW w:w="1000" w:type="pct"/>
          </w:tcPr>
          <w:p w14:paraId="0D6D1316" w14:textId="5673AB1D" w:rsidR="00E353A7" w:rsidRPr="00446B3D" w:rsidRDefault="00D63AB0" w:rsidP="00446B3D">
            <w:pPr>
              <w:pStyle w:val="NoSpacing"/>
              <w:rPr>
                <w:sz w:val="20"/>
                <w:szCs w:val="20"/>
              </w:rPr>
            </w:pPr>
            <w:r w:rsidRPr="00446B3D">
              <w:rPr>
                <w:sz w:val="20"/>
                <w:szCs w:val="20"/>
              </w:rPr>
              <w:t>2</w:t>
            </w:r>
          </w:p>
        </w:tc>
        <w:tc>
          <w:tcPr>
            <w:tcW w:w="1000" w:type="pct"/>
          </w:tcPr>
          <w:p w14:paraId="2C81DA08" w14:textId="092B2C7B" w:rsidR="00E353A7" w:rsidRPr="00446B3D" w:rsidRDefault="00C16C10" w:rsidP="00446B3D">
            <w:pPr>
              <w:pStyle w:val="NoSpacing"/>
              <w:rPr>
                <w:sz w:val="20"/>
                <w:szCs w:val="20"/>
              </w:rPr>
            </w:pPr>
            <w:r w:rsidRPr="00446B3D">
              <w:rPr>
                <w:sz w:val="20"/>
                <w:szCs w:val="20"/>
              </w:rPr>
              <w:t>0.06</w:t>
            </w:r>
          </w:p>
        </w:tc>
        <w:tc>
          <w:tcPr>
            <w:tcW w:w="1000" w:type="pct"/>
          </w:tcPr>
          <w:p w14:paraId="0C9630BD" w14:textId="44EC4C17" w:rsidR="00E353A7" w:rsidRPr="00446B3D" w:rsidRDefault="00C16C10" w:rsidP="00446B3D">
            <w:pPr>
              <w:pStyle w:val="NoSpacing"/>
              <w:rPr>
                <w:sz w:val="20"/>
                <w:szCs w:val="20"/>
              </w:rPr>
            </w:pPr>
            <w:r w:rsidRPr="00446B3D">
              <w:rPr>
                <w:sz w:val="20"/>
                <w:szCs w:val="20"/>
              </w:rPr>
              <w:t>0.006</w:t>
            </w:r>
          </w:p>
        </w:tc>
        <w:tc>
          <w:tcPr>
            <w:tcW w:w="1000" w:type="pct"/>
          </w:tcPr>
          <w:p w14:paraId="78D86F3D" w14:textId="6787EE76" w:rsidR="00E353A7" w:rsidRPr="00446B3D" w:rsidRDefault="00C16C10" w:rsidP="00446B3D">
            <w:pPr>
              <w:pStyle w:val="NoSpacing"/>
              <w:rPr>
                <w:sz w:val="20"/>
                <w:szCs w:val="20"/>
              </w:rPr>
            </w:pPr>
            <w:r w:rsidRPr="00446B3D">
              <w:rPr>
                <w:sz w:val="20"/>
                <w:szCs w:val="20"/>
              </w:rPr>
              <w:t>0.06</w:t>
            </w:r>
          </w:p>
        </w:tc>
        <w:tc>
          <w:tcPr>
            <w:tcW w:w="1000" w:type="pct"/>
          </w:tcPr>
          <w:p w14:paraId="6F07F973" w14:textId="0ABCA63E" w:rsidR="00E353A7" w:rsidRPr="00446B3D" w:rsidRDefault="00C16C10" w:rsidP="00446B3D">
            <w:pPr>
              <w:pStyle w:val="NoSpacing"/>
              <w:rPr>
                <w:sz w:val="20"/>
                <w:szCs w:val="20"/>
              </w:rPr>
            </w:pPr>
            <w:r w:rsidRPr="00446B3D">
              <w:rPr>
                <w:sz w:val="20"/>
                <w:szCs w:val="20"/>
              </w:rPr>
              <w:t>0.01</w:t>
            </w:r>
          </w:p>
        </w:tc>
      </w:tr>
      <w:tr w:rsidR="00E22AEC" w:rsidRPr="00446B3D" w14:paraId="09F20AEC" w14:textId="77777777" w:rsidTr="00446B3D">
        <w:tc>
          <w:tcPr>
            <w:tcW w:w="1000" w:type="pct"/>
          </w:tcPr>
          <w:p w14:paraId="06299B02" w14:textId="404B6DBA" w:rsidR="00E22AEC" w:rsidRPr="00446B3D" w:rsidRDefault="00D63AB0" w:rsidP="00446B3D">
            <w:pPr>
              <w:pStyle w:val="NoSpacing"/>
              <w:rPr>
                <w:sz w:val="20"/>
                <w:szCs w:val="20"/>
              </w:rPr>
            </w:pPr>
            <w:r w:rsidRPr="00446B3D">
              <w:rPr>
                <w:sz w:val="20"/>
                <w:szCs w:val="20"/>
              </w:rPr>
              <w:t>3</w:t>
            </w:r>
          </w:p>
        </w:tc>
        <w:tc>
          <w:tcPr>
            <w:tcW w:w="1000" w:type="pct"/>
          </w:tcPr>
          <w:p w14:paraId="052C4F95" w14:textId="332835E3" w:rsidR="00E22AEC" w:rsidRPr="00446B3D" w:rsidRDefault="00C16C10" w:rsidP="00446B3D">
            <w:pPr>
              <w:pStyle w:val="NoSpacing"/>
              <w:rPr>
                <w:sz w:val="20"/>
                <w:szCs w:val="20"/>
              </w:rPr>
            </w:pPr>
            <w:r w:rsidRPr="00446B3D">
              <w:rPr>
                <w:sz w:val="20"/>
                <w:szCs w:val="20"/>
              </w:rPr>
              <w:t>0.3</w:t>
            </w:r>
          </w:p>
        </w:tc>
        <w:tc>
          <w:tcPr>
            <w:tcW w:w="1000" w:type="pct"/>
          </w:tcPr>
          <w:p w14:paraId="0FF5AEEB" w14:textId="5F116941" w:rsidR="00E22AEC" w:rsidRPr="00446B3D" w:rsidRDefault="00C16C10" w:rsidP="00446B3D">
            <w:pPr>
              <w:pStyle w:val="NoSpacing"/>
              <w:rPr>
                <w:sz w:val="20"/>
                <w:szCs w:val="20"/>
              </w:rPr>
            </w:pPr>
            <w:r w:rsidRPr="00446B3D">
              <w:rPr>
                <w:sz w:val="20"/>
                <w:szCs w:val="20"/>
              </w:rPr>
              <w:t>0.03</w:t>
            </w:r>
          </w:p>
        </w:tc>
        <w:tc>
          <w:tcPr>
            <w:tcW w:w="1000" w:type="pct"/>
          </w:tcPr>
          <w:p w14:paraId="5F443227" w14:textId="2E200D36" w:rsidR="00E22AEC" w:rsidRPr="00446B3D" w:rsidRDefault="00C16C10" w:rsidP="00446B3D">
            <w:pPr>
              <w:pStyle w:val="NoSpacing"/>
              <w:rPr>
                <w:sz w:val="20"/>
                <w:szCs w:val="20"/>
              </w:rPr>
            </w:pPr>
            <w:r w:rsidRPr="00446B3D">
              <w:rPr>
                <w:sz w:val="20"/>
                <w:szCs w:val="20"/>
              </w:rPr>
              <w:t>0.3</w:t>
            </w:r>
          </w:p>
        </w:tc>
        <w:tc>
          <w:tcPr>
            <w:tcW w:w="1000" w:type="pct"/>
          </w:tcPr>
          <w:p w14:paraId="46F396EE" w14:textId="024FC235" w:rsidR="00E22AEC" w:rsidRPr="00446B3D" w:rsidRDefault="00C16C10" w:rsidP="00446B3D">
            <w:pPr>
              <w:pStyle w:val="NoSpacing"/>
              <w:rPr>
                <w:sz w:val="20"/>
                <w:szCs w:val="20"/>
              </w:rPr>
            </w:pPr>
            <w:r w:rsidRPr="00446B3D">
              <w:rPr>
                <w:sz w:val="20"/>
                <w:szCs w:val="20"/>
              </w:rPr>
              <w:t>0.07</w:t>
            </w:r>
          </w:p>
        </w:tc>
      </w:tr>
      <w:tr w:rsidR="00E22AEC" w:rsidRPr="00446B3D" w14:paraId="129FC5C3" w14:textId="77777777" w:rsidTr="00446B3D">
        <w:tc>
          <w:tcPr>
            <w:tcW w:w="1000" w:type="pct"/>
          </w:tcPr>
          <w:p w14:paraId="19F00F44" w14:textId="6BDA0EC5" w:rsidR="00E22AEC" w:rsidRPr="00446B3D" w:rsidRDefault="00C16C10" w:rsidP="00446B3D">
            <w:pPr>
              <w:pStyle w:val="NoSpacing"/>
              <w:rPr>
                <w:sz w:val="20"/>
                <w:szCs w:val="20"/>
              </w:rPr>
            </w:pPr>
            <w:r w:rsidRPr="00446B3D">
              <w:rPr>
                <w:sz w:val="20"/>
                <w:szCs w:val="20"/>
              </w:rPr>
              <w:t>4</w:t>
            </w:r>
          </w:p>
        </w:tc>
        <w:tc>
          <w:tcPr>
            <w:tcW w:w="1000" w:type="pct"/>
          </w:tcPr>
          <w:p w14:paraId="29865502" w14:textId="4CF890EF" w:rsidR="00E22AEC" w:rsidRPr="00446B3D" w:rsidRDefault="00C16C10" w:rsidP="00446B3D">
            <w:pPr>
              <w:pStyle w:val="NoSpacing"/>
              <w:rPr>
                <w:sz w:val="20"/>
                <w:szCs w:val="20"/>
              </w:rPr>
            </w:pPr>
            <w:r w:rsidRPr="00446B3D">
              <w:rPr>
                <w:sz w:val="20"/>
                <w:szCs w:val="20"/>
              </w:rPr>
              <w:t>0.6</w:t>
            </w:r>
          </w:p>
        </w:tc>
        <w:tc>
          <w:tcPr>
            <w:tcW w:w="1000" w:type="pct"/>
          </w:tcPr>
          <w:p w14:paraId="2177F523" w14:textId="50AF719B" w:rsidR="00E22AEC" w:rsidRPr="00446B3D" w:rsidRDefault="00C16C10" w:rsidP="00446B3D">
            <w:pPr>
              <w:pStyle w:val="NoSpacing"/>
              <w:rPr>
                <w:sz w:val="20"/>
                <w:szCs w:val="20"/>
              </w:rPr>
            </w:pPr>
            <w:r w:rsidRPr="00446B3D">
              <w:rPr>
                <w:sz w:val="20"/>
                <w:szCs w:val="20"/>
              </w:rPr>
              <w:t>0.06</w:t>
            </w:r>
          </w:p>
        </w:tc>
        <w:tc>
          <w:tcPr>
            <w:tcW w:w="1000" w:type="pct"/>
          </w:tcPr>
          <w:p w14:paraId="1203F72A" w14:textId="73693C13" w:rsidR="00E22AEC" w:rsidRPr="00446B3D" w:rsidRDefault="00C16C10" w:rsidP="00446B3D">
            <w:pPr>
              <w:pStyle w:val="NoSpacing"/>
              <w:rPr>
                <w:sz w:val="20"/>
                <w:szCs w:val="20"/>
              </w:rPr>
            </w:pPr>
            <w:r w:rsidRPr="00446B3D">
              <w:rPr>
                <w:sz w:val="20"/>
                <w:szCs w:val="20"/>
              </w:rPr>
              <w:t>0.6</w:t>
            </w:r>
          </w:p>
        </w:tc>
        <w:tc>
          <w:tcPr>
            <w:tcW w:w="1000" w:type="pct"/>
          </w:tcPr>
          <w:p w14:paraId="2599A6C6" w14:textId="7E8F11C9" w:rsidR="00E22AEC" w:rsidRPr="00446B3D" w:rsidRDefault="00C16C10" w:rsidP="00446B3D">
            <w:pPr>
              <w:pStyle w:val="NoSpacing"/>
              <w:rPr>
                <w:sz w:val="20"/>
                <w:szCs w:val="20"/>
              </w:rPr>
            </w:pPr>
            <w:r w:rsidRPr="00446B3D">
              <w:rPr>
                <w:sz w:val="20"/>
                <w:szCs w:val="20"/>
              </w:rPr>
              <w:t>0.14</w:t>
            </w:r>
          </w:p>
        </w:tc>
      </w:tr>
      <w:tr w:rsidR="00C16C10" w:rsidRPr="00446B3D" w14:paraId="4035E9FF" w14:textId="77777777" w:rsidTr="00446B3D">
        <w:tc>
          <w:tcPr>
            <w:tcW w:w="1000" w:type="pct"/>
          </w:tcPr>
          <w:p w14:paraId="1DFCA187" w14:textId="50E7D9A4" w:rsidR="00C16C10" w:rsidRPr="00446B3D" w:rsidRDefault="00C16C10" w:rsidP="00446B3D">
            <w:pPr>
              <w:pStyle w:val="NoSpacing"/>
              <w:rPr>
                <w:sz w:val="20"/>
                <w:szCs w:val="20"/>
              </w:rPr>
            </w:pPr>
            <w:r w:rsidRPr="00446B3D">
              <w:rPr>
                <w:sz w:val="20"/>
                <w:szCs w:val="20"/>
              </w:rPr>
              <w:t>5</w:t>
            </w:r>
          </w:p>
        </w:tc>
        <w:tc>
          <w:tcPr>
            <w:tcW w:w="1000" w:type="pct"/>
          </w:tcPr>
          <w:p w14:paraId="7FCD80CB" w14:textId="0C58E78A" w:rsidR="00C16C10" w:rsidRPr="00446B3D" w:rsidRDefault="00C16C10" w:rsidP="00446B3D">
            <w:pPr>
              <w:pStyle w:val="NoSpacing"/>
              <w:rPr>
                <w:sz w:val="20"/>
                <w:szCs w:val="20"/>
              </w:rPr>
            </w:pPr>
            <w:r w:rsidRPr="00446B3D">
              <w:rPr>
                <w:sz w:val="20"/>
                <w:szCs w:val="20"/>
              </w:rPr>
              <w:t>2.3</w:t>
            </w:r>
          </w:p>
        </w:tc>
        <w:tc>
          <w:tcPr>
            <w:tcW w:w="1000" w:type="pct"/>
          </w:tcPr>
          <w:p w14:paraId="09D2FA43" w14:textId="5D4B5AA9" w:rsidR="00C16C10" w:rsidRPr="00446B3D" w:rsidRDefault="00C16C10" w:rsidP="00446B3D">
            <w:pPr>
              <w:pStyle w:val="NoSpacing"/>
              <w:rPr>
                <w:sz w:val="20"/>
                <w:szCs w:val="20"/>
              </w:rPr>
            </w:pPr>
            <w:r w:rsidRPr="00446B3D">
              <w:rPr>
                <w:sz w:val="20"/>
                <w:szCs w:val="20"/>
              </w:rPr>
              <w:t>0.2</w:t>
            </w:r>
          </w:p>
        </w:tc>
        <w:tc>
          <w:tcPr>
            <w:tcW w:w="1000" w:type="pct"/>
          </w:tcPr>
          <w:p w14:paraId="7DD7A265" w14:textId="46EA9D4F" w:rsidR="00C16C10" w:rsidRPr="00446B3D" w:rsidRDefault="00C16C10" w:rsidP="00446B3D">
            <w:pPr>
              <w:pStyle w:val="NoSpacing"/>
              <w:rPr>
                <w:sz w:val="20"/>
                <w:szCs w:val="20"/>
              </w:rPr>
            </w:pPr>
            <w:r w:rsidRPr="00446B3D">
              <w:rPr>
                <w:sz w:val="20"/>
                <w:szCs w:val="20"/>
              </w:rPr>
              <w:t>2.3</w:t>
            </w:r>
          </w:p>
        </w:tc>
        <w:tc>
          <w:tcPr>
            <w:tcW w:w="1000" w:type="pct"/>
          </w:tcPr>
          <w:p w14:paraId="1672766D" w14:textId="1B3FD7CA" w:rsidR="00C16C10" w:rsidRPr="00446B3D" w:rsidRDefault="00C16C10" w:rsidP="00446B3D">
            <w:pPr>
              <w:pStyle w:val="NoSpacing"/>
              <w:rPr>
                <w:sz w:val="20"/>
                <w:szCs w:val="20"/>
              </w:rPr>
            </w:pPr>
            <w:r w:rsidRPr="00446B3D">
              <w:rPr>
                <w:sz w:val="20"/>
                <w:szCs w:val="20"/>
              </w:rPr>
              <w:t>0.5</w:t>
            </w:r>
          </w:p>
        </w:tc>
      </w:tr>
      <w:tr w:rsidR="00C16C10" w:rsidRPr="00446B3D" w14:paraId="1EA72388" w14:textId="77777777" w:rsidTr="00446B3D">
        <w:trPr>
          <w:trHeight w:val="70"/>
        </w:trPr>
        <w:tc>
          <w:tcPr>
            <w:tcW w:w="1000" w:type="pct"/>
          </w:tcPr>
          <w:p w14:paraId="60075BC6" w14:textId="6EC48B0D" w:rsidR="00C16C10" w:rsidRPr="00446B3D" w:rsidRDefault="00C16C10" w:rsidP="00446B3D">
            <w:pPr>
              <w:pStyle w:val="NoSpacing"/>
              <w:rPr>
                <w:sz w:val="20"/>
                <w:szCs w:val="20"/>
              </w:rPr>
            </w:pPr>
            <w:r w:rsidRPr="00446B3D">
              <w:rPr>
                <w:sz w:val="20"/>
                <w:szCs w:val="20"/>
              </w:rPr>
              <w:t>6</w:t>
            </w:r>
          </w:p>
        </w:tc>
        <w:tc>
          <w:tcPr>
            <w:tcW w:w="1000" w:type="pct"/>
          </w:tcPr>
          <w:p w14:paraId="15589B4A" w14:textId="0312FDA2" w:rsidR="00C16C10" w:rsidRPr="00446B3D" w:rsidRDefault="00C16C10" w:rsidP="00446B3D">
            <w:pPr>
              <w:pStyle w:val="NoSpacing"/>
              <w:rPr>
                <w:sz w:val="20"/>
                <w:szCs w:val="20"/>
              </w:rPr>
            </w:pPr>
            <w:r w:rsidRPr="00446B3D">
              <w:rPr>
                <w:sz w:val="20"/>
                <w:szCs w:val="20"/>
              </w:rPr>
              <w:t>4</w:t>
            </w:r>
          </w:p>
        </w:tc>
        <w:tc>
          <w:tcPr>
            <w:tcW w:w="1000" w:type="pct"/>
          </w:tcPr>
          <w:p w14:paraId="034A2FFE" w14:textId="58934B55" w:rsidR="00C16C10" w:rsidRPr="00446B3D" w:rsidRDefault="00C16C10" w:rsidP="00446B3D">
            <w:pPr>
              <w:pStyle w:val="NoSpacing"/>
              <w:rPr>
                <w:sz w:val="20"/>
                <w:szCs w:val="20"/>
              </w:rPr>
            </w:pPr>
            <w:r w:rsidRPr="00446B3D">
              <w:rPr>
                <w:sz w:val="20"/>
                <w:szCs w:val="20"/>
              </w:rPr>
              <w:t>0.4</w:t>
            </w:r>
          </w:p>
        </w:tc>
        <w:tc>
          <w:tcPr>
            <w:tcW w:w="1000" w:type="pct"/>
          </w:tcPr>
          <w:p w14:paraId="501FC909" w14:textId="24F33BDC" w:rsidR="00C16C10" w:rsidRPr="00446B3D" w:rsidRDefault="00C16C10" w:rsidP="00446B3D">
            <w:pPr>
              <w:pStyle w:val="NoSpacing"/>
              <w:rPr>
                <w:sz w:val="20"/>
                <w:szCs w:val="20"/>
              </w:rPr>
            </w:pPr>
            <w:r w:rsidRPr="00446B3D">
              <w:rPr>
                <w:sz w:val="20"/>
                <w:szCs w:val="20"/>
              </w:rPr>
              <w:t>4</w:t>
            </w:r>
          </w:p>
        </w:tc>
        <w:tc>
          <w:tcPr>
            <w:tcW w:w="1000" w:type="pct"/>
          </w:tcPr>
          <w:p w14:paraId="6F5EB087" w14:textId="717D0B75" w:rsidR="00C16C10" w:rsidRPr="00446B3D" w:rsidRDefault="00C16C10" w:rsidP="00446B3D">
            <w:pPr>
              <w:pStyle w:val="NoSpacing"/>
              <w:rPr>
                <w:sz w:val="20"/>
                <w:szCs w:val="20"/>
              </w:rPr>
            </w:pPr>
            <w:r w:rsidRPr="00446B3D">
              <w:rPr>
                <w:sz w:val="20"/>
                <w:szCs w:val="20"/>
              </w:rPr>
              <w:t>0.9</w:t>
            </w:r>
          </w:p>
        </w:tc>
      </w:tr>
    </w:tbl>
    <w:p w14:paraId="56722ACB" w14:textId="790A4DA6" w:rsidR="00AE0154" w:rsidRDefault="00AE0154" w:rsidP="00446B3D">
      <w:pPr>
        <w:pStyle w:val="NoSpacing"/>
        <w:rPr>
          <w:rFonts w:ascii="Georgia" w:hAnsi="Georgia" w:cs="Times New Roman"/>
          <w:color w:val="3E3D40"/>
          <w:sz w:val="23"/>
          <w:szCs w:val="23"/>
        </w:rPr>
      </w:pPr>
    </w:p>
    <w:p w14:paraId="639084BE" w14:textId="77777777" w:rsidR="00AE0154" w:rsidRDefault="00AE0154" w:rsidP="00CD1DAF">
      <w:pPr>
        <w:pStyle w:val="Heading2"/>
      </w:pPr>
      <w:r>
        <w:t>Analytical Methods</w:t>
      </w:r>
    </w:p>
    <w:p w14:paraId="3A415134" w14:textId="77777777" w:rsidR="00AE0154" w:rsidRPr="00446B3D" w:rsidRDefault="00AE0154" w:rsidP="00187A27">
      <w:r w:rsidRPr="00446B3D">
        <w:t>Biogas volume was measured daily using a 100 mL wetted-barrel glass syringe by inserting a needle through serum bottle septa. Biogas methane concentration was measured by gas chromatography (GC System 7890A, Agilent Technologies, Irving, TX, USA) with a thermal conductivity detector GC-TCD. VFA concentrations were measured by gas chromatography (GC System 7890A, Agilent Technologies, Irving, TX, USA) using a flame ionization detector (GC-FID). Total solids (TS), volatile solids (VS), total suspended solids (TSS), volatile suspended solids (VSS), and NH</w:t>
      </w:r>
      <w:r w:rsidRPr="00446B3D">
        <w:rPr>
          <w:vertAlign w:val="subscript"/>
        </w:rPr>
        <w:t>3</w:t>
      </w:r>
      <w:r w:rsidRPr="00446B3D">
        <w:t>-N concentrations were measured using standard methods (</w:t>
      </w:r>
      <w:hyperlink r:id="rId60" w:anchor="B2" w:history="1">
        <w:r w:rsidRPr="00446B3D">
          <w:rPr>
            <w:rStyle w:val="Hyperlink"/>
            <w:rFonts w:ascii="Georgia" w:eastAsiaTheme="majorEastAsia" w:hAnsi="Georgia"/>
          </w:rPr>
          <w:t>American Public Health Association, 1998</w:t>
        </w:r>
      </w:hyperlink>
      <w:r w:rsidRPr="00446B3D">
        <w:t>). The pH was measured using a probe and meter (Orion 4 Star, Thermo, Waltham, MA, USA). Statistical analyses including average and standard deviation calculations were performed using Microsoft Excel 2015.</w:t>
      </w:r>
    </w:p>
    <w:p w14:paraId="76D50C1B" w14:textId="77777777" w:rsidR="00AE0154" w:rsidRPr="00446B3D" w:rsidRDefault="00AE0154" w:rsidP="00187A27">
      <w:r w:rsidRPr="00446B3D">
        <w:t xml:space="preserve">APL constituent concentrations were measured using two different gas chromatography-mass spectrophotometry (GC-MS) methods and two different GC-FID methods. The first GC-MS method employed a DB wax column (Agilent Technologies), whereas the second employed an HP-5MS column (Agilent, Technologies). The GC-MS DB wax column analysis was performed using a GC-MS system (HP-6890 GC with a 5972A mass selective detector) and column with 30 m × 0.53 mm ID × 1.0 μm film thickness (DB-Wax column, Agilent Technologies). The injector employed a split ratio of 50:1 and the injection volume was 1 μL. The GC </w:t>
      </w:r>
      <w:r w:rsidRPr="00446B3D">
        <w:lastRenderedPageBreak/>
        <w:t>oven was programmed with an initial temperature of 50°C for 1 min, temperature ramp of 15°C/min and a final temperature of 220°C and final hold time of 40 min. The flow rate was constant at 2.0 mL/min of the helium carrier gas. Both catalyzed and non-catalyzed APLs were diluted with water at ratios of 1:18.7 and 1:45.6, respectively. Also, samples were acidified to pH = 1 using concentrated HCl solution. The second GC-MS analysis was performed using a GC-MS system (HP-7890A GC with a 5975A mass selective detector) fitted with an HP-5MS column with 30 m × 0.25 mm ID × 1.0 μm film thickness (HP5-MS column, Agilent Technologies). The injection volume was 0.5 μL with a split ratio of 10:1. The oven was programmed with an initial temperature of 50°C for 1 min, temperature ramp of 10°C/min and a final temperature of 250°C and final hold time of 4 min. The flow rate was constant at 1.2 mL/min of the helium carrier gas. Both catalyzed and non-catalyzed APLs were undiluted.</w:t>
      </w:r>
    </w:p>
    <w:p w14:paraId="663E6E4E" w14:textId="77777777" w:rsidR="00AE0154" w:rsidRPr="00446B3D" w:rsidRDefault="00AE0154" w:rsidP="001856A3">
      <w:r w:rsidRPr="00446B3D">
        <w:t>The first GC-FID analysis was performed using a GC (GC System 7890B, Agilent Technologies, Irving, TX, USA) that employed a DB FFAP column with 30 m × 0.25 mm ID × 0.25 μm film thickness. The operating system used was OpenLAB CDS—Acquisition Build version 2.1.0.433. The carrier gas was helium with a constant flow rate of 18 mL/min. The helium make-up was 32 mL/min, hydrogen flow at 35 mL/min with an air flow of 300 mL/min. The oven initial temperature was 95°C for 2 min, ramped at 10°C/min and a final temperature of 200°C at 40°C/min with 5 min hold time. A sample volume of 5 μL was injected with a split ratio of 2:1.</w:t>
      </w:r>
    </w:p>
    <w:p w14:paraId="041A81FA" w14:textId="77777777" w:rsidR="00AE0154" w:rsidRPr="00446B3D" w:rsidRDefault="00AE0154" w:rsidP="001856A3">
      <w:r w:rsidRPr="00446B3D">
        <w:t>The second GC-FID method (GC-FID, Bruker Corporation, Bruker Daltonics, Inc., USA) utilized a 1701 capillary column as described elsewhere (</w:t>
      </w:r>
      <w:hyperlink r:id="rId61" w:anchor="B35" w:history="1">
        <w:r w:rsidRPr="00446B3D">
          <w:rPr>
            <w:rStyle w:val="Hyperlink"/>
            <w:rFonts w:ascii="Georgia" w:eastAsiaTheme="majorEastAsia" w:hAnsi="Georgia"/>
          </w:rPr>
          <w:t>Rover et al., 2015</w:t>
        </w:r>
      </w:hyperlink>
      <w:r w:rsidRPr="00446B3D">
        <w:t>). Quantification of organic compounds by GC-FID was conducted using standard curves for each analyte as described previously (</w:t>
      </w:r>
      <w:hyperlink r:id="rId62" w:anchor="B10" w:history="1">
        <w:r w:rsidRPr="00446B3D">
          <w:rPr>
            <w:rStyle w:val="Hyperlink"/>
            <w:rFonts w:ascii="Georgia" w:eastAsiaTheme="majorEastAsia" w:hAnsi="Georgia"/>
          </w:rPr>
          <w:t>Choi et al., 2014</w:t>
        </w:r>
      </w:hyperlink>
      <w:r w:rsidRPr="00446B3D">
        <w:t>) and concentrations were measured as the mass of analyte per mass of APL (% w/w, raw basis).</w:t>
      </w:r>
    </w:p>
    <w:p w14:paraId="07F90CEB" w14:textId="77777777" w:rsidR="00AE0154" w:rsidRDefault="00AE0154" w:rsidP="001856A3">
      <w:pPr>
        <w:pStyle w:val="Heading1"/>
      </w:pPr>
      <w:bookmarkStart w:id="5" w:name="h4"/>
      <w:bookmarkEnd w:id="5"/>
      <w:r>
        <w:t>Results and Discussion</w:t>
      </w:r>
    </w:p>
    <w:p w14:paraId="78715694" w14:textId="77777777" w:rsidR="00AE0154" w:rsidRDefault="00AE0154" w:rsidP="001856A3">
      <w:pPr>
        <w:pStyle w:val="Heading2"/>
      </w:pPr>
      <w:r>
        <w:t>APL Properties</w:t>
      </w:r>
    </w:p>
    <w:p w14:paraId="28715B4C" w14:textId="77777777" w:rsidR="00BE62B7" w:rsidRPr="00446B3D" w:rsidRDefault="00AE0154" w:rsidP="00BE62B7">
      <w:pPr>
        <w:rPr>
          <w:rStyle w:val="Strong"/>
          <w:rFonts w:ascii="Georgia" w:eastAsiaTheme="majorEastAsia" w:hAnsi="Georgia"/>
          <w:color w:val="3E3D40"/>
        </w:rPr>
      </w:pPr>
      <w:r w:rsidRPr="00446B3D">
        <w:t>Autocatalysis during pyrolysis reduced the APL COD from &gt;200 gCOD/L for non-catalyzed APL to 32 ± 1.2 gCOD/L for catalyzed APL (~85% COD reduction) (</w:t>
      </w:r>
      <w:hyperlink r:id="rId63" w:anchor="T2" w:history="1">
        <w:r w:rsidRPr="00446B3D">
          <w:rPr>
            <w:rStyle w:val="Hyperlink"/>
            <w:rFonts w:ascii="Georgia" w:eastAsiaTheme="majorEastAsia" w:hAnsi="Georgia"/>
          </w:rPr>
          <w:t>Table 2</w:t>
        </w:r>
      </w:hyperlink>
      <w:r w:rsidRPr="00446B3D">
        <w:t>). The catalysis effect on NH</w:t>
      </w:r>
      <w:r w:rsidRPr="00446B3D">
        <w:rPr>
          <w:vertAlign w:val="subscript"/>
        </w:rPr>
        <w:t>3</w:t>
      </w:r>
      <w:r w:rsidRPr="00446B3D">
        <w:t>-N concentration varied, with non-catalyzed APL NH</w:t>
      </w:r>
      <w:r w:rsidRPr="00446B3D">
        <w:rPr>
          <w:vertAlign w:val="subscript"/>
        </w:rPr>
        <w:t>3</w:t>
      </w:r>
      <w:r w:rsidRPr="00446B3D">
        <w:t>-N concentration of 63 ± 0.1 g/L and catalyzed APL NH</w:t>
      </w:r>
      <w:r w:rsidRPr="00446B3D">
        <w:rPr>
          <w:vertAlign w:val="subscript"/>
        </w:rPr>
        <w:t>3</w:t>
      </w:r>
      <w:r w:rsidRPr="00446B3D">
        <w:t>-N concentration from 32 to 72 g/L. High NH</w:t>
      </w:r>
      <w:r w:rsidRPr="00446B3D">
        <w:rPr>
          <w:vertAlign w:val="subscript"/>
        </w:rPr>
        <w:t>3</w:t>
      </w:r>
      <w:r w:rsidRPr="00446B3D">
        <w:t>-N concentration in the liquid product obtained from sewage sludge pyrolysis was highlighted previously (</w:t>
      </w:r>
      <w:hyperlink r:id="rId64" w:anchor="B31" w:history="1">
        <w:r w:rsidRPr="00446B3D">
          <w:rPr>
            <w:rStyle w:val="Hyperlink"/>
            <w:rFonts w:ascii="Georgia" w:eastAsiaTheme="majorEastAsia" w:hAnsi="Georgia"/>
          </w:rPr>
          <w:t>Park et al., 2008</w:t>
        </w:r>
      </w:hyperlink>
      <w:r w:rsidRPr="00446B3D">
        <w:t>; </w:t>
      </w:r>
      <w:hyperlink r:id="rId65" w:anchor="B16" w:history="1">
        <w:r w:rsidRPr="00446B3D">
          <w:rPr>
            <w:rStyle w:val="Hyperlink"/>
            <w:rFonts w:ascii="Georgia" w:eastAsiaTheme="majorEastAsia" w:hAnsi="Georgia"/>
          </w:rPr>
          <w:t>Fonts et al., 2009</w:t>
        </w:r>
      </w:hyperlink>
      <w:r w:rsidRPr="00446B3D">
        <w:t>). Concentrations of VFAs in APLs were below detection after autocatalytic pyrolysis (</w:t>
      </w:r>
      <w:hyperlink r:id="rId66" w:anchor="T3" w:history="1">
        <w:r w:rsidRPr="00446B3D">
          <w:rPr>
            <w:rStyle w:val="Hyperlink"/>
            <w:rFonts w:ascii="Georgia" w:eastAsiaTheme="majorEastAsia" w:hAnsi="Georgia"/>
          </w:rPr>
          <w:t>Table 3B</w:t>
        </w:r>
      </w:hyperlink>
      <w:r w:rsidRPr="00446B3D">
        <w:t>). In contrast, non-catalyzed APL contained approximately 24 g/L of acetic acid (</w:t>
      </w:r>
      <w:hyperlink r:id="rId67" w:anchor="T3" w:history="1">
        <w:r w:rsidRPr="00446B3D">
          <w:rPr>
            <w:rStyle w:val="Hyperlink"/>
            <w:rFonts w:ascii="Georgia" w:eastAsiaTheme="majorEastAsia" w:hAnsi="Georgia"/>
          </w:rPr>
          <w:t>Table 3A</w:t>
        </w:r>
      </w:hyperlink>
      <w:r w:rsidRPr="00446B3D">
        <w:t>). This is consistent with previous studies which have found high acetic acid concentration in APL (</w:t>
      </w:r>
      <w:hyperlink r:id="rId68" w:anchor="B39" w:history="1">
        <w:r w:rsidRPr="00446B3D">
          <w:rPr>
            <w:rStyle w:val="Hyperlink"/>
            <w:rFonts w:ascii="Georgia" w:eastAsiaTheme="majorEastAsia" w:hAnsi="Georgia"/>
          </w:rPr>
          <w:t>Torri and Fabbri, 2014</w:t>
        </w:r>
      </w:hyperlink>
      <w:r w:rsidRPr="00446B3D">
        <w:t>). Acetic acid is an easily degradable substrate in anaerobic digestion; therefore, the presence of acetic acid indicates that APL could potentially serve as a co-digestate. The majority of organic compounds detected by GC-MS were nitrogen-containing compounds in both non-catalyzed and catalyzed APLs (</w:t>
      </w:r>
      <w:hyperlink r:id="rId69" w:anchor="T3" w:history="1">
        <w:r w:rsidRPr="00446B3D">
          <w:rPr>
            <w:rStyle w:val="Hyperlink"/>
            <w:rFonts w:ascii="Georgia" w:eastAsiaTheme="majorEastAsia" w:hAnsi="Georgia"/>
          </w:rPr>
          <w:t>Tables 3A,B</w:t>
        </w:r>
      </w:hyperlink>
      <w:r w:rsidRPr="00446B3D">
        <w:t>). The highest percent peak area measured by GC-MS HP-5MS column analysis was observed for pyrrole in both non-catalyzed and catalyzed APLs. Acetic acid concentration measured by GC-MS DB wax column analysis was three times higher in non-catalyzed compared to catalyzed APL. However, peak areas of identifiable compounds detected by both GC-MS methods only contributed to a fraction of the total peak area observed, whereas the majority of peaks were unidentified (</w:t>
      </w:r>
      <w:hyperlink r:id="rId70" w:anchor="T3" w:history="1">
        <w:r w:rsidRPr="00446B3D">
          <w:rPr>
            <w:rStyle w:val="Hyperlink"/>
            <w:rFonts w:ascii="Georgia" w:eastAsiaTheme="majorEastAsia" w:hAnsi="Georgia"/>
          </w:rPr>
          <w:t>Tables 3A,B</w:t>
        </w:r>
      </w:hyperlink>
      <w:r w:rsidRPr="00446B3D">
        <w:t>).</w:t>
      </w:r>
      <w:r w:rsidR="00BE62B7" w:rsidRPr="00446B3D">
        <w:rPr>
          <w:rStyle w:val="Strong"/>
          <w:rFonts w:ascii="Georgia" w:eastAsiaTheme="majorEastAsia" w:hAnsi="Georgia"/>
          <w:color w:val="3E3D40"/>
        </w:rPr>
        <w:t xml:space="preserve"> </w:t>
      </w:r>
    </w:p>
    <w:p w14:paraId="2F136959" w14:textId="01FCF6CB" w:rsidR="00AE0154" w:rsidRPr="00DB0C67" w:rsidRDefault="00BE62B7" w:rsidP="00DB0C67">
      <w:pPr>
        <w:rPr>
          <w:rFonts w:cstheme="minorHAnsi"/>
        </w:rPr>
      </w:pPr>
      <w:r w:rsidRPr="00DB0C67">
        <w:rPr>
          <w:rStyle w:val="Strong"/>
          <w:rFonts w:eastAsiaTheme="majorEastAsia" w:cstheme="minorHAnsi"/>
          <w:color w:val="3E3D40"/>
        </w:rPr>
        <w:t>Table 2</w:t>
      </w:r>
      <w:r w:rsidRPr="00DB0C67">
        <w:rPr>
          <w:rFonts w:cstheme="minorHAnsi"/>
        </w:rPr>
        <w:t>. COD and NH</w:t>
      </w:r>
      <w:r w:rsidRPr="00DB0C67">
        <w:rPr>
          <w:rFonts w:cstheme="minorHAnsi"/>
          <w:vertAlign w:val="subscript"/>
        </w:rPr>
        <w:t>3</w:t>
      </w:r>
      <w:r w:rsidRPr="00DB0C67">
        <w:rPr>
          <w:rFonts w:cstheme="minorHAnsi"/>
        </w:rPr>
        <w:t>-N concentrations and pH in non-catalyzed and catalyzed APL with and without air stripping.</w:t>
      </w:r>
    </w:p>
    <w:tbl>
      <w:tblPr>
        <w:tblStyle w:val="TableGrid"/>
        <w:tblW w:w="0" w:type="auto"/>
        <w:tblLook w:val="04A0" w:firstRow="1" w:lastRow="0" w:firstColumn="1" w:lastColumn="0" w:noHBand="0" w:noVBand="1"/>
      </w:tblPr>
      <w:tblGrid>
        <w:gridCol w:w="2517"/>
        <w:gridCol w:w="2518"/>
        <w:gridCol w:w="2517"/>
        <w:gridCol w:w="2518"/>
      </w:tblGrid>
      <w:tr w:rsidR="00421E5E" w:rsidRPr="00446B3D" w14:paraId="3E0C1972" w14:textId="77777777" w:rsidTr="00995BC1">
        <w:tc>
          <w:tcPr>
            <w:tcW w:w="2517" w:type="dxa"/>
          </w:tcPr>
          <w:p w14:paraId="6B9BDC0D" w14:textId="00FC1B95" w:rsidR="00421E5E" w:rsidRPr="00446B3D" w:rsidRDefault="00287783" w:rsidP="00446B3D">
            <w:pPr>
              <w:pStyle w:val="NoSpacing"/>
              <w:rPr>
                <w:sz w:val="20"/>
                <w:szCs w:val="20"/>
              </w:rPr>
            </w:pPr>
            <w:r w:rsidRPr="00446B3D">
              <w:rPr>
                <w:sz w:val="20"/>
                <w:szCs w:val="20"/>
              </w:rPr>
              <w:t>APL</w:t>
            </w:r>
          </w:p>
        </w:tc>
        <w:tc>
          <w:tcPr>
            <w:tcW w:w="2518" w:type="dxa"/>
          </w:tcPr>
          <w:p w14:paraId="5555DACE" w14:textId="23651E55" w:rsidR="00421E5E" w:rsidRPr="00446B3D" w:rsidRDefault="00287783" w:rsidP="00446B3D">
            <w:pPr>
              <w:pStyle w:val="NoSpacing"/>
              <w:rPr>
                <w:sz w:val="20"/>
                <w:szCs w:val="20"/>
              </w:rPr>
            </w:pPr>
            <w:r w:rsidRPr="00446B3D">
              <w:rPr>
                <w:sz w:val="20"/>
                <w:szCs w:val="20"/>
              </w:rPr>
              <w:t xml:space="preserve">COD (g/L) </w:t>
            </w:r>
          </w:p>
        </w:tc>
        <w:tc>
          <w:tcPr>
            <w:tcW w:w="2517" w:type="dxa"/>
          </w:tcPr>
          <w:p w14:paraId="59B7E2E2" w14:textId="2272E3A6" w:rsidR="00421E5E" w:rsidRPr="00446B3D" w:rsidRDefault="00287783" w:rsidP="00446B3D">
            <w:pPr>
              <w:pStyle w:val="NoSpacing"/>
              <w:rPr>
                <w:sz w:val="20"/>
                <w:szCs w:val="20"/>
              </w:rPr>
            </w:pPr>
            <w:r w:rsidRPr="00446B3D">
              <w:rPr>
                <w:sz w:val="20"/>
                <w:szCs w:val="20"/>
              </w:rPr>
              <w:t xml:space="preserve">NH3-N (g/L) </w:t>
            </w:r>
          </w:p>
        </w:tc>
        <w:tc>
          <w:tcPr>
            <w:tcW w:w="2518" w:type="dxa"/>
          </w:tcPr>
          <w:p w14:paraId="26344371" w14:textId="2C942E00" w:rsidR="00421E5E" w:rsidRPr="00446B3D" w:rsidRDefault="007E1A27" w:rsidP="00446B3D">
            <w:pPr>
              <w:pStyle w:val="NoSpacing"/>
              <w:rPr>
                <w:sz w:val="20"/>
                <w:szCs w:val="20"/>
              </w:rPr>
            </w:pPr>
            <w:r w:rsidRPr="00446B3D">
              <w:rPr>
                <w:sz w:val="20"/>
                <w:szCs w:val="20"/>
              </w:rPr>
              <w:t>pH</w:t>
            </w:r>
          </w:p>
        </w:tc>
      </w:tr>
      <w:tr w:rsidR="00421E5E" w:rsidRPr="00446B3D" w14:paraId="3459584B" w14:textId="77777777" w:rsidTr="00472834">
        <w:tc>
          <w:tcPr>
            <w:tcW w:w="2517" w:type="dxa"/>
          </w:tcPr>
          <w:p w14:paraId="748AFAE5" w14:textId="692ACAE3" w:rsidR="00421E5E" w:rsidRPr="00446B3D" w:rsidRDefault="007E1A27" w:rsidP="00446B3D">
            <w:pPr>
              <w:pStyle w:val="NoSpacing"/>
              <w:rPr>
                <w:sz w:val="20"/>
                <w:szCs w:val="20"/>
              </w:rPr>
            </w:pPr>
            <w:r w:rsidRPr="00446B3D">
              <w:rPr>
                <w:sz w:val="20"/>
                <w:szCs w:val="20"/>
              </w:rPr>
              <w:t>Non-catalyzed</w:t>
            </w:r>
          </w:p>
        </w:tc>
        <w:tc>
          <w:tcPr>
            <w:tcW w:w="2518" w:type="dxa"/>
          </w:tcPr>
          <w:p w14:paraId="12C825A5" w14:textId="41921747" w:rsidR="00421E5E" w:rsidRPr="00446B3D" w:rsidRDefault="006C2FC3" w:rsidP="00446B3D">
            <w:pPr>
              <w:pStyle w:val="NoSpacing"/>
              <w:rPr>
                <w:sz w:val="20"/>
                <w:szCs w:val="20"/>
              </w:rPr>
            </w:pPr>
            <w:r w:rsidRPr="00446B3D">
              <w:rPr>
                <w:sz w:val="20"/>
                <w:szCs w:val="20"/>
              </w:rPr>
              <w:t>&gt;200</w:t>
            </w:r>
          </w:p>
        </w:tc>
        <w:tc>
          <w:tcPr>
            <w:tcW w:w="2517" w:type="dxa"/>
          </w:tcPr>
          <w:p w14:paraId="2358E78F" w14:textId="1EE046F3" w:rsidR="00421E5E" w:rsidRPr="00446B3D" w:rsidRDefault="006C2FC3" w:rsidP="00446B3D">
            <w:pPr>
              <w:pStyle w:val="NoSpacing"/>
              <w:rPr>
                <w:sz w:val="20"/>
                <w:szCs w:val="20"/>
              </w:rPr>
            </w:pPr>
            <w:r w:rsidRPr="00446B3D">
              <w:rPr>
                <w:sz w:val="20"/>
                <w:szCs w:val="20"/>
              </w:rPr>
              <w:t>63 ± 0.1</w:t>
            </w:r>
          </w:p>
        </w:tc>
        <w:tc>
          <w:tcPr>
            <w:tcW w:w="2518" w:type="dxa"/>
          </w:tcPr>
          <w:p w14:paraId="71390A9F" w14:textId="57F0E3AE" w:rsidR="00421E5E" w:rsidRPr="00446B3D" w:rsidRDefault="006C2FC3" w:rsidP="00446B3D">
            <w:pPr>
              <w:pStyle w:val="NoSpacing"/>
              <w:rPr>
                <w:sz w:val="20"/>
                <w:szCs w:val="20"/>
              </w:rPr>
            </w:pPr>
            <w:r w:rsidRPr="00446B3D">
              <w:rPr>
                <w:sz w:val="20"/>
                <w:szCs w:val="20"/>
              </w:rPr>
              <w:t>9.6</w:t>
            </w:r>
          </w:p>
        </w:tc>
      </w:tr>
      <w:tr w:rsidR="00421E5E" w:rsidRPr="00446B3D" w14:paraId="3D8999FA" w14:textId="77777777" w:rsidTr="006D4DB1">
        <w:tc>
          <w:tcPr>
            <w:tcW w:w="2517" w:type="dxa"/>
          </w:tcPr>
          <w:p w14:paraId="0911710E" w14:textId="55ECE344" w:rsidR="00421E5E" w:rsidRPr="00446B3D" w:rsidRDefault="007E1A27" w:rsidP="00446B3D">
            <w:pPr>
              <w:pStyle w:val="NoSpacing"/>
              <w:rPr>
                <w:sz w:val="20"/>
                <w:szCs w:val="20"/>
              </w:rPr>
            </w:pPr>
            <w:r w:rsidRPr="00446B3D">
              <w:rPr>
                <w:sz w:val="20"/>
                <w:szCs w:val="20"/>
              </w:rPr>
              <w:t>Non-catalyzed, air-stripped</w:t>
            </w:r>
          </w:p>
        </w:tc>
        <w:tc>
          <w:tcPr>
            <w:tcW w:w="2518" w:type="dxa"/>
          </w:tcPr>
          <w:p w14:paraId="7D2AE8EB" w14:textId="06DC9B59" w:rsidR="00421E5E" w:rsidRPr="00446B3D" w:rsidRDefault="006C2FC3" w:rsidP="00446B3D">
            <w:pPr>
              <w:pStyle w:val="NoSpacing"/>
              <w:rPr>
                <w:sz w:val="20"/>
                <w:szCs w:val="20"/>
              </w:rPr>
            </w:pPr>
            <w:r w:rsidRPr="00446B3D">
              <w:rPr>
                <w:sz w:val="20"/>
                <w:szCs w:val="20"/>
              </w:rPr>
              <w:t>198 ± 7.8</w:t>
            </w:r>
          </w:p>
        </w:tc>
        <w:tc>
          <w:tcPr>
            <w:tcW w:w="2517" w:type="dxa"/>
          </w:tcPr>
          <w:p w14:paraId="72368078" w14:textId="28DFE4F6" w:rsidR="00421E5E" w:rsidRPr="00446B3D" w:rsidRDefault="006C2FC3" w:rsidP="00446B3D">
            <w:pPr>
              <w:pStyle w:val="NoSpacing"/>
              <w:rPr>
                <w:sz w:val="20"/>
                <w:szCs w:val="20"/>
              </w:rPr>
            </w:pPr>
            <w:r w:rsidRPr="00446B3D">
              <w:rPr>
                <w:sz w:val="20"/>
                <w:szCs w:val="20"/>
              </w:rPr>
              <w:t>13 ± 0.6</w:t>
            </w:r>
          </w:p>
        </w:tc>
        <w:tc>
          <w:tcPr>
            <w:tcW w:w="2518" w:type="dxa"/>
          </w:tcPr>
          <w:p w14:paraId="629D09B0" w14:textId="24DF9E7F" w:rsidR="00421E5E" w:rsidRPr="00446B3D" w:rsidRDefault="006C2FC3" w:rsidP="00446B3D">
            <w:pPr>
              <w:pStyle w:val="NoSpacing"/>
              <w:rPr>
                <w:sz w:val="20"/>
                <w:szCs w:val="20"/>
              </w:rPr>
            </w:pPr>
            <w:r w:rsidRPr="00446B3D">
              <w:rPr>
                <w:sz w:val="20"/>
                <w:szCs w:val="20"/>
              </w:rPr>
              <w:t>8.2</w:t>
            </w:r>
          </w:p>
        </w:tc>
      </w:tr>
      <w:tr w:rsidR="00421E5E" w:rsidRPr="00446B3D" w14:paraId="00B3286F" w14:textId="77777777" w:rsidTr="002776B7">
        <w:tc>
          <w:tcPr>
            <w:tcW w:w="2517" w:type="dxa"/>
          </w:tcPr>
          <w:p w14:paraId="5CD0E943" w14:textId="0E339142" w:rsidR="00421E5E" w:rsidRPr="00446B3D" w:rsidRDefault="006C2FC3" w:rsidP="00446B3D">
            <w:pPr>
              <w:pStyle w:val="NoSpacing"/>
              <w:rPr>
                <w:sz w:val="20"/>
                <w:szCs w:val="20"/>
              </w:rPr>
            </w:pPr>
            <w:r w:rsidRPr="00446B3D">
              <w:rPr>
                <w:sz w:val="20"/>
                <w:szCs w:val="20"/>
              </w:rPr>
              <w:t>Catalyzed</w:t>
            </w:r>
          </w:p>
        </w:tc>
        <w:tc>
          <w:tcPr>
            <w:tcW w:w="2518" w:type="dxa"/>
          </w:tcPr>
          <w:p w14:paraId="559195B1" w14:textId="38CF85F2" w:rsidR="00421E5E" w:rsidRPr="00446B3D" w:rsidRDefault="006C2FC3" w:rsidP="00446B3D">
            <w:pPr>
              <w:pStyle w:val="NoSpacing"/>
              <w:rPr>
                <w:sz w:val="20"/>
                <w:szCs w:val="20"/>
              </w:rPr>
            </w:pPr>
            <w:r w:rsidRPr="00446B3D">
              <w:rPr>
                <w:sz w:val="20"/>
                <w:szCs w:val="20"/>
              </w:rPr>
              <w:t>32 ± 1.2</w:t>
            </w:r>
          </w:p>
        </w:tc>
        <w:tc>
          <w:tcPr>
            <w:tcW w:w="2517" w:type="dxa"/>
          </w:tcPr>
          <w:p w14:paraId="4D2885C9" w14:textId="473C1EC6" w:rsidR="00421E5E" w:rsidRPr="00446B3D" w:rsidRDefault="006C2FC3" w:rsidP="00446B3D">
            <w:pPr>
              <w:pStyle w:val="NoSpacing"/>
              <w:rPr>
                <w:sz w:val="20"/>
                <w:szCs w:val="20"/>
              </w:rPr>
            </w:pPr>
            <w:r w:rsidRPr="00446B3D">
              <w:rPr>
                <w:sz w:val="20"/>
                <w:szCs w:val="20"/>
              </w:rPr>
              <w:t>&gt;32</w:t>
            </w:r>
          </w:p>
        </w:tc>
        <w:tc>
          <w:tcPr>
            <w:tcW w:w="2518" w:type="dxa"/>
          </w:tcPr>
          <w:p w14:paraId="62E4DB05" w14:textId="31EA2181" w:rsidR="00421E5E" w:rsidRPr="00446B3D" w:rsidRDefault="006C2FC3" w:rsidP="00446B3D">
            <w:pPr>
              <w:pStyle w:val="NoSpacing"/>
              <w:rPr>
                <w:sz w:val="20"/>
                <w:szCs w:val="20"/>
              </w:rPr>
            </w:pPr>
            <w:r w:rsidRPr="00446B3D">
              <w:rPr>
                <w:sz w:val="20"/>
                <w:szCs w:val="20"/>
              </w:rPr>
              <w:t>9.6</w:t>
            </w:r>
          </w:p>
        </w:tc>
      </w:tr>
      <w:tr w:rsidR="00421E5E" w:rsidRPr="00446B3D" w14:paraId="7A08431B" w14:textId="77777777" w:rsidTr="00354799">
        <w:tc>
          <w:tcPr>
            <w:tcW w:w="2517" w:type="dxa"/>
          </w:tcPr>
          <w:p w14:paraId="703C61FB" w14:textId="4D9F3017" w:rsidR="00421E5E" w:rsidRPr="00446B3D" w:rsidRDefault="006C2FC3" w:rsidP="00446B3D">
            <w:pPr>
              <w:pStyle w:val="NoSpacing"/>
              <w:rPr>
                <w:sz w:val="20"/>
                <w:szCs w:val="20"/>
              </w:rPr>
            </w:pPr>
            <w:r w:rsidRPr="00446B3D">
              <w:rPr>
                <w:sz w:val="20"/>
                <w:szCs w:val="20"/>
              </w:rPr>
              <w:lastRenderedPageBreak/>
              <w:t>Catalyzed, air-stripped</w:t>
            </w:r>
          </w:p>
        </w:tc>
        <w:tc>
          <w:tcPr>
            <w:tcW w:w="2518" w:type="dxa"/>
          </w:tcPr>
          <w:p w14:paraId="5787D405" w14:textId="36494728" w:rsidR="00421E5E" w:rsidRPr="00446B3D" w:rsidRDefault="006C2FC3" w:rsidP="00446B3D">
            <w:pPr>
              <w:pStyle w:val="NoSpacing"/>
              <w:rPr>
                <w:sz w:val="20"/>
                <w:szCs w:val="20"/>
              </w:rPr>
            </w:pPr>
            <w:r w:rsidRPr="00446B3D">
              <w:rPr>
                <w:sz w:val="20"/>
                <w:szCs w:val="20"/>
              </w:rPr>
              <w:t>23 ± 0.8</w:t>
            </w:r>
          </w:p>
        </w:tc>
        <w:tc>
          <w:tcPr>
            <w:tcW w:w="2517" w:type="dxa"/>
          </w:tcPr>
          <w:p w14:paraId="10DD9BB6" w14:textId="3CC792B0" w:rsidR="00421E5E" w:rsidRPr="00446B3D" w:rsidRDefault="006C2FC3" w:rsidP="00446B3D">
            <w:pPr>
              <w:pStyle w:val="NoSpacing"/>
              <w:rPr>
                <w:sz w:val="20"/>
                <w:szCs w:val="20"/>
              </w:rPr>
            </w:pPr>
            <w:r w:rsidRPr="00446B3D">
              <w:rPr>
                <w:sz w:val="20"/>
                <w:szCs w:val="20"/>
              </w:rPr>
              <w:t>5.3 ± 0.5</w:t>
            </w:r>
          </w:p>
        </w:tc>
        <w:tc>
          <w:tcPr>
            <w:tcW w:w="2518" w:type="dxa"/>
          </w:tcPr>
          <w:p w14:paraId="7422E717" w14:textId="0A257CFD" w:rsidR="00421E5E" w:rsidRPr="00446B3D" w:rsidRDefault="006C2FC3" w:rsidP="00446B3D">
            <w:pPr>
              <w:pStyle w:val="NoSpacing"/>
              <w:rPr>
                <w:sz w:val="20"/>
                <w:szCs w:val="20"/>
              </w:rPr>
            </w:pPr>
            <w:r w:rsidRPr="00446B3D">
              <w:rPr>
                <w:sz w:val="20"/>
                <w:szCs w:val="20"/>
              </w:rPr>
              <w:t>8.4</w:t>
            </w:r>
          </w:p>
        </w:tc>
      </w:tr>
    </w:tbl>
    <w:p w14:paraId="45A3B92F" w14:textId="77777777" w:rsidR="00446B3D" w:rsidRDefault="00446B3D" w:rsidP="00DB0C67">
      <w:pPr>
        <w:rPr>
          <w:b/>
          <w:bCs/>
        </w:rPr>
      </w:pPr>
    </w:p>
    <w:p w14:paraId="4E7ABD18" w14:textId="1D0AE299" w:rsidR="00DB0C67" w:rsidRPr="00DB0C67" w:rsidRDefault="00DB0C67" w:rsidP="00DB0C67">
      <w:r w:rsidRPr="00DB0C67">
        <w:rPr>
          <w:b/>
          <w:bCs/>
        </w:rPr>
        <w:t>Table 3</w:t>
      </w:r>
      <w:r w:rsidRPr="00DB0C67">
        <w:t>. APL organic constituents identified by GC-MS and GC-FID methods.</w:t>
      </w:r>
    </w:p>
    <w:tbl>
      <w:tblPr>
        <w:tblStyle w:val="TableGrid"/>
        <w:tblW w:w="5000" w:type="pct"/>
        <w:tblLook w:val="04A0" w:firstRow="1" w:lastRow="0" w:firstColumn="1" w:lastColumn="0" w:noHBand="0" w:noVBand="1"/>
      </w:tblPr>
      <w:tblGrid>
        <w:gridCol w:w="2355"/>
        <w:gridCol w:w="1120"/>
        <w:gridCol w:w="1575"/>
        <w:gridCol w:w="1398"/>
        <w:gridCol w:w="1386"/>
        <w:gridCol w:w="1386"/>
        <w:gridCol w:w="850"/>
      </w:tblGrid>
      <w:tr w:rsidR="00261547" w:rsidRPr="00446B3D" w14:paraId="7C8CD18A" w14:textId="77777777" w:rsidTr="00446B3D">
        <w:tc>
          <w:tcPr>
            <w:tcW w:w="1169" w:type="pct"/>
          </w:tcPr>
          <w:p w14:paraId="78769B38" w14:textId="24114BBD" w:rsidR="00FD2023" w:rsidRPr="00446B3D" w:rsidRDefault="00FD2023" w:rsidP="00446B3D">
            <w:pPr>
              <w:pStyle w:val="NoSpacing"/>
              <w:rPr>
                <w:sz w:val="20"/>
                <w:szCs w:val="20"/>
              </w:rPr>
            </w:pPr>
          </w:p>
        </w:tc>
        <w:tc>
          <w:tcPr>
            <w:tcW w:w="556" w:type="pct"/>
          </w:tcPr>
          <w:p w14:paraId="792DA442" w14:textId="77777777" w:rsidR="00FD2023" w:rsidRPr="00446B3D" w:rsidRDefault="00FD2023" w:rsidP="00446B3D">
            <w:pPr>
              <w:pStyle w:val="NoSpacing"/>
              <w:rPr>
                <w:sz w:val="20"/>
                <w:szCs w:val="20"/>
              </w:rPr>
            </w:pPr>
          </w:p>
        </w:tc>
        <w:tc>
          <w:tcPr>
            <w:tcW w:w="782" w:type="pct"/>
          </w:tcPr>
          <w:p w14:paraId="67036DFD" w14:textId="1A250494" w:rsidR="00FD2023" w:rsidRPr="00446B3D" w:rsidRDefault="00FD2023" w:rsidP="00446B3D">
            <w:pPr>
              <w:pStyle w:val="NoSpacing"/>
              <w:rPr>
                <w:sz w:val="20"/>
                <w:szCs w:val="20"/>
              </w:rPr>
            </w:pPr>
            <w:r w:rsidRPr="00446B3D">
              <w:rPr>
                <w:sz w:val="20"/>
                <w:szCs w:val="20"/>
              </w:rPr>
              <w:t>Compounds quantified by GC-FID1 (DB FFAP)</w:t>
            </w:r>
          </w:p>
        </w:tc>
        <w:tc>
          <w:tcPr>
            <w:tcW w:w="694" w:type="pct"/>
          </w:tcPr>
          <w:p w14:paraId="099F600D" w14:textId="03B5E37E" w:rsidR="00FD2023" w:rsidRPr="00446B3D" w:rsidRDefault="00FD2023" w:rsidP="00446B3D">
            <w:pPr>
              <w:pStyle w:val="NoSpacing"/>
              <w:rPr>
                <w:sz w:val="20"/>
                <w:szCs w:val="20"/>
              </w:rPr>
            </w:pPr>
            <w:r w:rsidRPr="00446B3D">
              <w:rPr>
                <w:sz w:val="20"/>
                <w:szCs w:val="20"/>
              </w:rPr>
              <w:t>Compounds quantified by GC-FID2</w:t>
            </w:r>
            <w:r w:rsidRPr="00446B3D">
              <w:rPr>
                <w:sz w:val="20"/>
                <w:szCs w:val="20"/>
                <w:vertAlign w:val="superscript"/>
              </w:rPr>
              <w:t xml:space="preserve">a </w:t>
            </w:r>
            <w:r w:rsidRPr="00446B3D">
              <w:rPr>
                <w:sz w:val="20"/>
                <w:szCs w:val="20"/>
              </w:rPr>
              <w:t>(1701 Capillary)</w:t>
            </w:r>
          </w:p>
        </w:tc>
        <w:tc>
          <w:tcPr>
            <w:tcW w:w="688" w:type="pct"/>
          </w:tcPr>
          <w:p w14:paraId="42347DBB" w14:textId="6833DC02" w:rsidR="00FD2023" w:rsidRPr="00446B3D" w:rsidRDefault="00FD2023" w:rsidP="00446B3D">
            <w:pPr>
              <w:pStyle w:val="NoSpacing"/>
              <w:rPr>
                <w:sz w:val="20"/>
                <w:szCs w:val="20"/>
              </w:rPr>
            </w:pPr>
            <w:r w:rsidRPr="00446B3D">
              <w:rPr>
                <w:sz w:val="20"/>
                <w:szCs w:val="20"/>
              </w:rPr>
              <w:t>Compounds identified by GC-MS1 (DB-Wax)</w:t>
            </w:r>
          </w:p>
        </w:tc>
        <w:tc>
          <w:tcPr>
            <w:tcW w:w="688" w:type="pct"/>
          </w:tcPr>
          <w:p w14:paraId="72C852CF" w14:textId="07688A35" w:rsidR="00FD2023" w:rsidRPr="00446B3D" w:rsidRDefault="00FD2023" w:rsidP="00446B3D">
            <w:pPr>
              <w:pStyle w:val="NoSpacing"/>
              <w:rPr>
                <w:sz w:val="20"/>
                <w:szCs w:val="20"/>
              </w:rPr>
            </w:pPr>
            <w:r w:rsidRPr="00446B3D">
              <w:rPr>
                <w:sz w:val="20"/>
                <w:szCs w:val="20"/>
              </w:rPr>
              <w:t>Compounds identified by GC-MS2 (HP-5MS)</w:t>
            </w:r>
          </w:p>
        </w:tc>
        <w:tc>
          <w:tcPr>
            <w:tcW w:w="422" w:type="pct"/>
          </w:tcPr>
          <w:p w14:paraId="3D4E367B" w14:textId="0575A976" w:rsidR="00FD2023" w:rsidRPr="00446B3D" w:rsidRDefault="00BB448A" w:rsidP="00446B3D">
            <w:pPr>
              <w:pStyle w:val="NoSpacing"/>
              <w:rPr>
                <w:sz w:val="20"/>
                <w:szCs w:val="20"/>
              </w:rPr>
            </w:pPr>
            <w:r w:rsidRPr="00446B3D">
              <w:rPr>
                <w:sz w:val="20"/>
                <w:szCs w:val="20"/>
              </w:rPr>
              <w:t>IC</w:t>
            </w:r>
            <w:r w:rsidRPr="00446B3D">
              <w:rPr>
                <w:sz w:val="20"/>
                <w:szCs w:val="20"/>
                <w:vertAlign w:val="subscript"/>
              </w:rPr>
              <w:t>50</w:t>
            </w:r>
            <w:r w:rsidRPr="00446B3D">
              <w:rPr>
                <w:sz w:val="20"/>
                <w:szCs w:val="20"/>
              </w:rPr>
              <w:t xml:space="preserve"> value</w:t>
            </w:r>
          </w:p>
        </w:tc>
      </w:tr>
      <w:tr w:rsidR="00261547" w:rsidRPr="00446B3D" w14:paraId="259CA8DA" w14:textId="77777777" w:rsidTr="00446B3D">
        <w:tc>
          <w:tcPr>
            <w:tcW w:w="1169" w:type="pct"/>
          </w:tcPr>
          <w:p w14:paraId="22DDE1DC" w14:textId="60913EEF" w:rsidR="009F5F60" w:rsidRPr="00446B3D" w:rsidRDefault="009F5F60" w:rsidP="00446B3D">
            <w:pPr>
              <w:pStyle w:val="NoSpacing"/>
              <w:rPr>
                <w:sz w:val="20"/>
                <w:szCs w:val="20"/>
              </w:rPr>
            </w:pPr>
            <w:r w:rsidRPr="00446B3D">
              <w:rPr>
                <w:sz w:val="20"/>
                <w:szCs w:val="20"/>
              </w:rPr>
              <w:t>Compound</w:t>
            </w:r>
          </w:p>
        </w:tc>
        <w:tc>
          <w:tcPr>
            <w:tcW w:w="556" w:type="pct"/>
          </w:tcPr>
          <w:p w14:paraId="352E7523" w14:textId="038B59FE" w:rsidR="009F5F60" w:rsidRPr="00446B3D" w:rsidRDefault="009F5F60" w:rsidP="00446B3D">
            <w:pPr>
              <w:pStyle w:val="NoSpacing"/>
              <w:rPr>
                <w:sz w:val="20"/>
                <w:szCs w:val="20"/>
              </w:rPr>
            </w:pPr>
            <w:r w:rsidRPr="00446B3D">
              <w:rPr>
                <w:sz w:val="20"/>
                <w:szCs w:val="20"/>
              </w:rPr>
              <w:t>Molecular weight (g/mol)</w:t>
            </w:r>
          </w:p>
        </w:tc>
        <w:tc>
          <w:tcPr>
            <w:tcW w:w="782" w:type="pct"/>
          </w:tcPr>
          <w:p w14:paraId="52508CBE" w14:textId="3320C003" w:rsidR="009F5F60" w:rsidRPr="00446B3D" w:rsidRDefault="009F5F60" w:rsidP="00446B3D">
            <w:pPr>
              <w:pStyle w:val="NoSpacing"/>
              <w:rPr>
                <w:sz w:val="20"/>
                <w:szCs w:val="20"/>
              </w:rPr>
            </w:pPr>
            <w:r w:rsidRPr="00446B3D">
              <w:rPr>
                <w:sz w:val="20"/>
                <w:szCs w:val="20"/>
              </w:rPr>
              <w:t>(mg/L as acetic acid concentration)</w:t>
            </w:r>
          </w:p>
        </w:tc>
        <w:tc>
          <w:tcPr>
            <w:tcW w:w="694" w:type="pct"/>
          </w:tcPr>
          <w:p w14:paraId="7734245F" w14:textId="76595ABC" w:rsidR="009F5F60" w:rsidRPr="00446B3D" w:rsidRDefault="009F5F60" w:rsidP="00446B3D">
            <w:pPr>
              <w:pStyle w:val="NoSpacing"/>
              <w:rPr>
                <w:sz w:val="20"/>
                <w:szCs w:val="20"/>
              </w:rPr>
            </w:pPr>
            <w:r w:rsidRPr="00446B3D">
              <w:rPr>
                <w:sz w:val="20"/>
                <w:szCs w:val="20"/>
              </w:rPr>
              <w:t>% w/w (raw basis)</w:t>
            </w:r>
          </w:p>
        </w:tc>
        <w:tc>
          <w:tcPr>
            <w:tcW w:w="688" w:type="pct"/>
          </w:tcPr>
          <w:p w14:paraId="26643811" w14:textId="3533E9DA" w:rsidR="009F5F60" w:rsidRPr="00446B3D" w:rsidRDefault="009F5F60" w:rsidP="00446B3D">
            <w:pPr>
              <w:pStyle w:val="NoSpacing"/>
              <w:rPr>
                <w:sz w:val="20"/>
                <w:szCs w:val="20"/>
              </w:rPr>
            </w:pPr>
            <w:r w:rsidRPr="00446B3D">
              <w:rPr>
                <w:sz w:val="20"/>
                <w:szCs w:val="20"/>
              </w:rPr>
              <w:t>% of total organic compound peak area detected</w:t>
            </w:r>
          </w:p>
        </w:tc>
        <w:tc>
          <w:tcPr>
            <w:tcW w:w="688" w:type="pct"/>
          </w:tcPr>
          <w:p w14:paraId="6DC798D9" w14:textId="50F6666D" w:rsidR="009F5F60" w:rsidRPr="00446B3D" w:rsidRDefault="009F5F60" w:rsidP="00446B3D">
            <w:pPr>
              <w:pStyle w:val="NoSpacing"/>
              <w:rPr>
                <w:sz w:val="20"/>
                <w:szCs w:val="20"/>
              </w:rPr>
            </w:pPr>
            <w:r w:rsidRPr="00446B3D">
              <w:rPr>
                <w:sz w:val="20"/>
                <w:szCs w:val="20"/>
              </w:rPr>
              <w:t>% of total organic compound peak area detected</w:t>
            </w:r>
          </w:p>
        </w:tc>
        <w:tc>
          <w:tcPr>
            <w:tcW w:w="422" w:type="pct"/>
          </w:tcPr>
          <w:p w14:paraId="414F9890" w14:textId="098116E6" w:rsidR="009F5F60" w:rsidRPr="00446B3D" w:rsidRDefault="009F5F60" w:rsidP="00446B3D">
            <w:pPr>
              <w:pStyle w:val="NoSpacing"/>
              <w:rPr>
                <w:sz w:val="20"/>
                <w:szCs w:val="20"/>
              </w:rPr>
            </w:pPr>
            <w:r w:rsidRPr="00446B3D">
              <w:rPr>
                <w:sz w:val="20"/>
                <w:szCs w:val="20"/>
              </w:rPr>
              <w:t>mg/L</w:t>
            </w:r>
          </w:p>
        </w:tc>
      </w:tr>
      <w:tr w:rsidR="00261547" w:rsidRPr="00446B3D" w14:paraId="407DB08F" w14:textId="77777777" w:rsidTr="00446B3D">
        <w:tc>
          <w:tcPr>
            <w:tcW w:w="1169" w:type="pct"/>
          </w:tcPr>
          <w:p w14:paraId="51D939BA" w14:textId="4AFCBE85" w:rsidR="009F5F60" w:rsidRPr="00446B3D" w:rsidRDefault="00F305A3" w:rsidP="00446B3D">
            <w:pPr>
              <w:pStyle w:val="NoSpacing"/>
              <w:rPr>
                <w:sz w:val="20"/>
                <w:szCs w:val="20"/>
              </w:rPr>
            </w:pPr>
            <w:r w:rsidRPr="00446B3D">
              <w:rPr>
                <w:sz w:val="20"/>
                <w:szCs w:val="20"/>
              </w:rPr>
              <w:t>(A) Non-catalyzed APL</w:t>
            </w:r>
          </w:p>
        </w:tc>
        <w:tc>
          <w:tcPr>
            <w:tcW w:w="556" w:type="pct"/>
          </w:tcPr>
          <w:p w14:paraId="1588820B" w14:textId="77777777" w:rsidR="009F5F60" w:rsidRPr="00446B3D" w:rsidRDefault="009F5F60" w:rsidP="00446B3D">
            <w:pPr>
              <w:pStyle w:val="NoSpacing"/>
              <w:rPr>
                <w:sz w:val="20"/>
                <w:szCs w:val="20"/>
              </w:rPr>
            </w:pPr>
          </w:p>
        </w:tc>
        <w:tc>
          <w:tcPr>
            <w:tcW w:w="782" w:type="pct"/>
          </w:tcPr>
          <w:p w14:paraId="30F1A1EF" w14:textId="77777777" w:rsidR="009F5F60" w:rsidRPr="00446B3D" w:rsidRDefault="009F5F60" w:rsidP="00446B3D">
            <w:pPr>
              <w:pStyle w:val="NoSpacing"/>
              <w:rPr>
                <w:sz w:val="20"/>
                <w:szCs w:val="20"/>
              </w:rPr>
            </w:pPr>
          </w:p>
        </w:tc>
        <w:tc>
          <w:tcPr>
            <w:tcW w:w="694" w:type="pct"/>
          </w:tcPr>
          <w:p w14:paraId="40DE21AB" w14:textId="77777777" w:rsidR="009F5F60" w:rsidRPr="00446B3D" w:rsidRDefault="009F5F60" w:rsidP="00446B3D">
            <w:pPr>
              <w:pStyle w:val="NoSpacing"/>
              <w:rPr>
                <w:sz w:val="20"/>
                <w:szCs w:val="20"/>
              </w:rPr>
            </w:pPr>
          </w:p>
        </w:tc>
        <w:tc>
          <w:tcPr>
            <w:tcW w:w="688" w:type="pct"/>
          </w:tcPr>
          <w:p w14:paraId="24BE80C7" w14:textId="77777777" w:rsidR="009F5F60" w:rsidRPr="00446B3D" w:rsidRDefault="009F5F60" w:rsidP="00446B3D">
            <w:pPr>
              <w:pStyle w:val="NoSpacing"/>
              <w:rPr>
                <w:sz w:val="20"/>
                <w:szCs w:val="20"/>
              </w:rPr>
            </w:pPr>
          </w:p>
        </w:tc>
        <w:tc>
          <w:tcPr>
            <w:tcW w:w="688" w:type="pct"/>
          </w:tcPr>
          <w:p w14:paraId="3B5F1C19" w14:textId="77777777" w:rsidR="009F5F60" w:rsidRPr="00446B3D" w:rsidRDefault="009F5F60" w:rsidP="00446B3D">
            <w:pPr>
              <w:pStyle w:val="NoSpacing"/>
              <w:rPr>
                <w:sz w:val="20"/>
                <w:szCs w:val="20"/>
              </w:rPr>
            </w:pPr>
          </w:p>
        </w:tc>
        <w:tc>
          <w:tcPr>
            <w:tcW w:w="422" w:type="pct"/>
          </w:tcPr>
          <w:p w14:paraId="06067330" w14:textId="35A9E594" w:rsidR="009F5F60" w:rsidRPr="00446B3D" w:rsidRDefault="009F5F60" w:rsidP="00446B3D">
            <w:pPr>
              <w:pStyle w:val="NoSpacing"/>
              <w:rPr>
                <w:sz w:val="20"/>
                <w:szCs w:val="20"/>
              </w:rPr>
            </w:pPr>
          </w:p>
        </w:tc>
      </w:tr>
      <w:tr w:rsidR="00261547" w:rsidRPr="00446B3D" w14:paraId="4B0FEED2" w14:textId="77777777" w:rsidTr="00446B3D">
        <w:tc>
          <w:tcPr>
            <w:tcW w:w="1169" w:type="pct"/>
          </w:tcPr>
          <w:p w14:paraId="2A4C1D39" w14:textId="41352A4D" w:rsidR="009F5F60" w:rsidRPr="00446B3D" w:rsidRDefault="00F305A3" w:rsidP="00446B3D">
            <w:pPr>
              <w:pStyle w:val="NoSpacing"/>
              <w:rPr>
                <w:sz w:val="20"/>
                <w:szCs w:val="20"/>
              </w:rPr>
            </w:pPr>
            <w:r w:rsidRPr="00446B3D">
              <w:rPr>
                <w:sz w:val="20"/>
                <w:szCs w:val="20"/>
              </w:rPr>
              <w:t>acetonitrile</w:t>
            </w:r>
          </w:p>
        </w:tc>
        <w:tc>
          <w:tcPr>
            <w:tcW w:w="556" w:type="pct"/>
          </w:tcPr>
          <w:p w14:paraId="4509E348" w14:textId="48DC55AD" w:rsidR="009F5F60" w:rsidRPr="00446B3D" w:rsidRDefault="00101C31" w:rsidP="00446B3D">
            <w:pPr>
              <w:pStyle w:val="NoSpacing"/>
              <w:rPr>
                <w:sz w:val="20"/>
                <w:szCs w:val="20"/>
              </w:rPr>
            </w:pPr>
            <w:r w:rsidRPr="00446B3D">
              <w:rPr>
                <w:sz w:val="20"/>
                <w:szCs w:val="20"/>
              </w:rPr>
              <w:t>41.053</w:t>
            </w:r>
          </w:p>
        </w:tc>
        <w:tc>
          <w:tcPr>
            <w:tcW w:w="782" w:type="pct"/>
          </w:tcPr>
          <w:p w14:paraId="27611740" w14:textId="4FDB935C" w:rsidR="009F5F60" w:rsidRPr="00446B3D" w:rsidRDefault="00101C31" w:rsidP="00446B3D">
            <w:pPr>
              <w:pStyle w:val="NoSpacing"/>
              <w:rPr>
                <w:sz w:val="20"/>
                <w:szCs w:val="20"/>
              </w:rPr>
            </w:pPr>
            <w:r w:rsidRPr="00446B3D">
              <w:rPr>
                <w:sz w:val="20"/>
                <w:szCs w:val="20"/>
              </w:rPr>
              <w:t>–</w:t>
            </w:r>
          </w:p>
        </w:tc>
        <w:tc>
          <w:tcPr>
            <w:tcW w:w="694" w:type="pct"/>
          </w:tcPr>
          <w:p w14:paraId="52C5C0C6" w14:textId="70ECEBA8" w:rsidR="009F5F60" w:rsidRPr="00446B3D" w:rsidRDefault="00101C31" w:rsidP="00446B3D">
            <w:pPr>
              <w:pStyle w:val="NoSpacing"/>
              <w:rPr>
                <w:sz w:val="20"/>
                <w:szCs w:val="20"/>
              </w:rPr>
            </w:pPr>
            <w:r w:rsidRPr="00446B3D">
              <w:rPr>
                <w:sz w:val="20"/>
                <w:szCs w:val="20"/>
              </w:rPr>
              <w:t>–</w:t>
            </w:r>
          </w:p>
        </w:tc>
        <w:tc>
          <w:tcPr>
            <w:tcW w:w="688" w:type="pct"/>
          </w:tcPr>
          <w:p w14:paraId="0781538F" w14:textId="7508D095" w:rsidR="009F5F60" w:rsidRPr="00446B3D" w:rsidRDefault="00101C31" w:rsidP="00446B3D">
            <w:pPr>
              <w:pStyle w:val="NoSpacing"/>
              <w:rPr>
                <w:sz w:val="20"/>
                <w:szCs w:val="20"/>
              </w:rPr>
            </w:pPr>
            <w:r w:rsidRPr="00446B3D">
              <w:rPr>
                <w:sz w:val="20"/>
                <w:szCs w:val="20"/>
              </w:rPr>
              <w:t>1.4</w:t>
            </w:r>
          </w:p>
        </w:tc>
        <w:tc>
          <w:tcPr>
            <w:tcW w:w="688" w:type="pct"/>
          </w:tcPr>
          <w:p w14:paraId="076F5072" w14:textId="397A35FF" w:rsidR="009F5F60" w:rsidRPr="00446B3D" w:rsidRDefault="00101C31" w:rsidP="00446B3D">
            <w:pPr>
              <w:pStyle w:val="NoSpacing"/>
              <w:rPr>
                <w:sz w:val="20"/>
                <w:szCs w:val="20"/>
              </w:rPr>
            </w:pPr>
            <w:r w:rsidRPr="00446B3D">
              <w:rPr>
                <w:sz w:val="20"/>
                <w:szCs w:val="20"/>
              </w:rPr>
              <w:t>–</w:t>
            </w:r>
          </w:p>
        </w:tc>
        <w:tc>
          <w:tcPr>
            <w:tcW w:w="422" w:type="pct"/>
          </w:tcPr>
          <w:p w14:paraId="30EB39AA" w14:textId="37E56633" w:rsidR="009F5F60" w:rsidRPr="00446B3D" w:rsidRDefault="00101C31" w:rsidP="00446B3D">
            <w:pPr>
              <w:pStyle w:val="NoSpacing"/>
              <w:rPr>
                <w:sz w:val="20"/>
                <w:szCs w:val="20"/>
              </w:rPr>
            </w:pPr>
            <w:r w:rsidRPr="00446B3D">
              <w:rPr>
                <w:sz w:val="20"/>
                <w:szCs w:val="20"/>
              </w:rPr>
              <w:t>28,000</w:t>
            </w:r>
            <w:r w:rsidRPr="00446B3D">
              <w:rPr>
                <w:sz w:val="20"/>
                <w:szCs w:val="20"/>
                <w:vertAlign w:val="superscript"/>
              </w:rPr>
              <w:t>b</w:t>
            </w:r>
          </w:p>
        </w:tc>
      </w:tr>
      <w:tr w:rsidR="00261547" w:rsidRPr="00446B3D" w14:paraId="544CF79D" w14:textId="77777777" w:rsidTr="00446B3D">
        <w:tc>
          <w:tcPr>
            <w:tcW w:w="1169" w:type="pct"/>
          </w:tcPr>
          <w:p w14:paraId="0FDC5559" w14:textId="1D6AEB56" w:rsidR="009F5F60" w:rsidRPr="00446B3D" w:rsidRDefault="00F305A3" w:rsidP="00446B3D">
            <w:pPr>
              <w:pStyle w:val="NoSpacing"/>
              <w:rPr>
                <w:sz w:val="20"/>
                <w:szCs w:val="20"/>
              </w:rPr>
            </w:pPr>
            <w:r w:rsidRPr="00446B3D">
              <w:rPr>
                <w:sz w:val="20"/>
                <w:szCs w:val="20"/>
              </w:rPr>
              <w:t>propane nitrile</w:t>
            </w:r>
          </w:p>
        </w:tc>
        <w:tc>
          <w:tcPr>
            <w:tcW w:w="556" w:type="pct"/>
          </w:tcPr>
          <w:p w14:paraId="12C2E0C5" w14:textId="1C8EA554" w:rsidR="009F5F60" w:rsidRPr="00446B3D" w:rsidRDefault="005C0A6B" w:rsidP="00446B3D">
            <w:pPr>
              <w:pStyle w:val="NoSpacing"/>
              <w:rPr>
                <w:sz w:val="20"/>
                <w:szCs w:val="20"/>
              </w:rPr>
            </w:pPr>
            <w:r w:rsidRPr="00446B3D">
              <w:rPr>
                <w:sz w:val="20"/>
                <w:szCs w:val="20"/>
              </w:rPr>
              <w:t>55.08</w:t>
            </w:r>
          </w:p>
        </w:tc>
        <w:tc>
          <w:tcPr>
            <w:tcW w:w="782" w:type="pct"/>
          </w:tcPr>
          <w:p w14:paraId="5935AA33" w14:textId="1480791B" w:rsidR="009F5F60" w:rsidRPr="00446B3D" w:rsidRDefault="00751933" w:rsidP="00446B3D">
            <w:pPr>
              <w:pStyle w:val="NoSpacing"/>
              <w:rPr>
                <w:sz w:val="20"/>
                <w:szCs w:val="20"/>
              </w:rPr>
            </w:pPr>
            <w:r w:rsidRPr="00446B3D">
              <w:rPr>
                <w:sz w:val="20"/>
                <w:szCs w:val="20"/>
              </w:rPr>
              <w:t>–</w:t>
            </w:r>
          </w:p>
        </w:tc>
        <w:tc>
          <w:tcPr>
            <w:tcW w:w="694" w:type="pct"/>
          </w:tcPr>
          <w:p w14:paraId="7ACF4F0D" w14:textId="3B15A213" w:rsidR="009F5F60" w:rsidRPr="00446B3D" w:rsidRDefault="00751933" w:rsidP="00446B3D">
            <w:pPr>
              <w:pStyle w:val="NoSpacing"/>
              <w:rPr>
                <w:sz w:val="20"/>
                <w:szCs w:val="20"/>
              </w:rPr>
            </w:pPr>
            <w:r w:rsidRPr="00446B3D">
              <w:rPr>
                <w:sz w:val="20"/>
                <w:szCs w:val="20"/>
              </w:rPr>
              <w:t>–</w:t>
            </w:r>
          </w:p>
        </w:tc>
        <w:tc>
          <w:tcPr>
            <w:tcW w:w="688" w:type="pct"/>
          </w:tcPr>
          <w:p w14:paraId="7E188E78" w14:textId="16EC9F67" w:rsidR="009F5F60" w:rsidRPr="00446B3D" w:rsidRDefault="00751933" w:rsidP="00446B3D">
            <w:pPr>
              <w:pStyle w:val="NoSpacing"/>
              <w:rPr>
                <w:sz w:val="20"/>
                <w:szCs w:val="20"/>
              </w:rPr>
            </w:pPr>
            <w:r w:rsidRPr="00446B3D">
              <w:rPr>
                <w:sz w:val="20"/>
                <w:szCs w:val="20"/>
              </w:rPr>
              <w:t>0.3</w:t>
            </w:r>
          </w:p>
        </w:tc>
        <w:tc>
          <w:tcPr>
            <w:tcW w:w="688" w:type="pct"/>
          </w:tcPr>
          <w:p w14:paraId="0F1E8F67" w14:textId="1F2FB0D6" w:rsidR="009F5F60" w:rsidRPr="00446B3D" w:rsidRDefault="00751933" w:rsidP="00446B3D">
            <w:pPr>
              <w:pStyle w:val="NoSpacing"/>
              <w:rPr>
                <w:sz w:val="20"/>
                <w:szCs w:val="20"/>
              </w:rPr>
            </w:pPr>
            <w:r w:rsidRPr="00446B3D">
              <w:rPr>
                <w:sz w:val="20"/>
                <w:szCs w:val="20"/>
              </w:rPr>
              <w:t>–</w:t>
            </w:r>
          </w:p>
        </w:tc>
        <w:tc>
          <w:tcPr>
            <w:tcW w:w="422" w:type="pct"/>
          </w:tcPr>
          <w:p w14:paraId="3D49D3BE" w14:textId="258A2CBA" w:rsidR="009F5F60" w:rsidRPr="00446B3D" w:rsidRDefault="00751933" w:rsidP="00446B3D">
            <w:pPr>
              <w:pStyle w:val="NoSpacing"/>
              <w:rPr>
                <w:sz w:val="20"/>
                <w:szCs w:val="20"/>
              </w:rPr>
            </w:pPr>
            <w:r w:rsidRPr="00446B3D">
              <w:rPr>
                <w:sz w:val="20"/>
                <w:szCs w:val="20"/>
              </w:rPr>
              <w:t>–</w:t>
            </w:r>
          </w:p>
        </w:tc>
      </w:tr>
      <w:tr w:rsidR="00261547" w:rsidRPr="00446B3D" w14:paraId="2B5F7BAD" w14:textId="77777777" w:rsidTr="00446B3D">
        <w:tc>
          <w:tcPr>
            <w:tcW w:w="1169" w:type="pct"/>
          </w:tcPr>
          <w:p w14:paraId="5EA7891D" w14:textId="2D20E4D6" w:rsidR="009F5F60" w:rsidRPr="00446B3D" w:rsidRDefault="00F305A3" w:rsidP="00446B3D">
            <w:pPr>
              <w:pStyle w:val="NoSpacing"/>
              <w:rPr>
                <w:sz w:val="20"/>
                <w:szCs w:val="20"/>
              </w:rPr>
            </w:pPr>
            <w:r w:rsidRPr="00446B3D">
              <w:rPr>
                <w:sz w:val="20"/>
                <w:szCs w:val="20"/>
              </w:rPr>
              <w:t>acetamide</w:t>
            </w:r>
          </w:p>
        </w:tc>
        <w:tc>
          <w:tcPr>
            <w:tcW w:w="556" w:type="pct"/>
          </w:tcPr>
          <w:p w14:paraId="5C43FBDE" w14:textId="46810E0E" w:rsidR="009F5F60" w:rsidRPr="00446B3D" w:rsidRDefault="005C0A6B" w:rsidP="00446B3D">
            <w:pPr>
              <w:pStyle w:val="NoSpacing"/>
              <w:rPr>
                <w:sz w:val="20"/>
                <w:szCs w:val="20"/>
              </w:rPr>
            </w:pPr>
            <w:r w:rsidRPr="00446B3D">
              <w:rPr>
                <w:sz w:val="20"/>
                <w:szCs w:val="20"/>
              </w:rPr>
              <w:t>59.068</w:t>
            </w:r>
          </w:p>
        </w:tc>
        <w:tc>
          <w:tcPr>
            <w:tcW w:w="782" w:type="pct"/>
          </w:tcPr>
          <w:p w14:paraId="372267CA" w14:textId="5E4ED152" w:rsidR="009F5F60" w:rsidRPr="00446B3D" w:rsidRDefault="00751933" w:rsidP="00446B3D">
            <w:pPr>
              <w:pStyle w:val="NoSpacing"/>
              <w:rPr>
                <w:sz w:val="20"/>
                <w:szCs w:val="20"/>
              </w:rPr>
            </w:pPr>
            <w:r w:rsidRPr="00446B3D">
              <w:rPr>
                <w:sz w:val="20"/>
                <w:szCs w:val="20"/>
              </w:rPr>
              <w:t>–</w:t>
            </w:r>
          </w:p>
        </w:tc>
        <w:tc>
          <w:tcPr>
            <w:tcW w:w="694" w:type="pct"/>
          </w:tcPr>
          <w:p w14:paraId="3DF478B0" w14:textId="797BC325" w:rsidR="009F5F60" w:rsidRPr="00446B3D" w:rsidRDefault="00751933" w:rsidP="00446B3D">
            <w:pPr>
              <w:pStyle w:val="NoSpacing"/>
              <w:rPr>
                <w:sz w:val="20"/>
                <w:szCs w:val="20"/>
              </w:rPr>
            </w:pPr>
            <w:r w:rsidRPr="00446B3D">
              <w:rPr>
                <w:sz w:val="20"/>
                <w:szCs w:val="20"/>
              </w:rPr>
              <w:t>–</w:t>
            </w:r>
          </w:p>
        </w:tc>
        <w:tc>
          <w:tcPr>
            <w:tcW w:w="688" w:type="pct"/>
          </w:tcPr>
          <w:p w14:paraId="66C6DCA4" w14:textId="6210D38A" w:rsidR="009F5F60" w:rsidRPr="00446B3D" w:rsidRDefault="00751933" w:rsidP="00446B3D">
            <w:pPr>
              <w:pStyle w:val="NoSpacing"/>
              <w:rPr>
                <w:sz w:val="20"/>
                <w:szCs w:val="20"/>
              </w:rPr>
            </w:pPr>
            <w:r w:rsidRPr="00446B3D">
              <w:rPr>
                <w:sz w:val="20"/>
                <w:szCs w:val="20"/>
              </w:rPr>
              <w:t>–</w:t>
            </w:r>
          </w:p>
        </w:tc>
        <w:tc>
          <w:tcPr>
            <w:tcW w:w="688" w:type="pct"/>
          </w:tcPr>
          <w:p w14:paraId="760B5E36" w14:textId="3A69215E" w:rsidR="009F5F60" w:rsidRPr="00446B3D" w:rsidRDefault="00751933" w:rsidP="00446B3D">
            <w:pPr>
              <w:pStyle w:val="NoSpacing"/>
              <w:rPr>
                <w:sz w:val="20"/>
                <w:szCs w:val="20"/>
              </w:rPr>
            </w:pPr>
            <w:r w:rsidRPr="00446B3D">
              <w:rPr>
                <w:sz w:val="20"/>
                <w:szCs w:val="20"/>
              </w:rPr>
              <w:t>14.1</w:t>
            </w:r>
          </w:p>
        </w:tc>
        <w:tc>
          <w:tcPr>
            <w:tcW w:w="422" w:type="pct"/>
          </w:tcPr>
          <w:p w14:paraId="27C428D7" w14:textId="13BFB170" w:rsidR="009F5F60" w:rsidRPr="00446B3D" w:rsidRDefault="00751933" w:rsidP="00446B3D">
            <w:pPr>
              <w:pStyle w:val="NoSpacing"/>
              <w:rPr>
                <w:sz w:val="20"/>
                <w:szCs w:val="20"/>
              </w:rPr>
            </w:pPr>
            <w:r w:rsidRPr="00446B3D">
              <w:rPr>
                <w:sz w:val="20"/>
                <w:szCs w:val="20"/>
              </w:rPr>
              <w:t>–</w:t>
            </w:r>
          </w:p>
        </w:tc>
      </w:tr>
      <w:tr w:rsidR="00261547" w:rsidRPr="00446B3D" w14:paraId="06FAFA0F" w14:textId="77777777" w:rsidTr="00446B3D">
        <w:tc>
          <w:tcPr>
            <w:tcW w:w="1169" w:type="pct"/>
          </w:tcPr>
          <w:p w14:paraId="595D6B62" w14:textId="765D5B33" w:rsidR="009F5F60" w:rsidRPr="00446B3D" w:rsidRDefault="00F305A3" w:rsidP="00446B3D">
            <w:pPr>
              <w:pStyle w:val="NoSpacing"/>
              <w:rPr>
                <w:sz w:val="20"/>
                <w:szCs w:val="20"/>
              </w:rPr>
            </w:pPr>
            <w:r w:rsidRPr="00446B3D">
              <w:rPr>
                <w:sz w:val="20"/>
                <w:szCs w:val="20"/>
              </w:rPr>
              <w:t>acetic acid</w:t>
            </w:r>
          </w:p>
        </w:tc>
        <w:tc>
          <w:tcPr>
            <w:tcW w:w="556" w:type="pct"/>
          </w:tcPr>
          <w:p w14:paraId="6FED6691" w14:textId="3726479C" w:rsidR="009F5F60" w:rsidRPr="00446B3D" w:rsidRDefault="005C0A6B" w:rsidP="00446B3D">
            <w:pPr>
              <w:pStyle w:val="NoSpacing"/>
              <w:rPr>
                <w:sz w:val="20"/>
                <w:szCs w:val="20"/>
              </w:rPr>
            </w:pPr>
            <w:r w:rsidRPr="00446B3D">
              <w:rPr>
                <w:sz w:val="20"/>
                <w:szCs w:val="20"/>
              </w:rPr>
              <w:t>60.052</w:t>
            </w:r>
          </w:p>
        </w:tc>
        <w:tc>
          <w:tcPr>
            <w:tcW w:w="782" w:type="pct"/>
          </w:tcPr>
          <w:p w14:paraId="0184ABF6" w14:textId="13EF86C2" w:rsidR="009F5F60" w:rsidRPr="00446B3D" w:rsidRDefault="00CF1FB8" w:rsidP="00446B3D">
            <w:pPr>
              <w:pStyle w:val="NoSpacing"/>
              <w:rPr>
                <w:sz w:val="20"/>
                <w:szCs w:val="20"/>
              </w:rPr>
            </w:pPr>
            <w:r w:rsidRPr="00446B3D">
              <w:rPr>
                <w:sz w:val="20"/>
                <w:szCs w:val="20"/>
              </w:rPr>
              <w:t>24,224 ± 1,453</w:t>
            </w:r>
          </w:p>
        </w:tc>
        <w:tc>
          <w:tcPr>
            <w:tcW w:w="694" w:type="pct"/>
          </w:tcPr>
          <w:p w14:paraId="59C5A367" w14:textId="0F085492" w:rsidR="009F5F60" w:rsidRPr="00446B3D" w:rsidRDefault="00435232" w:rsidP="00446B3D">
            <w:pPr>
              <w:pStyle w:val="NoSpacing"/>
              <w:rPr>
                <w:sz w:val="20"/>
                <w:szCs w:val="20"/>
              </w:rPr>
            </w:pPr>
            <w:r w:rsidRPr="00446B3D">
              <w:rPr>
                <w:sz w:val="20"/>
                <w:szCs w:val="20"/>
              </w:rPr>
              <w:t>-</w:t>
            </w:r>
          </w:p>
        </w:tc>
        <w:tc>
          <w:tcPr>
            <w:tcW w:w="688" w:type="pct"/>
          </w:tcPr>
          <w:p w14:paraId="0E1A989D" w14:textId="5C838018" w:rsidR="009F5F60" w:rsidRPr="00446B3D" w:rsidRDefault="00CF1FB8" w:rsidP="00446B3D">
            <w:pPr>
              <w:pStyle w:val="NoSpacing"/>
              <w:rPr>
                <w:sz w:val="20"/>
                <w:szCs w:val="20"/>
              </w:rPr>
            </w:pPr>
            <w:r w:rsidRPr="00446B3D">
              <w:rPr>
                <w:sz w:val="20"/>
                <w:szCs w:val="20"/>
              </w:rPr>
              <w:t>15.4</w:t>
            </w:r>
          </w:p>
        </w:tc>
        <w:tc>
          <w:tcPr>
            <w:tcW w:w="688" w:type="pct"/>
          </w:tcPr>
          <w:p w14:paraId="2D5D7715" w14:textId="7CFD2567" w:rsidR="009F5F60" w:rsidRPr="00446B3D" w:rsidRDefault="00CF1FB8" w:rsidP="00446B3D">
            <w:pPr>
              <w:pStyle w:val="NoSpacing"/>
              <w:rPr>
                <w:sz w:val="20"/>
                <w:szCs w:val="20"/>
              </w:rPr>
            </w:pPr>
            <w:r w:rsidRPr="00446B3D">
              <w:rPr>
                <w:sz w:val="20"/>
                <w:szCs w:val="20"/>
              </w:rPr>
              <w:t>–</w:t>
            </w:r>
          </w:p>
        </w:tc>
        <w:tc>
          <w:tcPr>
            <w:tcW w:w="422" w:type="pct"/>
          </w:tcPr>
          <w:p w14:paraId="09185ED6" w14:textId="76190C39" w:rsidR="009F5F60" w:rsidRPr="00446B3D" w:rsidRDefault="0095271E" w:rsidP="00446B3D">
            <w:pPr>
              <w:pStyle w:val="NoSpacing"/>
              <w:rPr>
                <w:sz w:val="20"/>
                <w:szCs w:val="20"/>
              </w:rPr>
            </w:pPr>
            <w:r w:rsidRPr="00446B3D">
              <w:rPr>
                <w:sz w:val="20"/>
                <w:szCs w:val="20"/>
              </w:rPr>
              <w:t>-</w:t>
            </w:r>
          </w:p>
        </w:tc>
      </w:tr>
      <w:tr w:rsidR="00261547" w:rsidRPr="00446B3D" w14:paraId="71BD7A31" w14:textId="77777777" w:rsidTr="00446B3D">
        <w:tc>
          <w:tcPr>
            <w:tcW w:w="1169" w:type="pct"/>
          </w:tcPr>
          <w:p w14:paraId="59E8984A" w14:textId="426BE963" w:rsidR="009F5F60" w:rsidRPr="00446B3D" w:rsidRDefault="00F305A3" w:rsidP="00446B3D">
            <w:pPr>
              <w:pStyle w:val="NoSpacing"/>
              <w:rPr>
                <w:sz w:val="20"/>
                <w:szCs w:val="20"/>
              </w:rPr>
            </w:pPr>
            <w:r w:rsidRPr="00446B3D">
              <w:rPr>
                <w:sz w:val="20"/>
                <w:szCs w:val="20"/>
              </w:rPr>
              <w:t>pyrrole</w:t>
            </w:r>
          </w:p>
        </w:tc>
        <w:tc>
          <w:tcPr>
            <w:tcW w:w="556" w:type="pct"/>
          </w:tcPr>
          <w:p w14:paraId="4B273FF3" w14:textId="16A58EBF" w:rsidR="009F5F60" w:rsidRPr="00446B3D" w:rsidRDefault="003667C4" w:rsidP="00446B3D">
            <w:pPr>
              <w:pStyle w:val="NoSpacing"/>
              <w:rPr>
                <w:sz w:val="20"/>
                <w:szCs w:val="20"/>
              </w:rPr>
            </w:pPr>
            <w:r w:rsidRPr="00446B3D">
              <w:rPr>
                <w:sz w:val="20"/>
                <w:szCs w:val="20"/>
              </w:rPr>
              <w:t>67.091</w:t>
            </w:r>
          </w:p>
        </w:tc>
        <w:tc>
          <w:tcPr>
            <w:tcW w:w="782" w:type="pct"/>
          </w:tcPr>
          <w:p w14:paraId="3BCD2ACA" w14:textId="02763428" w:rsidR="009F5F60" w:rsidRPr="00446B3D" w:rsidRDefault="00F0720F" w:rsidP="00446B3D">
            <w:pPr>
              <w:pStyle w:val="NoSpacing"/>
              <w:rPr>
                <w:sz w:val="20"/>
                <w:szCs w:val="20"/>
              </w:rPr>
            </w:pPr>
            <w:r w:rsidRPr="00446B3D">
              <w:rPr>
                <w:sz w:val="20"/>
                <w:szCs w:val="20"/>
              </w:rPr>
              <w:t>-</w:t>
            </w:r>
          </w:p>
        </w:tc>
        <w:tc>
          <w:tcPr>
            <w:tcW w:w="694" w:type="pct"/>
          </w:tcPr>
          <w:p w14:paraId="48EF553C" w14:textId="4DA10DA6" w:rsidR="009F5F60" w:rsidRPr="00446B3D" w:rsidRDefault="00435232" w:rsidP="00446B3D">
            <w:pPr>
              <w:pStyle w:val="NoSpacing"/>
              <w:rPr>
                <w:sz w:val="20"/>
                <w:szCs w:val="20"/>
              </w:rPr>
            </w:pPr>
            <w:r w:rsidRPr="00446B3D">
              <w:rPr>
                <w:sz w:val="20"/>
                <w:szCs w:val="20"/>
              </w:rPr>
              <w:t>-</w:t>
            </w:r>
          </w:p>
        </w:tc>
        <w:tc>
          <w:tcPr>
            <w:tcW w:w="688" w:type="pct"/>
          </w:tcPr>
          <w:p w14:paraId="20A5AE13" w14:textId="7C7782C6" w:rsidR="009F5F60" w:rsidRPr="00446B3D" w:rsidRDefault="00693B63" w:rsidP="00446B3D">
            <w:pPr>
              <w:pStyle w:val="NoSpacing"/>
              <w:rPr>
                <w:sz w:val="20"/>
                <w:szCs w:val="20"/>
              </w:rPr>
            </w:pPr>
            <w:r w:rsidRPr="00446B3D">
              <w:rPr>
                <w:sz w:val="20"/>
                <w:szCs w:val="20"/>
              </w:rPr>
              <w:t>-</w:t>
            </w:r>
          </w:p>
        </w:tc>
        <w:tc>
          <w:tcPr>
            <w:tcW w:w="688" w:type="pct"/>
          </w:tcPr>
          <w:p w14:paraId="0F13C920" w14:textId="374FA9DC" w:rsidR="009F5F60" w:rsidRPr="00446B3D" w:rsidRDefault="004958D2" w:rsidP="00446B3D">
            <w:pPr>
              <w:pStyle w:val="NoSpacing"/>
              <w:rPr>
                <w:sz w:val="20"/>
                <w:szCs w:val="20"/>
              </w:rPr>
            </w:pPr>
            <w:r w:rsidRPr="00446B3D">
              <w:rPr>
                <w:sz w:val="20"/>
                <w:szCs w:val="20"/>
              </w:rPr>
              <w:t>22.8</w:t>
            </w:r>
          </w:p>
        </w:tc>
        <w:tc>
          <w:tcPr>
            <w:tcW w:w="422" w:type="pct"/>
          </w:tcPr>
          <w:p w14:paraId="6557BB68" w14:textId="167ED5BD" w:rsidR="009F5F60" w:rsidRPr="00446B3D" w:rsidRDefault="00287126" w:rsidP="00446B3D">
            <w:pPr>
              <w:pStyle w:val="NoSpacing"/>
              <w:rPr>
                <w:sz w:val="20"/>
                <w:szCs w:val="20"/>
              </w:rPr>
            </w:pPr>
            <w:r w:rsidRPr="00446B3D">
              <w:rPr>
                <w:sz w:val="20"/>
                <w:szCs w:val="20"/>
              </w:rPr>
              <w:t>-</w:t>
            </w:r>
          </w:p>
        </w:tc>
      </w:tr>
      <w:tr w:rsidR="00261547" w:rsidRPr="00446B3D" w14:paraId="2B3872A1" w14:textId="77777777" w:rsidTr="00446B3D">
        <w:tc>
          <w:tcPr>
            <w:tcW w:w="1169" w:type="pct"/>
          </w:tcPr>
          <w:p w14:paraId="0969A42D" w14:textId="357DC14F" w:rsidR="009F5F60" w:rsidRPr="00446B3D" w:rsidRDefault="00F305A3" w:rsidP="00446B3D">
            <w:pPr>
              <w:pStyle w:val="NoSpacing"/>
              <w:rPr>
                <w:sz w:val="20"/>
                <w:szCs w:val="20"/>
              </w:rPr>
            </w:pPr>
            <w:r w:rsidRPr="00446B3D">
              <w:rPr>
                <w:sz w:val="20"/>
                <w:szCs w:val="20"/>
              </w:rPr>
              <w:t>DMF</w:t>
            </w:r>
          </w:p>
        </w:tc>
        <w:tc>
          <w:tcPr>
            <w:tcW w:w="556" w:type="pct"/>
          </w:tcPr>
          <w:p w14:paraId="34CC1602" w14:textId="268ED7E1" w:rsidR="009F5F60" w:rsidRPr="00446B3D" w:rsidRDefault="003667C4" w:rsidP="00446B3D">
            <w:pPr>
              <w:pStyle w:val="NoSpacing"/>
              <w:rPr>
                <w:sz w:val="20"/>
                <w:szCs w:val="20"/>
              </w:rPr>
            </w:pPr>
            <w:r w:rsidRPr="00446B3D">
              <w:rPr>
                <w:sz w:val="20"/>
                <w:szCs w:val="20"/>
              </w:rPr>
              <w:t>73.095</w:t>
            </w:r>
          </w:p>
        </w:tc>
        <w:tc>
          <w:tcPr>
            <w:tcW w:w="782" w:type="pct"/>
          </w:tcPr>
          <w:p w14:paraId="14752565" w14:textId="0BBB8620" w:rsidR="009F5F60" w:rsidRPr="00446B3D" w:rsidRDefault="00F0720F" w:rsidP="00446B3D">
            <w:pPr>
              <w:pStyle w:val="NoSpacing"/>
              <w:rPr>
                <w:sz w:val="20"/>
                <w:szCs w:val="20"/>
              </w:rPr>
            </w:pPr>
            <w:r w:rsidRPr="00446B3D">
              <w:rPr>
                <w:sz w:val="20"/>
                <w:szCs w:val="20"/>
              </w:rPr>
              <w:t>-</w:t>
            </w:r>
          </w:p>
        </w:tc>
        <w:tc>
          <w:tcPr>
            <w:tcW w:w="694" w:type="pct"/>
          </w:tcPr>
          <w:p w14:paraId="6D283EEC" w14:textId="36958461" w:rsidR="009F5F60" w:rsidRPr="00446B3D" w:rsidRDefault="00435232" w:rsidP="00446B3D">
            <w:pPr>
              <w:pStyle w:val="NoSpacing"/>
              <w:rPr>
                <w:sz w:val="20"/>
                <w:szCs w:val="20"/>
              </w:rPr>
            </w:pPr>
            <w:r w:rsidRPr="00446B3D">
              <w:rPr>
                <w:sz w:val="20"/>
                <w:szCs w:val="20"/>
              </w:rPr>
              <w:t>-</w:t>
            </w:r>
          </w:p>
        </w:tc>
        <w:tc>
          <w:tcPr>
            <w:tcW w:w="688" w:type="pct"/>
          </w:tcPr>
          <w:p w14:paraId="3C02DC85" w14:textId="2B0CC625" w:rsidR="009F5F60" w:rsidRPr="00446B3D" w:rsidRDefault="00693B63" w:rsidP="00446B3D">
            <w:pPr>
              <w:pStyle w:val="NoSpacing"/>
              <w:rPr>
                <w:sz w:val="20"/>
                <w:szCs w:val="20"/>
              </w:rPr>
            </w:pPr>
            <w:r w:rsidRPr="00446B3D">
              <w:rPr>
                <w:sz w:val="20"/>
                <w:szCs w:val="20"/>
              </w:rPr>
              <w:t>0.9</w:t>
            </w:r>
          </w:p>
        </w:tc>
        <w:tc>
          <w:tcPr>
            <w:tcW w:w="688" w:type="pct"/>
          </w:tcPr>
          <w:p w14:paraId="54D2ACA9" w14:textId="063424C8" w:rsidR="009F5F60" w:rsidRPr="00446B3D" w:rsidRDefault="004958D2" w:rsidP="00446B3D">
            <w:pPr>
              <w:pStyle w:val="NoSpacing"/>
              <w:rPr>
                <w:sz w:val="20"/>
                <w:szCs w:val="20"/>
              </w:rPr>
            </w:pPr>
            <w:r w:rsidRPr="00446B3D">
              <w:rPr>
                <w:sz w:val="20"/>
                <w:szCs w:val="20"/>
              </w:rPr>
              <w:t>-</w:t>
            </w:r>
          </w:p>
        </w:tc>
        <w:tc>
          <w:tcPr>
            <w:tcW w:w="422" w:type="pct"/>
          </w:tcPr>
          <w:p w14:paraId="0D059BD8" w14:textId="1ADA6BEF" w:rsidR="009F5F60" w:rsidRPr="00446B3D" w:rsidRDefault="00287126" w:rsidP="00446B3D">
            <w:pPr>
              <w:pStyle w:val="NoSpacing"/>
              <w:rPr>
                <w:sz w:val="20"/>
                <w:szCs w:val="20"/>
              </w:rPr>
            </w:pPr>
            <w:r w:rsidRPr="00446B3D">
              <w:rPr>
                <w:sz w:val="20"/>
                <w:szCs w:val="20"/>
              </w:rPr>
              <w:t>-</w:t>
            </w:r>
          </w:p>
        </w:tc>
      </w:tr>
      <w:tr w:rsidR="00261547" w:rsidRPr="00446B3D" w14:paraId="1C22F315" w14:textId="77777777" w:rsidTr="00446B3D">
        <w:tc>
          <w:tcPr>
            <w:tcW w:w="1169" w:type="pct"/>
          </w:tcPr>
          <w:p w14:paraId="0430EDAC" w14:textId="3EF158F3" w:rsidR="009F5F60" w:rsidRPr="00446B3D" w:rsidRDefault="00F305A3" w:rsidP="00446B3D">
            <w:pPr>
              <w:pStyle w:val="NoSpacing"/>
              <w:rPr>
                <w:sz w:val="20"/>
                <w:szCs w:val="20"/>
              </w:rPr>
            </w:pPr>
            <w:r w:rsidRPr="00446B3D">
              <w:rPr>
                <w:sz w:val="20"/>
                <w:szCs w:val="20"/>
              </w:rPr>
              <w:t>propionic acid</w:t>
            </w:r>
          </w:p>
        </w:tc>
        <w:tc>
          <w:tcPr>
            <w:tcW w:w="556" w:type="pct"/>
          </w:tcPr>
          <w:p w14:paraId="641A968E" w14:textId="4220E8D1" w:rsidR="009F5F60" w:rsidRPr="00446B3D" w:rsidRDefault="003667C4" w:rsidP="00446B3D">
            <w:pPr>
              <w:pStyle w:val="NoSpacing"/>
              <w:rPr>
                <w:sz w:val="20"/>
                <w:szCs w:val="20"/>
              </w:rPr>
            </w:pPr>
            <w:r w:rsidRPr="00446B3D">
              <w:rPr>
                <w:sz w:val="20"/>
                <w:szCs w:val="20"/>
              </w:rPr>
              <w:t>74.079</w:t>
            </w:r>
          </w:p>
        </w:tc>
        <w:tc>
          <w:tcPr>
            <w:tcW w:w="782" w:type="pct"/>
          </w:tcPr>
          <w:p w14:paraId="6B0EB2D4" w14:textId="4A571CC8" w:rsidR="009F5F60" w:rsidRPr="00446B3D" w:rsidRDefault="00DA203B" w:rsidP="00446B3D">
            <w:pPr>
              <w:pStyle w:val="NoSpacing"/>
              <w:rPr>
                <w:sz w:val="20"/>
                <w:szCs w:val="20"/>
              </w:rPr>
            </w:pPr>
            <w:r w:rsidRPr="00446B3D">
              <w:rPr>
                <w:sz w:val="20"/>
                <w:szCs w:val="20"/>
              </w:rPr>
              <w:t>1,314 ± 54</w:t>
            </w:r>
          </w:p>
        </w:tc>
        <w:tc>
          <w:tcPr>
            <w:tcW w:w="694" w:type="pct"/>
          </w:tcPr>
          <w:p w14:paraId="2DEF68C7" w14:textId="2104465F" w:rsidR="009F5F60" w:rsidRPr="00446B3D" w:rsidRDefault="00435232" w:rsidP="00446B3D">
            <w:pPr>
              <w:pStyle w:val="NoSpacing"/>
              <w:rPr>
                <w:sz w:val="20"/>
                <w:szCs w:val="20"/>
              </w:rPr>
            </w:pPr>
            <w:r w:rsidRPr="00446B3D">
              <w:rPr>
                <w:sz w:val="20"/>
                <w:szCs w:val="20"/>
              </w:rPr>
              <w:t>-</w:t>
            </w:r>
          </w:p>
        </w:tc>
        <w:tc>
          <w:tcPr>
            <w:tcW w:w="688" w:type="pct"/>
          </w:tcPr>
          <w:p w14:paraId="54935436" w14:textId="3072F914" w:rsidR="009F5F60" w:rsidRPr="00446B3D" w:rsidRDefault="001C595C" w:rsidP="00446B3D">
            <w:pPr>
              <w:pStyle w:val="NoSpacing"/>
              <w:rPr>
                <w:sz w:val="20"/>
                <w:szCs w:val="20"/>
              </w:rPr>
            </w:pPr>
            <w:r w:rsidRPr="00446B3D">
              <w:rPr>
                <w:sz w:val="20"/>
                <w:szCs w:val="20"/>
              </w:rPr>
              <w:t>1.8</w:t>
            </w:r>
          </w:p>
        </w:tc>
        <w:tc>
          <w:tcPr>
            <w:tcW w:w="688" w:type="pct"/>
          </w:tcPr>
          <w:p w14:paraId="3312851E" w14:textId="1973C78D" w:rsidR="009F5F60" w:rsidRPr="00446B3D" w:rsidRDefault="004958D2" w:rsidP="00446B3D">
            <w:pPr>
              <w:pStyle w:val="NoSpacing"/>
              <w:rPr>
                <w:sz w:val="20"/>
                <w:szCs w:val="20"/>
              </w:rPr>
            </w:pPr>
            <w:r w:rsidRPr="00446B3D">
              <w:rPr>
                <w:sz w:val="20"/>
                <w:szCs w:val="20"/>
              </w:rPr>
              <w:t>-</w:t>
            </w:r>
          </w:p>
        </w:tc>
        <w:tc>
          <w:tcPr>
            <w:tcW w:w="422" w:type="pct"/>
          </w:tcPr>
          <w:p w14:paraId="2F925711" w14:textId="486B731C" w:rsidR="009F5F60" w:rsidRPr="00446B3D" w:rsidRDefault="00287126" w:rsidP="00446B3D">
            <w:pPr>
              <w:pStyle w:val="NoSpacing"/>
              <w:rPr>
                <w:sz w:val="20"/>
                <w:szCs w:val="20"/>
              </w:rPr>
            </w:pPr>
            <w:r w:rsidRPr="00446B3D">
              <w:rPr>
                <w:sz w:val="20"/>
                <w:szCs w:val="20"/>
              </w:rPr>
              <w:t>-</w:t>
            </w:r>
          </w:p>
        </w:tc>
      </w:tr>
      <w:tr w:rsidR="00261547" w:rsidRPr="00446B3D" w14:paraId="7BE35D59" w14:textId="77777777" w:rsidTr="00446B3D">
        <w:tc>
          <w:tcPr>
            <w:tcW w:w="1169" w:type="pct"/>
          </w:tcPr>
          <w:p w14:paraId="78CA2500" w14:textId="3B964BA2" w:rsidR="009F5F60" w:rsidRPr="00446B3D" w:rsidRDefault="00F305A3" w:rsidP="00446B3D">
            <w:pPr>
              <w:pStyle w:val="NoSpacing"/>
              <w:rPr>
                <w:sz w:val="20"/>
                <w:szCs w:val="20"/>
              </w:rPr>
            </w:pPr>
            <w:r w:rsidRPr="00446B3D">
              <w:rPr>
                <w:sz w:val="20"/>
                <w:szCs w:val="20"/>
              </w:rPr>
              <w:t>1-butanol</w:t>
            </w:r>
          </w:p>
        </w:tc>
        <w:tc>
          <w:tcPr>
            <w:tcW w:w="556" w:type="pct"/>
          </w:tcPr>
          <w:p w14:paraId="7DFA5C72" w14:textId="16A5149C" w:rsidR="009F5F60" w:rsidRPr="00446B3D" w:rsidRDefault="003667C4" w:rsidP="00446B3D">
            <w:pPr>
              <w:pStyle w:val="NoSpacing"/>
              <w:rPr>
                <w:sz w:val="20"/>
                <w:szCs w:val="20"/>
              </w:rPr>
            </w:pPr>
            <w:r w:rsidRPr="00446B3D">
              <w:rPr>
                <w:sz w:val="20"/>
                <w:szCs w:val="20"/>
              </w:rPr>
              <w:t>74.123</w:t>
            </w:r>
          </w:p>
        </w:tc>
        <w:tc>
          <w:tcPr>
            <w:tcW w:w="782" w:type="pct"/>
          </w:tcPr>
          <w:p w14:paraId="08B96D8A" w14:textId="30BF5627" w:rsidR="009F5F60" w:rsidRPr="00446B3D" w:rsidRDefault="00EE528A" w:rsidP="00446B3D">
            <w:pPr>
              <w:pStyle w:val="NoSpacing"/>
              <w:rPr>
                <w:sz w:val="20"/>
                <w:szCs w:val="20"/>
              </w:rPr>
            </w:pPr>
            <w:r w:rsidRPr="00446B3D">
              <w:rPr>
                <w:sz w:val="20"/>
                <w:szCs w:val="20"/>
              </w:rPr>
              <w:t>-</w:t>
            </w:r>
          </w:p>
        </w:tc>
        <w:tc>
          <w:tcPr>
            <w:tcW w:w="694" w:type="pct"/>
          </w:tcPr>
          <w:p w14:paraId="4CABFECE" w14:textId="3C0C68C7" w:rsidR="009F5F60" w:rsidRPr="00446B3D" w:rsidRDefault="00435232" w:rsidP="00446B3D">
            <w:pPr>
              <w:pStyle w:val="NoSpacing"/>
              <w:rPr>
                <w:sz w:val="20"/>
                <w:szCs w:val="20"/>
              </w:rPr>
            </w:pPr>
            <w:r w:rsidRPr="00446B3D">
              <w:rPr>
                <w:sz w:val="20"/>
                <w:szCs w:val="20"/>
              </w:rPr>
              <w:t>-</w:t>
            </w:r>
          </w:p>
        </w:tc>
        <w:tc>
          <w:tcPr>
            <w:tcW w:w="688" w:type="pct"/>
          </w:tcPr>
          <w:p w14:paraId="7D5AFD19" w14:textId="45CA34EE" w:rsidR="009F5F60" w:rsidRPr="00446B3D" w:rsidRDefault="001C595C" w:rsidP="00446B3D">
            <w:pPr>
              <w:pStyle w:val="NoSpacing"/>
              <w:rPr>
                <w:sz w:val="20"/>
                <w:szCs w:val="20"/>
              </w:rPr>
            </w:pPr>
            <w:r w:rsidRPr="00446B3D">
              <w:rPr>
                <w:sz w:val="20"/>
                <w:szCs w:val="20"/>
              </w:rPr>
              <w:t>-</w:t>
            </w:r>
          </w:p>
        </w:tc>
        <w:tc>
          <w:tcPr>
            <w:tcW w:w="688" w:type="pct"/>
          </w:tcPr>
          <w:p w14:paraId="26ACA73D" w14:textId="7E139056" w:rsidR="009F5F60" w:rsidRPr="00446B3D" w:rsidRDefault="004958D2" w:rsidP="00446B3D">
            <w:pPr>
              <w:pStyle w:val="NoSpacing"/>
              <w:rPr>
                <w:sz w:val="20"/>
                <w:szCs w:val="20"/>
              </w:rPr>
            </w:pPr>
            <w:r w:rsidRPr="00446B3D">
              <w:rPr>
                <w:sz w:val="20"/>
                <w:szCs w:val="20"/>
              </w:rPr>
              <w:t>6.1</w:t>
            </w:r>
          </w:p>
        </w:tc>
        <w:tc>
          <w:tcPr>
            <w:tcW w:w="422" w:type="pct"/>
          </w:tcPr>
          <w:p w14:paraId="03D4202F" w14:textId="3A0EEB5A" w:rsidR="009F5F60" w:rsidRPr="00446B3D" w:rsidRDefault="00261547" w:rsidP="00446B3D">
            <w:pPr>
              <w:pStyle w:val="NoSpacing"/>
              <w:rPr>
                <w:sz w:val="20"/>
                <w:szCs w:val="20"/>
              </w:rPr>
            </w:pPr>
            <w:r w:rsidRPr="00446B3D">
              <w:rPr>
                <w:sz w:val="20"/>
                <w:szCs w:val="20"/>
              </w:rPr>
              <w:t>11,000</w:t>
            </w:r>
            <w:r w:rsidRPr="00446B3D">
              <w:rPr>
                <w:sz w:val="20"/>
                <w:szCs w:val="20"/>
                <w:vertAlign w:val="superscript"/>
              </w:rPr>
              <w:t>b</w:t>
            </w:r>
          </w:p>
        </w:tc>
      </w:tr>
      <w:tr w:rsidR="00261547" w:rsidRPr="00446B3D" w14:paraId="5FF4447A" w14:textId="77777777" w:rsidTr="00446B3D">
        <w:tc>
          <w:tcPr>
            <w:tcW w:w="1169" w:type="pct"/>
          </w:tcPr>
          <w:p w14:paraId="3CFA4E17" w14:textId="4D109FF2" w:rsidR="009F5F60" w:rsidRPr="00446B3D" w:rsidRDefault="00F305A3" w:rsidP="00446B3D">
            <w:pPr>
              <w:pStyle w:val="NoSpacing"/>
              <w:rPr>
                <w:sz w:val="20"/>
                <w:szCs w:val="20"/>
              </w:rPr>
            </w:pPr>
            <w:r w:rsidRPr="00446B3D">
              <w:rPr>
                <w:sz w:val="20"/>
                <w:szCs w:val="20"/>
              </w:rPr>
              <w:t>pyridine</w:t>
            </w:r>
          </w:p>
        </w:tc>
        <w:tc>
          <w:tcPr>
            <w:tcW w:w="556" w:type="pct"/>
          </w:tcPr>
          <w:p w14:paraId="69928F76" w14:textId="3E2E069F" w:rsidR="009F5F60" w:rsidRPr="00446B3D" w:rsidRDefault="003667C4" w:rsidP="00446B3D">
            <w:pPr>
              <w:pStyle w:val="NoSpacing"/>
              <w:rPr>
                <w:sz w:val="20"/>
                <w:szCs w:val="20"/>
              </w:rPr>
            </w:pPr>
            <w:r w:rsidRPr="00446B3D">
              <w:rPr>
                <w:sz w:val="20"/>
                <w:szCs w:val="20"/>
              </w:rPr>
              <w:t>79.102</w:t>
            </w:r>
          </w:p>
        </w:tc>
        <w:tc>
          <w:tcPr>
            <w:tcW w:w="782" w:type="pct"/>
          </w:tcPr>
          <w:p w14:paraId="36968A2B" w14:textId="3758E30C" w:rsidR="009F5F60" w:rsidRPr="00446B3D" w:rsidRDefault="00EE528A" w:rsidP="00446B3D">
            <w:pPr>
              <w:pStyle w:val="NoSpacing"/>
              <w:rPr>
                <w:sz w:val="20"/>
                <w:szCs w:val="20"/>
              </w:rPr>
            </w:pPr>
            <w:r w:rsidRPr="00446B3D">
              <w:rPr>
                <w:sz w:val="20"/>
                <w:szCs w:val="20"/>
              </w:rPr>
              <w:t>-</w:t>
            </w:r>
          </w:p>
        </w:tc>
        <w:tc>
          <w:tcPr>
            <w:tcW w:w="694" w:type="pct"/>
          </w:tcPr>
          <w:p w14:paraId="483F6777" w14:textId="431C71F6" w:rsidR="009F5F60" w:rsidRPr="00446B3D" w:rsidRDefault="00435232" w:rsidP="00446B3D">
            <w:pPr>
              <w:pStyle w:val="NoSpacing"/>
              <w:rPr>
                <w:sz w:val="20"/>
                <w:szCs w:val="20"/>
              </w:rPr>
            </w:pPr>
            <w:r w:rsidRPr="00446B3D">
              <w:rPr>
                <w:sz w:val="20"/>
                <w:szCs w:val="20"/>
              </w:rPr>
              <w:t>-</w:t>
            </w:r>
          </w:p>
        </w:tc>
        <w:tc>
          <w:tcPr>
            <w:tcW w:w="688" w:type="pct"/>
          </w:tcPr>
          <w:p w14:paraId="437123E3" w14:textId="795D5EEE" w:rsidR="009F5F60" w:rsidRPr="00446B3D" w:rsidRDefault="001C595C" w:rsidP="00446B3D">
            <w:pPr>
              <w:pStyle w:val="NoSpacing"/>
              <w:rPr>
                <w:sz w:val="20"/>
                <w:szCs w:val="20"/>
              </w:rPr>
            </w:pPr>
            <w:r w:rsidRPr="00446B3D">
              <w:rPr>
                <w:sz w:val="20"/>
                <w:szCs w:val="20"/>
              </w:rPr>
              <w:t>-</w:t>
            </w:r>
          </w:p>
        </w:tc>
        <w:tc>
          <w:tcPr>
            <w:tcW w:w="688" w:type="pct"/>
          </w:tcPr>
          <w:p w14:paraId="667A8544" w14:textId="7B03CD86" w:rsidR="009F5F60" w:rsidRPr="00446B3D" w:rsidRDefault="0035245B" w:rsidP="00446B3D">
            <w:pPr>
              <w:pStyle w:val="NoSpacing"/>
              <w:rPr>
                <w:sz w:val="20"/>
                <w:szCs w:val="20"/>
              </w:rPr>
            </w:pPr>
            <w:r w:rsidRPr="00446B3D">
              <w:rPr>
                <w:sz w:val="20"/>
                <w:szCs w:val="20"/>
              </w:rPr>
              <w:t>8.3</w:t>
            </w:r>
          </w:p>
        </w:tc>
        <w:tc>
          <w:tcPr>
            <w:tcW w:w="422" w:type="pct"/>
          </w:tcPr>
          <w:p w14:paraId="5C811AF6" w14:textId="4F993F71" w:rsidR="009F5F60" w:rsidRPr="00446B3D" w:rsidRDefault="003263CF" w:rsidP="00446B3D">
            <w:pPr>
              <w:pStyle w:val="NoSpacing"/>
              <w:rPr>
                <w:sz w:val="20"/>
                <w:szCs w:val="20"/>
              </w:rPr>
            </w:pPr>
            <w:r w:rsidRPr="00446B3D">
              <w:rPr>
                <w:sz w:val="20"/>
                <w:szCs w:val="20"/>
              </w:rPr>
              <w:t>-</w:t>
            </w:r>
          </w:p>
        </w:tc>
      </w:tr>
      <w:tr w:rsidR="00261547" w:rsidRPr="00446B3D" w14:paraId="029E98B1" w14:textId="77777777" w:rsidTr="00446B3D">
        <w:tc>
          <w:tcPr>
            <w:tcW w:w="1169" w:type="pct"/>
          </w:tcPr>
          <w:p w14:paraId="4B9261BE" w14:textId="57656FEB" w:rsidR="009F5F60" w:rsidRPr="00446B3D" w:rsidRDefault="00F305A3" w:rsidP="00446B3D">
            <w:pPr>
              <w:pStyle w:val="NoSpacing"/>
              <w:rPr>
                <w:sz w:val="20"/>
                <w:szCs w:val="20"/>
              </w:rPr>
            </w:pPr>
            <w:r w:rsidRPr="00446B3D">
              <w:rPr>
                <w:sz w:val="20"/>
                <w:szCs w:val="20"/>
              </w:rPr>
              <w:t>2-pyrrolidinone</w:t>
            </w:r>
          </w:p>
        </w:tc>
        <w:tc>
          <w:tcPr>
            <w:tcW w:w="556" w:type="pct"/>
          </w:tcPr>
          <w:p w14:paraId="49BC9E19" w14:textId="11C0FD7D" w:rsidR="009F5F60" w:rsidRPr="00446B3D" w:rsidRDefault="003667C4" w:rsidP="00446B3D">
            <w:pPr>
              <w:pStyle w:val="NoSpacing"/>
              <w:rPr>
                <w:sz w:val="20"/>
                <w:szCs w:val="20"/>
              </w:rPr>
            </w:pPr>
            <w:r w:rsidRPr="00446B3D">
              <w:rPr>
                <w:sz w:val="20"/>
                <w:szCs w:val="20"/>
              </w:rPr>
              <w:t>85.106</w:t>
            </w:r>
          </w:p>
        </w:tc>
        <w:tc>
          <w:tcPr>
            <w:tcW w:w="782" w:type="pct"/>
          </w:tcPr>
          <w:p w14:paraId="640A0A62" w14:textId="680B04C5" w:rsidR="009F5F60" w:rsidRPr="00446B3D" w:rsidRDefault="00EE528A" w:rsidP="00446B3D">
            <w:pPr>
              <w:pStyle w:val="NoSpacing"/>
              <w:rPr>
                <w:sz w:val="20"/>
                <w:szCs w:val="20"/>
              </w:rPr>
            </w:pPr>
            <w:r w:rsidRPr="00446B3D">
              <w:rPr>
                <w:sz w:val="20"/>
                <w:szCs w:val="20"/>
              </w:rPr>
              <w:t>-</w:t>
            </w:r>
          </w:p>
        </w:tc>
        <w:tc>
          <w:tcPr>
            <w:tcW w:w="694" w:type="pct"/>
          </w:tcPr>
          <w:p w14:paraId="703D419E" w14:textId="354CB1C6" w:rsidR="009F5F60" w:rsidRPr="00446B3D" w:rsidRDefault="00435232" w:rsidP="00446B3D">
            <w:pPr>
              <w:pStyle w:val="NoSpacing"/>
              <w:rPr>
                <w:sz w:val="20"/>
                <w:szCs w:val="20"/>
              </w:rPr>
            </w:pPr>
            <w:r w:rsidRPr="00446B3D">
              <w:rPr>
                <w:sz w:val="20"/>
                <w:szCs w:val="20"/>
              </w:rPr>
              <w:t>-</w:t>
            </w:r>
          </w:p>
        </w:tc>
        <w:tc>
          <w:tcPr>
            <w:tcW w:w="688" w:type="pct"/>
          </w:tcPr>
          <w:p w14:paraId="790B3970" w14:textId="0E0FD3D0" w:rsidR="009F5F60" w:rsidRPr="00446B3D" w:rsidRDefault="001C595C" w:rsidP="00446B3D">
            <w:pPr>
              <w:pStyle w:val="NoSpacing"/>
              <w:rPr>
                <w:sz w:val="20"/>
                <w:szCs w:val="20"/>
              </w:rPr>
            </w:pPr>
            <w:r w:rsidRPr="00446B3D">
              <w:rPr>
                <w:sz w:val="20"/>
                <w:szCs w:val="20"/>
              </w:rPr>
              <w:t>3</w:t>
            </w:r>
          </w:p>
        </w:tc>
        <w:tc>
          <w:tcPr>
            <w:tcW w:w="688" w:type="pct"/>
          </w:tcPr>
          <w:p w14:paraId="3EA78562" w14:textId="5BF07DB2" w:rsidR="009F5F60" w:rsidRPr="00446B3D" w:rsidRDefault="0035245B" w:rsidP="00446B3D">
            <w:pPr>
              <w:pStyle w:val="NoSpacing"/>
              <w:rPr>
                <w:sz w:val="20"/>
                <w:szCs w:val="20"/>
              </w:rPr>
            </w:pPr>
            <w:r w:rsidRPr="00446B3D">
              <w:rPr>
                <w:sz w:val="20"/>
                <w:szCs w:val="20"/>
              </w:rPr>
              <w:t>-</w:t>
            </w:r>
          </w:p>
        </w:tc>
        <w:tc>
          <w:tcPr>
            <w:tcW w:w="422" w:type="pct"/>
          </w:tcPr>
          <w:p w14:paraId="38F3F8DA" w14:textId="4523B3E8" w:rsidR="009F5F60" w:rsidRPr="00446B3D" w:rsidRDefault="003263CF" w:rsidP="00446B3D">
            <w:pPr>
              <w:pStyle w:val="NoSpacing"/>
              <w:rPr>
                <w:sz w:val="20"/>
                <w:szCs w:val="20"/>
              </w:rPr>
            </w:pPr>
            <w:r w:rsidRPr="00446B3D">
              <w:rPr>
                <w:sz w:val="20"/>
                <w:szCs w:val="20"/>
              </w:rPr>
              <w:t>-</w:t>
            </w:r>
          </w:p>
        </w:tc>
      </w:tr>
      <w:tr w:rsidR="00261547" w:rsidRPr="00446B3D" w14:paraId="59108048" w14:textId="77777777" w:rsidTr="00446B3D">
        <w:tc>
          <w:tcPr>
            <w:tcW w:w="1169" w:type="pct"/>
          </w:tcPr>
          <w:p w14:paraId="5736C185" w14:textId="0B173F34" w:rsidR="009F5F60" w:rsidRPr="00446B3D" w:rsidRDefault="006F1ACC" w:rsidP="00446B3D">
            <w:pPr>
              <w:pStyle w:val="NoSpacing"/>
              <w:rPr>
                <w:sz w:val="20"/>
                <w:szCs w:val="20"/>
              </w:rPr>
            </w:pPr>
            <w:r w:rsidRPr="00446B3D">
              <w:rPr>
                <w:sz w:val="20"/>
                <w:szCs w:val="20"/>
              </w:rPr>
              <w:t>N-ethyl-N-methyl formamide</w:t>
            </w:r>
          </w:p>
        </w:tc>
        <w:tc>
          <w:tcPr>
            <w:tcW w:w="556" w:type="pct"/>
          </w:tcPr>
          <w:p w14:paraId="6AAAF257" w14:textId="1F095F9E" w:rsidR="009F5F60" w:rsidRPr="00446B3D" w:rsidRDefault="003667C4" w:rsidP="00446B3D">
            <w:pPr>
              <w:pStyle w:val="NoSpacing"/>
              <w:rPr>
                <w:sz w:val="20"/>
                <w:szCs w:val="20"/>
              </w:rPr>
            </w:pPr>
            <w:r w:rsidRPr="00446B3D">
              <w:rPr>
                <w:sz w:val="20"/>
                <w:szCs w:val="20"/>
              </w:rPr>
              <w:t>87.122</w:t>
            </w:r>
          </w:p>
        </w:tc>
        <w:tc>
          <w:tcPr>
            <w:tcW w:w="782" w:type="pct"/>
          </w:tcPr>
          <w:p w14:paraId="3B1FEA71" w14:textId="09C2E95D" w:rsidR="009F5F60" w:rsidRPr="00446B3D" w:rsidRDefault="00EE528A" w:rsidP="00446B3D">
            <w:pPr>
              <w:pStyle w:val="NoSpacing"/>
              <w:rPr>
                <w:sz w:val="20"/>
                <w:szCs w:val="20"/>
              </w:rPr>
            </w:pPr>
            <w:r w:rsidRPr="00446B3D">
              <w:rPr>
                <w:sz w:val="20"/>
                <w:szCs w:val="20"/>
              </w:rPr>
              <w:t>-</w:t>
            </w:r>
          </w:p>
        </w:tc>
        <w:tc>
          <w:tcPr>
            <w:tcW w:w="694" w:type="pct"/>
          </w:tcPr>
          <w:p w14:paraId="5271CE09" w14:textId="5A4CD6BD" w:rsidR="009F5F60" w:rsidRPr="00446B3D" w:rsidRDefault="00435232" w:rsidP="00446B3D">
            <w:pPr>
              <w:pStyle w:val="NoSpacing"/>
              <w:rPr>
                <w:sz w:val="20"/>
                <w:szCs w:val="20"/>
              </w:rPr>
            </w:pPr>
            <w:r w:rsidRPr="00446B3D">
              <w:rPr>
                <w:sz w:val="20"/>
                <w:szCs w:val="20"/>
              </w:rPr>
              <w:t>-</w:t>
            </w:r>
          </w:p>
        </w:tc>
        <w:tc>
          <w:tcPr>
            <w:tcW w:w="688" w:type="pct"/>
          </w:tcPr>
          <w:p w14:paraId="72FA1911" w14:textId="3D4AC026" w:rsidR="009F5F60" w:rsidRPr="00446B3D" w:rsidRDefault="001C595C" w:rsidP="00446B3D">
            <w:pPr>
              <w:pStyle w:val="NoSpacing"/>
              <w:rPr>
                <w:sz w:val="20"/>
                <w:szCs w:val="20"/>
              </w:rPr>
            </w:pPr>
            <w:r w:rsidRPr="00446B3D">
              <w:rPr>
                <w:sz w:val="20"/>
                <w:szCs w:val="20"/>
              </w:rPr>
              <w:t>1</w:t>
            </w:r>
            <w:r w:rsidR="00303F07" w:rsidRPr="00446B3D">
              <w:rPr>
                <w:sz w:val="20"/>
                <w:szCs w:val="20"/>
              </w:rPr>
              <w:t>.</w:t>
            </w:r>
            <w:r w:rsidRPr="00446B3D">
              <w:rPr>
                <w:sz w:val="20"/>
                <w:szCs w:val="20"/>
              </w:rPr>
              <w:t>1</w:t>
            </w:r>
          </w:p>
        </w:tc>
        <w:tc>
          <w:tcPr>
            <w:tcW w:w="688" w:type="pct"/>
          </w:tcPr>
          <w:p w14:paraId="7FA08D4B" w14:textId="341304C9" w:rsidR="009F5F60" w:rsidRPr="00446B3D" w:rsidRDefault="0035245B" w:rsidP="00446B3D">
            <w:pPr>
              <w:pStyle w:val="NoSpacing"/>
              <w:rPr>
                <w:sz w:val="20"/>
                <w:szCs w:val="20"/>
              </w:rPr>
            </w:pPr>
            <w:r w:rsidRPr="00446B3D">
              <w:rPr>
                <w:sz w:val="20"/>
                <w:szCs w:val="20"/>
              </w:rPr>
              <w:t>-</w:t>
            </w:r>
          </w:p>
        </w:tc>
        <w:tc>
          <w:tcPr>
            <w:tcW w:w="422" w:type="pct"/>
          </w:tcPr>
          <w:p w14:paraId="19547B72" w14:textId="05B9ADAA" w:rsidR="009F5F60" w:rsidRPr="00446B3D" w:rsidRDefault="003263CF" w:rsidP="00446B3D">
            <w:pPr>
              <w:pStyle w:val="NoSpacing"/>
              <w:rPr>
                <w:sz w:val="20"/>
                <w:szCs w:val="20"/>
              </w:rPr>
            </w:pPr>
            <w:r w:rsidRPr="00446B3D">
              <w:rPr>
                <w:sz w:val="20"/>
                <w:szCs w:val="20"/>
              </w:rPr>
              <w:t>-</w:t>
            </w:r>
          </w:p>
        </w:tc>
      </w:tr>
      <w:tr w:rsidR="00261547" w:rsidRPr="00446B3D" w14:paraId="15A2CEF2" w14:textId="77777777" w:rsidTr="00446B3D">
        <w:tc>
          <w:tcPr>
            <w:tcW w:w="1169" w:type="pct"/>
          </w:tcPr>
          <w:p w14:paraId="6618A46C" w14:textId="7AAEF18F" w:rsidR="009F5F60" w:rsidRPr="00446B3D" w:rsidRDefault="006F1ACC" w:rsidP="00446B3D">
            <w:pPr>
              <w:pStyle w:val="NoSpacing"/>
              <w:rPr>
                <w:sz w:val="20"/>
                <w:szCs w:val="20"/>
              </w:rPr>
            </w:pPr>
            <w:r w:rsidRPr="00446B3D">
              <w:rPr>
                <w:sz w:val="20"/>
                <w:szCs w:val="20"/>
              </w:rPr>
              <w:t>iso-butyric acid</w:t>
            </w:r>
          </w:p>
        </w:tc>
        <w:tc>
          <w:tcPr>
            <w:tcW w:w="556" w:type="pct"/>
          </w:tcPr>
          <w:p w14:paraId="5A68C229" w14:textId="15B37711" w:rsidR="009F5F60" w:rsidRPr="00446B3D" w:rsidRDefault="003667C4" w:rsidP="00446B3D">
            <w:pPr>
              <w:pStyle w:val="NoSpacing"/>
              <w:rPr>
                <w:sz w:val="20"/>
                <w:szCs w:val="20"/>
              </w:rPr>
            </w:pPr>
            <w:r w:rsidRPr="00446B3D">
              <w:rPr>
                <w:sz w:val="20"/>
                <w:szCs w:val="20"/>
              </w:rPr>
              <w:t>88.106</w:t>
            </w:r>
          </w:p>
        </w:tc>
        <w:tc>
          <w:tcPr>
            <w:tcW w:w="782" w:type="pct"/>
          </w:tcPr>
          <w:p w14:paraId="7FED938E" w14:textId="7E586D29" w:rsidR="009F5F60" w:rsidRPr="00446B3D" w:rsidRDefault="00381318" w:rsidP="00446B3D">
            <w:pPr>
              <w:pStyle w:val="NoSpacing"/>
              <w:rPr>
                <w:sz w:val="20"/>
                <w:szCs w:val="20"/>
              </w:rPr>
            </w:pPr>
            <w:r w:rsidRPr="00446B3D">
              <w:rPr>
                <w:sz w:val="20"/>
                <w:szCs w:val="20"/>
              </w:rPr>
              <w:t>281 ± 7</w:t>
            </w:r>
          </w:p>
        </w:tc>
        <w:tc>
          <w:tcPr>
            <w:tcW w:w="694" w:type="pct"/>
          </w:tcPr>
          <w:p w14:paraId="5842A7AB" w14:textId="50D6FA62" w:rsidR="009F5F60" w:rsidRPr="00446B3D" w:rsidRDefault="00435232" w:rsidP="00446B3D">
            <w:pPr>
              <w:pStyle w:val="NoSpacing"/>
              <w:rPr>
                <w:sz w:val="20"/>
                <w:szCs w:val="20"/>
              </w:rPr>
            </w:pPr>
            <w:r w:rsidRPr="00446B3D">
              <w:rPr>
                <w:sz w:val="20"/>
                <w:szCs w:val="20"/>
              </w:rPr>
              <w:t>-</w:t>
            </w:r>
          </w:p>
        </w:tc>
        <w:tc>
          <w:tcPr>
            <w:tcW w:w="688" w:type="pct"/>
          </w:tcPr>
          <w:p w14:paraId="10273958" w14:textId="77BA39A8" w:rsidR="009F5F60" w:rsidRPr="00446B3D" w:rsidRDefault="00303F07" w:rsidP="00446B3D">
            <w:pPr>
              <w:pStyle w:val="NoSpacing"/>
              <w:rPr>
                <w:sz w:val="20"/>
                <w:szCs w:val="20"/>
              </w:rPr>
            </w:pPr>
            <w:r w:rsidRPr="00446B3D">
              <w:rPr>
                <w:sz w:val="20"/>
                <w:szCs w:val="20"/>
              </w:rPr>
              <w:t>-</w:t>
            </w:r>
          </w:p>
        </w:tc>
        <w:tc>
          <w:tcPr>
            <w:tcW w:w="688" w:type="pct"/>
          </w:tcPr>
          <w:p w14:paraId="4BCF9FDD" w14:textId="58AB54CE" w:rsidR="009F5F60" w:rsidRPr="00446B3D" w:rsidRDefault="0035245B" w:rsidP="00446B3D">
            <w:pPr>
              <w:pStyle w:val="NoSpacing"/>
              <w:rPr>
                <w:sz w:val="20"/>
                <w:szCs w:val="20"/>
              </w:rPr>
            </w:pPr>
            <w:r w:rsidRPr="00446B3D">
              <w:rPr>
                <w:sz w:val="20"/>
                <w:szCs w:val="20"/>
              </w:rPr>
              <w:t>-</w:t>
            </w:r>
          </w:p>
        </w:tc>
        <w:tc>
          <w:tcPr>
            <w:tcW w:w="422" w:type="pct"/>
          </w:tcPr>
          <w:p w14:paraId="69164004" w14:textId="3F481931" w:rsidR="009F5F60" w:rsidRPr="00446B3D" w:rsidRDefault="003263CF" w:rsidP="00446B3D">
            <w:pPr>
              <w:pStyle w:val="NoSpacing"/>
              <w:rPr>
                <w:sz w:val="20"/>
                <w:szCs w:val="20"/>
              </w:rPr>
            </w:pPr>
            <w:r w:rsidRPr="00446B3D">
              <w:rPr>
                <w:sz w:val="20"/>
                <w:szCs w:val="20"/>
              </w:rPr>
              <w:t>-</w:t>
            </w:r>
          </w:p>
        </w:tc>
      </w:tr>
      <w:tr w:rsidR="00261547" w:rsidRPr="00446B3D" w14:paraId="2065536B" w14:textId="77777777" w:rsidTr="00446B3D">
        <w:tc>
          <w:tcPr>
            <w:tcW w:w="1169" w:type="pct"/>
          </w:tcPr>
          <w:p w14:paraId="7DC8B21A" w14:textId="4327B580" w:rsidR="009F5F60" w:rsidRPr="00446B3D" w:rsidRDefault="006F1ACC" w:rsidP="00446B3D">
            <w:pPr>
              <w:pStyle w:val="NoSpacing"/>
              <w:rPr>
                <w:sz w:val="20"/>
                <w:szCs w:val="20"/>
              </w:rPr>
            </w:pPr>
            <w:r w:rsidRPr="00446B3D">
              <w:rPr>
                <w:sz w:val="20"/>
                <w:szCs w:val="20"/>
              </w:rPr>
              <w:t>butyric acid</w:t>
            </w:r>
          </w:p>
        </w:tc>
        <w:tc>
          <w:tcPr>
            <w:tcW w:w="556" w:type="pct"/>
          </w:tcPr>
          <w:p w14:paraId="17658769" w14:textId="33D004C1" w:rsidR="009F5F60" w:rsidRPr="00446B3D" w:rsidRDefault="00644867" w:rsidP="00446B3D">
            <w:pPr>
              <w:pStyle w:val="NoSpacing"/>
              <w:rPr>
                <w:sz w:val="20"/>
                <w:szCs w:val="20"/>
              </w:rPr>
            </w:pPr>
            <w:r w:rsidRPr="00446B3D">
              <w:rPr>
                <w:sz w:val="20"/>
                <w:szCs w:val="20"/>
              </w:rPr>
              <w:t>88.106</w:t>
            </w:r>
          </w:p>
        </w:tc>
        <w:tc>
          <w:tcPr>
            <w:tcW w:w="782" w:type="pct"/>
          </w:tcPr>
          <w:p w14:paraId="2D087347" w14:textId="62D5D0E1" w:rsidR="009F5F60" w:rsidRPr="00446B3D" w:rsidRDefault="00381318" w:rsidP="00446B3D">
            <w:pPr>
              <w:pStyle w:val="NoSpacing"/>
              <w:rPr>
                <w:sz w:val="20"/>
                <w:szCs w:val="20"/>
              </w:rPr>
            </w:pPr>
            <w:r w:rsidRPr="00446B3D">
              <w:rPr>
                <w:sz w:val="20"/>
                <w:szCs w:val="20"/>
              </w:rPr>
              <w:t>313 ± 13</w:t>
            </w:r>
          </w:p>
        </w:tc>
        <w:tc>
          <w:tcPr>
            <w:tcW w:w="694" w:type="pct"/>
          </w:tcPr>
          <w:p w14:paraId="383B441C" w14:textId="625066C1" w:rsidR="009F5F60" w:rsidRPr="00446B3D" w:rsidRDefault="00435232" w:rsidP="00446B3D">
            <w:pPr>
              <w:pStyle w:val="NoSpacing"/>
              <w:rPr>
                <w:sz w:val="20"/>
                <w:szCs w:val="20"/>
              </w:rPr>
            </w:pPr>
            <w:r w:rsidRPr="00446B3D">
              <w:rPr>
                <w:sz w:val="20"/>
                <w:szCs w:val="20"/>
              </w:rPr>
              <w:t>-</w:t>
            </w:r>
          </w:p>
        </w:tc>
        <w:tc>
          <w:tcPr>
            <w:tcW w:w="688" w:type="pct"/>
          </w:tcPr>
          <w:p w14:paraId="54B0AD6E" w14:textId="3E42E9A7" w:rsidR="009F5F60" w:rsidRPr="00446B3D" w:rsidRDefault="00303F07" w:rsidP="00446B3D">
            <w:pPr>
              <w:pStyle w:val="NoSpacing"/>
              <w:rPr>
                <w:sz w:val="20"/>
                <w:szCs w:val="20"/>
              </w:rPr>
            </w:pPr>
            <w:r w:rsidRPr="00446B3D">
              <w:rPr>
                <w:sz w:val="20"/>
                <w:szCs w:val="20"/>
              </w:rPr>
              <w:t>-</w:t>
            </w:r>
          </w:p>
        </w:tc>
        <w:tc>
          <w:tcPr>
            <w:tcW w:w="688" w:type="pct"/>
          </w:tcPr>
          <w:p w14:paraId="18FA24D6" w14:textId="3FE14F1C" w:rsidR="009F5F60" w:rsidRPr="00446B3D" w:rsidRDefault="0035245B" w:rsidP="00446B3D">
            <w:pPr>
              <w:pStyle w:val="NoSpacing"/>
              <w:rPr>
                <w:sz w:val="20"/>
                <w:szCs w:val="20"/>
              </w:rPr>
            </w:pPr>
            <w:r w:rsidRPr="00446B3D">
              <w:rPr>
                <w:sz w:val="20"/>
                <w:szCs w:val="20"/>
              </w:rPr>
              <w:t>-</w:t>
            </w:r>
          </w:p>
        </w:tc>
        <w:tc>
          <w:tcPr>
            <w:tcW w:w="422" w:type="pct"/>
          </w:tcPr>
          <w:p w14:paraId="21E9C633" w14:textId="5D75F842" w:rsidR="009F5F60" w:rsidRPr="00446B3D" w:rsidRDefault="00535717" w:rsidP="00446B3D">
            <w:pPr>
              <w:pStyle w:val="NoSpacing"/>
              <w:rPr>
                <w:sz w:val="20"/>
                <w:szCs w:val="20"/>
              </w:rPr>
            </w:pPr>
            <w:r w:rsidRPr="00446B3D">
              <w:rPr>
                <w:sz w:val="20"/>
                <w:szCs w:val="20"/>
              </w:rPr>
              <w:t>-</w:t>
            </w:r>
          </w:p>
        </w:tc>
      </w:tr>
      <w:tr w:rsidR="00261547" w:rsidRPr="00446B3D" w14:paraId="65024B16" w14:textId="77777777" w:rsidTr="00446B3D">
        <w:tc>
          <w:tcPr>
            <w:tcW w:w="1169" w:type="pct"/>
          </w:tcPr>
          <w:p w14:paraId="2AE0C83E" w14:textId="0C97E250" w:rsidR="009F5F60" w:rsidRPr="00446B3D" w:rsidRDefault="006F1ACC" w:rsidP="00446B3D">
            <w:pPr>
              <w:pStyle w:val="NoSpacing"/>
              <w:rPr>
                <w:sz w:val="20"/>
                <w:szCs w:val="20"/>
              </w:rPr>
            </w:pPr>
            <w:r w:rsidRPr="00446B3D">
              <w:rPr>
                <w:sz w:val="20"/>
                <w:szCs w:val="20"/>
              </w:rPr>
              <w:t>methyl pyridine</w:t>
            </w:r>
          </w:p>
        </w:tc>
        <w:tc>
          <w:tcPr>
            <w:tcW w:w="556" w:type="pct"/>
          </w:tcPr>
          <w:p w14:paraId="0C6EAB8C" w14:textId="410656BE" w:rsidR="009F5F60" w:rsidRPr="00446B3D" w:rsidRDefault="00644867" w:rsidP="00446B3D">
            <w:pPr>
              <w:pStyle w:val="NoSpacing"/>
              <w:rPr>
                <w:sz w:val="20"/>
                <w:szCs w:val="20"/>
              </w:rPr>
            </w:pPr>
            <w:r w:rsidRPr="00446B3D">
              <w:rPr>
                <w:sz w:val="20"/>
                <w:szCs w:val="20"/>
              </w:rPr>
              <w:t>93.129</w:t>
            </w:r>
          </w:p>
        </w:tc>
        <w:tc>
          <w:tcPr>
            <w:tcW w:w="782" w:type="pct"/>
          </w:tcPr>
          <w:p w14:paraId="0CB7D61B" w14:textId="157F4890" w:rsidR="009F5F60" w:rsidRPr="00446B3D" w:rsidRDefault="00EE528A" w:rsidP="00446B3D">
            <w:pPr>
              <w:pStyle w:val="NoSpacing"/>
              <w:rPr>
                <w:sz w:val="20"/>
                <w:szCs w:val="20"/>
              </w:rPr>
            </w:pPr>
            <w:r w:rsidRPr="00446B3D">
              <w:rPr>
                <w:sz w:val="20"/>
                <w:szCs w:val="20"/>
              </w:rPr>
              <w:t>-</w:t>
            </w:r>
          </w:p>
        </w:tc>
        <w:tc>
          <w:tcPr>
            <w:tcW w:w="694" w:type="pct"/>
          </w:tcPr>
          <w:p w14:paraId="039D7EC9" w14:textId="4182DC32" w:rsidR="009F5F60" w:rsidRPr="00446B3D" w:rsidRDefault="00435232" w:rsidP="00446B3D">
            <w:pPr>
              <w:pStyle w:val="NoSpacing"/>
              <w:rPr>
                <w:sz w:val="20"/>
                <w:szCs w:val="20"/>
              </w:rPr>
            </w:pPr>
            <w:r w:rsidRPr="00446B3D">
              <w:rPr>
                <w:sz w:val="20"/>
                <w:szCs w:val="20"/>
              </w:rPr>
              <w:t>-</w:t>
            </w:r>
          </w:p>
        </w:tc>
        <w:tc>
          <w:tcPr>
            <w:tcW w:w="688" w:type="pct"/>
          </w:tcPr>
          <w:p w14:paraId="4C15A89B" w14:textId="50797FE5" w:rsidR="009F5F60" w:rsidRPr="00446B3D" w:rsidRDefault="00BD7A40" w:rsidP="00446B3D">
            <w:pPr>
              <w:pStyle w:val="NoSpacing"/>
              <w:rPr>
                <w:sz w:val="20"/>
                <w:szCs w:val="20"/>
              </w:rPr>
            </w:pPr>
            <w:r w:rsidRPr="00446B3D">
              <w:rPr>
                <w:sz w:val="20"/>
                <w:szCs w:val="20"/>
              </w:rPr>
              <w:t>0.4</w:t>
            </w:r>
          </w:p>
        </w:tc>
        <w:tc>
          <w:tcPr>
            <w:tcW w:w="688" w:type="pct"/>
          </w:tcPr>
          <w:p w14:paraId="75F21600" w14:textId="41A4AAB5" w:rsidR="009F5F60" w:rsidRPr="00446B3D" w:rsidRDefault="0035245B" w:rsidP="00446B3D">
            <w:pPr>
              <w:pStyle w:val="NoSpacing"/>
              <w:rPr>
                <w:sz w:val="20"/>
                <w:szCs w:val="20"/>
              </w:rPr>
            </w:pPr>
            <w:r w:rsidRPr="00446B3D">
              <w:rPr>
                <w:sz w:val="20"/>
                <w:szCs w:val="20"/>
              </w:rPr>
              <w:t>-</w:t>
            </w:r>
          </w:p>
        </w:tc>
        <w:tc>
          <w:tcPr>
            <w:tcW w:w="422" w:type="pct"/>
          </w:tcPr>
          <w:p w14:paraId="6A3DEEE2" w14:textId="11C1D658" w:rsidR="009F5F60" w:rsidRPr="00446B3D" w:rsidRDefault="00535717" w:rsidP="00446B3D">
            <w:pPr>
              <w:pStyle w:val="NoSpacing"/>
              <w:rPr>
                <w:sz w:val="20"/>
                <w:szCs w:val="20"/>
              </w:rPr>
            </w:pPr>
            <w:r w:rsidRPr="00446B3D">
              <w:rPr>
                <w:sz w:val="20"/>
                <w:szCs w:val="20"/>
              </w:rPr>
              <w:t>-</w:t>
            </w:r>
          </w:p>
        </w:tc>
      </w:tr>
      <w:tr w:rsidR="00261547" w:rsidRPr="00446B3D" w14:paraId="4D437390" w14:textId="77777777" w:rsidTr="00446B3D">
        <w:tc>
          <w:tcPr>
            <w:tcW w:w="1169" w:type="pct"/>
          </w:tcPr>
          <w:p w14:paraId="7885CCC5" w14:textId="0BBADE7F" w:rsidR="009F5F60" w:rsidRPr="00446B3D" w:rsidRDefault="006F1ACC" w:rsidP="00446B3D">
            <w:pPr>
              <w:pStyle w:val="NoSpacing"/>
              <w:rPr>
                <w:sz w:val="20"/>
                <w:szCs w:val="20"/>
              </w:rPr>
            </w:pPr>
            <w:r w:rsidRPr="00446B3D">
              <w:rPr>
                <w:sz w:val="20"/>
                <w:szCs w:val="20"/>
              </w:rPr>
              <w:t>phenol</w:t>
            </w:r>
          </w:p>
        </w:tc>
        <w:tc>
          <w:tcPr>
            <w:tcW w:w="556" w:type="pct"/>
          </w:tcPr>
          <w:p w14:paraId="400D8E23" w14:textId="5414611B" w:rsidR="009F5F60" w:rsidRPr="00446B3D" w:rsidRDefault="00644867" w:rsidP="00446B3D">
            <w:pPr>
              <w:pStyle w:val="NoSpacing"/>
              <w:rPr>
                <w:sz w:val="20"/>
                <w:szCs w:val="20"/>
              </w:rPr>
            </w:pPr>
            <w:r w:rsidRPr="00446B3D">
              <w:rPr>
                <w:sz w:val="20"/>
                <w:szCs w:val="20"/>
              </w:rPr>
              <w:t>94.113</w:t>
            </w:r>
          </w:p>
        </w:tc>
        <w:tc>
          <w:tcPr>
            <w:tcW w:w="782" w:type="pct"/>
          </w:tcPr>
          <w:p w14:paraId="6312B632" w14:textId="7F661ABB" w:rsidR="009F5F60" w:rsidRPr="00446B3D" w:rsidRDefault="00876FB3" w:rsidP="00446B3D">
            <w:pPr>
              <w:pStyle w:val="NoSpacing"/>
              <w:rPr>
                <w:sz w:val="20"/>
                <w:szCs w:val="20"/>
              </w:rPr>
            </w:pPr>
            <w:r w:rsidRPr="00446B3D">
              <w:rPr>
                <w:sz w:val="20"/>
                <w:szCs w:val="20"/>
              </w:rPr>
              <w:t>-</w:t>
            </w:r>
          </w:p>
        </w:tc>
        <w:tc>
          <w:tcPr>
            <w:tcW w:w="694" w:type="pct"/>
          </w:tcPr>
          <w:p w14:paraId="5FE48211" w14:textId="7F719889" w:rsidR="009F5F60" w:rsidRPr="00446B3D" w:rsidRDefault="00D66C03" w:rsidP="00446B3D">
            <w:pPr>
              <w:pStyle w:val="NoSpacing"/>
              <w:rPr>
                <w:sz w:val="20"/>
                <w:szCs w:val="20"/>
              </w:rPr>
            </w:pPr>
            <w:r w:rsidRPr="00446B3D">
              <w:rPr>
                <w:sz w:val="20"/>
                <w:szCs w:val="20"/>
              </w:rPr>
              <w:t>0.22 ± 0.13</w:t>
            </w:r>
          </w:p>
        </w:tc>
        <w:tc>
          <w:tcPr>
            <w:tcW w:w="688" w:type="pct"/>
          </w:tcPr>
          <w:p w14:paraId="5C5EA136" w14:textId="11A4E560" w:rsidR="009F5F60" w:rsidRPr="00446B3D" w:rsidRDefault="00BD7A40" w:rsidP="00446B3D">
            <w:pPr>
              <w:pStyle w:val="NoSpacing"/>
              <w:rPr>
                <w:sz w:val="20"/>
                <w:szCs w:val="20"/>
              </w:rPr>
            </w:pPr>
            <w:r w:rsidRPr="00446B3D">
              <w:rPr>
                <w:sz w:val="20"/>
                <w:szCs w:val="20"/>
              </w:rPr>
              <w:t>1.1</w:t>
            </w:r>
          </w:p>
        </w:tc>
        <w:tc>
          <w:tcPr>
            <w:tcW w:w="688" w:type="pct"/>
          </w:tcPr>
          <w:p w14:paraId="355B890F" w14:textId="1A4DB77E" w:rsidR="009F5F60" w:rsidRPr="00446B3D" w:rsidRDefault="004E264A" w:rsidP="00446B3D">
            <w:pPr>
              <w:pStyle w:val="NoSpacing"/>
              <w:rPr>
                <w:sz w:val="20"/>
                <w:szCs w:val="20"/>
              </w:rPr>
            </w:pPr>
            <w:r w:rsidRPr="00446B3D">
              <w:rPr>
                <w:sz w:val="20"/>
                <w:szCs w:val="20"/>
              </w:rPr>
              <w:t>7.4</w:t>
            </w:r>
          </w:p>
        </w:tc>
        <w:tc>
          <w:tcPr>
            <w:tcW w:w="422" w:type="pct"/>
          </w:tcPr>
          <w:p w14:paraId="240775EB" w14:textId="4D30ED72" w:rsidR="009F5F60" w:rsidRPr="00446B3D" w:rsidRDefault="00535717" w:rsidP="00446B3D">
            <w:pPr>
              <w:pStyle w:val="NoSpacing"/>
              <w:rPr>
                <w:sz w:val="20"/>
                <w:szCs w:val="20"/>
              </w:rPr>
            </w:pPr>
            <w:r w:rsidRPr="00446B3D">
              <w:rPr>
                <w:sz w:val="20"/>
                <w:szCs w:val="20"/>
              </w:rPr>
              <w:t>2,100</w:t>
            </w:r>
            <w:r w:rsidRPr="00446B3D">
              <w:rPr>
                <w:sz w:val="20"/>
                <w:szCs w:val="20"/>
                <w:vertAlign w:val="superscript"/>
              </w:rPr>
              <w:t>b</w:t>
            </w:r>
          </w:p>
        </w:tc>
      </w:tr>
      <w:tr w:rsidR="00261547" w:rsidRPr="00446B3D" w14:paraId="589F09FD" w14:textId="77777777" w:rsidTr="00446B3D">
        <w:tc>
          <w:tcPr>
            <w:tcW w:w="1169" w:type="pct"/>
          </w:tcPr>
          <w:p w14:paraId="66765F38" w14:textId="77777777" w:rsidR="004D6A23" w:rsidRPr="00446B3D" w:rsidRDefault="004D6A23" w:rsidP="00446B3D">
            <w:pPr>
              <w:pStyle w:val="NoSpacing"/>
              <w:rPr>
                <w:sz w:val="20"/>
                <w:szCs w:val="20"/>
              </w:rPr>
            </w:pPr>
            <w:r w:rsidRPr="00446B3D">
              <w:rPr>
                <w:sz w:val="20"/>
                <w:szCs w:val="20"/>
              </w:rPr>
              <w:t>3-pyridinamine</w:t>
            </w:r>
          </w:p>
        </w:tc>
        <w:tc>
          <w:tcPr>
            <w:tcW w:w="556" w:type="pct"/>
          </w:tcPr>
          <w:p w14:paraId="6C2D46DA" w14:textId="279DA958" w:rsidR="004D6A23" w:rsidRPr="00446B3D" w:rsidRDefault="004D6A23" w:rsidP="00446B3D">
            <w:pPr>
              <w:pStyle w:val="NoSpacing"/>
              <w:rPr>
                <w:sz w:val="20"/>
                <w:szCs w:val="20"/>
              </w:rPr>
            </w:pPr>
            <w:r w:rsidRPr="00446B3D">
              <w:rPr>
                <w:sz w:val="20"/>
                <w:szCs w:val="20"/>
              </w:rPr>
              <w:t>94.117</w:t>
            </w:r>
          </w:p>
        </w:tc>
        <w:tc>
          <w:tcPr>
            <w:tcW w:w="782" w:type="pct"/>
          </w:tcPr>
          <w:p w14:paraId="200416DA" w14:textId="0B1C675B" w:rsidR="004D6A23" w:rsidRPr="00446B3D" w:rsidRDefault="004D6A23" w:rsidP="00446B3D">
            <w:pPr>
              <w:pStyle w:val="NoSpacing"/>
              <w:rPr>
                <w:sz w:val="20"/>
                <w:szCs w:val="20"/>
              </w:rPr>
            </w:pPr>
            <w:r w:rsidRPr="00446B3D">
              <w:rPr>
                <w:sz w:val="20"/>
                <w:szCs w:val="20"/>
              </w:rPr>
              <w:t>-</w:t>
            </w:r>
          </w:p>
        </w:tc>
        <w:tc>
          <w:tcPr>
            <w:tcW w:w="694" w:type="pct"/>
          </w:tcPr>
          <w:p w14:paraId="57ED7433" w14:textId="54463B16" w:rsidR="004D6A23" w:rsidRPr="00446B3D" w:rsidRDefault="004D6A23" w:rsidP="00446B3D">
            <w:pPr>
              <w:pStyle w:val="NoSpacing"/>
              <w:rPr>
                <w:sz w:val="20"/>
                <w:szCs w:val="20"/>
              </w:rPr>
            </w:pPr>
            <w:r w:rsidRPr="00446B3D">
              <w:rPr>
                <w:sz w:val="20"/>
                <w:szCs w:val="20"/>
              </w:rPr>
              <w:t>-</w:t>
            </w:r>
          </w:p>
        </w:tc>
        <w:tc>
          <w:tcPr>
            <w:tcW w:w="688" w:type="pct"/>
          </w:tcPr>
          <w:p w14:paraId="4B8F9B8C" w14:textId="70518CAC" w:rsidR="004D6A23" w:rsidRPr="00446B3D" w:rsidRDefault="00BD7A40" w:rsidP="00446B3D">
            <w:pPr>
              <w:pStyle w:val="NoSpacing"/>
              <w:rPr>
                <w:sz w:val="20"/>
                <w:szCs w:val="20"/>
              </w:rPr>
            </w:pPr>
            <w:r w:rsidRPr="00446B3D">
              <w:rPr>
                <w:sz w:val="20"/>
                <w:szCs w:val="20"/>
              </w:rPr>
              <w:t>2.7</w:t>
            </w:r>
          </w:p>
        </w:tc>
        <w:tc>
          <w:tcPr>
            <w:tcW w:w="688" w:type="pct"/>
          </w:tcPr>
          <w:p w14:paraId="5F4F2D96" w14:textId="32852A1A" w:rsidR="004D6A23" w:rsidRPr="00446B3D" w:rsidRDefault="004E264A" w:rsidP="00446B3D">
            <w:pPr>
              <w:pStyle w:val="NoSpacing"/>
              <w:rPr>
                <w:sz w:val="20"/>
                <w:szCs w:val="20"/>
              </w:rPr>
            </w:pPr>
            <w:r w:rsidRPr="00446B3D">
              <w:rPr>
                <w:sz w:val="20"/>
                <w:szCs w:val="20"/>
              </w:rPr>
              <w:t>-</w:t>
            </w:r>
          </w:p>
        </w:tc>
        <w:tc>
          <w:tcPr>
            <w:tcW w:w="422" w:type="pct"/>
          </w:tcPr>
          <w:p w14:paraId="2FB5482F" w14:textId="7457B155" w:rsidR="004D6A23" w:rsidRPr="00446B3D" w:rsidRDefault="00535717" w:rsidP="00446B3D">
            <w:pPr>
              <w:pStyle w:val="NoSpacing"/>
              <w:rPr>
                <w:sz w:val="20"/>
                <w:szCs w:val="20"/>
              </w:rPr>
            </w:pPr>
            <w:r w:rsidRPr="00446B3D">
              <w:rPr>
                <w:sz w:val="20"/>
                <w:szCs w:val="20"/>
              </w:rPr>
              <w:t>-</w:t>
            </w:r>
          </w:p>
        </w:tc>
      </w:tr>
      <w:tr w:rsidR="00261547" w:rsidRPr="00446B3D" w14:paraId="3F1A50DD" w14:textId="77777777" w:rsidTr="00446B3D">
        <w:tc>
          <w:tcPr>
            <w:tcW w:w="1169" w:type="pct"/>
          </w:tcPr>
          <w:p w14:paraId="2A13D3E1" w14:textId="3DCF3ED9" w:rsidR="009F5F60" w:rsidRPr="00446B3D" w:rsidRDefault="00AF4BE1" w:rsidP="00446B3D">
            <w:pPr>
              <w:pStyle w:val="NoSpacing"/>
              <w:rPr>
                <w:sz w:val="20"/>
                <w:szCs w:val="20"/>
              </w:rPr>
            </w:pPr>
            <w:r w:rsidRPr="00446B3D">
              <w:rPr>
                <w:sz w:val="20"/>
                <w:szCs w:val="20"/>
              </w:rPr>
              <w:t>methyl pyrazine</w:t>
            </w:r>
          </w:p>
        </w:tc>
        <w:tc>
          <w:tcPr>
            <w:tcW w:w="556" w:type="pct"/>
          </w:tcPr>
          <w:p w14:paraId="55B4391A" w14:textId="4E6E7890" w:rsidR="009F5F60" w:rsidRPr="00446B3D" w:rsidRDefault="00644867" w:rsidP="00446B3D">
            <w:pPr>
              <w:pStyle w:val="NoSpacing"/>
              <w:rPr>
                <w:sz w:val="20"/>
                <w:szCs w:val="20"/>
              </w:rPr>
            </w:pPr>
            <w:r w:rsidRPr="00446B3D">
              <w:rPr>
                <w:sz w:val="20"/>
                <w:szCs w:val="20"/>
              </w:rPr>
              <w:t>94.117</w:t>
            </w:r>
          </w:p>
        </w:tc>
        <w:tc>
          <w:tcPr>
            <w:tcW w:w="782" w:type="pct"/>
          </w:tcPr>
          <w:p w14:paraId="7DFF7687" w14:textId="5BB5C56E" w:rsidR="009F5F60" w:rsidRPr="00446B3D" w:rsidRDefault="00876FB3" w:rsidP="00446B3D">
            <w:pPr>
              <w:pStyle w:val="NoSpacing"/>
              <w:rPr>
                <w:sz w:val="20"/>
                <w:szCs w:val="20"/>
              </w:rPr>
            </w:pPr>
            <w:r w:rsidRPr="00446B3D">
              <w:rPr>
                <w:sz w:val="20"/>
                <w:szCs w:val="20"/>
              </w:rPr>
              <w:t>-</w:t>
            </w:r>
          </w:p>
        </w:tc>
        <w:tc>
          <w:tcPr>
            <w:tcW w:w="694" w:type="pct"/>
          </w:tcPr>
          <w:p w14:paraId="4C732250" w14:textId="25559B6D" w:rsidR="009F5F60" w:rsidRPr="00446B3D" w:rsidRDefault="00435232" w:rsidP="00446B3D">
            <w:pPr>
              <w:pStyle w:val="NoSpacing"/>
              <w:rPr>
                <w:sz w:val="20"/>
                <w:szCs w:val="20"/>
              </w:rPr>
            </w:pPr>
            <w:r w:rsidRPr="00446B3D">
              <w:rPr>
                <w:sz w:val="20"/>
                <w:szCs w:val="20"/>
              </w:rPr>
              <w:t>-</w:t>
            </w:r>
          </w:p>
        </w:tc>
        <w:tc>
          <w:tcPr>
            <w:tcW w:w="688" w:type="pct"/>
          </w:tcPr>
          <w:p w14:paraId="77F827E8" w14:textId="6D8D9C95" w:rsidR="009F5F60" w:rsidRPr="00446B3D" w:rsidRDefault="00624AE8" w:rsidP="00446B3D">
            <w:pPr>
              <w:pStyle w:val="NoSpacing"/>
              <w:rPr>
                <w:sz w:val="20"/>
                <w:szCs w:val="20"/>
              </w:rPr>
            </w:pPr>
            <w:r w:rsidRPr="00446B3D">
              <w:rPr>
                <w:sz w:val="20"/>
                <w:szCs w:val="20"/>
              </w:rPr>
              <w:t>-</w:t>
            </w:r>
          </w:p>
        </w:tc>
        <w:tc>
          <w:tcPr>
            <w:tcW w:w="688" w:type="pct"/>
          </w:tcPr>
          <w:p w14:paraId="061FEF1D" w14:textId="7F42913F" w:rsidR="009F5F60" w:rsidRPr="00446B3D" w:rsidRDefault="004E264A" w:rsidP="00446B3D">
            <w:pPr>
              <w:pStyle w:val="NoSpacing"/>
              <w:rPr>
                <w:sz w:val="20"/>
                <w:szCs w:val="20"/>
              </w:rPr>
            </w:pPr>
            <w:r w:rsidRPr="00446B3D">
              <w:rPr>
                <w:sz w:val="20"/>
                <w:szCs w:val="20"/>
              </w:rPr>
              <w:t>12.9</w:t>
            </w:r>
          </w:p>
        </w:tc>
        <w:tc>
          <w:tcPr>
            <w:tcW w:w="422" w:type="pct"/>
          </w:tcPr>
          <w:p w14:paraId="684F23B9" w14:textId="633B0BE1" w:rsidR="009F5F60" w:rsidRPr="00446B3D" w:rsidRDefault="00535717" w:rsidP="00446B3D">
            <w:pPr>
              <w:pStyle w:val="NoSpacing"/>
              <w:rPr>
                <w:sz w:val="20"/>
                <w:szCs w:val="20"/>
              </w:rPr>
            </w:pPr>
            <w:r w:rsidRPr="00446B3D">
              <w:rPr>
                <w:sz w:val="20"/>
                <w:szCs w:val="20"/>
              </w:rPr>
              <w:t>-</w:t>
            </w:r>
          </w:p>
        </w:tc>
      </w:tr>
      <w:tr w:rsidR="00261547" w:rsidRPr="00446B3D" w14:paraId="781F3058" w14:textId="77777777" w:rsidTr="00446B3D">
        <w:trPr>
          <w:trHeight w:val="70"/>
        </w:trPr>
        <w:tc>
          <w:tcPr>
            <w:tcW w:w="1169" w:type="pct"/>
          </w:tcPr>
          <w:p w14:paraId="0966149F" w14:textId="57792D57" w:rsidR="009F5F60" w:rsidRPr="00446B3D" w:rsidRDefault="00410546" w:rsidP="00446B3D">
            <w:pPr>
              <w:pStyle w:val="NoSpacing"/>
              <w:rPr>
                <w:sz w:val="20"/>
                <w:szCs w:val="20"/>
              </w:rPr>
            </w:pPr>
            <w:r w:rsidRPr="00446B3D">
              <w:rPr>
                <w:sz w:val="20"/>
                <w:szCs w:val="20"/>
              </w:rPr>
              <w:t>2[1H]-pyridinone</w:t>
            </w:r>
          </w:p>
        </w:tc>
        <w:tc>
          <w:tcPr>
            <w:tcW w:w="556" w:type="pct"/>
          </w:tcPr>
          <w:p w14:paraId="2C31BFB3" w14:textId="1D8EC9FF" w:rsidR="009F5F60" w:rsidRPr="00446B3D" w:rsidRDefault="00644867" w:rsidP="00446B3D">
            <w:pPr>
              <w:pStyle w:val="NoSpacing"/>
              <w:rPr>
                <w:sz w:val="20"/>
                <w:szCs w:val="20"/>
              </w:rPr>
            </w:pPr>
            <w:r w:rsidRPr="00446B3D">
              <w:rPr>
                <w:sz w:val="20"/>
                <w:szCs w:val="20"/>
              </w:rPr>
              <w:t>95.101</w:t>
            </w:r>
          </w:p>
        </w:tc>
        <w:tc>
          <w:tcPr>
            <w:tcW w:w="782" w:type="pct"/>
          </w:tcPr>
          <w:p w14:paraId="0B9408C0" w14:textId="6763EFB7" w:rsidR="009F5F60" w:rsidRPr="00446B3D" w:rsidRDefault="00876FB3" w:rsidP="00446B3D">
            <w:pPr>
              <w:pStyle w:val="NoSpacing"/>
              <w:rPr>
                <w:sz w:val="20"/>
                <w:szCs w:val="20"/>
              </w:rPr>
            </w:pPr>
            <w:r w:rsidRPr="00446B3D">
              <w:rPr>
                <w:sz w:val="20"/>
                <w:szCs w:val="20"/>
              </w:rPr>
              <w:t>-</w:t>
            </w:r>
          </w:p>
        </w:tc>
        <w:tc>
          <w:tcPr>
            <w:tcW w:w="694" w:type="pct"/>
          </w:tcPr>
          <w:p w14:paraId="4920759B" w14:textId="603875AB" w:rsidR="009F5F60" w:rsidRPr="00446B3D" w:rsidRDefault="00435232" w:rsidP="00446B3D">
            <w:pPr>
              <w:pStyle w:val="NoSpacing"/>
              <w:rPr>
                <w:sz w:val="20"/>
                <w:szCs w:val="20"/>
              </w:rPr>
            </w:pPr>
            <w:r w:rsidRPr="00446B3D">
              <w:rPr>
                <w:sz w:val="20"/>
                <w:szCs w:val="20"/>
              </w:rPr>
              <w:t>-</w:t>
            </w:r>
          </w:p>
        </w:tc>
        <w:tc>
          <w:tcPr>
            <w:tcW w:w="688" w:type="pct"/>
          </w:tcPr>
          <w:p w14:paraId="7D4C9C90" w14:textId="0308D4B5" w:rsidR="009F5F60" w:rsidRPr="00446B3D" w:rsidRDefault="00624AE8" w:rsidP="00446B3D">
            <w:pPr>
              <w:pStyle w:val="NoSpacing"/>
              <w:rPr>
                <w:sz w:val="20"/>
                <w:szCs w:val="20"/>
              </w:rPr>
            </w:pPr>
            <w:r w:rsidRPr="00446B3D">
              <w:rPr>
                <w:sz w:val="20"/>
                <w:szCs w:val="20"/>
              </w:rPr>
              <w:t>2.3</w:t>
            </w:r>
          </w:p>
        </w:tc>
        <w:tc>
          <w:tcPr>
            <w:tcW w:w="688" w:type="pct"/>
          </w:tcPr>
          <w:p w14:paraId="7F1F37AB" w14:textId="37CB2AFA" w:rsidR="009F5F60" w:rsidRPr="00446B3D" w:rsidRDefault="004E264A" w:rsidP="00446B3D">
            <w:pPr>
              <w:pStyle w:val="NoSpacing"/>
              <w:rPr>
                <w:sz w:val="20"/>
                <w:szCs w:val="20"/>
              </w:rPr>
            </w:pPr>
            <w:r w:rsidRPr="00446B3D">
              <w:rPr>
                <w:sz w:val="20"/>
                <w:szCs w:val="20"/>
              </w:rPr>
              <w:t>-</w:t>
            </w:r>
          </w:p>
        </w:tc>
        <w:tc>
          <w:tcPr>
            <w:tcW w:w="422" w:type="pct"/>
          </w:tcPr>
          <w:p w14:paraId="6F9D1443" w14:textId="6B439645" w:rsidR="009F5F60" w:rsidRPr="00446B3D" w:rsidRDefault="00535717" w:rsidP="00446B3D">
            <w:pPr>
              <w:pStyle w:val="NoSpacing"/>
              <w:rPr>
                <w:sz w:val="20"/>
                <w:szCs w:val="20"/>
              </w:rPr>
            </w:pPr>
            <w:r w:rsidRPr="00446B3D">
              <w:rPr>
                <w:sz w:val="20"/>
                <w:szCs w:val="20"/>
              </w:rPr>
              <w:t>-</w:t>
            </w:r>
          </w:p>
        </w:tc>
      </w:tr>
      <w:tr w:rsidR="00261547" w:rsidRPr="00446B3D" w14:paraId="7B422525" w14:textId="77777777" w:rsidTr="00446B3D">
        <w:tc>
          <w:tcPr>
            <w:tcW w:w="1169" w:type="pct"/>
          </w:tcPr>
          <w:p w14:paraId="40DDFBEF" w14:textId="0023211D" w:rsidR="009F5F60" w:rsidRPr="00446B3D" w:rsidRDefault="00410546" w:rsidP="00446B3D">
            <w:pPr>
              <w:pStyle w:val="NoSpacing"/>
              <w:rPr>
                <w:sz w:val="20"/>
                <w:szCs w:val="20"/>
              </w:rPr>
            </w:pPr>
            <w:r w:rsidRPr="00446B3D">
              <w:rPr>
                <w:sz w:val="20"/>
                <w:szCs w:val="20"/>
              </w:rPr>
              <w:t>methyl butanoic acid</w:t>
            </w:r>
          </w:p>
        </w:tc>
        <w:tc>
          <w:tcPr>
            <w:tcW w:w="556" w:type="pct"/>
          </w:tcPr>
          <w:p w14:paraId="1F16D5EB" w14:textId="102AC874" w:rsidR="009F5F60" w:rsidRPr="00446B3D" w:rsidRDefault="00644867" w:rsidP="00446B3D">
            <w:pPr>
              <w:pStyle w:val="NoSpacing"/>
              <w:rPr>
                <w:sz w:val="20"/>
                <w:szCs w:val="20"/>
              </w:rPr>
            </w:pPr>
            <w:r w:rsidRPr="00446B3D">
              <w:rPr>
                <w:sz w:val="20"/>
                <w:szCs w:val="20"/>
              </w:rPr>
              <w:t>102.133</w:t>
            </w:r>
          </w:p>
        </w:tc>
        <w:tc>
          <w:tcPr>
            <w:tcW w:w="782" w:type="pct"/>
          </w:tcPr>
          <w:p w14:paraId="4A1966E5" w14:textId="7FF028C0" w:rsidR="009F5F60" w:rsidRPr="00446B3D" w:rsidRDefault="00876FB3" w:rsidP="00446B3D">
            <w:pPr>
              <w:pStyle w:val="NoSpacing"/>
              <w:rPr>
                <w:sz w:val="20"/>
                <w:szCs w:val="20"/>
              </w:rPr>
            </w:pPr>
            <w:r w:rsidRPr="00446B3D">
              <w:rPr>
                <w:sz w:val="20"/>
                <w:szCs w:val="20"/>
              </w:rPr>
              <w:t>-</w:t>
            </w:r>
          </w:p>
        </w:tc>
        <w:tc>
          <w:tcPr>
            <w:tcW w:w="694" w:type="pct"/>
          </w:tcPr>
          <w:p w14:paraId="4B8D46D1" w14:textId="71070F7D" w:rsidR="009F5F60" w:rsidRPr="00446B3D" w:rsidRDefault="00435232" w:rsidP="00446B3D">
            <w:pPr>
              <w:pStyle w:val="NoSpacing"/>
              <w:rPr>
                <w:sz w:val="20"/>
                <w:szCs w:val="20"/>
              </w:rPr>
            </w:pPr>
            <w:r w:rsidRPr="00446B3D">
              <w:rPr>
                <w:sz w:val="20"/>
                <w:szCs w:val="20"/>
              </w:rPr>
              <w:t>-</w:t>
            </w:r>
          </w:p>
        </w:tc>
        <w:tc>
          <w:tcPr>
            <w:tcW w:w="688" w:type="pct"/>
          </w:tcPr>
          <w:p w14:paraId="05E2A1C9" w14:textId="07D617C6" w:rsidR="009F5F60" w:rsidRPr="00446B3D" w:rsidRDefault="00624AE8" w:rsidP="00446B3D">
            <w:pPr>
              <w:pStyle w:val="NoSpacing"/>
              <w:rPr>
                <w:sz w:val="20"/>
                <w:szCs w:val="20"/>
              </w:rPr>
            </w:pPr>
            <w:r w:rsidRPr="00446B3D">
              <w:rPr>
                <w:sz w:val="20"/>
                <w:szCs w:val="20"/>
              </w:rPr>
              <w:t>1.9</w:t>
            </w:r>
          </w:p>
        </w:tc>
        <w:tc>
          <w:tcPr>
            <w:tcW w:w="688" w:type="pct"/>
          </w:tcPr>
          <w:p w14:paraId="62655809" w14:textId="083C93DD" w:rsidR="009F5F60" w:rsidRPr="00446B3D" w:rsidRDefault="004E264A" w:rsidP="00446B3D">
            <w:pPr>
              <w:pStyle w:val="NoSpacing"/>
              <w:rPr>
                <w:sz w:val="20"/>
                <w:szCs w:val="20"/>
              </w:rPr>
            </w:pPr>
            <w:r w:rsidRPr="00446B3D">
              <w:rPr>
                <w:sz w:val="20"/>
                <w:szCs w:val="20"/>
              </w:rPr>
              <w:t>-</w:t>
            </w:r>
          </w:p>
        </w:tc>
        <w:tc>
          <w:tcPr>
            <w:tcW w:w="422" w:type="pct"/>
          </w:tcPr>
          <w:p w14:paraId="5F8E9049" w14:textId="0BBFF51C" w:rsidR="009F5F60" w:rsidRPr="00446B3D" w:rsidRDefault="007426A7" w:rsidP="00446B3D">
            <w:pPr>
              <w:pStyle w:val="NoSpacing"/>
              <w:rPr>
                <w:sz w:val="20"/>
                <w:szCs w:val="20"/>
              </w:rPr>
            </w:pPr>
            <w:r w:rsidRPr="00446B3D">
              <w:rPr>
                <w:sz w:val="20"/>
                <w:szCs w:val="20"/>
              </w:rPr>
              <w:t>-</w:t>
            </w:r>
          </w:p>
        </w:tc>
      </w:tr>
      <w:tr w:rsidR="00261547" w:rsidRPr="00446B3D" w14:paraId="6870BB83" w14:textId="77777777" w:rsidTr="00446B3D">
        <w:tc>
          <w:tcPr>
            <w:tcW w:w="1169" w:type="pct"/>
          </w:tcPr>
          <w:p w14:paraId="285A4040" w14:textId="0CA8F8E6" w:rsidR="009F5F60" w:rsidRPr="00446B3D" w:rsidRDefault="00410546" w:rsidP="00446B3D">
            <w:pPr>
              <w:pStyle w:val="NoSpacing"/>
              <w:rPr>
                <w:sz w:val="20"/>
                <w:szCs w:val="20"/>
              </w:rPr>
            </w:pPr>
            <w:r w:rsidRPr="00446B3D">
              <w:rPr>
                <w:sz w:val="20"/>
                <w:szCs w:val="20"/>
              </w:rPr>
              <w:t>iso-valeric acid</w:t>
            </w:r>
          </w:p>
        </w:tc>
        <w:tc>
          <w:tcPr>
            <w:tcW w:w="556" w:type="pct"/>
          </w:tcPr>
          <w:p w14:paraId="295F9BE3" w14:textId="5039F7CD" w:rsidR="009F5F60" w:rsidRPr="00446B3D" w:rsidRDefault="00145D9E" w:rsidP="00446B3D">
            <w:pPr>
              <w:pStyle w:val="NoSpacing"/>
              <w:rPr>
                <w:sz w:val="20"/>
                <w:szCs w:val="20"/>
              </w:rPr>
            </w:pPr>
            <w:r w:rsidRPr="00446B3D">
              <w:rPr>
                <w:sz w:val="20"/>
                <w:szCs w:val="20"/>
              </w:rPr>
              <w:t>102.133</w:t>
            </w:r>
          </w:p>
        </w:tc>
        <w:tc>
          <w:tcPr>
            <w:tcW w:w="782" w:type="pct"/>
          </w:tcPr>
          <w:p w14:paraId="53EC15A0" w14:textId="6CD3E8AE" w:rsidR="009F5F60" w:rsidRPr="00446B3D" w:rsidRDefault="00AF1DFB" w:rsidP="00446B3D">
            <w:pPr>
              <w:pStyle w:val="NoSpacing"/>
              <w:rPr>
                <w:sz w:val="20"/>
                <w:szCs w:val="20"/>
              </w:rPr>
            </w:pPr>
            <w:r w:rsidRPr="00446B3D">
              <w:rPr>
                <w:sz w:val="20"/>
                <w:szCs w:val="20"/>
              </w:rPr>
              <w:t>677 ± 19</w:t>
            </w:r>
          </w:p>
        </w:tc>
        <w:tc>
          <w:tcPr>
            <w:tcW w:w="694" w:type="pct"/>
          </w:tcPr>
          <w:p w14:paraId="230683E0" w14:textId="36EA1D9B" w:rsidR="009F5F60" w:rsidRPr="00446B3D" w:rsidRDefault="00435232" w:rsidP="00446B3D">
            <w:pPr>
              <w:pStyle w:val="NoSpacing"/>
              <w:rPr>
                <w:sz w:val="20"/>
                <w:szCs w:val="20"/>
              </w:rPr>
            </w:pPr>
            <w:r w:rsidRPr="00446B3D">
              <w:rPr>
                <w:sz w:val="20"/>
                <w:szCs w:val="20"/>
              </w:rPr>
              <w:t>-</w:t>
            </w:r>
          </w:p>
        </w:tc>
        <w:tc>
          <w:tcPr>
            <w:tcW w:w="688" w:type="pct"/>
          </w:tcPr>
          <w:p w14:paraId="4BFDFFAB" w14:textId="3B5AA9C6" w:rsidR="009F5F60" w:rsidRPr="00446B3D" w:rsidRDefault="00624AE8" w:rsidP="00446B3D">
            <w:pPr>
              <w:pStyle w:val="NoSpacing"/>
              <w:rPr>
                <w:sz w:val="20"/>
                <w:szCs w:val="20"/>
              </w:rPr>
            </w:pPr>
            <w:r w:rsidRPr="00446B3D">
              <w:rPr>
                <w:sz w:val="20"/>
                <w:szCs w:val="20"/>
              </w:rPr>
              <w:t>-</w:t>
            </w:r>
          </w:p>
        </w:tc>
        <w:tc>
          <w:tcPr>
            <w:tcW w:w="688" w:type="pct"/>
          </w:tcPr>
          <w:p w14:paraId="6A460E0C" w14:textId="17012D00" w:rsidR="009F5F60" w:rsidRPr="00446B3D" w:rsidRDefault="004E264A" w:rsidP="00446B3D">
            <w:pPr>
              <w:pStyle w:val="NoSpacing"/>
              <w:rPr>
                <w:sz w:val="20"/>
                <w:szCs w:val="20"/>
              </w:rPr>
            </w:pPr>
            <w:r w:rsidRPr="00446B3D">
              <w:rPr>
                <w:sz w:val="20"/>
                <w:szCs w:val="20"/>
              </w:rPr>
              <w:t>-</w:t>
            </w:r>
          </w:p>
        </w:tc>
        <w:tc>
          <w:tcPr>
            <w:tcW w:w="422" w:type="pct"/>
          </w:tcPr>
          <w:p w14:paraId="3397FA79" w14:textId="5E2AF1A9" w:rsidR="009F5F60" w:rsidRPr="00446B3D" w:rsidRDefault="007426A7" w:rsidP="00446B3D">
            <w:pPr>
              <w:pStyle w:val="NoSpacing"/>
              <w:rPr>
                <w:sz w:val="20"/>
                <w:szCs w:val="20"/>
              </w:rPr>
            </w:pPr>
            <w:r w:rsidRPr="00446B3D">
              <w:rPr>
                <w:sz w:val="20"/>
                <w:szCs w:val="20"/>
              </w:rPr>
              <w:t>-</w:t>
            </w:r>
          </w:p>
        </w:tc>
      </w:tr>
      <w:tr w:rsidR="00261547" w:rsidRPr="00446B3D" w14:paraId="0A6CD0BA" w14:textId="77777777" w:rsidTr="00446B3D">
        <w:tc>
          <w:tcPr>
            <w:tcW w:w="1169" w:type="pct"/>
          </w:tcPr>
          <w:p w14:paraId="57E1E971" w14:textId="22FF55FE" w:rsidR="009F5F60" w:rsidRPr="00446B3D" w:rsidRDefault="007242BA" w:rsidP="00446B3D">
            <w:pPr>
              <w:pStyle w:val="NoSpacing"/>
              <w:rPr>
                <w:sz w:val="20"/>
                <w:szCs w:val="20"/>
              </w:rPr>
            </w:pPr>
            <w:r w:rsidRPr="00446B3D">
              <w:rPr>
                <w:sz w:val="20"/>
                <w:szCs w:val="20"/>
              </w:rPr>
              <w:t>valeric acid</w:t>
            </w:r>
          </w:p>
        </w:tc>
        <w:tc>
          <w:tcPr>
            <w:tcW w:w="556" w:type="pct"/>
          </w:tcPr>
          <w:p w14:paraId="10C5760F" w14:textId="6EF307F1" w:rsidR="009F5F60" w:rsidRPr="00446B3D" w:rsidRDefault="00145D9E" w:rsidP="00446B3D">
            <w:pPr>
              <w:pStyle w:val="NoSpacing"/>
              <w:rPr>
                <w:sz w:val="20"/>
                <w:szCs w:val="20"/>
              </w:rPr>
            </w:pPr>
            <w:r w:rsidRPr="00446B3D">
              <w:rPr>
                <w:sz w:val="20"/>
                <w:szCs w:val="20"/>
              </w:rPr>
              <w:t>102.133</w:t>
            </w:r>
          </w:p>
        </w:tc>
        <w:tc>
          <w:tcPr>
            <w:tcW w:w="782" w:type="pct"/>
          </w:tcPr>
          <w:p w14:paraId="024EE768" w14:textId="5FB32BEE" w:rsidR="009F5F60" w:rsidRPr="00446B3D" w:rsidRDefault="00AF1DFB" w:rsidP="00446B3D">
            <w:pPr>
              <w:pStyle w:val="NoSpacing"/>
              <w:rPr>
                <w:sz w:val="20"/>
                <w:szCs w:val="20"/>
              </w:rPr>
            </w:pPr>
            <w:r w:rsidRPr="00446B3D">
              <w:rPr>
                <w:sz w:val="20"/>
                <w:szCs w:val="20"/>
              </w:rPr>
              <w:t>174 ± 4</w:t>
            </w:r>
          </w:p>
        </w:tc>
        <w:tc>
          <w:tcPr>
            <w:tcW w:w="694" w:type="pct"/>
          </w:tcPr>
          <w:p w14:paraId="28103EF9" w14:textId="4E7E8C10" w:rsidR="009F5F60" w:rsidRPr="00446B3D" w:rsidRDefault="00435232" w:rsidP="00446B3D">
            <w:pPr>
              <w:pStyle w:val="NoSpacing"/>
              <w:rPr>
                <w:sz w:val="20"/>
                <w:szCs w:val="20"/>
              </w:rPr>
            </w:pPr>
            <w:r w:rsidRPr="00446B3D">
              <w:rPr>
                <w:sz w:val="20"/>
                <w:szCs w:val="20"/>
              </w:rPr>
              <w:t>-</w:t>
            </w:r>
          </w:p>
        </w:tc>
        <w:tc>
          <w:tcPr>
            <w:tcW w:w="688" w:type="pct"/>
          </w:tcPr>
          <w:p w14:paraId="124CA729" w14:textId="202FD62A" w:rsidR="009F5F60" w:rsidRPr="00446B3D" w:rsidRDefault="00624AE8" w:rsidP="00446B3D">
            <w:pPr>
              <w:pStyle w:val="NoSpacing"/>
              <w:rPr>
                <w:sz w:val="20"/>
                <w:szCs w:val="20"/>
              </w:rPr>
            </w:pPr>
            <w:r w:rsidRPr="00446B3D">
              <w:rPr>
                <w:sz w:val="20"/>
                <w:szCs w:val="20"/>
              </w:rPr>
              <w:t>-</w:t>
            </w:r>
          </w:p>
        </w:tc>
        <w:tc>
          <w:tcPr>
            <w:tcW w:w="688" w:type="pct"/>
          </w:tcPr>
          <w:p w14:paraId="21B58C10" w14:textId="232816D1" w:rsidR="009F5F60" w:rsidRPr="00446B3D" w:rsidRDefault="004E264A" w:rsidP="00446B3D">
            <w:pPr>
              <w:pStyle w:val="NoSpacing"/>
              <w:rPr>
                <w:sz w:val="20"/>
                <w:szCs w:val="20"/>
              </w:rPr>
            </w:pPr>
            <w:r w:rsidRPr="00446B3D">
              <w:rPr>
                <w:sz w:val="20"/>
                <w:szCs w:val="20"/>
              </w:rPr>
              <w:t>-</w:t>
            </w:r>
          </w:p>
        </w:tc>
        <w:tc>
          <w:tcPr>
            <w:tcW w:w="422" w:type="pct"/>
          </w:tcPr>
          <w:p w14:paraId="47D67C56" w14:textId="3085CCF8" w:rsidR="009F5F60" w:rsidRPr="00446B3D" w:rsidRDefault="007426A7" w:rsidP="00446B3D">
            <w:pPr>
              <w:pStyle w:val="NoSpacing"/>
              <w:rPr>
                <w:sz w:val="20"/>
                <w:szCs w:val="20"/>
              </w:rPr>
            </w:pPr>
            <w:r w:rsidRPr="00446B3D">
              <w:rPr>
                <w:sz w:val="20"/>
                <w:szCs w:val="20"/>
              </w:rPr>
              <w:t>-</w:t>
            </w:r>
          </w:p>
        </w:tc>
      </w:tr>
      <w:tr w:rsidR="00261547" w:rsidRPr="00446B3D" w14:paraId="356C2036" w14:textId="77777777" w:rsidTr="00446B3D">
        <w:tc>
          <w:tcPr>
            <w:tcW w:w="1169" w:type="pct"/>
          </w:tcPr>
          <w:p w14:paraId="7F29ABB7" w14:textId="50B7A0E3" w:rsidR="009F5F60" w:rsidRPr="00446B3D" w:rsidRDefault="007242BA" w:rsidP="00446B3D">
            <w:pPr>
              <w:pStyle w:val="NoSpacing"/>
              <w:rPr>
                <w:sz w:val="20"/>
                <w:szCs w:val="20"/>
              </w:rPr>
            </w:pPr>
            <w:r w:rsidRPr="00446B3D">
              <w:rPr>
                <w:sz w:val="20"/>
                <w:szCs w:val="20"/>
              </w:rPr>
              <w:t>styrene</w:t>
            </w:r>
          </w:p>
        </w:tc>
        <w:tc>
          <w:tcPr>
            <w:tcW w:w="556" w:type="pct"/>
          </w:tcPr>
          <w:p w14:paraId="7CAD8935" w14:textId="46098AA7" w:rsidR="009F5F60" w:rsidRPr="00446B3D" w:rsidRDefault="00145D9E" w:rsidP="00446B3D">
            <w:pPr>
              <w:pStyle w:val="NoSpacing"/>
              <w:rPr>
                <w:sz w:val="20"/>
                <w:szCs w:val="20"/>
              </w:rPr>
            </w:pPr>
            <w:r w:rsidRPr="00446B3D">
              <w:rPr>
                <w:sz w:val="20"/>
                <w:szCs w:val="20"/>
              </w:rPr>
              <w:t>104.152</w:t>
            </w:r>
          </w:p>
        </w:tc>
        <w:tc>
          <w:tcPr>
            <w:tcW w:w="782" w:type="pct"/>
          </w:tcPr>
          <w:p w14:paraId="2875AEAA" w14:textId="6B4174A5" w:rsidR="009F5F60" w:rsidRPr="00446B3D" w:rsidRDefault="00A30636" w:rsidP="00446B3D">
            <w:pPr>
              <w:pStyle w:val="NoSpacing"/>
              <w:rPr>
                <w:sz w:val="20"/>
                <w:szCs w:val="20"/>
              </w:rPr>
            </w:pPr>
            <w:r w:rsidRPr="00446B3D">
              <w:rPr>
                <w:sz w:val="20"/>
                <w:szCs w:val="20"/>
              </w:rPr>
              <w:t>-</w:t>
            </w:r>
          </w:p>
        </w:tc>
        <w:tc>
          <w:tcPr>
            <w:tcW w:w="694" w:type="pct"/>
          </w:tcPr>
          <w:p w14:paraId="45BA85B3" w14:textId="22B76349" w:rsidR="009F5F60" w:rsidRPr="00446B3D" w:rsidRDefault="00E0526B" w:rsidP="00446B3D">
            <w:pPr>
              <w:pStyle w:val="NoSpacing"/>
              <w:rPr>
                <w:sz w:val="20"/>
                <w:szCs w:val="20"/>
              </w:rPr>
            </w:pPr>
            <w:r w:rsidRPr="00446B3D">
              <w:rPr>
                <w:sz w:val="20"/>
                <w:szCs w:val="20"/>
              </w:rPr>
              <w:t>0.06 ± 0.03</w:t>
            </w:r>
          </w:p>
        </w:tc>
        <w:tc>
          <w:tcPr>
            <w:tcW w:w="688" w:type="pct"/>
          </w:tcPr>
          <w:p w14:paraId="1FA80AFB" w14:textId="6637DCCD" w:rsidR="009F5F60" w:rsidRPr="00446B3D" w:rsidRDefault="00624AE8" w:rsidP="00446B3D">
            <w:pPr>
              <w:pStyle w:val="NoSpacing"/>
              <w:rPr>
                <w:sz w:val="20"/>
                <w:szCs w:val="20"/>
              </w:rPr>
            </w:pPr>
            <w:r w:rsidRPr="00446B3D">
              <w:rPr>
                <w:sz w:val="20"/>
                <w:szCs w:val="20"/>
              </w:rPr>
              <w:t>-</w:t>
            </w:r>
          </w:p>
        </w:tc>
        <w:tc>
          <w:tcPr>
            <w:tcW w:w="688" w:type="pct"/>
          </w:tcPr>
          <w:p w14:paraId="0CBA08B1" w14:textId="54002425" w:rsidR="009F5F60" w:rsidRPr="00446B3D" w:rsidRDefault="004E264A" w:rsidP="00446B3D">
            <w:pPr>
              <w:pStyle w:val="NoSpacing"/>
              <w:rPr>
                <w:sz w:val="20"/>
                <w:szCs w:val="20"/>
              </w:rPr>
            </w:pPr>
            <w:r w:rsidRPr="00446B3D">
              <w:rPr>
                <w:sz w:val="20"/>
                <w:szCs w:val="20"/>
              </w:rPr>
              <w:t>-</w:t>
            </w:r>
          </w:p>
        </w:tc>
        <w:tc>
          <w:tcPr>
            <w:tcW w:w="422" w:type="pct"/>
          </w:tcPr>
          <w:p w14:paraId="0B902F1D" w14:textId="687690EF" w:rsidR="009F5F60" w:rsidRPr="00446B3D" w:rsidRDefault="007426A7" w:rsidP="00446B3D">
            <w:pPr>
              <w:pStyle w:val="NoSpacing"/>
              <w:rPr>
                <w:sz w:val="20"/>
                <w:szCs w:val="20"/>
              </w:rPr>
            </w:pPr>
            <w:r w:rsidRPr="00446B3D">
              <w:rPr>
                <w:sz w:val="20"/>
                <w:szCs w:val="20"/>
              </w:rPr>
              <w:t>150</w:t>
            </w:r>
            <w:r w:rsidRPr="00446B3D">
              <w:rPr>
                <w:sz w:val="20"/>
                <w:szCs w:val="20"/>
                <w:vertAlign w:val="superscript"/>
              </w:rPr>
              <w:t>c</w:t>
            </w:r>
          </w:p>
        </w:tc>
      </w:tr>
      <w:tr w:rsidR="00261547" w:rsidRPr="00446B3D" w14:paraId="3141BB7B" w14:textId="77777777" w:rsidTr="00446B3D">
        <w:tc>
          <w:tcPr>
            <w:tcW w:w="1169" w:type="pct"/>
          </w:tcPr>
          <w:p w14:paraId="222BE146" w14:textId="7E4D99ED" w:rsidR="009F5F60" w:rsidRPr="00446B3D" w:rsidRDefault="007242BA" w:rsidP="00446B3D">
            <w:pPr>
              <w:pStyle w:val="NoSpacing"/>
              <w:rPr>
                <w:sz w:val="20"/>
                <w:szCs w:val="20"/>
              </w:rPr>
            </w:pPr>
            <w:r w:rsidRPr="00446B3D">
              <w:rPr>
                <w:sz w:val="20"/>
                <w:szCs w:val="20"/>
              </w:rPr>
              <w:t>m-xylene</w:t>
            </w:r>
          </w:p>
        </w:tc>
        <w:tc>
          <w:tcPr>
            <w:tcW w:w="556" w:type="pct"/>
          </w:tcPr>
          <w:p w14:paraId="086DFCF8" w14:textId="4E9A1217" w:rsidR="009F5F60" w:rsidRPr="00446B3D" w:rsidRDefault="00145D9E" w:rsidP="00446B3D">
            <w:pPr>
              <w:pStyle w:val="NoSpacing"/>
              <w:rPr>
                <w:sz w:val="20"/>
                <w:szCs w:val="20"/>
              </w:rPr>
            </w:pPr>
            <w:r w:rsidRPr="00446B3D">
              <w:rPr>
                <w:sz w:val="20"/>
                <w:szCs w:val="20"/>
              </w:rPr>
              <w:t>106.16</w:t>
            </w:r>
          </w:p>
        </w:tc>
        <w:tc>
          <w:tcPr>
            <w:tcW w:w="782" w:type="pct"/>
          </w:tcPr>
          <w:p w14:paraId="7E8E74F5" w14:textId="4924C112" w:rsidR="009F5F60" w:rsidRPr="00446B3D" w:rsidRDefault="00A30636" w:rsidP="00446B3D">
            <w:pPr>
              <w:pStyle w:val="NoSpacing"/>
              <w:rPr>
                <w:sz w:val="20"/>
                <w:szCs w:val="20"/>
              </w:rPr>
            </w:pPr>
            <w:r w:rsidRPr="00446B3D">
              <w:rPr>
                <w:sz w:val="20"/>
                <w:szCs w:val="20"/>
              </w:rPr>
              <w:t>-</w:t>
            </w:r>
          </w:p>
        </w:tc>
        <w:tc>
          <w:tcPr>
            <w:tcW w:w="694" w:type="pct"/>
          </w:tcPr>
          <w:p w14:paraId="3A29C40E" w14:textId="1FE46BF9" w:rsidR="009F5F60" w:rsidRPr="00446B3D" w:rsidRDefault="00E0526B" w:rsidP="00446B3D">
            <w:pPr>
              <w:pStyle w:val="NoSpacing"/>
              <w:rPr>
                <w:sz w:val="20"/>
                <w:szCs w:val="20"/>
              </w:rPr>
            </w:pPr>
            <w:r w:rsidRPr="00446B3D">
              <w:rPr>
                <w:sz w:val="20"/>
                <w:szCs w:val="20"/>
              </w:rPr>
              <w:t>0.21 ± 0.12</w:t>
            </w:r>
          </w:p>
        </w:tc>
        <w:tc>
          <w:tcPr>
            <w:tcW w:w="688" w:type="pct"/>
          </w:tcPr>
          <w:p w14:paraId="6F531A09" w14:textId="081E929F" w:rsidR="009F5F60" w:rsidRPr="00446B3D" w:rsidRDefault="00624AE8" w:rsidP="00446B3D">
            <w:pPr>
              <w:pStyle w:val="NoSpacing"/>
              <w:rPr>
                <w:sz w:val="20"/>
                <w:szCs w:val="20"/>
              </w:rPr>
            </w:pPr>
            <w:r w:rsidRPr="00446B3D">
              <w:rPr>
                <w:sz w:val="20"/>
                <w:szCs w:val="20"/>
              </w:rPr>
              <w:t>-</w:t>
            </w:r>
          </w:p>
        </w:tc>
        <w:tc>
          <w:tcPr>
            <w:tcW w:w="688" w:type="pct"/>
          </w:tcPr>
          <w:p w14:paraId="621ABA03" w14:textId="24777F94" w:rsidR="009F5F60" w:rsidRPr="00446B3D" w:rsidRDefault="004E264A" w:rsidP="00446B3D">
            <w:pPr>
              <w:pStyle w:val="NoSpacing"/>
              <w:rPr>
                <w:sz w:val="20"/>
                <w:szCs w:val="20"/>
              </w:rPr>
            </w:pPr>
            <w:r w:rsidRPr="00446B3D">
              <w:rPr>
                <w:sz w:val="20"/>
                <w:szCs w:val="20"/>
              </w:rPr>
              <w:t>-</w:t>
            </w:r>
          </w:p>
        </w:tc>
        <w:tc>
          <w:tcPr>
            <w:tcW w:w="422" w:type="pct"/>
          </w:tcPr>
          <w:p w14:paraId="101C85B2" w14:textId="6CA07962" w:rsidR="009F5F60" w:rsidRPr="00446B3D" w:rsidRDefault="00AB1323" w:rsidP="00446B3D">
            <w:pPr>
              <w:pStyle w:val="NoSpacing"/>
              <w:rPr>
                <w:sz w:val="20"/>
                <w:szCs w:val="20"/>
              </w:rPr>
            </w:pPr>
            <w:r w:rsidRPr="00446B3D">
              <w:rPr>
                <w:sz w:val="20"/>
                <w:szCs w:val="20"/>
              </w:rPr>
              <w:t>250</w:t>
            </w:r>
            <w:r w:rsidRPr="00446B3D">
              <w:rPr>
                <w:sz w:val="20"/>
                <w:szCs w:val="20"/>
                <w:vertAlign w:val="superscript"/>
              </w:rPr>
              <w:t>b</w:t>
            </w:r>
          </w:p>
        </w:tc>
      </w:tr>
      <w:tr w:rsidR="00261547" w:rsidRPr="00446B3D" w14:paraId="52014B0D" w14:textId="77777777" w:rsidTr="00446B3D">
        <w:tc>
          <w:tcPr>
            <w:tcW w:w="1169" w:type="pct"/>
          </w:tcPr>
          <w:p w14:paraId="17954A5F" w14:textId="2D7210FD" w:rsidR="009F5F60" w:rsidRPr="00446B3D" w:rsidRDefault="005C0A6B" w:rsidP="00446B3D">
            <w:pPr>
              <w:pStyle w:val="NoSpacing"/>
              <w:rPr>
                <w:sz w:val="20"/>
                <w:szCs w:val="20"/>
              </w:rPr>
            </w:pPr>
            <w:r w:rsidRPr="00446B3D">
              <w:rPr>
                <w:sz w:val="20"/>
                <w:szCs w:val="20"/>
              </w:rPr>
              <w:t>o-xylene</w:t>
            </w:r>
          </w:p>
        </w:tc>
        <w:tc>
          <w:tcPr>
            <w:tcW w:w="556" w:type="pct"/>
          </w:tcPr>
          <w:p w14:paraId="5552DD00" w14:textId="52CE02A0" w:rsidR="009F5F60" w:rsidRPr="00446B3D" w:rsidRDefault="00145D9E" w:rsidP="00446B3D">
            <w:pPr>
              <w:pStyle w:val="NoSpacing"/>
              <w:rPr>
                <w:sz w:val="20"/>
                <w:szCs w:val="20"/>
              </w:rPr>
            </w:pPr>
            <w:r w:rsidRPr="00446B3D">
              <w:rPr>
                <w:sz w:val="20"/>
                <w:szCs w:val="20"/>
              </w:rPr>
              <w:t>106.16</w:t>
            </w:r>
          </w:p>
        </w:tc>
        <w:tc>
          <w:tcPr>
            <w:tcW w:w="782" w:type="pct"/>
          </w:tcPr>
          <w:p w14:paraId="66F53592" w14:textId="220FB55E" w:rsidR="009F5F60" w:rsidRPr="00446B3D" w:rsidRDefault="00A30636" w:rsidP="00446B3D">
            <w:pPr>
              <w:pStyle w:val="NoSpacing"/>
              <w:rPr>
                <w:sz w:val="20"/>
                <w:szCs w:val="20"/>
              </w:rPr>
            </w:pPr>
            <w:r w:rsidRPr="00446B3D">
              <w:rPr>
                <w:sz w:val="20"/>
                <w:szCs w:val="20"/>
              </w:rPr>
              <w:t>-</w:t>
            </w:r>
          </w:p>
        </w:tc>
        <w:tc>
          <w:tcPr>
            <w:tcW w:w="694" w:type="pct"/>
          </w:tcPr>
          <w:p w14:paraId="68150372" w14:textId="1D2FC5C9" w:rsidR="009F5F60" w:rsidRPr="00446B3D" w:rsidRDefault="00E40F1D" w:rsidP="00446B3D">
            <w:pPr>
              <w:pStyle w:val="NoSpacing"/>
              <w:rPr>
                <w:sz w:val="20"/>
                <w:szCs w:val="20"/>
              </w:rPr>
            </w:pPr>
            <w:r w:rsidRPr="00446B3D">
              <w:rPr>
                <w:sz w:val="20"/>
                <w:szCs w:val="20"/>
              </w:rPr>
              <w:t>0.19 ± 0.11</w:t>
            </w:r>
          </w:p>
        </w:tc>
        <w:tc>
          <w:tcPr>
            <w:tcW w:w="688" w:type="pct"/>
          </w:tcPr>
          <w:p w14:paraId="09320B5A" w14:textId="17EB91B1" w:rsidR="009F5F60" w:rsidRPr="00446B3D" w:rsidRDefault="00624AE8" w:rsidP="00446B3D">
            <w:pPr>
              <w:pStyle w:val="NoSpacing"/>
              <w:rPr>
                <w:sz w:val="20"/>
                <w:szCs w:val="20"/>
              </w:rPr>
            </w:pPr>
            <w:r w:rsidRPr="00446B3D">
              <w:rPr>
                <w:sz w:val="20"/>
                <w:szCs w:val="20"/>
              </w:rPr>
              <w:t>-</w:t>
            </w:r>
          </w:p>
        </w:tc>
        <w:tc>
          <w:tcPr>
            <w:tcW w:w="688" w:type="pct"/>
          </w:tcPr>
          <w:p w14:paraId="5FEA347D" w14:textId="176605F8" w:rsidR="009F5F60" w:rsidRPr="00446B3D" w:rsidRDefault="004E264A" w:rsidP="00446B3D">
            <w:pPr>
              <w:pStyle w:val="NoSpacing"/>
              <w:rPr>
                <w:sz w:val="20"/>
                <w:szCs w:val="20"/>
              </w:rPr>
            </w:pPr>
            <w:r w:rsidRPr="00446B3D">
              <w:rPr>
                <w:sz w:val="20"/>
                <w:szCs w:val="20"/>
              </w:rPr>
              <w:t>-</w:t>
            </w:r>
          </w:p>
        </w:tc>
        <w:tc>
          <w:tcPr>
            <w:tcW w:w="422" w:type="pct"/>
          </w:tcPr>
          <w:p w14:paraId="41C231E7" w14:textId="17AB457D" w:rsidR="009F5F60" w:rsidRPr="00446B3D" w:rsidRDefault="00AB1323" w:rsidP="00446B3D">
            <w:pPr>
              <w:pStyle w:val="NoSpacing"/>
              <w:rPr>
                <w:sz w:val="20"/>
                <w:szCs w:val="20"/>
              </w:rPr>
            </w:pPr>
            <w:r w:rsidRPr="00446B3D">
              <w:rPr>
                <w:sz w:val="20"/>
                <w:szCs w:val="20"/>
              </w:rPr>
              <w:t>-</w:t>
            </w:r>
          </w:p>
        </w:tc>
      </w:tr>
      <w:tr w:rsidR="00261547" w:rsidRPr="00446B3D" w14:paraId="6E6F8202" w14:textId="77777777" w:rsidTr="00446B3D">
        <w:tc>
          <w:tcPr>
            <w:tcW w:w="1169" w:type="pct"/>
          </w:tcPr>
          <w:p w14:paraId="542F4ABE" w14:textId="655E5ED6" w:rsidR="009F5F60" w:rsidRPr="00446B3D" w:rsidRDefault="00751933" w:rsidP="00446B3D">
            <w:pPr>
              <w:pStyle w:val="NoSpacing"/>
              <w:rPr>
                <w:sz w:val="20"/>
                <w:szCs w:val="20"/>
              </w:rPr>
            </w:pPr>
            <w:r w:rsidRPr="00446B3D">
              <w:rPr>
                <w:sz w:val="20"/>
                <w:szCs w:val="20"/>
              </w:rPr>
              <w:t>ethylbenzene</w:t>
            </w:r>
          </w:p>
        </w:tc>
        <w:tc>
          <w:tcPr>
            <w:tcW w:w="556" w:type="pct"/>
          </w:tcPr>
          <w:p w14:paraId="35533311" w14:textId="51249E81" w:rsidR="009F5F60" w:rsidRPr="00446B3D" w:rsidRDefault="00CD72D9" w:rsidP="00446B3D">
            <w:pPr>
              <w:pStyle w:val="NoSpacing"/>
              <w:rPr>
                <w:sz w:val="20"/>
                <w:szCs w:val="20"/>
              </w:rPr>
            </w:pPr>
            <w:r w:rsidRPr="00446B3D">
              <w:rPr>
                <w:sz w:val="20"/>
                <w:szCs w:val="20"/>
              </w:rPr>
              <w:t>106.17</w:t>
            </w:r>
          </w:p>
        </w:tc>
        <w:tc>
          <w:tcPr>
            <w:tcW w:w="782" w:type="pct"/>
          </w:tcPr>
          <w:p w14:paraId="53DAD70F" w14:textId="4FADAB38" w:rsidR="009F5F60" w:rsidRPr="00446B3D" w:rsidRDefault="00A30636" w:rsidP="00446B3D">
            <w:pPr>
              <w:pStyle w:val="NoSpacing"/>
              <w:rPr>
                <w:sz w:val="20"/>
                <w:szCs w:val="20"/>
              </w:rPr>
            </w:pPr>
            <w:r w:rsidRPr="00446B3D">
              <w:rPr>
                <w:sz w:val="20"/>
                <w:szCs w:val="20"/>
              </w:rPr>
              <w:t>-</w:t>
            </w:r>
          </w:p>
        </w:tc>
        <w:tc>
          <w:tcPr>
            <w:tcW w:w="694" w:type="pct"/>
          </w:tcPr>
          <w:p w14:paraId="0D794A05" w14:textId="1B346F0D" w:rsidR="009F5F60" w:rsidRPr="00446B3D" w:rsidRDefault="00E40F1D" w:rsidP="00446B3D">
            <w:pPr>
              <w:pStyle w:val="NoSpacing"/>
              <w:rPr>
                <w:sz w:val="20"/>
                <w:szCs w:val="20"/>
              </w:rPr>
            </w:pPr>
            <w:r w:rsidRPr="00446B3D">
              <w:rPr>
                <w:sz w:val="20"/>
                <w:szCs w:val="20"/>
              </w:rPr>
              <w:t>0.22 ± 0.12</w:t>
            </w:r>
          </w:p>
        </w:tc>
        <w:tc>
          <w:tcPr>
            <w:tcW w:w="688" w:type="pct"/>
          </w:tcPr>
          <w:p w14:paraId="0119670E" w14:textId="4340E20E" w:rsidR="009F5F60" w:rsidRPr="00446B3D" w:rsidRDefault="00624AE8" w:rsidP="00446B3D">
            <w:pPr>
              <w:pStyle w:val="NoSpacing"/>
              <w:rPr>
                <w:sz w:val="20"/>
                <w:szCs w:val="20"/>
              </w:rPr>
            </w:pPr>
            <w:r w:rsidRPr="00446B3D">
              <w:rPr>
                <w:sz w:val="20"/>
                <w:szCs w:val="20"/>
              </w:rPr>
              <w:t>-</w:t>
            </w:r>
          </w:p>
        </w:tc>
        <w:tc>
          <w:tcPr>
            <w:tcW w:w="688" w:type="pct"/>
          </w:tcPr>
          <w:p w14:paraId="46933145" w14:textId="3FFFAD39" w:rsidR="009F5F60" w:rsidRPr="00446B3D" w:rsidRDefault="004E264A" w:rsidP="00446B3D">
            <w:pPr>
              <w:pStyle w:val="NoSpacing"/>
              <w:rPr>
                <w:sz w:val="20"/>
                <w:szCs w:val="20"/>
              </w:rPr>
            </w:pPr>
            <w:r w:rsidRPr="00446B3D">
              <w:rPr>
                <w:sz w:val="20"/>
                <w:szCs w:val="20"/>
              </w:rPr>
              <w:t>-</w:t>
            </w:r>
          </w:p>
        </w:tc>
        <w:tc>
          <w:tcPr>
            <w:tcW w:w="422" w:type="pct"/>
          </w:tcPr>
          <w:p w14:paraId="16A90D4A" w14:textId="1031A908" w:rsidR="009F5F60" w:rsidRPr="00446B3D" w:rsidRDefault="007A323D" w:rsidP="00446B3D">
            <w:pPr>
              <w:pStyle w:val="NoSpacing"/>
              <w:rPr>
                <w:sz w:val="20"/>
                <w:szCs w:val="20"/>
              </w:rPr>
            </w:pPr>
            <w:r w:rsidRPr="00446B3D">
              <w:rPr>
                <w:sz w:val="20"/>
                <w:szCs w:val="20"/>
              </w:rPr>
              <w:t>160</w:t>
            </w:r>
            <w:r w:rsidRPr="00446B3D">
              <w:rPr>
                <w:sz w:val="20"/>
                <w:szCs w:val="20"/>
                <w:vertAlign w:val="superscript"/>
              </w:rPr>
              <w:t>b</w:t>
            </w:r>
          </w:p>
        </w:tc>
      </w:tr>
      <w:tr w:rsidR="00261547" w:rsidRPr="00446B3D" w14:paraId="6C0E2A13" w14:textId="77777777" w:rsidTr="00446B3D">
        <w:tc>
          <w:tcPr>
            <w:tcW w:w="1169" w:type="pct"/>
          </w:tcPr>
          <w:p w14:paraId="47C4107E" w14:textId="7A5F2A2D" w:rsidR="009F5F60" w:rsidRPr="00446B3D" w:rsidRDefault="00CD72D9" w:rsidP="00446B3D">
            <w:pPr>
              <w:pStyle w:val="NoSpacing"/>
              <w:rPr>
                <w:sz w:val="20"/>
                <w:szCs w:val="20"/>
              </w:rPr>
            </w:pPr>
            <w:proofErr w:type="gramStart"/>
            <w:r w:rsidRPr="00446B3D">
              <w:rPr>
                <w:sz w:val="20"/>
                <w:szCs w:val="20"/>
              </w:rPr>
              <w:t>m,p</w:t>
            </w:r>
            <w:proofErr w:type="gramEnd"/>
            <w:r w:rsidRPr="00446B3D">
              <w:rPr>
                <w:sz w:val="20"/>
                <w:szCs w:val="20"/>
              </w:rPr>
              <w:t>-cresol</w:t>
            </w:r>
          </w:p>
        </w:tc>
        <w:tc>
          <w:tcPr>
            <w:tcW w:w="556" w:type="pct"/>
          </w:tcPr>
          <w:p w14:paraId="47B9877E" w14:textId="596681A3" w:rsidR="009F5F60" w:rsidRPr="00446B3D" w:rsidRDefault="00CD72D9" w:rsidP="00446B3D">
            <w:pPr>
              <w:pStyle w:val="NoSpacing"/>
              <w:rPr>
                <w:sz w:val="20"/>
                <w:szCs w:val="20"/>
              </w:rPr>
            </w:pPr>
            <w:r w:rsidRPr="00446B3D">
              <w:rPr>
                <w:sz w:val="20"/>
                <w:szCs w:val="20"/>
              </w:rPr>
              <w:t>108.14</w:t>
            </w:r>
          </w:p>
        </w:tc>
        <w:tc>
          <w:tcPr>
            <w:tcW w:w="782" w:type="pct"/>
          </w:tcPr>
          <w:p w14:paraId="338FBED2" w14:textId="71595B4D" w:rsidR="009F5F60" w:rsidRPr="00446B3D" w:rsidRDefault="00696716" w:rsidP="00446B3D">
            <w:pPr>
              <w:pStyle w:val="NoSpacing"/>
              <w:rPr>
                <w:sz w:val="20"/>
                <w:szCs w:val="20"/>
              </w:rPr>
            </w:pPr>
            <w:r w:rsidRPr="00446B3D">
              <w:rPr>
                <w:sz w:val="20"/>
                <w:szCs w:val="20"/>
              </w:rPr>
              <w:t>-</w:t>
            </w:r>
          </w:p>
        </w:tc>
        <w:tc>
          <w:tcPr>
            <w:tcW w:w="694" w:type="pct"/>
          </w:tcPr>
          <w:p w14:paraId="2C985429" w14:textId="2A64BDE7" w:rsidR="009F5F60" w:rsidRPr="00446B3D" w:rsidRDefault="00AB50FD" w:rsidP="00446B3D">
            <w:pPr>
              <w:pStyle w:val="NoSpacing"/>
              <w:rPr>
                <w:sz w:val="20"/>
                <w:szCs w:val="20"/>
              </w:rPr>
            </w:pPr>
            <w:r w:rsidRPr="00446B3D">
              <w:rPr>
                <w:sz w:val="20"/>
                <w:szCs w:val="20"/>
              </w:rPr>
              <w:t>0.44 ± 0.25</w:t>
            </w:r>
          </w:p>
        </w:tc>
        <w:tc>
          <w:tcPr>
            <w:tcW w:w="688" w:type="pct"/>
          </w:tcPr>
          <w:p w14:paraId="6AE16283" w14:textId="5B062800" w:rsidR="009F5F60" w:rsidRPr="00446B3D" w:rsidRDefault="00FA67F4" w:rsidP="00446B3D">
            <w:pPr>
              <w:pStyle w:val="NoSpacing"/>
              <w:rPr>
                <w:sz w:val="20"/>
                <w:szCs w:val="20"/>
              </w:rPr>
            </w:pPr>
            <w:r w:rsidRPr="00446B3D">
              <w:rPr>
                <w:sz w:val="20"/>
                <w:szCs w:val="20"/>
              </w:rPr>
              <w:t>-</w:t>
            </w:r>
          </w:p>
        </w:tc>
        <w:tc>
          <w:tcPr>
            <w:tcW w:w="688" w:type="pct"/>
          </w:tcPr>
          <w:p w14:paraId="638D2F94" w14:textId="4EA52B0A" w:rsidR="009F5F60" w:rsidRPr="00446B3D" w:rsidRDefault="004E264A" w:rsidP="00446B3D">
            <w:pPr>
              <w:pStyle w:val="NoSpacing"/>
              <w:rPr>
                <w:sz w:val="20"/>
                <w:szCs w:val="20"/>
              </w:rPr>
            </w:pPr>
            <w:r w:rsidRPr="00446B3D">
              <w:rPr>
                <w:sz w:val="20"/>
                <w:szCs w:val="20"/>
              </w:rPr>
              <w:t>-</w:t>
            </w:r>
          </w:p>
        </w:tc>
        <w:tc>
          <w:tcPr>
            <w:tcW w:w="422" w:type="pct"/>
          </w:tcPr>
          <w:p w14:paraId="46DB746C" w14:textId="4B39BFE4" w:rsidR="009F5F60" w:rsidRPr="00446B3D" w:rsidRDefault="007A323D" w:rsidP="00446B3D">
            <w:pPr>
              <w:pStyle w:val="NoSpacing"/>
              <w:rPr>
                <w:sz w:val="20"/>
                <w:szCs w:val="20"/>
                <w:vertAlign w:val="superscript"/>
              </w:rPr>
            </w:pPr>
            <w:r w:rsidRPr="00446B3D">
              <w:rPr>
                <w:sz w:val="20"/>
                <w:szCs w:val="20"/>
              </w:rPr>
              <w:t>890</w:t>
            </w:r>
            <w:r w:rsidR="000E4EA1" w:rsidRPr="00446B3D">
              <w:rPr>
                <w:sz w:val="20"/>
                <w:szCs w:val="20"/>
                <w:vertAlign w:val="superscript"/>
              </w:rPr>
              <w:t>b</w:t>
            </w:r>
            <w:r w:rsidR="00D60F44" w:rsidRPr="00446B3D">
              <w:rPr>
                <w:sz w:val="20"/>
                <w:szCs w:val="20"/>
              </w:rPr>
              <w:t>, 91</w:t>
            </w:r>
            <w:r w:rsidR="00D60F44" w:rsidRPr="00446B3D">
              <w:rPr>
                <w:sz w:val="20"/>
                <w:szCs w:val="20"/>
                <w:vertAlign w:val="superscript"/>
              </w:rPr>
              <w:t>b</w:t>
            </w:r>
          </w:p>
        </w:tc>
      </w:tr>
      <w:tr w:rsidR="00261547" w:rsidRPr="00446B3D" w14:paraId="69696C50" w14:textId="77777777" w:rsidTr="00446B3D">
        <w:tc>
          <w:tcPr>
            <w:tcW w:w="1169" w:type="pct"/>
          </w:tcPr>
          <w:p w14:paraId="0FBD560D" w14:textId="03CA8B4F" w:rsidR="009F5F60" w:rsidRPr="00446B3D" w:rsidRDefault="00FD012D" w:rsidP="00446B3D">
            <w:pPr>
              <w:pStyle w:val="NoSpacing"/>
              <w:rPr>
                <w:sz w:val="20"/>
                <w:szCs w:val="20"/>
              </w:rPr>
            </w:pPr>
            <w:r w:rsidRPr="00446B3D">
              <w:rPr>
                <w:sz w:val="20"/>
                <w:szCs w:val="20"/>
              </w:rPr>
              <w:t>o-cresol</w:t>
            </w:r>
          </w:p>
        </w:tc>
        <w:tc>
          <w:tcPr>
            <w:tcW w:w="556" w:type="pct"/>
          </w:tcPr>
          <w:p w14:paraId="6D9ADD4D" w14:textId="35F8A3E6" w:rsidR="009F5F60" w:rsidRPr="00446B3D" w:rsidRDefault="00B83047" w:rsidP="00446B3D">
            <w:pPr>
              <w:pStyle w:val="NoSpacing"/>
              <w:rPr>
                <w:sz w:val="20"/>
                <w:szCs w:val="20"/>
              </w:rPr>
            </w:pPr>
            <w:r w:rsidRPr="00446B3D">
              <w:rPr>
                <w:sz w:val="20"/>
                <w:szCs w:val="20"/>
              </w:rPr>
              <w:t>108.14</w:t>
            </w:r>
          </w:p>
        </w:tc>
        <w:tc>
          <w:tcPr>
            <w:tcW w:w="782" w:type="pct"/>
          </w:tcPr>
          <w:p w14:paraId="6928D618" w14:textId="7C00840E" w:rsidR="009F5F60" w:rsidRPr="00446B3D" w:rsidRDefault="00F6266C" w:rsidP="00446B3D">
            <w:pPr>
              <w:pStyle w:val="NoSpacing"/>
              <w:rPr>
                <w:sz w:val="20"/>
                <w:szCs w:val="20"/>
              </w:rPr>
            </w:pPr>
            <w:r w:rsidRPr="00446B3D">
              <w:rPr>
                <w:sz w:val="20"/>
                <w:szCs w:val="20"/>
              </w:rPr>
              <w:t>-</w:t>
            </w:r>
          </w:p>
        </w:tc>
        <w:tc>
          <w:tcPr>
            <w:tcW w:w="694" w:type="pct"/>
          </w:tcPr>
          <w:p w14:paraId="5EAA5220" w14:textId="0A6FB9C3" w:rsidR="009F5F60" w:rsidRPr="00446B3D" w:rsidRDefault="00AB50FD" w:rsidP="00446B3D">
            <w:pPr>
              <w:pStyle w:val="NoSpacing"/>
              <w:rPr>
                <w:sz w:val="20"/>
                <w:szCs w:val="20"/>
              </w:rPr>
            </w:pPr>
            <w:r w:rsidRPr="00446B3D">
              <w:rPr>
                <w:sz w:val="20"/>
                <w:szCs w:val="20"/>
              </w:rPr>
              <w:t>0.19 ± 0.11</w:t>
            </w:r>
          </w:p>
        </w:tc>
        <w:tc>
          <w:tcPr>
            <w:tcW w:w="688" w:type="pct"/>
          </w:tcPr>
          <w:p w14:paraId="471D75AF" w14:textId="163961D8" w:rsidR="009F5F60" w:rsidRPr="00446B3D" w:rsidRDefault="00FA67F4" w:rsidP="00446B3D">
            <w:pPr>
              <w:pStyle w:val="NoSpacing"/>
              <w:rPr>
                <w:sz w:val="20"/>
                <w:szCs w:val="20"/>
              </w:rPr>
            </w:pPr>
            <w:r w:rsidRPr="00446B3D">
              <w:rPr>
                <w:sz w:val="20"/>
                <w:szCs w:val="20"/>
              </w:rPr>
              <w:t>-</w:t>
            </w:r>
          </w:p>
        </w:tc>
        <w:tc>
          <w:tcPr>
            <w:tcW w:w="688" w:type="pct"/>
          </w:tcPr>
          <w:p w14:paraId="50388F2B" w14:textId="3170F57A" w:rsidR="009F5F60" w:rsidRPr="00446B3D" w:rsidRDefault="004E264A" w:rsidP="00446B3D">
            <w:pPr>
              <w:pStyle w:val="NoSpacing"/>
              <w:rPr>
                <w:sz w:val="20"/>
                <w:szCs w:val="20"/>
              </w:rPr>
            </w:pPr>
            <w:r w:rsidRPr="00446B3D">
              <w:rPr>
                <w:sz w:val="20"/>
                <w:szCs w:val="20"/>
              </w:rPr>
              <w:t>-</w:t>
            </w:r>
          </w:p>
        </w:tc>
        <w:tc>
          <w:tcPr>
            <w:tcW w:w="422" w:type="pct"/>
          </w:tcPr>
          <w:p w14:paraId="767108BF" w14:textId="6D278CFB" w:rsidR="009F5F60" w:rsidRPr="00446B3D" w:rsidRDefault="00EC6A22" w:rsidP="00446B3D">
            <w:pPr>
              <w:pStyle w:val="NoSpacing"/>
              <w:rPr>
                <w:sz w:val="20"/>
                <w:szCs w:val="20"/>
              </w:rPr>
            </w:pPr>
            <w:r w:rsidRPr="00446B3D">
              <w:rPr>
                <w:sz w:val="20"/>
                <w:szCs w:val="20"/>
              </w:rPr>
              <w:t>-</w:t>
            </w:r>
          </w:p>
        </w:tc>
      </w:tr>
      <w:tr w:rsidR="00261547" w:rsidRPr="00446B3D" w14:paraId="5357CD1A" w14:textId="77777777" w:rsidTr="00446B3D">
        <w:tc>
          <w:tcPr>
            <w:tcW w:w="1169" w:type="pct"/>
          </w:tcPr>
          <w:p w14:paraId="67990571" w14:textId="31BC17F5" w:rsidR="009F5F60" w:rsidRPr="00446B3D" w:rsidRDefault="00B83047" w:rsidP="00446B3D">
            <w:pPr>
              <w:pStyle w:val="NoSpacing"/>
              <w:rPr>
                <w:sz w:val="20"/>
                <w:szCs w:val="20"/>
              </w:rPr>
            </w:pPr>
            <w:r w:rsidRPr="00446B3D">
              <w:rPr>
                <w:sz w:val="20"/>
                <w:szCs w:val="20"/>
              </w:rPr>
              <w:t>anisole</w:t>
            </w:r>
          </w:p>
        </w:tc>
        <w:tc>
          <w:tcPr>
            <w:tcW w:w="556" w:type="pct"/>
          </w:tcPr>
          <w:p w14:paraId="7472AAAC" w14:textId="24020181" w:rsidR="009F5F60" w:rsidRPr="00446B3D" w:rsidRDefault="00215CC7" w:rsidP="00446B3D">
            <w:pPr>
              <w:pStyle w:val="NoSpacing"/>
              <w:rPr>
                <w:sz w:val="20"/>
                <w:szCs w:val="20"/>
              </w:rPr>
            </w:pPr>
            <w:r w:rsidRPr="00446B3D">
              <w:rPr>
                <w:sz w:val="20"/>
                <w:szCs w:val="20"/>
              </w:rPr>
              <w:t>108.1</w:t>
            </w:r>
            <w:r w:rsidR="00F6266C" w:rsidRPr="00446B3D">
              <w:rPr>
                <w:sz w:val="20"/>
                <w:szCs w:val="20"/>
              </w:rPr>
              <w:t>4</w:t>
            </w:r>
          </w:p>
        </w:tc>
        <w:tc>
          <w:tcPr>
            <w:tcW w:w="782" w:type="pct"/>
          </w:tcPr>
          <w:p w14:paraId="6E0A7487" w14:textId="3AD71741" w:rsidR="009F5F60" w:rsidRPr="00446B3D" w:rsidRDefault="00F6266C" w:rsidP="00446B3D">
            <w:pPr>
              <w:pStyle w:val="NoSpacing"/>
              <w:rPr>
                <w:sz w:val="20"/>
                <w:szCs w:val="20"/>
              </w:rPr>
            </w:pPr>
            <w:r w:rsidRPr="00446B3D">
              <w:rPr>
                <w:sz w:val="20"/>
                <w:szCs w:val="20"/>
              </w:rPr>
              <w:t>-</w:t>
            </w:r>
          </w:p>
        </w:tc>
        <w:tc>
          <w:tcPr>
            <w:tcW w:w="694" w:type="pct"/>
          </w:tcPr>
          <w:p w14:paraId="22255C8D" w14:textId="725E116C" w:rsidR="009F5F60" w:rsidRPr="00446B3D" w:rsidRDefault="00DC4580" w:rsidP="00446B3D">
            <w:pPr>
              <w:pStyle w:val="NoSpacing"/>
              <w:rPr>
                <w:sz w:val="20"/>
                <w:szCs w:val="20"/>
              </w:rPr>
            </w:pPr>
            <w:r w:rsidRPr="00446B3D">
              <w:rPr>
                <w:sz w:val="20"/>
                <w:szCs w:val="20"/>
              </w:rPr>
              <w:t>0.09 ± 0.05</w:t>
            </w:r>
          </w:p>
        </w:tc>
        <w:tc>
          <w:tcPr>
            <w:tcW w:w="688" w:type="pct"/>
          </w:tcPr>
          <w:p w14:paraId="0E5C4A4B" w14:textId="326B46C7" w:rsidR="009F5F60" w:rsidRPr="00446B3D" w:rsidRDefault="00FA67F4" w:rsidP="00446B3D">
            <w:pPr>
              <w:pStyle w:val="NoSpacing"/>
              <w:rPr>
                <w:sz w:val="20"/>
                <w:szCs w:val="20"/>
              </w:rPr>
            </w:pPr>
            <w:r w:rsidRPr="00446B3D">
              <w:rPr>
                <w:sz w:val="20"/>
                <w:szCs w:val="20"/>
              </w:rPr>
              <w:t>-</w:t>
            </w:r>
          </w:p>
        </w:tc>
        <w:tc>
          <w:tcPr>
            <w:tcW w:w="688" w:type="pct"/>
          </w:tcPr>
          <w:p w14:paraId="059AD426" w14:textId="558610CD" w:rsidR="009F5F60" w:rsidRPr="00446B3D" w:rsidRDefault="004E264A" w:rsidP="00446B3D">
            <w:pPr>
              <w:pStyle w:val="NoSpacing"/>
              <w:rPr>
                <w:sz w:val="20"/>
                <w:szCs w:val="20"/>
              </w:rPr>
            </w:pPr>
            <w:r w:rsidRPr="00446B3D">
              <w:rPr>
                <w:sz w:val="20"/>
                <w:szCs w:val="20"/>
              </w:rPr>
              <w:t>-</w:t>
            </w:r>
          </w:p>
        </w:tc>
        <w:tc>
          <w:tcPr>
            <w:tcW w:w="422" w:type="pct"/>
          </w:tcPr>
          <w:p w14:paraId="0C6D2CAE" w14:textId="2F01FCC2" w:rsidR="009F5F60" w:rsidRPr="00446B3D" w:rsidRDefault="00EC6A22" w:rsidP="00446B3D">
            <w:pPr>
              <w:pStyle w:val="NoSpacing"/>
              <w:rPr>
                <w:sz w:val="20"/>
                <w:szCs w:val="20"/>
              </w:rPr>
            </w:pPr>
            <w:r w:rsidRPr="00446B3D">
              <w:rPr>
                <w:sz w:val="20"/>
                <w:szCs w:val="20"/>
              </w:rPr>
              <w:t>720</w:t>
            </w:r>
            <w:r w:rsidRPr="00446B3D">
              <w:rPr>
                <w:sz w:val="20"/>
                <w:szCs w:val="20"/>
                <w:vertAlign w:val="superscript"/>
              </w:rPr>
              <w:t>b</w:t>
            </w:r>
          </w:p>
        </w:tc>
      </w:tr>
      <w:tr w:rsidR="00261547" w:rsidRPr="00446B3D" w14:paraId="2203D7DE" w14:textId="77777777" w:rsidTr="00446B3D">
        <w:tc>
          <w:tcPr>
            <w:tcW w:w="1169" w:type="pct"/>
          </w:tcPr>
          <w:p w14:paraId="759D8BA5" w14:textId="7E155DC9" w:rsidR="009F5F60" w:rsidRPr="00446B3D" w:rsidRDefault="0065600E" w:rsidP="00446B3D">
            <w:pPr>
              <w:pStyle w:val="NoSpacing"/>
              <w:rPr>
                <w:sz w:val="20"/>
                <w:szCs w:val="20"/>
              </w:rPr>
            </w:pPr>
            <w:r w:rsidRPr="00446B3D">
              <w:rPr>
                <w:sz w:val="20"/>
                <w:szCs w:val="20"/>
              </w:rPr>
              <w:t>6-methyl-3-pyridinol</w:t>
            </w:r>
          </w:p>
        </w:tc>
        <w:tc>
          <w:tcPr>
            <w:tcW w:w="556" w:type="pct"/>
          </w:tcPr>
          <w:p w14:paraId="380334B9" w14:textId="36411CEC" w:rsidR="009F5F60" w:rsidRPr="00446B3D" w:rsidRDefault="00003EC5" w:rsidP="00446B3D">
            <w:pPr>
              <w:pStyle w:val="NoSpacing"/>
              <w:rPr>
                <w:sz w:val="20"/>
                <w:szCs w:val="20"/>
              </w:rPr>
            </w:pPr>
            <w:r w:rsidRPr="00446B3D">
              <w:rPr>
                <w:sz w:val="20"/>
                <w:szCs w:val="20"/>
              </w:rPr>
              <w:t>109.128</w:t>
            </w:r>
          </w:p>
        </w:tc>
        <w:tc>
          <w:tcPr>
            <w:tcW w:w="782" w:type="pct"/>
          </w:tcPr>
          <w:p w14:paraId="6E0A79BE" w14:textId="45896A82" w:rsidR="009F5F60" w:rsidRPr="00446B3D" w:rsidRDefault="005E7355" w:rsidP="00446B3D">
            <w:pPr>
              <w:pStyle w:val="NoSpacing"/>
              <w:rPr>
                <w:sz w:val="20"/>
                <w:szCs w:val="20"/>
              </w:rPr>
            </w:pPr>
            <w:r w:rsidRPr="00446B3D">
              <w:rPr>
                <w:sz w:val="20"/>
                <w:szCs w:val="20"/>
              </w:rPr>
              <w:t>-</w:t>
            </w:r>
          </w:p>
        </w:tc>
        <w:tc>
          <w:tcPr>
            <w:tcW w:w="694" w:type="pct"/>
          </w:tcPr>
          <w:p w14:paraId="22ED5461" w14:textId="58A263E0" w:rsidR="009F5F60" w:rsidRPr="00446B3D" w:rsidRDefault="00E041ED" w:rsidP="00446B3D">
            <w:pPr>
              <w:pStyle w:val="NoSpacing"/>
              <w:rPr>
                <w:sz w:val="20"/>
                <w:szCs w:val="20"/>
              </w:rPr>
            </w:pPr>
            <w:r w:rsidRPr="00446B3D">
              <w:rPr>
                <w:sz w:val="20"/>
                <w:szCs w:val="20"/>
              </w:rPr>
              <w:t>-</w:t>
            </w:r>
          </w:p>
        </w:tc>
        <w:tc>
          <w:tcPr>
            <w:tcW w:w="688" w:type="pct"/>
          </w:tcPr>
          <w:p w14:paraId="05CAC583" w14:textId="5F6DB4A3" w:rsidR="009F5F60" w:rsidRPr="00446B3D" w:rsidRDefault="00EA2B77" w:rsidP="00446B3D">
            <w:pPr>
              <w:pStyle w:val="NoSpacing"/>
              <w:rPr>
                <w:sz w:val="20"/>
                <w:szCs w:val="20"/>
              </w:rPr>
            </w:pPr>
            <w:r w:rsidRPr="00446B3D">
              <w:rPr>
                <w:sz w:val="20"/>
                <w:szCs w:val="20"/>
              </w:rPr>
              <w:t>1.7</w:t>
            </w:r>
          </w:p>
        </w:tc>
        <w:tc>
          <w:tcPr>
            <w:tcW w:w="688" w:type="pct"/>
          </w:tcPr>
          <w:p w14:paraId="4F07F5E0" w14:textId="133F6D41" w:rsidR="009F5F60" w:rsidRPr="00446B3D" w:rsidRDefault="004E264A" w:rsidP="00446B3D">
            <w:pPr>
              <w:pStyle w:val="NoSpacing"/>
              <w:rPr>
                <w:sz w:val="20"/>
                <w:szCs w:val="20"/>
              </w:rPr>
            </w:pPr>
            <w:r w:rsidRPr="00446B3D">
              <w:rPr>
                <w:sz w:val="20"/>
                <w:szCs w:val="20"/>
              </w:rPr>
              <w:t>-</w:t>
            </w:r>
          </w:p>
        </w:tc>
        <w:tc>
          <w:tcPr>
            <w:tcW w:w="422" w:type="pct"/>
          </w:tcPr>
          <w:p w14:paraId="6A6439A1" w14:textId="7A4A63DB" w:rsidR="009F5F60" w:rsidRPr="00446B3D" w:rsidRDefault="00EC6A22" w:rsidP="00446B3D">
            <w:pPr>
              <w:pStyle w:val="NoSpacing"/>
              <w:rPr>
                <w:sz w:val="20"/>
                <w:szCs w:val="20"/>
              </w:rPr>
            </w:pPr>
            <w:r w:rsidRPr="00446B3D">
              <w:rPr>
                <w:sz w:val="20"/>
                <w:szCs w:val="20"/>
              </w:rPr>
              <w:t>-</w:t>
            </w:r>
          </w:p>
        </w:tc>
      </w:tr>
      <w:tr w:rsidR="00261547" w:rsidRPr="00446B3D" w14:paraId="41A400AD" w14:textId="77777777" w:rsidTr="00446B3D">
        <w:tc>
          <w:tcPr>
            <w:tcW w:w="1169" w:type="pct"/>
          </w:tcPr>
          <w:p w14:paraId="56AD272E" w14:textId="074FE126" w:rsidR="009F5F60" w:rsidRPr="00446B3D" w:rsidRDefault="00D15ED3" w:rsidP="00446B3D">
            <w:pPr>
              <w:pStyle w:val="NoSpacing"/>
              <w:rPr>
                <w:sz w:val="20"/>
                <w:szCs w:val="20"/>
              </w:rPr>
            </w:pPr>
            <w:r w:rsidRPr="00446B3D">
              <w:rPr>
                <w:sz w:val="20"/>
                <w:szCs w:val="20"/>
              </w:rPr>
              <w:t>3,5-dimethylpheno</w:t>
            </w:r>
          </w:p>
        </w:tc>
        <w:tc>
          <w:tcPr>
            <w:tcW w:w="556" w:type="pct"/>
          </w:tcPr>
          <w:p w14:paraId="4BC4EC9F" w14:textId="02E723DA" w:rsidR="009F5F60" w:rsidRPr="00446B3D" w:rsidRDefault="00746FB9" w:rsidP="00446B3D">
            <w:pPr>
              <w:pStyle w:val="NoSpacing"/>
              <w:rPr>
                <w:sz w:val="20"/>
                <w:szCs w:val="20"/>
              </w:rPr>
            </w:pPr>
            <w:r w:rsidRPr="00446B3D">
              <w:rPr>
                <w:sz w:val="20"/>
                <w:szCs w:val="20"/>
              </w:rPr>
              <w:t>122.167</w:t>
            </w:r>
          </w:p>
        </w:tc>
        <w:tc>
          <w:tcPr>
            <w:tcW w:w="782" w:type="pct"/>
          </w:tcPr>
          <w:p w14:paraId="5CB67297" w14:textId="43C7E228" w:rsidR="009F5F60" w:rsidRPr="00446B3D" w:rsidRDefault="005E7355" w:rsidP="00446B3D">
            <w:pPr>
              <w:pStyle w:val="NoSpacing"/>
              <w:rPr>
                <w:sz w:val="20"/>
                <w:szCs w:val="20"/>
              </w:rPr>
            </w:pPr>
            <w:r w:rsidRPr="00446B3D">
              <w:rPr>
                <w:sz w:val="20"/>
                <w:szCs w:val="20"/>
              </w:rPr>
              <w:t>-</w:t>
            </w:r>
          </w:p>
        </w:tc>
        <w:tc>
          <w:tcPr>
            <w:tcW w:w="694" w:type="pct"/>
          </w:tcPr>
          <w:p w14:paraId="5E56FB19" w14:textId="07871B9B" w:rsidR="009F5F60" w:rsidRPr="00446B3D" w:rsidRDefault="00E041ED" w:rsidP="00446B3D">
            <w:pPr>
              <w:pStyle w:val="NoSpacing"/>
              <w:rPr>
                <w:sz w:val="20"/>
                <w:szCs w:val="20"/>
              </w:rPr>
            </w:pPr>
            <w:r w:rsidRPr="00446B3D">
              <w:rPr>
                <w:sz w:val="20"/>
                <w:szCs w:val="20"/>
              </w:rPr>
              <w:t>0.32 ± 0.18</w:t>
            </w:r>
          </w:p>
        </w:tc>
        <w:tc>
          <w:tcPr>
            <w:tcW w:w="688" w:type="pct"/>
          </w:tcPr>
          <w:p w14:paraId="49EBCBAB" w14:textId="0EB7C2A9" w:rsidR="009F5F60" w:rsidRPr="00446B3D" w:rsidRDefault="00EA2B77" w:rsidP="00446B3D">
            <w:pPr>
              <w:pStyle w:val="NoSpacing"/>
              <w:rPr>
                <w:sz w:val="20"/>
                <w:szCs w:val="20"/>
              </w:rPr>
            </w:pPr>
            <w:r w:rsidRPr="00446B3D">
              <w:rPr>
                <w:sz w:val="20"/>
                <w:szCs w:val="20"/>
              </w:rPr>
              <w:t>-</w:t>
            </w:r>
          </w:p>
        </w:tc>
        <w:tc>
          <w:tcPr>
            <w:tcW w:w="688" w:type="pct"/>
          </w:tcPr>
          <w:p w14:paraId="75F133F0" w14:textId="034F15DB" w:rsidR="009F5F60" w:rsidRPr="00446B3D" w:rsidRDefault="004E264A" w:rsidP="00446B3D">
            <w:pPr>
              <w:pStyle w:val="NoSpacing"/>
              <w:rPr>
                <w:sz w:val="20"/>
                <w:szCs w:val="20"/>
              </w:rPr>
            </w:pPr>
            <w:r w:rsidRPr="00446B3D">
              <w:rPr>
                <w:sz w:val="20"/>
                <w:szCs w:val="20"/>
              </w:rPr>
              <w:t>-</w:t>
            </w:r>
          </w:p>
        </w:tc>
        <w:tc>
          <w:tcPr>
            <w:tcW w:w="422" w:type="pct"/>
          </w:tcPr>
          <w:p w14:paraId="087D153A" w14:textId="12E5D068" w:rsidR="009F5F60" w:rsidRPr="00446B3D" w:rsidRDefault="00EC6A22" w:rsidP="00446B3D">
            <w:pPr>
              <w:pStyle w:val="NoSpacing"/>
              <w:rPr>
                <w:sz w:val="20"/>
                <w:szCs w:val="20"/>
              </w:rPr>
            </w:pPr>
            <w:r w:rsidRPr="00446B3D">
              <w:rPr>
                <w:sz w:val="20"/>
                <w:szCs w:val="20"/>
              </w:rPr>
              <w:t>-</w:t>
            </w:r>
          </w:p>
        </w:tc>
      </w:tr>
      <w:tr w:rsidR="00261547" w:rsidRPr="00446B3D" w14:paraId="574860E7" w14:textId="77777777" w:rsidTr="00446B3D">
        <w:tc>
          <w:tcPr>
            <w:tcW w:w="1169" w:type="pct"/>
          </w:tcPr>
          <w:p w14:paraId="625E5184" w14:textId="212B4207" w:rsidR="009F5F60" w:rsidRPr="00446B3D" w:rsidRDefault="005514D3" w:rsidP="00446B3D">
            <w:pPr>
              <w:pStyle w:val="NoSpacing"/>
              <w:rPr>
                <w:sz w:val="20"/>
                <w:szCs w:val="20"/>
              </w:rPr>
            </w:pPr>
            <w:r w:rsidRPr="00446B3D">
              <w:rPr>
                <w:sz w:val="20"/>
                <w:szCs w:val="20"/>
              </w:rPr>
              <w:t>2,5-dimethylphenol</w:t>
            </w:r>
          </w:p>
        </w:tc>
        <w:tc>
          <w:tcPr>
            <w:tcW w:w="556" w:type="pct"/>
          </w:tcPr>
          <w:p w14:paraId="576A2D70" w14:textId="3282E0D6" w:rsidR="009F5F60" w:rsidRPr="00446B3D" w:rsidRDefault="00746FB9" w:rsidP="00446B3D">
            <w:pPr>
              <w:pStyle w:val="NoSpacing"/>
              <w:rPr>
                <w:sz w:val="20"/>
                <w:szCs w:val="20"/>
              </w:rPr>
            </w:pPr>
            <w:r w:rsidRPr="00446B3D">
              <w:rPr>
                <w:sz w:val="20"/>
                <w:szCs w:val="20"/>
              </w:rPr>
              <w:t>122.167</w:t>
            </w:r>
          </w:p>
        </w:tc>
        <w:tc>
          <w:tcPr>
            <w:tcW w:w="782" w:type="pct"/>
          </w:tcPr>
          <w:p w14:paraId="1F5E1587" w14:textId="663BE5B5" w:rsidR="009F5F60" w:rsidRPr="00446B3D" w:rsidRDefault="005E7355" w:rsidP="00446B3D">
            <w:pPr>
              <w:pStyle w:val="NoSpacing"/>
              <w:rPr>
                <w:sz w:val="20"/>
                <w:szCs w:val="20"/>
              </w:rPr>
            </w:pPr>
            <w:r w:rsidRPr="00446B3D">
              <w:rPr>
                <w:sz w:val="20"/>
                <w:szCs w:val="20"/>
              </w:rPr>
              <w:t>-</w:t>
            </w:r>
          </w:p>
        </w:tc>
        <w:tc>
          <w:tcPr>
            <w:tcW w:w="694" w:type="pct"/>
          </w:tcPr>
          <w:p w14:paraId="776CAED6" w14:textId="280B43BA" w:rsidR="009F5F60" w:rsidRPr="00446B3D" w:rsidRDefault="00512159" w:rsidP="00446B3D">
            <w:pPr>
              <w:pStyle w:val="NoSpacing"/>
              <w:rPr>
                <w:sz w:val="20"/>
                <w:szCs w:val="20"/>
              </w:rPr>
            </w:pPr>
            <w:r w:rsidRPr="00446B3D">
              <w:rPr>
                <w:sz w:val="20"/>
                <w:szCs w:val="20"/>
              </w:rPr>
              <w:t>0.22 ± 0.13</w:t>
            </w:r>
          </w:p>
        </w:tc>
        <w:tc>
          <w:tcPr>
            <w:tcW w:w="688" w:type="pct"/>
          </w:tcPr>
          <w:p w14:paraId="1F7C3CEF" w14:textId="3AB38105" w:rsidR="009F5F60" w:rsidRPr="00446B3D" w:rsidRDefault="00EA2B77" w:rsidP="00446B3D">
            <w:pPr>
              <w:pStyle w:val="NoSpacing"/>
              <w:rPr>
                <w:sz w:val="20"/>
                <w:szCs w:val="20"/>
              </w:rPr>
            </w:pPr>
            <w:r w:rsidRPr="00446B3D">
              <w:rPr>
                <w:sz w:val="20"/>
                <w:szCs w:val="20"/>
              </w:rPr>
              <w:t>-</w:t>
            </w:r>
          </w:p>
        </w:tc>
        <w:tc>
          <w:tcPr>
            <w:tcW w:w="688" w:type="pct"/>
          </w:tcPr>
          <w:p w14:paraId="7C3A5398" w14:textId="42F153DB" w:rsidR="009F5F60" w:rsidRPr="00446B3D" w:rsidRDefault="005C2B60" w:rsidP="00446B3D">
            <w:pPr>
              <w:pStyle w:val="NoSpacing"/>
              <w:rPr>
                <w:sz w:val="20"/>
                <w:szCs w:val="20"/>
              </w:rPr>
            </w:pPr>
            <w:r w:rsidRPr="00446B3D">
              <w:rPr>
                <w:sz w:val="20"/>
                <w:szCs w:val="20"/>
              </w:rPr>
              <w:t>-</w:t>
            </w:r>
          </w:p>
        </w:tc>
        <w:tc>
          <w:tcPr>
            <w:tcW w:w="422" w:type="pct"/>
          </w:tcPr>
          <w:p w14:paraId="4BBAC5F0" w14:textId="1578E566" w:rsidR="009F5F60" w:rsidRPr="00446B3D" w:rsidRDefault="00EC6A22" w:rsidP="00446B3D">
            <w:pPr>
              <w:pStyle w:val="NoSpacing"/>
              <w:rPr>
                <w:sz w:val="20"/>
                <w:szCs w:val="20"/>
              </w:rPr>
            </w:pPr>
            <w:r w:rsidRPr="00446B3D">
              <w:rPr>
                <w:sz w:val="20"/>
                <w:szCs w:val="20"/>
              </w:rPr>
              <w:t>-</w:t>
            </w:r>
          </w:p>
        </w:tc>
      </w:tr>
      <w:tr w:rsidR="00261547" w:rsidRPr="00446B3D" w14:paraId="1E217B03" w14:textId="77777777" w:rsidTr="00446B3D">
        <w:tc>
          <w:tcPr>
            <w:tcW w:w="1169" w:type="pct"/>
          </w:tcPr>
          <w:p w14:paraId="265E3C6A" w14:textId="7BD1D2E3" w:rsidR="009F5F60" w:rsidRPr="00446B3D" w:rsidRDefault="005514D3" w:rsidP="00446B3D">
            <w:pPr>
              <w:pStyle w:val="NoSpacing"/>
              <w:rPr>
                <w:sz w:val="20"/>
                <w:szCs w:val="20"/>
              </w:rPr>
            </w:pPr>
            <w:r w:rsidRPr="00446B3D">
              <w:rPr>
                <w:sz w:val="20"/>
                <w:szCs w:val="20"/>
              </w:rPr>
              <w:t>2-methylanisole</w:t>
            </w:r>
          </w:p>
        </w:tc>
        <w:tc>
          <w:tcPr>
            <w:tcW w:w="556" w:type="pct"/>
          </w:tcPr>
          <w:p w14:paraId="084080DC" w14:textId="63FF5D70" w:rsidR="009F5F60" w:rsidRPr="00446B3D" w:rsidRDefault="00586F9F" w:rsidP="00446B3D">
            <w:pPr>
              <w:pStyle w:val="NoSpacing"/>
              <w:rPr>
                <w:sz w:val="20"/>
                <w:szCs w:val="20"/>
              </w:rPr>
            </w:pPr>
            <w:r w:rsidRPr="00446B3D">
              <w:rPr>
                <w:sz w:val="20"/>
                <w:szCs w:val="20"/>
              </w:rPr>
              <w:t>122.167</w:t>
            </w:r>
          </w:p>
        </w:tc>
        <w:tc>
          <w:tcPr>
            <w:tcW w:w="782" w:type="pct"/>
          </w:tcPr>
          <w:p w14:paraId="2D9C1CF0" w14:textId="22E82E0B" w:rsidR="009F5F60" w:rsidRPr="00446B3D" w:rsidRDefault="005E7355" w:rsidP="00446B3D">
            <w:pPr>
              <w:pStyle w:val="NoSpacing"/>
              <w:rPr>
                <w:sz w:val="20"/>
                <w:szCs w:val="20"/>
              </w:rPr>
            </w:pPr>
            <w:r w:rsidRPr="00446B3D">
              <w:rPr>
                <w:sz w:val="20"/>
                <w:szCs w:val="20"/>
              </w:rPr>
              <w:t>-</w:t>
            </w:r>
          </w:p>
        </w:tc>
        <w:tc>
          <w:tcPr>
            <w:tcW w:w="694" w:type="pct"/>
          </w:tcPr>
          <w:p w14:paraId="590EF2AF" w14:textId="2D8A2956" w:rsidR="009F5F60" w:rsidRPr="00446B3D" w:rsidRDefault="00512159" w:rsidP="00446B3D">
            <w:pPr>
              <w:pStyle w:val="NoSpacing"/>
              <w:rPr>
                <w:sz w:val="20"/>
                <w:szCs w:val="20"/>
              </w:rPr>
            </w:pPr>
            <w:r w:rsidRPr="00446B3D">
              <w:rPr>
                <w:sz w:val="20"/>
                <w:szCs w:val="20"/>
              </w:rPr>
              <w:t>0.16 ± 0.09</w:t>
            </w:r>
          </w:p>
        </w:tc>
        <w:tc>
          <w:tcPr>
            <w:tcW w:w="688" w:type="pct"/>
          </w:tcPr>
          <w:p w14:paraId="2D811910" w14:textId="13697C6E" w:rsidR="009F5F60" w:rsidRPr="00446B3D" w:rsidRDefault="00EA2B77" w:rsidP="00446B3D">
            <w:pPr>
              <w:pStyle w:val="NoSpacing"/>
              <w:rPr>
                <w:sz w:val="20"/>
                <w:szCs w:val="20"/>
              </w:rPr>
            </w:pPr>
            <w:r w:rsidRPr="00446B3D">
              <w:rPr>
                <w:sz w:val="20"/>
                <w:szCs w:val="20"/>
              </w:rPr>
              <w:t>-</w:t>
            </w:r>
          </w:p>
        </w:tc>
        <w:tc>
          <w:tcPr>
            <w:tcW w:w="688" w:type="pct"/>
          </w:tcPr>
          <w:p w14:paraId="4CAB4D75" w14:textId="3F2AC942" w:rsidR="009F5F60" w:rsidRPr="00446B3D" w:rsidRDefault="005C2B60" w:rsidP="00446B3D">
            <w:pPr>
              <w:pStyle w:val="NoSpacing"/>
              <w:rPr>
                <w:sz w:val="20"/>
                <w:szCs w:val="20"/>
              </w:rPr>
            </w:pPr>
            <w:r w:rsidRPr="00446B3D">
              <w:rPr>
                <w:sz w:val="20"/>
                <w:szCs w:val="20"/>
              </w:rPr>
              <w:t>-</w:t>
            </w:r>
          </w:p>
        </w:tc>
        <w:tc>
          <w:tcPr>
            <w:tcW w:w="422" w:type="pct"/>
          </w:tcPr>
          <w:p w14:paraId="0EBA5A28" w14:textId="5A0535B2" w:rsidR="009F5F60" w:rsidRPr="00446B3D" w:rsidRDefault="00EC6A22" w:rsidP="00446B3D">
            <w:pPr>
              <w:pStyle w:val="NoSpacing"/>
              <w:rPr>
                <w:sz w:val="20"/>
                <w:szCs w:val="20"/>
              </w:rPr>
            </w:pPr>
            <w:r w:rsidRPr="00446B3D">
              <w:rPr>
                <w:sz w:val="20"/>
                <w:szCs w:val="20"/>
              </w:rPr>
              <w:t>-</w:t>
            </w:r>
          </w:p>
        </w:tc>
      </w:tr>
      <w:tr w:rsidR="00261547" w:rsidRPr="00446B3D" w14:paraId="0AD088E2" w14:textId="77777777" w:rsidTr="00446B3D">
        <w:tc>
          <w:tcPr>
            <w:tcW w:w="1169" w:type="pct"/>
          </w:tcPr>
          <w:p w14:paraId="39739CBB" w14:textId="11CF9B26" w:rsidR="009F5F60" w:rsidRPr="00446B3D" w:rsidRDefault="000A45D4" w:rsidP="00446B3D">
            <w:pPr>
              <w:pStyle w:val="NoSpacing"/>
              <w:rPr>
                <w:sz w:val="20"/>
                <w:szCs w:val="20"/>
              </w:rPr>
            </w:pPr>
            <w:r w:rsidRPr="00446B3D">
              <w:rPr>
                <w:sz w:val="20"/>
                <w:szCs w:val="20"/>
              </w:rPr>
              <w:t>3-methylanisole</w:t>
            </w:r>
          </w:p>
        </w:tc>
        <w:tc>
          <w:tcPr>
            <w:tcW w:w="556" w:type="pct"/>
          </w:tcPr>
          <w:p w14:paraId="23508E79" w14:textId="2981EED5" w:rsidR="009F5F60" w:rsidRPr="00446B3D" w:rsidRDefault="00586F9F" w:rsidP="00446B3D">
            <w:pPr>
              <w:pStyle w:val="NoSpacing"/>
              <w:rPr>
                <w:sz w:val="20"/>
                <w:szCs w:val="20"/>
              </w:rPr>
            </w:pPr>
            <w:r w:rsidRPr="00446B3D">
              <w:rPr>
                <w:sz w:val="20"/>
                <w:szCs w:val="20"/>
              </w:rPr>
              <w:t>122.167</w:t>
            </w:r>
          </w:p>
        </w:tc>
        <w:tc>
          <w:tcPr>
            <w:tcW w:w="782" w:type="pct"/>
          </w:tcPr>
          <w:p w14:paraId="647677F2" w14:textId="3B43096C" w:rsidR="009F5F60" w:rsidRPr="00446B3D" w:rsidRDefault="00FA18E8" w:rsidP="00446B3D">
            <w:pPr>
              <w:pStyle w:val="NoSpacing"/>
              <w:rPr>
                <w:sz w:val="20"/>
                <w:szCs w:val="20"/>
              </w:rPr>
            </w:pPr>
            <w:r w:rsidRPr="00446B3D">
              <w:rPr>
                <w:sz w:val="20"/>
                <w:szCs w:val="20"/>
              </w:rPr>
              <w:t>-</w:t>
            </w:r>
          </w:p>
        </w:tc>
        <w:tc>
          <w:tcPr>
            <w:tcW w:w="694" w:type="pct"/>
          </w:tcPr>
          <w:p w14:paraId="2FE45D66" w14:textId="1EB88F01" w:rsidR="009F5F60" w:rsidRPr="00446B3D" w:rsidRDefault="000770E8" w:rsidP="00446B3D">
            <w:pPr>
              <w:pStyle w:val="NoSpacing"/>
              <w:rPr>
                <w:sz w:val="20"/>
                <w:szCs w:val="20"/>
              </w:rPr>
            </w:pPr>
            <w:r w:rsidRPr="00446B3D">
              <w:rPr>
                <w:sz w:val="20"/>
                <w:szCs w:val="20"/>
              </w:rPr>
              <w:t>0.13 ± 0.08</w:t>
            </w:r>
          </w:p>
        </w:tc>
        <w:tc>
          <w:tcPr>
            <w:tcW w:w="688" w:type="pct"/>
          </w:tcPr>
          <w:p w14:paraId="66DFEDC4" w14:textId="50D732BF" w:rsidR="009F5F60" w:rsidRPr="00446B3D" w:rsidRDefault="00EA2B77" w:rsidP="00446B3D">
            <w:pPr>
              <w:pStyle w:val="NoSpacing"/>
              <w:rPr>
                <w:sz w:val="20"/>
                <w:szCs w:val="20"/>
              </w:rPr>
            </w:pPr>
            <w:r w:rsidRPr="00446B3D">
              <w:rPr>
                <w:sz w:val="20"/>
                <w:szCs w:val="20"/>
              </w:rPr>
              <w:t>-</w:t>
            </w:r>
          </w:p>
        </w:tc>
        <w:tc>
          <w:tcPr>
            <w:tcW w:w="688" w:type="pct"/>
          </w:tcPr>
          <w:p w14:paraId="37B15EA2" w14:textId="2616CEDB" w:rsidR="009F5F60" w:rsidRPr="00446B3D" w:rsidRDefault="005C2B60" w:rsidP="00446B3D">
            <w:pPr>
              <w:pStyle w:val="NoSpacing"/>
              <w:rPr>
                <w:sz w:val="20"/>
                <w:szCs w:val="20"/>
              </w:rPr>
            </w:pPr>
            <w:r w:rsidRPr="00446B3D">
              <w:rPr>
                <w:sz w:val="20"/>
                <w:szCs w:val="20"/>
              </w:rPr>
              <w:t>-</w:t>
            </w:r>
          </w:p>
        </w:tc>
        <w:tc>
          <w:tcPr>
            <w:tcW w:w="422" w:type="pct"/>
          </w:tcPr>
          <w:p w14:paraId="0578EAB3" w14:textId="14E9DDFC" w:rsidR="009F5F60" w:rsidRPr="00446B3D" w:rsidRDefault="00EC6A22" w:rsidP="00446B3D">
            <w:pPr>
              <w:pStyle w:val="NoSpacing"/>
              <w:rPr>
                <w:sz w:val="20"/>
                <w:szCs w:val="20"/>
              </w:rPr>
            </w:pPr>
            <w:r w:rsidRPr="00446B3D">
              <w:rPr>
                <w:sz w:val="20"/>
                <w:szCs w:val="20"/>
              </w:rPr>
              <w:t>-</w:t>
            </w:r>
          </w:p>
        </w:tc>
      </w:tr>
      <w:tr w:rsidR="00261547" w:rsidRPr="00446B3D" w14:paraId="4CF6089D" w14:textId="77777777" w:rsidTr="00446B3D">
        <w:tc>
          <w:tcPr>
            <w:tcW w:w="1169" w:type="pct"/>
          </w:tcPr>
          <w:p w14:paraId="69927360" w14:textId="6951B937" w:rsidR="009F5F60" w:rsidRPr="00446B3D" w:rsidRDefault="000A45D4" w:rsidP="00446B3D">
            <w:pPr>
              <w:pStyle w:val="NoSpacing"/>
              <w:rPr>
                <w:sz w:val="20"/>
                <w:szCs w:val="20"/>
              </w:rPr>
            </w:pPr>
            <w:r w:rsidRPr="00446B3D">
              <w:rPr>
                <w:sz w:val="20"/>
                <w:szCs w:val="20"/>
              </w:rPr>
              <w:t>5,5-dimethyl-2,4-imidazolidinedione</w:t>
            </w:r>
          </w:p>
        </w:tc>
        <w:tc>
          <w:tcPr>
            <w:tcW w:w="556" w:type="pct"/>
          </w:tcPr>
          <w:p w14:paraId="32611BEB" w14:textId="1F5FE783" w:rsidR="009F5F60" w:rsidRPr="00446B3D" w:rsidRDefault="00845B27" w:rsidP="00446B3D">
            <w:pPr>
              <w:pStyle w:val="NoSpacing"/>
              <w:rPr>
                <w:sz w:val="20"/>
                <w:szCs w:val="20"/>
              </w:rPr>
            </w:pPr>
            <w:r w:rsidRPr="00446B3D">
              <w:rPr>
                <w:sz w:val="20"/>
                <w:szCs w:val="20"/>
              </w:rPr>
              <w:t>128.131</w:t>
            </w:r>
          </w:p>
        </w:tc>
        <w:tc>
          <w:tcPr>
            <w:tcW w:w="782" w:type="pct"/>
          </w:tcPr>
          <w:p w14:paraId="5278CB61" w14:textId="15CD3832" w:rsidR="009F5F60" w:rsidRPr="00446B3D" w:rsidRDefault="00FA18E8" w:rsidP="00446B3D">
            <w:pPr>
              <w:pStyle w:val="NoSpacing"/>
              <w:rPr>
                <w:sz w:val="20"/>
                <w:szCs w:val="20"/>
              </w:rPr>
            </w:pPr>
            <w:r w:rsidRPr="00446B3D">
              <w:rPr>
                <w:sz w:val="20"/>
                <w:szCs w:val="20"/>
              </w:rPr>
              <w:t>-</w:t>
            </w:r>
          </w:p>
        </w:tc>
        <w:tc>
          <w:tcPr>
            <w:tcW w:w="694" w:type="pct"/>
          </w:tcPr>
          <w:p w14:paraId="7F1F2D3D" w14:textId="69CB174A" w:rsidR="009F5F60" w:rsidRPr="00446B3D" w:rsidRDefault="000770E8" w:rsidP="00446B3D">
            <w:pPr>
              <w:pStyle w:val="NoSpacing"/>
              <w:rPr>
                <w:sz w:val="20"/>
                <w:szCs w:val="20"/>
              </w:rPr>
            </w:pPr>
            <w:r w:rsidRPr="00446B3D">
              <w:rPr>
                <w:sz w:val="20"/>
                <w:szCs w:val="20"/>
              </w:rPr>
              <w:t>-</w:t>
            </w:r>
          </w:p>
        </w:tc>
        <w:tc>
          <w:tcPr>
            <w:tcW w:w="688" w:type="pct"/>
          </w:tcPr>
          <w:p w14:paraId="6A1777AA" w14:textId="4F8C8D44" w:rsidR="009F5F60" w:rsidRPr="00446B3D" w:rsidRDefault="00EA2B77" w:rsidP="00446B3D">
            <w:pPr>
              <w:pStyle w:val="NoSpacing"/>
              <w:rPr>
                <w:sz w:val="20"/>
                <w:szCs w:val="20"/>
              </w:rPr>
            </w:pPr>
            <w:r w:rsidRPr="00446B3D">
              <w:rPr>
                <w:sz w:val="20"/>
                <w:szCs w:val="20"/>
              </w:rPr>
              <w:t>9.7</w:t>
            </w:r>
          </w:p>
        </w:tc>
        <w:tc>
          <w:tcPr>
            <w:tcW w:w="688" w:type="pct"/>
          </w:tcPr>
          <w:p w14:paraId="2156B45D" w14:textId="540A7B1A" w:rsidR="009F5F60" w:rsidRPr="00446B3D" w:rsidRDefault="005C2B60" w:rsidP="00446B3D">
            <w:pPr>
              <w:pStyle w:val="NoSpacing"/>
              <w:rPr>
                <w:sz w:val="20"/>
                <w:szCs w:val="20"/>
              </w:rPr>
            </w:pPr>
            <w:r w:rsidRPr="00446B3D">
              <w:rPr>
                <w:sz w:val="20"/>
                <w:szCs w:val="20"/>
              </w:rPr>
              <w:t>-</w:t>
            </w:r>
          </w:p>
        </w:tc>
        <w:tc>
          <w:tcPr>
            <w:tcW w:w="422" w:type="pct"/>
          </w:tcPr>
          <w:p w14:paraId="7D1FEDE3" w14:textId="6AF5CABC" w:rsidR="009F5F60" w:rsidRPr="00446B3D" w:rsidRDefault="00EC6A22" w:rsidP="00446B3D">
            <w:pPr>
              <w:pStyle w:val="NoSpacing"/>
              <w:rPr>
                <w:sz w:val="20"/>
                <w:szCs w:val="20"/>
              </w:rPr>
            </w:pPr>
            <w:r w:rsidRPr="00446B3D">
              <w:rPr>
                <w:sz w:val="20"/>
                <w:szCs w:val="20"/>
              </w:rPr>
              <w:t>-</w:t>
            </w:r>
          </w:p>
        </w:tc>
      </w:tr>
      <w:tr w:rsidR="00261547" w:rsidRPr="00446B3D" w14:paraId="65499B99" w14:textId="77777777" w:rsidTr="00446B3D">
        <w:tc>
          <w:tcPr>
            <w:tcW w:w="1169" w:type="pct"/>
          </w:tcPr>
          <w:p w14:paraId="7EE0F4C0" w14:textId="6FD040F6" w:rsidR="009F5F60" w:rsidRPr="00446B3D" w:rsidRDefault="007A4577" w:rsidP="00446B3D">
            <w:pPr>
              <w:pStyle w:val="NoSpacing"/>
              <w:rPr>
                <w:sz w:val="20"/>
                <w:szCs w:val="20"/>
              </w:rPr>
            </w:pPr>
            <w:r w:rsidRPr="00446B3D">
              <w:rPr>
                <w:sz w:val="20"/>
                <w:szCs w:val="20"/>
              </w:rPr>
              <w:lastRenderedPageBreak/>
              <w:t>3-methoxy-5-methylphenol</w:t>
            </w:r>
          </w:p>
        </w:tc>
        <w:tc>
          <w:tcPr>
            <w:tcW w:w="556" w:type="pct"/>
          </w:tcPr>
          <w:p w14:paraId="171A5CFE" w14:textId="41E6988C" w:rsidR="009F5F60" w:rsidRPr="00446B3D" w:rsidRDefault="00F03E41" w:rsidP="00446B3D">
            <w:pPr>
              <w:pStyle w:val="NoSpacing"/>
              <w:rPr>
                <w:sz w:val="20"/>
                <w:szCs w:val="20"/>
              </w:rPr>
            </w:pPr>
            <w:r w:rsidRPr="00446B3D">
              <w:rPr>
                <w:sz w:val="20"/>
                <w:szCs w:val="20"/>
              </w:rPr>
              <w:t>138.166</w:t>
            </w:r>
          </w:p>
        </w:tc>
        <w:tc>
          <w:tcPr>
            <w:tcW w:w="782" w:type="pct"/>
          </w:tcPr>
          <w:p w14:paraId="696E3DD5" w14:textId="7CF1A655" w:rsidR="009F5F60" w:rsidRPr="00446B3D" w:rsidRDefault="00FA18E8" w:rsidP="00446B3D">
            <w:pPr>
              <w:pStyle w:val="NoSpacing"/>
              <w:rPr>
                <w:sz w:val="20"/>
                <w:szCs w:val="20"/>
              </w:rPr>
            </w:pPr>
            <w:r w:rsidRPr="00446B3D">
              <w:rPr>
                <w:sz w:val="20"/>
                <w:szCs w:val="20"/>
              </w:rPr>
              <w:t>-</w:t>
            </w:r>
          </w:p>
        </w:tc>
        <w:tc>
          <w:tcPr>
            <w:tcW w:w="694" w:type="pct"/>
          </w:tcPr>
          <w:p w14:paraId="4547121C" w14:textId="2551A97D" w:rsidR="009F5F60" w:rsidRPr="00446B3D" w:rsidRDefault="004F141E" w:rsidP="00446B3D">
            <w:pPr>
              <w:pStyle w:val="NoSpacing"/>
              <w:rPr>
                <w:sz w:val="20"/>
                <w:szCs w:val="20"/>
              </w:rPr>
            </w:pPr>
            <w:r w:rsidRPr="00446B3D">
              <w:rPr>
                <w:sz w:val="20"/>
                <w:szCs w:val="20"/>
              </w:rPr>
              <w:t>0.31 ± 0.18</w:t>
            </w:r>
          </w:p>
        </w:tc>
        <w:tc>
          <w:tcPr>
            <w:tcW w:w="688" w:type="pct"/>
          </w:tcPr>
          <w:p w14:paraId="528E8E11" w14:textId="5E144E55" w:rsidR="009F5F60" w:rsidRPr="00446B3D" w:rsidRDefault="00EA2B77" w:rsidP="00446B3D">
            <w:pPr>
              <w:pStyle w:val="NoSpacing"/>
              <w:rPr>
                <w:sz w:val="20"/>
                <w:szCs w:val="20"/>
              </w:rPr>
            </w:pPr>
            <w:r w:rsidRPr="00446B3D">
              <w:rPr>
                <w:sz w:val="20"/>
                <w:szCs w:val="20"/>
              </w:rPr>
              <w:t>-</w:t>
            </w:r>
          </w:p>
        </w:tc>
        <w:tc>
          <w:tcPr>
            <w:tcW w:w="688" w:type="pct"/>
          </w:tcPr>
          <w:p w14:paraId="41ED1078" w14:textId="31218297" w:rsidR="009F5F60" w:rsidRPr="00446B3D" w:rsidRDefault="005C2B60" w:rsidP="00446B3D">
            <w:pPr>
              <w:pStyle w:val="NoSpacing"/>
              <w:rPr>
                <w:sz w:val="20"/>
                <w:szCs w:val="20"/>
              </w:rPr>
            </w:pPr>
            <w:r w:rsidRPr="00446B3D">
              <w:rPr>
                <w:sz w:val="20"/>
                <w:szCs w:val="20"/>
              </w:rPr>
              <w:t>-</w:t>
            </w:r>
          </w:p>
        </w:tc>
        <w:tc>
          <w:tcPr>
            <w:tcW w:w="422" w:type="pct"/>
          </w:tcPr>
          <w:p w14:paraId="15B53F49" w14:textId="48A93C46" w:rsidR="009F5F60" w:rsidRPr="00446B3D" w:rsidRDefault="0093091A" w:rsidP="00446B3D">
            <w:pPr>
              <w:pStyle w:val="NoSpacing"/>
              <w:rPr>
                <w:sz w:val="20"/>
                <w:szCs w:val="20"/>
              </w:rPr>
            </w:pPr>
            <w:r w:rsidRPr="00446B3D">
              <w:rPr>
                <w:sz w:val="20"/>
                <w:szCs w:val="20"/>
              </w:rPr>
              <w:t>-</w:t>
            </w:r>
          </w:p>
        </w:tc>
      </w:tr>
      <w:tr w:rsidR="00261547" w:rsidRPr="00446B3D" w14:paraId="4E1E8E05" w14:textId="77777777" w:rsidTr="00446B3D">
        <w:tc>
          <w:tcPr>
            <w:tcW w:w="1169" w:type="pct"/>
          </w:tcPr>
          <w:p w14:paraId="6D33717C" w14:textId="5D26DBC3" w:rsidR="009F5F60" w:rsidRPr="00446B3D" w:rsidRDefault="0065028F" w:rsidP="00446B3D">
            <w:pPr>
              <w:pStyle w:val="NoSpacing"/>
              <w:rPr>
                <w:sz w:val="20"/>
                <w:szCs w:val="20"/>
              </w:rPr>
            </w:pPr>
            <w:r w:rsidRPr="00446B3D">
              <w:rPr>
                <w:sz w:val="20"/>
                <w:szCs w:val="20"/>
              </w:rPr>
              <w:t>2-methoxy-4-methylpheno</w:t>
            </w:r>
          </w:p>
        </w:tc>
        <w:tc>
          <w:tcPr>
            <w:tcW w:w="556" w:type="pct"/>
          </w:tcPr>
          <w:p w14:paraId="6995A432" w14:textId="6F54A8A5" w:rsidR="009F5F60" w:rsidRPr="00446B3D" w:rsidRDefault="00F03E41" w:rsidP="00446B3D">
            <w:pPr>
              <w:pStyle w:val="NoSpacing"/>
              <w:rPr>
                <w:sz w:val="20"/>
                <w:szCs w:val="20"/>
              </w:rPr>
            </w:pPr>
            <w:r w:rsidRPr="00446B3D">
              <w:rPr>
                <w:sz w:val="20"/>
                <w:szCs w:val="20"/>
              </w:rPr>
              <w:t>138.166</w:t>
            </w:r>
          </w:p>
        </w:tc>
        <w:tc>
          <w:tcPr>
            <w:tcW w:w="782" w:type="pct"/>
          </w:tcPr>
          <w:p w14:paraId="2CC8FFA3" w14:textId="5D8718B7" w:rsidR="009F5F60" w:rsidRPr="00446B3D" w:rsidRDefault="00FA18E8" w:rsidP="00446B3D">
            <w:pPr>
              <w:pStyle w:val="NoSpacing"/>
              <w:rPr>
                <w:sz w:val="20"/>
                <w:szCs w:val="20"/>
              </w:rPr>
            </w:pPr>
            <w:r w:rsidRPr="00446B3D">
              <w:rPr>
                <w:sz w:val="20"/>
                <w:szCs w:val="20"/>
              </w:rPr>
              <w:t>-</w:t>
            </w:r>
          </w:p>
        </w:tc>
        <w:tc>
          <w:tcPr>
            <w:tcW w:w="694" w:type="pct"/>
          </w:tcPr>
          <w:p w14:paraId="3603D227" w14:textId="193DB4C0" w:rsidR="009F5F60" w:rsidRPr="00446B3D" w:rsidRDefault="001E2555" w:rsidP="00446B3D">
            <w:pPr>
              <w:pStyle w:val="NoSpacing"/>
              <w:rPr>
                <w:sz w:val="20"/>
                <w:szCs w:val="20"/>
              </w:rPr>
            </w:pPr>
            <w:r w:rsidRPr="00446B3D">
              <w:rPr>
                <w:sz w:val="20"/>
                <w:szCs w:val="20"/>
              </w:rPr>
              <w:t>0.27 ± 0.16</w:t>
            </w:r>
          </w:p>
        </w:tc>
        <w:tc>
          <w:tcPr>
            <w:tcW w:w="688" w:type="pct"/>
          </w:tcPr>
          <w:p w14:paraId="4BA1F603" w14:textId="4C0DEA8B" w:rsidR="009F5F60" w:rsidRPr="00446B3D" w:rsidRDefault="00EA2B77" w:rsidP="00446B3D">
            <w:pPr>
              <w:pStyle w:val="NoSpacing"/>
              <w:rPr>
                <w:sz w:val="20"/>
                <w:szCs w:val="20"/>
              </w:rPr>
            </w:pPr>
            <w:r w:rsidRPr="00446B3D">
              <w:rPr>
                <w:sz w:val="20"/>
                <w:szCs w:val="20"/>
              </w:rPr>
              <w:t>-</w:t>
            </w:r>
          </w:p>
        </w:tc>
        <w:tc>
          <w:tcPr>
            <w:tcW w:w="688" w:type="pct"/>
          </w:tcPr>
          <w:p w14:paraId="1F67B4BF" w14:textId="6D9BB524" w:rsidR="009F5F60" w:rsidRPr="00446B3D" w:rsidRDefault="005C2B60" w:rsidP="00446B3D">
            <w:pPr>
              <w:pStyle w:val="NoSpacing"/>
              <w:rPr>
                <w:sz w:val="20"/>
                <w:szCs w:val="20"/>
              </w:rPr>
            </w:pPr>
            <w:r w:rsidRPr="00446B3D">
              <w:rPr>
                <w:sz w:val="20"/>
                <w:szCs w:val="20"/>
              </w:rPr>
              <w:t>-</w:t>
            </w:r>
          </w:p>
        </w:tc>
        <w:tc>
          <w:tcPr>
            <w:tcW w:w="422" w:type="pct"/>
          </w:tcPr>
          <w:p w14:paraId="53E332BE" w14:textId="1F7A267E" w:rsidR="009F5F60" w:rsidRPr="00446B3D" w:rsidRDefault="0093091A" w:rsidP="00446B3D">
            <w:pPr>
              <w:pStyle w:val="NoSpacing"/>
              <w:rPr>
                <w:sz w:val="20"/>
                <w:szCs w:val="20"/>
              </w:rPr>
            </w:pPr>
            <w:r w:rsidRPr="00446B3D">
              <w:rPr>
                <w:sz w:val="20"/>
                <w:szCs w:val="20"/>
              </w:rPr>
              <w:t>-</w:t>
            </w:r>
          </w:p>
        </w:tc>
      </w:tr>
      <w:tr w:rsidR="00261547" w:rsidRPr="00446B3D" w14:paraId="4CD3785B" w14:textId="77777777" w:rsidTr="00446B3D">
        <w:tc>
          <w:tcPr>
            <w:tcW w:w="1169" w:type="pct"/>
          </w:tcPr>
          <w:p w14:paraId="48830A82" w14:textId="02F87F5C" w:rsidR="009F5F60" w:rsidRPr="00446B3D" w:rsidRDefault="0065028F" w:rsidP="00446B3D">
            <w:pPr>
              <w:pStyle w:val="NoSpacing"/>
              <w:rPr>
                <w:sz w:val="20"/>
                <w:szCs w:val="20"/>
              </w:rPr>
            </w:pPr>
            <w:r w:rsidRPr="00446B3D">
              <w:rPr>
                <w:sz w:val="20"/>
                <w:szCs w:val="20"/>
              </w:rPr>
              <w:t>acetamide + butenoic acid</w:t>
            </w:r>
          </w:p>
        </w:tc>
        <w:tc>
          <w:tcPr>
            <w:tcW w:w="556" w:type="pct"/>
          </w:tcPr>
          <w:p w14:paraId="6636F497" w14:textId="26409F10" w:rsidR="009F5F60" w:rsidRPr="00446B3D" w:rsidRDefault="00227EFA" w:rsidP="00446B3D">
            <w:pPr>
              <w:pStyle w:val="NoSpacing"/>
              <w:rPr>
                <w:sz w:val="20"/>
                <w:szCs w:val="20"/>
              </w:rPr>
            </w:pPr>
            <w:r w:rsidRPr="00446B3D">
              <w:rPr>
                <w:sz w:val="20"/>
                <w:szCs w:val="20"/>
              </w:rPr>
              <w:t>145.158</w:t>
            </w:r>
          </w:p>
        </w:tc>
        <w:tc>
          <w:tcPr>
            <w:tcW w:w="782" w:type="pct"/>
          </w:tcPr>
          <w:p w14:paraId="65523D1D" w14:textId="22CC1ED7" w:rsidR="009F5F60" w:rsidRPr="00446B3D" w:rsidRDefault="00FA18E8" w:rsidP="00446B3D">
            <w:pPr>
              <w:pStyle w:val="NoSpacing"/>
              <w:rPr>
                <w:sz w:val="20"/>
                <w:szCs w:val="20"/>
              </w:rPr>
            </w:pPr>
            <w:r w:rsidRPr="00446B3D">
              <w:rPr>
                <w:sz w:val="20"/>
                <w:szCs w:val="20"/>
              </w:rPr>
              <w:t>-</w:t>
            </w:r>
          </w:p>
        </w:tc>
        <w:tc>
          <w:tcPr>
            <w:tcW w:w="694" w:type="pct"/>
          </w:tcPr>
          <w:p w14:paraId="1EFF6FD5" w14:textId="4EF6AEC6" w:rsidR="009F5F60" w:rsidRPr="00446B3D" w:rsidRDefault="001E2555" w:rsidP="00446B3D">
            <w:pPr>
              <w:pStyle w:val="NoSpacing"/>
              <w:rPr>
                <w:sz w:val="20"/>
                <w:szCs w:val="20"/>
              </w:rPr>
            </w:pPr>
            <w:r w:rsidRPr="00446B3D">
              <w:rPr>
                <w:sz w:val="20"/>
                <w:szCs w:val="20"/>
              </w:rPr>
              <w:t>-</w:t>
            </w:r>
          </w:p>
        </w:tc>
        <w:tc>
          <w:tcPr>
            <w:tcW w:w="688" w:type="pct"/>
          </w:tcPr>
          <w:p w14:paraId="4872003E" w14:textId="53F9DC01" w:rsidR="009F5F60" w:rsidRPr="00446B3D" w:rsidRDefault="006544B7" w:rsidP="00446B3D">
            <w:pPr>
              <w:pStyle w:val="NoSpacing"/>
              <w:rPr>
                <w:sz w:val="20"/>
                <w:szCs w:val="20"/>
              </w:rPr>
            </w:pPr>
            <w:r w:rsidRPr="00446B3D">
              <w:rPr>
                <w:sz w:val="20"/>
                <w:szCs w:val="20"/>
              </w:rPr>
              <w:t>10.8</w:t>
            </w:r>
          </w:p>
        </w:tc>
        <w:tc>
          <w:tcPr>
            <w:tcW w:w="688" w:type="pct"/>
          </w:tcPr>
          <w:p w14:paraId="58801766" w14:textId="09812190" w:rsidR="009F5F60" w:rsidRPr="00446B3D" w:rsidRDefault="005C2B60" w:rsidP="00446B3D">
            <w:pPr>
              <w:pStyle w:val="NoSpacing"/>
              <w:rPr>
                <w:sz w:val="20"/>
                <w:szCs w:val="20"/>
              </w:rPr>
            </w:pPr>
            <w:r w:rsidRPr="00446B3D">
              <w:rPr>
                <w:sz w:val="20"/>
                <w:szCs w:val="20"/>
              </w:rPr>
              <w:t>-</w:t>
            </w:r>
          </w:p>
        </w:tc>
        <w:tc>
          <w:tcPr>
            <w:tcW w:w="422" w:type="pct"/>
          </w:tcPr>
          <w:p w14:paraId="053B3E58" w14:textId="2C237A2E" w:rsidR="009F5F60" w:rsidRPr="00446B3D" w:rsidRDefault="0093091A" w:rsidP="00446B3D">
            <w:pPr>
              <w:pStyle w:val="NoSpacing"/>
              <w:rPr>
                <w:sz w:val="20"/>
                <w:szCs w:val="20"/>
              </w:rPr>
            </w:pPr>
            <w:r w:rsidRPr="00446B3D">
              <w:rPr>
                <w:sz w:val="20"/>
                <w:szCs w:val="20"/>
              </w:rPr>
              <w:t>-</w:t>
            </w:r>
          </w:p>
        </w:tc>
      </w:tr>
      <w:tr w:rsidR="00261547" w:rsidRPr="00446B3D" w14:paraId="5B75D19F" w14:textId="77777777" w:rsidTr="00446B3D">
        <w:tc>
          <w:tcPr>
            <w:tcW w:w="1169" w:type="pct"/>
          </w:tcPr>
          <w:p w14:paraId="25DDCFE4" w14:textId="324376DA" w:rsidR="009F5F60" w:rsidRPr="00446B3D" w:rsidRDefault="009E489B" w:rsidP="00446B3D">
            <w:pPr>
              <w:pStyle w:val="NoSpacing"/>
              <w:rPr>
                <w:sz w:val="20"/>
                <w:szCs w:val="20"/>
              </w:rPr>
            </w:pPr>
            <w:r w:rsidRPr="00446B3D">
              <w:rPr>
                <w:sz w:val="20"/>
                <w:szCs w:val="20"/>
              </w:rPr>
              <w:t>4-ethoxystyrene</w:t>
            </w:r>
          </w:p>
        </w:tc>
        <w:tc>
          <w:tcPr>
            <w:tcW w:w="556" w:type="pct"/>
          </w:tcPr>
          <w:p w14:paraId="497D1FD7" w14:textId="7E1DF13D" w:rsidR="009F5F60" w:rsidRPr="00446B3D" w:rsidRDefault="00D81459" w:rsidP="00446B3D">
            <w:pPr>
              <w:pStyle w:val="NoSpacing"/>
              <w:rPr>
                <w:sz w:val="20"/>
                <w:szCs w:val="20"/>
              </w:rPr>
            </w:pPr>
            <w:r w:rsidRPr="00446B3D">
              <w:rPr>
                <w:sz w:val="20"/>
                <w:szCs w:val="20"/>
              </w:rPr>
              <w:t>148.205</w:t>
            </w:r>
          </w:p>
        </w:tc>
        <w:tc>
          <w:tcPr>
            <w:tcW w:w="782" w:type="pct"/>
          </w:tcPr>
          <w:p w14:paraId="603B616B" w14:textId="0BC7E956" w:rsidR="009F5F60" w:rsidRPr="00446B3D" w:rsidRDefault="00FA18E8" w:rsidP="00446B3D">
            <w:pPr>
              <w:pStyle w:val="NoSpacing"/>
              <w:rPr>
                <w:sz w:val="20"/>
                <w:szCs w:val="20"/>
              </w:rPr>
            </w:pPr>
            <w:r w:rsidRPr="00446B3D">
              <w:rPr>
                <w:sz w:val="20"/>
                <w:szCs w:val="20"/>
              </w:rPr>
              <w:t>-</w:t>
            </w:r>
          </w:p>
        </w:tc>
        <w:tc>
          <w:tcPr>
            <w:tcW w:w="694" w:type="pct"/>
          </w:tcPr>
          <w:p w14:paraId="61153404" w14:textId="5EF40E55" w:rsidR="009F5F60" w:rsidRPr="00446B3D" w:rsidRDefault="001E2555" w:rsidP="00446B3D">
            <w:pPr>
              <w:pStyle w:val="NoSpacing"/>
              <w:rPr>
                <w:sz w:val="20"/>
                <w:szCs w:val="20"/>
              </w:rPr>
            </w:pPr>
            <w:r w:rsidRPr="00446B3D">
              <w:rPr>
                <w:sz w:val="20"/>
                <w:szCs w:val="20"/>
              </w:rPr>
              <w:t>0.11 ± 0.06</w:t>
            </w:r>
          </w:p>
        </w:tc>
        <w:tc>
          <w:tcPr>
            <w:tcW w:w="688" w:type="pct"/>
          </w:tcPr>
          <w:p w14:paraId="057957BF" w14:textId="337A00BC" w:rsidR="009F5F60" w:rsidRPr="00446B3D" w:rsidRDefault="006544B7" w:rsidP="00446B3D">
            <w:pPr>
              <w:pStyle w:val="NoSpacing"/>
              <w:rPr>
                <w:sz w:val="20"/>
                <w:szCs w:val="20"/>
              </w:rPr>
            </w:pPr>
            <w:r w:rsidRPr="00446B3D">
              <w:rPr>
                <w:sz w:val="20"/>
                <w:szCs w:val="20"/>
              </w:rPr>
              <w:t>-</w:t>
            </w:r>
          </w:p>
        </w:tc>
        <w:tc>
          <w:tcPr>
            <w:tcW w:w="688" w:type="pct"/>
          </w:tcPr>
          <w:p w14:paraId="1B27E925" w14:textId="39F151FA" w:rsidR="009F5F60" w:rsidRPr="00446B3D" w:rsidRDefault="005C2B60" w:rsidP="00446B3D">
            <w:pPr>
              <w:pStyle w:val="NoSpacing"/>
              <w:rPr>
                <w:sz w:val="20"/>
                <w:szCs w:val="20"/>
              </w:rPr>
            </w:pPr>
            <w:r w:rsidRPr="00446B3D">
              <w:rPr>
                <w:sz w:val="20"/>
                <w:szCs w:val="20"/>
              </w:rPr>
              <w:t>-</w:t>
            </w:r>
          </w:p>
        </w:tc>
        <w:tc>
          <w:tcPr>
            <w:tcW w:w="422" w:type="pct"/>
          </w:tcPr>
          <w:p w14:paraId="67BD1259" w14:textId="6812F859" w:rsidR="009F5F60" w:rsidRPr="00446B3D" w:rsidRDefault="0093091A" w:rsidP="00446B3D">
            <w:pPr>
              <w:pStyle w:val="NoSpacing"/>
              <w:rPr>
                <w:sz w:val="20"/>
                <w:szCs w:val="20"/>
              </w:rPr>
            </w:pPr>
            <w:r w:rsidRPr="00446B3D">
              <w:rPr>
                <w:sz w:val="20"/>
                <w:szCs w:val="20"/>
              </w:rPr>
              <w:t>-</w:t>
            </w:r>
          </w:p>
        </w:tc>
      </w:tr>
      <w:tr w:rsidR="00261547" w:rsidRPr="00446B3D" w14:paraId="26A1AD33" w14:textId="77777777" w:rsidTr="00446B3D">
        <w:tc>
          <w:tcPr>
            <w:tcW w:w="1169" w:type="pct"/>
          </w:tcPr>
          <w:p w14:paraId="28D24727" w14:textId="5A6424DF" w:rsidR="009F5F60" w:rsidRPr="00446B3D" w:rsidRDefault="009E489B" w:rsidP="00446B3D">
            <w:pPr>
              <w:pStyle w:val="NoSpacing"/>
              <w:rPr>
                <w:sz w:val="20"/>
                <w:szCs w:val="20"/>
              </w:rPr>
            </w:pPr>
            <w:r w:rsidRPr="00446B3D">
              <w:rPr>
                <w:sz w:val="20"/>
                <w:szCs w:val="20"/>
              </w:rPr>
              <w:t>4-ethyl-2-methoxypheno</w:t>
            </w:r>
          </w:p>
        </w:tc>
        <w:tc>
          <w:tcPr>
            <w:tcW w:w="556" w:type="pct"/>
          </w:tcPr>
          <w:p w14:paraId="26005FA3" w14:textId="5AA7F4EE" w:rsidR="009F5F60" w:rsidRPr="00446B3D" w:rsidRDefault="00481057" w:rsidP="00446B3D">
            <w:pPr>
              <w:pStyle w:val="NoSpacing"/>
              <w:rPr>
                <w:sz w:val="20"/>
                <w:szCs w:val="20"/>
              </w:rPr>
            </w:pPr>
            <w:r w:rsidRPr="00446B3D">
              <w:rPr>
                <w:sz w:val="20"/>
                <w:szCs w:val="20"/>
              </w:rPr>
              <w:t>152.193</w:t>
            </w:r>
          </w:p>
        </w:tc>
        <w:tc>
          <w:tcPr>
            <w:tcW w:w="782" w:type="pct"/>
          </w:tcPr>
          <w:p w14:paraId="7761BA17" w14:textId="0F4F49CF" w:rsidR="009F5F60" w:rsidRPr="00446B3D" w:rsidRDefault="00FA18E8" w:rsidP="00446B3D">
            <w:pPr>
              <w:pStyle w:val="NoSpacing"/>
              <w:rPr>
                <w:sz w:val="20"/>
                <w:szCs w:val="20"/>
              </w:rPr>
            </w:pPr>
            <w:r w:rsidRPr="00446B3D">
              <w:rPr>
                <w:sz w:val="20"/>
                <w:szCs w:val="20"/>
              </w:rPr>
              <w:t>-</w:t>
            </w:r>
          </w:p>
        </w:tc>
        <w:tc>
          <w:tcPr>
            <w:tcW w:w="694" w:type="pct"/>
          </w:tcPr>
          <w:p w14:paraId="7B2D084D" w14:textId="480B2302" w:rsidR="009F5F60" w:rsidRPr="00446B3D" w:rsidRDefault="008D41EB" w:rsidP="00446B3D">
            <w:pPr>
              <w:pStyle w:val="NoSpacing"/>
              <w:rPr>
                <w:sz w:val="20"/>
                <w:szCs w:val="20"/>
              </w:rPr>
            </w:pPr>
            <w:r w:rsidRPr="00446B3D">
              <w:rPr>
                <w:sz w:val="20"/>
                <w:szCs w:val="20"/>
              </w:rPr>
              <w:t>0.12 ± 0.07</w:t>
            </w:r>
          </w:p>
        </w:tc>
        <w:tc>
          <w:tcPr>
            <w:tcW w:w="688" w:type="pct"/>
          </w:tcPr>
          <w:p w14:paraId="09A46D3C" w14:textId="6A7AF520" w:rsidR="009F5F60" w:rsidRPr="00446B3D" w:rsidRDefault="006544B7" w:rsidP="00446B3D">
            <w:pPr>
              <w:pStyle w:val="NoSpacing"/>
              <w:rPr>
                <w:sz w:val="20"/>
                <w:szCs w:val="20"/>
              </w:rPr>
            </w:pPr>
            <w:r w:rsidRPr="00446B3D">
              <w:rPr>
                <w:sz w:val="20"/>
                <w:szCs w:val="20"/>
              </w:rPr>
              <w:t>-</w:t>
            </w:r>
          </w:p>
        </w:tc>
        <w:tc>
          <w:tcPr>
            <w:tcW w:w="688" w:type="pct"/>
          </w:tcPr>
          <w:p w14:paraId="03FF42A2" w14:textId="79E2B44A" w:rsidR="009F5F60" w:rsidRPr="00446B3D" w:rsidRDefault="005C2B60" w:rsidP="00446B3D">
            <w:pPr>
              <w:pStyle w:val="NoSpacing"/>
              <w:rPr>
                <w:sz w:val="20"/>
                <w:szCs w:val="20"/>
              </w:rPr>
            </w:pPr>
            <w:r w:rsidRPr="00446B3D">
              <w:rPr>
                <w:sz w:val="20"/>
                <w:szCs w:val="20"/>
              </w:rPr>
              <w:t>-</w:t>
            </w:r>
          </w:p>
        </w:tc>
        <w:tc>
          <w:tcPr>
            <w:tcW w:w="422" w:type="pct"/>
          </w:tcPr>
          <w:p w14:paraId="51F7B32D" w14:textId="3ACE4CAB" w:rsidR="009F5F60" w:rsidRPr="00446B3D" w:rsidRDefault="0093091A" w:rsidP="00446B3D">
            <w:pPr>
              <w:pStyle w:val="NoSpacing"/>
              <w:rPr>
                <w:sz w:val="20"/>
                <w:szCs w:val="20"/>
              </w:rPr>
            </w:pPr>
            <w:r w:rsidRPr="00446B3D">
              <w:rPr>
                <w:sz w:val="20"/>
                <w:szCs w:val="20"/>
              </w:rPr>
              <w:t>-</w:t>
            </w:r>
          </w:p>
        </w:tc>
      </w:tr>
      <w:tr w:rsidR="00261547" w:rsidRPr="00446B3D" w14:paraId="3F80531E" w14:textId="77777777" w:rsidTr="00446B3D">
        <w:tc>
          <w:tcPr>
            <w:tcW w:w="1169" w:type="pct"/>
          </w:tcPr>
          <w:p w14:paraId="2642A7DE" w14:textId="220192AE" w:rsidR="009F5F60" w:rsidRPr="00446B3D" w:rsidRDefault="002A607F" w:rsidP="00446B3D">
            <w:pPr>
              <w:pStyle w:val="NoSpacing"/>
              <w:rPr>
                <w:sz w:val="20"/>
                <w:szCs w:val="20"/>
              </w:rPr>
            </w:pPr>
            <w:r w:rsidRPr="00446B3D">
              <w:rPr>
                <w:sz w:val="20"/>
                <w:szCs w:val="20"/>
              </w:rPr>
              <w:t>3,4-dimethoxytoluene</w:t>
            </w:r>
          </w:p>
        </w:tc>
        <w:tc>
          <w:tcPr>
            <w:tcW w:w="556" w:type="pct"/>
          </w:tcPr>
          <w:p w14:paraId="662EC0CB" w14:textId="47BCB4AD" w:rsidR="009F5F60" w:rsidRPr="00446B3D" w:rsidRDefault="00481057" w:rsidP="00446B3D">
            <w:pPr>
              <w:pStyle w:val="NoSpacing"/>
              <w:rPr>
                <w:sz w:val="20"/>
                <w:szCs w:val="20"/>
              </w:rPr>
            </w:pPr>
            <w:r w:rsidRPr="00446B3D">
              <w:rPr>
                <w:sz w:val="20"/>
                <w:szCs w:val="20"/>
              </w:rPr>
              <w:t>152.193</w:t>
            </w:r>
          </w:p>
        </w:tc>
        <w:tc>
          <w:tcPr>
            <w:tcW w:w="782" w:type="pct"/>
          </w:tcPr>
          <w:p w14:paraId="2AA72116" w14:textId="6FCF3B33" w:rsidR="009F5F60" w:rsidRPr="00446B3D" w:rsidRDefault="00FA18E8" w:rsidP="00446B3D">
            <w:pPr>
              <w:pStyle w:val="NoSpacing"/>
              <w:rPr>
                <w:sz w:val="20"/>
                <w:szCs w:val="20"/>
              </w:rPr>
            </w:pPr>
            <w:r w:rsidRPr="00446B3D">
              <w:rPr>
                <w:sz w:val="20"/>
                <w:szCs w:val="20"/>
              </w:rPr>
              <w:t>-</w:t>
            </w:r>
          </w:p>
        </w:tc>
        <w:tc>
          <w:tcPr>
            <w:tcW w:w="694" w:type="pct"/>
          </w:tcPr>
          <w:p w14:paraId="68AD0DB3" w14:textId="2DC557FF" w:rsidR="009F5F60" w:rsidRPr="00446B3D" w:rsidRDefault="008D41EB" w:rsidP="00446B3D">
            <w:pPr>
              <w:pStyle w:val="NoSpacing"/>
              <w:rPr>
                <w:sz w:val="20"/>
                <w:szCs w:val="20"/>
              </w:rPr>
            </w:pPr>
            <w:r w:rsidRPr="00446B3D">
              <w:rPr>
                <w:sz w:val="20"/>
                <w:szCs w:val="20"/>
              </w:rPr>
              <w:t>0.12 ± 0.07</w:t>
            </w:r>
          </w:p>
        </w:tc>
        <w:tc>
          <w:tcPr>
            <w:tcW w:w="688" w:type="pct"/>
          </w:tcPr>
          <w:p w14:paraId="51F37B85" w14:textId="0A1ABBBF" w:rsidR="009F5F60" w:rsidRPr="00446B3D" w:rsidRDefault="006544B7" w:rsidP="00446B3D">
            <w:pPr>
              <w:pStyle w:val="NoSpacing"/>
              <w:rPr>
                <w:sz w:val="20"/>
                <w:szCs w:val="20"/>
              </w:rPr>
            </w:pPr>
            <w:r w:rsidRPr="00446B3D">
              <w:rPr>
                <w:sz w:val="20"/>
                <w:szCs w:val="20"/>
              </w:rPr>
              <w:t>-</w:t>
            </w:r>
          </w:p>
        </w:tc>
        <w:tc>
          <w:tcPr>
            <w:tcW w:w="688" w:type="pct"/>
          </w:tcPr>
          <w:p w14:paraId="04D681F3" w14:textId="092B7E3C" w:rsidR="009F5F60" w:rsidRPr="00446B3D" w:rsidRDefault="005C2B60" w:rsidP="00446B3D">
            <w:pPr>
              <w:pStyle w:val="NoSpacing"/>
              <w:rPr>
                <w:sz w:val="20"/>
                <w:szCs w:val="20"/>
              </w:rPr>
            </w:pPr>
            <w:r w:rsidRPr="00446B3D">
              <w:rPr>
                <w:sz w:val="20"/>
                <w:szCs w:val="20"/>
              </w:rPr>
              <w:t>-</w:t>
            </w:r>
          </w:p>
        </w:tc>
        <w:tc>
          <w:tcPr>
            <w:tcW w:w="422" w:type="pct"/>
          </w:tcPr>
          <w:p w14:paraId="237E4DED" w14:textId="176009E6" w:rsidR="009F5F60" w:rsidRPr="00446B3D" w:rsidRDefault="0093091A" w:rsidP="00446B3D">
            <w:pPr>
              <w:pStyle w:val="NoSpacing"/>
              <w:rPr>
                <w:sz w:val="20"/>
                <w:szCs w:val="20"/>
              </w:rPr>
            </w:pPr>
            <w:r w:rsidRPr="00446B3D">
              <w:rPr>
                <w:sz w:val="20"/>
                <w:szCs w:val="20"/>
              </w:rPr>
              <w:t>-</w:t>
            </w:r>
          </w:p>
        </w:tc>
      </w:tr>
      <w:tr w:rsidR="00261547" w:rsidRPr="00446B3D" w14:paraId="06D0E6E4" w14:textId="77777777" w:rsidTr="00446B3D">
        <w:tc>
          <w:tcPr>
            <w:tcW w:w="1169" w:type="pct"/>
          </w:tcPr>
          <w:p w14:paraId="69EB07AB" w14:textId="465BC555" w:rsidR="009F5F60" w:rsidRPr="00446B3D" w:rsidRDefault="00115963" w:rsidP="00446B3D">
            <w:pPr>
              <w:pStyle w:val="NoSpacing"/>
              <w:rPr>
                <w:sz w:val="20"/>
                <w:szCs w:val="20"/>
              </w:rPr>
            </w:pPr>
            <w:r w:rsidRPr="00446B3D">
              <w:rPr>
                <w:sz w:val="20"/>
                <w:szCs w:val="20"/>
              </w:rPr>
              <w:t>4 ′ -hydroxy-3′ -methoxyacetophenone</w:t>
            </w:r>
          </w:p>
        </w:tc>
        <w:tc>
          <w:tcPr>
            <w:tcW w:w="556" w:type="pct"/>
          </w:tcPr>
          <w:p w14:paraId="78921F08" w14:textId="2CD7C4B3" w:rsidR="009F5F60" w:rsidRPr="00446B3D" w:rsidRDefault="0079331B" w:rsidP="00446B3D">
            <w:pPr>
              <w:pStyle w:val="NoSpacing"/>
              <w:rPr>
                <w:sz w:val="20"/>
                <w:szCs w:val="20"/>
              </w:rPr>
            </w:pPr>
            <w:r w:rsidRPr="00446B3D">
              <w:rPr>
                <w:sz w:val="20"/>
                <w:szCs w:val="20"/>
              </w:rPr>
              <w:t>166.176</w:t>
            </w:r>
          </w:p>
        </w:tc>
        <w:tc>
          <w:tcPr>
            <w:tcW w:w="782" w:type="pct"/>
          </w:tcPr>
          <w:p w14:paraId="18BD7609" w14:textId="7C1F0BC9" w:rsidR="009F5F60" w:rsidRPr="00446B3D" w:rsidRDefault="00FA18E8" w:rsidP="00446B3D">
            <w:pPr>
              <w:pStyle w:val="NoSpacing"/>
              <w:rPr>
                <w:sz w:val="20"/>
                <w:szCs w:val="20"/>
              </w:rPr>
            </w:pPr>
            <w:r w:rsidRPr="00446B3D">
              <w:rPr>
                <w:sz w:val="20"/>
                <w:szCs w:val="20"/>
              </w:rPr>
              <w:t>-</w:t>
            </w:r>
          </w:p>
        </w:tc>
        <w:tc>
          <w:tcPr>
            <w:tcW w:w="694" w:type="pct"/>
          </w:tcPr>
          <w:p w14:paraId="37660220" w14:textId="54D2C101" w:rsidR="009F5F60" w:rsidRPr="00446B3D" w:rsidRDefault="00C737C8" w:rsidP="00446B3D">
            <w:pPr>
              <w:pStyle w:val="NoSpacing"/>
              <w:rPr>
                <w:sz w:val="20"/>
                <w:szCs w:val="20"/>
              </w:rPr>
            </w:pPr>
            <w:r w:rsidRPr="00446B3D">
              <w:rPr>
                <w:sz w:val="20"/>
                <w:szCs w:val="20"/>
              </w:rPr>
              <w:t>0.33 ± 0.19</w:t>
            </w:r>
          </w:p>
        </w:tc>
        <w:tc>
          <w:tcPr>
            <w:tcW w:w="688" w:type="pct"/>
          </w:tcPr>
          <w:p w14:paraId="5F6C4AB5" w14:textId="3EA1502D" w:rsidR="009F5F60" w:rsidRPr="00446B3D" w:rsidRDefault="006544B7" w:rsidP="00446B3D">
            <w:pPr>
              <w:pStyle w:val="NoSpacing"/>
              <w:rPr>
                <w:sz w:val="20"/>
                <w:szCs w:val="20"/>
              </w:rPr>
            </w:pPr>
            <w:r w:rsidRPr="00446B3D">
              <w:rPr>
                <w:sz w:val="20"/>
                <w:szCs w:val="20"/>
              </w:rPr>
              <w:t>-</w:t>
            </w:r>
          </w:p>
        </w:tc>
        <w:tc>
          <w:tcPr>
            <w:tcW w:w="688" w:type="pct"/>
          </w:tcPr>
          <w:p w14:paraId="587AEDB9" w14:textId="6496874E" w:rsidR="009F5F60" w:rsidRPr="00446B3D" w:rsidRDefault="005C2B60" w:rsidP="00446B3D">
            <w:pPr>
              <w:pStyle w:val="NoSpacing"/>
              <w:rPr>
                <w:sz w:val="20"/>
                <w:szCs w:val="20"/>
              </w:rPr>
            </w:pPr>
            <w:r w:rsidRPr="00446B3D">
              <w:rPr>
                <w:sz w:val="20"/>
                <w:szCs w:val="20"/>
              </w:rPr>
              <w:t>-</w:t>
            </w:r>
          </w:p>
        </w:tc>
        <w:tc>
          <w:tcPr>
            <w:tcW w:w="422" w:type="pct"/>
          </w:tcPr>
          <w:p w14:paraId="39016D75" w14:textId="5A6884DC" w:rsidR="009F5F60" w:rsidRPr="00446B3D" w:rsidRDefault="0093091A" w:rsidP="00446B3D">
            <w:pPr>
              <w:pStyle w:val="NoSpacing"/>
              <w:rPr>
                <w:sz w:val="20"/>
                <w:szCs w:val="20"/>
              </w:rPr>
            </w:pPr>
            <w:r w:rsidRPr="00446B3D">
              <w:rPr>
                <w:sz w:val="20"/>
                <w:szCs w:val="20"/>
              </w:rPr>
              <w:t>-</w:t>
            </w:r>
          </w:p>
        </w:tc>
      </w:tr>
      <w:tr w:rsidR="00261547" w:rsidRPr="00446B3D" w14:paraId="1F0AF0D2" w14:textId="77777777" w:rsidTr="00446B3D">
        <w:tc>
          <w:tcPr>
            <w:tcW w:w="1169" w:type="pct"/>
          </w:tcPr>
          <w:p w14:paraId="4CA69D00" w14:textId="4AE4B03A" w:rsidR="009F5F60" w:rsidRPr="00446B3D" w:rsidRDefault="000569F9" w:rsidP="00446B3D">
            <w:pPr>
              <w:pStyle w:val="NoSpacing"/>
              <w:rPr>
                <w:sz w:val="20"/>
                <w:szCs w:val="20"/>
              </w:rPr>
            </w:pPr>
            <w:r w:rsidRPr="00446B3D">
              <w:rPr>
                <w:sz w:val="20"/>
                <w:szCs w:val="20"/>
              </w:rPr>
              <w:t>2-methoxy-4-propylphenol</w:t>
            </w:r>
          </w:p>
        </w:tc>
        <w:tc>
          <w:tcPr>
            <w:tcW w:w="556" w:type="pct"/>
          </w:tcPr>
          <w:p w14:paraId="2EE1D91A" w14:textId="6B58C29E" w:rsidR="009F5F60" w:rsidRPr="00446B3D" w:rsidRDefault="0079331B" w:rsidP="00446B3D">
            <w:pPr>
              <w:pStyle w:val="NoSpacing"/>
              <w:rPr>
                <w:sz w:val="20"/>
                <w:szCs w:val="20"/>
              </w:rPr>
            </w:pPr>
            <w:r w:rsidRPr="00446B3D">
              <w:rPr>
                <w:sz w:val="20"/>
                <w:szCs w:val="20"/>
              </w:rPr>
              <w:t>166.22</w:t>
            </w:r>
          </w:p>
        </w:tc>
        <w:tc>
          <w:tcPr>
            <w:tcW w:w="782" w:type="pct"/>
          </w:tcPr>
          <w:p w14:paraId="29527497" w14:textId="4E140C63" w:rsidR="009F5F60" w:rsidRPr="00446B3D" w:rsidRDefault="00FA18E8" w:rsidP="00446B3D">
            <w:pPr>
              <w:pStyle w:val="NoSpacing"/>
              <w:rPr>
                <w:sz w:val="20"/>
                <w:szCs w:val="20"/>
              </w:rPr>
            </w:pPr>
            <w:r w:rsidRPr="00446B3D">
              <w:rPr>
                <w:sz w:val="20"/>
                <w:szCs w:val="20"/>
              </w:rPr>
              <w:t>-</w:t>
            </w:r>
          </w:p>
        </w:tc>
        <w:tc>
          <w:tcPr>
            <w:tcW w:w="694" w:type="pct"/>
          </w:tcPr>
          <w:p w14:paraId="5B4F9CE5" w14:textId="40DFE9DD" w:rsidR="009F5F60" w:rsidRPr="00446B3D" w:rsidRDefault="00C737C8" w:rsidP="00446B3D">
            <w:pPr>
              <w:pStyle w:val="NoSpacing"/>
              <w:rPr>
                <w:sz w:val="20"/>
                <w:szCs w:val="20"/>
              </w:rPr>
            </w:pPr>
            <w:r w:rsidRPr="00446B3D">
              <w:rPr>
                <w:sz w:val="20"/>
                <w:szCs w:val="20"/>
              </w:rPr>
              <w:t>0.11 ± 0.06</w:t>
            </w:r>
          </w:p>
        </w:tc>
        <w:tc>
          <w:tcPr>
            <w:tcW w:w="688" w:type="pct"/>
          </w:tcPr>
          <w:p w14:paraId="1842E771" w14:textId="4D8D9441" w:rsidR="009F5F60" w:rsidRPr="00446B3D" w:rsidRDefault="006544B7" w:rsidP="00446B3D">
            <w:pPr>
              <w:pStyle w:val="NoSpacing"/>
              <w:rPr>
                <w:sz w:val="20"/>
                <w:szCs w:val="20"/>
              </w:rPr>
            </w:pPr>
            <w:r w:rsidRPr="00446B3D">
              <w:rPr>
                <w:sz w:val="20"/>
                <w:szCs w:val="20"/>
              </w:rPr>
              <w:t>-</w:t>
            </w:r>
          </w:p>
        </w:tc>
        <w:tc>
          <w:tcPr>
            <w:tcW w:w="688" w:type="pct"/>
          </w:tcPr>
          <w:p w14:paraId="59B5A341" w14:textId="7DD1AE6C" w:rsidR="009F5F60" w:rsidRPr="00446B3D" w:rsidRDefault="005C2B60" w:rsidP="00446B3D">
            <w:pPr>
              <w:pStyle w:val="NoSpacing"/>
              <w:rPr>
                <w:sz w:val="20"/>
                <w:szCs w:val="20"/>
              </w:rPr>
            </w:pPr>
            <w:r w:rsidRPr="00446B3D">
              <w:rPr>
                <w:sz w:val="20"/>
                <w:szCs w:val="20"/>
              </w:rPr>
              <w:t>-</w:t>
            </w:r>
          </w:p>
        </w:tc>
        <w:tc>
          <w:tcPr>
            <w:tcW w:w="422" w:type="pct"/>
          </w:tcPr>
          <w:p w14:paraId="173673F3" w14:textId="76BDD09F" w:rsidR="009F5F60" w:rsidRPr="00446B3D" w:rsidRDefault="0093091A" w:rsidP="00446B3D">
            <w:pPr>
              <w:pStyle w:val="NoSpacing"/>
              <w:rPr>
                <w:sz w:val="20"/>
                <w:szCs w:val="20"/>
              </w:rPr>
            </w:pPr>
            <w:r w:rsidRPr="00446B3D">
              <w:rPr>
                <w:sz w:val="20"/>
                <w:szCs w:val="20"/>
              </w:rPr>
              <w:t>-</w:t>
            </w:r>
          </w:p>
        </w:tc>
      </w:tr>
      <w:tr w:rsidR="00261547" w:rsidRPr="00446B3D" w14:paraId="0B8C3DCF" w14:textId="77777777" w:rsidTr="00446B3D">
        <w:tc>
          <w:tcPr>
            <w:tcW w:w="1169" w:type="pct"/>
          </w:tcPr>
          <w:p w14:paraId="3C0FAE6F" w14:textId="5ED78F33" w:rsidR="009F5F60" w:rsidRPr="00446B3D" w:rsidRDefault="00456E3D" w:rsidP="00446B3D">
            <w:pPr>
              <w:pStyle w:val="NoSpacing"/>
              <w:rPr>
                <w:sz w:val="20"/>
                <w:szCs w:val="20"/>
              </w:rPr>
            </w:pPr>
            <w:r w:rsidRPr="00446B3D">
              <w:rPr>
                <w:sz w:val="20"/>
                <w:szCs w:val="20"/>
              </w:rPr>
              <w:t>1,2,3-trimethoxybenzene</w:t>
            </w:r>
          </w:p>
        </w:tc>
        <w:tc>
          <w:tcPr>
            <w:tcW w:w="556" w:type="pct"/>
          </w:tcPr>
          <w:p w14:paraId="40A3BF47" w14:textId="40950D45" w:rsidR="009F5F60" w:rsidRPr="00446B3D" w:rsidRDefault="009E36A9" w:rsidP="00446B3D">
            <w:pPr>
              <w:pStyle w:val="NoSpacing"/>
              <w:rPr>
                <w:sz w:val="20"/>
                <w:szCs w:val="20"/>
              </w:rPr>
            </w:pPr>
            <w:r w:rsidRPr="00446B3D">
              <w:rPr>
                <w:sz w:val="20"/>
                <w:szCs w:val="20"/>
              </w:rPr>
              <w:t>168.192</w:t>
            </w:r>
          </w:p>
        </w:tc>
        <w:tc>
          <w:tcPr>
            <w:tcW w:w="782" w:type="pct"/>
          </w:tcPr>
          <w:p w14:paraId="64EDD04C" w14:textId="722C213B" w:rsidR="009F5F60" w:rsidRPr="00446B3D" w:rsidRDefault="00FA18E8" w:rsidP="00446B3D">
            <w:pPr>
              <w:pStyle w:val="NoSpacing"/>
              <w:rPr>
                <w:sz w:val="20"/>
                <w:szCs w:val="20"/>
              </w:rPr>
            </w:pPr>
            <w:r w:rsidRPr="00446B3D">
              <w:rPr>
                <w:sz w:val="20"/>
                <w:szCs w:val="20"/>
              </w:rPr>
              <w:t>-</w:t>
            </w:r>
          </w:p>
        </w:tc>
        <w:tc>
          <w:tcPr>
            <w:tcW w:w="694" w:type="pct"/>
          </w:tcPr>
          <w:p w14:paraId="125CD4B8" w14:textId="49991060" w:rsidR="009F5F60" w:rsidRPr="00446B3D" w:rsidRDefault="00F26A33" w:rsidP="00446B3D">
            <w:pPr>
              <w:pStyle w:val="NoSpacing"/>
              <w:rPr>
                <w:sz w:val="20"/>
                <w:szCs w:val="20"/>
              </w:rPr>
            </w:pPr>
            <w:r w:rsidRPr="00446B3D">
              <w:rPr>
                <w:sz w:val="20"/>
                <w:szCs w:val="20"/>
              </w:rPr>
              <w:t>0.15 ± 0.09</w:t>
            </w:r>
          </w:p>
        </w:tc>
        <w:tc>
          <w:tcPr>
            <w:tcW w:w="688" w:type="pct"/>
          </w:tcPr>
          <w:p w14:paraId="0E5959E8" w14:textId="4B7D6D82" w:rsidR="009F5F60" w:rsidRPr="00446B3D" w:rsidRDefault="006544B7" w:rsidP="00446B3D">
            <w:pPr>
              <w:pStyle w:val="NoSpacing"/>
              <w:rPr>
                <w:sz w:val="20"/>
                <w:szCs w:val="20"/>
              </w:rPr>
            </w:pPr>
            <w:r w:rsidRPr="00446B3D">
              <w:rPr>
                <w:sz w:val="20"/>
                <w:szCs w:val="20"/>
              </w:rPr>
              <w:t>-</w:t>
            </w:r>
          </w:p>
        </w:tc>
        <w:tc>
          <w:tcPr>
            <w:tcW w:w="688" w:type="pct"/>
          </w:tcPr>
          <w:p w14:paraId="14DAE290" w14:textId="701D656F" w:rsidR="009F5F60" w:rsidRPr="00446B3D" w:rsidRDefault="005C2B60" w:rsidP="00446B3D">
            <w:pPr>
              <w:pStyle w:val="NoSpacing"/>
              <w:rPr>
                <w:sz w:val="20"/>
                <w:szCs w:val="20"/>
              </w:rPr>
            </w:pPr>
            <w:r w:rsidRPr="00446B3D">
              <w:rPr>
                <w:sz w:val="20"/>
                <w:szCs w:val="20"/>
              </w:rPr>
              <w:t>-</w:t>
            </w:r>
          </w:p>
        </w:tc>
        <w:tc>
          <w:tcPr>
            <w:tcW w:w="422" w:type="pct"/>
          </w:tcPr>
          <w:p w14:paraId="01C55CF8" w14:textId="6AF968C2" w:rsidR="009F5F60" w:rsidRPr="00446B3D" w:rsidRDefault="0093091A" w:rsidP="00446B3D">
            <w:pPr>
              <w:pStyle w:val="NoSpacing"/>
              <w:rPr>
                <w:sz w:val="20"/>
                <w:szCs w:val="20"/>
              </w:rPr>
            </w:pPr>
            <w:r w:rsidRPr="00446B3D">
              <w:rPr>
                <w:sz w:val="20"/>
                <w:szCs w:val="20"/>
              </w:rPr>
              <w:t>-</w:t>
            </w:r>
          </w:p>
        </w:tc>
      </w:tr>
      <w:tr w:rsidR="00261547" w:rsidRPr="00446B3D" w14:paraId="160A40AB" w14:textId="77777777" w:rsidTr="00446B3D">
        <w:tc>
          <w:tcPr>
            <w:tcW w:w="1169" w:type="pct"/>
          </w:tcPr>
          <w:p w14:paraId="6B4B9931" w14:textId="0FAA879B" w:rsidR="009F5F60" w:rsidRPr="00446B3D" w:rsidRDefault="00D056DC" w:rsidP="00446B3D">
            <w:pPr>
              <w:pStyle w:val="NoSpacing"/>
              <w:rPr>
                <w:sz w:val="20"/>
                <w:szCs w:val="20"/>
              </w:rPr>
            </w:pPr>
            <w:r w:rsidRPr="00446B3D">
              <w:rPr>
                <w:sz w:val="20"/>
                <w:szCs w:val="20"/>
              </w:rPr>
              <w:t>2 ′ ,4′ -dimethoxyacetophenone</w:t>
            </w:r>
          </w:p>
        </w:tc>
        <w:tc>
          <w:tcPr>
            <w:tcW w:w="556" w:type="pct"/>
          </w:tcPr>
          <w:p w14:paraId="4E40E0B7" w14:textId="4FA7A95A" w:rsidR="009F5F60" w:rsidRPr="00446B3D" w:rsidRDefault="009E36A9" w:rsidP="00446B3D">
            <w:pPr>
              <w:pStyle w:val="NoSpacing"/>
              <w:rPr>
                <w:sz w:val="20"/>
                <w:szCs w:val="20"/>
              </w:rPr>
            </w:pPr>
            <w:r w:rsidRPr="00446B3D">
              <w:rPr>
                <w:sz w:val="20"/>
                <w:szCs w:val="20"/>
              </w:rPr>
              <w:t>180.203</w:t>
            </w:r>
          </w:p>
        </w:tc>
        <w:tc>
          <w:tcPr>
            <w:tcW w:w="782" w:type="pct"/>
          </w:tcPr>
          <w:p w14:paraId="29F9A652" w14:textId="1F10E9F6" w:rsidR="009F5F60" w:rsidRPr="00446B3D" w:rsidRDefault="004D277A" w:rsidP="00446B3D">
            <w:pPr>
              <w:pStyle w:val="NoSpacing"/>
              <w:rPr>
                <w:sz w:val="20"/>
                <w:szCs w:val="20"/>
              </w:rPr>
            </w:pPr>
            <w:r w:rsidRPr="00446B3D">
              <w:rPr>
                <w:sz w:val="20"/>
                <w:szCs w:val="20"/>
              </w:rPr>
              <w:t>-</w:t>
            </w:r>
          </w:p>
        </w:tc>
        <w:tc>
          <w:tcPr>
            <w:tcW w:w="694" w:type="pct"/>
          </w:tcPr>
          <w:p w14:paraId="696E6975" w14:textId="1F21BE69" w:rsidR="009F5F60" w:rsidRPr="00446B3D" w:rsidRDefault="00F26A33" w:rsidP="00446B3D">
            <w:pPr>
              <w:pStyle w:val="NoSpacing"/>
              <w:rPr>
                <w:sz w:val="20"/>
                <w:szCs w:val="20"/>
              </w:rPr>
            </w:pPr>
            <w:r w:rsidRPr="00446B3D">
              <w:rPr>
                <w:sz w:val="20"/>
                <w:szCs w:val="20"/>
              </w:rPr>
              <w:t>0.02 ± 0.01</w:t>
            </w:r>
          </w:p>
        </w:tc>
        <w:tc>
          <w:tcPr>
            <w:tcW w:w="688" w:type="pct"/>
          </w:tcPr>
          <w:p w14:paraId="4BD0AD42" w14:textId="25DF03A6" w:rsidR="009F5F60" w:rsidRPr="00446B3D" w:rsidRDefault="006544B7" w:rsidP="00446B3D">
            <w:pPr>
              <w:pStyle w:val="NoSpacing"/>
              <w:rPr>
                <w:sz w:val="20"/>
                <w:szCs w:val="20"/>
              </w:rPr>
            </w:pPr>
            <w:r w:rsidRPr="00446B3D">
              <w:rPr>
                <w:sz w:val="20"/>
                <w:szCs w:val="20"/>
              </w:rPr>
              <w:t>-</w:t>
            </w:r>
          </w:p>
        </w:tc>
        <w:tc>
          <w:tcPr>
            <w:tcW w:w="688" w:type="pct"/>
          </w:tcPr>
          <w:p w14:paraId="1F938B34" w14:textId="32C94B6F" w:rsidR="009F5F60" w:rsidRPr="00446B3D" w:rsidRDefault="005C2B60" w:rsidP="00446B3D">
            <w:pPr>
              <w:pStyle w:val="NoSpacing"/>
              <w:rPr>
                <w:sz w:val="20"/>
                <w:szCs w:val="20"/>
              </w:rPr>
            </w:pPr>
            <w:r w:rsidRPr="00446B3D">
              <w:rPr>
                <w:sz w:val="20"/>
                <w:szCs w:val="20"/>
              </w:rPr>
              <w:t>-</w:t>
            </w:r>
          </w:p>
        </w:tc>
        <w:tc>
          <w:tcPr>
            <w:tcW w:w="422" w:type="pct"/>
          </w:tcPr>
          <w:p w14:paraId="1E2BEC05" w14:textId="7D34C432" w:rsidR="009F5F60" w:rsidRPr="00446B3D" w:rsidRDefault="0093091A" w:rsidP="00446B3D">
            <w:pPr>
              <w:pStyle w:val="NoSpacing"/>
              <w:rPr>
                <w:sz w:val="20"/>
                <w:szCs w:val="20"/>
              </w:rPr>
            </w:pPr>
            <w:r w:rsidRPr="00446B3D">
              <w:rPr>
                <w:sz w:val="20"/>
                <w:szCs w:val="20"/>
              </w:rPr>
              <w:t>-</w:t>
            </w:r>
          </w:p>
        </w:tc>
      </w:tr>
      <w:tr w:rsidR="00261547" w:rsidRPr="00446B3D" w14:paraId="4ABA9324" w14:textId="77777777" w:rsidTr="00446B3D">
        <w:tc>
          <w:tcPr>
            <w:tcW w:w="1169" w:type="pct"/>
          </w:tcPr>
          <w:p w14:paraId="524051D9" w14:textId="7A137476" w:rsidR="009F5F60" w:rsidRPr="00446B3D" w:rsidRDefault="00BA117C" w:rsidP="00446B3D">
            <w:pPr>
              <w:pStyle w:val="NoSpacing"/>
              <w:rPr>
                <w:sz w:val="20"/>
                <w:szCs w:val="20"/>
              </w:rPr>
            </w:pPr>
            <w:r w:rsidRPr="00446B3D">
              <w:rPr>
                <w:sz w:val="20"/>
                <w:szCs w:val="20"/>
              </w:rPr>
              <w:t>3,5-dimethoxy-4- hydroxybenzaldehyde</w:t>
            </w:r>
          </w:p>
        </w:tc>
        <w:tc>
          <w:tcPr>
            <w:tcW w:w="556" w:type="pct"/>
          </w:tcPr>
          <w:p w14:paraId="0890DF3B" w14:textId="2297EB9A" w:rsidR="009F5F60" w:rsidRPr="00446B3D" w:rsidRDefault="000D3993" w:rsidP="00446B3D">
            <w:pPr>
              <w:pStyle w:val="NoSpacing"/>
              <w:rPr>
                <w:sz w:val="20"/>
                <w:szCs w:val="20"/>
              </w:rPr>
            </w:pPr>
            <w:r w:rsidRPr="00446B3D">
              <w:rPr>
                <w:sz w:val="20"/>
                <w:szCs w:val="20"/>
              </w:rPr>
              <w:t>182.17</w:t>
            </w:r>
          </w:p>
        </w:tc>
        <w:tc>
          <w:tcPr>
            <w:tcW w:w="782" w:type="pct"/>
          </w:tcPr>
          <w:p w14:paraId="38D09567" w14:textId="66EC3B89" w:rsidR="009F5F60" w:rsidRPr="00446B3D" w:rsidRDefault="004D277A" w:rsidP="00446B3D">
            <w:pPr>
              <w:pStyle w:val="NoSpacing"/>
              <w:rPr>
                <w:sz w:val="20"/>
                <w:szCs w:val="20"/>
              </w:rPr>
            </w:pPr>
            <w:r w:rsidRPr="00446B3D">
              <w:rPr>
                <w:sz w:val="20"/>
                <w:szCs w:val="20"/>
              </w:rPr>
              <w:t>-</w:t>
            </w:r>
          </w:p>
        </w:tc>
        <w:tc>
          <w:tcPr>
            <w:tcW w:w="694" w:type="pct"/>
          </w:tcPr>
          <w:p w14:paraId="35006863" w14:textId="6D253FD2" w:rsidR="009F5F60" w:rsidRPr="00446B3D" w:rsidRDefault="00004B91" w:rsidP="00446B3D">
            <w:pPr>
              <w:pStyle w:val="NoSpacing"/>
              <w:rPr>
                <w:sz w:val="20"/>
                <w:szCs w:val="20"/>
              </w:rPr>
            </w:pPr>
            <w:r w:rsidRPr="00446B3D">
              <w:rPr>
                <w:sz w:val="20"/>
                <w:szCs w:val="20"/>
              </w:rPr>
              <w:t>0.43 ± 0.25</w:t>
            </w:r>
          </w:p>
        </w:tc>
        <w:tc>
          <w:tcPr>
            <w:tcW w:w="688" w:type="pct"/>
          </w:tcPr>
          <w:p w14:paraId="6BB15AE1" w14:textId="257285B1" w:rsidR="009F5F60" w:rsidRPr="00446B3D" w:rsidRDefault="006114B2" w:rsidP="00446B3D">
            <w:pPr>
              <w:pStyle w:val="NoSpacing"/>
              <w:rPr>
                <w:sz w:val="20"/>
                <w:szCs w:val="20"/>
              </w:rPr>
            </w:pPr>
            <w:r w:rsidRPr="00446B3D">
              <w:rPr>
                <w:sz w:val="20"/>
                <w:szCs w:val="20"/>
              </w:rPr>
              <w:t>-</w:t>
            </w:r>
          </w:p>
        </w:tc>
        <w:tc>
          <w:tcPr>
            <w:tcW w:w="688" w:type="pct"/>
          </w:tcPr>
          <w:p w14:paraId="0DF85D6E" w14:textId="6F5FC1C1" w:rsidR="009F5F60" w:rsidRPr="00446B3D" w:rsidRDefault="005C2B60" w:rsidP="00446B3D">
            <w:pPr>
              <w:pStyle w:val="NoSpacing"/>
              <w:rPr>
                <w:sz w:val="20"/>
                <w:szCs w:val="20"/>
              </w:rPr>
            </w:pPr>
            <w:r w:rsidRPr="00446B3D">
              <w:rPr>
                <w:sz w:val="20"/>
                <w:szCs w:val="20"/>
              </w:rPr>
              <w:t>-</w:t>
            </w:r>
          </w:p>
        </w:tc>
        <w:tc>
          <w:tcPr>
            <w:tcW w:w="422" w:type="pct"/>
          </w:tcPr>
          <w:p w14:paraId="225FA7F1" w14:textId="0886397F" w:rsidR="009F5F60" w:rsidRPr="00446B3D" w:rsidRDefault="0052464F" w:rsidP="00446B3D">
            <w:pPr>
              <w:pStyle w:val="NoSpacing"/>
              <w:rPr>
                <w:sz w:val="20"/>
                <w:szCs w:val="20"/>
              </w:rPr>
            </w:pPr>
            <w:r w:rsidRPr="00446B3D">
              <w:rPr>
                <w:sz w:val="20"/>
                <w:szCs w:val="20"/>
              </w:rPr>
              <w:t>-</w:t>
            </w:r>
          </w:p>
        </w:tc>
      </w:tr>
      <w:tr w:rsidR="00261547" w:rsidRPr="00446B3D" w14:paraId="3FE4B4AD" w14:textId="77777777" w:rsidTr="00446B3D">
        <w:tc>
          <w:tcPr>
            <w:tcW w:w="1169" w:type="pct"/>
          </w:tcPr>
          <w:p w14:paraId="5E1E3EA4" w14:textId="1A16054A" w:rsidR="009F5F60" w:rsidRPr="00446B3D" w:rsidRDefault="00726B41" w:rsidP="00446B3D">
            <w:pPr>
              <w:pStyle w:val="NoSpacing"/>
              <w:rPr>
                <w:sz w:val="20"/>
                <w:szCs w:val="20"/>
              </w:rPr>
            </w:pPr>
            <w:r w:rsidRPr="00446B3D">
              <w:rPr>
                <w:sz w:val="20"/>
                <w:szCs w:val="20"/>
              </w:rPr>
              <w:t>3 ′ ,5′ -dimethoxy-4’- hydroxyacetophenone</w:t>
            </w:r>
          </w:p>
        </w:tc>
        <w:tc>
          <w:tcPr>
            <w:tcW w:w="556" w:type="pct"/>
          </w:tcPr>
          <w:p w14:paraId="49561429" w14:textId="4BA7F47D" w:rsidR="009F5F60" w:rsidRPr="00446B3D" w:rsidRDefault="000D3993" w:rsidP="00446B3D">
            <w:pPr>
              <w:pStyle w:val="NoSpacing"/>
              <w:rPr>
                <w:sz w:val="20"/>
                <w:szCs w:val="20"/>
              </w:rPr>
            </w:pPr>
            <w:r w:rsidRPr="00446B3D">
              <w:rPr>
                <w:sz w:val="20"/>
                <w:szCs w:val="20"/>
              </w:rPr>
              <w:t>196.202</w:t>
            </w:r>
          </w:p>
        </w:tc>
        <w:tc>
          <w:tcPr>
            <w:tcW w:w="782" w:type="pct"/>
          </w:tcPr>
          <w:p w14:paraId="06504908" w14:textId="0FB4E751" w:rsidR="009F5F60" w:rsidRPr="00446B3D" w:rsidRDefault="004D277A" w:rsidP="00446B3D">
            <w:pPr>
              <w:pStyle w:val="NoSpacing"/>
              <w:rPr>
                <w:sz w:val="20"/>
                <w:szCs w:val="20"/>
              </w:rPr>
            </w:pPr>
            <w:r w:rsidRPr="00446B3D">
              <w:rPr>
                <w:sz w:val="20"/>
                <w:szCs w:val="20"/>
              </w:rPr>
              <w:t>-</w:t>
            </w:r>
          </w:p>
        </w:tc>
        <w:tc>
          <w:tcPr>
            <w:tcW w:w="694" w:type="pct"/>
          </w:tcPr>
          <w:p w14:paraId="510E6D1B" w14:textId="082722D3" w:rsidR="009F5F60" w:rsidRPr="00446B3D" w:rsidRDefault="00004B91" w:rsidP="00446B3D">
            <w:pPr>
              <w:pStyle w:val="NoSpacing"/>
              <w:rPr>
                <w:sz w:val="20"/>
                <w:szCs w:val="20"/>
              </w:rPr>
            </w:pPr>
            <w:r w:rsidRPr="00446B3D">
              <w:rPr>
                <w:sz w:val="20"/>
                <w:szCs w:val="20"/>
              </w:rPr>
              <w:t>0.54 ± 0.31</w:t>
            </w:r>
          </w:p>
        </w:tc>
        <w:tc>
          <w:tcPr>
            <w:tcW w:w="688" w:type="pct"/>
          </w:tcPr>
          <w:p w14:paraId="317C7D4D" w14:textId="66F8E180" w:rsidR="009F5F60" w:rsidRPr="00446B3D" w:rsidRDefault="00ED6C27" w:rsidP="00446B3D">
            <w:pPr>
              <w:pStyle w:val="NoSpacing"/>
              <w:rPr>
                <w:sz w:val="20"/>
                <w:szCs w:val="20"/>
              </w:rPr>
            </w:pPr>
            <w:r w:rsidRPr="00446B3D">
              <w:rPr>
                <w:sz w:val="20"/>
                <w:szCs w:val="20"/>
              </w:rPr>
              <w:t>-</w:t>
            </w:r>
          </w:p>
        </w:tc>
        <w:tc>
          <w:tcPr>
            <w:tcW w:w="688" w:type="pct"/>
          </w:tcPr>
          <w:p w14:paraId="0FDFBA4F" w14:textId="4799008D" w:rsidR="009F5F60" w:rsidRPr="00446B3D" w:rsidRDefault="005C2B60" w:rsidP="00446B3D">
            <w:pPr>
              <w:pStyle w:val="NoSpacing"/>
              <w:rPr>
                <w:sz w:val="20"/>
                <w:szCs w:val="20"/>
              </w:rPr>
            </w:pPr>
            <w:r w:rsidRPr="00446B3D">
              <w:rPr>
                <w:sz w:val="20"/>
                <w:szCs w:val="20"/>
              </w:rPr>
              <w:t>-</w:t>
            </w:r>
          </w:p>
        </w:tc>
        <w:tc>
          <w:tcPr>
            <w:tcW w:w="422" w:type="pct"/>
          </w:tcPr>
          <w:p w14:paraId="72ABB251" w14:textId="20586946" w:rsidR="009F5F60" w:rsidRPr="00446B3D" w:rsidRDefault="0052464F" w:rsidP="00446B3D">
            <w:pPr>
              <w:pStyle w:val="NoSpacing"/>
              <w:rPr>
                <w:sz w:val="20"/>
                <w:szCs w:val="20"/>
              </w:rPr>
            </w:pPr>
            <w:r w:rsidRPr="00446B3D">
              <w:rPr>
                <w:sz w:val="20"/>
                <w:szCs w:val="20"/>
              </w:rPr>
              <w:t>-</w:t>
            </w:r>
          </w:p>
        </w:tc>
      </w:tr>
      <w:tr w:rsidR="00261547" w:rsidRPr="00446B3D" w14:paraId="0AD6DF70" w14:textId="77777777" w:rsidTr="00446B3D">
        <w:tc>
          <w:tcPr>
            <w:tcW w:w="1169" w:type="pct"/>
          </w:tcPr>
          <w:p w14:paraId="036E50D7" w14:textId="66C141F7" w:rsidR="009F5F60" w:rsidRPr="00446B3D" w:rsidRDefault="00392769" w:rsidP="00446B3D">
            <w:pPr>
              <w:pStyle w:val="NoSpacing"/>
              <w:rPr>
                <w:sz w:val="20"/>
                <w:szCs w:val="20"/>
              </w:rPr>
            </w:pPr>
            <w:r w:rsidRPr="00446B3D">
              <w:rPr>
                <w:sz w:val="20"/>
                <w:szCs w:val="20"/>
              </w:rPr>
              <w:t>Total of known compounds</w:t>
            </w:r>
          </w:p>
        </w:tc>
        <w:tc>
          <w:tcPr>
            <w:tcW w:w="556" w:type="pct"/>
          </w:tcPr>
          <w:p w14:paraId="3A1FEFD1" w14:textId="70728C57" w:rsidR="009F5F60" w:rsidRPr="00446B3D" w:rsidRDefault="00ED68D1" w:rsidP="00446B3D">
            <w:pPr>
              <w:pStyle w:val="NoSpacing"/>
              <w:rPr>
                <w:sz w:val="20"/>
                <w:szCs w:val="20"/>
              </w:rPr>
            </w:pPr>
            <w:r w:rsidRPr="00446B3D">
              <w:rPr>
                <w:sz w:val="20"/>
                <w:szCs w:val="20"/>
              </w:rPr>
              <w:t>-</w:t>
            </w:r>
          </w:p>
        </w:tc>
        <w:tc>
          <w:tcPr>
            <w:tcW w:w="782" w:type="pct"/>
          </w:tcPr>
          <w:p w14:paraId="7640091A" w14:textId="0F0ED9EF" w:rsidR="009F5F60" w:rsidRPr="00446B3D" w:rsidRDefault="003D4DC1" w:rsidP="00446B3D">
            <w:pPr>
              <w:pStyle w:val="NoSpacing"/>
              <w:rPr>
                <w:sz w:val="20"/>
                <w:szCs w:val="20"/>
              </w:rPr>
            </w:pPr>
            <w:r w:rsidRPr="00446B3D">
              <w:rPr>
                <w:sz w:val="20"/>
                <w:szCs w:val="20"/>
              </w:rPr>
              <w:t>57 ± 6</w:t>
            </w:r>
          </w:p>
        </w:tc>
        <w:tc>
          <w:tcPr>
            <w:tcW w:w="694" w:type="pct"/>
          </w:tcPr>
          <w:p w14:paraId="11AA2508" w14:textId="566CC2FD" w:rsidR="009F5F60" w:rsidRPr="00446B3D" w:rsidRDefault="00B551CE" w:rsidP="00446B3D">
            <w:pPr>
              <w:pStyle w:val="NoSpacing"/>
              <w:rPr>
                <w:sz w:val="20"/>
                <w:szCs w:val="20"/>
              </w:rPr>
            </w:pPr>
            <w:r w:rsidRPr="00446B3D">
              <w:rPr>
                <w:sz w:val="20"/>
                <w:szCs w:val="20"/>
              </w:rPr>
              <w:t>4.96</w:t>
            </w:r>
          </w:p>
        </w:tc>
        <w:tc>
          <w:tcPr>
            <w:tcW w:w="688" w:type="pct"/>
          </w:tcPr>
          <w:p w14:paraId="475B5DAD" w14:textId="06AFEB3E" w:rsidR="009F5F60" w:rsidRPr="00446B3D" w:rsidRDefault="00ED6C27" w:rsidP="00446B3D">
            <w:pPr>
              <w:pStyle w:val="NoSpacing"/>
              <w:rPr>
                <w:sz w:val="20"/>
                <w:szCs w:val="20"/>
              </w:rPr>
            </w:pPr>
            <w:r w:rsidRPr="00446B3D">
              <w:rPr>
                <w:sz w:val="20"/>
                <w:szCs w:val="20"/>
              </w:rPr>
              <w:t>55.3</w:t>
            </w:r>
          </w:p>
        </w:tc>
        <w:tc>
          <w:tcPr>
            <w:tcW w:w="688" w:type="pct"/>
          </w:tcPr>
          <w:p w14:paraId="1725916A" w14:textId="237E34BF" w:rsidR="009F5F60" w:rsidRPr="00446B3D" w:rsidRDefault="002912BC" w:rsidP="00446B3D">
            <w:pPr>
              <w:pStyle w:val="NoSpacing"/>
              <w:rPr>
                <w:sz w:val="20"/>
                <w:szCs w:val="20"/>
              </w:rPr>
            </w:pPr>
            <w:r w:rsidRPr="00446B3D">
              <w:rPr>
                <w:sz w:val="20"/>
                <w:szCs w:val="20"/>
              </w:rPr>
              <w:t>71.6</w:t>
            </w:r>
          </w:p>
        </w:tc>
        <w:tc>
          <w:tcPr>
            <w:tcW w:w="422" w:type="pct"/>
          </w:tcPr>
          <w:p w14:paraId="43F43660" w14:textId="7ACB5561" w:rsidR="009F5F60" w:rsidRPr="00446B3D" w:rsidRDefault="0052464F" w:rsidP="00446B3D">
            <w:pPr>
              <w:pStyle w:val="NoSpacing"/>
              <w:rPr>
                <w:sz w:val="20"/>
                <w:szCs w:val="20"/>
              </w:rPr>
            </w:pPr>
            <w:r w:rsidRPr="00446B3D">
              <w:rPr>
                <w:sz w:val="20"/>
                <w:szCs w:val="20"/>
              </w:rPr>
              <w:t>-</w:t>
            </w:r>
          </w:p>
        </w:tc>
      </w:tr>
      <w:tr w:rsidR="00261547" w:rsidRPr="00446B3D" w14:paraId="5CDC70AB" w14:textId="77777777" w:rsidTr="00446B3D">
        <w:tc>
          <w:tcPr>
            <w:tcW w:w="1169" w:type="pct"/>
          </w:tcPr>
          <w:p w14:paraId="226F4777" w14:textId="657F004F" w:rsidR="009F5F60" w:rsidRPr="00446B3D" w:rsidRDefault="00563164" w:rsidP="00446B3D">
            <w:pPr>
              <w:pStyle w:val="NoSpacing"/>
              <w:rPr>
                <w:sz w:val="20"/>
                <w:szCs w:val="20"/>
              </w:rPr>
            </w:pPr>
            <w:r w:rsidRPr="00446B3D">
              <w:rPr>
                <w:sz w:val="20"/>
                <w:szCs w:val="20"/>
              </w:rPr>
              <w:t>Total of unknown compounds</w:t>
            </w:r>
          </w:p>
        </w:tc>
        <w:tc>
          <w:tcPr>
            <w:tcW w:w="556" w:type="pct"/>
          </w:tcPr>
          <w:p w14:paraId="22155C8D" w14:textId="757EDD30" w:rsidR="009F5F60" w:rsidRPr="00446B3D" w:rsidRDefault="00ED68D1" w:rsidP="00446B3D">
            <w:pPr>
              <w:pStyle w:val="NoSpacing"/>
              <w:rPr>
                <w:sz w:val="20"/>
                <w:szCs w:val="20"/>
              </w:rPr>
            </w:pPr>
            <w:r w:rsidRPr="00446B3D">
              <w:rPr>
                <w:sz w:val="20"/>
                <w:szCs w:val="20"/>
              </w:rPr>
              <w:t>-</w:t>
            </w:r>
          </w:p>
        </w:tc>
        <w:tc>
          <w:tcPr>
            <w:tcW w:w="782" w:type="pct"/>
          </w:tcPr>
          <w:p w14:paraId="288C492B" w14:textId="4804D614" w:rsidR="009F5F60" w:rsidRPr="00446B3D" w:rsidRDefault="00950CC0" w:rsidP="00446B3D">
            <w:pPr>
              <w:pStyle w:val="NoSpacing"/>
              <w:rPr>
                <w:sz w:val="20"/>
                <w:szCs w:val="20"/>
              </w:rPr>
            </w:pPr>
            <w:r w:rsidRPr="00446B3D">
              <w:rPr>
                <w:sz w:val="20"/>
                <w:szCs w:val="20"/>
              </w:rPr>
              <w:t>-</w:t>
            </w:r>
          </w:p>
        </w:tc>
        <w:tc>
          <w:tcPr>
            <w:tcW w:w="694" w:type="pct"/>
          </w:tcPr>
          <w:p w14:paraId="28DFB616" w14:textId="6C72462B" w:rsidR="009F5F60" w:rsidRPr="00446B3D" w:rsidRDefault="00B551CE" w:rsidP="00446B3D">
            <w:pPr>
              <w:pStyle w:val="NoSpacing"/>
              <w:rPr>
                <w:sz w:val="20"/>
                <w:szCs w:val="20"/>
              </w:rPr>
            </w:pPr>
            <w:r w:rsidRPr="00446B3D">
              <w:rPr>
                <w:sz w:val="20"/>
                <w:szCs w:val="20"/>
              </w:rPr>
              <w:t>-</w:t>
            </w:r>
          </w:p>
        </w:tc>
        <w:tc>
          <w:tcPr>
            <w:tcW w:w="688" w:type="pct"/>
          </w:tcPr>
          <w:p w14:paraId="29593E10" w14:textId="1A49B491" w:rsidR="009F5F60" w:rsidRPr="00446B3D" w:rsidRDefault="00B4539E" w:rsidP="00446B3D">
            <w:pPr>
              <w:pStyle w:val="NoSpacing"/>
              <w:rPr>
                <w:sz w:val="20"/>
                <w:szCs w:val="20"/>
              </w:rPr>
            </w:pPr>
            <w:r w:rsidRPr="00446B3D">
              <w:rPr>
                <w:sz w:val="20"/>
                <w:szCs w:val="20"/>
              </w:rPr>
              <w:t>44.7</w:t>
            </w:r>
          </w:p>
        </w:tc>
        <w:tc>
          <w:tcPr>
            <w:tcW w:w="688" w:type="pct"/>
          </w:tcPr>
          <w:p w14:paraId="5FAEBE02" w14:textId="3CF0BC1B" w:rsidR="009F5F60" w:rsidRPr="00446B3D" w:rsidRDefault="002912BC" w:rsidP="00446B3D">
            <w:pPr>
              <w:pStyle w:val="NoSpacing"/>
              <w:rPr>
                <w:sz w:val="20"/>
                <w:szCs w:val="20"/>
              </w:rPr>
            </w:pPr>
            <w:r w:rsidRPr="00446B3D">
              <w:rPr>
                <w:sz w:val="20"/>
                <w:szCs w:val="20"/>
              </w:rPr>
              <w:t>28.4</w:t>
            </w:r>
          </w:p>
        </w:tc>
        <w:tc>
          <w:tcPr>
            <w:tcW w:w="422" w:type="pct"/>
          </w:tcPr>
          <w:p w14:paraId="70468801" w14:textId="659757DB" w:rsidR="009F5F60" w:rsidRPr="00446B3D" w:rsidRDefault="0052464F" w:rsidP="00446B3D">
            <w:pPr>
              <w:pStyle w:val="NoSpacing"/>
              <w:rPr>
                <w:sz w:val="20"/>
                <w:szCs w:val="20"/>
              </w:rPr>
            </w:pPr>
            <w:r w:rsidRPr="00446B3D">
              <w:rPr>
                <w:sz w:val="20"/>
                <w:szCs w:val="20"/>
              </w:rPr>
              <w:t>-</w:t>
            </w:r>
          </w:p>
        </w:tc>
      </w:tr>
      <w:tr w:rsidR="00261547" w:rsidRPr="00446B3D" w14:paraId="67B17F58" w14:textId="77777777" w:rsidTr="00446B3D">
        <w:tc>
          <w:tcPr>
            <w:tcW w:w="1169" w:type="pct"/>
          </w:tcPr>
          <w:p w14:paraId="4CC56B13" w14:textId="18237378" w:rsidR="009F5F60" w:rsidRPr="00446B3D" w:rsidRDefault="00EC02AB" w:rsidP="00446B3D">
            <w:pPr>
              <w:pStyle w:val="NoSpacing"/>
              <w:rPr>
                <w:sz w:val="20"/>
                <w:szCs w:val="20"/>
              </w:rPr>
            </w:pPr>
            <w:r w:rsidRPr="00446B3D">
              <w:rPr>
                <w:sz w:val="20"/>
                <w:szCs w:val="20"/>
              </w:rPr>
              <w:t>(B) CATALYZED APL</w:t>
            </w:r>
          </w:p>
        </w:tc>
        <w:tc>
          <w:tcPr>
            <w:tcW w:w="556" w:type="pct"/>
          </w:tcPr>
          <w:p w14:paraId="4CA986BA" w14:textId="77777777" w:rsidR="009F5F60" w:rsidRPr="00446B3D" w:rsidRDefault="009F5F60" w:rsidP="00446B3D">
            <w:pPr>
              <w:pStyle w:val="NoSpacing"/>
              <w:rPr>
                <w:sz w:val="20"/>
                <w:szCs w:val="20"/>
              </w:rPr>
            </w:pPr>
          </w:p>
        </w:tc>
        <w:tc>
          <w:tcPr>
            <w:tcW w:w="782" w:type="pct"/>
          </w:tcPr>
          <w:p w14:paraId="1EA26AB5" w14:textId="77777777" w:rsidR="009F5F60" w:rsidRPr="00446B3D" w:rsidRDefault="009F5F60" w:rsidP="00446B3D">
            <w:pPr>
              <w:pStyle w:val="NoSpacing"/>
              <w:rPr>
                <w:sz w:val="20"/>
                <w:szCs w:val="20"/>
              </w:rPr>
            </w:pPr>
          </w:p>
        </w:tc>
        <w:tc>
          <w:tcPr>
            <w:tcW w:w="694" w:type="pct"/>
          </w:tcPr>
          <w:p w14:paraId="57E47320" w14:textId="77777777" w:rsidR="009F5F60" w:rsidRPr="00446B3D" w:rsidRDefault="009F5F60" w:rsidP="00446B3D">
            <w:pPr>
              <w:pStyle w:val="NoSpacing"/>
              <w:rPr>
                <w:sz w:val="20"/>
                <w:szCs w:val="20"/>
              </w:rPr>
            </w:pPr>
          </w:p>
        </w:tc>
        <w:tc>
          <w:tcPr>
            <w:tcW w:w="688" w:type="pct"/>
          </w:tcPr>
          <w:p w14:paraId="72217680" w14:textId="77777777" w:rsidR="009F5F60" w:rsidRPr="00446B3D" w:rsidRDefault="009F5F60" w:rsidP="00446B3D">
            <w:pPr>
              <w:pStyle w:val="NoSpacing"/>
              <w:rPr>
                <w:sz w:val="20"/>
                <w:szCs w:val="20"/>
              </w:rPr>
            </w:pPr>
          </w:p>
        </w:tc>
        <w:tc>
          <w:tcPr>
            <w:tcW w:w="688" w:type="pct"/>
          </w:tcPr>
          <w:p w14:paraId="08CC1194" w14:textId="1FE0DE3E" w:rsidR="009F5F60" w:rsidRPr="00446B3D" w:rsidRDefault="005C2B60" w:rsidP="00446B3D">
            <w:pPr>
              <w:pStyle w:val="NoSpacing"/>
              <w:rPr>
                <w:sz w:val="20"/>
                <w:szCs w:val="20"/>
              </w:rPr>
            </w:pPr>
            <w:r w:rsidRPr="00446B3D">
              <w:rPr>
                <w:sz w:val="20"/>
                <w:szCs w:val="20"/>
              </w:rPr>
              <w:t>-</w:t>
            </w:r>
          </w:p>
        </w:tc>
        <w:tc>
          <w:tcPr>
            <w:tcW w:w="422" w:type="pct"/>
          </w:tcPr>
          <w:p w14:paraId="0FDB35F4" w14:textId="4C8606F3" w:rsidR="009F5F60" w:rsidRPr="00446B3D" w:rsidRDefault="009F5F60" w:rsidP="00446B3D">
            <w:pPr>
              <w:pStyle w:val="NoSpacing"/>
              <w:rPr>
                <w:sz w:val="20"/>
                <w:szCs w:val="20"/>
              </w:rPr>
            </w:pPr>
          </w:p>
        </w:tc>
      </w:tr>
      <w:tr w:rsidR="00261547" w:rsidRPr="00446B3D" w14:paraId="0BB15DDA" w14:textId="77777777" w:rsidTr="00446B3D">
        <w:tc>
          <w:tcPr>
            <w:tcW w:w="1169" w:type="pct"/>
          </w:tcPr>
          <w:p w14:paraId="0740FA7D" w14:textId="51BD71F6" w:rsidR="009F5F60" w:rsidRPr="00446B3D" w:rsidRDefault="00EC02AB" w:rsidP="00446B3D">
            <w:pPr>
              <w:pStyle w:val="NoSpacing"/>
              <w:rPr>
                <w:sz w:val="20"/>
                <w:szCs w:val="20"/>
              </w:rPr>
            </w:pPr>
            <w:r w:rsidRPr="00446B3D">
              <w:rPr>
                <w:sz w:val="20"/>
                <w:szCs w:val="20"/>
              </w:rPr>
              <w:t>acetonitrile</w:t>
            </w:r>
          </w:p>
        </w:tc>
        <w:tc>
          <w:tcPr>
            <w:tcW w:w="556" w:type="pct"/>
          </w:tcPr>
          <w:p w14:paraId="62D65377" w14:textId="27C4FC43" w:rsidR="009F5F60" w:rsidRPr="00446B3D" w:rsidRDefault="008818C9" w:rsidP="00446B3D">
            <w:pPr>
              <w:pStyle w:val="NoSpacing"/>
              <w:rPr>
                <w:sz w:val="20"/>
                <w:szCs w:val="20"/>
              </w:rPr>
            </w:pPr>
            <w:r w:rsidRPr="00446B3D">
              <w:rPr>
                <w:sz w:val="20"/>
                <w:szCs w:val="20"/>
              </w:rPr>
              <w:t>41.053</w:t>
            </w:r>
          </w:p>
        </w:tc>
        <w:tc>
          <w:tcPr>
            <w:tcW w:w="782" w:type="pct"/>
          </w:tcPr>
          <w:p w14:paraId="534CF610" w14:textId="7C959647" w:rsidR="009F5F60" w:rsidRPr="00446B3D" w:rsidRDefault="00950CC0" w:rsidP="00446B3D">
            <w:pPr>
              <w:pStyle w:val="NoSpacing"/>
              <w:rPr>
                <w:sz w:val="20"/>
                <w:szCs w:val="20"/>
              </w:rPr>
            </w:pPr>
            <w:r w:rsidRPr="00446B3D">
              <w:rPr>
                <w:sz w:val="20"/>
                <w:szCs w:val="20"/>
              </w:rPr>
              <w:t>-</w:t>
            </w:r>
          </w:p>
        </w:tc>
        <w:tc>
          <w:tcPr>
            <w:tcW w:w="694" w:type="pct"/>
          </w:tcPr>
          <w:p w14:paraId="4A88AAFD" w14:textId="76FAC06D" w:rsidR="009F5F60" w:rsidRPr="00446B3D" w:rsidRDefault="00B551CE" w:rsidP="00446B3D">
            <w:pPr>
              <w:pStyle w:val="NoSpacing"/>
              <w:rPr>
                <w:sz w:val="20"/>
                <w:szCs w:val="20"/>
              </w:rPr>
            </w:pPr>
            <w:r w:rsidRPr="00446B3D">
              <w:rPr>
                <w:sz w:val="20"/>
                <w:szCs w:val="20"/>
              </w:rPr>
              <w:t>-</w:t>
            </w:r>
          </w:p>
        </w:tc>
        <w:tc>
          <w:tcPr>
            <w:tcW w:w="688" w:type="pct"/>
          </w:tcPr>
          <w:p w14:paraId="78148A51" w14:textId="44472AC9" w:rsidR="009F5F60" w:rsidRPr="00446B3D" w:rsidRDefault="00B4539E" w:rsidP="00446B3D">
            <w:pPr>
              <w:pStyle w:val="NoSpacing"/>
              <w:rPr>
                <w:sz w:val="20"/>
                <w:szCs w:val="20"/>
              </w:rPr>
            </w:pPr>
            <w:r w:rsidRPr="00446B3D">
              <w:rPr>
                <w:sz w:val="20"/>
                <w:szCs w:val="20"/>
              </w:rPr>
              <w:t>11.6</w:t>
            </w:r>
          </w:p>
        </w:tc>
        <w:tc>
          <w:tcPr>
            <w:tcW w:w="688" w:type="pct"/>
          </w:tcPr>
          <w:p w14:paraId="470B4088" w14:textId="10BAB310" w:rsidR="009F5F60" w:rsidRPr="00446B3D" w:rsidRDefault="005C2B60" w:rsidP="00446B3D">
            <w:pPr>
              <w:pStyle w:val="NoSpacing"/>
              <w:rPr>
                <w:sz w:val="20"/>
                <w:szCs w:val="20"/>
              </w:rPr>
            </w:pPr>
            <w:r w:rsidRPr="00446B3D">
              <w:rPr>
                <w:sz w:val="20"/>
                <w:szCs w:val="20"/>
              </w:rPr>
              <w:t>-</w:t>
            </w:r>
          </w:p>
        </w:tc>
        <w:tc>
          <w:tcPr>
            <w:tcW w:w="422" w:type="pct"/>
          </w:tcPr>
          <w:p w14:paraId="1F6F4B88" w14:textId="5E76E69A" w:rsidR="009F5F60" w:rsidRPr="00446B3D" w:rsidRDefault="00737C1B" w:rsidP="00446B3D">
            <w:pPr>
              <w:pStyle w:val="NoSpacing"/>
              <w:rPr>
                <w:sz w:val="20"/>
                <w:szCs w:val="20"/>
              </w:rPr>
            </w:pPr>
            <w:r w:rsidRPr="00446B3D">
              <w:rPr>
                <w:sz w:val="20"/>
                <w:szCs w:val="20"/>
              </w:rPr>
              <w:t>28,000</w:t>
            </w:r>
            <w:r w:rsidRPr="00446B3D">
              <w:rPr>
                <w:sz w:val="20"/>
                <w:szCs w:val="20"/>
                <w:vertAlign w:val="superscript"/>
              </w:rPr>
              <w:t>c</w:t>
            </w:r>
          </w:p>
        </w:tc>
      </w:tr>
      <w:tr w:rsidR="00261547" w:rsidRPr="00446B3D" w14:paraId="393046C7" w14:textId="77777777" w:rsidTr="00446B3D">
        <w:tc>
          <w:tcPr>
            <w:tcW w:w="1169" w:type="pct"/>
          </w:tcPr>
          <w:p w14:paraId="253D095A" w14:textId="73D09025" w:rsidR="009F5F60" w:rsidRPr="00446B3D" w:rsidRDefault="00A13BC7" w:rsidP="00446B3D">
            <w:pPr>
              <w:pStyle w:val="NoSpacing"/>
              <w:rPr>
                <w:sz w:val="20"/>
                <w:szCs w:val="20"/>
              </w:rPr>
            </w:pPr>
            <w:r w:rsidRPr="00446B3D">
              <w:rPr>
                <w:sz w:val="20"/>
                <w:szCs w:val="20"/>
              </w:rPr>
              <w:t>propanenitrile</w:t>
            </w:r>
          </w:p>
        </w:tc>
        <w:tc>
          <w:tcPr>
            <w:tcW w:w="556" w:type="pct"/>
          </w:tcPr>
          <w:p w14:paraId="319C81C3" w14:textId="35925499" w:rsidR="009F5F60" w:rsidRPr="00446B3D" w:rsidRDefault="00BE2719" w:rsidP="00446B3D">
            <w:pPr>
              <w:pStyle w:val="NoSpacing"/>
              <w:rPr>
                <w:sz w:val="20"/>
                <w:szCs w:val="20"/>
              </w:rPr>
            </w:pPr>
            <w:r w:rsidRPr="00446B3D">
              <w:rPr>
                <w:sz w:val="20"/>
                <w:szCs w:val="20"/>
              </w:rPr>
              <w:t>55.08</w:t>
            </w:r>
          </w:p>
        </w:tc>
        <w:tc>
          <w:tcPr>
            <w:tcW w:w="782" w:type="pct"/>
          </w:tcPr>
          <w:p w14:paraId="5C2AD4EE" w14:textId="11B319E8" w:rsidR="009F5F60" w:rsidRPr="00446B3D" w:rsidRDefault="00950CC0" w:rsidP="00446B3D">
            <w:pPr>
              <w:pStyle w:val="NoSpacing"/>
              <w:rPr>
                <w:sz w:val="20"/>
                <w:szCs w:val="20"/>
              </w:rPr>
            </w:pPr>
            <w:r w:rsidRPr="00446B3D">
              <w:rPr>
                <w:sz w:val="20"/>
                <w:szCs w:val="20"/>
              </w:rPr>
              <w:t>-</w:t>
            </w:r>
          </w:p>
        </w:tc>
        <w:tc>
          <w:tcPr>
            <w:tcW w:w="694" w:type="pct"/>
          </w:tcPr>
          <w:p w14:paraId="7237860D" w14:textId="0CB50984" w:rsidR="009F5F60" w:rsidRPr="00446B3D" w:rsidRDefault="00B551CE" w:rsidP="00446B3D">
            <w:pPr>
              <w:pStyle w:val="NoSpacing"/>
              <w:rPr>
                <w:sz w:val="20"/>
                <w:szCs w:val="20"/>
              </w:rPr>
            </w:pPr>
            <w:r w:rsidRPr="00446B3D">
              <w:rPr>
                <w:sz w:val="20"/>
                <w:szCs w:val="20"/>
              </w:rPr>
              <w:t>-</w:t>
            </w:r>
          </w:p>
        </w:tc>
        <w:tc>
          <w:tcPr>
            <w:tcW w:w="688" w:type="pct"/>
          </w:tcPr>
          <w:p w14:paraId="571E8786" w14:textId="5C610B8D" w:rsidR="009F5F60" w:rsidRPr="00446B3D" w:rsidRDefault="00B4539E" w:rsidP="00446B3D">
            <w:pPr>
              <w:pStyle w:val="NoSpacing"/>
              <w:rPr>
                <w:sz w:val="20"/>
                <w:szCs w:val="20"/>
              </w:rPr>
            </w:pPr>
            <w:r w:rsidRPr="00446B3D">
              <w:rPr>
                <w:sz w:val="20"/>
                <w:szCs w:val="20"/>
              </w:rPr>
              <w:t>2.2</w:t>
            </w:r>
          </w:p>
        </w:tc>
        <w:tc>
          <w:tcPr>
            <w:tcW w:w="688" w:type="pct"/>
          </w:tcPr>
          <w:p w14:paraId="4942019C" w14:textId="65742BAD" w:rsidR="009F5F60" w:rsidRPr="00446B3D" w:rsidRDefault="005C2B60" w:rsidP="00446B3D">
            <w:pPr>
              <w:pStyle w:val="NoSpacing"/>
              <w:rPr>
                <w:sz w:val="20"/>
                <w:szCs w:val="20"/>
              </w:rPr>
            </w:pPr>
            <w:r w:rsidRPr="00446B3D">
              <w:rPr>
                <w:sz w:val="20"/>
                <w:szCs w:val="20"/>
              </w:rPr>
              <w:t>-</w:t>
            </w:r>
          </w:p>
        </w:tc>
        <w:tc>
          <w:tcPr>
            <w:tcW w:w="422" w:type="pct"/>
          </w:tcPr>
          <w:p w14:paraId="2E6A2593" w14:textId="5A2418F7" w:rsidR="009F5F60" w:rsidRPr="00446B3D" w:rsidRDefault="00737C1B" w:rsidP="00446B3D">
            <w:pPr>
              <w:pStyle w:val="NoSpacing"/>
              <w:rPr>
                <w:sz w:val="20"/>
                <w:szCs w:val="20"/>
              </w:rPr>
            </w:pPr>
            <w:r w:rsidRPr="00446B3D">
              <w:rPr>
                <w:sz w:val="20"/>
                <w:szCs w:val="20"/>
              </w:rPr>
              <w:t>-</w:t>
            </w:r>
          </w:p>
        </w:tc>
      </w:tr>
      <w:tr w:rsidR="00261547" w:rsidRPr="00446B3D" w14:paraId="13A99C49" w14:textId="77777777" w:rsidTr="00446B3D">
        <w:tc>
          <w:tcPr>
            <w:tcW w:w="1169" w:type="pct"/>
          </w:tcPr>
          <w:p w14:paraId="4C7EDB3C" w14:textId="6BDB7DF7" w:rsidR="009F5F60" w:rsidRPr="00446B3D" w:rsidRDefault="00070FE5" w:rsidP="00446B3D">
            <w:pPr>
              <w:pStyle w:val="NoSpacing"/>
              <w:rPr>
                <w:sz w:val="20"/>
                <w:szCs w:val="20"/>
              </w:rPr>
            </w:pPr>
            <w:r w:rsidRPr="00446B3D">
              <w:rPr>
                <w:sz w:val="20"/>
                <w:szCs w:val="20"/>
              </w:rPr>
              <w:t>acetamide</w:t>
            </w:r>
          </w:p>
        </w:tc>
        <w:tc>
          <w:tcPr>
            <w:tcW w:w="556" w:type="pct"/>
          </w:tcPr>
          <w:p w14:paraId="39AD660A" w14:textId="1D109101" w:rsidR="009F5F60" w:rsidRPr="00446B3D" w:rsidRDefault="00915E03" w:rsidP="00446B3D">
            <w:pPr>
              <w:pStyle w:val="NoSpacing"/>
              <w:rPr>
                <w:sz w:val="20"/>
                <w:szCs w:val="20"/>
              </w:rPr>
            </w:pPr>
            <w:r w:rsidRPr="00446B3D">
              <w:rPr>
                <w:sz w:val="20"/>
                <w:szCs w:val="20"/>
              </w:rPr>
              <w:t>59.068</w:t>
            </w:r>
          </w:p>
        </w:tc>
        <w:tc>
          <w:tcPr>
            <w:tcW w:w="782" w:type="pct"/>
          </w:tcPr>
          <w:p w14:paraId="4C304DEC" w14:textId="1EF5935A" w:rsidR="009F5F60" w:rsidRPr="00446B3D" w:rsidRDefault="00950CC0" w:rsidP="00446B3D">
            <w:pPr>
              <w:pStyle w:val="NoSpacing"/>
              <w:rPr>
                <w:sz w:val="20"/>
                <w:szCs w:val="20"/>
              </w:rPr>
            </w:pPr>
            <w:r w:rsidRPr="00446B3D">
              <w:rPr>
                <w:sz w:val="20"/>
                <w:szCs w:val="20"/>
              </w:rPr>
              <w:t>-</w:t>
            </w:r>
          </w:p>
        </w:tc>
        <w:tc>
          <w:tcPr>
            <w:tcW w:w="694" w:type="pct"/>
          </w:tcPr>
          <w:p w14:paraId="742A2ABA" w14:textId="183AC06E" w:rsidR="009F5F60" w:rsidRPr="00446B3D" w:rsidRDefault="00B551CE" w:rsidP="00446B3D">
            <w:pPr>
              <w:pStyle w:val="NoSpacing"/>
              <w:rPr>
                <w:sz w:val="20"/>
                <w:szCs w:val="20"/>
              </w:rPr>
            </w:pPr>
            <w:r w:rsidRPr="00446B3D">
              <w:rPr>
                <w:sz w:val="20"/>
                <w:szCs w:val="20"/>
              </w:rPr>
              <w:t>-</w:t>
            </w:r>
          </w:p>
        </w:tc>
        <w:tc>
          <w:tcPr>
            <w:tcW w:w="688" w:type="pct"/>
          </w:tcPr>
          <w:p w14:paraId="10B6132A" w14:textId="7E45C984" w:rsidR="009F5F60" w:rsidRPr="00446B3D" w:rsidRDefault="00B4539E" w:rsidP="00446B3D">
            <w:pPr>
              <w:pStyle w:val="NoSpacing"/>
              <w:rPr>
                <w:sz w:val="20"/>
                <w:szCs w:val="20"/>
              </w:rPr>
            </w:pPr>
            <w:r w:rsidRPr="00446B3D">
              <w:rPr>
                <w:sz w:val="20"/>
                <w:szCs w:val="20"/>
              </w:rPr>
              <w:t>5.6</w:t>
            </w:r>
          </w:p>
        </w:tc>
        <w:tc>
          <w:tcPr>
            <w:tcW w:w="688" w:type="pct"/>
          </w:tcPr>
          <w:p w14:paraId="3409F3D2" w14:textId="34BC74E6" w:rsidR="009F5F60" w:rsidRPr="00446B3D" w:rsidRDefault="005C2B60" w:rsidP="00446B3D">
            <w:pPr>
              <w:pStyle w:val="NoSpacing"/>
              <w:rPr>
                <w:sz w:val="20"/>
                <w:szCs w:val="20"/>
              </w:rPr>
            </w:pPr>
            <w:r w:rsidRPr="00446B3D">
              <w:rPr>
                <w:sz w:val="20"/>
                <w:szCs w:val="20"/>
              </w:rPr>
              <w:t>-</w:t>
            </w:r>
          </w:p>
        </w:tc>
        <w:tc>
          <w:tcPr>
            <w:tcW w:w="422" w:type="pct"/>
          </w:tcPr>
          <w:p w14:paraId="0C1819FC" w14:textId="35DEA501" w:rsidR="009F5F60" w:rsidRPr="00446B3D" w:rsidRDefault="00737C1B" w:rsidP="00446B3D">
            <w:pPr>
              <w:pStyle w:val="NoSpacing"/>
              <w:rPr>
                <w:sz w:val="20"/>
                <w:szCs w:val="20"/>
              </w:rPr>
            </w:pPr>
            <w:r w:rsidRPr="00446B3D">
              <w:rPr>
                <w:sz w:val="20"/>
                <w:szCs w:val="20"/>
              </w:rPr>
              <w:t>-</w:t>
            </w:r>
          </w:p>
        </w:tc>
      </w:tr>
      <w:tr w:rsidR="00261547" w:rsidRPr="00446B3D" w14:paraId="027DADDD" w14:textId="77777777" w:rsidTr="00446B3D">
        <w:tc>
          <w:tcPr>
            <w:tcW w:w="1169" w:type="pct"/>
          </w:tcPr>
          <w:p w14:paraId="5115E48E" w14:textId="574D0C0F" w:rsidR="009F5F60" w:rsidRPr="00446B3D" w:rsidRDefault="00070FE5" w:rsidP="00446B3D">
            <w:pPr>
              <w:pStyle w:val="NoSpacing"/>
              <w:rPr>
                <w:sz w:val="20"/>
                <w:szCs w:val="20"/>
              </w:rPr>
            </w:pPr>
            <w:r w:rsidRPr="00446B3D">
              <w:rPr>
                <w:sz w:val="20"/>
                <w:szCs w:val="20"/>
              </w:rPr>
              <w:t>acetic acid</w:t>
            </w:r>
          </w:p>
        </w:tc>
        <w:tc>
          <w:tcPr>
            <w:tcW w:w="556" w:type="pct"/>
          </w:tcPr>
          <w:p w14:paraId="4FEE0B01" w14:textId="4601FBC1" w:rsidR="009F5F60" w:rsidRPr="00446B3D" w:rsidRDefault="00915E03" w:rsidP="00446B3D">
            <w:pPr>
              <w:pStyle w:val="NoSpacing"/>
              <w:rPr>
                <w:sz w:val="20"/>
                <w:szCs w:val="20"/>
              </w:rPr>
            </w:pPr>
            <w:r w:rsidRPr="00446B3D">
              <w:rPr>
                <w:sz w:val="20"/>
                <w:szCs w:val="20"/>
              </w:rPr>
              <w:t>60.052</w:t>
            </w:r>
          </w:p>
        </w:tc>
        <w:tc>
          <w:tcPr>
            <w:tcW w:w="782" w:type="pct"/>
          </w:tcPr>
          <w:p w14:paraId="7A290305" w14:textId="6AE8088D" w:rsidR="009F5F60" w:rsidRPr="00446B3D" w:rsidRDefault="001222F8" w:rsidP="00446B3D">
            <w:pPr>
              <w:pStyle w:val="NoSpacing"/>
              <w:rPr>
                <w:sz w:val="20"/>
                <w:szCs w:val="20"/>
              </w:rPr>
            </w:pPr>
            <w:r w:rsidRPr="00446B3D">
              <w:rPr>
                <w:sz w:val="20"/>
                <w:szCs w:val="20"/>
              </w:rPr>
              <w:t>BD</w:t>
            </w:r>
            <w:r w:rsidRPr="00446B3D">
              <w:rPr>
                <w:sz w:val="20"/>
                <w:szCs w:val="20"/>
                <w:vertAlign w:val="superscript"/>
              </w:rPr>
              <w:t>b</w:t>
            </w:r>
          </w:p>
        </w:tc>
        <w:tc>
          <w:tcPr>
            <w:tcW w:w="694" w:type="pct"/>
          </w:tcPr>
          <w:p w14:paraId="1265D8F8" w14:textId="20F50DA3" w:rsidR="009F5F60" w:rsidRPr="00446B3D" w:rsidRDefault="00B551CE" w:rsidP="00446B3D">
            <w:pPr>
              <w:pStyle w:val="NoSpacing"/>
              <w:rPr>
                <w:sz w:val="20"/>
                <w:szCs w:val="20"/>
              </w:rPr>
            </w:pPr>
            <w:r w:rsidRPr="00446B3D">
              <w:rPr>
                <w:sz w:val="20"/>
                <w:szCs w:val="20"/>
              </w:rPr>
              <w:t>-</w:t>
            </w:r>
          </w:p>
        </w:tc>
        <w:tc>
          <w:tcPr>
            <w:tcW w:w="688" w:type="pct"/>
          </w:tcPr>
          <w:p w14:paraId="68416933" w14:textId="5650C403" w:rsidR="009F5F60" w:rsidRPr="00446B3D" w:rsidRDefault="00B4539E" w:rsidP="00446B3D">
            <w:pPr>
              <w:pStyle w:val="NoSpacing"/>
              <w:rPr>
                <w:sz w:val="20"/>
                <w:szCs w:val="20"/>
              </w:rPr>
            </w:pPr>
            <w:r w:rsidRPr="00446B3D">
              <w:rPr>
                <w:sz w:val="20"/>
                <w:szCs w:val="20"/>
              </w:rPr>
              <w:t>5</w:t>
            </w:r>
          </w:p>
        </w:tc>
        <w:tc>
          <w:tcPr>
            <w:tcW w:w="688" w:type="pct"/>
          </w:tcPr>
          <w:p w14:paraId="306DB1D4" w14:textId="3CDD685B" w:rsidR="009F5F60" w:rsidRPr="00446B3D" w:rsidRDefault="005C2B60" w:rsidP="00446B3D">
            <w:pPr>
              <w:pStyle w:val="NoSpacing"/>
              <w:rPr>
                <w:sz w:val="20"/>
                <w:szCs w:val="20"/>
              </w:rPr>
            </w:pPr>
            <w:r w:rsidRPr="00446B3D">
              <w:rPr>
                <w:sz w:val="20"/>
                <w:szCs w:val="20"/>
              </w:rPr>
              <w:t>-</w:t>
            </w:r>
          </w:p>
        </w:tc>
        <w:tc>
          <w:tcPr>
            <w:tcW w:w="422" w:type="pct"/>
          </w:tcPr>
          <w:p w14:paraId="6CDD57C9" w14:textId="396CF912" w:rsidR="009F5F60" w:rsidRPr="00446B3D" w:rsidRDefault="00737C1B" w:rsidP="00446B3D">
            <w:pPr>
              <w:pStyle w:val="NoSpacing"/>
              <w:rPr>
                <w:sz w:val="20"/>
                <w:szCs w:val="20"/>
              </w:rPr>
            </w:pPr>
            <w:r w:rsidRPr="00446B3D">
              <w:rPr>
                <w:sz w:val="20"/>
                <w:szCs w:val="20"/>
              </w:rPr>
              <w:t>-</w:t>
            </w:r>
          </w:p>
        </w:tc>
      </w:tr>
      <w:tr w:rsidR="00261547" w:rsidRPr="00446B3D" w14:paraId="1732586A" w14:textId="77777777" w:rsidTr="00446B3D">
        <w:tc>
          <w:tcPr>
            <w:tcW w:w="1169" w:type="pct"/>
          </w:tcPr>
          <w:p w14:paraId="17520C86" w14:textId="0926E455" w:rsidR="004B1048" w:rsidRPr="00446B3D" w:rsidRDefault="004B1048" w:rsidP="00446B3D">
            <w:pPr>
              <w:pStyle w:val="NoSpacing"/>
              <w:rPr>
                <w:sz w:val="20"/>
                <w:szCs w:val="20"/>
              </w:rPr>
            </w:pPr>
            <w:r w:rsidRPr="00446B3D">
              <w:rPr>
                <w:sz w:val="20"/>
                <w:szCs w:val="20"/>
              </w:rPr>
              <w:t>pyrrole</w:t>
            </w:r>
          </w:p>
        </w:tc>
        <w:tc>
          <w:tcPr>
            <w:tcW w:w="556" w:type="pct"/>
          </w:tcPr>
          <w:p w14:paraId="41B71FE2" w14:textId="4E324481" w:rsidR="004B1048" w:rsidRPr="00446B3D" w:rsidRDefault="004B1048" w:rsidP="00446B3D">
            <w:pPr>
              <w:pStyle w:val="NoSpacing"/>
              <w:rPr>
                <w:sz w:val="20"/>
                <w:szCs w:val="20"/>
              </w:rPr>
            </w:pPr>
            <w:r w:rsidRPr="00446B3D">
              <w:rPr>
                <w:sz w:val="20"/>
                <w:szCs w:val="20"/>
              </w:rPr>
              <w:t>67.091</w:t>
            </w:r>
          </w:p>
        </w:tc>
        <w:tc>
          <w:tcPr>
            <w:tcW w:w="782" w:type="pct"/>
          </w:tcPr>
          <w:p w14:paraId="294F0B94" w14:textId="2403B93C" w:rsidR="004B1048" w:rsidRPr="00446B3D" w:rsidRDefault="00CE5EF2" w:rsidP="00446B3D">
            <w:pPr>
              <w:pStyle w:val="NoSpacing"/>
              <w:rPr>
                <w:sz w:val="20"/>
                <w:szCs w:val="20"/>
              </w:rPr>
            </w:pPr>
            <w:r w:rsidRPr="00446B3D">
              <w:rPr>
                <w:sz w:val="20"/>
                <w:szCs w:val="20"/>
              </w:rPr>
              <w:t>-</w:t>
            </w:r>
          </w:p>
        </w:tc>
        <w:tc>
          <w:tcPr>
            <w:tcW w:w="694" w:type="pct"/>
          </w:tcPr>
          <w:p w14:paraId="587BE483" w14:textId="7418D93D" w:rsidR="004B1048" w:rsidRPr="00446B3D" w:rsidRDefault="00B551CE" w:rsidP="00446B3D">
            <w:pPr>
              <w:pStyle w:val="NoSpacing"/>
              <w:rPr>
                <w:sz w:val="20"/>
                <w:szCs w:val="20"/>
              </w:rPr>
            </w:pPr>
            <w:r w:rsidRPr="00446B3D">
              <w:rPr>
                <w:sz w:val="20"/>
                <w:szCs w:val="20"/>
              </w:rPr>
              <w:t>-</w:t>
            </w:r>
          </w:p>
        </w:tc>
        <w:tc>
          <w:tcPr>
            <w:tcW w:w="688" w:type="pct"/>
          </w:tcPr>
          <w:p w14:paraId="39CBBE5D" w14:textId="737C990E" w:rsidR="004B1048" w:rsidRPr="00446B3D" w:rsidRDefault="00B4539E" w:rsidP="00446B3D">
            <w:pPr>
              <w:pStyle w:val="NoSpacing"/>
              <w:rPr>
                <w:sz w:val="20"/>
                <w:szCs w:val="20"/>
              </w:rPr>
            </w:pPr>
            <w:r w:rsidRPr="00446B3D">
              <w:rPr>
                <w:sz w:val="20"/>
                <w:szCs w:val="20"/>
              </w:rPr>
              <w:t>-</w:t>
            </w:r>
          </w:p>
        </w:tc>
        <w:tc>
          <w:tcPr>
            <w:tcW w:w="688" w:type="pct"/>
          </w:tcPr>
          <w:p w14:paraId="5852CD00" w14:textId="0E136A37" w:rsidR="004B1048" w:rsidRPr="00446B3D" w:rsidRDefault="002912BC" w:rsidP="00446B3D">
            <w:pPr>
              <w:pStyle w:val="NoSpacing"/>
              <w:rPr>
                <w:sz w:val="20"/>
                <w:szCs w:val="20"/>
              </w:rPr>
            </w:pPr>
            <w:r w:rsidRPr="00446B3D">
              <w:rPr>
                <w:sz w:val="20"/>
                <w:szCs w:val="20"/>
              </w:rPr>
              <w:t>20.7</w:t>
            </w:r>
          </w:p>
        </w:tc>
        <w:tc>
          <w:tcPr>
            <w:tcW w:w="422" w:type="pct"/>
          </w:tcPr>
          <w:p w14:paraId="2A83A3DE" w14:textId="249BFBFC" w:rsidR="004B1048" w:rsidRPr="00446B3D" w:rsidRDefault="00737C1B" w:rsidP="00446B3D">
            <w:pPr>
              <w:pStyle w:val="NoSpacing"/>
              <w:rPr>
                <w:sz w:val="20"/>
                <w:szCs w:val="20"/>
              </w:rPr>
            </w:pPr>
            <w:r w:rsidRPr="00446B3D">
              <w:rPr>
                <w:sz w:val="20"/>
                <w:szCs w:val="20"/>
              </w:rPr>
              <w:t>-</w:t>
            </w:r>
          </w:p>
        </w:tc>
      </w:tr>
      <w:tr w:rsidR="00DB347E" w:rsidRPr="00446B3D" w14:paraId="3EE68F0D" w14:textId="77777777" w:rsidTr="00446B3D">
        <w:tc>
          <w:tcPr>
            <w:tcW w:w="1169" w:type="pct"/>
          </w:tcPr>
          <w:p w14:paraId="6E8BEFB0" w14:textId="602AB249" w:rsidR="009F5F60" w:rsidRPr="00446B3D" w:rsidRDefault="00417403" w:rsidP="00446B3D">
            <w:pPr>
              <w:pStyle w:val="NoSpacing"/>
              <w:rPr>
                <w:sz w:val="20"/>
                <w:szCs w:val="20"/>
              </w:rPr>
            </w:pPr>
            <w:r w:rsidRPr="00446B3D">
              <w:rPr>
                <w:sz w:val="20"/>
                <w:szCs w:val="20"/>
              </w:rPr>
              <w:t>1H pyrrole</w:t>
            </w:r>
          </w:p>
        </w:tc>
        <w:tc>
          <w:tcPr>
            <w:tcW w:w="556" w:type="pct"/>
          </w:tcPr>
          <w:p w14:paraId="09773145" w14:textId="7EE27315" w:rsidR="009F5F60" w:rsidRPr="00446B3D" w:rsidRDefault="007962DA" w:rsidP="00446B3D">
            <w:pPr>
              <w:pStyle w:val="NoSpacing"/>
              <w:rPr>
                <w:sz w:val="20"/>
                <w:szCs w:val="20"/>
              </w:rPr>
            </w:pPr>
            <w:r w:rsidRPr="00446B3D">
              <w:rPr>
                <w:sz w:val="20"/>
                <w:szCs w:val="20"/>
              </w:rPr>
              <w:t>67.091</w:t>
            </w:r>
          </w:p>
        </w:tc>
        <w:tc>
          <w:tcPr>
            <w:tcW w:w="782" w:type="pct"/>
          </w:tcPr>
          <w:p w14:paraId="3CA9E122" w14:textId="3DE6073E" w:rsidR="009F5F60" w:rsidRPr="00446B3D" w:rsidRDefault="00CE5EF2" w:rsidP="00446B3D">
            <w:pPr>
              <w:pStyle w:val="NoSpacing"/>
              <w:rPr>
                <w:sz w:val="20"/>
                <w:szCs w:val="20"/>
              </w:rPr>
            </w:pPr>
            <w:r w:rsidRPr="00446B3D">
              <w:rPr>
                <w:sz w:val="20"/>
                <w:szCs w:val="20"/>
              </w:rPr>
              <w:t>-</w:t>
            </w:r>
          </w:p>
        </w:tc>
        <w:tc>
          <w:tcPr>
            <w:tcW w:w="694" w:type="pct"/>
          </w:tcPr>
          <w:p w14:paraId="5C2EB09D" w14:textId="7852EDBF" w:rsidR="009F5F60" w:rsidRPr="00446B3D" w:rsidRDefault="00B551CE" w:rsidP="00446B3D">
            <w:pPr>
              <w:pStyle w:val="NoSpacing"/>
              <w:rPr>
                <w:sz w:val="20"/>
                <w:szCs w:val="20"/>
              </w:rPr>
            </w:pPr>
            <w:r w:rsidRPr="00446B3D">
              <w:rPr>
                <w:sz w:val="20"/>
                <w:szCs w:val="20"/>
              </w:rPr>
              <w:t>-</w:t>
            </w:r>
          </w:p>
        </w:tc>
        <w:tc>
          <w:tcPr>
            <w:tcW w:w="688" w:type="pct"/>
          </w:tcPr>
          <w:p w14:paraId="063A5A05" w14:textId="6E7C9189" w:rsidR="009F5F60" w:rsidRPr="00446B3D" w:rsidRDefault="00B4539E" w:rsidP="00446B3D">
            <w:pPr>
              <w:pStyle w:val="NoSpacing"/>
              <w:rPr>
                <w:sz w:val="20"/>
                <w:szCs w:val="20"/>
              </w:rPr>
            </w:pPr>
            <w:r w:rsidRPr="00446B3D">
              <w:rPr>
                <w:sz w:val="20"/>
                <w:szCs w:val="20"/>
              </w:rPr>
              <w:t>3.9</w:t>
            </w:r>
          </w:p>
        </w:tc>
        <w:tc>
          <w:tcPr>
            <w:tcW w:w="688" w:type="pct"/>
          </w:tcPr>
          <w:p w14:paraId="079C2346" w14:textId="19AB6726" w:rsidR="009F5F60" w:rsidRPr="00446B3D" w:rsidRDefault="00C46435" w:rsidP="00446B3D">
            <w:pPr>
              <w:pStyle w:val="NoSpacing"/>
              <w:rPr>
                <w:sz w:val="20"/>
                <w:szCs w:val="20"/>
              </w:rPr>
            </w:pPr>
            <w:r w:rsidRPr="00446B3D">
              <w:rPr>
                <w:sz w:val="20"/>
                <w:szCs w:val="20"/>
              </w:rPr>
              <w:t>-</w:t>
            </w:r>
          </w:p>
        </w:tc>
        <w:tc>
          <w:tcPr>
            <w:tcW w:w="422" w:type="pct"/>
          </w:tcPr>
          <w:p w14:paraId="0176A00C" w14:textId="0F1EC13A" w:rsidR="009F5F60" w:rsidRPr="00446B3D" w:rsidRDefault="00737C1B" w:rsidP="00446B3D">
            <w:pPr>
              <w:pStyle w:val="NoSpacing"/>
              <w:rPr>
                <w:sz w:val="20"/>
                <w:szCs w:val="20"/>
              </w:rPr>
            </w:pPr>
            <w:r w:rsidRPr="00446B3D">
              <w:rPr>
                <w:sz w:val="20"/>
                <w:szCs w:val="20"/>
              </w:rPr>
              <w:t>-</w:t>
            </w:r>
          </w:p>
        </w:tc>
      </w:tr>
      <w:tr w:rsidR="00DB347E" w:rsidRPr="00446B3D" w14:paraId="6DF66DDA" w14:textId="77777777" w:rsidTr="00446B3D">
        <w:tc>
          <w:tcPr>
            <w:tcW w:w="1169" w:type="pct"/>
          </w:tcPr>
          <w:p w14:paraId="4078CE53" w14:textId="6DE33E16" w:rsidR="009F5F60" w:rsidRPr="00446B3D" w:rsidRDefault="00417403" w:rsidP="00446B3D">
            <w:pPr>
              <w:pStyle w:val="NoSpacing"/>
              <w:rPr>
                <w:sz w:val="20"/>
                <w:szCs w:val="20"/>
              </w:rPr>
            </w:pPr>
            <w:r w:rsidRPr="00446B3D">
              <w:rPr>
                <w:sz w:val="20"/>
                <w:szCs w:val="20"/>
              </w:rPr>
              <w:t>propionic acid</w:t>
            </w:r>
          </w:p>
        </w:tc>
        <w:tc>
          <w:tcPr>
            <w:tcW w:w="556" w:type="pct"/>
          </w:tcPr>
          <w:p w14:paraId="759014D3" w14:textId="649D41D4" w:rsidR="009F5F60" w:rsidRPr="00446B3D" w:rsidRDefault="00E31C79" w:rsidP="00446B3D">
            <w:pPr>
              <w:pStyle w:val="NoSpacing"/>
              <w:rPr>
                <w:sz w:val="20"/>
                <w:szCs w:val="20"/>
              </w:rPr>
            </w:pPr>
            <w:r w:rsidRPr="00446B3D">
              <w:rPr>
                <w:sz w:val="20"/>
                <w:szCs w:val="20"/>
              </w:rPr>
              <w:t>74.09</w:t>
            </w:r>
          </w:p>
        </w:tc>
        <w:tc>
          <w:tcPr>
            <w:tcW w:w="782" w:type="pct"/>
          </w:tcPr>
          <w:p w14:paraId="337BD837" w14:textId="5F9807BA" w:rsidR="009F5F60" w:rsidRPr="00446B3D" w:rsidRDefault="00CE5EF2" w:rsidP="00446B3D">
            <w:pPr>
              <w:pStyle w:val="NoSpacing"/>
              <w:rPr>
                <w:sz w:val="20"/>
                <w:szCs w:val="20"/>
              </w:rPr>
            </w:pPr>
            <w:r w:rsidRPr="00446B3D">
              <w:rPr>
                <w:sz w:val="20"/>
                <w:szCs w:val="20"/>
              </w:rPr>
              <w:t>BD</w:t>
            </w:r>
          </w:p>
        </w:tc>
        <w:tc>
          <w:tcPr>
            <w:tcW w:w="694" w:type="pct"/>
          </w:tcPr>
          <w:p w14:paraId="31228FAC" w14:textId="2077AA81" w:rsidR="009F5F60" w:rsidRPr="00446B3D" w:rsidRDefault="00B551CE" w:rsidP="00446B3D">
            <w:pPr>
              <w:pStyle w:val="NoSpacing"/>
              <w:rPr>
                <w:sz w:val="20"/>
                <w:szCs w:val="20"/>
              </w:rPr>
            </w:pPr>
            <w:r w:rsidRPr="00446B3D">
              <w:rPr>
                <w:sz w:val="20"/>
                <w:szCs w:val="20"/>
              </w:rPr>
              <w:t>-</w:t>
            </w:r>
          </w:p>
        </w:tc>
        <w:tc>
          <w:tcPr>
            <w:tcW w:w="688" w:type="pct"/>
          </w:tcPr>
          <w:p w14:paraId="15EE7D39" w14:textId="7645B404" w:rsidR="009F5F60" w:rsidRPr="00446B3D" w:rsidRDefault="000B3286" w:rsidP="00446B3D">
            <w:pPr>
              <w:pStyle w:val="NoSpacing"/>
              <w:rPr>
                <w:sz w:val="20"/>
                <w:szCs w:val="20"/>
              </w:rPr>
            </w:pPr>
            <w:r w:rsidRPr="00446B3D">
              <w:rPr>
                <w:sz w:val="20"/>
                <w:szCs w:val="20"/>
              </w:rPr>
              <w:t>-</w:t>
            </w:r>
          </w:p>
        </w:tc>
        <w:tc>
          <w:tcPr>
            <w:tcW w:w="688" w:type="pct"/>
          </w:tcPr>
          <w:p w14:paraId="7946AEF9" w14:textId="5FA0ED20" w:rsidR="009F5F60" w:rsidRPr="00446B3D" w:rsidRDefault="00C46435" w:rsidP="00446B3D">
            <w:pPr>
              <w:pStyle w:val="NoSpacing"/>
              <w:rPr>
                <w:sz w:val="20"/>
                <w:szCs w:val="20"/>
              </w:rPr>
            </w:pPr>
            <w:r w:rsidRPr="00446B3D">
              <w:rPr>
                <w:sz w:val="20"/>
                <w:szCs w:val="20"/>
              </w:rPr>
              <w:t>-</w:t>
            </w:r>
          </w:p>
        </w:tc>
        <w:tc>
          <w:tcPr>
            <w:tcW w:w="422" w:type="pct"/>
          </w:tcPr>
          <w:p w14:paraId="2E0AC363" w14:textId="29E776E8" w:rsidR="009F5F60" w:rsidRPr="00446B3D" w:rsidRDefault="00737C1B" w:rsidP="00446B3D">
            <w:pPr>
              <w:pStyle w:val="NoSpacing"/>
              <w:rPr>
                <w:sz w:val="20"/>
                <w:szCs w:val="20"/>
              </w:rPr>
            </w:pPr>
            <w:r w:rsidRPr="00446B3D">
              <w:rPr>
                <w:sz w:val="20"/>
                <w:szCs w:val="20"/>
              </w:rPr>
              <w:t>-</w:t>
            </w:r>
          </w:p>
        </w:tc>
      </w:tr>
      <w:tr w:rsidR="00DB347E" w:rsidRPr="00446B3D" w14:paraId="5604BD19" w14:textId="77777777" w:rsidTr="00446B3D">
        <w:tc>
          <w:tcPr>
            <w:tcW w:w="1169" w:type="pct"/>
          </w:tcPr>
          <w:p w14:paraId="629E94C9" w14:textId="1A152199" w:rsidR="009F5F60" w:rsidRPr="00446B3D" w:rsidRDefault="00CD101B" w:rsidP="00446B3D">
            <w:pPr>
              <w:pStyle w:val="NoSpacing"/>
              <w:rPr>
                <w:sz w:val="20"/>
                <w:szCs w:val="20"/>
              </w:rPr>
            </w:pPr>
            <w:r w:rsidRPr="00446B3D">
              <w:rPr>
                <w:sz w:val="20"/>
                <w:szCs w:val="20"/>
              </w:rPr>
              <w:t>pyridine</w:t>
            </w:r>
          </w:p>
        </w:tc>
        <w:tc>
          <w:tcPr>
            <w:tcW w:w="556" w:type="pct"/>
          </w:tcPr>
          <w:p w14:paraId="78BEC566" w14:textId="0DE2A74C" w:rsidR="009F5F60" w:rsidRPr="00446B3D" w:rsidRDefault="004B1048" w:rsidP="00446B3D">
            <w:pPr>
              <w:pStyle w:val="NoSpacing"/>
              <w:rPr>
                <w:sz w:val="20"/>
                <w:szCs w:val="20"/>
              </w:rPr>
            </w:pPr>
            <w:r w:rsidRPr="00446B3D">
              <w:rPr>
                <w:sz w:val="20"/>
                <w:szCs w:val="20"/>
              </w:rPr>
              <w:t>79.102</w:t>
            </w:r>
          </w:p>
        </w:tc>
        <w:tc>
          <w:tcPr>
            <w:tcW w:w="782" w:type="pct"/>
          </w:tcPr>
          <w:p w14:paraId="49A7C6DA" w14:textId="666D442F" w:rsidR="009F5F60" w:rsidRPr="00446B3D" w:rsidRDefault="00CE5EF2" w:rsidP="00446B3D">
            <w:pPr>
              <w:pStyle w:val="NoSpacing"/>
              <w:rPr>
                <w:sz w:val="20"/>
                <w:szCs w:val="20"/>
              </w:rPr>
            </w:pPr>
            <w:r w:rsidRPr="00446B3D">
              <w:rPr>
                <w:sz w:val="20"/>
                <w:szCs w:val="20"/>
              </w:rPr>
              <w:t>-</w:t>
            </w:r>
          </w:p>
        </w:tc>
        <w:tc>
          <w:tcPr>
            <w:tcW w:w="694" w:type="pct"/>
          </w:tcPr>
          <w:p w14:paraId="44846925" w14:textId="3D1AE4F0" w:rsidR="009F5F60" w:rsidRPr="00446B3D" w:rsidRDefault="00E300EA" w:rsidP="00446B3D">
            <w:pPr>
              <w:pStyle w:val="NoSpacing"/>
              <w:rPr>
                <w:sz w:val="20"/>
                <w:szCs w:val="20"/>
              </w:rPr>
            </w:pPr>
            <w:r w:rsidRPr="00446B3D">
              <w:rPr>
                <w:sz w:val="20"/>
                <w:szCs w:val="20"/>
              </w:rPr>
              <w:t>-</w:t>
            </w:r>
          </w:p>
        </w:tc>
        <w:tc>
          <w:tcPr>
            <w:tcW w:w="688" w:type="pct"/>
          </w:tcPr>
          <w:p w14:paraId="26C28304" w14:textId="02A97231" w:rsidR="009F5F60" w:rsidRPr="00446B3D" w:rsidRDefault="000B3286" w:rsidP="00446B3D">
            <w:pPr>
              <w:pStyle w:val="NoSpacing"/>
              <w:rPr>
                <w:sz w:val="20"/>
                <w:szCs w:val="20"/>
              </w:rPr>
            </w:pPr>
            <w:r w:rsidRPr="00446B3D">
              <w:rPr>
                <w:sz w:val="20"/>
                <w:szCs w:val="20"/>
              </w:rPr>
              <w:t>8.9</w:t>
            </w:r>
          </w:p>
        </w:tc>
        <w:tc>
          <w:tcPr>
            <w:tcW w:w="688" w:type="pct"/>
          </w:tcPr>
          <w:p w14:paraId="0F28EA60" w14:textId="4B4F368B" w:rsidR="009F5F60" w:rsidRPr="00446B3D" w:rsidRDefault="00C46435" w:rsidP="00446B3D">
            <w:pPr>
              <w:pStyle w:val="NoSpacing"/>
              <w:rPr>
                <w:sz w:val="20"/>
                <w:szCs w:val="20"/>
              </w:rPr>
            </w:pPr>
            <w:r w:rsidRPr="00446B3D">
              <w:rPr>
                <w:sz w:val="20"/>
                <w:szCs w:val="20"/>
              </w:rPr>
              <w:t>15.1</w:t>
            </w:r>
          </w:p>
        </w:tc>
        <w:tc>
          <w:tcPr>
            <w:tcW w:w="422" w:type="pct"/>
          </w:tcPr>
          <w:p w14:paraId="21E12993" w14:textId="2FC97BE6" w:rsidR="009F5F60" w:rsidRPr="00446B3D" w:rsidRDefault="00737C1B" w:rsidP="00446B3D">
            <w:pPr>
              <w:pStyle w:val="NoSpacing"/>
              <w:rPr>
                <w:sz w:val="20"/>
                <w:szCs w:val="20"/>
              </w:rPr>
            </w:pPr>
            <w:r w:rsidRPr="00446B3D">
              <w:rPr>
                <w:sz w:val="20"/>
                <w:szCs w:val="20"/>
              </w:rPr>
              <w:t>-</w:t>
            </w:r>
          </w:p>
        </w:tc>
      </w:tr>
      <w:tr w:rsidR="004B5487" w:rsidRPr="00446B3D" w14:paraId="76A382E4" w14:textId="77777777" w:rsidTr="00446B3D">
        <w:tc>
          <w:tcPr>
            <w:tcW w:w="1169" w:type="pct"/>
          </w:tcPr>
          <w:p w14:paraId="36061FB8" w14:textId="74DE2127" w:rsidR="009F5F60" w:rsidRPr="00446B3D" w:rsidRDefault="00343874" w:rsidP="00446B3D">
            <w:pPr>
              <w:pStyle w:val="NoSpacing"/>
              <w:rPr>
                <w:sz w:val="20"/>
                <w:szCs w:val="20"/>
              </w:rPr>
            </w:pPr>
            <w:r w:rsidRPr="00446B3D">
              <w:rPr>
                <w:sz w:val="20"/>
                <w:szCs w:val="20"/>
              </w:rPr>
              <w:t xml:space="preserve">2 methyl </w:t>
            </w:r>
            <w:proofErr w:type="gramStart"/>
            <w:r w:rsidRPr="00446B3D">
              <w:rPr>
                <w:sz w:val="20"/>
                <w:szCs w:val="20"/>
              </w:rPr>
              <w:t>pyrrole</w:t>
            </w:r>
            <w:proofErr w:type="gramEnd"/>
          </w:p>
        </w:tc>
        <w:tc>
          <w:tcPr>
            <w:tcW w:w="556" w:type="pct"/>
          </w:tcPr>
          <w:p w14:paraId="23FBA0C7" w14:textId="00771C2E" w:rsidR="009F5F60" w:rsidRPr="00446B3D" w:rsidRDefault="00EC57BC" w:rsidP="00446B3D">
            <w:pPr>
              <w:pStyle w:val="NoSpacing"/>
              <w:rPr>
                <w:sz w:val="20"/>
                <w:szCs w:val="20"/>
              </w:rPr>
            </w:pPr>
            <w:r w:rsidRPr="00446B3D">
              <w:rPr>
                <w:sz w:val="20"/>
                <w:szCs w:val="20"/>
              </w:rPr>
              <w:t>81.118</w:t>
            </w:r>
          </w:p>
        </w:tc>
        <w:tc>
          <w:tcPr>
            <w:tcW w:w="782" w:type="pct"/>
          </w:tcPr>
          <w:p w14:paraId="0753AEFD" w14:textId="08DDA235" w:rsidR="009F5F60" w:rsidRPr="00446B3D" w:rsidRDefault="00CE5EF2" w:rsidP="00446B3D">
            <w:pPr>
              <w:pStyle w:val="NoSpacing"/>
              <w:rPr>
                <w:sz w:val="20"/>
                <w:szCs w:val="20"/>
              </w:rPr>
            </w:pPr>
            <w:r w:rsidRPr="00446B3D">
              <w:rPr>
                <w:sz w:val="20"/>
                <w:szCs w:val="20"/>
              </w:rPr>
              <w:t>-</w:t>
            </w:r>
          </w:p>
        </w:tc>
        <w:tc>
          <w:tcPr>
            <w:tcW w:w="694" w:type="pct"/>
          </w:tcPr>
          <w:p w14:paraId="306CD855" w14:textId="4BCD8D46" w:rsidR="009F5F60" w:rsidRPr="00446B3D" w:rsidRDefault="00E300EA" w:rsidP="00446B3D">
            <w:pPr>
              <w:pStyle w:val="NoSpacing"/>
              <w:rPr>
                <w:sz w:val="20"/>
                <w:szCs w:val="20"/>
              </w:rPr>
            </w:pPr>
            <w:r w:rsidRPr="00446B3D">
              <w:rPr>
                <w:sz w:val="20"/>
                <w:szCs w:val="20"/>
              </w:rPr>
              <w:t>-</w:t>
            </w:r>
          </w:p>
        </w:tc>
        <w:tc>
          <w:tcPr>
            <w:tcW w:w="688" w:type="pct"/>
          </w:tcPr>
          <w:p w14:paraId="5AB4061A" w14:textId="398E7919" w:rsidR="009F5F60" w:rsidRPr="00446B3D" w:rsidRDefault="000B3286" w:rsidP="00446B3D">
            <w:pPr>
              <w:pStyle w:val="NoSpacing"/>
              <w:rPr>
                <w:sz w:val="20"/>
                <w:szCs w:val="20"/>
              </w:rPr>
            </w:pPr>
            <w:r w:rsidRPr="00446B3D">
              <w:rPr>
                <w:sz w:val="20"/>
                <w:szCs w:val="20"/>
              </w:rPr>
              <w:t>-</w:t>
            </w:r>
          </w:p>
        </w:tc>
        <w:tc>
          <w:tcPr>
            <w:tcW w:w="688" w:type="pct"/>
          </w:tcPr>
          <w:p w14:paraId="475AE963" w14:textId="38EC46A4" w:rsidR="009F5F60" w:rsidRPr="00446B3D" w:rsidRDefault="00C46435" w:rsidP="00446B3D">
            <w:pPr>
              <w:pStyle w:val="NoSpacing"/>
              <w:rPr>
                <w:sz w:val="20"/>
                <w:szCs w:val="20"/>
              </w:rPr>
            </w:pPr>
            <w:r w:rsidRPr="00446B3D">
              <w:rPr>
                <w:sz w:val="20"/>
                <w:szCs w:val="20"/>
              </w:rPr>
              <w:t>2</w:t>
            </w:r>
          </w:p>
        </w:tc>
        <w:tc>
          <w:tcPr>
            <w:tcW w:w="422" w:type="pct"/>
          </w:tcPr>
          <w:p w14:paraId="0ED759FA" w14:textId="5FA2E352" w:rsidR="009F5F60" w:rsidRPr="00446B3D" w:rsidRDefault="00737C1B" w:rsidP="00446B3D">
            <w:pPr>
              <w:pStyle w:val="NoSpacing"/>
              <w:rPr>
                <w:sz w:val="20"/>
                <w:szCs w:val="20"/>
              </w:rPr>
            </w:pPr>
            <w:r w:rsidRPr="00446B3D">
              <w:rPr>
                <w:sz w:val="20"/>
                <w:szCs w:val="20"/>
              </w:rPr>
              <w:t>-</w:t>
            </w:r>
          </w:p>
        </w:tc>
      </w:tr>
      <w:tr w:rsidR="004B5487" w:rsidRPr="00446B3D" w14:paraId="54167672" w14:textId="77777777" w:rsidTr="00446B3D">
        <w:tc>
          <w:tcPr>
            <w:tcW w:w="1169" w:type="pct"/>
          </w:tcPr>
          <w:p w14:paraId="68F1E9D8" w14:textId="002E9E8B" w:rsidR="009F5F60" w:rsidRPr="00446B3D" w:rsidRDefault="00566DF8" w:rsidP="00446B3D">
            <w:pPr>
              <w:pStyle w:val="NoSpacing"/>
              <w:rPr>
                <w:sz w:val="20"/>
                <w:szCs w:val="20"/>
              </w:rPr>
            </w:pPr>
            <w:r w:rsidRPr="00446B3D">
              <w:rPr>
                <w:sz w:val="20"/>
                <w:szCs w:val="20"/>
              </w:rPr>
              <w:t>iso-butyric acid</w:t>
            </w:r>
          </w:p>
        </w:tc>
        <w:tc>
          <w:tcPr>
            <w:tcW w:w="556" w:type="pct"/>
          </w:tcPr>
          <w:p w14:paraId="23A5009A" w14:textId="4566087B" w:rsidR="009F5F60" w:rsidRPr="00446B3D" w:rsidRDefault="00EC57BC" w:rsidP="00446B3D">
            <w:pPr>
              <w:pStyle w:val="NoSpacing"/>
              <w:rPr>
                <w:sz w:val="20"/>
                <w:szCs w:val="20"/>
              </w:rPr>
            </w:pPr>
            <w:r w:rsidRPr="00446B3D">
              <w:rPr>
                <w:sz w:val="20"/>
                <w:szCs w:val="20"/>
              </w:rPr>
              <w:t>88.106</w:t>
            </w:r>
          </w:p>
        </w:tc>
        <w:tc>
          <w:tcPr>
            <w:tcW w:w="782" w:type="pct"/>
          </w:tcPr>
          <w:p w14:paraId="0C14D476" w14:textId="0F6096D4" w:rsidR="009F5F60" w:rsidRPr="00446B3D" w:rsidRDefault="009F5F60" w:rsidP="00446B3D">
            <w:pPr>
              <w:pStyle w:val="NoSpacing"/>
              <w:rPr>
                <w:sz w:val="20"/>
                <w:szCs w:val="20"/>
              </w:rPr>
            </w:pPr>
          </w:p>
        </w:tc>
        <w:tc>
          <w:tcPr>
            <w:tcW w:w="694" w:type="pct"/>
          </w:tcPr>
          <w:p w14:paraId="16277568" w14:textId="27B1A3AD" w:rsidR="009F5F60" w:rsidRPr="00446B3D" w:rsidRDefault="00E300EA" w:rsidP="00446B3D">
            <w:pPr>
              <w:pStyle w:val="NoSpacing"/>
              <w:rPr>
                <w:sz w:val="20"/>
                <w:szCs w:val="20"/>
              </w:rPr>
            </w:pPr>
            <w:r w:rsidRPr="00446B3D">
              <w:rPr>
                <w:sz w:val="20"/>
                <w:szCs w:val="20"/>
              </w:rPr>
              <w:t>-</w:t>
            </w:r>
          </w:p>
        </w:tc>
        <w:tc>
          <w:tcPr>
            <w:tcW w:w="688" w:type="pct"/>
          </w:tcPr>
          <w:p w14:paraId="02CFD5A6" w14:textId="29C88FE0" w:rsidR="009F5F60" w:rsidRPr="00446B3D" w:rsidRDefault="000B3286" w:rsidP="00446B3D">
            <w:pPr>
              <w:pStyle w:val="NoSpacing"/>
              <w:rPr>
                <w:sz w:val="20"/>
                <w:szCs w:val="20"/>
              </w:rPr>
            </w:pPr>
            <w:r w:rsidRPr="00446B3D">
              <w:rPr>
                <w:sz w:val="20"/>
                <w:szCs w:val="20"/>
              </w:rPr>
              <w:t>-</w:t>
            </w:r>
          </w:p>
        </w:tc>
        <w:tc>
          <w:tcPr>
            <w:tcW w:w="688" w:type="pct"/>
          </w:tcPr>
          <w:p w14:paraId="7A4403FD" w14:textId="5245EBBB" w:rsidR="009F5F60" w:rsidRPr="00446B3D" w:rsidRDefault="00A879F4" w:rsidP="00446B3D">
            <w:pPr>
              <w:pStyle w:val="NoSpacing"/>
              <w:rPr>
                <w:sz w:val="20"/>
                <w:szCs w:val="20"/>
              </w:rPr>
            </w:pPr>
            <w:r w:rsidRPr="00446B3D">
              <w:rPr>
                <w:sz w:val="20"/>
                <w:szCs w:val="20"/>
              </w:rPr>
              <w:t>-</w:t>
            </w:r>
          </w:p>
        </w:tc>
        <w:tc>
          <w:tcPr>
            <w:tcW w:w="422" w:type="pct"/>
          </w:tcPr>
          <w:p w14:paraId="79E15212" w14:textId="1815E655" w:rsidR="009F5F60" w:rsidRPr="00446B3D" w:rsidRDefault="00E84A35" w:rsidP="00446B3D">
            <w:pPr>
              <w:pStyle w:val="NoSpacing"/>
              <w:rPr>
                <w:sz w:val="20"/>
                <w:szCs w:val="20"/>
              </w:rPr>
            </w:pPr>
            <w:r w:rsidRPr="00446B3D">
              <w:rPr>
                <w:sz w:val="20"/>
                <w:szCs w:val="20"/>
              </w:rPr>
              <w:t>-</w:t>
            </w:r>
          </w:p>
        </w:tc>
      </w:tr>
      <w:tr w:rsidR="004B5487" w:rsidRPr="00446B3D" w14:paraId="0E3EE51D" w14:textId="77777777" w:rsidTr="00446B3D">
        <w:tc>
          <w:tcPr>
            <w:tcW w:w="1169" w:type="pct"/>
          </w:tcPr>
          <w:p w14:paraId="73A9AD30" w14:textId="074F0A29" w:rsidR="009F5F60" w:rsidRPr="00446B3D" w:rsidRDefault="00871C0B" w:rsidP="00446B3D">
            <w:pPr>
              <w:pStyle w:val="NoSpacing"/>
              <w:rPr>
                <w:sz w:val="20"/>
                <w:szCs w:val="20"/>
              </w:rPr>
            </w:pPr>
            <w:r w:rsidRPr="00446B3D">
              <w:rPr>
                <w:sz w:val="20"/>
                <w:szCs w:val="20"/>
              </w:rPr>
              <w:t>butyric acid</w:t>
            </w:r>
          </w:p>
        </w:tc>
        <w:tc>
          <w:tcPr>
            <w:tcW w:w="556" w:type="pct"/>
          </w:tcPr>
          <w:p w14:paraId="4F660DF0" w14:textId="69A25E23" w:rsidR="009F5F60" w:rsidRPr="00446B3D" w:rsidRDefault="004C4E18" w:rsidP="00446B3D">
            <w:pPr>
              <w:pStyle w:val="NoSpacing"/>
              <w:rPr>
                <w:sz w:val="20"/>
                <w:szCs w:val="20"/>
              </w:rPr>
            </w:pPr>
            <w:r w:rsidRPr="00446B3D">
              <w:rPr>
                <w:sz w:val="20"/>
                <w:szCs w:val="20"/>
              </w:rPr>
              <w:t>88.106</w:t>
            </w:r>
          </w:p>
        </w:tc>
        <w:tc>
          <w:tcPr>
            <w:tcW w:w="782" w:type="pct"/>
          </w:tcPr>
          <w:p w14:paraId="193181A3" w14:textId="7666A71B" w:rsidR="009F5F60" w:rsidRPr="00446B3D" w:rsidRDefault="00CE1AAA" w:rsidP="00446B3D">
            <w:pPr>
              <w:pStyle w:val="NoSpacing"/>
              <w:rPr>
                <w:sz w:val="20"/>
                <w:szCs w:val="20"/>
              </w:rPr>
            </w:pPr>
            <w:r w:rsidRPr="00446B3D">
              <w:rPr>
                <w:sz w:val="20"/>
                <w:szCs w:val="20"/>
              </w:rPr>
              <w:t>BD</w:t>
            </w:r>
          </w:p>
        </w:tc>
        <w:tc>
          <w:tcPr>
            <w:tcW w:w="694" w:type="pct"/>
          </w:tcPr>
          <w:p w14:paraId="1B470EB4" w14:textId="64E0F73E" w:rsidR="009F5F60" w:rsidRPr="00446B3D" w:rsidRDefault="00E300EA" w:rsidP="00446B3D">
            <w:pPr>
              <w:pStyle w:val="NoSpacing"/>
              <w:rPr>
                <w:sz w:val="20"/>
                <w:szCs w:val="20"/>
              </w:rPr>
            </w:pPr>
            <w:r w:rsidRPr="00446B3D">
              <w:rPr>
                <w:sz w:val="20"/>
                <w:szCs w:val="20"/>
              </w:rPr>
              <w:t>-</w:t>
            </w:r>
          </w:p>
        </w:tc>
        <w:tc>
          <w:tcPr>
            <w:tcW w:w="688" w:type="pct"/>
          </w:tcPr>
          <w:p w14:paraId="100BC39E" w14:textId="0E443C0D" w:rsidR="009F5F60" w:rsidRPr="00446B3D" w:rsidRDefault="000B3286" w:rsidP="00446B3D">
            <w:pPr>
              <w:pStyle w:val="NoSpacing"/>
              <w:rPr>
                <w:sz w:val="20"/>
                <w:szCs w:val="20"/>
              </w:rPr>
            </w:pPr>
            <w:r w:rsidRPr="00446B3D">
              <w:rPr>
                <w:sz w:val="20"/>
                <w:szCs w:val="20"/>
              </w:rPr>
              <w:t>-</w:t>
            </w:r>
          </w:p>
        </w:tc>
        <w:tc>
          <w:tcPr>
            <w:tcW w:w="688" w:type="pct"/>
          </w:tcPr>
          <w:p w14:paraId="2E5C4F07" w14:textId="5F71510E" w:rsidR="009F5F60" w:rsidRPr="00446B3D" w:rsidRDefault="00A879F4" w:rsidP="00446B3D">
            <w:pPr>
              <w:pStyle w:val="NoSpacing"/>
              <w:rPr>
                <w:sz w:val="20"/>
                <w:szCs w:val="20"/>
              </w:rPr>
            </w:pPr>
            <w:r w:rsidRPr="00446B3D">
              <w:rPr>
                <w:sz w:val="20"/>
                <w:szCs w:val="20"/>
              </w:rPr>
              <w:t>-</w:t>
            </w:r>
          </w:p>
        </w:tc>
        <w:tc>
          <w:tcPr>
            <w:tcW w:w="422" w:type="pct"/>
          </w:tcPr>
          <w:p w14:paraId="7CCAE1A1" w14:textId="1B320A45" w:rsidR="009F5F60" w:rsidRPr="00446B3D" w:rsidRDefault="00E84A35" w:rsidP="00446B3D">
            <w:pPr>
              <w:pStyle w:val="NoSpacing"/>
              <w:rPr>
                <w:sz w:val="20"/>
                <w:szCs w:val="20"/>
              </w:rPr>
            </w:pPr>
            <w:r w:rsidRPr="00446B3D">
              <w:rPr>
                <w:sz w:val="20"/>
                <w:szCs w:val="20"/>
              </w:rPr>
              <w:t>-</w:t>
            </w:r>
          </w:p>
        </w:tc>
      </w:tr>
      <w:tr w:rsidR="004B5487" w:rsidRPr="00446B3D" w14:paraId="702BFCC3" w14:textId="77777777" w:rsidTr="00446B3D">
        <w:tc>
          <w:tcPr>
            <w:tcW w:w="1169" w:type="pct"/>
          </w:tcPr>
          <w:p w14:paraId="62F9065D" w14:textId="20BEFA0B" w:rsidR="009F5F60" w:rsidRPr="00446B3D" w:rsidRDefault="00CF50E5" w:rsidP="00446B3D">
            <w:pPr>
              <w:pStyle w:val="NoSpacing"/>
              <w:rPr>
                <w:sz w:val="20"/>
                <w:szCs w:val="20"/>
              </w:rPr>
            </w:pPr>
            <w:r w:rsidRPr="00446B3D">
              <w:rPr>
                <w:sz w:val="20"/>
                <w:szCs w:val="20"/>
              </w:rPr>
              <w:t>methyl pyridine</w:t>
            </w:r>
          </w:p>
        </w:tc>
        <w:tc>
          <w:tcPr>
            <w:tcW w:w="556" w:type="pct"/>
          </w:tcPr>
          <w:p w14:paraId="067619DF" w14:textId="494B20D6" w:rsidR="009F5F60" w:rsidRPr="00446B3D" w:rsidRDefault="004C4E18" w:rsidP="00446B3D">
            <w:pPr>
              <w:pStyle w:val="NoSpacing"/>
              <w:rPr>
                <w:sz w:val="20"/>
                <w:szCs w:val="20"/>
              </w:rPr>
            </w:pPr>
            <w:r w:rsidRPr="00446B3D">
              <w:rPr>
                <w:sz w:val="20"/>
                <w:szCs w:val="20"/>
              </w:rPr>
              <w:t>93.129</w:t>
            </w:r>
          </w:p>
        </w:tc>
        <w:tc>
          <w:tcPr>
            <w:tcW w:w="782" w:type="pct"/>
          </w:tcPr>
          <w:p w14:paraId="7BCB2BB1" w14:textId="5B25AFE4" w:rsidR="009F5F60" w:rsidRPr="00446B3D" w:rsidRDefault="00CE1AAA" w:rsidP="00446B3D">
            <w:pPr>
              <w:pStyle w:val="NoSpacing"/>
              <w:rPr>
                <w:sz w:val="20"/>
                <w:szCs w:val="20"/>
              </w:rPr>
            </w:pPr>
            <w:r w:rsidRPr="00446B3D">
              <w:rPr>
                <w:sz w:val="20"/>
                <w:szCs w:val="20"/>
              </w:rPr>
              <w:t>-</w:t>
            </w:r>
          </w:p>
        </w:tc>
        <w:tc>
          <w:tcPr>
            <w:tcW w:w="694" w:type="pct"/>
          </w:tcPr>
          <w:p w14:paraId="3C582188" w14:textId="2579E5BC" w:rsidR="009F5F60" w:rsidRPr="00446B3D" w:rsidRDefault="00E300EA" w:rsidP="00446B3D">
            <w:pPr>
              <w:pStyle w:val="NoSpacing"/>
              <w:rPr>
                <w:sz w:val="20"/>
                <w:szCs w:val="20"/>
              </w:rPr>
            </w:pPr>
            <w:r w:rsidRPr="00446B3D">
              <w:rPr>
                <w:sz w:val="20"/>
                <w:szCs w:val="20"/>
              </w:rPr>
              <w:t>-</w:t>
            </w:r>
          </w:p>
        </w:tc>
        <w:tc>
          <w:tcPr>
            <w:tcW w:w="688" w:type="pct"/>
          </w:tcPr>
          <w:p w14:paraId="1C0B3E8B" w14:textId="5532DBFB" w:rsidR="009F5F60" w:rsidRPr="00446B3D" w:rsidRDefault="008303ED" w:rsidP="00446B3D">
            <w:pPr>
              <w:pStyle w:val="NoSpacing"/>
              <w:rPr>
                <w:sz w:val="20"/>
                <w:szCs w:val="20"/>
              </w:rPr>
            </w:pPr>
            <w:r w:rsidRPr="00446B3D">
              <w:rPr>
                <w:sz w:val="20"/>
                <w:szCs w:val="20"/>
              </w:rPr>
              <w:t>2.7</w:t>
            </w:r>
          </w:p>
        </w:tc>
        <w:tc>
          <w:tcPr>
            <w:tcW w:w="688" w:type="pct"/>
          </w:tcPr>
          <w:p w14:paraId="766B0FB1" w14:textId="565C96F1" w:rsidR="009F5F60" w:rsidRPr="00446B3D" w:rsidRDefault="00A879F4" w:rsidP="00446B3D">
            <w:pPr>
              <w:pStyle w:val="NoSpacing"/>
              <w:rPr>
                <w:sz w:val="20"/>
                <w:szCs w:val="20"/>
              </w:rPr>
            </w:pPr>
            <w:r w:rsidRPr="00446B3D">
              <w:rPr>
                <w:sz w:val="20"/>
                <w:szCs w:val="20"/>
              </w:rPr>
              <w:t>6.4</w:t>
            </w:r>
          </w:p>
        </w:tc>
        <w:tc>
          <w:tcPr>
            <w:tcW w:w="422" w:type="pct"/>
          </w:tcPr>
          <w:p w14:paraId="1DE83452" w14:textId="69C0C62A" w:rsidR="009F5F60" w:rsidRPr="00446B3D" w:rsidRDefault="00E84A35" w:rsidP="00446B3D">
            <w:pPr>
              <w:pStyle w:val="NoSpacing"/>
              <w:rPr>
                <w:sz w:val="20"/>
                <w:szCs w:val="20"/>
              </w:rPr>
            </w:pPr>
            <w:r w:rsidRPr="00446B3D">
              <w:rPr>
                <w:sz w:val="20"/>
                <w:szCs w:val="20"/>
              </w:rPr>
              <w:t>-</w:t>
            </w:r>
          </w:p>
        </w:tc>
      </w:tr>
      <w:tr w:rsidR="004B5487" w:rsidRPr="00446B3D" w14:paraId="4A456D36" w14:textId="77777777" w:rsidTr="00446B3D">
        <w:tc>
          <w:tcPr>
            <w:tcW w:w="1169" w:type="pct"/>
          </w:tcPr>
          <w:p w14:paraId="45B3DF75" w14:textId="75A70E01" w:rsidR="009F5F60" w:rsidRPr="00446B3D" w:rsidRDefault="00424067" w:rsidP="00446B3D">
            <w:pPr>
              <w:pStyle w:val="NoSpacing"/>
              <w:rPr>
                <w:sz w:val="20"/>
                <w:szCs w:val="20"/>
              </w:rPr>
            </w:pPr>
            <w:r w:rsidRPr="00446B3D">
              <w:rPr>
                <w:sz w:val="20"/>
                <w:szCs w:val="20"/>
              </w:rPr>
              <w:t>phenol</w:t>
            </w:r>
          </w:p>
        </w:tc>
        <w:tc>
          <w:tcPr>
            <w:tcW w:w="556" w:type="pct"/>
          </w:tcPr>
          <w:p w14:paraId="20906B57" w14:textId="297C25AC" w:rsidR="009F5F60" w:rsidRPr="00446B3D" w:rsidRDefault="006177F5" w:rsidP="00446B3D">
            <w:pPr>
              <w:pStyle w:val="NoSpacing"/>
              <w:rPr>
                <w:sz w:val="20"/>
                <w:szCs w:val="20"/>
              </w:rPr>
            </w:pPr>
            <w:r w:rsidRPr="00446B3D">
              <w:rPr>
                <w:sz w:val="20"/>
                <w:szCs w:val="20"/>
              </w:rPr>
              <w:t>94.113</w:t>
            </w:r>
          </w:p>
        </w:tc>
        <w:tc>
          <w:tcPr>
            <w:tcW w:w="782" w:type="pct"/>
          </w:tcPr>
          <w:p w14:paraId="5F72A84B" w14:textId="4FD9AC0C" w:rsidR="009F5F60" w:rsidRPr="00446B3D" w:rsidRDefault="00CE1AAA" w:rsidP="00446B3D">
            <w:pPr>
              <w:pStyle w:val="NoSpacing"/>
              <w:rPr>
                <w:sz w:val="20"/>
                <w:szCs w:val="20"/>
              </w:rPr>
            </w:pPr>
            <w:r w:rsidRPr="00446B3D">
              <w:rPr>
                <w:sz w:val="20"/>
                <w:szCs w:val="20"/>
              </w:rPr>
              <w:t>-</w:t>
            </w:r>
          </w:p>
        </w:tc>
        <w:tc>
          <w:tcPr>
            <w:tcW w:w="694" w:type="pct"/>
          </w:tcPr>
          <w:p w14:paraId="4CAF2E38" w14:textId="506F1977" w:rsidR="009F5F60" w:rsidRPr="00446B3D" w:rsidRDefault="00E300EA" w:rsidP="00446B3D">
            <w:pPr>
              <w:pStyle w:val="NoSpacing"/>
              <w:rPr>
                <w:sz w:val="20"/>
                <w:szCs w:val="20"/>
              </w:rPr>
            </w:pPr>
            <w:r w:rsidRPr="00446B3D">
              <w:rPr>
                <w:sz w:val="20"/>
                <w:szCs w:val="20"/>
              </w:rPr>
              <w:t>-</w:t>
            </w:r>
          </w:p>
        </w:tc>
        <w:tc>
          <w:tcPr>
            <w:tcW w:w="688" w:type="pct"/>
          </w:tcPr>
          <w:p w14:paraId="778D068A" w14:textId="0A4D9999" w:rsidR="009F5F60" w:rsidRPr="00446B3D" w:rsidRDefault="008303ED" w:rsidP="00446B3D">
            <w:pPr>
              <w:pStyle w:val="NoSpacing"/>
              <w:rPr>
                <w:sz w:val="20"/>
                <w:szCs w:val="20"/>
              </w:rPr>
            </w:pPr>
            <w:r w:rsidRPr="00446B3D">
              <w:rPr>
                <w:sz w:val="20"/>
                <w:szCs w:val="20"/>
              </w:rPr>
              <w:t>5.8</w:t>
            </w:r>
          </w:p>
        </w:tc>
        <w:tc>
          <w:tcPr>
            <w:tcW w:w="688" w:type="pct"/>
          </w:tcPr>
          <w:p w14:paraId="7840C10F" w14:textId="448A3EE3" w:rsidR="009F5F60" w:rsidRPr="00446B3D" w:rsidRDefault="00A879F4" w:rsidP="00446B3D">
            <w:pPr>
              <w:pStyle w:val="NoSpacing"/>
              <w:rPr>
                <w:sz w:val="20"/>
                <w:szCs w:val="20"/>
              </w:rPr>
            </w:pPr>
            <w:r w:rsidRPr="00446B3D">
              <w:rPr>
                <w:sz w:val="20"/>
                <w:szCs w:val="20"/>
              </w:rPr>
              <w:t>13.1</w:t>
            </w:r>
          </w:p>
        </w:tc>
        <w:tc>
          <w:tcPr>
            <w:tcW w:w="422" w:type="pct"/>
          </w:tcPr>
          <w:p w14:paraId="628CAFE9" w14:textId="4B6E3D82" w:rsidR="009F5F60" w:rsidRPr="00446B3D" w:rsidRDefault="00E84A35" w:rsidP="00446B3D">
            <w:pPr>
              <w:pStyle w:val="NoSpacing"/>
              <w:rPr>
                <w:sz w:val="20"/>
                <w:szCs w:val="20"/>
              </w:rPr>
            </w:pPr>
            <w:r w:rsidRPr="00446B3D">
              <w:rPr>
                <w:sz w:val="20"/>
                <w:szCs w:val="20"/>
              </w:rPr>
              <w:t>2,100</w:t>
            </w:r>
            <w:r w:rsidRPr="00446B3D">
              <w:rPr>
                <w:sz w:val="20"/>
                <w:szCs w:val="20"/>
                <w:vertAlign w:val="superscript"/>
              </w:rPr>
              <w:t>c</w:t>
            </w:r>
          </w:p>
        </w:tc>
      </w:tr>
      <w:tr w:rsidR="00DB347E" w:rsidRPr="00446B3D" w14:paraId="7524BD86" w14:textId="77777777" w:rsidTr="00446B3D">
        <w:tc>
          <w:tcPr>
            <w:tcW w:w="1169" w:type="pct"/>
          </w:tcPr>
          <w:p w14:paraId="6EB19553" w14:textId="3532D52A" w:rsidR="00461BFA" w:rsidRPr="00446B3D" w:rsidRDefault="00461BFA" w:rsidP="00446B3D">
            <w:pPr>
              <w:pStyle w:val="NoSpacing"/>
              <w:rPr>
                <w:sz w:val="20"/>
                <w:szCs w:val="20"/>
              </w:rPr>
            </w:pPr>
            <w:r w:rsidRPr="00446B3D">
              <w:rPr>
                <w:sz w:val="20"/>
                <w:szCs w:val="20"/>
              </w:rPr>
              <w:t>pyridineamine</w:t>
            </w:r>
          </w:p>
        </w:tc>
        <w:tc>
          <w:tcPr>
            <w:tcW w:w="556" w:type="pct"/>
          </w:tcPr>
          <w:p w14:paraId="2DBA9015" w14:textId="6E330231" w:rsidR="00461BFA" w:rsidRPr="00446B3D" w:rsidRDefault="00461BFA" w:rsidP="00446B3D">
            <w:pPr>
              <w:pStyle w:val="NoSpacing"/>
              <w:rPr>
                <w:sz w:val="20"/>
                <w:szCs w:val="20"/>
              </w:rPr>
            </w:pPr>
            <w:r w:rsidRPr="00446B3D">
              <w:rPr>
                <w:sz w:val="20"/>
                <w:szCs w:val="20"/>
              </w:rPr>
              <w:t>94.117</w:t>
            </w:r>
          </w:p>
        </w:tc>
        <w:tc>
          <w:tcPr>
            <w:tcW w:w="782" w:type="pct"/>
          </w:tcPr>
          <w:p w14:paraId="1F7A819E" w14:textId="6CAA299D" w:rsidR="00461BFA" w:rsidRPr="00446B3D" w:rsidRDefault="00CE1AAA" w:rsidP="00446B3D">
            <w:pPr>
              <w:pStyle w:val="NoSpacing"/>
              <w:rPr>
                <w:sz w:val="20"/>
                <w:szCs w:val="20"/>
              </w:rPr>
            </w:pPr>
            <w:r w:rsidRPr="00446B3D">
              <w:rPr>
                <w:sz w:val="20"/>
                <w:szCs w:val="20"/>
              </w:rPr>
              <w:t>-</w:t>
            </w:r>
          </w:p>
        </w:tc>
        <w:tc>
          <w:tcPr>
            <w:tcW w:w="694" w:type="pct"/>
          </w:tcPr>
          <w:p w14:paraId="61DE93EC" w14:textId="5130BE99" w:rsidR="00461BFA" w:rsidRPr="00446B3D" w:rsidRDefault="00E300EA" w:rsidP="00446B3D">
            <w:pPr>
              <w:pStyle w:val="NoSpacing"/>
              <w:rPr>
                <w:sz w:val="20"/>
                <w:szCs w:val="20"/>
              </w:rPr>
            </w:pPr>
            <w:r w:rsidRPr="00446B3D">
              <w:rPr>
                <w:sz w:val="20"/>
                <w:szCs w:val="20"/>
              </w:rPr>
              <w:t>-</w:t>
            </w:r>
          </w:p>
        </w:tc>
        <w:tc>
          <w:tcPr>
            <w:tcW w:w="688" w:type="pct"/>
          </w:tcPr>
          <w:p w14:paraId="32DDAAB7" w14:textId="3614A660" w:rsidR="00461BFA" w:rsidRPr="00446B3D" w:rsidRDefault="008303ED" w:rsidP="00446B3D">
            <w:pPr>
              <w:pStyle w:val="NoSpacing"/>
              <w:rPr>
                <w:sz w:val="20"/>
                <w:szCs w:val="20"/>
              </w:rPr>
            </w:pPr>
            <w:r w:rsidRPr="00446B3D">
              <w:rPr>
                <w:sz w:val="20"/>
                <w:szCs w:val="20"/>
              </w:rPr>
              <w:t>12.4</w:t>
            </w:r>
          </w:p>
        </w:tc>
        <w:tc>
          <w:tcPr>
            <w:tcW w:w="688" w:type="pct"/>
          </w:tcPr>
          <w:p w14:paraId="7CEAEA1F" w14:textId="7827B00D" w:rsidR="00461BFA" w:rsidRPr="00446B3D" w:rsidRDefault="002C2B6F" w:rsidP="00446B3D">
            <w:pPr>
              <w:pStyle w:val="NoSpacing"/>
              <w:rPr>
                <w:sz w:val="20"/>
                <w:szCs w:val="20"/>
              </w:rPr>
            </w:pPr>
            <w:r w:rsidRPr="00446B3D">
              <w:rPr>
                <w:sz w:val="20"/>
                <w:szCs w:val="20"/>
              </w:rPr>
              <w:t>-</w:t>
            </w:r>
          </w:p>
        </w:tc>
        <w:tc>
          <w:tcPr>
            <w:tcW w:w="422" w:type="pct"/>
          </w:tcPr>
          <w:p w14:paraId="647B9C36" w14:textId="64814723" w:rsidR="00461BFA" w:rsidRPr="00446B3D" w:rsidRDefault="00E84A35" w:rsidP="00446B3D">
            <w:pPr>
              <w:pStyle w:val="NoSpacing"/>
              <w:rPr>
                <w:sz w:val="20"/>
                <w:szCs w:val="20"/>
              </w:rPr>
            </w:pPr>
            <w:r w:rsidRPr="00446B3D">
              <w:rPr>
                <w:sz w:val="20"/>
                <w:szCs w:val="20"/>
              </w:rPr>
              <w:t>-</w:t>
            </w:r>
          </w:p>
        </w:tc>
      </w:tr>
      <w:tr w:rsidR="0005646D" w:rsidRPr="00446B3D" w14:paraId="78D79816" w14:textId="77777777" w:rsidTr="00446B3D">
        <w:tc>
          <w:tcPr>
            <w:tcW w:w="1169" w:type="pct"/>
          </w:tcPr>
          <w:p w14:paraId="40392FA0" w14:textId="7B3DB642" w:rsidR="009F5F60" w:rsidRPr="00446B3D" w:rsidRDefault="00E2516B" w:rsidP="00446B3D">
            <w:pPr>
              <w:pStyle w:val="NoSpacing"/>
              <w:rPr>
                <w:sz w:val="20"/>
                <w:szCs w:val="20"/>
              </w:rPr>
            </w:pPr>
            <w:r w:rsidRPr="00446B3D">
              <w:rPr>
                <w:sz w:val="20"/>
                <w:szCs w:val="20"/>
              </w:rPr>
              <w:t>methyl pyrazine</w:t>
            </w:r>
          </w:p>
        </w:tc>
        <w:tc>
          <w:tcPr>
            <w:tcW w:w="556" w:type="pct"/>
          </w:tcPr>
          <w:p w14:paraId="6CE4DE0C" w14:textId="4063FA9E" w:rsidR="009F5F60" w:rsidRPr="00446B3D" w:rsidRDefault="000423B6" w:rsidP="00446B3D">
            <w:pPr>
              <w:pStyle w:val="NoSpacing"/>
              <w:rPr>
                <w:sz w:val="20"/>
                <w:szCs w:val="20"/>
              </w:rPr>
            </w:pPr>
            <w:r w:rsidRPr="00446B3D">
              <w:rPr>
                <w:sz w:val="20"/>
                <w:szCs w:val="20"/>
              </w:rPr>
              <w:t>94.117</w:t>
            </w:r>
          </w:p>
        </w:tc>
        <w:tc>
          <w:tcPr>
            <w:tcW w:w="782" w:type="pct"/>
          </w:tcPr>
          <w:p w14:paraId="232752CB" w14:textId="570B6365" w:rsidR="009F5F60" w:rsidRPr="00446B3D" w:rsidRDefault="00CE1AAA" w:rsidP="00446B3D">
            <w:pPr>
              <w:pStyle w:val="NoSpacing"/>
              <w:rPr>
                <w:sz w:val="20"/>
                <w:szCs w:val="20"/>
              </w:rPr>
            </w:pPr>
            <w:r w:rsidRPr="00446B3D">
              <w:rPr>
                <w:sz w:val="20"/>
                <w:szCs w:val="20"/>
              </w:rPr>
              <w:t>-</w:t>
            </w:r>
          </w:p>
        </w:tc>
        <w:tc>
          <w:tcPr>
            <w:tcW w:w="694" w:type="pct"/>
          </w:tcPr>
          <w:p w14:paraId="36A006E5" w14:textId="560CE1A7" w:rsidR="009F5F60" w:rsidRPr="00446B3D" w:rsidRDefault="00E300EA" w:rsidP="00446B3D">
            <w:pPr>
              <w:pStyle w:val="NoSpacing"/>
              <w:rPr>
                <w:sz w:val="20"/>
                <w:szCs w:val="20"/>
              </w:rPr>
            </w:pPr>
            <w:r w:rsidRPr="00446B3D">
              <w:rPr>
                <w:sz w:val="20"/>
                <w:szCs w:val="20"/>
              </w:rPr>
              <w:t>-</w:t>
            </w:r>
          </w:p>
        </w:tc>
        <w:tc>
          <w:tcPr>
            <w:tcW w:w="688" w:type="pct"/>
          </w:tcPr>
          <w:p w14:paraId="34354E2B" w14:textId="694DD19B" w:rsidR="009F5F60" w:rsidRPr="00446B3D" w:rsidRDefault="00B84323" w:rsidP="00446B3D">
            <w:pPr>
              <w:pStyle w:val="NoSpacing"/>
              <w:rPr>
                <w:sz w:val="20"/>
                <w:szCs w:val="20"/>
              </w:rPr>
            </w:pPr>
            <w:r w:rsidRPr="00446B3D">
              <w:rPr>
                <w:sz w:val="20"/>
                <w:szCs w:val="20"/>
              </w:rPr>
              <w:t>3.5</w:t>
            </w:r>
          </w:p>
        </w:tc>
        <w:tc>
          <w:tcPr>
            <w:tcW w:w="688" w:type="pct"/>
          </w:tcPr>
          <w:p w14:paraId="7C048C54" w14:textId="05A8D49F" w:rsidR="009F5F60" w:rsidRPr="00446B3D" w:rsidRDefault="002C2B6F" w:rsidP="00446B3D">
            <w:pPr>
              <w:pStyle w:val="NoSpacing"/>
              <w:rPr>
                <w:sz w:val="20"/>
                <w:szCs w:val="20"/>
              </w:rPr>
            </w:pPr>
            <w:r w:rsidRPr="00446B3D">
              <w:rPr>
                <w:sz w:val="20"/>
                <w:szCs w:val="20"/>
              </w:rPr>
              <w:t>5.8</w:t>
            </w:r>
          </w:p>
        </w:tc>
        <w:tc>
          <w:tcPr>
            <w:tcW w:w="422" w:type="pct"/>
          </w:tcPr>
          <w:p w14:paraId="1D87ABD4" w14:textId="4E92E8F3" w:rsidR="009F5F60" w:rsidRPr="00446B3D" w:rsidRDefault="00E84A35" w:rsidP="00446B3D">
            <w:pPr>
              <w:pStyle w:val="NoSpacing"/>
              <w:rPr>
                <w:sz w:val="20"/>
                <w:szCs w:val="20"/>
              </w:rPr>
            </w:pPr>
            <w:r w:rsidRPr="00446B3D">
              <w:rPr>
                <w:sz w:val="20"/>
                <w:szCs w:val="20"/>
              </w:rPr>
              <w:t>-</w:t>
            </w:r>
          </w:p>
        </w:tc>
      </w:tr>
      <w:tr w:rsidR="0005646D" w:rsidRPr="00446B3D" w14:paraId="5127D414" w14:textId="77777777" w:rsidTr="00446B3D">
        <w:tc>
          <w:tcPr>
            <w:tcW w:w="1169" w:type="pct"/>
          </w:tcPr>
          <w:p w14:paraId="1F78DAC3" w14:textId="1BC6ADB7" w:rsidR="009F5F60" w:rsidRPr="00446B3D" w:rsidRDefault="009B41D4" w:rsidP="00446B3D">
            <w:pPr>
              <w:pStyle w:val="NoSpacing"/>
              <w:rPr>
                <w:sz w:val="20"/>
                <w:szCs w:val="20"/>
              </w:rPr>
            </w:pPr>
            <w:r w:rsidRPr="00446B3D">
              <w:rPr>
                <w:sz w:val="20"/>
                <w:szCs w:val="20"/>
              </w:rPr>
              <w:t>iso-valeric acid</w:t>
            </w:r>
          </w:p>
        </w:tc>
        <w:tc>
          <w:tcPr>
            <w:tcW w:w="556" w:type="pct"/>
          </w:tcPr>
          <w:p w14:paraId="7A6D1B8A" w14:textId="6DDA3A97" w:rsidR="009F5F60" w:rsidRPr="00446B3D" w:rsidRDefault="004B46CD" w:rsidP="00446B3D">
            <w:pPr>
              <w:pStyle w:val="NoSpacing"/>
              <w:rPr>
                <w:sz w:val="20"/>
                <w:szCs w:val="20"/>
              </w:rPr>
            </w:pPr>
            <w:r w:rsidRPr="00446B3D">
              <w:rPr>
                <w:sz w:val="20"/>
                <w:szCs w:val="20"/>
              </w:rPr>
              <w:t>102.133</w:t>
            </w:r>
          </w:p>
        </w:tc>
        <w:tc>
          <w:tcPr>
            <w:tcW w:w="782" w:type="pct"/>
          </w:tcPr>
          <w:p w14:paraId="46C67FE2" w14:textId="3AC6A28B" w:rsidR="009F5F60" w:rsidRPr="00446B3D" w:rsidRDefault="00CE1AAA" w:rsidP="00446B3D">
            <w:pPr>
              <w:pStyle w:val="NoSpacing"/>
              <w:rPr>
                <w:sz w:val="20"/>
                <w:szCs w:val="20"/>
              </w:rPr>
            </w:pPr>
            <w:r w:rsidRPr="00446B3D">
              <w:rPr>
                <w:sz w:val="20"/>
                <w:szCs w:val="20"/>
              </w:rPr>
              <w:t>BD</w:t>
            </w:r>
          </w:p>
        </w:tc>
        <w:tc>
          <w:tcPr>
            <w:tcW w:w="694" w:type="pct"/>
          </w:tcPr>
          <w:p w14:paraId="4824D997" w14:textId="473996FD" w:rsidR="009F5F60" w:rsidRPr="00446B3D" w:rsidRDefault="00E300EA" w:rsidP="00446B3D">
            <w:pPr>
              <w:pStyle w:val="NoSpacing"/>
              <w:rPr>
                <w:sz w:val="20"/>
                <w:szCs w:val="20"/>
              </w:rPr>
            </w:pPr>
            <w:r w:rsidRPr="00446B3D">
              <w:rPr>
                <w:sz w:val="20"/>
                <w:szCs w:val="20"/>
              </w:rPr>
              <w:t>-</w:t>
            </w:r>
          </w:p>
        </w:tc>
        <w:tc>
          <w:tcPr>
            <w:tcW w:w="688" w:type="pct"/>
          </w:tcPr>
          <w:p w14:paraId="48BC638D" w14:textId="696F2590" w:rsidR="009F5F60" w:rsidRPr="00446B3D" w:rsidRDefault="00B84323" w:rsidP="00446B3D">
            <w:pPr>
              <w:pStyle w:val="NoSpacing"/>
              <w:rPr>
                <w:sz w:val="20"/>
                <w:szCs w:val="20"/>
              </w:rPr>
            </w:pPr>
            <w:r w:rsidRPr="00446B3D">
              <w:rPr>
                <w:sz w:val="20"/>
                <w:szCs w:val="20"/>
              </w:rPr>
              <w:t>-</w:t>
            </w:r>
          </w:p>
        </w:tc>
        <w:tc>
          <w:tcPr>
            <w:tcW w:w="688" w:type="pct"/>
          </w:tcPr>
          <w:p w14:paraId="7E43EF10" w14:textId="38F18CE3" w:rsidR="009F5F60" w:rsidRPr="00446B3D" w:rsidRDefault="002C2B6F" w:rsidP="00446B3D">
            <w:pPr>
              <w:pStyle w:val="NoSpacing"/>
              <w:rPr>
                <w:sz w:val="20"/>
                <w:szCs w:val="20"/>
              </w:rPr>
            </w:pPr>
            <w:r w:rsidRPr="00446B3D">
              <w:rPr>
                <w:sz w:val="20"/>
                <w:szCs w:val="20"/>
              </w:rPr>
              <w:t>-</w:t>
            </w:r>
          </w:p>
        </w:tc>
        <w:tc>
          <w:tcPr>
            <w:tcW w:w="422" w:type="pct"/>
          </w:tcPr>
          <w:p w14:paraId="01F28D6A" w14:textId="74FF86F2" w:rsidR="009F5F60" w:rsidRPr="00446B3D" w:rsidRDefault="00E84A35" w:rsidP="00446B3D">
            <w:pPr>
              <w:pStyle w:val="NoSpacing"/>
              <w:rPr>
                <w:sz w:val="20"/>
                <w:szCs w:val="20"/>
              </w:rPr>
            </w:pPr>
            <w:r w:rsidRPr="00446B3D">
              <w:rPr>
                <w:sz w:val="20"/>
                <w:szCs w:val="20"/>
              </w:rPr>
              <w:t>-</w:t>
            </w:r>
          </w:p>
        </w:tc>
      </w:tr>
      <w:tr w:rsidR="0005646D" w:rsidRPr="00446B3D" w14:paraId="169E544E" w14:textId="77777777" w:rsidTr="00446B3D">
        <w:tc>
          <w:tcPr>
            <w:tcW w:w="1169" w:type="pct"/>
          </w:tcPr>
          <w:p w14:paraId="62C6F6F3" w14:textId="2C141F72" w:rsidR="009F5F60" w:rsidRPr="00446B3D" w:rsidRDefault="00D33F32" w:rsidP="00446B3D">
            <w:pPr>
              <w:pStyle w:val="NoSpacing"/>
              <w:rPr>
                <w:sz w:val="20"/>
                <w:szCs w:val="20"/>
              </w:rPr>
            </w:pPr>
            <w:r w:rsidRPr="00446B3D">
              <w:rPr>
                <w:sz w:val="20"/>
                <w:szCs w:val="20"/>
              </w:rPr>
              <w:t>valeric acid</w:t>
            </w:r>
          </w:p>
        </w:tc>
        <w:tc>
          <w:tcPr>
            <w:tcW w:w="556" w:type="pct"/>
          </w:tcPr>
          <w:p w14:paraId="05FCBB4C" w14:textId="51F61978" w:rsidR="009F5F60" w:rsidRPr="00446B3D" w:rsidRDefault="004B46CD" w:rsidP="00446B3D">
            <w:pPr>
              <w:pStyle w:val="NoSpacing"/>
              <w:rPr>
                <w:sz w:val="20"/>
                <w:szCs w:val="20"/>
              </w:rPr>
            </w:pPr>
            <w:r w:rsidRPr="00446B3D">
              <w:rPr>
                <w:sz w:val="20"/>
                <w:szCs w:val="20"/>
              </w:rPr>
              <w:t>102.133</w:t>
            </w:r>
          </w:p>
        </w:tc>
        <w:tc>
          <w:tcPr>
            <w:tcW w:w="782" w:type="pct"/>
          </w:tcPr>
          <w:p w14:paraId="4BA9FF1E" w14:textId="1C7D422A" w:rsidR="009F5F60" w:rsidRPr="00446B3D" w:rsidRDefault="00CE1AAA" w:rsidP="00446B3D">
            <w:pPr>
              <w:pStyle w:val="NoSpacing"/>
              <w:rPr>
                <w:sz w:val="20"/>
                <w:szCs w:val="20"/>
              </w:rPr>
            </w:pPr>
            <w:r w:rsidRPr="00446B3D">
              <w:rPr>
                <w:sz w:val="20"/>
                <w:szCs w:val="20"/>
              </w:rPr>
              <w:t>BD</w:t>
            </w:r>
          </w:p>
        </w:tc>
        <w:tc>
          <w:tcPr>
            <w:tcW w:w="694" w:type="pct"/>
          </w:tcPr>
          <w:p w14:paraId="53ACF7B1" w14:textId="12F98180" w:rsidR="009F5F60" w:rsidRPr="00446B3D" w:rsidRDefault="00915553" w:rsidP="00446B3D">
            <w:pPr>
              <w:pStyle w:val="NoSpacing"/>
              <w:rPr>
                <w:sz w:val="20"/>
                <w:szCs w:val="20"/>
              </w:rPr>
            </w:pPr>
            <w:r w:rsidRPr="00446B3D">
              <w:rPr>
                <w:sz w:val="20"/>
                <w:szCs w:val="20"/>
              </w:rPr>
              <w:t>-</w:t>
            </w:r>
          </w:p>
        </w:tc>
        <w:tc>
          <w:tcPr>
            <w:tcW w:w="688" w:type="pct"/>
          </w:tcPr>
          <w:p w14:paraId="2DA71A51" w14:textId="6800E19F" w:rsidR="009F5F60" w:rsidRPr="00446B3D" w:rsidRDefault="00B84323" w:rsidP="00446B3D">
            <w:pPr>
              <w:pStyle w:val="NoSpacing"/>
              <w:rPr>
                <w:sz w:val="20"/>
                <w:szCs w:val="20"/>
              </w:rPr>
            </w:pPr>
            <w:r w:rsidRPr="00446B3D">
              <w:rPr>
                <w:sz w:val="20"/>
                <w:szCs w:val="20"/>
              </w:rPr>
              <w:t>-</w:t>
            </w:r>
          </w:p>
        </w:tc>
        <w:tc>
          <w:tcPr>
            <w:tcW w:w="688" w:type="pct"/>
          </w:tcPr>
          <w:p w14:paraId="7EA9672B" w14:textId="25B6B1FD" w:rsidR="009F5F60" w:rsidRPr="00446B3D" w:rsidRDefault="002C2B6F" w:rsidP="00446B3D">
            <w:pPr>
              <w:pStyle w:val="NoSpacing"/>
              <w:rPr>
                <w:sz w:val="20"/>
                <w:szCs w:val="20"/>
              </w:rPr>
            </w:pPr>
            <w:r w:rsidRPr="00446B3D">
              <w:rPr>
                <w:sz w:val="20"/>
                <w:szCs w:val="20"/>
              </w:rPr>
              <w:t>-</w:t>
            </w:r>
          </w:p>
        </w:tc>
        <w:tc>
          <w:tcPr>
            <w:tcW w:w="422" w:type="pct"/>
          </w:tcPr>
          <w:p w14:paraId="7FFFE26C" w14:textId="483F2409" w:rsidR="009F5F60" w:rsidRPr="00446B3D" w:rsidRDefault="000132F6" w:rsidP="00446B3D">
            <w:pPr>
              <w:pStyle w:val="NoSpacing"/>
              <w:rPr>
                <w:sz w:val="20"/>
                <w:szCs w:val="20"/>
              </w:rPr>
            </w:pPr>
            <w:r w:rsidRPr="00446B3D">
              <w:rPr>
                <w:sz w:val="20"/>
                <w:szCs w:val="20"/>
              </w:rPr>
              <w:t>-</w:t>
            </w:r>
          </w:p>
        </w:tc>
      </w:tr>
      <w:tr w:rsidR="0005646D" w:rsidRPr="00446B3D" w14:paraId="64C5DFF5" w14:textId="77777777" w:rsidTr="00446B3D">
        <w:tc>
          <w:tcPr>
            <w:tcW w:w="1169" w:type="pct"/>
          </w:tcPr>
          <w:p w14:paraId="261A8C35" w14:textId="2A241BC1" w:rsidR="009F5F60" w:rsidRPr="00446B3D" w:rsidRDefault="00E45FEC" w:rsidP="00446B3D">
            <w:pPr>
              <w:pStyle w:val="NoSpacing"/>
              <w:rPr>
                <w:sz w:val="20"/>
                <w:szCs w:val="20"/>
              </w:rPr>
            </w:pPr>
            <w:r w:rsidRPr="00446B3D">
              <w:rPr>
                <w:sz w:val="20"/>
                <w:szCs w:val="20"/>
              </w:rPr>
              <w:t>benzonitrile</w:t>
            </w:r>
          </w:p>
        </w:tc>
        <w:tc>
          <w:tcPr>
            <w:tcW w:w="556" w:type="pct"/>
          </w:tcPr>
          <w:p w14:paraId="6381896B" w14:textId="1ECEF96E" w:rsidR="009F5F60" w:rsidRPr="00446B3D" w:rsidRDefault="00521B7D" w:rsidP="00446B3D">
            <w:pPr>
              <w:pStyle w:val="NoSpacing"/>
              <w:rPr>
                <w:sz w:val="20"/>
                <w:szCs w:val="20"/>
              </w:rPr>
            </w:pPr>
            <w:r w:rsidRPr="00446B3D">
              <w:rPr>
                <w:sz w:val="20"/>
                <w:szCs w:val="20"/>
              </w:rPr>
              <w:t>103.124</w:t>
            </w:r>
          </w:p>
        </w:tc>
        <w:tc>
          <w:tcPr>
            <w:tcW w:w="782" w:type="pct"/>
          </w:tcPr>
          <w:p w14:paraId="7B81C89A" w14:textId="7EA3BAE5" w:rsidR="009F5F60" w:rsidRPr="00446B3D" w:rsidRDefault="002E6A97" w:rsidP="00446B3D">
            <w:pPr>
              <w:pStyle w:val="NoSpacing"/>
              <w:rPr>
                <w:sz w:val="20"/>
                <w:szCs w:val="20"/>
              </w:rPr>
            </w:pPr>
            <w:r w:rsidRPr="00446B3D">
              <w:rPr>
                <w:sz w:val="20"/>
                <w:szCs w:val="20"/>
              </w:rPr>
              <w:t>-</w:t>
            </w:r>
          </w:p>
        </w:tc>
        <w:tc>
          <w:tcPr>
            <w:tcW w:w="694" w:type="pct"/>
          </w:tcPr>
          <w:p w14:paraId="3CF9AA04" w14:textId="08E9BC82" w:rsidR="009F5F60" w:rsidRPr="00446B3D" w:rsidRDefault="00915553" w:rsidP="00446B3D">
            <w:pPr>
              <w:pStyle w:val="NoSpacing"/>
              <w:rPr>
                <w:sz w:val="20"/>
                <w:szCs w:val="20"/>
              </w:rPr>
            </w:pPr>
            <w:r w:rsidRPr="00446B3D">
              <w:rPr>
                <w:sz w:val="20"/>
                <w:szCs w:val="20"/>
              </w:rPr>
              <w:t>-</w:t>
            </w:r>
          </w:p>
        </w:tc>
        <w:tc>
          <w:tcPr>
            <w:tcW w:w="688" w:type="pct"/>
          </w:tcPr>
          <w:p w14:paraId="50FC2ED9" w14:textId="04DC8893" w:rsidR="009F5F60" w:rsidRPr="00446B3D" w:rsidRDefault="00B84323" w:rsidP="00446B3D">
            <w:pPr>
              <w:pStyle w:val="NoSpacing"/>
              <w:rPr>
                <w:sz w:val="20"/>
                <w:szCs w:val="20"/>
              </w:rPr>
            </w:pPr>
            <w:r w:rsidRPr="00446B3D">
              <w:rPr>
                <w:sz w:val="20"/>
                <w:szCs w:val="20"/>
              </w:rPr>
              <w:t>-</w:t>
            </w:r>
          </w:p>
        </w:tc>
        <w:tc>
          <w:tcPr>
            <w:tcW w:w="688" w:type="pct"/>
          </w:tcPr>
          <w:p w14:paraId="759E1B09" w14:textId="1C7F08C5" w:rsidR="009F5F60" w:rsidRPr="00446B3D" w:rsidRDefault="002C2B6F" w:rsidP="00446B3D">
            <w:pPr>
              <w:pStyle w:val="NoSpacing"/>
              <w:rPr>
                <w:sz w:val="20"/>
                <w:szCs w:val="20"/>
              </w:rPr>
            </w:pPr>
            <w:r w:rsidRPr="00446B3D">
              <w:rPr>
                <w:sz w:val="20"/>
                <w:szCs w:val="20"/>
              </w:rPr>
              <w:t>3.8</w:t>
            </w:r>
          </w:p>
        </w:tc>
        <w:tc>
          <w:tcPr>
            <w:tcW w:w="422" w:type="pct"/>
          </w:tcPr>
          <w:p w14:paraId="5314EC9B" w14:textId="0AAE804A" w:rsidR="009F5F60" w:rsidRPr="00446B3D" w:rsidRDefault="000132F6" w:rsidP="00446B3D">
            <w:pPr>
              <w:pStyle w:val="NoSpacing"/>
              <w:rPr>
                <w:sz w:val="20"/>
                <w:szCs w:val="20"/>
              </w:rPr>
            </w:pPr>
            <w:r w:rsidRPr="00446B3D">
              <w:rPr>
                <w:sz w:val="20"/>
                <w:szCs w:val="20"/>
              </w:rPr>
              <w:t>1,100</w:t>
            </w:r>
            <w:r w:rsidRPr="00446B3D">
              <w:rPr>
                <w:sz w:val="20"/>
                <w:szCs w:val="20"/>
                <w:vertAlign w:val="superscript"/>
              </w:rPr>
              <w:t>c</w:t>
            </w:r>
          </w:p>
        </w:tc>
      </w:tr>
      <w:tr w:rsidR="00DB347E" w:rsidRPr="00446B3D" w14:paraId="6E344FA3" w14:textId="77777777" w:rsidTr="00446B3D">
        <w:tc>
          <w:tcPr>
            <w:tcW w:w="1169" w:type="pct"/>
          </w:tcPr>
          <w:p w14:paraId="416FE754" w14:textId="77777777" w:rsidR="00461BFA" w:rsidRPr="00446B3D" w:rsidRDefault="00461BFA" w:rsidP="00446B3D">
            <w:pPr>
              <w:pStyle w:val="NoSpacing"/>
              <w:rPr>
                <w:sz w:val="20"/>
                <w:szCs w:val="20"/>
              </w:rPr>
            </w:pPr>
            <w:r w:rsidRPr="00446B3D">
              <w:rPr>
                <w:sz w:val="20"/>
                <w:szCs w:val="20"/>
              </w:rPr>
              <w:t>styrene</w:t>
            </w:r>
          </w:p>
        </w:tc>
        <w:tc>
          <w:tcPr>
            <w:tcW w:w="556" w:type="pct"/>
          </w:tcPr>
          <w:p w14:paraId="79E4298F" w14:textId="3B8496E6" w:rsidR="00461BFA" w:rsidRPr="00446B3D" w:rsidRDefault="00C02EED" w:rsidP="00446B3D">
            <w:pPr>
              <w:pStyle w:val="NoSpacing"/>
              <w:rPr>
                <w:sz w:val="20"/>
                <w:szCs w:val="20"/>
              </w:rPr>
            </w:pPr>
            <w:r w:rsidRPr="00446B3D">
              <w:rPr>
                <w:sz w:val="20"/>
                <w:szCs w:val="20"/>
              </w:rPr>
              <w:t>104.152</w:t>
            </w:r>
          </w:p>
        </w:tc>
        <w:tc>
          <w:tcPr>
            <w:tcW w:w="782" w:type="pct"/>
          </w:tcPr>
          <w:p w14:paraId="7EA27CB3" w14:textId="6A45E26B" w:rsidR="00461BFA" w:rsidRPr="00446B3D" w:rsidRDefault="002E6A97" w:rsidP="00446B3D">
            <w:pPr>
              <w:pStyle w:val="NoSpacing"/>
              <w:rPr>
                <w:sz w:val="20"/>
                <w:szCs w:val="20"/>
              </w:rPr>
            </w:pPr>
            <w:r w:rsidRPr="00446B3D">
              <w:rPr>
                <w:sz w:val="20"/>
                <w:szCs w:val="20"/>
              </w:rPr>
              <w:t>-</w:t>
            </w:r>
          </w:p>
        </w:tc>
        <w:tc>
          <w:tcPr>
            <w:tcW w:w="694" w:type="pct"/>
          </w:tcPr>
          <w:p w14:paraId="3A96E0A7" w14:textId="73C4A003" w:rsidR="00461BFA" w:rsidRPr="00446B3D" w:rsidRDefault="008D719A" w:rsidP="00446B3D">
            <w:pPr>
              <w:pStyle w:val="NoSpacing"/>
              <w:rPr>
                <w:sz w:val="20"/>
                <w:szCs w:val="20"/>
              </w:rPr>
            </w:pPr>
            <w:r w:rsidRPr="00446B3D">
              <w:rPr>
                <w:sz w:val="20"/>
                <w:szCs w:val="20"/>
              </w:rPr>
              <w:t>0.05 ± 0.03</w:t>
            </w:r>
          </w:p>
        </w:tc>
        <w:tc>
          <w:tcPr>
            <w:tcW w:w="688" w:type="pct"/>
          </w:tcPr>
          <w:p w14:paraId="493549CC" w14:textId="1B7033E4" w:rsidR="00461BFA" w:rsidRPr="00446B3D" w:rsidRDefault="00B84323" w:rsidP="00446B3D">
            <w:pPr>
              <w:pStyle w:val="NoSpacing"/>
              <w:rPr>
                <w:sz w:val="20"/>
                <w:szCs w:val="20"/>
              </w:rPr>
            </w:pPr>
            <w:r w:rsidRPr="00446B3D">
              <w:rPr>
                <w:sz w:val="20"/>
                <w:szCs w:val="20"/>
              </w:rPr>
              <w:t>-</w:t>
            </w:r>
          </w:p>
        </w:tc>
        <w:tc>
          <w:tcPr>
            <w:tcW w:w="688" w:type="pct"/>
          </w:tcPr>
          <w:p w14:paraId="1C5CFCDD" w14:textId="0ACAA1D0" w:rsidR="00461BFA" w:rsidRPr="00446B3D" w:rsidRDefault="00297BE0" w:rsidP="00446B3D">
            <w:pPr>
              <w:pStyle w:val="NoSpacing"/>
              <w:rPr>
                <w:sz w:val="20"/>
                <w:szCs w:val="20"/>
              </w:rPr>
            </w:pPr>
            <w:r w:rsidRPr="00446B3D">
              <w:rPr>
                <w:sz w:val="20"/>
                <w:szCs w:val="20"/>
              </w:rPr>
              <w:t>-</w:t>
            </w:r>
          </w:p>
        </w:tc>
        <w:tc>
          <w:tcPr>
            <w:tcW w:w="422" w:type="pct"/>
          </w:tcPr>
          <w:p w14:paraId="162D9831" w14:textId="4D9C69C1" w:rsidR="00461BFA" w:rsidRPr="00446B3D" w:rsidRDefault="000C6E04" w:rsidP="00446B3D">
            <w:pPr>
              <w:pStyle w:val="NoSpacing"/>
              <w:rPr>
                <w:sz w:val="20"/>
                <w:szCs w:val="20"/>
              </w:rPr>
            </w:pPr>
            <w:r w:rsidRPr="00446B3D">
              <w:rPr>
                <w:sz w:val="20"/>
                <w:szCs w:val="20"/>
              </w:rPr>
              <w:t>150</w:t>
            </w:r>
            <w:r w:rsidRPr="00446B3D">
              <w:rPr>
                <w:sz w:val="20"/>
                <w:szCs w:val="20"/>
                <w:vertAlign w:val="superscript"/>
              </w:rPr>
              <w:t>d</w:t>
            </w:r>
          </w:p>
        </w:tc>
      </w:tr>
      <w:tr w:rsidR="00DB347E" w:rsidRPr="00446B3D" w14:paraId="1AE40AA8" w14:textId="77777777" w:rsidTr="00446B3D">
        <w:tc>
          <w:tcPr>
            <w:tcW w:w="1169" w:type="pct"/>
          </w:tcPr>
          <w:p w14:paraId="4E0E0878" w14:textId="77777777" w:rsidR="00461BFA" w:rsidRPr="00446B3D" w:rsidRDefault="00461BFA" w:rsidP="00446B3D">
            <w:pPr>
              <w:pStyle w:val="NoSpacing"/>
              <w:rPr>
                <w:sz w:val="20"/>
                <w:szCs w:val="20"/>
              </w:rPr>
            </w:pPr>
            <w:r w:rsidRPr="00446B3D">
              <w:rPr>
                <w:sz w:val="20"/>
                <w:szCs w:val="20"/>
              </w:rPr>
              <w:t>ethylbenzene</w:t>
            </w:r>
          </w:p>
        </w:tc>
        <w:tc>
          <w:tcPr>
            <w:tcW w:w="556" w:type="pct"/>
          </w:tcPr>
          <w:p w14:paraId="0B67B9C4" w14:textId="13CED02C" w:rsidR="00461BFA" w:rsidRPr="00446B3D" w:rsidRDefault="00C02EED" w:rsidP="00446B3D">
            <w:pPr>
              <w:pStyle w:val="NoSpacing"/>
              <w:rPr>
                <w:sz w:val="20"/>
                <w:szCs w:val="20"/>
              </w:rPr>
            </w:pPr>
            <w:r w:rsidRPr="00446B3D">
              <w:rPr>
                <w:sz w:val="20"/>
                <w:szCs w:val="20"/>
              </w:rPr>
              <w:t>106.17</w:t>
            </w:r>
          </w:p>
        </w:tc>
        <w:tc>
          <w:tcPr>
            <w:tcW w:w="782" w:type="pct"/>
          </w:tcPr>
          <w:p w14:paraId="55A50F7B" w14:textId="160C0D32" w:rsidR="00461BFA" w:rsidRPr="00446B3D" w:rsidRDefault="002E6A97" w:rsidP="00446B3D">
            <w:pPr>
              <w:pStyle w:val="NoSpacing"/>
              <w:rPr>
                <w:sz w:val="20"/>
                <w:szCs w:val="20"/>
              </w:rPr>
            </w:pPr>
            <w:r w:rsidRPr="00446B3D">
              <w:rPr>
                <w:sz w:val="20"/>
                <w:szCs w:val="20"/>
              </w:rPr>
              <w:t>-</w:t>
            </w:r>
          </w:p>
        </w:tc>
        <w:tc>
          <w:tcPr>
            <w:tcW w:w="694" w:type="pct"/>
          </w:tcPr>
          <w:p w14:paraId="384FD7EC" w14:textId="2792F815" w:rsidR="00461BFA" w:rsidRPr="00446B3D" w:rsidRDefault="008D719A" w:rsidP="00446B3D">
            <w:pPr>
              <w:pStyle w:val="NoSpacing"/>
              <w:rPr>
                <w:sz w:val="20"/>
                <w:szCs w:val="20"/>
              </w:rPr>
            </w:pPr>
            <w:r w:rsidRPr="00446B3D">
              <w:rPr>
                <w:sz w:val="20"/>
                <w:szCs w:val="20"/>
              </w:rPr>
              <w:t>0.2 ± 0.12</w:t>
            </w:r>
          </w:p>
        </w:tc>
        <w:tc>
          <w:tcPr>
            <w:tcW w:w="688" w:type="pct"/>
          </w:tcPr>
          <w:p w14:paraId="6A1B4456" w14:textId="2664CF12" w:rsidR="00461BFA" w:rsidRPr="00446B3D" w:rsidRDefault="00BB6A27" w:rsidP="00446B3D">
            <w:pPr>
              <w:pStyle w:val="NoSpacing"/>
              <w:rPr>
                <w:sz w:val="20"/>
                <w:szCs w:val="20"/>
              </w:rPr>
            </w:pPr>
            <w:r w:rsidRPr="00446B3D">
              <w:rPr>
                <w:sz w:val="20"/>
                <w:szCs w:val="20"/>
              </w:rPr>
              <w:t>-</w:t>
            </w:r>
          </w:p>
        </w:tc>
        <w:tc>
          <w:tcPr>
            <w:tcW w:w="688" w:type="pct"/>
          </w:tcPr>
          <w:p w14:paraId="33197BA6" w14:textId="1AAE5440" w:rsidR="00461BFA" w:rsidRPr="00446B3D" w:rsidRDefault="00297BE0" w:rsidP="00446B3D">
            <w:pPr>
              <w:pStyle w:val="NoSpacing"/>
              <w:rPr>
                <w:sz w:val="20"/>
                <w:szCs w:val="20"/>
              </w:rPr>
            </w:pPr>
            <w:r w:rsidRPr="00446B3D">
              <w:rPr>
                <w:sz w:val="20"/>
                <w:szCs w:val="20"/>
              </w:rPr>
              <w:t>-</w:t>
            </w:r>
          </w:p>
        </w:tc>
        <w:tc>
          <w:tcPr>
            <w:tcW w:w="422" w:type="pct"/>
          </w:tcPr>
          <w:p w14:paraId="67E01720" w14:textId="18C75784" w:rsidR="00461BFA" w:rsidRPr="00446B3D" w:rsidRDefault="001321FA" w:rsidP="00446B3D">
            <w:pPr>
              <w:pStyle w:val="NoSpacing"/>
              <w:rPr>
                <w:sz w:val="20"/>
                <w:szCs w:val="20"/>
              </w:rPr>
            </w:pPr>
            <w:r w:rsidRPr="00446B3D">
              <w:rPr>
                <w:sz w:val="20"/>
                <w:szCs w:val="20"/>
              </w:rPr>
              <w:t>160</w:t>
            </w:r>
            <w:r w:rsidRPr="00446B3D">
              <w:rPr>
                <w:sz w:val="20"/>
                <w:szCs w:val="20"/>
                <w:vertAlign w:val="superscript"/>
              </w:rPr>
              <w:t>c</w:t>
            </w:r>
          </w:p>
        </w:tc>
      </w:tr>
      <w:tr w:rsidR="0005646D" w:rsidRPr="00446B3D" w14:paraId="08620671" w14:textId="77777777" w:rsidTr="00446B3D">
        <w:tc>
          <w:tcPr>
            <w:tcW w:w="1169" w:type="pct"/>
          </w:tcPr>
          <w:p w14:paraId="4B8F2345" w14:textId="47CA5360" w:rsidR="0005646D" w:rsidRPr="00446B3D" w:rsidRDefault="0005646D" w:rsidP="00446B3D">
            <w:pPr>
              <w:pStyle w:val="NoSpacing"/>
              <w:rPr>
                <w:sz w:val="20"/>
                <w:szCs w:val="20"/>
              </w:rPr>
            </w:pPr>
            <w:r w:rsidRPr="00446B3D">
              <w:rPr>
                <w:sz w:val="20"/>
                <w:szCs w:val="20"/>
              </w:rPr>
              <w:t>p-cresol</w:t>
            </w:r>
          </w:p>
        </w:tc>
        <w:tc>
          <w:tcPr>
            <w:tcW w:w="556" w:type="pct"/>
          </w:tcPr>
          <w:p w14:paraId="4D48FB29" w14:textId="2639BDA3" w:rsidR="0005646D" w:rsidRPr="00446B3D" w:rsidRDefault="00E43F9B" w:rsidP="00446B3D">
            <w:pPr>
              <w:pStyle w:val="NoSpacing"/>
              <w:rPr>
                <w:sz w:val="20"/>
                <w:szCs w:val="20"/>
              </w:rPr>
            </w:pPr>
            <w:r w:rsidRPr="00446B3D">
              <w:rPr>
                <w:sz w:val="20"/>
                <w:szCs w:val="20"/>
              </w:rPr>
              <w:t>108.14</w:t>
            </w:r>
          </w:p>
        </w:tc>
        <w:tc>
          <w:tcPr>
            <w:tcW w:w="782" w:type="pct"/>
          </w:tcPr>
          <w:p w14:paraId="03D83FB8" w14:textId="67630756" w:rsidR="0005646D" w:rsidRPr="00446B3D" w:rsidRDefault="002E6A97" w:rsidP="00446B3D">
            <w:pPr>
              <w:pStyle w:val="NoSpacing"/>
              <w:rPr>
                <w:sz w:val="20"/>
                <w:szCs w:val="20"/>
              </w:rPr>
            </w:pPr>
            <w:r w:rsidRPr="00446B3D">
              <w:rPr>
                <w:sz w:val="20"/>
                <w:szCs w:val="20"/>
              </w:rPr>
              <w:t>-</w:t>
            </w:r>
          </w:p>
        </w:tc>
        <w:tc>
          <w:tcPr>
            <w:tcW w:w="694" w:type="pct"/>
          </w:tcPr>
          <w:p w14:paraId="4D806AFE" w14:textId="68204C7A" w:rsidR="0005646D" w:rsidRPr="00446B3D" w:rsidRDefault="008D719A" w:rsidP="00446B3D">
            <w:pPr>
              <w:pStyle w:val="NoSpacing"/>
              <w:rPr>
                <w:sz w:val="20"/>
                <w:szCs w:val="20"/>
              </w:rPr>
            </w:pPr>
            <w:r w:rsidRPr="00446B3D">
              <w:rPr>
                <w:sz w:val="20"/>
                <w:szCs w:val="20"/>
              </w:rPr>
              <w:t>-</w:t>
            </w:r>
          </w:p>
        </w:tc>
        <w:tc>
          <w:tcPr>
            <w:tcW w:w="688" w:type="pct"/>
          </w:tcPr>
          <w:p w14:paraId="1A1137EF" w14:textId="0468A349" w:rsidR="0005646D" w:rsidRPr="00446B3D" w:rsidRDefault="00BB6A27" w:rsidP="00446B3D">
            <w:pPr>
              <w:pStyle w:val="NoSpacing"/>
              <w:rPr>
                <w:sz w:val="20"/>
                <w:szCs w:val="20"/>
              </w:rPr>
            </w:pPr>
            <w:r w:rsidRPr="00446B3D">
              <w:rPr>
                <w:sz w:val="20"/>
                <w:szCs w:val="20"/>
              </w:rPr>
              <w:t>-</w:t>
            </w:r>
          </w:p>
        </w:tc>
        <w:tc>
          <w:tcPr>
            <w:tcW w:w="688" w:type="pct"/>
          </w:tcPr>
          <w:p w14:paraId="219B873F" w14:textId="2CE2CAC2" w:rsidR="0005646D" w:rsidRPr="00446B3D" w:rsidRDefault="00297BE0" w:rsidP="00446B3D">
            <w:pPr>
              <w:pStyle w:val="NoSpacing"/>
              <w:rPr>
                <w:sz w:val="20"/>
                <w:szCs w:val="20"/>
              </w:rPr>
            </w:pPr>
            <w:r w:rsidRPr="00446B3D">
              <w:rPr>
                <w:sz w:val="20"/>
                <w:szCs w:val="20"/>
              </w:rPr>
              <w:t>6</w:t>
            </w:r>
          </w:p>
        </w:tc>
        <w:tc>
          <w:tcPr>
            <w:tcW w:w="422" w:type="pct"/>
          </w:tcPr>
          <w:p w14:paraId="39799551" w14:textId="71E57ABF" w:rsidR="0005646D" w:rsidRPr="00446B3D" w:rsidRDefault="001321FA" w:rsidP="00446B3D">
            <w:pPr>
              <w:pStyle w:val="NoSpacing"/>
              <w:rPr>
                <w:sz w:val="20"/>
                <w:szCs w:val="20"/>
              </w:rPr>
            </w:pPr>
            <w:r w:rsidRPr="00446B3D">
              <w:rPr>
                <w:sz w:val="20"/>
                <w:szCs w:val="20"/>
              </w:rPr>
              <w:t>91</w:t>
            </w:r>
            <w:r w:rsidRPr="00446B3D">
              <w:rPr>
                <w:sz w:val="20"/>
                <w:szCs w:val="20"/>
                <w:vertAlign w:val="superscript"/>
              </w:rPr>
              <w:t>c</w:t>
            </w:r>
          </w:p>
        </w:tc>
      </w:tr>
      <w:tr w:rsidR="0090479B" w:rsidRPr="00446B3D" w14:paraId="487AFB09" w14:textId="77777777" w:rsidTr="00446B3D">
        <w:tc>
          <w:tcPr>
            <w:tcW w:w="1169" w:type="pct"/>
          </w:tcPr>
          <w:p w14:paraId="5AB2DFAA" w14:textId="5196C34B" w:rsidR="0090479B" w:rsidRPr="00446B3D" w:rsidRDefault="0090479B" w:rsidP="00446B3D">
            <w:pPr>
              <w:pStyle w:val="NoSpacing"/>
              <w:rPr>
                <w:sz w:val="20"/>
                <w:szCs w:val="20"/>
              </w:rPr>
            </w:pPr>
            <w:r w:rsidRPr="00446B3D">
              <w:rPr>
                <w:sz w:val="20"/>
                <w:szCs w:val="20"/>
              </w:rPr>
              <w:t>indole</w:t>
            </w:r>
          </w:p>
        </w:tc>
        <w:tc>
          <w:tcPr>
            <w:tcW w:w="556" w:type="pct"/>
          </w:tcPr>
          <w:p w14:paraId="1B3B7312" w14:textId="7E9F9764" w:rsidR="0090479B" w:rsidRPr="00446B3D" w:rsidRDefault="00991068" w:rsidP="00446B3D">
            <w:pPr>
              <w:pStyle w:val="NoSpacing"/>
              <w:rPr>
                <w:sz w:val="20"/>
                <w:szCs w:val="20"/>
              </w:rPr>
            </w:pPr>
            <w:r w:rsidRPr="00446B3D">
              <w:rPr>
                <w:sz w:val="20"/>
                <w:szCs w:val="20"/>
              </w:rPr>
              <w:t>117.151</w:t>
            </w:r>
          </w:p>
        </w:tc>
        <w:tc>
          <w:tcPr>
            <w:tcW w:w="782" w:type="pct"/>
          </w:tcPr>
          <w:p w14:paraId="52BA4C1C" w14:textId="5D1D55B7" w:rsidR="0090479B" w:rsidRPr="00446B3D" w:rsidRDefault="002E6A97" w:rsidP="00446B3D">
            <w:pPr>
              <w:pStyle w:val="NoSpacing"/>
              <w:rPr>
                <w:sz w:val="20"/>
                <w:szCs w:val="20"/>
              </w:rPr>
            </w:pPr>
            <w:r w:rsidRPr="00446B3D">
              <w:rPr>
                <w:sz w:val="20"/>
                <w:szCs w:val="20"/>
              </w:rPr>
              <w:t>-</w:t>
            </w:r>
          </w:p>
        </w:tc>
        <w:tc>
          <w:tcPr>
            <w:tcW w:w="694" w:type="pct"/>
          </w:tcPr>
          <w:p w14:paraId="3D33AAE8" w14:textId="3A22C0B5" w:rsidR="0090479B" w:rsidRPr="00446B3D" w:rsidRDefault="008D719A" w:rsidP="00446B3D">
            <w:pPr>
              <w:pStyle w:val="NoSpacing"/>
              <w:rPr>
                <w:sz w:val="20"/>
                <w:szCs w:val="20"/>
              </w:rPr>
            </w:pPr>
            <w:r w:rsidRPr="00446B3D">
              <w:rPr>
                <w:sz w:val="20"/>
                <w:szCs w:val="20"/>
              </w:rPr>
              <w:t>-</w:t>
            </w:r>
          </w:p>
        </w:tc>
        <w:tc>
          <w:tcPr>
            <w:tcW w:w="688" w:type="pct"/>
          </w:tcPr>
          <w:p w14:paraId="5006AE74" w14:textId="3D4CCE68" w:rsidR="0090479B" w:rsidRPr="00446B3D" w:rsidRDefault="00BB6A27" w:rsidP="00446B3D">
            <w:pPr>
              <w:pStyle w:val="NoSpacing"/>
              <w:rPr>
                <w:sz w:val="20"/>
                <w:szCs w:val="20"/>
              </w:rPr>
            </w:pPr>
            <w:r w:rsidRPr="00446B3D">
              <w:rPr>
                <w:sz w:val="20"/>
                <w:szCs w:val="20"/>
              </w:rPr>
              <w:t>-</w:t>
            </w:r>
          </w:p>
        </w:tc>
        <w:tc>
          <w:tcPr>
            <w:tcW w:w="688" w:type="pct"/>
          </w:tcPr>
          <w:p w14:paraId="2B5F81A4" w14:textId="2317BBBE" w:rsidR="0090479B" w:rsidRPr="00446B3D" w:rsidRDefault="009D4B9E" w:rsidP="00446B3D">
            <w:pPr>
              <w:pStyle w:val="NoSpacing"/>
              <w:rPr>
                <w:sz w:val="20"/>
                <w:szCs w:val="20"/>
              </w:rPr>
            </w:pPr>
            <w:r w:rsidRPr="00446B3D">
              <w:rPr>
                <w:sz w:val="20"/>
                <w:szCs w:val="20"/>
              </w:rPr>
              <w:t>5.1</w:t>
            </w:r>
          </w:p>
        </w:tc>
        <w:tc>
          <w:tcPr>
            <w:tcW w:w="422" w:type="pct"/>
          </w:tcPr>
          <w:p w14:paraId="339DD180" w14:textId="55B12C42" w:rsidR="0090479B" w:rsidRPr="00446B3D" w:rsidRDefault="00D25BCF" w:rsidP="00446B3D">
            <w:pPr>
              <w:pStyle w:val="NoSpacing"/>
              <w:rPr>
                <w:sz w:val="20"/>
                <w:szCs w:val="20"/>
              </w:rPr>
            </w:pPr>
            <w:r w:rsidRPr="00446B3D">
              <w:rPr>
                <w:sz w:val="20"/>
                <w:szCs w:val="20"/>
              </w:rPr>
              <w:t>-</w:t>
            </w:r>
          </w:p>
        </w:tc>
      </w:tr>
      <w:tr w:rsidR="00017B22" w:rsidRPr="00446B3D" w14:paraId="0150D8E1" w14:textId="77777777" w:rsidTr="00446B3D">
        <w:tc>
          <w:tcPr>
            <w:tcW w:w="1169" w:type="pct"/>
          </w:tcPr>
          <w:p w14:paraId="6F6DC760" w14:textId="0FD14863" w:rsidR="00017B22" w:rsidRPr="00446B3D" w:rsidRDefault="00017B22" w:rsidP="00446B3D">
            <w:pPr>
              <w:pStyle w:val="NoSpacing"/>
              <w:rPr>
                <w:sz w:val="20"/>
                <w:szCs w:val="20"/>
              </w:rPr>
            </w:pPr>
            <w:r w:rsidRPr="00446B3D">
              <w:rPr>
                <w:sz w:val="20"/>
                <w:szCs w:val="20"/>
              </w:rPr>
              <w:t>5,5-dimethyl-2,4-imidazolidinedione</w:t>
            </w:r>
          </w:p>
        </w:tc>
        <w:tc>
          <w:tcPr>
            <w:tcW w:w="556" w:type="pct"/>
          </w:tcPr>
          <w:p w14:paraId="61869679" w14:textId="37CBEB9C" w:rsidR="00017B22" w:rsidRPr="00446B3D" w:rsidRDefault="0091536D" w:rsidP="00446B3D">
            <w:pPr>
              <w:pStyle w:val="NoSpacing"/>
              <w:rPr>
                <w:sz w:val="20"/>
                <w:szCs w:val="20"/>
              </w:rPr>
            </w:pPr>
            <w:r w:rsidRPr="00446B3D">
              <w:rPr>
                <w:sz w:val="20"/>
                <w:szCs w:val="20"/>
              </w:rPr>
              <w:t>128.131</w:t>
            </w:r>
          </w:p>
        </w:tc>
        <w:tc>
          <w:tcPr>
            <w:tcW w:w="782" w:type="pct"/>
          </w:tcPr>
          <w:p w14:paraId="03478FAE" w14:textId="496E47C3" w:rsidR="00017B22" w:rsidRPr="00446B3D" w:rsidRDefault="002E6A97" w:rsidP="00446B3D">
            <w:pPr>
              <w:pStyle w:val="NoSpacing"/>
              <w:rPr>
                <w:sz w:val="20"/>
                <w:szCs w:val="20"/>
              </w:rPr>
            </w:pPr>
            <w:r w:rsidRPr="00446B3D">
              <w:rPr>
                <w:sz w:val="20"/>
                <w:szCs w:val="20"/>
              </w:rPr>
              <w:t>-</w:t>
            </w:r>
          </w:p>
        </w:tc>
        <w:tc>
          <w:tcPr>
            <w:tcW w:w="694" w:type="pct"/>
          </w:tcPr>
          <w:p w14:paraId="7CFDFC97" w14:textId="6247B82B" w:rsidR="00017B22" w:rsidRPr="00446B3D" w:rsidRDefault="008D719A" w:rsidP="00446B3D">
            <w:pPr>
              <w:pStyle w:val="NoSpacing"/>
              <w:rPr>
                <w:sz w:val="20"/>
                <w:szCs w:val="20"/>
              </w:rPr>
            </w:pPr>
            <w:r w:rsidRPr="00446B3D">
              <w:rPr>
                <w:sz w:val="20"/>
                <w:szCs w:val="20"/>
              </w:rPr>
              <w:t>-</w:t>
            </w:r>
          </w:p>
        </w:tc>
        <w:tc>
          <w:tcPr>
            <w:tcW w:w="688" w:type="pct"/>
          </w:tcPr>
          <w:p w14:paraId="6B5FB304" w14:textId="06025BE5" w:rsidR="00017B22" w:rsidRPr="00446B3D" w:rsidRDefault="00BB6A27" w:rsidP="00446B3D">
            <w:pPr>
              <w:pStyle w:val="NoSpacing"/>
              <w:rPr>
                <w:sz w:val="20"/>
                <w:szCs w:val="20"/>
              </w:rPr>
            </w:pPr>
            <w:r w:rsidRPr="00446B3D">
              <w:rPr>
                <w:sz w:val="20"/>
                <w:szCs w:val="20"/>
              </w:rPr>
              <w:t>13.4</w:t>
            </w:r>
          </w:p>
        </w:tc>
        <w:tc>
          <w:tcPr>
            <w:tcW w:w="688" w:type="pct"/>
          </w:tcPr>
          <w:p w14:paraId="5163921F" w14:textId="608A2430" w:rsidR="00017B22" w:rsidRPr="00446B3D" w:rsidRDefault="009D4B9E" w:rsidP="00446B3D">
            <w:pPr>
              <w:pStyle w:val="NoSpacing"/>
              <w:rPr>
                <w:sz w:val="20"/>
                <w:szCs w:val="20"/>
              </w:rPr>
            </w:pPr>
            <w:r w:rsidRPr="00446B3D">
              <w:rPr>
                <w:sz w:val="20"/>
                <w:szCs w:val="20"/>
              </w:rPr>
              <w:t>-</w:t>
            </w:r>
          </w:p>
        </w:tc>
        <w:tc>
          <w:tcPr>
            <w:tcW w:w="422" w:type="pct"/>
          </w:tcPr>
          <w:p w14:paraId="30FD5273" w14:textId="08FBCB6D" w:rsidR="00017B22" w:rsidRPr="00446B3D" w:rsidRDefault="00D25BCF" w:rsidP="00446B3D">
            <w:pPr>
              <w:pStyle w:val="NoSpacing"/>
              <w:rPr>
                <w:sz w:val="20"/>
                <w:szCs w:val="20"/>
              </w:rPr>
            </w:pPr>
            <w:r w:rsidRPr="00446B3D">
              <w:rPr>
                <w:sz w:val="20"/>
                <w:szCs w:val="20"/>
              </w:rPr>
              <w:t>-</w:t>
            </w:r>
          </w:p>
        </w:tc>
      </w:tr>
      <w:tr w:rsidR="00017B22" w:rsidRPr="00446B3D" w14:paraId="3B8C8BC5" w14:textId="77777777" w:rsidTr="00446B3D">
        <w:tc>
          <w:tcPr>
            <w:tcW w:w="1169" w:type="pct"/>
          </w:tcPr>
          <w:p w14:paraId="61628697" w14:textId="5A91427D" w:rsidR="00017B22" w:rsidRPr="00446B3D" w:rsidRDefault="00017B22" w:rsidP="00446B3D">
            <w:pPr>
              <w:pStyle w:val="NoSpacing"/>
              <w:rPr>
                <w:sz w:val="20"/>
                <w:szCs w:val="20"/>
              </w:rPr>
            </w:pPr>
            <w:r w:rsidRPr="00446B3D">
              <w:rPr>
                <w:sz w:val="20"/>
                <w:szCs w:val="20"/>
              </w:rPr>
              <w:t>naphthalene</w:t>
            </w:r>
          </w:p>
        </w:tc>
        <w:tc>
          <w:tcPr>
            <w:tcW w:w="556" w:type="pct"/>
          </w:tcPr>
          <w:p w14:paraId="1BD22E64" w14:textId="366611EA" w:rsidR="00017B22" w:rsidRPr="00446B3D" w:rsidRDefault="0091536D" w:rsidP="00446B3D">
            <w:pPr>
              <w:pStyle w:val="NoSpacing"/>
              <w:rPr>
                <w:sz w:val="20"/>
                <w:szCs w:val="20"/>
              </w:rPr>
            </w:pPr>
            <w:r w:rsidRPr="00446B3D">
              <w:rPr>
                <w:sz w:val="20"/>
                <w:szCs w:val="20"/>
              </w:rPr>
              <w:t>128.174</w:t>
            </w:r>
          </w:p>
        </w:tc>
        <w:tc>
          <w:tcPr>
            <w:tcW w:w="782" w:type="pct"/>
          </w:tcPr>
          <w:p w14:paraId="694A7C81" w14:textId="26C3EE77" w:rsidR="00017B22" w:rsidRPr="00446B3D" w:rsidRDefault="002E6A97" w:rsidP="00446B3D">
            <w:pPr>
              <w:pStyle w:val="NoSpacing"/>
              <w:rPr>
                <w:sz w:val="20"/>
                <w:szCs w:val="20"/>
              </w:rPr>
            </w:pPr>
            <w:r w:rsidRPr="00446B3D">
              <w:rPr>
                <w:sz w:val="20"/>
                <w:szCs w:val="20"/>
              </w:rPr>
              <w:t>-</w:t>
            </w:r>
          </w:p>
        </w:tc>
        <w:tc>
          <w:tcPr>
            <w:tcW w:w="694" w:type="pct"/>
          </w:tcPr>
          <w:p w14:paraId="65D6383F" w14:textId="74713058" w:rsidR="00017B22" w:rsidRPr="00446B3D" w:rsidRDefault="008D719A" w:rsidP="00446B3D">
            <w:pPr>
              <w:pStyle w:val="NoSpacing"/>
              <w:rPr>
                <w:sz w:val="20"/>
                <w:szCs w:val="20"/>
              </w:rPr>
            </w:pPr>
            <w:r w:rsidRPr="00446B3D">
              <w:rPr>
                <w:sz w:val="20"/>
                <w:szCs w:val="20"/>
              </w:rPr>
              <w:t>-</w:t>
            </w:r>
          </w:p>
        </w:tc>
        <w:tc>
          <w:tcPr>
            <w:tcW w:w="688" w:type="pct"/>
          </w:tcPr>
          <w:p w14:paraId="69975A52" w14:textId="238C0ECD" w:rsidR="00017B22" w:rsidRPr="00446B3D" w:rsidRDefault="00BB6A27" w:rsidP="00446B3D">
            <w:pPr>
              <w:pStyle w:val="NoSpacing"/>
              <w:rPr>
                <w:sz w:val="20"/>
                <w:szCs w:val="20"/>
              </w:rPr>
            </w:pPr>
            <w:r w:rsidRPr="00446B3D">
              <w:rPr>
                <w:sz w:val="20"/>
                <w:szCs w:val="20"/>
              </w:rPr>
              <w:t>-</w:t>
            </w:r>
          </w:p>
        </w:tc>
        <w:tc>
          <w:tcPr>
            <w:tcW w:w="688" w:type="pct"/>
          </w:tcPr>
          <w:p w14:paraId="6E70E67C" w14:textId="47701C9F" w:rsidR="00017B22" w:rsidRPr="00446B3D" w:rsidRDefault="009D4B9E" w:rsidP="00446B3D">
            <w:pPr>
              <w:pStyle w:val="NoSpacing"/>
              <w:rPr>
                <w:sz w:val="20"/>
                <w:szCs w:val="20"/>
              </w:rPr>
            </w:pPr>
            <w:r w:rsidRPr="00446B3D">
              <w:rPr>
                <w:sz w:val="20"/>
                <w:szCs w:val="20"/>
              </w:rPr>
              <w:t>5.2</w:t>
            </w:r>
          </w:p>
        </w:tc>
        <w:tc>
          <w:tcPr>
            <w:tcW w:w="422" w:type="pct"/>
          </w:tcPr>
          <w:p w14:paraId="159CCDB6" w14:textId="3EB7DA35" w:rsidR="00017B22" w:rsidRPr="00446B3D" w:rsidRDefault="00D25BCF" w:rsidP="00446B3D">
            <w:pPr>
              <w:pStyle w:val="NoSpacing"/>
              <w:rPr>
                <w:sz w:val="20"/>
                <w:szCs w:val="20"/>
              </w:rPr>
            </w:pPr>
            <w:r w:rsidRPr="00446B3D">
              <w:rPr>
                <w:sz w:val="20"/>
                <w:szCs w:val="20"/>
              </w:rPr>
              <w:t>-</w:t>
            </w:r>
          </w:p>
        </w:tc>
      </w:tr>
      <w:tr w:rsidR="004B5487" w:rsidRPr="00446B3D" w14:paraId="7D40F597" w14:textId="77777777" w:rsidTr="00446B3D">
        <w:tc>
          <w:tcPr>
            <w:tcW w:w="1169" w:type="pct"/>
          </w:tcPr>
          <w:p w14:paraId="56F8ED15" w14:textId="1DDEC974" w:rsidR="004B5487" w:rsidRPr="00446B3D" w:rsidRDefault="004B5487" w:rsidP="00446B3D">
            <w:pPr>
              <w:pStyle w:val="NoSpacing"/>
              <w:rPr>
                <w:sz w:val="20"/>
                <w:szCs w:val="20"/>
              </w:rPr>
            </w:pPr>
            <w:r w:rsidRPr="00446B3D">
              <w:rPr>
                <w:sz w:val="20"/>
                <w:szCs w:val="20"/>
              </w:rPr>
              <w:t>quinoline</w:t>
            </w:r>
          </w:p>
        </w:tc>
        <w:tc>
          <w:tcPr>
            <w:tcW w:w="556" w:type="pct"/>
          </w:tcPr>
          <w:p w14:paraId="55C7BA2F" w14:textId="268EAF03" w:rsidR="004B5487" w:rsidRPr="00446B3D" w:rsidRDefault="007F22F2" w:rsidP="00446B3D">
            <w:pPr>
              <w:pStyle w:val="NoSpacing"/>
              <w:rPr>
                <w:sz w:val="20"/>
                <w:szCs w:val="20"/>
              </w:rPr>
            </w:pPr>
            <w:r w:rsidRPr="00446B3D">
              <w:rPr>
                <w:sz w:val="20"/>
                <w:szCs w:val="20"/>
              </w:rPr>
              <w:t>129.162</w:t>
            </w:r>
          </w:p>
        </w:tc>
        <w:tc>
          <w:tcPr>
            <w:tcW w:w="782" w:type="pct"/>
          </w:tcPr>
          <w:p w14:paraId="26AC1F37" w14:textId="45A010EA" w:rsidR="004B5487" w:rsidRPr="00446B3D" w:rsidRDefault="002E6A97" w:rsidP="00446B3D">
            <w:pPr>
              <w:pStyle w:val="NoSpacing"/>
              <w:rPr>
                <w:sz w:val="20"/>
                <w:szCs w:val="20"/>
              </w:rPr>
            </w:pPr>
            <w:r w:rsidRPr="00446B3D">
              <w:rPr>
                <w:sz w:val="20"/>
                <w:szCs w:val="20"/>
              </w:rPr>
              <w:t>-</w:t>
            </w:r>
          </w:p>
        </w:tc>
        <w:tc>
          <w:tcPr>
            <w:tcW w:w="694" w:type="pct"/>
          </w:tcPr>
          <w:p w14:paraId="343639A1" w14:textId="2B3307F2" w:rsidR="004B5487" w:rsidRPr="00446B3D" w:rsidRDefault="00537BA5" w:rsidP="00446B3D">
            <w:pPr>
              <w:pStyle w:val="NoSpacing"/>
              <w:rPr>
                <w:sz w:val="20"/>
                <w:szCs w:val="20"/>
              </w:rPr>
            </w:pPr>
            <w:r w:rsidRPr="00446B3D">
              <w:rPr>
                <w:sz w:val="20"/>
                <w:szCs w:val="20"/>
              </w:rPr>
              <w:t>-</w:t>
            </w:r>
          </w:p>
        </w:tc>
        <w:tc>
          <w:tcPr>
            <w:tcW w:w="688" w:type="pct"/>
          </w:tcPr>
          <w:p w14:paraId="1F4D9541" w14:textId="4F208133" w:rsidR="004B5487" w:rsidRPr="00446B3D" w:rsidRDefault="00BB6A27" w:rsidP="00446B3D">
            <w:pPr>
              <w:pStyle w:val="NoSpacing"/>
              <w:rPr>
                <w:sz w:val="20"/>
                <w:szCs w:val="20"/>
              </w:rPr>
            </w:pPr>
            <w:r w:rsidRPr="00446B3D">
              <w:rPr>
                <w:sz w:val="20"/>
                <w:szCs w:val="20"/>
              </w:rPr>
              <w:t>-</w:t>
            </w:r>
          </w:p>
        </w:tc>
        <w:tc>
          <w:tcPr>
            <w:tcW w:w="688" w:type="pct"/>
          </w:tcPr>
          <w:p w14:paraId="7E63A830" w14:textId="24A7670D" w:rsidR="004B5487" w:rsidRPr="00446B3D" w:rsidRDefault="008E26DA" w:rsidP="00446B3D">
            <w:pPr>
              <w:pStyle w:val="NoSpacing"/>
              <w:rPr>
                <w:sz w:val="20"/>
                <w:szCs w:val="20"/>
              </w:rPr>
            </w:pPr>
            <w:r w:rsidRPr="00446B3D">
              <w:rPr>
                <w:sz w:val="20"/>
                <w:szCs w:val="20"/>
              </w:rPr>
              <w:t>2.2</w:t>
            </w:r>
          </w:p>
        </w:tc>
        <w:tc>
          <w:tcPr>
            <w:tcW w:w="422" w:type="pct"/>
          </w:tcPr>
          <w:p w14:paraId="19DAE2F1" w14:textId="2E3AF347" w:rsidR="004B5487" w:rsidRPr="00446B3D" w:rsidRDefault="00D25BCF" w:rsidP="00446B3D">
            <w:pPr>
              <w:pStyle w:val="NoSpacing"/>
              <w:rPr>
                <w:sz w:val="20"/>
                <w:szCs w:val="20"/>
              </w:rPr>
            </w:pPr>
            <w:r w:rsidRPr="00446B3D">
              <w:rPr>
                <w:sz w:val="20"/>
                <w:szCs w:val="20"/>
              </w:rPr>
              <w:t>-</w:t>
            </w:r>
          </w:p>
        </w:tc>
      </w:tr>
      <w:tr w:rsidR="004B5487" w:rsidRPr="00446B3D" w14:paraId="55529307" w14:textId="77777777" w:rsidTr="00446B3D">
        <w:tc>
          <w:tcPr>
            <w:tcW w:w="1169" w:type="pct"/>
          </w:tcPr>
          <w:p w14:paraId="4C1E4B02" w14:textId="4F9A8428" w:rsidR="004B5487" w:rsidRPr="00446B3D" w:rsidRDefault="004B5487" w:rsidP="00446B3D">
            <w:pPr>
              <w:pStyle w:val="NoSpacing"/>
              <w:rPr>
                <w:sz w:val="20"/>
                <w:szCs w:val="20"/>
              </w:rPr>
            </w:pPr>
            <w:r w:rsidRPr="00446B3D">
              <w:rPr>
                <w:sz w:val="20"/>
                <w:szCs w:val="20"/>
              </w:rPr>
              <w:t>2,5-dimethoxybenzylalcohol</w:t>
            </w:r>
          </w:p>
        </w:tc>
        <w:tc>
          <w:tcPr>
            <w:tcW w:w="556" w:type="pct"/>
          </w:tcPr>
          <w:p w14:paraId="06295D74" w14:textId="3429D361" w:rsidR="004B5487" w:rsidRPr="00446B3D" w:rsidRDefault="007F22F2" w:rsidP="00446B3D">
            <w:pPr>
              <w:pStyle w:val="NoSpacing"/>
              <w:rPr>
                <w:sz w:val="20"/>
                <w:szCs w:val="20"/>
              </w:rPr>
            </w:pPr>
            <w:r w:rsidRPr="00446B3D">
              <w:rPr>
                <w:sz w:val="20"/>
                <w:szCs w:val="20"/>
              </w:rPr>
              <w:t>168.192</w:t>
            </w:r>
          </w:p>
        </w:tc>
        <w:tc>
          <w:tcPr>
            <w:tcW w:w="782" w:type="pct"/>
          </w:tcPr>
          <w:p w14:paraId="413071EE" w14:textId="28B5B800" w:rsidR="004B5487" w:rsidRPr="00446B3D" w:rsidRDefault="002E6A97" w:rsidP="00446B3D">
            <w:pPr>
              <w:pStyle w:val="NoSpacing"/>
              <w:rPr>
                <w:sz w:val="20"/>
                <w:szCs w:val="20"/>
              </w:rPr>
            </w:pPr>
            <w:r w:rsidRPr="00446B3D">
              <w:rPr>
                <w:sz w:val="20"/>
                <w:szCs w:val="20"/>
              </w:rPr>
              <w:t>-</w:t>
            </w:r>
          </w:p>
        </w:tc>
        <w:tc>
          <w:tcPr>
            <w:tcW w:w="694" w:type="pct"/>
          </w:tcPr>
          <w:p w14:paraId="7A8F8801" w14:textId="340E1AE7" w:rsidR="004B5487" w:rsidRPr="00446B3D" w:rsidRDefault="00693B63" w:rsidP="00446B3D">
            <w:pPr>
              <w:pStyle w:val="NoSpacing"/>
              <w:rPr>
                <w:sz w:val="20"/>
                <w:szCs w:val="20"/>
              </w:rPr>
            </w:pPr>
            <w:r w:rsidRPr="00446B3D">
              <w:rPr>
                <w:sz w:val="20"/>
                <w:szCs w:val="20"/>
              </w:rPr>
              <w:t>0.22 ± 0.13</w:t>
            </w:r>
          </w:p>
        </w:tc>
        <w:tc>
          <w:tcPr>
            <w:tcW w:w="688" w:type="pct"/>
          </w:tcPr>
          <w:p w14:paraId="6F6198AE" w14:textId="2D095A3E" w:rsidR="004B5487" w:rsidRPr="00446B3D" w:rsidRDefault="00BB6A27" w:rsidP="00446B3D">
            <w:pPr>
              <w:pStyle w:val="NoSpacing"/>
              <w:rPr>
                <w:sz w:val="20"/>
                <w:szCs w:val="20"/>
              </w:rPr>
            </w:pPr>
            <w:r w:rsidRPr="00446B3D">
              <w:rPr>
                <w:sz w:val="20"/>
                <w:szCs w:val="20"/>
              </w:rPr>
              <w:t>-</w:t>
            </w:r>
          </w:p>
        </w:tc>
        <w:tc>
          <w:tcPr>
            <w:tcW w:w="688" w:type="pct"/>
          </w:tcPr>
          <w:p w14:paraId="0E2B310B" w14:textId="452925A7" w:rsidR="004B5487" w:rsidRPr="00446B3D" w:rsidRDefault="008E26DA" w:rsidP="00446B3D">
            <w:pPr>
              <w:pStyle w:val="NoSpacing"/>
              <w:rPr>
                <w:sz w:val="20"/>
                <w:szCs w:val="20"/>
              </w:rPr>
            </w:pPr>
            <w:r w:rsidRPr="00446B3D">
              <w:rPr>
                <w:sz w:val="20"/>
                <w:szCs w:val="20"/>
              </w:rPr>
              <w:t>-</w:t>
            </w:r>
          </w:p>
        </w:tc>
        <w:tc>
          <w:tcPr>
            <w:tcW w:w="422" w:type="pct"/>
          </w:tcPr>
          <w:p w14:paraId="401A8AFB" w14:textId="2693C456" w:rsidR="004B5487" w:rsidRPr="00446B3D" w:rsidRDefault="00D25BCF" w:rsidP="00446B3D">
            <w:pPr>
              <w:pStyle w:val="NoSpacing"/>
              <w:rPr>
                <w:sz w:val="20"/>
                <w:szCs w:val="20"/>
              </w:rPr>
            </w:pPr>
            <w:r w:rsidRPr="00446B3D">
              <w:rPr>
                <w:sz w:val="20"/>
                <w:szCs w:val="20"/>
              </w:rPr>
              <w:t>-</w:t>
            </w:r>
          </w:p>
        </w:tc>
      </w:tr>
      <w:tr w:rsidR="00B60932" w:rsidRPr="00446B3D" w14:paraId="22210955" w14:textId="77777777" w:rsidTr="00446B3D">
        <w:tc>
          <w:tcPr>
            <w:tcW w:w="1169" w:type="pct"/>
          </w:tcPr>
          <w:p w14:paraId="0E3762E8" w14:textId="77777777" w:rsidR="00B60932" w:rsidRPr="00446B3D" w:rsidRDefault="00B60932" w:rsidP="00446B3D">
            <w:pPr>
              <w:pStyle w:val="NoSpacing"/>
              <w:rPr>
                <w:sz w:val="20"/>
                <w:szCs w:val="20"/>
              </w:rPr>
            </w:pPr>
            <w:r w:rsidRPr="00446B3D">
              <w:rPr>
                <w:sz w:val="20"/>
                <w:szCs w:val="20"/>
              </w:rPr>
              <w:t>3,5-dimethoxy-4- hydroxybenzaldehyde</w:t>
            </w:r>
          </w:p>
        </w:tc>
        <w:tc>
          <w:tcPr>
            <w:tcW w:w="556" w:type="pct"/>
          </w:tcPr>
          <w:p w14:paraId="7DDA2981" w14:textId="06B1F4CE" w:rsidR="00B60932" w:rsidRPr="00446B3D" w:rsidRDefault="00782EF2" w:rsidP="00446B3D">
            <w:pPr>
              <w:pStyle w:val="NoSpacing"/>
              <w:rPr>
                <w:sz w:val="20"/>
                <w:szCs w:val="20"/>
              </w:rPr>
            </w:pPr>
            <w:r w:rsidRPr="00446B3D">
              <w:rPr>
                <w:sz w:val="20"/>
                <w:szCs w:val="20"/>
              </w:rPr>
              <w:t>182.17</w:t>
            </w:r>
          </w:p>
        </w:tc>
        <w:tc>
          <w:tcPr>
            <w:tcW w:w="782" w:type="pct"/>
          </w:tcPr>
          <w:p w14:paraId="0314A1F8" w14:textId="5E60AD6B" w:rsidR="00B60932" w:rsidRPr="00446B3D" w:rsidRDefault="002E6A97" w:rsidP="00446B3D">
            <w:pPr>
              <w:pStyle w:val="NoSpacing"/>
              <w:rPr>
                <w:sz w:val="20"/>
                <w:szCs w:val="20"/>
              </w:rPr>
            </w:pPr>
            <w:r w:rsidRPr="00446B3D">
              <w:rPr>
                <w:sz w:val="20"/>
                <w:szCs w:val="20"/>
              </w:rPr>
              <w:t>-</w:t>
            </w:r>
          </w:p>
        </w:tc>
        <w:tc>
          <w:tcPr>
            <w:tcW w:w="694" w:type="pct"/>
          </w:tcPr>
          <w:p w14:paraId="499654F3" w14:textId="115FA4F1" w:rsidR="00B60932" w:rsidRPr="00446B3D" w:rsidRDefault="00693B63" w:rsidP="00446B3D">
            <w:pPr>
              <w:pStyle w:val="NoSpacing"/>
              <w:rPr>
                <w:sz w:val="20"/>
                <w:szCs w:val="20"/>
              </w:rPr>
            </w:pPr>
            <w:r w:rsidRPr="00446B3D">
              <w:rPr>
                <w:sz w:val="20"/>
                <w:szCs w:val="20"/>
              </w:rPr>
              <w:t>0.27 ± 0.15</w:t>
            </w:r>
          </w:p>
        </w:tc>
        <w:tc>
          <w:tcPr>
            <w:tcW w:w="688" w:type="pct"/>
          </w:tcPr>
          <w:p w14:paraId="2745CE6A" w14:textId="5AD7D8C2" w:rsidR="00B60932" w:rsidRPr="00446B3D" w:rsidRDefault="00BB6A27" w:rsidP="00446B3D">
            <w:pPr>
              <w:pStyle w:val="NoSpacing"/>
              <w:rPr>
                <w:sz w:val="20"/>
                <w:szCs w:val="20"/>
              </w:rPr>
            </w:pPr>
            <w:r w:rsidRPr="00446B3D">
              <w:rPr>
                <w:sz w:val="20"/>
                <w:szCs w:val="20"/>
              </w:rPr>
              <w:t>-</w:t>
            </w:r>
          </w:p>
        </w:tc>
        <w:tc>
          <w:tcPr>
            <w:tcW w:w="688" w:type="pct"/>
          </w:tcPr>
          <w:p w14:paraId="3C0C84B6" w14:textId="56965FE4" w:rsidR="00B60932" w:rsidRPr="00446B3D" w:rsidRDefault="008E26DA" w:rsidP="00446B3D">
            <w:pPr>
              <w:pStyle w:val="NoSpacing"/>
              <w:rPr>
                <w:sz w:val="20"/>
                <w:szCs w:val="20"/>
              </w:rPr>
            </w:pPr>
            <w:r w:rsidRPr="00446B3D">
              <w:rPr>
                <w:sz w:val="20"/>
                <w:szCs w:val="20"/>
              </w:rPr>
              <w:t>-</w:t>
            </w:r>
          </w:p>
        </w:tc>
        <w:tc>
          <w:tcPr>
            <w:tcW w:w="422" w:type="pct"/>
          </w:tcPr>
          <w:p w14:paraId="5BDF5732" w14:textId="0DDFCD0B" w:rsidR="00B60932" w:rsidRPr="00446B3D" w:rsidRDefault="00D25BCF" w:rsidP="00446B3D">
            <w:pPr>
              <w:pStyle w:val="NoSpacing"/>
              <w:rPr>
                <w:sz w:val="20"/>
                <w:szCs w:val="20"/>
              </w:rPr>
            </w:pPr>
            <w:r w:rsidRPr="00446B3D">
              <w:rPr>
                <w:sz w:val="20"/>
                <w:szCs w:val="20"/>
              </w:rPr>
              <w:t>-</w:t>
            </w:r>
          </w:p>
        </w:tc>
      </w:tr>
      <w:tr w:rsidR="00DB347E" w:rsidRPr="00446B3D" w14:paraId="25D15914" w14:textId="77777777" w:rsidTr="00446B3D">
        <w:tc>
          <w:tcPr>
            <w:tcW w:w="1169" w:type="pct"/>
          </w:tcPr>
          <w:p w14:paraId="055FB57A" w14:textId="7D6098E0" w:rsidR="000D3EF4" w:rsidRPr="00446B3D" w:rsidRDefault="004D6A23" w:rsidP="00446B3D">
            <w:pPr>
              <w:pStyle w:val="NoSpacing"/>
              <w:rPr>
                <w:sz w:val="20"/>
                <w:szCs w:val="20"/>
              </w:rPr>
            </w:pPr>
            <w:r w:rsidRPr="00446B3D">
              <w:rPr>
                <w:sz w:val="20"/>
                <w:szCs w:val="20"/>
              </w:rPr>
              <w:lastRenderedPageBreak/>
              <w:t>Total of known compounds</w:t>
            </w:r>
          </w:p>
        </w:tc>
        <w:tc>
          <w:tcPr>
            <w:tcW w:w="556" w:type="pct"/>
          </w:tcPr>
          <w:p w14:paraId="43C1ADA9" w14:textId="21F0DBAA" w:rsidR="000D3EF4" w:rsidRPr="00446B3D" w:rsidRDefault="00782EF2" w:rsidP="00446B3D">
            <w:pPr>
              <w:pStyle w:val="NoSpacing"/>
              <w:rPr>
                <w:sz w:val="20"/>
                <w:szCs w:val="20"/>
              </w:rPr>
            </w:pPr>
            <w:r w:rsidRPr="00446B3D">
              <w:rPr>
                <w:sz w:val="20"/>
                <w:szCs w:val="20"/>
              </w:rPr>
              <w:t>-</w:t>
            </w:r>
          </w:p>
        </w:tc>
        <w:tc>
          <w:tcPr>
            <w:tcW w:w="782" w:type="pct"/>
          </w:tcPr>
          <w:p w14:paraId="783009E7" w14:textId="070B1192" w:rsidR="000D3EF4" w:rsidRPr="00446B3D" w:rsidRDefault="002E6A97" w:rsidP="00446B3D">
            <w:pPr>
              <w:pStyle w:val="NoSpacing"/>
              <w:rPr>
                <w:sz w:val="20"/>
                <w:szCs w:val="20"/>
              </w:rPr>
            </w:pPr>
            <w:r w:rsidRPr="00446B3D">
              <w:rPr>
                <w:sz w:val="20"/>
                <w:szCs w:val="20"/>
              </w:rPr>
              <w:t>57</w:t>
            </w:r>
          </w:p>
        </w:tc>
        <w:tc>
          <w:tcPr>
            <w:tcW w:w="694" w:type="pct"/>
          </w:tcPr>
          <w:p w14:paraId="65F8D721" w14:textId="57BB48A8" w:rsidR="000D3EF4" w:rsidRPr="00446B3D" w:rsidRDefault="00693B63" w:rsidP="00446B3D">
            <w:pPr>
              <w:pStyle w:val="NoSpacing"/>
              <w:rPr>
                <w:sz w:val="20"/>
                <w:szCs w:val="20"/>
              </w:rPr>
            </w:pPr>
            <w:r w:rsidRPr="00446B3D">
              <w:rPr>
                <w:sz w:val="20"/>
                <w:szCs w:val="20"/>
              </w:rPr>
              <w:t>0.74</w:t>
            </w:r>
          </w:p>
        </w:tc>
        <w:tc>
          <w:tcPr>
            <w:tcW w:w="688" w:type="pct"/>
          </w:tcPr>
          <w:p w14:paraId="166202B4" w14:textId="2804A76F" w:rsidR="000D3EF4" w:rsidRPr="00446B3D" w:rsidRDefault="00BB6A27" w:rsidP="00446B3D">
            <w:pPr>
              <w:pStyle w:val="NoSpacing"/>
              <w:rPr>
                <w:sz w:val="20"/>
                <w:szCs w:val="20"/>
              </w:rPr>
            </w:pPr>
            <w:r w:rsidRPr="00446B3D">
              <w:rPr>
                <w:sz w:val="20"/>
                <w:szCs w:val="20"/>
              </w:rPr>
              <w:t>77.8</w:t>
            </w:r>
          </w:p>
        </w:tc>
        <w:tc>
          <w:tcPr>
            <w:tcW w:w="688" w:type="pct"/>
          </w:tcPr>
          <w:p w14:paraId="490E7494" w14:textId="1138105F" w:rsidR="000D3EF4" w:rsidRPr="00446B3D" w:rsidRDefault="002C65B8" w:rsidP="00446B3D">
            <w:pPr>
              <w:pStyle w:val="NoSpacing"/>
              <w:rPr>
                <w:sz w:val="20"/>
                <w:szCs w:val="20"/>
              </w:rPr>
            </w:pPr>
            <w:r w:rsidRPr="00446B3D">
              <w:rPr>
                <w:sz w:val="20"/>
                <w:szCs w:val="20"/>
              </w:rPr>
              <w:t>85.2</w:t>
            </w:r>
          </w:p>
        </w:tc>
        <w:tc>
          <w:tcPr>
            <w:tcW w:w="422" w:type="pct"/>
          </w:tcPr>
          <w:p w14:paraId="686FD87E" w14:textId="5DC9E281" w:rsidR="000D3EF4" w:rsidRPr="00446B3D" w:rsidRDefault="00D25BCF" w:rsidP="00446B3D">
            <w:pPr>
              <w:pStyle w:val="NoSpacing"/>
              <w:rPr>
                <w:sz w:val="20"/>
                <w:szCs w:val="20"/>
              </w:rPr>
            </w:pPr>
            <w:r w:rsidRPr="00446B3D">
              <w:rPr>
                <w:sz w:val="20"/>
                <w:szCs w:val="20"/>
              </w:rPr>
              <w:t>-</w:t>
            </w:r>
          </w:p>
        </w:tc>
      </w:tr>
      <w:tr w:rsidR="00DB347E" w:rsidRPr="00446B3D" w14:paraId="6EDACD79" w14:textId="77777777" w:rsidTr="00446B3D">
        <w:tc>
          <w:tcPr>
            <w:tcW w:w="1169" w:type="pct"/>
          </w:tcPr>
          <w:p w14:paraId="167B0B0C" w14:textId="3122BF49" w:rsidR="000D3EF4" w:rsidRPr="00446B3D" w:rsidRDefault="004D6A23" w:rsidP="00446B3D">
            <w:pPr>
              <w:pStyle w:val="NoSpacing"/>
              <w:rPr>
                <w:sz w:val="20"/>
                <w:szCs w:val="20"/>
              </w:rPr>
            </w:pPr>
            <w:r w:rsidRPr="00446B3D">
              <w:rPr>
                <w:sz w:val="20"/>
                <w:szCs w:val="20"/>
              </w:rPr>
              <w:t>Total of unknown compounds</w:t>
            </w:r>
          </w:p>
        </w:tc>
        <w:tc>
          <w:tcPr>
            <w:tcW w:w="556" w:type="pct"/>
          </w:tcPr>
          <w:p w14:paraId="09638A3A" w14:textId="3027DB68" w:rsidR="000D3EF4" w:rsidRPr="00446B3D" w:rsidRDefault="00782EF2" w:rsidP="00446B3D">
            <w:pPr>
              <w:pStyle w:val="NoSpacing"/>
              <w:rPr>
                <w:sz w:val="20"/>
                <w:szCs w:val="20"/>
              </w:rPr>
            </w:pPr>
            <w:r w:rsidRPr="00446B3D">
              <w:rPr>
                <w:sz w:val="20"/>
                <w:szCs w:val="20"/>
              </w:rPr>
              <w:t>-</w:t>
            </w:r>
          </w:p>
        </w:tc>
        <w:tc>
          <w:tcPr>
            <w:tcW w:w="782" w:type="pct"/>
          </w:tcPr>
          <w:p w14:paraId="4ABA95C2" w14:textId="4B3A8222" w:rsidR="000D3EF4" w:rsidRPr="00446B3D" w:rsidRDefault="002E6A97" w:rsidP="00446B3D">
            <w:pPr>
              <w:pStyle w:val="NoSpacing"/>
              <w:rPr>
                <w:sz w:val="20"/>
                <w:szCs w:val="20"/>
              </w:rPr>
            </w:pPr>
            <w:r w:rsidRPr="00446B3D">
              <w:rPr>
                <w:sz w:val="20"/>
                <w:szCs w:val="20"/>
              </w:rPr>
              <w:t>-</w:t>
            </w:r>
          </w:p>
        </w:tc>
        <w:tc>
          <w:tcPr>
            <w:tcW w:w="694" w:type="pct"/>
          </w:tcPr>
          <w:p w14:paraId="73100046" w14:textId="46DF3816" w:rsidR="000D3EF4" w:rsidRPr="00446B3D" w:rsidRDefault="00693B63" w:rsidP="00446B3D">
            <w:pPr>
              <w:pStyle w:val="NoSpacing"/>
              <w:rPr>
                <w:sz w:val="20"/>
                <w:szCs w:val="20"/>
              </w:rPr>
            </w:pPr>
            <w:r w:rsidRPr="00446B3D">
              <w:rPr>
                <w:sz w:val="20"/>
                <w:szCs w:val="20"/>
              </w:rPr>
              <w:t>-</w:t>
            </w:r>
          </w:p>
        </w:tc>
        <w:tc>
          <w:tcPr>
            <w:tcW w:w="688" w:type="pct"/>
          </w:tcPr>
          <w:p w14:paraId="47E7849A" w14:textId="5550E19E" w:rsidR="000D3EF4" w:rsidRPr="00446B3D" w:rsidRDefault="00400198" w:rsidP="00446B3D">
            <w:pPr>
              <w:pStyle w:val="NoSpacing"/>
              <w:rPr>
                <w:sz w:val="20"/>
                <w:szCs w:val="20"/>
              </w:rPr>
            </w:pPr>
            <w:r w:rsidRPr="00446B3D">
              <w:rPr>
                <w:sz w:val="20"/>
                <w:szCs w:val="20"/>
              </w:rPr>
              <w:t>22.2</w:t>
            </w:r>
          </w:p>
        </w:tc>
        <w:tc>
          <w:tcPr>
            <w:tcW w:w="688" w:type="pct"/>
          </w:tcPr>
          <w:p w14:paraId="17D6D580" w14:textId="47A40CDE" w:rsidR="000D3EF4" w:rsidRPr="00446B3D" w:rsidRDefault="002C65B8" w:rsidP="00446B3D">
            <w:pPr>
              <w:pStyle w:val="NoSpacing"/>
              <w:rPr>
                <w:sz w:val="20"/>
                <w:szCs w:val="20"/>
              </w:rPr>
            </w:pPr>
            <w:r w:rsidRPr="00446B3D">
              <w:rPr>
                <w:sz w:val="20"/>
                <w:szCs w:val="20"/>
              </w:rPr>
              <w:t>14.8</w:t>
            </w:r>
          </w:p>
        </w:tc>
        <w:tc>
          <w:tcPr>
            <w:tcW w:w="422" w:type="pct"/>
          </w:tcPr>
          <w:p w14:paraId="6B531F0B" w14:textId="250361F5" w:rsidR="000D3EF4" w:rsidRPr="00446B3D" w:rsidRDefault="00D25BCF" w:rsidP="00446B3D">
            <w:pPr>
              <w:pStyle w:val="NoSpacing"/>
              <w:rPr>
                <w:sz w:val="20"/>
                <w:szCs w:val="20"/>
              </w:rPr>
            </w:pPr>
            <w:r w:rsidRPr="00446B3D">
              <w:rPr>
                <w:sz w:val="20"/>
                <w:szCs w:val="20"/>
              </w:rPr>
              <w:t>-</w:t>
            </w:r>
          </w:p>
        </w:tc>
      </w:tr>
    </w:tbl>
    <w:p w14:paraId="2A38C3BF" w14:textId="57A24834" w:rsidR="00AE0154" w:rsidRPr="00446B3D" w:rsidRDefault="00AE0154" w:rsidP="00446B3D">
      <w:pPr>
        <w:pStyle w:val="NoSpacing"/>
        <w:rPr>
          <w:rFonts w:ascii="Georgia" w:hAnsi="Georgia" w:cs="Times New Roman"/>
          <w:color w:val="3E3D40"/>
        </w:rPr>
      </w:pPr>
    </w:p>
    <w:p w14:paraId="29013CA5" w14:textId="77777777" w:rsidR="00AE0154" w:rsidRPr="006C06ED" w:rsidRDefault="00AE0154" w:rsidP="00EE5E35">
      <w:r w:rsidRPr="006C06ED">
        <w:t>Nearly all the compounds identified by GC-FID in both APLs were aromatic hydrocarbons (</w:t>
      </w:r>
      <w:hyperlink r:id="rId71" w:anchor="T3" w:history="1">
        <w:r w:rsidRPr="006C06ED">
          <w:rPr>
            <w:rStyle w:val="Hyperlink"/>
            <w:rFonts w:ascii="Georgia" w:eastAsiaTheme="majorEastAsia" w:hAnsi="Georgia"/>
          </w:rPr>
          <w:t>Tables 3A,B</w:t>
        </w:r>
      </w:hyperlink>
      <w:r w:rsidRPr="006C06ED">
        <w:t>). Compounds detected by GC-FID in non-catalyzed APL included phenols, xylene, ethylbenzene, cresol and acetophenone. Among these compounds, phenol, m-cresol, p-cresol, and 2,4-dimethylphenol contributed to a significant fraction of the detected substances (1.39% by weight) and are known to inhibit anaerobic processes at IC</w:t>
      </w:r>
      <w:r w:rsidRPr="006C06ED">
        <w:rPr>
          <w:vertAlign w:val="subscript"/>
        </w:rPr>
        <w:t>50</w:t>
      </w:r>
      <w:r w:rsidRPr="006C06ED">
        <w:t> concentrations of 2,100, 890, 91, and 71 mg/L, respectively (</w:t>
      </w:r>
      <w:hyperlink r:id="rId72" w:anchor="B14" w:history="1">
        <w:r w:rsidRPr="006C06ED">
          <w:rPr>
            <w:rStyle w:val="Hyperlink"/>
            <w:rFonts w:ascii="Georgia" w:eastAsiaTheme="majorEastAsia" w:hAnsi="Georgia"/>
          </w:rPr>
          <w:t>Fedorak and Hrudey, 1984</w:t>
        </w:r>
      </w:hyperlink>
      <w:r w:rsidRPr="006C06ED">
        <w:t>; </w:t>
      </w:r>
      <w:hyperlink r:id="rId73" w:anchor="B5" w:history="1">
        <w:r w:rsidRPr="006C06ED">
          <w:rPr>
            <w:rStyle w:val="Hyperlink"/>
            <w:rFonts w:ascii="Georgia" w:eastAsiaTheme="majorEastAsia" w:hAnsi="Georgia"/>
          </w:rPr>
          <w:t>Blum and Speece, 1991</w:t>
        </w:r>
      </w:hyperlink>
      <w:r w:rsidRPr="006C06ED">
        <w:t>). Phenolic compounds damage the cell membrane which adversely affects membrane proteins and cell wall permeability (</w:t>
      </w:r>
      <w:hyperlink r:id="rId74" w:anchor="B28" w:history="1">
        <w:r w:rsidRPr="006C06ED">
          <w:rPr>
            <w:rStyle w:val="Hyperlink"/>
            <w:rFonts w:ascii="Georgia" w:eastAsiaTheme="majorEastAsia" w:hAnsi="Georgia"/>
          </w:rPr>
          <w:t>Madigou et al., 2016</w:t>
        </w:r>
      </w:hyperlink>
      <w:r w:rsidRPr="006C06ED">
        <w:t>). A recent study has summarized that selection of key microbial populations would help improve the removal of refractory pollutants including phenol and p-cresol (</w:t>
      </w:r>
      <w:hyperlink r:id="rId75" w:anchor="B17" w:history="1">
        <w:r w:rsidRPr="006C06ED">
          <w:rPr>
            <w:rStyle w:val="Hyperlink"/>
            <w:rFonts w:ascii="Georgia" w:eastAsiaTheme="majorEastAsia" w:hAnsi="Georgia"/>
          </w:rPr>
          <w:t>Franchi et al., 2018</w:t>
        </w:r>
      </w:hyperlink>
      <w:r w:rsidRPr="006C06ED">
        <w:t>).</w:t>
      </w:r>
    </w:p>
    <w:p w14:paraId="2F8057D7" w14:textId="77777777" w:rsidR="00AE0154" w:rsidRPr="006C06ED" w:rsidRDefault="00AE0154" w:rsidP="00EE5E35">
      <w:r w:rsidRPr="006C06ED">
        <w:t>In addition, ethylbenzene and m-xylene are not known to be degraded under strictly anaerobic conditions and, therefore, do not serve as a substrate for methane production (</w:t>
      </w:r>
      <w:hyperlink r:id="rId76" w:anchor="B12" w:history="1">
        <w:r w:rsidRPr="006C06ED">
          <w:rPr>
            <w:rStyle w:val="Hyperlink"/>
            <w:rFonts w:ascii="Georgia" w:eastAsiaTheme="majorEastAsia" w:hAnsi="Georgia"/>
          </w:rPr>
          <w:t>Edwards and Grbic-Galic, 1994</w:t>
        </w:r>
      </w:hyperlink>
      <w:r w:rsidRPr="006C06ED">
        <w:t>). Catalyzed APL contained fewer GC-FID-identified organic constituents compared to non-catalyzed APL (</w:t>
      </w:r>
      <w:hyperlink r:id="rId77" w:anchor="T3" w:history="1">
        <w:r w:rsidRPr="006C06ED">
          <w:rPr>
            <w:rStyle w:val="Hyperlink"/>
            <w:rFonts w:ascii="Georgia" w:eastAsiaTheme="majorEastAsia" w:hAnsi="Georgia"/>
          </w:rPr>
          <w:t>Table 3B</w:t>
        </w:r>
      </w:hyperlink>
      <w:r w:rsidRPr="006C06ED">
        <w:t>). Only 4 organic compounds were detected by GC-FID in the catalyzed APL; 3,5-dimethoxy-4-hydroxybenzaldehyde, 2,5-dimethoxybenzyl alcohol, ethylbenzene, and styrene, whereas in the non-catalyzed APL, 23 compounds were identified.</w:t>
      </w:r>
    </w:p>
    <w:p w14:paraId="69B69B09" w14:textId="77777777" w:rsidR="00AE0154" w:rsidRDefault="00AE0154" w:rsidP="00EE5E35">
      <w:pPr>
        <w:pStyle w:val="Heading2"/>
      </w:pPr>
      <w:r>
        <w:t>APL Properties After Air Stripping</w:t>
      </w:r>
    </w:p>
    <w:p w14:paraId="1D66907F" w14:textId="77777777" w:rsidR="00AE0154" w:rsidRPr="006C06ED" w:rsidRDefault="00AE0154" w:rsidP="00EE5E35">
      <w:r w:rsidRPr="006C06ED">
        <w:t>Both catalyzed and non-catalyzed APLs contained high concentrations of NH</w:t>
      </w:r>
      <w:r w:rsidRPr="006C06ED">
        <w:rPr>
          <w:vertAlign w:val="subscript"/>
        </w:rPr>
        <w:t>3</w:t>
      </w:r>
      <w:r w:rsidRPr="006C06ED">
        <w:t>-N that could inhibit anaerobic digestion (</w:t>
      </w:r>
      <w:hyperlink r:id="rId78" w:anchor="T2" w:history="1">
        <w:r w:rsidRPr="006C06ED">
          <w:rPr>
            <w:rStyle w:val="Hyperlink"/>
            <w:rFonts w:ascii="Georgia" w:eastAsiaTheme="majorEastAsia" w:hAnsi="Georgia"/>
          </w:rPr>
          <w:t>Table 2</w:t>
        </w:r>
      </w:hyperlink>
      <w:r w:rsidRPr="006C06ED">
        <w:t>). NH</w:t>
      </w:r>
      <w:r w:rsidRPr="006C06ED">
        <w:rPr>
          <w:vertAlign w:val="subscript"/>
        </w:rPr>
        <w:t>3</w:t>
      </w:r>
      <w:r w:rsidRPr="006C06ED">
        <w:t>-N concentrations higher than ~3–5 g/L NH</w:t>
      </w:r>
      <w:r w:rsidRPr="006C06ED">
        <w:rPr>
          <w:vertAlign w:val="subscript"/>
        </w:rPr>
        <w:t>3</w:t>
      </w:r>
      <w:r w:rsidRPr="006C06ED">
        <w:t>-N at neutral pH and 35°C exert toxicity and decrease unacclimated methanogenic activity (</w:t>
      </w:r>
      <w:hyperlink r:id="rId79" w:anchor="B37" w:history="1">
        <w:r w:rsidRPr="006C06ED">
          <w:rPr>
            <w:rStyle w:val="Hyperlink"/>
            <w:rFonts w:ascii="Georgia" w:eastAsiaTheme="majorEastAsia" w:hAnsi="Georgia"/>
          </w:rPr>
          <w:t>Speece, 1996</w:t>
        </w:r>
      </w:hyperlink>
      <w:r w:rsidRPr="006C06ED">
        <w:t>; </w:t>
      </w:r>
      <w:hyperlink r:id="rId80" w:anchor="B25" w:history="1">
        <w:r w:rsidRPr="006C06ED">
          <w:rPr>
            <w:rStyle w:val="Hyperlink"/>
            <w:rFonts w:ascii="Georgia" w:eastAsiaTheme="majorEastAsia" w:hAnsi="Georgia"/>
          </w:rPr>
          <w:t>Liu and Sung, 2002</w:t>
        </w:r>
      </w:hyperlink>
      <w:r w:rsidRPr="006C06ED">
        <w:t>). Air stripping decreased NH</w:t>
      </w:r>
      <w:r w:rsidRPr="006C06ED">
        <w:rPr>
          <w:vertAlign w:val="subscript"/>
        </w:rPr>
        <w:t>3</w:t>
      </w:r>
      <w:r w:rsidRPr="006C06ED">
        <w:t>-N concentration by approximately 80% in both non-catalyzed and catalyzed APL (</w:t>
      </w:r>
      <w:hyperlink r:id="rId81" w:anchor="T2" w:history="1">
        <w:r w:rsidRPr="006C06ED">
          <w:rPr>
            <w:rStyle w:val="Hyperlink"/>
            <w:rFonts w:ascii="Georgia" w:eastAsiaTheme="majorEastAsia" w:hAnsi="Georgia"/>
          </w:rPr>
          <w:t>Table 2</w:t>
        </w:r>
      </w:hyperlink>
      <w:r w:rsidRPr="006C06ED">
        <w:t>). Air stripping did not significantly change the COD concentration in non-catalyzed APL; however, it reduced the catalyzed APL COD concentration by 30%, indicating catalyzed APL contained a higher fraction of volatile organic carbon than non-catalyzed APL. The pH of both catalyzed and non-catalyzed APLs significantly decreased after aeration, ostensibly due to NH</w:t>
      </w:r>
      <w:r w:rsidRPr="006C06ED">
        <w:rPr>
          <w:vertAlign w:val="subscript"/>
        </w:rPr>
        <w:t>3</w:t>
      </w:r>
      <w:r w:rsidRPr="006C06ED">
        <w:t>-N removal (</w:t>
      </w:r>
      <w:hyperlink r:id="rId82" w:anchor="T2" w:history="1">
        <w:r w:rsidRPr="006C06ED">
          <w:rPr>
            <w:rStyle w:val="Hyperlink"/>
            <w:rFonts w:ascii="Georgia" w:eastAsiaTheme="majorEastAsia" w:hAnsi="Georgia"/>
          </w:rPr>
          <w:t>Table 2</w:t>
        </w:r>
      </w:hyperlink>
      <w:r w:rsidRPr="006C06ED">
        <w:t>).</w:t>
      </w:r>
    </w:p>
    <w:p w14:paraId="02C22504" w14:textId="77777777" w:rsidR="00AE0154" w:rsidRPr="006C06ED" w:rsidRDefault="00AE0154" w:rsidP="00EE5E35">
      <w:r w:rsidRPr="006C06ED">
        <w:t>GC-FID analyses of catalyzed and non-catalyzed APLs after air stripping were conducted (</w:t>
      </w:r>
      <w:hyperlink r:id="rId83" w:anchor="T4" w:history="1">
        <w:r w:rsidRPr="006C06ED">
          <w:rPr>
            <w:rStyle w:val="Hyperlink"/>
            <w:rFonts w:ascii="Georgia" w:eastAsiaTheme="majorEastAsia" w:hAnsi="Georgia"/>
          </w:rPr>
          <w:t>Tables 4A,B</w:t>
        </w:r>
      </w:hyperlink>
      <w:r w:rsidRPr="006C06ED">
        <w:t>). Before and after air stripping, essentially the same compounds were present in the non-catalyzed APL. In catalyzed APL after air stripping, however, only 2 compounds were detected; 3,5-dimethoxy-4-hydroxybenzaldehyde and 2,5-dimethoxybenzylalcohol. Therefore, air stripping of catalyzed APL removed the volatile organic chemicals, ethylbenzene, and styrene. The IC</w:t>
      </w:r>
      <w:r w:rsidRPr="006C06ED">
        <w:rPr>
          <w:vertAlign w:val="subscript"/>
        </w:rPr>
        <w:t>50</w:t>
      </w:r>
      <w:r w:rsidRPr="006C06ED">
        <w:t> values of ethylbenzene and styrene to unacclimated methanogenic biomass are each approximately 150 mg/L (</w:t>
      </w:r>
      <w:hyperlink r:id="rId84" w:anchor="B5" w:history="1">
        <w:r w:rsidRPr="006C06ED">
          <w:rPr>
            <w:rStyle w:val="Hyperlink"/>
            <w:rFonts w:ascii="Georgia" w:eastAsiaTheme="majorEastAsia" w:hAnsi="Georgia"/>
          </w:rPr>
          <w:t>Blum and Speece, 1991</w:t>
        </w:r>
      </w:hyperlink>
      <w:r w:rsidRPr="006C06ED">
        <w:t>; </w:t>
      </w:r>
      <w:hyperlink r:id="rId85" w:anchor="B4" w:history="1">
        <w:r w:rsidRPr="006C06ED">
          <w:rPr>
            <w:rStyle w:val="Hyperlink"/>
            <w:rFonts w:ascii="Georgia" w:eastAsiaTheme="majorEastAsia" w:hAnsi="Georgia"/>
          </w:rPr>
          <w:t>Araya et al., 2000</w:t>
        </w:r>
      </w:hyperlink>
      <w:r w:rsidRPr="006C06ED">
        <w:t>). Removing these potentially inhibitory chemicals from APL in addition to NH</w:t>
      </w:r>
      <w:r w:rsidRPr="006C06ED">
        <w:rPr>
          <w:vertAlign w:val="subscript"/>
        </w:rPr>
        <w:t>3</w:t>
      </w:r>
      <w:r w:rsidRPr="006C06ED">
        <w:t>-N by air stripping may have resulted in reduced APL toxicity.</w:t>
      </w:r>
    </w:p>
    <w:p w14:paraId="5C24521C" w14:textId="77777777" w:rsidR="001871AE" w:rsidRPr="001871AE" w:rsidRDefault="001871AE" w:rsidP="001871AE">
      <w:r w:rsidRPr="001871AE">
        <w:t>TABLE 4 | Air-stripped APL compounds quantified by GC-FID.</w:t>
      </w:r>
    </w:p>
    <w:tbl>
      <w:tblPr>
        <w:tblStyle w:val="TableGrid"/>
        <w:tblW w:w="5000" w:type="pct"/>
        <w:tblLook w:val="04A0" w:firstRow="1" w:lastRow="0" w:firstColumn="1" w:lastColumn="0" w:noHBand="0" w:noVBand="1"/>
      </w:tblPr>
      <w:tblGrid>
        <w:gridCol w:w="2517"/>
        <w:gridCol w:w="2517"/>
        <w:gridCol w:w="2518"/>
        <w:gridCol w:w="2518"/>
      </w:tblGrid>
      <w:tr w:rsidR="00BE6A1E" w:rsidRPr="006C06ED" w14:paraId="6F596A50" w14:textId="77777777" w:rsidTr="006C06ED">
        <w:tc>
          <w:tcPr>
            <w:tcW w:w="1250" w:type="pct"/>
          </w:tcPr>
          <w:p w14:paraId="73295DCD" w14:textId="529C7FDE" w:rsidR="00BE6A1E" w:rsidRPr="006C06ED" w:rsidRDefault="00BE6A1E" w:rsidP="006C06ED">
            <w:pPr>
              <w:pStyle w:val="NoSpacing"/>
              <w:rPr>
                <w:sz w:val="20"/>
                <w:szCs w:val="20"/>
              </w:rPr>
            </w:pPr>
          </w:p>
        </w:tc>
        <w:tc>
          <w:tcPr>
            <w:tcW w:w="1250" w:type="pct"/>
          </w:tcPr>
          <w:p w14:paraId="150064D5" w14:textId="77777777" w:rsidR="00BE6A1E" w:rsidRPr="006C06ED" w:rsidRDefault="00BE6A1E" w:rsidP="006C06ED">
            <w:pPr>
              <w:pStyle w:val="NoSpacing"/>
              <w:rPr>
                <w:sz w:val="20"/>
                <w:szCs w:val="20"/>
              </w:rPr>
            </w:pPr>
          </w:p>
        </w:tc>
        <w:tc>
          <w:tcPr>
            <w:tcW w:w="1250" w:type="pct"/>
          </w:tcPr>
          <w:p w14:paraId="4B28ED76" w14:textId="4400C59A" w:rsidR="00BE6A1E" w:rsidRPr="006C06ED" w:rsidRDefault="0032732F" w:rsidP="006C06ED">
            <w:pPr>
              <w:pStyle w:val="NoSpacing"/>
              <w:rPr>
                <w:sz w:val="20"/>
                <w:szCs w:val="20"/>
              </w:rPr>
            </w:pPr>
            <w:r w:rsidRPr="006C06ED">
              <w:rPr>
                <w:sz w:val="20"/>
                <w:szCs w:val="20"/>
              </w:rPr>
              <w:t>Compounds quantified by GC-</w:t>
            </w:r>
            <w:proofErr w:type="gramStart"/>
            <w:r w:rsidRPr="006C06ED">
              <w:rPr>
                <w:sz w:val="20"/>
                <w:szCs w:val="20"/>
              </w:rPr>
              <w:t>FID</w:t>
            </w:r>
            <w:r w:rsidRPr="006C06ED">
              <w:rPr>
                <w:sz w:val="20"/>
                <w:szCs w:val="20"/>
                <w:vertAlign w:val="superscript"/>
              </w:rPr>
              <w:t>a</w:t>
            </w:r>
            <w:r w:rsidR="00F176F5" w:rsidRPr="006C06ED">
              <w:rPr>
                <w:sz w:val="20"/>
                <w:szCs w:val="20"/>
              </w:rPr>
              <w:t>(</w:t>
            </w:r>
            <w:proofErr w:type="gramEnd"/>
            <w:r w:rsidR="00F176F5" w:rsidRPr="006C06ED">
              <w:rPr>
                <w:sz w:val="20"/>
                <w:szCs w:val="20"/>
              </w:rPr>
              <w:t>1701 Capillary)</w:t>
            </w:r>
          </w:p>
        </w:tc>
        <w:tc>
          <w:tcPr>
            <w:tcW w:w="1250" w:type="pct"/>
          </w:tcPr>
          <w:p w14:paraId="297101A9" w14:textId="063879DF" w:rsidR="00BE6A1E" w:rsidRPr="006C06ED" w:rsidRDefault="00F176F5" w:rsidP="006C06ED">
            <w:pPr>
              <w:pStyle w:val="NoSpacing"/>
              <w:rPr>
                <w:sz w:val="20"/>
                <w:szCs w:val="20"/>
              </w:rPr>
            </w:pPr>
            <w:r w:rsidRPr="006C06ED">
              <w:rPr>
                <w:sz w:val="20"/>
                <w:szCs w:val="20"/>
              </w:rPr>
              <w:t>IC50 value</w:t>
            </w:r>
          </w:p>
        </w:tc>
      </w:tr>
      <w:tr w:rsidR="00BE6A1E" w:rsidRPr="006C06ED" w14:paraId="2BC82C90" w14:textId="77777777" w:rsidTr="006C06ED">
        <w:tc>
          <w:tcPr>
            <w:tcW w:w="1250" w:type="pct"/>
          </w:tcPr>
          <w:p w14:paraId="129B6C25" w14:textId="6A5EC451" w:rsidR="00BE6A1E" w:rsidRPr="006C06ED" w:rsidRDefault="00F176F5" w:rsidP="006C06ED">
            <w:pPr>
              <w:pStyle w:val="NoSpacing"/>
              <w:rPr>
                <w:sz w:val="20"/>
                <w:szCs w:val="20"/>
              </w:rPr>
            </w:pPr>
            <w:r w:rsidRPr="006C06ED">
              <w:rPr>
                <w:sz w:val="20"/>
                <w:szCs w:val="20"/>
              </w:rPr>
              <w:t>Compound</w:t>
            </w:r>
          </w:p>
        </w:tc>
        <w:tc>
          <w:tcPr>
            <w:tcW w:w="1250" w:type="pct"/>
          </w:tcPr>
          <w:p w14:paraId="6F90851B" w14:textId="627B78DB" w:rsidR="00BE6A1E" w:rsidRPr="006C06ED" w:rsidRDefault="00F176F5" w:rsidP="006C06ED">
            <w:pPr>
              <w:pStyle w:val="NoSpacing"/>
              <w:rPr>
                <w:sz w:val="20"/>
                <w:szCs w:val="20"/>
              </w:rPr>
            </w:pPr>
            <w:r w:rsidRPr="006C06ED">
              <w:rPr>
                <w:sz w:val="20"/>
                <w:szCs w:val="20"/>
              </w:rPr>
              <w:t>Molecular weight(g/mol)</w:t>
            </w:r>
          </w:p>
        </w:tc>
        <w:tc>
          <w:tcPr>
            <w:tcW w:w="1250" w:type="pct"/>
          </w:tcPr>
          <w:p w14:paraId="164F4975" w14:textId="15A8B87E" w:rsidR="00BE6A1E" w:rsidRPr="006C06ED" w:rsidRDefault="00F176F5" w:rsidP="006C06ED">
            <w:pPr>
              <w:pStyle w:val="NoSpacing"/>
              <w:rPr>
                <w:sz w:val="20"/>
                <w:szCs w:val="20"/>
              </w:rPr>
            </w:pPr>
            <w:r w:rsidRPr="006C06ED">
              <w:rPr>
                <w:sz w:val="20"/>
                <w:szCs w:val="20"/>
              </w:rPr>
              <w:t>% w/w (raw basis)</w:t>
            </w:r>
          </w:p>
        </w:tc>
        <w:tc>
          <w:tcPr>
            <w:tcW w:w="1250" w:type="pct"/>
          </w:tcPr>
          <w:p w14:paraId="54506890" w14:textId="036B234B" w:rsidR="00BE6A1E" w:rsidRPr="006C06ED" w:rsidRDefault="00F176F5" w:rsidP="006C06ED">
            <w:pPr>
              <w:pStyle w:val="NoSpacing"/>
              <w:rPr>
                <w:sz w:val="20"/>
                <w:szCs w:val="20"/>
              </w:rPr>
            </w:pPr>
            <w:r w:rsidRPr="006C06ED">
              <w:rPr>
                <w:sz w:val="20"/>
                <w:szCs w:val="20"/>
              </w:rPr>
              <w:t>mg/L</w:t>
            </w:r>
          </w:p>
        </w:tc>
      </w:tr>
      <w:tr w:rsidR="00BE6A1E" w:rsidRPr="006C06ED" w14:paraId="0CE5EA7E" w14:textId="77777777" w:rsidTr="006C06ED">
        <w:tc>
          <w:tcPr>
            <w:tcW w:w="1250" w:type="pct"/>
          </w:tcPr>
          <w:p w14:paraId="52DD0CE3" w14:textId="1711F438" w:rsidR="00BE6A1E" w:rsidRPr="006C06ED" w:rsidRDefault="00D25323" w:rsidP="006C06ED">
            <w:pPr>
              <w:pStyle w:val="NoSpacing"/>
              <w:rPr>
                <w:sz w:val="20"/>
                <w:szCs w:val="20"/>
              </w:rPr>
            </w:pPr>
            <w:r w:rsidRPr="006C06ED">
              <w:rPr>
                <w:sz w:val="20"/>
                <w:szCs w:val="20"/>
              </w:rPr>
              <w:t>(</w:t>
            </w:r>
            <w:r w:rsidR="00F176F5" w:rsidRPr="006C06ED">
              <w:rPr>
                <w:sz w:val="20"/>
                <w:szCs w:val="20"/>
              </w:rPr>
              <w:t>A) NON-CATALYZED APL</w:t>
            </w:r>
          </w:p>
        </w:tc>
        <w:tc>
          <w:tcPr>
            <w:tcW w:w="1250" w:type="pct"/>
          </w:tcPr>
          <w:p w14:paraId="05443E47" w14:textId="77777777" w:rsidR="00BE6A1E" w:rsidRPr="006C06ED" w:rsidRDefault="00BE6A1E" w:rsidP="006C06ED">
            <w:pPr>
              <w:pStyle w:val="NoSpacing"/>
              <w:rPr>
                <w:sz w:val="20"/>
                <w:szCs w:val="20"/>
              </w:rPr>
            </w:pPr>
          </w:p>
        </w:tc>
        <w:tc>
          <w:tcPr>
            <w:tcW w:w="1250" w:type="pct"/>
          </w:tcPr>
          <w:p w14:paraId="2615ED28" w14:textId="77777777" w:rsidR="00BE6A1E" w:rsidRPr="006C06ED" w:rsidRDefault="00BE6A1E" w:rsidP="006C06ED">
            <w:pPr>
              <w:pStyle w:val="NoSpacing"/>
              <w:rPr>
                <w:sz w:val="20"/>
                <w:szCs w:val="20"/>
              </w:rPr>
            </w:pPr>
          </w:p>
        </w:tc>
        <w:tc>
          <w:tcPr>
            <w:tcW w:w="1250" w:type="pct"/>
          </w:tcPr>
          <w:p w14:paraId="39625865" w14:textId="2868ADB7" w:rsidR="00BE6A1E" w:rsidRPr="006C06ED" w:rsidRDefault="00BE6A1E" w:rsidP="006C06ED">
            <w:pPr>
              <w:pStyle w:val="NoSpacing"/>
              <w:rPr>
                <w:sz w:val="20"/>
                <w:szCs w:val="20"/>
              </w:rPr>
            </w:pPr>
          </w:p>
        </w:tc>
      </w:tr>
      <w:tr w:rsidR="00BE6A1E" w:rsidRPr="006C06ED" w14:paraId="1C86864F" w14:textId="77777777" w:rsidTr="006C06ED">
        <w:tc>
          <w:tcPr>
            <w:tcW w:w="1250" w:type="pct"/>
          </w:tcPr>
          <w:p w14:paraId="317DBB3B" w14:textId="09DFB054" w:rsidR="00BE6A1E" w:rsidRPr="006C06ED" w:rsidRDefault="00D25323" w:rsidP="006C06ED">
            <w:pPr>
              <w:pStyle w:val="NoSpacing"/>
              <w:rPr>
                <w:sz w:val="20"/>
                <w:szCs w:val="20"/>
              </w:rPr>
            </w:pPr>
            <w:r w:rsidRPr="006C06ED">
              <w:rPr>
                <w:sz w:val="20"/>
                <w:szCs w:val="20"/>
              </w:rPr>
              <w:t>4-vinylphenol</w:t>
            </w:r>
          </w:p>
        </w:tc>
        <w:tc>
          <w:tcPr>
            <w:tcW w:w="1250" w:type="pct"/>
          </w:tcPr>
          <w:p w14:paraId="3F849B2E" w14:textId="41025F8B" w:rsidR="00BE6A1E" w:rsidRPr="006C06ED" w:rsidRDefault="00D25323" w:rsidP="006C06ED">
            <w:pPr>
              <w:pStyle w:val="NoSpacing"/>
              <w:rPr>
                <w:sz w:val="20"/>
                <w:szCs w:val="20"/>
              </w:rPr>
            </w:pPr>
            <w:r w:rsidRPr="006C06ED">
              <w:rPr>
                <w:sz w:val="20"/>
                <w:szCs w:val="20"/>
              </w:rPr>
              <w:t>120.151</w:t>
            </w:r>
          </w:p>
        </w:tc>
        <w:tc>
          <w:tcPr>
            <w:tcW w:w="1250" w:type="pct"/>
          </w:tcPr>
          <w:p w14:paraId="5D41F7E5" w14:textId="27BB39E3" w:rsidR="00BE6A1E" w:rsidRPr="006C06ED" w:rsidRDefault="00E90C1D" w:rsidP="006C06ED">
            <w:pPr>
              <w:pStyle w:val="NoSpacing"/>
              <w:rPr>
                <w:sz w:val="20"/>
                <w:szCs w:val="20"/>
              </w:rPr>
            </w:pPr>
            <w:r w:rsidRPr="006C06ED">
              <w:rPr>
                <w:sz w:val="20"/>
                <w:szCs w:val="20"/>
              </w:rPr>
              <w:t>0.75 ± 0.43</w:t>
            </w:r>
          </w:p>
        </w:tc>
        <w:tc>
          <w:tcPr>
            <w:tcW w:w="1250" w:type="pct"/>
          </w:tcPr>
          <w:p w14:paraId="6B61A868" w14:textId="5C90F717" w:rsidR="00BE6A1E" w:rsidRPr="006C06ED" w:rsidRDefault="00E90C1D" w:rsidP="006C06ED">
            <w:pPr>
              <w:pStyle w:val="NoSpacing"/>
              <w:rPr>
                <w:sz w:val="20"/>
                <w:szCs w:val="20"/>
              </w:rPr>
            </w:pPr>
            <w:r w:rsidRPr="006C06ED">
              <w:rPr>
                <w:sz w:val="20"/>
                <w:szCs w:val="20"/>
              </w:rPr>
              <w:t>–</w:t>
            </w:r>
          </w:p>
        </w:tc>
      </w:tr>
      <w:tr w:rsidR="00BE6A1E" w:rsidRPr="006C06ED" w14:paraId="4A45CE27" w14:textId="77777777" w:rsidTr="006C06ED">
        <w:tc>
          <w:tcPr>
            <w:tcW w:w="1250" w:type="pct"/>
          </w:tcPr>
          <w:p w14:paraId="1829D688" w14:textId="58EB4635" w:rsidR="00BE6A1E" w:rsidRPr="006C06ED" w:rsidRDefault="00E90C1D" w:rsidP="006C06ED">
            <w:pPr>
              <w:pStyle w:val="NoSpacing"/>
              <w:rPr>
                <w:sz w:val="20"/>
                <w:szCs w:val="20"/>
              </w:rPr>
            </w:pPr>
            <w:r w:rsidRPr="006C06ED">
              <w:rPr>
                <w:sz w:val="20"/>
                <w:szCs w:val="20"/>
              </w:rPr>
              <w:t>3</w:t>
            </w:r>
            <w:r w:rsidRPr="006C06ED">
              <w:rPr>
                <w:rFonts w:hint="eastAsia"/>
                <w:sz w:val="20"/>
                <w:szCs w:val="20"/>
              </w:rPr>
              <w:t>′</w:t>
            </w:r>
            <w:r w:rsidRPr="006C06ED">
              <w:rPr>
                <w:rFonts w:hint="eastAsia"/>
                <w:sz w:val="20"/>
                <w:szCs w:val="20"/>
              </w:rPr>
              <w:t>,5</w:t>
            </w:r>
            <w:r w:rsidRPr="006C06ED">
              <w:rPr>
                <w:rFonts w:hint="eastAsia"/>
                <w:sz w:val="20"/>
                <w:szCs w:val="20"/>
              </w:rPr>
              <w:t>′</w:t>
            </w:r>
            <w:r w:rsidR="005443B3" w:rsidRPr="006C06ED">
              <w:rPr>
                <w:rFonts w:hint="eastAsia"/>
                <w:sz w:val="20"/>
                <w:szCs w:val="20"/>
              </w:rPr>
              <w:t>-dimethoxy-4</w:t>
            </w:r>
            <w:r w:rsidR="005443B3" w:rsidRPr="006C06ED">
              <w:rPr>
                <w:rFonts w:hint="eastAsia"/>
                <w:sz w:val="20"/>
                <w:szCs w:val="20"/>
              </w:rPr>
              <w:t>′</w:t>
            </w:r>
            <w:r w:rsidR="005443B3" w:rsidRPr="006C06ED">
              <w:rPr>
                <w:sz w:val="20"/>
                <w:szCs w:val="20"/>
              </w:rPr>
              <w:t>-hydroxyacetophenone</w:t>
            </w:r>
          </w:p>
        </w:tc>
        <w:tc>
          <w:tcPr>
            <w:tcW w:w="1250" w:type="pct"/>
          </w:tcPr>
          <w:p w14:paraId="1817D522" w14:textId="7D3715CF" w:rsidR="00BE6A1E" w:rsidRPr="006C06ED" w:rsidRDefault="005443B3" w:rsidP="006C06ED">
            <w:pPr>
              <w:pStyle w:val="NoSpacing"/>
              <w:rPr>
                <w:sz w:val="20"/>
                <w:szCs w:val="20"/>
              </w:rPr>
            </w:pPr>
            <w:r w:rsidRPr="006C06ED">
              <w:rPr>
                <w:sz w:val="20"/>
                <w:szCs w:val="20"/>
              </w:rPr>
              <w:t>196.202</w:t>
            </w:r>
          </w:p>
        </w:tc>
        <w:tc>
          <w:tcPr>
            <w:tcW w:w="1250" w:type="pct"/>
          </w:tcPr>
          <w:p w14:paraId="65584165" w14:textId="126C8470" w:rsidR="00BE6A1E" w:rsidRPr="006C06ED" w:rsidRDefault="005443B3" w:rsidP="006C06ED">
            <w:pPr>
              <w:pStyle w:val="NoSpacing"/>
              <w:rPr>
                <w:sz w:val="20"/>
                <w:szCs w:val="20"/>
              </w:rPr>
            </w:pPr>
            <w:r w:rsidRPr="006C06ED">
              <w:rPr>
                <w:sz w:val="20"/>
                <w:szCs w:val="20"/>
              </w:rPr>
              <w:t>0.47 ± 0.27</w:t>
            </w:r>
          </w:p>
        </w:tc>
        <w:tc>
          <w:tcPr>
            <w:tcW w:w="1250" w:type="pct"/>
          </w:tcPr>
          <w:p w14:paraId="6FDB4728" w14:textId="7F89BA91" w:rsidR="00BE6A1E" w:rsidRPr="006C06ED" w:rsidRDefault="005443B3" w:rsidP="006C06ED">
            <w:pPr>
              <w:pStyle w:val="NoSpacing"/>
              <w:rPr>
                <w:sz w:val="20"/>
                <w:szCs w:val="20"/>
              </w:rPr>
            </w:pPr>
            <w:r w:rsidRPr="006C06ED">
              <w:rPr>
                <w:sz w:val="20"/>
                <w:szCs w:val="20"/>
              </w:rPr>
              <w:t>–</w:t>
            </w:r>
          </w:p>
        </w:tc>
      </w:tr>
      <w:tr w:rsidR="00BE6A1E" w:rsidRPr="006C06ED" w14:paraId="4613E4C6" w14:textId="77777777" w:rsidTr="006C06ED">
        <w:tc>
          <w:tcPr>
            <w:tcW w:w="1250" w:type="pct"/>
          </w:tcPr>
          <w:p w14:paraId="2F2C9D69" w14:textId="0CC467C5" w:rsidR="00BE6A1E" w:rsidRPr="006C06ED" w:rsidRDefault="005443B3" w:rsidP="006C06ED">
            <w:pPr>
              <w:pStyle w:val="NoSpacing"/>
              <w:rPr>
                <w:sz w:val="20"/>
                <w:szCs w:val="20"/>
              </w:rPr>
            </w:pPr>
            <w:proofErr w:type="gramStart"/>
            <w:r w:rsidRPr="006C06ED">
              <w:rPr>
                <w:sz w:val="20"/>
                <w:szCs w:val="20"/>
              </w:rPr>
              <w:t>m,p</w:t>
            </w:r>
            <w:proofErr w:type="gramEnd"/>
            <w:r w:rsidRPr="006C06ED">
              <w:rPr>
                <w:sz w:val="20"/>
                <w:szCs w:val="20"/>
              </w:rPr>
              <w:t>-cresol</w:t>
            </w:r>
          </w:p>
        </w:tc>
        <w:tc>
          <w:tcPr>
            <w:tcW w:w="1250" w:type="pct"/>
          </w:tcPr>
          <w:p w14:paraId="5D9F8F06" w14:textId="5C6BE3DE" w:rsidR="00BE6A1E" w:rsidRPr="006C06ED" w:rsidRDefault="005443B3" w:rsidP="006C06ED">
            <w:pPr>
              <w:pStyle w:val="NoSpacing"/>
              <w:rPr>
                <w:sz w:val="20"/>
                <w:szCs w:val="20"/>
              </w:rPr>
            </w:pPr>
            <w:r w:rsidRPr="006C06ED">
              <w:rPr>
                <w:sz w:val="20"/>
                <w:szCs w:val="20"/>
              </w:rPr>
              <w:t>108.14</w:t>
            </w:r>
          </w:p>
        </w:tc>
        <w:tc>
          <w:tcPr>
            <w:tcW w:w="1250" w:type="pct"/>
          </w:tcPr>
          <w:p w14:paraId="4D3EB6C4" w14:textId="52EF86FF" w:rsidR="00BE6A1E" w:rsidRPr="006C06ED" w:rsidRDefault="005443B3" w:rsidP="006C06ED">
            <w:pPr>
              <w:pStyle w:val="NoSpacing"/>
              <w:rPr>
                <w:sz w:val="20"/>
                <w:szCs w:val="20"/>
              </w:rPr>
            </w:pPr>
            <w:r w:rsidRPr="006C06ED">
              <w:rPr>
                <w:sz w:val="20"/>
                <w:szCs w:val="20"/>
              </w:rPr>
              <w:t>0.43 ± 0.25</w:t>
            </w:r>
          </w:p>
        </w:tc>
        <w:tc>
          <w:tcPr>
            <w:tcW w:w="1250" w:type="pct"/>
          </w:tcPr>
          <w:p w14:paraId="73029B7C" w14:textId="19AD7006" w:rsidR="00BE6A1E" w:rsidRPr="006C06ED" w:rsidRDefault="005443B3" w:rsidP="006C06ED">
            <w:pPr>
              <w:pStyle w:val="NoSpacing"/>
              <w:rPr>
                <w:sz w:val="20"/>
                <w:szCs w:val="20"/>
              </w:rPr>
            </w:pPr>
            <w:r w:rsidRPr="006C06ED">
              <w:rPr>
                <w:sz w:val="20"/>
                <w:szCs w:val="20"/>
              </w:rPr>
              <w:t>890</w:t>
            </w:r>
            <w:r w:rsidRPr="006C06ED">
              <w:rPr>
                <w:sz w:val="20"/>
                <w:szCs w:val="20"/>
                <w:vertAlign w:val="superscript"/>
              </w:rPr>
              <w:t>b</w:t>
            </w:r>
            <w:r w:rsidRPr="006C06ED">
              <w:rPr>
                <w:sz w:val="20"/>
                <w:szCs w:val="20"/>
              </w:rPr>
              <w:t>, 91</w:t>
            </w:r>
            <w:r w:rsidRPr="006C06ED">
              <w:rPr>
                <w:sz w:val="20"/>
                <w:szCs w:val="20"/>
                <w:vertAlign w:val="superscript"/>
              </w:rPr>
              <w:t>b</w:t>
            </w:r>
          </w:p>
        </w:tc>
      </w:tr>
      <w:tr w:rsidR="00BE6A1E" w:rsidRPr="006C06ED" w14:paraId="1AA8A81A" w14:textId="77777777" w:rsidTr="006C06ED">
        <w:tc>
          <w:tcPr>
            <w:tcW w:w="1250" w:type="pct"/>
          </w:tcPr>
          <w:p w14:paraId="52716E9B" w14:textId="7C90CECA" w:rsidR="00BE6A1E" w:rsidRPr="006C06ED" w:rsidRDefault="005443B3" w:rsidP="006C06ED">
            <w:pPr>
              <w:pStyle w:val="NoSpacing"/>
              <w:rPr>
                <w:sz w:val="20"/>
                <w:szCs w:val="20"/>
              </w:rPr>
            </w:pPr>
            <w:r w:rsidRPr="006C06ED">
              <w:rPr>
                <w:sz w:val="20"/>
                <w:szCs w:val="20"/>
              </w:rPr>
              <w:lastRenderedPageBreak/>
              <w:t>3,5-dimethylphenol</w:t>
            </w:r>
          </w:p>
        </w:tc>
        <w:tc>
          <w:tcPr>
            <w:tcW w:w="1250" w:type="pct"/>
          </w:tcPr>
          <w:p w14:paraId="64AD12D6" w14:textId="6D123F73" w:rsidR="00BE6A1E" w:rsidRPr="006C06ED" w:rsidRDefault="006B3411" w:rsidP="006C06ED">
            <w:pPr>
              <w:pStyle w:val="NoSpacing"/>
              <w:rPr>
                <w:sz w:val="20"/>
                <w:szCs w:val="20"/>
              </w:rPr>
            </w:pPr>
            <w:r w:rsidRPr="006C06ED">
              <w:rPr>
                <w:sz w:val="20"/>
                <w:szCs w:val="20"/>
              </w:rPr>
              <w:t>122.167</w:t>
            </w:r>
          </w:p>
        </w:tc>
        <w:tc>
          <w:tcPr>
            <w:tcW w:w="1250" w:type="pct"/>
          </w:tcPr>
          <w:p w14:paraId="5EB89679" w14:textId="46A3CE11" w:rsidR="00BE6A1E" w:rsidRPr="006C06ED" w:rsidRDefault="006B3411" w:rsidP="006C06ED">
            <w:pPr>
              <w:pStyle w:val="NoSpacing"/>
              <w:rPr>
                <w:sz w:val="20"/>
                <w:szCs w:val="20"/>
              </w:rPr>
            </w:pPr>
            <w:r w:rsidRPr="006C06ED">
              <w:rPr>
                <w:sz w:val="20"/>
                <w:szCs w:val="20"/>
              </w:rPr>
              <w:t>0.3 ± 0.17</w:t>
            </w:r>
          </w:p>
        </w:tc>
        <w:tc>
          <w:tcPr>
            <w:tcW w:w="1250" w:type="pct"/>
          </w:tcPr>
          <w:p w14:paraId="043C5C2C" w14:textId="2B584B81" w:rsidR="00BE6A1E" w:rsidRPr="006C06ED" w:rsidRDefault="006B3411" w:rsidP="006C06ED">
            <w:pPr>
              <w:pStyle w:val="NoSpacing"/>
              <w:rPr>
                <w:sz w:val="20"/>
                <w:szCs w:val="20"/>
              </w:rPr>
            </w:pPr>
            <w:r w:rsidRPr="006C06ED">
              <w:rPr>
                <w:sz w:val="20"/>
                <w:szCs w:val="20"/>
              </w:rPr>
              <w:t>–</w:t>
            </w:r>
          </w:p>
        </w:tc>
      </w:tr>
      <w:tr w:rsidR="00BE6A1E" w:rsidRPr="006C06ED" w14:paraId="3465EAF0" w14:textId="77777777" w:rsidTr="006C06ED">
        <w:tc>
          <w:tcPr>
            <w:tcW w:w="1250" w:type="pct"/>
          </w:tcPr>
          <w:p w14:paraId="44A6CA24" w14:textId="165F3321" w:rsidR="00BE6A1E" w:rsidRPr="006C06ED" w:rsidRDefault="006B3411" w:rsidP="006C06ED">
            <w:pPr>
              <w:pStyle w:val="NoSpacing"/>
              <w:rPr>
                <w:sz w:val="20"/>
                <w:szCs w:val="20"/>
              </w:rPr>
            </w:pPr>
            <w:r w:rsidRPr="006C06ED">
              <w:rPr>
                <w:sz w:val="20"/>
                <w:szCs w:val="20"/>
              </w:rPr>
              <w:t>3-methoxy-5-methylphenol</w:t>
            </w:r>
          </w:p>
        </w:tc>
        <w:tc>
          <w:tcPr>
            <w:tcW w:w="1250" w:type="pct"/>
          </w:tcPr>
          <w:p w14:paraId="4DA5953A" w14:textId="1D7F7D48" w:rsidR="00BE6A1E" w:rsidRPr="006C06ED" w:rsidRDefault="006B3411" w:rsidP="006C06ED">
            <w:pPr>
              <w:pStyle w:val="NoSpacing"/>
              <w:rPr>
                <w:sz w:val="20"/>
                <w:szCs w:val="20"/>
              </w:rPr>
            </w:pPr>
            <w:r w:rsidRPr="006C06ED">
              <w:rPr>
                <w:sz w:val="20"/>
                <w:szCs w:val="20"/>
              </w:rPr>
              <w:t>138.166</w:t>
            </w:r>
          </w:p>
        </w:tc>
        <w:tc>
          <w:tcPr>
            <w:tcW w:w="1250" w:type="pct"/>
          </w:tcPr>
          <w:p w14:paraId="645ABD37" w14:textId="2452464F" w:rsidR="00BE6A1E" w:rsidRPr="006C06ED" w:rsidRDefault="006B3411" w:rsidP="006C06ED">
            <w:pPr>
              <w:pStyle w:val="NoSpacing"/>
              <w:rPr>
                <w:sz w:val="20"/>
                <w:szCs w:val="20"/>
              </w:rPr>
            </w:pPr>
            <w:r w:rsidRPr="006C06ED">
              <w:rPr>
                <w:sz w:val="20"/>
                <w:szCs w:val="20"/>
              </w:rPr>
              <w:t>0.29 ± 0.17</w:t>
            </w:r>
          </w:p>
        </w:tc>
        <w:tc>
          <w:tcPr>
            <w:tcW w:w="1250" w:type="pct"/>
          </w:tcPr>
          <w:p w14:paraId="5345B60D" w14:textId="682D9455" w:rsidR="00BE6A1E" w:rsidRPr="006C06ED" w:rsidRDefault="006B3411" w:rsidP="006C06ED">
            <w:pPr>
              <w:pStyle w:val="NoSpacing"/>
              <w:rPr>
                <w:sz w:val="20"/>
                <w:szCs w:val="20"/>
              </w:rPr>
            </w:pPr>
            <w:r w:rsidRPr="006C06ED">
              <w:rPr>
                <w:sz w:val="20"/>
                <w:szCs w:val="20"/>
              </w:rPr>
              <w:t>–</w:t>
            </w:r>
          </w:p>
        </w:tc>
      </w:tr>
      <w:tr w:rsidR="00BE6A1E" w:rsidRPr="006C06ED" w14:paraId="30D61964" w14:textId="77777777" w:rsidTr="006C06ED">
        <w:tc>
          <w:tcPr>
            <w:tcW w:w="1250" w:type="pct"/>
          </w:tcPr>
          <w:p w14:paraId="02F1D543" w14:textId="6FBB9EA8" w:rsidR="00BE6A1E" w:rsidRPr="006C06ED" w:rsidRDefault="006B3411" w:rsidP="006C06ED">
            <w:pPr>
              <w:pStyle w:val="NoSpacing"/>
              <w:rPr>
                <w:sz w:val="20"/>
                <w:szCs w:val="20"/>
              </w:rPr>
            </w:pPr>
            <w:r w:rsidRPr="006C06ED">
              <w:rPr>
                <w:sz w:val="20"/>
                <w:szCs w:val="20"/>
              </w:rPr>
              <w:t>2-methoxy-4-methylphenol</w:t>
            </w:r>
          </w:p>
        </w:tc>
        <w:tc>
          <w:tcPr>
            <w:tcW w:w="1250" w:type="pct"/>
          </w:tcPr>
          <w:p w14:paraId="128F1F45" w14:textId="44CC471B" w:rsidR="00BE6A1E" w:rsidRPr="006C06ED" w:rsidRDefault="006B3411" w:rsidP="006C06ED">
            <w:pPr>
              <w:pStyle w:val="NoSpacing"/>
              <w:rPr>
                <w:sz w:val="20"/>
                <w:szCs w:val="20"/>
              </w:rPr>
            </w:pPr>
            <w:r w:rsidRPr="006C06ED">
              <w:rPr>
                <w:sz w:val="20"/>
                <w:szCs w:val="20"/>
              </w:rPr>
              <w:t>138.166</w:t>
            </w:r>
          </w:p>
        </w:tc>
        <w:tc>
          <w:tcPr>
            <w:tcW w:w="1250" w:type="pct"/>
          </w:tcPr>
          <w:p w14:paraId="17AF48D4" w14:textId="2C64A8F0" w:rsidR="00BE6A1E" w:rsidRPr="006C06ED" w:rsidRDefault="006B3411" w:rsidP="006C06ED">
            <w:pPr>
              <w:pStyle w:val="NoSpacing"/>
              <w:rPr>
                <w:sz w:val="20"/>
                <w:szCs w:val="20"/>
              </w:rPr>
            </w:pPr>
            <w:r w:rsidRPr="006C06ED">
              <w:rPr>
                <w:sz w:val="20"/>
                <w:szCs w:val="20"/>
              </w:rPr>
              <w:t>0.26 ± 0.15</w:t>
            </w:r>
          </w:p>
        </w:tc>
        <w:tc>
          <w:tcPr>
            <w:tcW w:w="1250" w:type="pct"/>
          </w:tcPr>
          <w:p w14:paraId="44F2C756" w14:textId="5DE301F6" w:rsidR="00BE6A1E" w:rsidRPr="006C06ED" w:rsidRDefault="006B3411" w:rsidP="006C06ED">
            <w:pPr>
              <w:pStyle w:val="NoSpacing"/>
              <w:rPr>
                <w:sz w:val="20"/>
                <w:szCs w:val="20"/>
              </w:rPr>
            </w:pPr>
            <w:r w:rsidRPr="006C06ED">
              <w:rPr>
                <w:sz w:val="20"/>
                <w:szCs w:val="20"/>
              </w:rPr>
              <w:t>–</w:t>
            </w:r>
          </w:p>
        </w:tc>
      </w:tr>
      <w:tr w:rsidR="00BE6A1E" w:rsidRPr="006C06ED" w14:paraId="240CF31B" w14:textId="77777777" w:rsidTr="006C06ED">
        <w:tc>
          <w:tcPr>
            <w:tcW w:w="1250" w:type="pct"/>
          </w:tcPr>
          <w:p w14:paraId="0BFAA2FA" w14:textId="782A9268" w:rsidR="00BE6A1E" w:rsidRPr="006C06ED" w:rsidRDefault="006B3411" w:rsidP="006C06ED">
            <w:pPr>
              <w:pStyle w:val="NoSpacing"/>
              <w:rPr>
                <w:sz w:val="20"/>
                <w:szCs w:val="20"/>
              </w:rPr>
            </w:pPr>
            <w:r w:rsidRPr="006C06ED">
              <w:rPr>
                <w:sz w:val="20"/>
                <w:szCs w:val="20"/>
              </w:rPr>
              <w:t>3,5-dimethoxy-4-hydroxybenzaldehyde</w:t>
            </w:r>
          </w:p>
        </w:tc>
        <w:tc>
          <w:tcPr>
            <w:tcW w:w="1250" w:type="pct"/>
          </w:tcPr>
          <w:p w14:paraId="294B0708" w14:textId="3E3D1D25" w:rsidR="00BE6A1E" w:rsidRPr="006C06ED" w:rsidRDefault="006B3411" w:rsidP="006C06ED">
            <w:pPr>
              <w:pStyle w:val="NoSpacing"/>
              <w:rPr>
                <w:sz w:val="20"/>
                <w:szCs w:val="20"/>
              </w:rPr>
            </w:pPr>
            <w:r w:rsidRPr="006C06ED">
              <w:rPr>
                <w:sz w:val="20"/>
                <w:szCs w:val="20"/>
              </w:rPr>
              <w:t>182.17</w:t>
            </w:r>
          </w:p>
        </w:tc>
        <w:tc>
          <w:tcPr>
            <w:tcW w:w="1250" w:type="pct"/>
          </w:tcPr>
          <w:p w14:paraId="3E599490" w14:textId="78BC5A33" w:rsidR="00BE6A1E" w:rsidRPr="006C06ED" w:rsidRDefault="006B3411" w:rsidP="006C06ED">
            <w:pPr>
              <w:pStyle w:val="NoSpacing"/>
              <w:rPr>
                <w:sz w:val="20"/>
                <w:szCs w:val="20"/>
              </w:rPr>
            </w:pPr>
            <w:r w:rsidRPr="006C06ED">
              <w:rPr>
                <w:sz w:val="20"/>
                <w:szCs w:val="20"/>
              </w:rPr>
              <w:t>0.25 ± 0.15</w:t>
            </w:r>
          </w:p>
        </w:tc>
        <w:tc>
          <w:tcPr>
            <w:tcW w:w="1250" w:type="pct"/>
          </w:tcPr>
          <w:p w14:paraId="2098E16E" w14:textId="6D688F3B" w:rsidR="00BE6A1E" w:rsidRPr="006C06ED" w:rsidRDefault="006B3411" w:rsidP="006C06ED">
            <w:pPr>
              <w:pStyle w:val="NoSpacing"/>
              <w:rPr>
                <w:sz w:val="20"/>
                <w:szCs w:val="20"/>
              </w:rPr>
            </w:pPr>
            <w:r w:rsidRPr="006C06ED">
              <w:rPr>
                <w:sz w:val="20"/>
                <w:szCs w:val="20"/>
              </w:rPr>
              <w:t>–</w:t>
            </w:r>
          </w:p>
        </w:tc>
      </w:tr>
      <w:tr w:rsidR="00BE6A1E" w:rsidRPr="006C06ED" w14:paraId="1C93B115" w14:textId="77777777" w:rsidTr="006C06ED">
        <w:tc>
          <w:tcPr>
            <w:tcW w:w="1250" w:type="pct"/>
          </w:tcPr>
          <w:p w14:paraId="594F4D5B" w14:textId="180E5595" w:rsidR="00BE6A1E" w:rsidRPr="006C06ED" w:rsidRDefault="006B3411" w:rsidP="006C06ED">
            <w:pPr>
              <w:pStyle w:val="NoSpacing"/>
              <w:rPr>
                <w:sz w:val="20"/>
                <w:szCs w:val="20"/>
              </w:rPr>
            </w:pPr>
            <w:r w:rsidRPr="006C06ED">
              <w:rPr>
                <w:sz w:val="20"/>
                <w:szCs w:val="20"/>
              </w:rPr>
              <w:t>4</w:t>
            </w:r>
            <w:r w:rsidRPr="006C06ED">
              <w:rPr>
                <w:rFonts w:hint="eastAsia"/>
                <w:sz w:val="20"/>
                <w:szCs w:val="20"/>
              </w:rPr>
              <w:t>′</w:t>
            </w:r>
            <w:r w:rsidRPr="006C06ED">
              <w:rPr>
                <w:rFonts w:hint="eastAsia"/>
                <w:sz w:val="20"/>
                <w:szCs w:val="20"/>
              </w:rPr>
              <w:t>-hydroxy-3</w:t>
            </w:r>
            <w:r w:rsidRPr="006C06ED">
              <w:rPr>
                <w:rFonts w:hint="eastAsia"/>
                <w:sz w:val="20"/>
                <w:szCs w:val="20"/>
              </w:rPr>
              <w:t>′</w:t>
            </w:r>
            <w:r w:rsidR="00DA0C61" w:rsidRPr="006C06ED">
              <w:rPr>
                <w:sz w:val="20"/>
                <w:szCs w:val="20"/>
              </w:rPr>
              <w:t>-</w:t>
            </w:r>
            <w:r w:rsidRPr="006C06ED">
              <w:rPr>
                <w:sz w:val="20"/>
                <w:szCs w:val="20"/>
              </w:rPr>
              <w:t>methoxyacetophenone</w:t>
            </w:r>
          </w:p>
        </w:tc>
        <w:tc>
          <w:tcPr>
            <w:tcW w:w="1250" w:type="pct"/>
          </w:tcPr>
          <w:p w14:paraId="525788B4" w14:textId="6FA61B48" w:rsidR="00BE6A1E" w:rsidRPr="006C06ED" w:rsidRDefault="001F36A1" w:rsidP="006C06ED">
            <w:pPr>
              <w:pStyle w:val="NoSpacing"/>
              <w:rPr>
                <w:sz w:val="20"/>
                <w:szCs w:val="20"/>
              </w:rPr>
            </w:pPr>
            <w:r w:rsidRPr="006C06ED">
              <w:rPr>
                <w:sz w:val="20"/>
                <w:szCs w:val="20"/>
              </w:rPr>
              <w:t>166.176</w:t>
            </w:r>
          </w:p>
        </w:tc>
        <w:tc>
          <w:tcPr>
            <w:tcW w:w="1250" w:type="pct"/>
          </w:tcPr>
          <w:p w14:paraId="032449C5" w14:textId="26C3B4AF" w:rsidR="00BE6A1E" w:rsidRPr="006C06ED" w:rsidRDefault="00851D8C" w:rsidP="006C06ED">
            <w:pPr>
              <w:pStyle w:val="NoSpacing"/>
              <w:rPr>
                <w:sz w:val="20"/>
                <w:szCs w:val="20"/>
              </w:rPr>
            </w:pPr>
            <w:r w:rsidRPr="006C06ED">
              <w:rPr>
                <w:sz w:val="20"/>
                <w:szCs w:val="20"/>
              </w:rPr>
              <w:t>0.23 ± 0.13</w:t>
            </w:r>
          </w:p>
        </w:tc>
        <w:tc>
          <w:tcPr>
            <w:tcW w:w="1250" w:type="pct"/>
          </w:tcPr>
          <w:p w14:paraId="1FD72ADA" w14:textId="07861CD5" w:rsidR="00BE6A1E" w:rsidRPr="006C06ED" w:rsidRDefault="00851D8C" w:rsidP="006C06ED">
            <w:pPr>
              <w:pStyle w:val="NoSpacing"/>
              <w:rPr>
                <w:sz w:val="20"/>
                <w:szCs w:val="20"/>
              </w:rPr>
            </w:pPr>
            <w:r w:rsidRPr="006C06ED">
              <w:rPr>
                <w:sz w:val="20"/>
                <w:szCs w:val="20"/>
              </w:rPr>
              <w:t>–</w:t>
            </w:r>
          </w:p>
        </w:tc>
      </w:tr>
      <w:tr w:rsidR="00BE6A1E" w:rsidRPr="006C06ED" w14:paraId="55ED45FA" w14:textId="77777777" w:rsidTr="006C06ED">
        <w:tc>
          <w:tcPr>
            <w:tcW w:w="1250" w:type="pct"/>
          </w:tcPr>
          <w:p w14:paraId="05FA04F5" w14:textId="77463F0F" w:rsidR="00BE6A1E" w:rsidRPr="006C06ED" w:rsidRDefault="00DA0C61" w:rsidP="006C06ED">
            <w:pPr>
              <w:pStyle w:val="NoSpacing"/>
              <w:rPr>
                <w:sz w:val="20"/>
                <w:szCs w:val="20"/>
              </w:rPr>
            </w:pPr>
            <w:r w:rsidRPr="006C06ED">
              <w:rPr>
                <w:sz w:val="20"/>
                <w:szCs w:val="20"/>
              </w:rPr>
              <w:t>phenol</w:t>
            </w:r>
          </w:p>
        </w:tc>
        <w:tc>
          <w:tcPr>
            <w:tcW w:w="1250" w:type="pct"/>
          </w:tcPr>
          <w:p w14:paraId="639CEF09" w14:textId="6CC6EF6C" w:rsidR="00BE6A1E" w:rsidRPr="006C06ED" w:rsidRDefault="00DA0C61" w:rsidP="006C06ED">
            <w:pPr>
              <w:pStyle w:val="NoSpacing"/>
              <w:rPr>
                <w:sz w:val="20"/>
                <w:szCs w:val="20"/>
              </w:rPr>
            </w:pPr>
            <w:r w:rsidRPr="006C06ED">
              <w:rPr>
                <w:sz w:val="20"/>
                <w:szCs w:val="20"/>
              </w:rPr>
              <w:t>94.113</w:t>
            </w:r>
          </w:p>
        </w:tc>
        <w:tc>
          <w:tcPr>
            <w:tcW w:w="1250" w:type="pct"/>
          </w:tcPr>
          <w:p w14:paraId="168B29C7" w14:textId="07635B0C" w:rsidR="00BE6A1E" w:rsidRPr="006C06ED" w:rsidRDefault="00DA0C61" w:rsidP="006C06ED">
            <w:pPr>
              <w:pStyle w:val="NoSpacing"/>
              <w:rPr>
                <w:sz w:val="20"/>
                <w:szCs w:val="20"/>
              </w:rPr>
            </w:pPr>
            <w:r w:rsidRPr="006C06ED">
              <w:rPr>
                <w:sz w:val="20"/>
                <w:szCs w:val="20"/>
              </w:rPr>
              <w:t>0.21 ± 0.12</w:t>
            </w:r>
          </w:p>
        </w:tc>
        <w:tc>
          <w:tcPr>
            <w:tcW w:w="1250" w:type="pct"/>
          </w:tcPr>
          <w:p w14:paraId="68FD3BD5" w14:textId="708D5268" w:rsidR="00BE6A1E" w:rsidRPr="006C06ED" w:rsidRDefault="00DA0C61" w:rsidP="006C06ED">
            <w:pPr>
              <w:pStyle w:val="NoSpacing"/>
              <w:rPr>
                <w:sz w:val="20"/>
                <w:szCs w:val="20"/>
              </w:rPr>
            </w:pPr>
            <w:r w:rsidRPr="006C06ED">
              <w:rPr>
                <w:sz w:val="20"/>
                <w:szCs w:val="20"/>
              </w:rPr>
              <w:t>2,100</w:t>
            </w:r>
            <w:r w:rsidRPr="006C06ED">
              <w:rPr>
                <w:sz w:val="20"/>
                <w:szCs w:val="20"/>
                <w:vertAlign w:val="superscript"/>
              </w:rPr>
              <w:t>b</w:t>
            </w:r>
          </w:p>
        </w:tc>
      </w:tr>
      <w:tr w:rsidR="00BE6A1E" w:rsidRPr="006C06ED" w14:paraId="1197ECEF" w14:textId="77777777" w:rsidTr="006C06ED">
        <w:tc>
          <w:tcPr>
            <w:tcW w:w="1250" w:type="pct"/>
          </w:tcPr>
          <w:p w14:paraId="017EC6B6" w14:textId="56637BA3" w:rsidR="00BE6A1E" w:rsidRPr="006C06ED" w:rsidRDefault="00DA0C61" w:rsidP="006C06ED">
            <w:pPr>
              <w:pStyle w:val="NoSpacing"/>
              <w:rPr>
                <w:sz w:val="20"/>
                <w:szCs w:val="20"/>
              </w:rPr>
            </w:pPr>
            <w:r w:rsidRPr="006C06ED">
              <w:rPr>
                <w:sz w:val="20"/>
                <w:szCs w:val="20"/>
              </w:rPr>
              <w:t>4-ethyl-2-methoxyphenol</w:t>
            </w:r>
          </w:p>
        </w:tc>
        <w:tc>
          <w:tcPr>
            <w:tcW w:w="1250" w:type="pct"/>
          </w:tcPr>
          <w:p w14:paraId="7799E2CB" w14:textId="22C14600" w:rsidR="00BE6A1E" w:rsidRPr="006C06ED" w:rsidRDefault="00DA0C61" w:rsidP="006C06ED">
            <w:pPr>
              <w:pStyle w:val="NoSpacing"/>
              <w:rPr>
                <w:sz w:val="20"/>
                <w:szCs w:val="20"/>
              </w:rPr>
            </w:pPr>
            <w:r w:rsidRPr="006C06ED">
              <w:rPr>
                <w:sz w:val="20"/>
                <w:szCs w:val="20"/>
              </w:rPr>
              <w:t>152.193</w:t>
            </w:r>
          </w:p>
        </w:tc>
        <w:tc>
          <w:tcPr>
            <w:tcW w:w="1250" w:type="pct"/>
          </w:tcPr>
          <w:p w14:paraId="659E8C2B" w14:textId="169ED4EC" w:rsidR="00BE6A1E" w:rsidRPr="006C06ED" w:rsidRDefault="00DA0C61" w:rsidP="006C06ED">
            <w:pPr>
              <w:pStyle w:val="NoSpacing"/>
              <w:rPr>
                <w:sz w:val="20"/>
                <w:szCs w:val="20"/>
              </w:rPr>
            </w:pPr>
            <w:r w:rsidRPr="006C06ED">
              <w:rPr>
                <w:sz w:val="20"/>
                <w:szCs w:val="20"/>
              </w:rPr>
              <w:t>0.21 ± 0.12</w:t>
            </w:r>
          </w:p>
        </w:tc>
        <w:tc>
          <w:tcPr>
            <w:tcW w:w="1250" w:type="pct"/>
          </w:tcPr>
          <w:p w14:paraId="0AA25B5E" w14:textId="76EC5D64" w:rsidR="00BE6A1E" w:rsidRPr="006C06ED" w:rsidRDefault="00DA0C61" w:rsidP="006C06ED">
            <w:pPr>
              <w:pStyle w:val="NoSpacing"/>
              <w:rPr>
                <w:sz w:val="20"/>
                <w:szCs w:val="20"/>
              </w:rPr>
            </w:pPr>
            <w:r w:rsidRPr="006C06ED">
              <w:rPr>
                <w:sz w:val="20"/>
                <w:szCs w:val="20"/>
              </w:rPr>
              <w:t>–</w:t>
            </w:r>
          </w:p>
        </w:tc>
      </w:tr>
      <w:tr w:rsidR="00BE6A1E" w:rsidRPr="006C06ED" w14:paraId="3CE5DADE" w14:textId="77777777" w:rsidTr="006C06ED">
        <w:tc>
          <w:tcPr>
            <w:tcW w:w="1250" w:type="pct"/>
          </w:tcPr>
          <w:p w14:paraId="2582CDC7" w14:textId="5CDE5B2A" w:rsidR="00BE6A1E" w:rsidRPr="006C06ED" w:rsidRDefault="00DA0C61" w:rsidP="006C06ED">
            <w:pPr>
              <w:pStyle w:val="NoSpacing"/>
              <w:rPr>
                <w:sz w:val="20"/>
                <w:szCs w:val="20"/>
              </w:rPr>
            </w:pPr>
            <w:r w:rsidRPr="006C06ED">
              <w:rPr>
                <w:sz w:val="20"/>
                <w:szCs w:val="20"/>
              </w:rPr>
              <w:t>2,5-dimethylphenol</w:t>
            </w:r>
          </w:p>
        </w:tc>
        <w:tc>
          <w:tcPr>
            <w:tcW w:w="1250" w:type="pct"/>
          </w:tcPr>
          <w:p w14:paraId="261D0AD6" w14:textId="44DB76A2" w:rsidR="00BE6A1E" w:rsidRPr="006C06ED" w:rsidRDefault="00DA0C61" w:rsidP="006C06ED">
            <w:pPr>
              <w:pStyle w:val="NoSpacing"/>
              <w:rPr>
                <w:sz w:val="20"/>
                <w:szCs w:val="20"/>
              </w:rPr>
            </w:pPr>
            <w:r w:rsidRPr="006C06ED">
              <w:rPr>
                <w:sz w:val="20"/>
                <w:szCs w:val="20"/>
              </w:rPr>
              <w:t>122.167</w:t>
            </w:r>
          </w:p>
        </w:tc>
        <w:tc>
          <w:tcPr>
            <w:tcW w:w="1250" w:type="pct"/>
          </w:tcPr>
          <w:p w14:paraId="4335686B" w14:textId="63CEAB20" w:rsidR="00BE6A1E" w:rsidRPr="006C06ED" w:rsidRDefault="00DA0C61" w:rsidP="006C06ED">
            <w:pPr>
              <w:pStyle w:val="NoSpacing"/>
              <w:rPr>
                <w:sz w:val="20"/>
                <w:szCs w:val="20"/>
              </w:rPr>
            </w:pPr>
            <w:r w:rsidRPr="006C06ED">
              <w:rPr>
                <w:sz w:val="20"/>
                <w:szCs w:val="20"/>
              </w:rPr>
              <w:t>0.21 ± 0.12</w:t>
            </w:r>
          </w:p>
        </w:tc>
        <w:tc>
          <w:tcPr>
            <w:tcW w:w="1250" w:type="pct"/>
          </w:tcPr>
          <w:p w14:paraId="0C6940C1" w14:textId="12973E07" w:rsidR="00BE6A1E" w:rsidRPr="006C06ED" w:rsidRDefault="00DA0C61" w:rsidP="006C06ED">
            <w:pPr>
              <w:pStyle w:val="NoSpacing"/>
              <w:rPr>
                <w:sz w:val="20"/>
                <w:szCs w:val="20"/>
              </w:rPr>
            </w:pPr>
            <w:r w:rsidRPr="006C06ED">
              <w:rPr>
                <w:sz w:val="20"/>
                <w:szCs w:val="20"/>
              </w:rPr>
              <w:t>–</w:t>
            </w:r>
          </w:p>
        </w:tc>
      </w:tr>
      <w:tr w:rsidR="00BE6A1E" w:rsidRPr="006C06ED" w14:paraId="7DB88651" w14:textId="77777777" w:rsidTr="006C06ED">
        <w:tc>
          <w:tcPr>
            <w:tcW w:w="1250" w:type="pct"/>
          </w:tcPr>
          <w:p w14:paraId="3A648E51" w14:textId="26ECCF63" w:rsidR="00BE6A1E" w:rsidRPr="006C06ED" w:rsidRDefault="00DA0C61" w:rsidP="006C06ED">
            <w:pPr>
              <w:pStyle w:val="NoSpacing"/>
              <w:rPr>
                <w:sz w:val="20"/>
                <w:szCs w:val="20"/>
              </w:rPr>
            </w:pPr>
            <w:r w:rsidRPr="006C06ED">
              <w:rPr>
                <w:sz w:val="20"/>
                <w:szCs w:val="20"/>
              </w:rPr>
              <w:t>m-xylene</w:t>
            </w:r>
          </w:p>
        </w:tc>
        <w:tc>
          <w:tcPr>
            <w:tcW w:w="1250" w:type="pct"/>
          </w:tcPr>
          <w:p w14:paraId="3EB482C8" w14:textId="10B53FC7" w:rsidR="00BE6A1E" w:rsidRPr="006C06ED" w:rsidRDefault="00DA0C61" w:rsidP="006C06ED">
            <w:pPr>
              <w:pStyle w:val="NoSpacing"/>
              <w:rPr>
                <w:sz w:val="20"/>
                <w:szCs w:val="20"/>
              </w:rPr>
            </w:pPr>
            <w:r w:rsidRPr="006C06ED">
              <w:rPr>
                <w:sz w:val="20"/>
                <w:szCs w:val="20"/>
              </w:rPr>
              <w:t>106.16</w:t>
            </w:r>
          </w:p>
        </w:tc>
        <w:tc>
          <w:tcPr>
            <w:tcW w:w="1250" w:type="pct"/>
          </w:tcPr>
          <w:p w14:paraId="2E0A05D4" w14:textId="4D6E02EF" w:rsidR="00BE6A1E" w:rsidRPr="006C06ED" w:rsidRDefault="00DA0C61" w:rsidP="006C06ED">
            <w:pPr>
              <w:pStyle w:val="NoSpacing"/>
              <w:rPr>
                <w:sz w:val="20"/>
                <w:szCs w:val="20"/>
              </w:rPr>
            </w:pPr>
            <w:r w:rsidRPr="006C06ED">
              <w:rPr>
                <w:sz w:val="20"/>
                <w:szCs w:val="20"/>
              </w:rPr>
              <w:t>0.2 ± 0.12</w:t>
            </w:r>
          </w:p>
        </w:tc>
        <w:tc>
          <w:tcPr>
            <w:tcW w:w="1250" w:type="pct"/>
          </w:tcPr>
          <w:p w14:paraId="590A5DAC" w14:textId="5A51F64A" w:rsidR="00BE6A1E" w:rsidRPr="006C06ED" w:rsidRDefault="00DA0C61" w:rsidP="006C06ED">
            <w:pPr>
              <w:pStyle w:val="NoSpacing"/>
              <w:rPr>
                <w:sz w:val="20"/>
                <w:szCs w:val="20"/>
              </w:rPr>
            </w:pPr>
            <w:r w:rsidRPr="006C06ED">
              <w:rPr>
                <w:sz w:val="20"/>
                <w:szCs w:val="20"/>
              </w:rPr>
              <w:t>–</w:t>
            </w:r>
          </w:p>
        </w:tc>
      </w:tr>
      <w:tr w:rsidR="009A3CB9" w:rsidRPr="006C06ED" w14:paraId="19C099CE" w14:textId="77777777" w:rsidTr="006C06ED">
        <w:tc>
          <w:tcPr>
            <w:tcW w:w="1250" w:type="pct"/>
          </w:tcPr>
          <w:p w14:paraId="1CBE6F75" w14:textId="30179C26" w:rsidR="009A3CB9" w:rsidRPr="006C06ED" w:rsidRDefault="00DA0C61" w:rsidP="006C06ED">
            <w:pPr>
              <w:pStyle w:val="NoSpacing"/>
              <w:rPr>
                <w:sz w:val="20"/>
                <w:szCs w:val="20"/>
              </w:rPr>
            </w:pPr>
            <w:r w:rsidRPr="006C06ED">
              <w:rPr>
                <w:sz w:val="20"/>
                <w:szCs w:val="20"/>
              </w:rPr>
              <w:t>3-ethylphenol</w:t>
            </w:r>
          </w:p>
        </w:tc>
        <w:tc>
          <w:tcPr>
            <w:tcW w:w="1250" w:type="pct"/>
          </w:tcPr>
          <w:p w14:paraId="50C68D55" w14:textId="0ADD0A36" w:rsidR="009A3CB9" w:rsidRPr="006C06ED" w:rsidRDefault="00DA0C61" w:rsidP="006C06ED">
            <w:pPr>
              <w:pStyle w:val="NoSpacing"/>
              <w:rPr>
                <w:sz w:val="20"/>
                <w:szCs w:val="20"/>
              </w:rPr>
            </w:pPr>
            <w:r w:rsidRPr="006C06ED">
              <w:rPr>
                <w:sz w:val="20"/>
                <w:szCs w:val="20"/>
              </w:rPr>
              <w:t>122.167</w:t>
            </w:r>
          </w:p>
        </w:tc>
        <w:tc>
          <w:tcPr>
            <w:tcW w:w="1250" w:type="pct"/>
          </w:tcPr>
          <w:p w14:paraId="6C28C7B3" w14:textId="5C0041BA" w:rsidR="009A3CB9" w:rsidRPr="006C06ED" w:rsidRDefault="00DA0C61" w:rsidP="006C06ED">
            <w:pPr>
              <w:pStyle w:val="NoSpacing"/>
              <w:rPr>
                <w:sz w:val="20"/>
                <w:szCs w:val="20"/>
              </w:rPr>
            </w:pPr>
            <w:r w:rsidRPr="006C06ED">
              <w:rPr>
                <w:sz w:val="20"/>
                <w:szCs w:val="20"/>
              </w:rPr>
              <w:t>0.19 ± 0.11</w:t>
            </w:r>
          </w:p>
        </w:tc>
        <w:tc>
          <w:tcPr>
            <w:tcW w:w="1250" w:type="pct"/>
          </w:tcPr>
          <w:p w14:paraId="2B05D4C7" w14:textId="64C82B58" w:rsidR="009A3CB9" w:rsidRPr="006C06ED" w:rsidRDefault="00DA0C61" w:rsidP="006C06ED">
            <w:pPr>
              <w:pStyle w:val="NoSpacing"/>
              <w:rPr>
                <w:sz w:val="20"/>
                <w:szCs w:val="20"/>
              </w:rPr>
            </w:pPr>
            <w:r w:rsidRPr="006C06ED">
              <w:rPr>
                <w:sz w:val="20"/>
                <w:szCs w:val="20"/>
              </w:rPr>
              <w:t>–</w:t>
            </w:r>
          </w:p>
        </w:tc>
      </w:tr>
      <w:tr w:rsidR="009A3CB9" w:rsidRPr="006C06ED" w14:paraId="058EAE28" w14:textId="77777777" w:rsidTr="006C06ED">
        <w:tc>
          <w:tcPr>
            <w:tcW w:w="1250" w:type="pct"/>
          </w:tcPr>
          <w:p w14:paraId="76979DD5" w14:textId="54FCA584" w:rsidR="009A3CB9" w:rsidRPr="006C06ED" w:rsidRDefault="00DA0C61" w:rsidP="006C06ED">
            <w:pPr>
              <w:pStyle w:val="NoSpacing"/>
              <w:rPr>
                <w:sz w:val="20"/>
                <w:szCs w:val="20"/>
              </w:rPr>
            </w:pPr>
            <w:r w:rsidRPr="006C06ED">
              <w:rPr>
                <w:sz w:val="20"/>
                <w:szCs w:val="20"/>
              </w:rPr>
              <w:t>o-xylene</w:t>
            </w:r>
          </w:p>
        </w:tc>
        <w:tc>
          <w:tcPr>
            <w:tcW w:w="1250" w:type="pct"/>
          </w:tcPr>
          <w:p w14:paraId="318EF7BB" w14:textId="15527D0C" w:rsidR="009A3CB9" w:rsidRPr="006C06ED" w:rsidRDefault="00DA0C61" w:rsidP="006C06ED">
            <w:pPr>
              <w:pStyle w:val="NoSpacing"/>
              <w:rPr>
                <w:sz w:val="20"/>
                <w:szCs w:val="20"/>
              </w:rPr>
            </w:pPr>
            <w:r w:rsidRPr="006C06ED">
              <w:rPr>
                <w:sz w:val="20"/>
                <w:szCs w:val="20"/>
              </w:rPr>
              <w:t>106.16</w:t>
            </w:r>
          </w:p>
        </w:tc>
        <w:tc>
          <w:tcPr>
            <w:tcW w:w="1250" w:type="pct"/>
          </w:tcPr>
          <w:p w14:paraId="54C28471" w14:textId="2D249860" w:rsidR="009A3CB9" w:rsidRPr="006C06ED" w:rsidRDefault="00DA0C61" w:rsidP="006C06ED">
            <w:pPr>
              <w:pStyle w:val="NoSpacing"/>
              <w:rPr>
                <w:sz w:val="20"/>
                <w:szCs w:val="20"/>
              </w:rPr>
            </w:pPr>
            <w:r w:rsidRPr="006C06ED">
              <w:rPr>
                <w:sz w:val="20"/>
                <w:szCs w:val="20"/>
              </w:rPr>
              <w:t>0.18 ± 0.1</w:t>
            </w:r>
          </w:p>
        </w:tc>
        <w:tc>
          <w:tcPr>
            <w:tcW w:w="1250" w:type="pct"/>
          </w:tcPr>
          <w:p w14:paraId="0CD94091" w14:textId="0C9E7B59" w:rsidR="009A3CB9" w:rsidRPr="006C06ED" w:rsidRDefault="00DA0C61" w:rsidP="006C06ED">
            <w:pPr>
              <w:pStyle w:val="NoSpacing"/>
              <w:rPr>
                <w:sz w:val="20"/>
                <w:szCs w:val="20"/>
              </w:rPr>
            </w:pPr>
            <w:r w:rsidRPr="006C06ED">
              <w:rPr>
                <w:sz w:val="20"/>
                <w:szCs w:val="20"/>
              </w:rPr>
              <w:t>–</w:t>
            </w:r>
          </w:p>
        </w:tc>
      </w:tr>
      <w:tr w:rsidR="009A3CB9" w:rsidRPr="006C06ED" w14:paraId="3B87147F" w14:textId="77777777" w:rsidTr="006C06ED">
        <w:tc>
          <w:tcPr>
            <w:tcW w:w="1250" w:type="pct"/>
          </w:tcPr>
          <w:p w14:paraId="5BBA8B24" w14:textId="7B7EB497" w:rsidR="009A3CB9" w:rsidRPr="006C06ED" w:rsidRDefault="00107F11" w:rsidP="006C06ED">
            <w:pPr>
              <w:pStyle w:val="NoSpacing"/>
              <w:rPr>
                <w:sz w:val="20"/>
                <w:szCs w:val="20"/>
              </w:rPr>
            </w:pPr>
            <w:r w:rsidRPr="006C06ED">
              <w:rPr>
                <w:sz w:val="20"/>
                <w:szCs w:val="20"/>
              </w:rPr>
              <w:t>1,2,3-trimethoxybenzene</w:t>
            </w:r>
          </w:p>
        </w:tc>
        <w:tc>
          <w:tcPr>
            <w:tcW w:w="1250" w:type="pct"/>
          </w:tcPr>
          <w:p w14:paraId="1E78BB72" w14:textId="7AE523AD" w:rsidR="009A3CB9" w:rsidRPr="006C06ED" w:rsidRDefault="00107F11" w:rsidP="006C06ED">
            <w:pPr>
              <w:pStyle w:val="NoSpacing"/>
              <w:rPr>
                <w:sz w:val="20"/>
                <w:szCs w:val="20"/>
              </w:rPr>
            </w:pPr>
            <w:r w:rsidRPr="006C06ED">
              <w:rPr>
                <w:sz w:val="20"/>
                <w:szCs w:val="20"/>
              </w:rPr>
              <w:t>168.192</w:t>
            </w:r>
          </w:p>
        </w:tc>
        <w:tc>
          <w:tcPr>
            <w:tcW w:w="1250" w:type="pct"/>
          </w:tcPr>
          <w:p w14:paraId="18BBD650" w14:textId="6B58BACB" w:rsidR="009A3CB9" w:rsidRPr="006C06ED" w:rsidRDefault="00107F11" w:rsidP="006C06ED">
            <w:pPr>
              <w:pStyle w:val="NoSpacing"/>
              <w:rPr>
                <w:sz w:val="20"/>
                <w:szCs w:val="20"/>
              </w:rPr>
            </w:pPr>
            <w:r w:rsidRPr="006C06ED">
              <w:rPr>
                <w:sz w:val="20"/>
                <w:szCs w:val="20"/>
              </w:rPr>
              <w:t>0.16 ± 0.1</w:t>
            </w:r>
          </w:p>
        </w:tc>
        <w:tc>
          <w:tcPr>
            <w:tcW w:w="1250" w:type="pct"/>
          </w:tcPr>
          <w:p w14:paraId="4DBBDFD7" w14:textId="5F709442" w:rsidR="009A3CB9" w:rsidRPr="006C06ED" w:rsidRDefault="00107F11" w:rsidP="006C06ED">
            <w:pPr>
              <w:pStyle w:val="NoSpacing"/>
              <w:rPr>
                <w:sz w:val="20"/>
                <w:szCs w:val="20"/>
              </w:rPr>
            </w:pPr>
            <w:r w:rsidRPr="006C06ED">
              <w:rPr>
                <w:sz w:val="20"/>
                <w:szCs w:val="20"/>
              </w:rPr>
              <w:t>–</w:t>
            </w:r>
          </w:p>
        </w:tc>
      </w:tr>
      <w:tr w:rsidR="009A3CB9" w:rsidRPr="006C06ED" w14:paraId="12422D8A" w14:textId="77777777" w:rsidTr="006C06ED">
        <w:tc>
          <w:tcPr>
            <w:tcW w:w="1250" w:type="pct"/>
          </w:tcPr>
          <w:p w14:paraId="5BD9200B" w14:textId="2E7298E3" w:rsidR="009A3CB9" w:rsidRPr="006C06ED" w:rsidRDefault="00107F11" w:rsidP="006C06ED">
            <w:pPr>
              <w:pStyle w:val="NoSpacing"/>
              <w:rPr>
                <w:sz w:val="20"/>
                <w:szCs w:val="20"/>
              </w:rPr>
            </w:pPr>
            <w:r w:rsidRPr="006C06ED">
              <w:rPr>
                <w:sz w:val="20"/>
                <w:szCs w:val="20"/>
              </w:rPr>
              <w:t>3,4-dimethylphenol</w:t>
            </w:r>
          </w:p>
        </w:tc>
        <w:tc>
          <w:tcPr>
            <w:tcW w:w="1250" w:type="pct"/>
          </w:tcPr>
          <w:p w14:paraId="33AF36EA" w14:textId="1B91B6E1" w:rsidR="009A3CB9" w:rsidRPr="006C06ED" w:rsidRDefault="00107F11" w:rsidP="006C06ED">
            <w:pPr>
              <w:pStyle w:val="NoSpacing"/>
              <w:rPr>
                <w:sz w:val="20"/>
                <w:szCs w:val="20"/>
              </w:rPr>
            </w:pPr>
            <w:r w:rsidRPr="006C06ED">
              <w:rPr>
                <w:sz w:val="20"/>
                <w:szCs w:val="20"/>
              </w:rPr>
              <w:t>122.167</w:t>
            </w:r>
          </w:p>
        </w:tc>
        <w:tc>
          <w:tcPr>
            <w:tcW w:w="1250" w:type="pct"/>
          </w:tcPr>
          <w:p w14:paraId="63DA7E94" w14:textId="4C34E3CA" w:rsidR="009A3CB9" w:rsidRPr="006C06ED" w:rsidRDefault="00107F11" w:rsidP="006C06ED">
            <w:pPr>
              <w:pStyle w:val="NoSpacing"/>
              <w:rPr>
                <w:sz w:val="20"/>
                <w:szCs w:val="20"/>
              </w:rPr>
            </w:pPr>
            <w:r w:rsidRPr="006C06ED">
              <w:rPr>
                <w:sz w:val="20"/>
                <w:szCs w:val="20"/>
              </w:rPr>
              <w:t>0.15 ± 0.08</w:t>
            </w:r>
          </w:p>
        </w:tc>
        <w:tc>
          <w:tcPr>
            <w:tcW w:w="1250" w:type="pct"/>
          </w:tcPr>
          <w:p w14:paraId="482A1A5D" w14:textId="1FF19E0C" w:rsidR="009A3CB9" w:rsidRPr="006C06ED" w:rsidRDefault="00107F11" w:rsidP="006C06ED">
            <w:pPr>
              <w:pStyle w:val="NoSpacing"/>
              <w:rPr>
                <w:sz w:val="20"/>
                <w:szCs w:val="20"/>
              </w:rPr>
            </w:pPr>
            <w:r w:rsidRPr="006C06ED">
              <w:rPr>
                <w:sz w:val="20"/>
                <w:szCs w:val="20"/>
              </w:rPr>
              <w:t>–</w:t>
            </w:r>
          </w:p>
        </w:tc>
      </w:tr>
      <w:tr w:rsidR="009A3CB9" w:rsidRPr="006C06ED" w14:paraId="3284BA0E" w14:textId="77777777" w:rsidTr="006C06ED">
        <w:tc>
          <w:tcPr>
            <w:tcW w:w="1250" w:type="pct"/>
          </w:tcPr>
          <w:p w14:paraId="6EABF298" w14:textId="36A2B0B4" w:rsidR="009A3CB9" w:rsidRPr="006C06ED" w:rsidRDefault="00107F11" w:rsidP="006C06ED">
            <w:pPr>
              <w:pStyle w:val="NoSpacing"/>
              <w:rPr>
                <w:sz w:val="20"/>
                <w:szCs w:val="20"/>
              </w:rPr>
            </w:pPr>
            <w:r w:rsidRPr="006C06ED">
              <w:rPr>
                <w:sz w:val="20"/>
                <w:szCs w:val="20"/>
              </w:rPr>
              <w:t>2-methoxy-4-propylphenol</w:t>
            </w:r>
          </w:p>
        </w:tc>
        <w:tc>
          <w:tcPr>
            <w:tcW w:w="1250" w:type="pct"/>
          </w:tcPr>
          <w:p w14:paraId="558691A7" w14:textId="7D055052" w:rsidR="009A3CB9" w:rsidRPr="006C06ED" w:rsidRDefault="00107F11" w:rsidP="006C06ED">
            <w:pPr>
              <w:pStyle w:val="NoSpacing"/>
              <w:rPr>
                <w:sz w:val="20"/>
                <w:szCs w:val="20"/>
              </w:rPr>
            </w:pPr>
            <w:r w:rsidRPr="006C06ED">
              <w:rPr>
                <w:sz w:val="20"/>
                <w:szCs w:val="20"/>
              </w:rPr>
              <w:t>166.22</w:t>
            </w:r>
          </w:p>
        </w:tc>
        <w:tc>
          <w:tcPr>
            <w:tcW w:w="1250" w:type="pct"/>
          </w:tcPr>
          <w:p w14:paraId="268E84D1" w14:textId="7FFD21C6" w:rsidR="009A3CB9" w:rsidRPr="006C06ED" w:rsidRDefault="00107F11" w:rsidP="006C06ED">
            <w:pPr>
              <w:pStyle w:val="NoSpacing"/>
              <w:rPr>
                <w:sz w:val="20"/>
                <w:szCs w:val="20"/>
              </w:rPr>
            </w:pPr>
            <w:r w:rsidRPr="006C06ED">
              <w:rPr>
                <w:sz w:val="20"/>
                <w:szCs w:val="20"/>
              </w:rPr>
              <w:t>0.11 ± 0.07</w:t>
            </w:r>
          </w:p>
        </w:tc>
        <w:tc>
          <w:tcPr>
            <w:tcW w:w="1250" w:type="pct"/>
          </w:tcPr>
          <w:p w14:paraId="0FD9D31D" w14:textId="465A525A" w:rsidR="009A3CB9" w:rsidRPr="006C06ED" w:rsidRDefault="00107F11" w:rsidP="006C06ED">
            <w:pPr>
              <w:pStyle w:val="NoSpacing"/>
              <w:rPr>
                <w:sz w:val="20"/>
                <w:szCs w:val="20"/>
              </w:rPr>
            </w:pPr>
            <w:r w:rsidRPr="006C06ED">
              <w:rPr>
                <w:sz w:val="20"/>
                <w:szCs w:val="20"/>
              </w:rPr>
              <w:t>–</w:t>
            </w:r>
          </w:p>
        </w:tc>
      </w:tr>
      <w:tr w:rsidR="009A3CB9" w:rsidRPr="006C06ED" w14:paraId="144632F4" w14:textId="77777777" w:rsidTr="006C06ED">
        <w:tc>
          <w:tcPr>
            <w:tcW w:w="1250" w:type="pct"/>
          </w:tcPr>
          <w:p w14:paraId="19A70906" w14:textId="4713DE69" w:rsidR="009A3CB9" w:rsidRPr="006C06ED" w:rsidRDefault="00107F11" w:rsidP="006C06ED">
            <w:pPr>
              <w:pStyle w:val="NoSpacing"/>
              <w:rPr>
                <w:sz w:val="20"/>
                <w:szCs w:val="20"/>
              </w:rPr>
            </w:pPr>
            <w:r w:rsidRPr="006C06ED">
              <w:rPr>
                <w:sz w:val="20"/>
                <w:szCs w:val="20"/>
              </w:rPr>
              <w:t>2-methylanisole</w:t>
            </w:r>
          </w:p>
        </w:tc>
        <w:tc>
          <w:tcPr>
            <w:tcW w:w="1250" w:type="pct"/>
          </w:tcPr>
          <w:p w14:paraId="3811DC09" w14:textId="17495515" w:rsidR="009A3CB9" w:rsidRPr="006C06ED" w:rsidRDefault="00107F11" w:rsidP="006C06ED">
            <w:pPr>
              <w:pStyle w:val="NoSpacing"/>
              <w:rPr>
                <w:sz w:val="20"/>
                <w:szCs w:val="20"/>
              </w:rPr>
            </w:pPr>
            <w:r w:rsidRPr="006C06ED">
              <w:rPr>
                <w:sz w:val="20"/>
                <w:szCs w:val="20"/>
              </w:rPr>
              <w:t>122.167</w:t>
            </w:r>
          </w:p>
        </w:tc>
        <w:tc>
          <w:tcPr>
            <w:tcW w:w="1250" w:type="pct"/>
          </w:tcPr>
          <w:p w14:paraId="2033093B" w14:textId="2D15D21E" w:rsidR="009A3CB9" w:rsidRPr="006C06ED" w:rsidRDefault="00107F11" w:rsidP="006C06ED">
            <w:pPr>
              <w:pStyle w:val="NoSpacing"/>
              <w:rPr>
                <w:sz w:val="20"/>
                <w:szCs w:val="20"/>
              </w:rPr>
            </w:pPr>
            <w:r w:rsidRPr="006C06ED">
              <w:rPr>
                <w:sz w:val="20"/>
                <w:szCs w:val="20"/>
              </w:rPr>
              <w:t>0.11 ± 0.06</w:t>
            </w:r>
          </w:p>
        </w:tc>
        <w:tc>
          <w:tcPr>
            <w:tcW w:w="1250" w:type="pct"/>
          </w:tcPr>
          <w:p w14:paraId="28E27F9B" w14:textId="4AF4E8AA" w:rsidR="009A3CB9" w:rsidRPr="006C06ED" w:rsidRDefault="00107F11" w:rsidP="006C06ED">
            <w:pPr>
              <w:pStyle w:val="NoSpacing"/>
              <w:rPr>
                <w:sz w:val="20"/>
                <w:szCs w:val="20"/>
              </w:rPr>
            </w:pPr>
            <w:r w:rsidRPr="006C06ED">
              <w:rPr>
                <w:sz w:val="20"/>
                <w:szCs w:val="20"/>
              </w:rPr>
              <w:t>–</w:t>
            </w:r>
          </w:p>
        </w:tc>
      </w:tr>
      <w:tr w:rsidR="009A3CB9" w:rsidRPr="006C06ED" w14:paraId="5B9FBDD5" w14:textId="77777777" w:rsidTr="006C06ED">
        <w:tc>
          <w:tcPr>
            <w:tcW w:w="1250" w:type="pct"/>
          </w:tcPr>
          <w:p w14:paraId="17C3AC00" w14:textId="3CF0BFA4" w:rsidR="009A3CB9" w:rsidRPr="006C06ED" w:rsidRDefault="00107F11" w:rsidP="006C06ED">
            <w:pPr>
              <w:pStyle w:val="NoSpacing"/>
              <w:rPr>
                <w:sz w:val="20"/>
                <w:szCs w:val="20"/>
              </w:rPr>
            </w:pPr>
            <w:r w:rsidRPr="006C06ED">
              <w:rPr>
                <w:sz w:val="20"/>
                <w:szCs w:val="20"/>
              </w:rPr>
              <w:t>3,4-dimethoxytoluene</w:t>
            </w:r>
          </w:p>
        </w:tc>
        <w:tc>
          <w:tcPr>
            <w:tcW w:w="1250" w:type="pct"/>
          </w:tcPr>
          <w:p w14:paraId="48AA4AAD" w14:textId="6A41AF9E" w:rsidR="009A3CB9" w:rsidRPr="006C06ED" w:rsidRDefault="00107F11" w:rsidP="006C06ED">
            <w:pPr>
              <w:pStyle w:val="NoSpacing"/>
              <w:rPr>
                <w:sz w:val="20"/>
                <w:szCs w:val="20"/>
              </w:rPr>
            </w:pPr>
            <w:r w:rsidRPr="006C06ED">
              <w:rPr>
                <w:sz w:val="20"/>
                <w:szCs w:val="20"/>
              </w:rPr>
              <w:t>152.193</w:t>
            </w:r>
          </w:p>
        </w:tc>
        <w:tc>
          <w:tcPr>
            <w:tcW w:w="1250" w:type="pct"/>
          </w:tcPr>
          <w:p w14:paraId="47FF9E0C" w14:textId="0916E092" w:rsidR="009A3CB9" w:rsidRPr="006C06ED" w:rsidRDefault="00107F11" w:rsidP="006C06ED">
            <w:pPr>
              <w:pStyle w:val="NoSpacing"/>
              <w:rPr>
                <w:sz w:val="20"/>
                <w:szCs w:val="20"/>
              </w:rPr>
            </w:pPr>
            <w:r w:rsidRPr="006C06ED">
              <w:rPr>
                <w:sz w:val="20"/>
                <w:szCs w:val="20"/>
              </w:rPr>
              <w:t>0.11 ± 0.06</w:t>
            </w:r>
          </w:p>
        </w:tc>
        <w:tc>
          <w:tcPr>
            <w:tcW w:w="1250" w:type="pct"/>
          </w:tcPr>
          <w:p w14:paraId="641D85B8" w14:textId="0948A9B9" w:rsidR="009A3CB9" w:rsidRPr="006C06ED" w:rsidRDefault="00107F11" w:rsidP="006C06ED">
            <w:pPr>
              <w:pStyle w:val="NoSpacing"/>
              <w:rPr>
                <w:sz w:val="20"/>
                <w:szCs w:val="20"/>
              </w:rPr>
            </w:pPr>
            <w:r w:rsidRPr="006C06ED">
              <w:rPr>
                <w:sz w:val="20"/>
                <w:szCs w:val="20"/>
              </w:rPr>
              <w:t>–</w:t>
            </w:r>
          </w:p>
        </w:tc>
      </w:tr>
      <w:tr w:rsidR="009A3CB9" w:rsidRPr="006C06ED" w14:paraId="02688210" w14:textId="77777777" w:rsidTr="006C06ED">
        <w:tc>
          <w:tcPr>
            <w:tcW w:w="1250" w:type="pct"/>
          </w:tcPr>
          <w:p w14:paraId="611D3405" w14:textId="556E3F17" w:rsidR="009A3CB9" w:rsidRPr="006C06ED" w:rsidRDefault="00107F11" w:rsidP="006C06ED">
            <w:pPr>
              <w:pStyle w:val="NoSpacing"/>
              <w:rPr>
                <w:sz w:val="20"/>
                <w:szCs w:val="20"/>
              </w:rPr>
            </w:pPr>
            <w:r w:rsidRPr="006C06ED">
              <w:rPr>
                <w:sz w:val="20"/>
                <w:szCs w:val="20"/>
              </w:rPr>
              <w:t>3-methylanisole</w:t>
            </w:r>
          </w:p>
        </w:tc>
        <w:tc>
          <w:tcPr>
            <w:tcW w:w="1250" w:type="pct"/>
          </w:tcPr>
          <w:p w14:paraId="38619EA0" w14:textId="6ADE073D" w:rsidR="009A3CB9" w:rsidRPr="006C06ED" w:rsidRDefault="00107F11" w:rsidP="006C06ED">
            <w:pPr>
              <w:pStyle w:val="NoSpacing"/>
              <w:rPr>
                <w:sz w:val="20"/>
                <w:szCs w:val="20"/>
              </w:rPr>
            </w:pPr>
            <w:r w:rsidRPr="006C06ED">
              <w:rPr>
                <w:sz w:val="20"/>
                <w:szCs w:val="20"/>
              </w:rPr>
              <w:t>122.167</w:t>
            </w:r>
          </w:p>
        </w:tc>
        <w:tc>
          <w:tcPr>
            <w:tcW w:w="1250" w:type="pct"/>
          </w:tcPr>
          <w:p w14:paraId="140F2ECD" w14:textId="12DA5395" w:rsidR="009A3CB9" w:rsidRPr="006C06ED" w:rsidRDefault="00107F11" w:rsidP="006C06ED">
            <w:pPr>
              <w:pStyle w:val="NoSpacing"/>
              <w:rPr>
                <w:sz w:val="20"/>
                <w:szCs w:val="20"/>
              </w:rPr>
            </w:pPr>
            <w:r w:rsidRPr="006C06ED">
              <w:rPr>
                <w:sz w:val="20"/>
                <w:szCs w:val="20"/>
              </w:rPr>
              <w:t>0.11 ± 0.06</w:t>
            </w:r>
          </w:p>
        </w:tc>
        <w:tc>
          <w:tcPr>
            <w:tcW w:w="1250" w:type="pct"/>
          </w:tcPr>
          <w:p w14:paraId="1A4273FD" w14:textId="336EA08A" w:rsidR="009A3CB9" w:rsidRPr="006C06ED" w:rsidRDefault="00107F11" w:rsidP="006C06ED">
            <w:pPr>
              <w:pStyle w:val="NoSpacing"/>
              <w:rPr>
                <w:sz w:val="20"/>
                <w:szCs w:val="20"/>
              </w:rPr>
            </w:pPr>
            <w:r w:rsidRPr="006C06ED">
              <w:rPr>
                <w:sz w:val="20"/>
                <w:szCs w:val="20"/>
              </w:rPr>
              <w:t>–</w:t>
            </w:r>
          </w:p>
        </w:tc>
      </w:tr>
      <w:tr w:rsidR="009A3CB9" w:rsidRPr="006C06ED" w14:paraId="35B1424F" w14:textId="77777777" w:rsidTr="006C06ED">
        <w:tc>
          <w:tcPr>
            <w:tcW w:w="1250" w:type="pct"/>
          </w:tcPr>
          <w:p w14:paraId="4653E0E3" w14:textId="4A08A716" w:rsidR="009A3CB9" w:rsidRPr="006C06ED" w:rsidRDefault="00107F11" w:rsidP="006C06ED">
            <w:pPr>
              <w:pStyle w:val="NoSpacing"/>
              <w:rPr>
                <w:sz w:val="20"/>
                <w:szCs w:val="20"/>
              </w:rPr>
            </w:pPr>
            <w:r w:rsidRPr="006C06ED">
              <w:rPr>
                <w:sz w:val="20"/>
                <w:szCs w:val="20"/>
              </w:rPr>
              <w:t>4-ethoxystyrene</w:t>
            </w:r>
          </w:p>
        </w:tc>
        <w:tc>
          <w:tcPr>
            <w:tcW w:w="1250" w:type="pct"/>
          </w:tcPr>
          <w:p w14:paraId="1AE74773" w14:textId="62040616" w:rsidR="009A3CB9" w:rsidRPr="006C06ED" w:rsidRDefault="00107F11" w:rsidP="006C06ED">
            <w:pPr>
              <w:pStyle w:val="NoSpacing"/>
              <w:rPr>
                <w:sz w:val="20"/>
                <w:szCs w:val="20"/>
              </w:rPr>
            </w:pPr>
            <w:r w:rsidRPr="006C06ED">
              <w:rPr>
                <w:sz w:val="20"/>
                <w:szCs w:val="20"/>
              </w:rPr>
              <w:t>148.205</w:t>
            </w:r>
          </w:p>
        </w:tc>
        <w:tc>
          <w:tcPr>
            <w:tcW w:w="1250" w:type="pct"/>
          </w:tcPr>
          <w:p w14:paraId="35ACB83B" w14:textId="39837E0E" w:rsidR="009A3CB9" w:rsidRPr="006C06ED" w:rsidRDefault="00107F11" w:rsidP="006C06ED">
            <w:pPr>
              <w:pStyle w:val="NoSpacing"/>
              <w:rPr>
                <w:sz w:val="20"/>
                <w:szCs w:val="20"/>
              </w:rPr>
            </w:pPr>
            <w:r w:rsidRPr="006C06ED">
              <w:rPr>
                <w:sz w:val="20"/>
                <w:szCs w:val="20"/>
              </w:rPr>
              <w:t>0.1 ± 0.06</w:t>
            </w:r>
          </w:p>
        </w:tc>
        <w:tc>
          <w:tcPr>
            <w:tcW w:w="1250" w:type="pct"/>
          </w:tcPr>
          <w:p w14:paraId="7E52486C" w14:textId="3C2214C2" w:rsidR="009A3CB9" w:rsidRPr="006C06ED" w:rsidRDefault="00107F11" w:rsidP="006C06ED">
            <w:pPr>
              <w:pStyle w:val="NoSpacing"/>
              <w:rPr>
                <w:sz w:val="20"/>
                <w:szCs w:val="20"/>
              </w:rPr>
            </w:pPr>
            <w:r w:rsidRPr="006C06ED">
              <w:rPr>
                <w:sz w:val="20"/>
                <w:szCs w:val="20"/>
              </w:rPr>
              <w:t>–</w:t>
            </w:r>
          </w:p>
        </w:tc>
      </w:tr>
      <w:tr w:rsidR="009A3CB9" w:rsidRPr="006C06ED" w14:paraId="6211B6F1" w14:textId="77777777" w:rsidTr="006C06ED">
        <w:tc>
          <w:tcPr>
            <w:tcW w:w="1250" w:type="pct"/>
          </w:tcPr>
          <w:p w14:paraId="7A9F82C2" w14:textId="43D6E2C7" w:rsidR="009A3CB9" w:rsidRPr="006C06ED" w:rsidRDefault="00107F11" w:rsidP="006C06ED">
            <w:pPr>
              <w:pStyle w:val="NoSpacing"/>
              <w:rPr>
                <w:sz w:val="20"/>
                <w:szCs w:val="20"/>
              </w:rPr>
            </w:pPr>
            <w:r w:rsidRPr="006C06ED">
              <w:rPr>
                <w:sz w:val="20"/>
                <w:szCs w:val="20"/>
              </w:rPr>
              <w:t>anisole</w:t>
            </w:r>
          </w:p>
        </w:tc>
        <w:tc>
          <w:tcPr>
            <w:tcW w:w="1250" w:type="pct"/>
          </w:tcPr>
          <w:p w14:paraId="54684D94" w14:textId="521CD9D1" w:rsidR="009A3CB9" w:rsidRPr="006C06ED" w:rsidRDefault="00107F11" w:rsidP="006C06ED">
            <w:pPr>
              <w:pStyle w:val="NoSpacing"/>
              <w:rPr>
                <w:sz w:val="20"/>
                <w:szCs w:val="20"/>
              </w:rPr>
            </w:pPr>
            <w:r w:rsidRPr="006C06ED">
              <w:rPr>
                <w:sz w:val="20"/>
                <w:szCs w:val="20"/>
              </w:rPr>
              <w:t>108.14</w:t>
            </w:r>
          </w:p>
        </w:tc>
        <w:tc>
          <w:tcPr>
            <w:tcW w:w="1250" w:type="pct"/>
          </w:tcPr>
          <w:p w14:paraId="4074FF68" w14:textId="42D5C3DF" w:rsidR="009A3CB9" w:rsidRPr="006C06ED" w:rsidRDefault="00107F11" w:rsidP="006C06ED">
            <w:pPr>
              <w:pStyle w:val="NoSpacing"/>
              <w:rPr>
                <w:sz w:val="20"/>
                <w:szCs w:val="20"/>
              </w:rPr>
            </w:pPr>
            <w:r w:rsidRPr="006C06ED">
              <w:rPr>
                <w:sz w:val="20"/>
                <w:szCs w:val="20"/>
              </w:rPr>
              <w:t>0.08 ± 0.05</w:t>
            </w:r>
          </w:p>
        </w:tc>
        <w:tc>
          <w:tcPr>
            <w:tcW w:w="1250" w:type="pct"/>
          </w:tcPr>
          <w:p w14:paraId="6C49B0D4" w14:textId="3ECD8DBD" w:rsidR="009A3CB9" w:rsidRPr="006C06ED" w:rsidRDefault="00107F11" w:rsidP="006C06ED">
            <w:pPr>
              <w:pStyle w:val="NoSpacing"/>
              <w:rPr>
                <w:sz w:val="20"/>
                <w:szCs w:val="20"/>
              </w:rPr>
            </w:pPr>
            <w:r w:rsidRPr="006C06ED">
              <w:rPr>
                <w:sz w:val="20"/>
                <w:szCs w:val="20"/>
              </w:rPr>
              <w:t>–</w:t>
            </w:r>
          </w:p>
        </w:tc>
      </w:tr>
      <w:tr w:rsidR="009A3CB9" w:rsidRPr="006C06ED" w14:paraId="1DA77112" w14:textId="77777777" w:rsidTr="006C06ED">
        <w:tc>
          <w:tcPr>
            <w:tcW w:w="1250" w:type="pct"/>
          </w:tcPr>
          <w:p w14:paraId="25379124" w14:textId="63A0DEAF" w:rsidR="009A3CB9" w:rsidRPr="006C06ED" w:rsidRDefault="00107F11" w:rsidP="006C06ED">
            <w:pPr>
              <w:pStyle w:val="NoSpacing"/>
              <w:rPr>
                <w:sz w:val="20"/>
                <w:szCs w:val="20"/>
              </w:rPr>
            </w:pPr>
            <w:r w:rsidRPr="006C06ED">
              <w:rPr>
                <w:sz w:val="20"/>
                <w:szCs w:val="20"/>
              </w:rPr>
              <w:t>(B) CATALYZED APL</w:t>
            </w:r>
          </w:p>
        </w:tc>
        <w:tc>
          <w:tcPr>
            <w:tcW w:w="1250" w:type="pct"/>
          </w:tcPr>
          <w:p w14:paraId="5FC7E0C0" w14:textId="77777777" w:rsidR="009A3CB9" w:rsidRPr="006C06ED" w:rsidRDefault="009A3CB9" w:rsidP="006C06ED">
            <w:pPr>
              <w:pStyle w:val="NoSpacing"/>
              <w:rPr>
                <w:sz w:val="20"/>
                <w:szCs w:val="20"/>
              </w:rPr>
            </w:pPr>
          </w:p>
        </w:tc>
        <w:tc>
          <w:tcPr>
            <w:tcW w:w="1250" w:type="pct"/>
          </w:tcPr>
          <w:p w14:paraId="12061B51" w14:textId="77777777" w:rsidR="009A3CB9" w:rsidRPr="006C06ED" w:rsidRDefault="009A3CB9" w:rsidP="006C06ED">
            <w:pPr>
              <w:pStyle w:val="NoSpacing"/>
              <w:rPr>
                <w:sz w:val="20"/>
                <w:szCs w:val="20"/>
              </w:rPr>
            </w:pPr>
          </w:p>
        </w:tc>
        <w:tc>
          <w:tcPr>
            <w:tcW w:w="1250" w:type="pct"/>
          </w:tcPr>
          <w:p w14:paraId="5CA41431" w14:textId="2E3E405A" w:rsidR="009A3CB9" w:rsidRPr="006C06ED" w:rsidRDefault="009A3CB9" w:rsidP="006C06ED">
            <w:pPr>
              <w:pStyle w:val="NoSpacing"/>
              <w:rPr>
                <w:sz w:val="20"/>
                <w:szCs w:val="20"/>
              </w:rPr>
            </w:pPr>
          </w:p>
        </w:tc>
      </w:tr>
      <w:tr w:rsidR="009A3CB9" w:rsidRPr="006C06ED" w14:paraId="72BEC34E" w14:textId="77777777" w:rsidTr="006C06ED">
        <w:tc>
          <w:tcPr>
            <w:tcW w:w="1250" w:type="pct"/>
          </w:tcPr>
          <w:p w14:paraId="3B7CBA53" w14:textId="375E86CB" w:rsidR="009A3CB9" w:rsidRPr="006C06ED" w:rsidRDefault="00107F11" w:rsidP="006C06ED">
            <w:pPr>
              <w:pStyle w:val="NoSpacing"/>
              <w:rPr>
                <w:sz w:val="20"/>
                <w:szCs w:val="20"/>
              </w:rPr>
            </w:pPr>
            <w:r w:rsidRPr="006C06ED">
              <w:rPr>
                <w:sz w:val="20"/>
                <w:szCs w:val="20"/>
              </w:rPr>
              <w:t>2,5-dimethoxybenzylalcohol</w:t>
            </w:r>
          </w:p>
        </w:tc>
        <w:tc>
          <w:tcPr>
            <w:tcW w:w="1250" w:type="pct"/>
          </w:tcPr>
          <w:p w14:paraId="3B04D71F" w14:textId="33BC32D8" w:rsidR="009A3CB9" w:rsidRPr="006C06ED" w:rsidRDefault="00107F11" w:rsidP="006C06ED">
            <w:pPr>
              <w:pStyle w:val="NoSpacing"/>
              <w:rPr>
                <w:sz w:val="20"/>
                <w:szCs w:val="20"/>
              </w:rPr>
            </w:pPr>
            <w:r w:rsidRPr="006C06ED">
              <w:rPr>
                <w:sz w:val="20"/>
                <w:szCs w:val="20"/>
              </w:rPr>
              <w:t>168.192</w:t>
            </w:r>
          </w:p>
        </w:tc>
        <w:tc>
          <w:tcPr>
            <w:tcW w:w="1250" w:type="pct"/>
          </w:tcPr>
          <w:p w14:paraId="43BD995A" w14:textId="660EBE77" w:rsidR="009A3CB9" w:rsidRPr="006C06ED" w:rsidRDefault="00107F11" w:rsidP="006C06ED">
            <w:pPr>
              <w:pStyle w:val="NoSpacing"/>
              <w:rPr>
                <w:sz w:val="20"/>
                <w:szCs w:val="20"/>
              </w:rPr>
            </w:pPr>
            <w:r w:rsidRPr="006C06ED">
              <w:rPr>
                <w:sz w:val="20"/>
                <w:szCs w:val="20"/>
              </w:rPr>
              <w:t>0.22 ± 0.13</w:t>
            </w:r>
          </w:p>
        </w:tc>
        <w:tc>
          <w:tcPr>
            <w:tcW w:w="1250" w:type="pct"/>
          </w:tcPr>
          <w:p w14:paraId="3BA98E24" w14:textId="704A849C" w:rsidR="009A3CB9" w:rsidRPr="006C06ED" w:rsidRDefault="00107F11" w:rsidP="006C06ED">
            <w:pPr>
              <w:pStyle w:val="NoSpacing"/>
              <w:rPr>
                <w:sz w:val="20"/>
                <w:szCs w:val="20"/>
              </w:rPr>
            </w:pPr>
            <w:r w:rsidRPr="006C06ED">
              <w:rPr>
                <w:sz w:val="20"/>
                <w:szCs w:val="20"/>
              </w:rPr>
              <w:t>–</w:t>
            </w:r>
          </w:p>
        </w:tc>
      </w:tr>
      <w:tr w:rsidR="009A3CB9" w:rsidRPr="006C06ED" w14:paraId="088D0429" w14:textId="77777777" w:rsidTr="006C06ED">
        <w:tc>
          <w:tcPr>
            <w:tcW w:w="1250" w:type="pct"/>
          </w:tcPr>
          <w:p w14:paraId="47B7A4CC" w14:textId="4B3684A5" w:rsidR="009A3CB9" w:rsidRPr="006C06ED" w:rsidRDefault="00107F11" w:rsidP="006C06ED">
            <w:pPr>
              <w:pStyle w:val="NoSpacing"/>
              <w:rPr>
                <w:sz w:val="20"/>
                <w:szCs w:val="20"/>
              </w:rPr>
            </w:pPr>
            <w:r w:rsidRPr="006C06ED">
              <w:rPr>
                <w:sz w:val="20"/>
                <w:szCs w:val="20"/>
              </w:rPr>
              <w:t>3,5-dimethoxy-4-hydroxybenzaldehyde</w:t>
            </w:r>
          </w:p>
        </w:tc>
        <w:tc>
          <w:tcPr>
            <w:tcW w:w="1250" w:type="pct"/>
          </w:tcPr>
          <w:p w14:paraId="6B3A069D" w14:textId="32BE6B29" w:rsidR="009A3CB9" w:rsidRPr="006C06ED" w:rsidRDefault="00107F11" w:rsidP="006C06ED">
            <w:pPr>
              <w:pStyle w:val="NoSpacing"/>
              <w:rPr>
                <w:sz w:val="20"/>
                <w:szCs w:val="20"/>
              </w:rPr>
            </w:pPr>
            <w:r w:rsidRPr="006C06ED">
              <w:rPr>
                <w:sz w:val="20"/>
                <w:szCs w:val="20"/>
              </w:rPr>
              <w:t>182.17</w:t>
            </w:r>
          </w:p>
        </w:tc>
        <w:tc>
          <w:tcPr>
            <w:tcW w:w="1250" w:type="pct"/>
          </w:tcPr>
          <w:p w14:paraId="2C1CB371" w14:textId="19112B42" w:rsidR="009A3CB9" w:rsidRPr="006C06ED" w:rsidRDefault="00107F11" w:rsidP="006C06ED">
            <w:pPr>
              <w:pStyle w:val="NoSpacing"/>
              <w:rPr>
                <w:sz w:val="20"/>
                <w:szCs w:val="20"/>
              </w:rPr>
            </w:pPr>
            <w:r w:rsidRPr="006C06ED">
              <w:rPr>
                <w:sz w:val="20"/>
                <w:szCs w:val="20"/>
              </w:rPr>
              <w:t>0.27 ± 0.16</w:t>
            </w:r>
          </w:p>
        </w:tc>
        <w:tc>
          <w:tcPr>
            <w:tcW w:w="1250" w:type="pct"/>
          </w:tcPr>
          <w:p w14:paraId="1B578B70" w14:textId="7205FFDB" w:rsidR="009A3CB9" w:rsidRPr="006C06ED" w:rsidRDefault="00107F11" w:rsidP="006C06ED">
            <w:pPr>
              <w:pStyle w:val="NoSpacing"/>
              <w:rPr>
                <w:sz w:val="20"/>
                <w:szCs w:val="20"/>
              </w:rPr>
            </w:pPr>
            <w:r w:rsidRPr="006C06ED">
              <w:rPr>
                <w:sz w:val="20"/>
                <w:szCs w:val="20"/>
              </w:rPr>
              <w:t>–</w:t>
            </w:r>
          </w:p>
        </w:tc>
      </w:tr>
    </w:tbl>
    <w:p w14:paraId="37FE7F22" w14:textId="77777777" w:rsidR="00AE0154" w:rsidRDefault="00AE0154" w:rsidP="00CF1B05">
      <w:pPr>
        <w:pStyle w:val="Heading2"/>
      </w:pPr>
      <w:r>
        <w:t>ATA Results Before NH</w:t>
      </w:r>
      <w:r>
        <w:rPr>
          <w:vertAlign w:val="subscript"/>
        </w:rPr>
        <w:t>3</w:t>
      </w:r>
      <w:r>
        <w:t>-N Air Stripping</w:t>
      </w:r>
    </w:p>
    <w:p w14:paraId="396000F6" w14:textId="77777777" w:rsidR="00AE0154" w:rsidRPr="006C06ED" w:rsidRDefault="00AE0154" w:rsidP="00CF1B05">
      <w:r w:rsidRPr="006C06ED">
        <w:t>ATA testing was performed on both non-air-stripped, catalyzed and non-catalyzed APL samples as well as on air-stripped catalyzed APL. Since the non-catalyzed APL NH</w:t>
      </w:r>
      <w:r w:rsidRPr="006C06ED">
        <w:rPr>
          <w:vertAlign w:val="subscript"/>
        </w:rPr>
        <w:t>3</w:t>
      </w:r>
      <w:r w:rsidRPr="006C06ED">
        <w:t>-N concentration was significantly below potentially inhibitory concentrations in ATA tests, no ATA testing was not performed on air-stripped, non-catalyzed APL (</w:t>
      </w:r>
      <w:hyperlink r:id="rId86" w:anchor="T1" w:history="1">
        <w:r w:rsidRPr="006C06ED">
          <w:rPr>
            <w:rStyle w:val="Hyperlink"/>
            <w:rFonts w:ascii="Georgia" w:eastAsiaTheme="majorEastAsia" w:hAnsi="Georgia"/>
          </w:rPr>
          <w:t>Table 1</w:t>
        </w:r>
      </w:hyperlink>
      <w:r w:rsidRPr="006C06ED">
        <w:t>).</w:t>
      </w:r>
    </w:p>
    <w:p w14:paraId="3311AD64" w14:textId="77777777" w:rsidR="00AE0154" w:rsidRPr="006C06ED" w:rsidRDefault="00AE0154" w:rsidP="00CF1B05">
      <w:r w:rsidRPr="006C06ED">
        <w:t>Non-catalyzed APL significantly inhibited methane production at high concentrations of 2.3 and 4 gCOD/L (</w:t>
      </w:r>
      <w:hyperlink r:id="rId87" w:anchor="F1" w:history="1">
        <w:r w:rsidRPr="006C06ED">
          <w:rPr>
            <w:rStyle w:val="Hyperlink"/>
            <w:rFonts w:ascii="Georgia" w:eastAsiaTheme="majorEastAsia" w:hAnsi="Georgia"/>
          </w:rPr>
          <w:t>Figure 1A</w:t>
        </w:r>
      </w:hyperlink>
      <w:r w:rsidRPr="006C06ED">
        <w:t xml:space="preserve">). However, at lower concentrations of 0.06 and 0.30 gCOD/L, no significant inhibition was observed, and the initial methane production rates were </w:t>
      </w:r>
      <w:proofErr w:type="gramStart"/>
      <w:r w:rsidRPr="006C06ED">
        <w:t>similar to</w:t>
      </w:r>
      <w:proofErr w:type="gramEnd"/>
      <w:r w:rsidRPr="006C06ED">
        <w:t xml:space="preserve"> those of the control system that received no APL. This shows that APL digestion may be feasible at low organic loading rates, but toxicity inhibits the process at high loading rates. The inhibition could be attributed to the presence of compounds such as phenols that are known to adversely affect unacclimated methane-producing cultures at high concentrations (e.g., IC</w:t>
      </w:r>
      <w:r w:rsidRPr="006C06ED">
        <w:rPr>
          <w:vertAlign w:val="subscript"/>
        </w:rPr>
        <w:t>50</w:t>
      </w:r>
      <w:r w:rsidRPr="006C06ED">
        <w:t> for phenol is 2,100 mg/L) (</w:t>
      </w:r>
      <w:hyperlink r:id="rId88" w:anchor="B20" w:history="1">
        <w:r w:rsidRPr="006C06ED">
          <w:rPr>
            <w:rStyle w:val="Hyperlink"/>
            <w:rFonts w:ascii="Georgia" w:eastAsiaTheme="majorEastAsia" w:hAnsi="Georgia"/>
          </w:rPr>
          <w:t>Hübner and Mumme, 2015</w:t>
        </w:r>
      </w:hyperlink>
      <w:r w:rsidRPr="006C06ED">
        <w:t>). Others have also suggested that methane production inhibition could be due to APL constituents including phenols, oxygenated and nitrogen-containing organics (</w:t>
      </w:r>
      <w:hyperlink r:id="rId89" w:anchor="B39" w:history="1">
        <w:r w:rsidRPr="006C06ED">
          <w:rPr>
            <w:rStyle w:val="Hyperlink"/>
            <w:rFonts w:ascii="Georgia" w:eastAsiaTheme="majorEastAsia" w:hAnsi="Georgia"/>
          </w:rPr>
          <w:t>Torri and Fabbri, 2014</w:t>
        </w:r>
      </w:hyperlink>
      <w:r w:rsidRPr="006C06ED">
        <w:t>). In addition, high concentration of phenols in unacclimated anaerobic digesters impedes AD processes resulting in decreased biogas production (</w:t>
      </w:r>
      <w:hyperlink r:id="rId90" w:anchor="B28" w:history="1">
        <w:r w:rsidRPr="006C06ED">
          <w:rPr>
            <w:rStyle w:val="Hyperlink"/>
            <w:rFonts w:ascii="Georgia" w:eastAsiaTheme="majorEastAsia" w:hAnsi="Georgia"/>
          </w:rPr>
          <w:t>Madigou et al., 2016</w:t>
        </w:r>
      </w:hyperlink>
      <w:r w:rsidRPr="006C06ED">
        <w:t>). Metabolic inhibition and modification of community composition are phenomena that negatively affect phenol degradation efficiency (</w:t>
      </w:r>
      <w:hyperlink r:id="rId91" w:anchor="B34" w:history="1">
        <w:r w:rsidRPr="006C06ED">
          <w:rPr>
            <w:rStyle w:val="Hyperlink"/>
            <w:rFonts w:ascii="Georgia" w:eastAsiaTheme="majorEastAsia" w:hAnsi="Georgia"/>
          </w:rPr>
          <w:t>Rosenkranz et al., 2013</w:t>
        </w:r>
      </w:hyperlink>
      <w:r w:rsidRPr="006C06ED">
        <w:t>).</w:t>
      </w:r>
    </w:p>
    <w:p w14:paraId="4E8256CF" w14:textId="54AC7DBA" w:rsidR="00AE0154" w:rsidRDefault="000A56C1" w:rsidP="006C06ED">
      <w:pPr>
        <w:pStyle w:val="NoSpacing"/>
        <w:rPr>
          <w:rFonts w:ascii="Georgia" w:hAnsi="Georgia" w:cs="Times New Roman"/>
          <w:color w:val="3E3D40"/>
          <w:sz w:val="23"/>
          <w:szCs w:val="23"/>
        </w:rPr>
      </w:pPr>
      <w:r w:rsidRPr="000A56C1">
        <w:rPr>
          <w:noProof/>
        </w:rPr>
        <w:lastRenderedPageBreak/>
        <w:drawing>
          <wp:inline distT="0" distB="0" distL="0" distR="0" wp14:anchorId="78602D1F" wp14:editId="40A4B3D7">
            <wp:extent cx="3159846" cy="5991225"/>
            <wp:effectExtent l="0" t="0" r="2540" b="0"/>
            <wp:docPr id="9" name="Picture 9"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2"/>
                    <a:stretch>
                      <a:fillRect/>
                    </a:stretch>
                  </pic:blipFill>
                  <pic:spPr>
                    <a:xfrm>
                      <a:off x="0" y="0"/>
                      <a:ext cx="3167548" cy="6005829"/>
                    </a:xfrm>
                    <a:prstGeom prst="rect">
                      <a:avLst/>
                    </a:prstGeom>
                  </pic:spPr>
                </pic:pic>
              </a:graphicData>
            </a:graphic>
          </wp:inline>
        </w:drawing>
      </w:r>
    </w:p>
    <w:p w14:paraId="79492D12" w14:textId="77777777" w:rsidR="00AE0154" w:rsidRPr="000A56C1" w:rsidRDefault="00AE0154" w:rsidP="000A56C1">
      <w:pPr>
        <w:pStyle w:val="NoSpacing"/>
        <w:rPr>
          <w:rFonts w:cstheme="minorHAnsi"/>
        </w:rPr>
      </w:pPr>
      <w:r w:rsidRPr="000A56C1">
        <w:rPr>
          <w:rStyle w:val="Strong"/>
          <w:rFonts w:eastAsiaTheme="majorEastAsia" w:cstheme="minorHAnsi"/>
          <w:color w:val="3E3D40"/>
        </w:rPr>
        <w:t>Figure 1</w:t>
      </w:r>
      <w:r w:rsidRPr="000A56C1">
        <w:rPr>
          <w:rFonts w:cstheme="minorHAnsi"/>
        </w:rPr>
        <w:t>. ATA results on catalyzed and non-catalyzed APLs without air stripping. Error bars represent standard deviation among triplicates. </w:t>
      </w:r>
      <w:r w:rsidRPr="000A56C1">
        <w:rPr>
          <w:rStyle w:val="Strong"/>
          <w:rFonts w:eastAsiaTheme="majorEastAsia" w:cstheme="minorHAnsi"/>
          <w:color w:val="3E3D40"/>
        </w:rPr>
        <w:t>(A)</w:t>
      </w:r>
      <w:r w:rsidRPr="000A56C1">
        <w:rPr>
          <w:rFonts w:cstheme="minorHAnsi"/>
        </w:rPr>
        <w:t> Cumulative methane production of non-catalyzed APL at different concentrations. </w:t>
      </w:r>
      <w:r w:rsidRPr="000A56C1">
        <w:rPr>
          <w:rStyle w:val="Strong"/>
          <w:rFonts w:eastAsiaTheme="majorEastAsia" w:cstheme="minorHAnsi"/>
          <w:color w:val="3E3D40"/>
        </w:rPr>
        <w:t>(B)</w:t>
      </w:r>
      <w:r w:rsidRPr="000A56C1">
        <w:rPr>
          <w:rFonts w:cstheme="minorHAnsi"/>
        </w:rPr>
        <w:t> Cumulative methane production of catalyzed APL at different concentrations. </w:t>
      </w:r>
      <w:r w:rsidRPr="000A56C1">
        <w:rPr>
          <w:rStyle w:val="Strong"/>
          <w:rFonts w:eastAsiaTheme="majorEastAsia" w:cstheme="minorHAnsi"/>
          <w:color w:val="3E3D40"/>
        </w:rPr>
        <w:t>(C)</w:t>
      </w:r>
      <w:r w:rsidRPr="000A56C1">
        <w:rPr>
          <w:rFonts w:cstheme="minorHAnsi"/>
        </w:rPr>
        <w:t> ATA dose-response curves based on COD for catalyzed and non-catalyzed APLs and comparison of IC</w:t>
      </w:r>
      <w:r w:rsidRPr="000A56C1">
        <w:rPr>
          <w:rFonts w:cstheme="minorHAnsi"/>
          <w:vertAlign w:val="subscript"/>
        </w:rPr>
        <w:t>50</w:t>
      </w:r>
      <w:r w:rsidRPr="000A56C1">
        <w:rPr>
          <w:rFonts w:cstheme="minorHAnsi"/>
        </w:rPr>
        <w:t> values between catalyzed and non-catalyzed APLs.</w:t>
      </w:r>
    </w:p>
    <w:p w14:paraId="12B5E045" w14:textId="77777777" w:rsidR="000A56C1" w:rsidRDefault="000A56C1" w:rsidP="000A56C1">
      <w:pPr>
        <w:pStyle w:val="NoSpacing"/>
      </w:pPr>
    </w:p>
    <w:p w14:paraId="0752FEA2" w14:textId="099420AA" w:rsidR="00AE0154" w:rsidRPr="006C06ED" w:rsidRDefault="00AE0154" w:rsidP="000A56C1">
      <w:r w:rsidRPr="006C06ED">
        <w:t>For catalyzed APL, high concentrations of 2.3 and 4.0 gCOD/L, caused total cessation of methane production (</w:t>
      </w:r>
      <w:hyperlink r:id="rId93" w:anchor="F1" w:history="1">
        <w:r w:rsidRPr="006C06ED">
          <w:rPr>
            <w:rStyle w:val="Hyperlink"/>
            <w:rFonts w:ascii="Georgia" w:eastAsiaTheme="majorEastAsia" w:hAnsi="Georgia"/>
          </w:rPr>
          <w:t>Figure 1B</w:t>
        </w:r>
      </w:hyperlink>
      <w:r w:rsidRPr="006C06ED">
        <w:t>). It was originally assumed that the catalyzed APL would be less toxic than non-catalyzed APL since it contained fewer organic compounds; however, the opposite was observed, and catalyzed APL was more inhibitory than the non-catalyzed APL. The methane production rates for 0.3 and 0.6 gCOD/L APL doses were also lower than those of the controls. The lowest COD loading (0.06 gCOD/L) did not inhibit methane production rate.</w:t>
      </w:r>
    </w:p>
    <w:p w14:paraId="15FF4055" w14:textId="77777777" w:rsidR="00AE0154" w:rsidRPr="006C06ED" w:rsidRDefault="00AE0154" w:rsidP="000A56C1">
      <w:r w:rsidRPr="006C06ED">
        <w:t>Methane production data were analyzed to determine the concentration of APL that inhibited methane production rate by 50% (i.e., the IC</w:t>
      </w:r>
      <w:r w:rsidRPr="006C06ED">
        <w:rPr>
          <w:vertAlign w:val="subscript"/>
        </w:rPr>
        <w:t>50</w:t>
      </w:r>
      <w:r w:rsidRPr="006C06ED">
        <w:t> value). The IC</w:t>
      </w:r>
      <w:r w:rsidRPr="006C06ED">
        <w:rPr>
          <w:vertAlign w:val="subscript"/>
        </w:rPr>
        <w:t>50</w:t>
      </w:r>
      <w:r w:rsidRPr="006C06ED">
        <w:t> values were 0.3 and 2.3 gCOD/L for catalyzed and non-</w:t>
      </w:r>
      <w:r w:rsidRPr="006C06ED">
        <w:lastRenderedPageBreak/>
        <w:t>catalyzed APLs, respectively (</w:t>
      </w:r>
      <w:hyperlink r:id="rId94" w:anchor="F1" w:history="1">
        <w:r w:rsidRPr="006C06ED">
          <w:rPr>
            <w:rStyle w:val="Hyperlink"/>
            <w:rFonts w:ascii="Georgia" w:eastAsiaTheme="majorEastAsia" w:hAnsi="Georgia"/>
          </w:rPr>
          <w:t>Figure 1C</w:t>
        </w:r>
      </w:hyperlink>
      <w:r w:rsidRPr="006C06ED">
        <w:t>). The highest APL COD loadings that demonstrated &lt; 10% inhibition were approximately 0.5 and 0.1 g COD/L for non-catalyzed and catalyzed APL, respectively.</w:t>
      </w:r>
    </w:p>
    <w:p w14:paraId="7C53A82F" w14:textId="77777777" w:rsidR="00AE0154" w:rsidRDefault="00AE0154" w:rsidP="009B7220">
      <w:pPr>
        <w:pStyle w:val="Heading2"/>
      </w:pPr>
      <w:r>
        <w:t>ATA Results After NH</w:t>
      </w:r>
      <w:r>
        <w:rPr>
          <w:vertAlign w:val="subscript"/>
        </w:rPr>
        <w:t>3</w:t>
      </w:r>
      <w:r>
        <w:t>-N Air Stripping</w:t>
      </w:r>
    </w:p>
    <w:p w14:paraId="306812D4" w14:textId="77777777" w:rsidR="00AE0154" w:rsidRPr="006C06ED" w:rsidRDefault="00AE0154" w:rsidP="009B7220">
      <w:r w:rsidRPr="006C06ED">
        <w:t>In order to determine the toxicity of NH</w:t>
      </w:r>
      <w:r w:rsidRPr="006C06ED">
        <w:rPr>
          <w:vertAlign w:val="subscript"/>
        </w:rPr>
        <w:t>3</w:t>
      </w:r>
      <w:r w:rsidRPr="006C06ED">
        <w:t>-N to the seed biomass, an ATA analysis was performed with NH</w:t>
      </w:r>
      <w:r w:rsidRPr="006C06ED">
        <w:rPr>
          <w:vertAlign w:val="subscript"/>
        </w:rPr>
        <w:t>3</w:t>
      </w:r>
      <w:r w:rsidRPr="006C06ED">
        <w:t>-N concentration range of 0, 3, 6, and 9 g/L (</w:t>
      </w:r>
      <w:hyperlink r:id="rId95" w:anchor="F2" w:history="1">
        <w:r w:rsidRPr="006C06ED">
          <w:rPr>
            <w:rStyle w:val="Hyperlink"/>
            <w:rFonts w:ascii="Georgia" w:eastAsiaTheme="majorEastAsia" w:hAnsi="Georgia"/>
          </w:rPr>
          <w:t>Figure 2A</w:t>
        </w:r>
      </w:hyperlink>
      <w:r w:rsidRPr="006C06ED">
        <w:t>). High NH</w:t>
      </w:r>
      <w:r w:rsidRPr="006C06ED">
        <w:rPr>
          <w:vertAlign w:val="subscript"/>
        </w:rPr>
        <w:t>3</w:t>
      </w:r>
      <w:r w:rsidRPr="006C06ED">
        <w:t>-N concentrations of 6 and 9 g/L NH</w:t>
      </w:r>
      <w:r w:rsidRPr="006C06ED">
        <w:rPr>
          <w:vertAlign w:val="subscript"/>
        </w:rPr>
        <w:t>3</w:t>
      </w:r>
      <w:r w:rsidRPr="006C06ED">
        <w:t>-N resulted in high methane production inhibition, whereas a lower concentration of 3 g/L NH</w:t>
      </w:r>
      <w:r w:rsidRPr="006C06ED">
        <w:rPr>
          <w:vertAlign w:val="subscript"/>
        </w:rPr>
        <w:t>3</w:t>
      </w:r>
      <w:r w:rsidRPr="006C06ED">
        <w:t>-N, resulted in low, but observable inhibition. The NH</w:t>
      </w:r>
      <w:r w:rsidRPr="006C06ED">
        <w:rPr>
          <w:vertAlign w:val="subscript"/>
        </w:rPr>
        <w:t>3</w:t>
      </w:r>
      <w:r w:rsidRPr="006C06ED">
        <w:t>-N IC</w:t>
      </w:r>
      <w:r w:rsidRPr="006C06ED">
        <w:rPr>
          <w:vertAlign w:val="subscript"/>
        </w:rPr>
        <w:t>50</w:t>
      </w:r>
      <w:r w:rsidRPr="006C06ED">
        <w:t> value was 2 g/L NH</w:t>
      </w:r>
      <w:r w:rsidRPr="006C06ED">
        <w:rPr>
          <w:vertAlign w:val="subscript"/>
        </w:rPr>
        <w:t>3</w:t>
      </w:r>
      <w:r w:rsidRPr="006C06ED">
        <w:t>-N for the seed biomass (</w:t>
      </w:r>
      <w:hyperlink r:id="rId96" w:anchor="F2" w:history="1">
        <w:r w:rsidRPr="006C06ED">
          <w:rPr>
            <w:rStyle w:val="Hyperlink"/>
            <w:rFonts w:ascii="Georgia" w:eastAsiaTheme="majorEastAsia" w:hAnsi="Georgia"/>
          </w:rPr>
          <w:t>Figure 2B</w:t>
        </w:r>
      </w:hyperlink>
      <w:r w:rsidRPr="006C06ED">
        <w:t>). NH</w:t>
      </w:r>
      <w:r w:rsidRPr="006C06ED">
        <w:rPr>
          <w:vertAlign w:val="subscript"/>
        </w:rPr>
        <w:t>3</w:t>
      </w:r>
      <w:r w:rsidRPr="006C06ED">
        <w:t>-N inhibition can be due to multiple factors including a change in the intracellular pH and inhibition of specific enzyme reactions (</w:t>
      </w:r>
      <w:hyperlink r:id="rId97" w:anchor="B33" w:history="1">
        <w:r w:rsidRPr="006C06ED">
          <w:rPr>
            <w:rStyle w:val="Hyperlink"/>
            <w:rFonts w:ascii="Georgia" w:eastAsiaTheme="majorEastAsia" w:hAnsi="Georgia"/>
          </w:rPr>
          <w:t>Rajagopal et al., 2013</w:t>
        </w:r>
      </w:hyperlink>
      <w:r w:rsidRPr="006C06ED">
        <w:t>). It has also been proposed that NH</w:t>
      </w:r>
      <w:r w:rsidRPr="006C06ED">
        <w:rPr>
          <w:vertAlign w:val="subscript"/>
        </w:rPr>
        <w:t>3</w:t>
      </w:r>
      <w:r w:rsidRPr="006C06ED">
        <w:t> is a cause of inhibition because it can permeate the cellular membrane and lead to protein imbalance and/or potassium deficiency (</w:t>
      </w:r>
      <w:hyperlink r:id="rId98" w:anchor="B37" w:history="1">
        <w:r w:rsidRPr="006C06ED">
          <w:rPr>
            <w:rStyle w:val="Hyperlink"/>
            <w:rFonts w:ascii="Georgia" w:eastAsiaTheme="majorEastAsia" w:hAnsi="Georgia"/>
          </w:rPr>
          <w:t>Speece, 1996</w:t>
        </w:r>
      </w:hyperlink>
      <w:r w:rsidRPr="006C06ED">
        <w:t>; </w:t>
      </w:r>
      <w:hyperlink r:id="rId99" w:anchor="B42" w:history="1">
        <w:r w:rsidRPr="006C06ED">
          <w:rPr>
            <w:rStyle w:val="Hyperlink"/>
            <w:rFonts w:ascii="Georgia" w:eastAsiaTheme="majorEastAsia" w:hAnsi="Georgia"/>
          </w:rPr>
          <w:t>Yenigün and Demirel, 2013</w:t>
        </w:r>
      </w:hyperlink>
      <w:r w:rsidRPr="006C06ED">
        <w:t>).</w:t>
      </w:r>
    </w:p>
    <w:p w14:paraId="5D1C7F25" w14:textId="00E71B46" w:rsidR="00AE0154" w:rsidRDefault="00242879" w:rsidP="006C06ED">
      <w:pPr>
        <w:pStyle w:val="NoSpacing"/>
        <w:rPr>
          <w:rFonts w:ascii="Georgia" w:hAnsi="Georgia" w:cs="Times New Roman"/>
          <w:color w:val="3E3D40"/>
          <w:sz w:val="23"/>
          <w:szCs w:val="23"/>
        </w:rPr>
      </w:pPr>
      <w:r w:rsidRPr="00242879">
        <w:rPr>
          <w:noProof/>
        </w:rPr>
        <w:drawing>
          <wp:inline distT="0" distB="0" distL="0" distR="0" wp14:anchorId="3D0DFF88" wp14:editId="6FA1509E">
            <wp:extent cx="2914650" cy="3630880"/>
            <wp:effectExtent l="0" t="0" r="0" b="8255"/>
            <wp:docPr id="10" name="Picture 10"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0"/>
                    <a:stretch>
                      <a:fillRect/>
                    </a:stretch>
                  </pic:blipFill>
                  <pic:spPr>
                    <a:xfrm>
                      <a:off x="0" y="0"/>
                      <a:ext cx="2940335" cy="3662877"/>
                    </a:xfrm>
                    <a:prstGeom prst="rect">
                      <a:avLst/>
                    </a:prstGeom>
                  </pic:spPr>
                </pic:pic>
              </a:graphicData>
            </a:graphic>
          </wp:inline>
        </w:drawing>
      </w:r>
    </w:p>
    <w:p w14:paraId="29469CAA" w14:textId="77777777" w:rsidR="00AE0154" w:rsidRPr="00242879" w:rsidRDefault="00AE0154" w:rsidP="00242879">
      <w:pPr>
        <w:rPr>
          <w:rFonts w:cstheme="minorHAnsi"/>
        </w:rPr>
      </w:pPr>
      <w:r w:rsidRPr="00242879">
        <w:rPr>
          <w:rStyle w:val="Strong"/>
          <w:rFonts w:eastAsiaTheme="majorEastAsia" w:cstheme="minorHAnsi"/>
          <w:color w:val="3E3D40"/>
          <w:sz w:val="27"/>
          <w:szCs w:val="27"/>
        </w:rPr>
        <w:t>Figure 2</w:t>
      </w:r>
      <w:r w:rsidRPr="00242879">
        <w:rPr>
          <w:rFonts w:cstheme="minorHAnsi"/>
        </w:rPr>
        <w:t>. NH</w:t>
      </w:r>
      <w:r w:rsidRPr="00242879">
        <w:rPr>
          <w:rFonts w:cstheme="minorHAnsi"/>
          <w:sz w:val="16"/>
          <w:szCs w:val="16"/>
          <w:vertAlign w:val="subscript"/>
        </w:rPr>
        <w:t>3</w:t>
      </w:r>
      <w:r w:rsidRPr="00242879">
        <w:rPr>
          <w:rFonts w:cstheme="minorHAnsi"/>
        </w:rPr>
        <w:t>-N ATA results on seed biomass. Error bars represent standard deviation among triplicates. </w:t>
      </w:r>
      <w:r w:rsidRPr="00242879">
        <w:rPr>
          <w:rStyle w:val="Strong"/>
          <w:rFonts w:eastAsiaTheme="majorEastAsia" w:cstheme="minorHAnsi"/>
          <w:color w:val="3E3D40"/>
          <w:sz w:val="27"/>
          <w:szCs w:val="27"/>
        </w:rPr>
        <w:t>(A)</w:t>
      </w:r>
      <w:r w:rsidRPr="00242879">
        <w:rPr>
          <w:rFonts w:cstheme="minorHAnsi"/>
        </w:rPr>
        <w:t> Cumulative methane production. </w:t>
      </w:r>
      <w:r w:rsidRPr="00242879">
        <w:rPr>
          <w:rStyle w:val="Strong"/>
          <w:rFonts w:eastAsiaTheme="majorEastAsia" w:cstheme="minorHAnsi"/>
          <w:color w:val="3E3D40"/>
          <w:sz w:val="27"/>
          <w:szCs w:val="27"/>
        </w:rPr>
        <w:t>(B)</w:t>
      </w:r>
      <w:r w:rsidRPr="00242879">
        <w:rPr>
          <w:rFonts w:cstheme="minorHAnsi"/>
        </w:rPr>
        <w:t> ATA dose response curve for NH</w:t>
      </w:r>
      <w:r w:rsidRPr="00242879">
        <w:rPr>
          <w:rFonts w:cstheme="minorHAnsi"/>
          <w:sz w:val="16"/>
          <w:szCs w:val="16"/>
          <w:vertAlign w:val="subscript"/>
        </w:rPr>
        <w:t>3</w:t>
      </w:r>
      <w:r w:rsidRPr="00242879">
        <w:rPr>
          <w:rFonts w:cstheme="minorHAnsi"/>
        </w:rPr>
        <w:t>-N ATA and IC</w:t>
      </w:r>
      <w:r w:rsidRPr="00242879">
        <w:rPr>
          <w:rFonts w:cstheme="minorHAnsi"/>
          <w:sz w:val="16"/>
          <w:szCs w:val="16"/>
          <w:vertAlign w:val="subscript"/>
        </w:rPr>
        <w:t>50</w:t>
      </w:r>
      <w:r w:rsidRPr="00242879">
        <w:rPr>
          <w:rFonts w:cstheme="minorHAnsi"/>
        </w:rPr>
        <w:t> value of NH</w:t>
      </w:r>
      <w:r w:rsidRPr="00242879">
        <w:rPr>
          <w:rFonts w:cstheme="minorHAnsi"/>
          <w:sz w:val="16"/>
          <w:szCs w:val="16"/>
          <w:vertAlign w:val="subscript"/>
        </w:rPr>
        <w:t>3</w:t>
      </w:r>
      <w:r w:rsidRPr="00242879">
        <w:rPr>
          <w:rFonts w:cstheme="minorHAnsi"/>
        </w:rPr>
        <w:t>-N to the seed biomass.</w:t>
      </w:r>
    </w:p>
    <w:p w14:paraId="14F4E0A8" w14:textId="77777777" w:rsidR="00AE0154" w:rsidRPr="006C06ED" w:rsidRDefault="00AE0154" w:rsidP="00242879">
      <w:r w:rsidRPr="006C06ED">
        <w:t>ATA testing was performed on catalyzed APL after NH</w:t>
      </w:r>
      <w:r w:rsidRPr="006C06ED">
        <w:rPr>
          <w:vertAlign w:val="subscript"/>
        </w:rPr>
        <w:t>3</w:t>
      </w:r>
      <w:r w:rsidRPr="006C06ED">
        <w:t>-N was removed by air stripping. After NH</w:t>
      </w:r>
      <w:r w:rsidRPr="006C06ED">
        <w:rPr>
          <w:vertAlign w:val="subscript"/>
        </w:rPr>
        <w:t>3</w:t>
      </w:r>
      <w:r w:rsidRPr="006C06ED">
        <w:t>-N was stripped, the NH</w:t>
      </w:r>
      <w:r w:rsidRPr="006C06ED">
        <w:rPr>
          <w:vertAlign w:val="subscript"/>
        </w:rPr>
        <w:t>3</w:t>
      </w:r>
      <w:r w:rsidRPr="006C06ED">
        <w:t>-N concentration in all the ATA bottles was &lt;1 g/L and should not have been significantly inhibitory (</w:t>
      </w:r>
      <w:hyperlink r:id="rId101" w:anchor="T1" w:history="1">
        <w:r w:rsidRPr="006C06ED">
          <w:rPr>
            <w:rStyle w:val="Hyperlink"/>
            <w:rFonts w:ascii="Georgia" w:eastAsiaTheme="majorEastAsia" w:hAnsi="Georgia"/>
          </w:rPr>
          <w:t>Table 1</w:t>
        </w:r>
      </w:hyperlink>
      <w:r w:rsidRPr="006C06ED">
        <w:t>). Therefore, any methane production rate inhibition was ostensibly a result of APL constituents other than NH</w:t>
      </w:r>
      <w:r w:rsidRPr="006C06ED">
        <w:rPr>
          <w:vertAlign w:val="subscript"/>
        </w:rPr>
        <w:t>3</w:t>
      </w:r>
      <w:r w:rsidRPr="006C06ED">
        <w:t>-N. ATA results using catalyzed APL after air stripping show that aeration did reduce toxicity at the 0.6 gCOD/L dose, but inhibition was still observed at higher concentrations (</w:t>
      </w:r>
      <w:hyperlink r:id="rId102" w:anchor="F3" w:history="1">
        <w:r w:rsidRPr="006C06ED">
          <w:rPr>
            <w:rStyle w:val="Hyperlink"/>
            <w:rFonts w:ascii="Georgia" w:eastAsiaTheme="majorEastAsia" w:hAnsi="Georgia"/>
          </w:rPr>
          <w:t>Figure 3A</w:t>
        </w:r>
      </w:hyperlink>
      <w:r w:rsidRPr="006C06ED">
        <w:t>). Even after NH</w:t>
      </w:r>
      <w:r w:rsidRPr="006C06ED">
        <w:rPr>
          <w:vertAlign w:val="subscript"/>
        </w:rPr>
        <w:t>3</w:t>
      </w:r>
      <w:r w:rsidRPr="006C06ED">
        <w:t>-N was stripped, methane production essentially ceased at 2.3 and 4 gCOD/L APL doses. NH</w:t>
      </w:r>
      <w:r w:rsidRPr="006C06ED">
        <w:rPr>
          <w:vertAlign w:val="subscript"/>
        </w:rPr>
        <w:t>3</w:t>
      </w:r>
      <w:r w:rsidRPr="006C06ED">
        <w:t>-N concentrations in these two systems were approximately 0.5 and 0.9 g/L, respectively, which were significantly lower than IC</w:t>
      </w:r>
      <w:r w:rsidRPr="006C06ED">
        <w:rPr>
          <w:vertAlign w:val="subscript"/>
        </w:rPr>
        <w:t>50</w:t>
      </w:r>
      <w:r w:rsidRPr="006C06ED">
        <w:t>value of 2 g/L. Therefore, NH</w:t>
      </w:r>
      <w:r w:rsidRPr="006C06ED">
        <w:rPr>
          <w:vertAlign w:val="subscript"/>
        </w:rPr>
        <w:t>3</w:t>
      </w:r>
      <w:r w:rsidRPr="006C06ED">
        <w:t>-N toxicity was not the main cause of inhibition and other APL constituents inhibited methane production.</w:t>
      </w:r>
    </w:p>
    <w:p w14:paraId="73735C28" w14:textId="4D3FE6B5" w:rsidR="00AE0154" w:rsidRDefault="00D573FE" w:rsidP="006C06ED">
      <w:pPr>
        <w:pStyle w:val="NoSpacing"/>
        <w:rPr>
          <w:rFonts w:ascii="Georgia" w:hAnsi="Georgia" w:cs="Times New Roman"/>
          <w:color w:val="3E3D40"/>
          <w:sz w:val="23"/>
          <w:szCs w:val="23"/>
        </w:rPr>
      </w:pPr>
      <w:r w:rsidRPr="00D573FE">
        <w:rPr>
          <w:noProof/>
        </w:rPr>
        <w:lastRenderedPageBreak/>
        <w:drawing>
          <wp:inline distT="0" distB="0" distL="0" distR="0" wp14:anchorId="27828798" wp14:editId="6A04D093">
            <wp:extent cx="2990850" cy="5624804"/>
            <wp:effectExtent l="0" t="0" r="0" b="0"/>
            <wp:docPr id="1" name="Picture 1"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3"/>
                    <a:stretch>
                      <a:fillRect/>
                    </a:stretch>
                  </pic:blipFill>
                  <pic:spPr>
                    <a:xfrm>
                      <a:off x="0" y="0"/>
                      <a:ext cx="3010749" cy="5662227"/>
                    </a:xfrm>
                    <a:prstGeom prst="rect">
                      <a:avLst/>
                    </a:prstGeom>
                  </pic:spPr>
                </pic:pic>
              </a:graphicData>
            </a:graphic>
          </wp:inline>
        </w:drawing>
      </w:r>
    </w:p>
    <w:p w14:paraId="2BA35DD9" w14:textId="54A35848" w:rsidR="00AE0154" w:rsidRDefault="00AE0154" w:rsidP="006C06ED">
      <w:pPr>
        <w:pStyle w:val="NoSpacing"/>
      </w:pPr>
      <w:r w:rsidRPr="00D573FE">
        <w:rPr>
          <w:rStyle w:val="Strong"/>
          <w:rFonts w:eastAsiaTheme="majorEastAsia" w:cstheme="minorHAnsi"/>
          <w:color w:val="3E3D40"/>
          <w:sz w:val="27"/>
          <w:szCs w:val="27"/>
        </w:rPr>
        <w:t>Figure 3</w:t>
      </w:r>
      <w:r w:rsidRPr="00D573FE">
        <w:t>. ATA results on catalyzed APL with air stripping. Error bars represent standard deviation among duplicates. </w:t>
      </w:r>
      <w:r w:rsidRPr="00D573FE">
        <w:rPr>
          <w:rStyle w:val="Strong"/>
          <w:rFonts w:eastAsiaTheme="majorEastAsia" w:cstheme="minorHAnsi"/>
          <w:color w:val="3E3D40"/>
          <w:sz w:val="27"/>
          <w:szCs w:val="27"/>
        </w:rPr>
        <w:t>(A)</w:t>
      </w:r>
      <w:r w:rsidRPr="00D573FE">
        <w:t> Cumulative methane production of catalyzed APL with air stripping at different concentrations. </w:t>
      </w:r>
      <w:r w:rsidRPr="00D573FE">
        <w:rPr>
          <w:rStyle w:val="Strong"/>
          <w:rFonts w:eastAsiaTheme="majorEastAsia" w:cstheme="minorHAnsi"/>
          <w:color w:val="3E3D40"/>
          <w:sz w:val="27"/>
          <w:szCs w:val="27"/>
        </w:rPr>
        <w:t>(B)</w:t>
      </w:r>
      <w:r w:rsidRPr="00D573FE">
        <w:t> ATA dose-response curves based on COD for catalyzed APL with and without air stripping and comparison of IC</w:t>
      </w:r>
      <w:r w:rsidRPr="00D573FE">
        <w:rPr>
          <w:sz w:val="16"/>
          <w:szCs w:val="16"/>
          <w:vertAlign w:val="subscript"/>
        </w:rPr>
        <w:t>50</w:t>
      </w:r>
      <w:r w:rsidRPr="00D573FE">
        <w:t> values between air-stripped and non-air-stripped catalyzed APLs. </w:t>
      </w:r>
      <w:r w:rsidRPr="00D573FE">
        <w:rPr>
          <w:rStyle w:val="Strong"/>
          <w:rFonts w:eastAsiaTheme="majorEastAsia" w:cstheme="minorHAnsi"/>
          <w:color w:val="3E3D40"/>
          <w:sz w:val="27"/>
          <w:szCs w:val="27"/>
        </w:rPr>
        <w:t>(C)</w:t>
      </w:r>
      <w:r w:rsidRPr="00D573FE">
        <w:t> ATA dose-response curves based on NH</w:t>
      </w:r>
      <w:r w:rsidRPr="00D573FE">
        <w:rPr>
          <w:sz w:val="16"/>
          <w:szCs w:val="16"/>
          <w:vertAlign w:val="subscript"/>
        </w:rPr>
        <w:t>3</w:t>
      </w:r>
      <w:r w:rsidRPr="00D573FE">
        <w:t>-N for catalyzed APL with and without air stripping and comparison of IC</w:t>
      </w:r>
      <w:r w:rsidRPr="00D573FE">
        <w:rPr>
          <w:sz w:val="16"/>
          <w:szCs w:val="16"/>
          <w:vertAlign w:val="subscript"/>
        </w:rPr>
        <w:t>50</w:t>
      </w:r>
      <w:r w:rsidRPr="00D573FE">
        <w:t> values between air-stripped and non-air-stripped catalyzed APLs.</w:t>
      </w:r>
    </w:p>
    <w:p w14:paraId="197EAAFC" w14:textId="77777777" w:rsidR="006C06ED" w:rsidRPr="00D573FE" w:rsidRDefault="006C06ED" w:rsidP="006C06ED">
      <w:pPr>
        <w:pStyle w:val="NoSpacing"/>
      </w:pPr>
    </w:p>
    <w:p w14:paraId="3554164A" w14:textId="77777777" w:rsidR="00AE0154" w:rsidRPr="006C06ED" w:rsidRDefault="00AE0154" w:rsidP="00D573FE">
      <w:r w:rsidRPr="006C06ED">
        <w:t>Dose response curves for methane production rate vs. COD and NH</w:t>
      </w:r>
      <w:r w:rsidRPr="006C06ED">
        <w:rPr>
          <w:vertAlign w:val="subscript"/>
        </w:rPr>
        <w:t>3</w:t>
      </w:r>
      <w:r w:rsidRPr="006C06ED">
        <w:t>-N concentrations were plotted and IC</w:t>
      </w:r>
      <w:r w:rsidRPr="006C06ED">
        <w:rPr>
          <w:vertAlign w:val="subscript"/>
        </w:rPr>
        <w:t>50</w:t>
      </w:r>
      <w:r w:rsidRPr="006C06ED">
        <w:t> values were calculated (</w:t>
      </w:r>
      <w:hyperlink r:id="rId104" w:anchor="F3" w:history="1">
        <w:r w:rsidRPr="006C06ED">
          <w:rPr>
            <w:rStyle w:val="Hyperlink"/>
            <w:rFonts w:ascii="Georgia" w:eastAsiaTheme="majorEastAsia" w:hAnsi="Georgia"/>
          </w:rPr>
          <w:t>Figures 3B,C</w:t>
        </w:r>
      </w:hyperlink>
      <w:r w:rsidRPr="006C06ED">
        <w:t>). After air stripping, biomass showed higher tolerance to the APL and the IC</w:t>
      </w:r>
      <w:r w:rsidRPr="006C06ED">
        <w:rPr>
          <w:vertAlign w:val="subscript"/>
        </w:rPr>
        <w:t>50</w:t>
      </w:r>
      <w:r w:rsidRPr="006C06ED">
        <w:t> value increased by approximately 300% (</w:t>
      </w:r>
      <w:hyperlink r:id="rId105" w:anchor="F3" w:history="1">
        <w:r w:rsidRPr="006C06ED">
          <w:rPr>
            <w:rStyle w:val="Hyperlink"/>
            <w:rFonts w:ascii="Georgia" w:eastAsiaTheme="majorEastAsia" w:hAnsi="Georgia"/>
          </w:rPr>
          <w:t>Figure 3B</w:t>
        </w:r>
      </w:hyperlink>
      <w:r w:rsidRPr="006C06ED">
        <w:t>). Under both air-stripped and non-air-stripped conditions, the NH</w:t>
      </w:r>
      <w:r w:rsidRPr="006C06ED">
        <w:rPr>
          <w:vertAlign w:val="subscript"/>
        </w:rPr>
        <w:t>3</w:t>
      </w:r>
      <w:r w:rsidRPr="006C06ED">
        <w:t>-N concentrations were significantly less than the IC</w:t>
      </w:r>
      <w:r w:rsidRPr="006C06ED">
        <w:rPr>
          <w:vertAlign w:val="subscript"/>
        </w:rPr>
        <w:t>50</w:t>
      </w:r>
      <w:r w:rsidRPr="006C06ED">
        <w:t> value, but methane production inhibition was still observed (</w:t>
      </w:r>
      <w:hyperlink r:id="rId106" w:anchor="F3" w:history="1">
        <w:r w:rsidRPr="006C06ED">
          <w:rPr>
            <w:rStyle w:val="Hyperlink"/>
            <w:rFonts w:ascii="Georgia" w:eastAsiaTheme="majorEastAsia" w:hAnsi="Georgia"/>
          </w:rPr>
          <w:t>Figure 3C</w:t>
        </w:r>
      </w:hyperlink>
      <w:r w:rsidRPr="006C06ED">
        <w:t>). Therefore, NH</w:t>
      </w:r>
      <w:r w:rsidRPr="006C06ED">
        <w:rPr>
          <w:vertAlign w:val="subscript"/>
        </w:rPr>
        <w:t>3</w:t>
      </w:r>
      <w:r w:rsidRPr="006C06ED">
        <w:t>-N was not the main or only inhibitory constituent. Inhibitory organic constituents in the APL exerted significant toxicity to the unacclimated biomass.</w:t>
      </w:r>
    </w:p>
    <w:p w14:paraId="75E7E128" w14:textId="77777777" w:rsidR="00AE0154" w:rsidRPr="006C06ED" w:rsidRDefault="00AE0154" w:rsidP="00D573FE">
      <w:r w:rsidRPr="006C06ED">
        <w:t xml:space="preserve">In summary, higher inhibition was observed using catalyzed vs. non-catalyzed APL despite the catalyzed APL having a lower COD concentration and fewer aromatic compounds. Energy recovery from APL may require </w:t>
      </w:r>
      <w:r w:rsidRPr="006C06ED">
        <w:lastRenderedPageBreak/>
        <w:t>pretreatment processes to decrease toxicity of the APL, prior to anaerobic digestion. Utilizing acclimated anaerobic biomass as an inoculum should also be considered to reduce inhibition and improve co-digestion. The APL for this work was produced at 800°C. It may be that APL produced from biosolids at other temperatures has different anaerobic toxicity properties. In addition, the APL produced for this work was derived from a mix of digested primary and raw waste activated sludges; the mix had a relatively high organic nitrogen content. APL derived from other traditional pyrolysis feedstock with lower nitrogen content, such as corn stover or wood, produces APL with lower total nitrogen and probably has different toxicity effects in anaerobic digesters.</w:t>
      </w:r>
    </w:p>
    <w:p w14:paraId="5BB5B849" w14:textId="77777777" w:rsidR="00AE0154" w:rsidRDefault="00AE0154" w:rsidP="00D573FE">
      <w:pPr>
        <w:pStyle w:val="Heading1"/>
      </w:pPr>
      <w:bookmarkStart w:id="6" w:name="h5"/>
      <w:bookmarkEnd w:id="6"/>
      <w:r>
        <w:t>Conclusion</w:t>
      </w:r>
    </w:p>
    <w:p w14:paraId="656BB2FE" w14:textId="77777777" w:rsidR="00AE0154" w:rsidRPr="006C06ED" w:rsidRDefault="00AE0154" w:rsidP="00F14EB5">
      <w:r w:rsidRPr="006C06ED">
        <w:t>Despite having fewer organic compounds, catalyzed APL generated from autocatalytic pyrolysis of wastewater solids resulted in higher methanogenic toxicity compared to conventional, non-catalyzed APL. Inhibition in methane production was observed even after the NH</w:t>
      </w:r>
      <w:r w:rsidRPr="006C06ED">
        <w:rPr>
          <w:vertAlign w:val="subscript"/>
        </w:rPr>
        <w:t>3</w:t>
      </w:r>
      <w:r w:rsidRPr="006C06ED">
        <w:t xml:space="preserve">-N concentration in catalyzed APL was reduced to non-inhibitory values by air stripping. Therefore, the main cause of inhibition is attributed to organic compounds present in catalyzed APL, such as phenol, m-cresol, p-cresol, 2,4-dimethylphenol, 3,5-dimethoxy-4-hydroxybenzaldehyde, 2,5-dimethoxybenzyl alcohol, ethylbenzene, and styrene. </w:t>
      </w:r>
      <w:proofErr w:type="gramStart"/>
      <w:r w:rsidRPr="006C06ED">
        <w:t>The majority of</w:t>
      </w:r>
      <w:proofErr w:type="gramEnd"/>
      <w:r w:rsidRPr="006C06ED">
        <w:t xml:space="preserve"> the organic constituents identified in wastewater solids derived catalyzed and non-catalyzed APLs were nitrogen-containing compounds and phenols that are known to inhibit methanogenesis. Future research should focus on pretreatment methods to overcome APL toxicity and the use of acclimated biomass to increase methane production rates during APL anaerobic digestion or co-digestion.</w:t>
      </w:r>
    </w:p>
    <w:p w14:paraId="6FBE9861" w14:textId="77777777" w:rsidR="00AE0154" w:rsidRDefault="00AE0154" w:rsidP="00F14EB5">
      <w:pPr>
        <w:pStyle w:val="Heading1"/>
      </w:pPr>
      <w:bookmarkStart w:id="7" w:name="h6"/>
      <w:bookmarkEnd w:id="7"/>
      <w:r>
        <w:t>Author Contributions</w:t>
      </w:r>
    </w:p>
    <w:p w14:paraId="7DE8C6D5" w14:textId="77777777" w:rsidR="00AE0154" w:rsidRDefault="00AE0154" w:rsidP="00F14EB5">
      <w:r>
        <w:t>SS performed experiments, carried out data analysis and drafted the manuscript. KV supervised the research, helped in experiment design and revised the manuscript. DZ planned the research, supervised the research and revised the manuscript.</w:t>
      </w:r>
    </w:p>
    <w:p w14:paraId="6620D47C" w14:textId="77777777" w:rsidR="00AE0154" w:rsidRDefault="00AE0154" w:rsidP="00F14EB5">
      <w:pPr>
        <w:pStyle w:val="Heading1"/>
      </w:pPr>
      <w:bookmarkStart w:id="8" w:name="h7"/>
      <w:bookmarkEnd w:id="8"/>
      <w:r>
        <w:t>Conflict of Interest Statement</w:t>
      </w:r>
    </w:p>
    <w:p w14:paraId="148483AC" w14:textId="77777777" w:rsidR="00AE0154" w:rsidRDefault="00AE0154" w:rsidP="00F14EB5">
      <w:r>
        <w:t>The authors declare that the research was conducted in the absence of any commercial or financial relationships that could be construed as a potential conflict of interest.</w:t>
      </w:r>
    </w:p>
    <w:p w14:paraId="3ABC232B" w14:textId="77777777" w:rsidR="00AE0154" w:rsidRDefault="00AE0154" w:rsidP="00F14EB5">
      <w:pPr>
        <w:pStyle w:val="Heading1"/>
      </w:pPr>
      <w:bookmarkStart w:id="9" w:name="h8"/>
      <w:bookmarkEnd w:id="9"/>
      <w:r>
        <w:t>Acknowledgments</w:t>
      </w:r>
    </w:p>
    <w:p w14:paraId="5E9DFF9C" w14:textId="77777777" w:rsidR="00AE0154" w:rsidRDefault="00AE0154" w:rsidP="00F14EB5">
      <w:r>
        <w:t>The authors thank Mike Dollhopf (Water Quality Center, Marquette University, Milwaukee, USA) for his laboratory contributions and Dr. Zhongzhe Liu (Research Assistant Professor in the Department of Civil, Construction and Environmental Engineering, Marquette University, Milwaukee, USA) for providing the aqueous pyrolysis liquid. We are also grateful to Dynalene Laboratory Services (Whitehall, PA) and Iowa State University Bioeconomy Institute Laboratory (Aimes, IA) for providing GC-MS and GC-FID APL analyses.</w:t>
      </w:r>
    </w:p>
    <w:p w14:paraId="6E63FF73" w14:textId="77777777" w:rsidR="00AE0154" w:rsidRDefault="00AE0154" w:rsidP="00F14EB5">
      <w:pPr>
        <w:pStyle w:val="Heading1"/>
      </w:pPr>
      <w:bookmarkStart w:id="10" w:name="h9"/>
      <w:bookmarkEnd w:id="10"/>
      <w:r>
        <w:t>References</w:t>
      </w:r>
    </w:p>
    <w:p w14:paraId="0D4BE1AE"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11" w:name="B1"/>
      <w:bookmarkEnd w:id="11"/>
      <w:r w:rsidRPr="006C06ED">
        <w:rPr>
          <w:rFonts w:asciiTheme="minorHAnsi" w:hAnsiTheme="minorHAnsi" w:cstheme="minorHAnsi"/>
          <w:color w:val="3E3D40"/>
          <w:sz w:val="22"/>
          <w:szCs w:val="22"/>
        </w:rPr>
        <w:t>Agrafioti, E., Bouras, G., Kalderis, D., and Diamadopoulos, E. (2013). Biochar production by sewage sludge pyrolysis. </w:t>
      </w:r>
      <w:r w:rsidRPr="006C06ED">
        <w:rPr>
          <w:rFonts w:asciiTheme="minorHAnsi" w:hAnsiTheme="minorHAnsi" w:cstheme="minorHAnsi"/>
          <w:i/>
          <w:iCs/>
          <w:color w:val="3E3D40"/>
          <w:sz w:val="22"/>
          <w:szCs w:val="22"/>
        </w:rPr>
        <w:t>J. Anal. Appl. Pyrolysis</w:t>
      </w:r>
      <w:r w:rsidRPr="006C06ED">
        <w:rPr>
          <w:rFonts w:asciiTheme="minorHAnsi" w:hAnsiTheme="minorHAnsi" w:cstheme="minorHAnsi"/>
          <w:color w:val="3E3D40"/>
          <w:sz w:val="22"/>
          <w:szCs w:val="22"/>
        </w:rPr>
        <w:t> 101, 72–78. doi: 10.1016/j.jaap.2013.02.010</w:t>
      </w:r>
    </w:p>
    <w:p w14:paraId="1034B2E3"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12" w:name="B2"/>
      <w:bookmarkEnd w:id="12"/>
      <w:r w:rsidRPr="006C06ED">
        <w:rPr>
          <w:rFonts w:asciiTheme="minorHAnsi" w:hAnsiTheme="minorHAnsi" w:cstheme="minorHAnsi"/>
          <w:color w:val="3E3D40"/>
          <w:sz w:val="22"/>
          <w:szCs w:val="22"/>
        </w:rPr>
        <w:t>American Public Health Association and American Water Works Association. (1998). </w:t>
      </w:r>
      <w:r w:rsidRPr="006C06ED">
        <w:rPr>
          <w:rFonts w:asciiTheme="minorHAnsi" w:hAnsiTheme="minorHAnsi" w:cstheme="minorHAnsi"/>
          <w:i/>
          <w:iCs/>
          <w:color w:val="3E3D40"/>
          <w:sz w:val="22"/>
          <w:szCs w:val="22"/>
        </w:rPr>
        <w:t>Standard Methods for the Examination of Water and Wastewater</w:t>
      </w:r>
      <w:r w:rsidRPr="006C06ED">
        <w:rPr>
          <w:rFonts w:asciiTheme="minorHAnsi" w:hAnsiTheme="minorHAnsi" w:cstheme="minorHAnsi"/>
          <w:color w:val="3E3D40"/>
          <w:sz w:val="22"/>
          <w:szCs w:val="22"/>
        </w:rPr>
        <w:t>. American public health association.</w:t>
      </w:r>
    </w:p>
    <w:p w14:paraId="50BF5FB1"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13" w:name="B3"/>
      <w:bookmarkEnd w:id="13"/>
      <w:r w:rsidRPr="006C06ED">
        <w:rPr>
          <w:rFonts w:asciiTheme="minorHAnsi" w:hAnsiTheme="minorHAnsi" w:cstheme="minorHAnsi"/>
          <w:color w:val="3E3D40"/>
          <w:sz w:val="22"/>
          <w:szCs w:val="22"/>
        </w:rPr>
        <w:t>Andreoni, V., Bonfanti, P., Daffonchio, D., Sorlini, C., and Villa, M. (1990). Anaerobic digestion of wastes containing pyrolignitic acids. </w:t>
      </w:r>
      <w:r w:rsidRPr="006C06ED">
        <w:rPr>
          <w:rFonts w:asciiTheme="minorHAnsi" w:hAnsiTheme="minorHAnsi" w:cstheme="minorHAnsi"/>
          <w:i/>
          <w:iCs/>
          <w:color w:val="3E3D40"/>
          <w:sz w:val="22"/>
          <w:szCs w:val="22"/>
        </w:rPr>
        <w:t>Biol. Wastes</w:t>
      </w:r>
      <w:r w:rsidRPr="006C06ED">
        <w:rPr>
          <w:rFonts w:asciiTheme="minorHAnsi" w:hAnsiTheme="minorHAnsi" w:cstheme="minorHAnsi"/>
          <w:color w:val="3E3D40"/>
          <w:sz w:val="22"/>
          <w:szCs w:val="22"/>
        </w:rPr>
        <w:t> 34, 203–214. doi: 10.1016/0269-7483(90)90022-K</w:t>
      </w:r>
    </w:p>
    <w:p w14:paraId="62F5F760"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14" w:name="B4"/>
      <w:bookmarkEnd w:id="14"/>
      <w:r w:rsidRPr="006C06ED">
        <w:rPr>
          <w:rFonts w:asciiTheme="minorHAnsi" w:hAnsiTheme="minorHAnsi" w:cstheme="minorHAnsi"/>
          <w:color w:val="3E3D40"/>
          <w:sz w:val="22"/>
          <w:szCs w:val="22"/>
        </w:rPr>
        <w:t>Araya, P., Chamy, R., Mota, M., and Alves, M. (2000). Biodegradability and toxicity of styrene in the anaerobic digestion process. </w:t>
      </w:r>
      <w:r w:rsidRPr="006C06ED">
        <w:rPr>
          <w:rFonts w:asciiTheme="minorHAnsi" w:hAnsiTheme="minorHAnsi" w:cstheme="minorHAnsi"/>
          <w:i/>
          <w:iCs/>
          <w:color w:val="3E3D40"/>
          <w:sz w:val="22"/>
          <w:szCs w:val="22"/>
        </w:rPr>
        <w:t>Biotechnol. Lett.</w:t>
      </w:r>
      <w:r w:rsidRPr="006C06ED">
        <w:rPr>
          <w:rFonts w:asciiTheme="minorHAnsi" w:hAnsiTheme="minorHAnsi" w:cstheme="minorHAnsi"/>
          <w:color w:val="3E3D40"/>
          <w:sz w:val="22"/>
          <w:szCs w:val="22"/>
        </w:rPr>
        <w:t> 22, 1477–1481. doi: 10.1023/A:1005636030693</w:t>
      </w:r>
    </w:p>
    <w:p w14:paraId="14C1FE63"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15" w:name="B5"/>
      <w:bookmarkEnd w:id="15"/>
      <w:r w:rsidRPr="006C06ED">
        <w:rPr>
          <w:rFonts w:asciiTheme="minorHAnsi" w:hAnsiTheme="minorHAnsi" w:cstheme="minorHAnsi"/>
          <w:color w:val="3E3D40"/>
          <w:sz w:val="22"/>
          <w:szCs w:val="22"/>
        </w:rPr>
        <w:lastRenderedPageBreak/>
        <w:t>Blum, D. J. W., and Speece, R. E. (1991). A database of chemical toxicity to environmental bacteria and its use in interspecies comparisons and correlations. </w:t>
      </w:r>
      <w:r w:rsidRPr="006C06ED">
        <w:rPr>
          <w:rFonts w:asciiTheme="minorHAnsi" w:hAnsiTheme="minorHAnsi" w:cstheme="minorHAnsi"/>
          <w:i/>
          <w:iCs/>
          <w:color w:val="3E3D40"/>
          <w:sz w:val="22"/>
          <w:szCs w:val="22"/>
        </w:rPr>
        <w:t>Res. J. Water Pollut. Control Fed.</w:t>
      </w:r>
      <w:r w:rsidRPr="006C06ED">
        <w:rPr>
          <w:rFonts w:asciiTheme="minorHAnsi" w:hAnsiTheme="minorHAnsi" w:cstheme="minorHAnsi"/>
          <w:color w:val="3E3D40"/>
          <w:sz w:val="22"/>
          <w:szCs w:val="22"/>
        </w:rPr>
        <w:t> 63, 198–207.</w:t>
      </w:r>
    </w:p>
    <w:p w14:paraId="0FDDE426"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16" w:name="B6"/>
      <w:bookmarkEnd w:id="16"/>
      <w:r w:rsidRPr="006C06ED">
        <w:rPr>
          <w:rFonts w:asciiTheme="minorHAnsi" w:hAnsiTheme="minorHAnsi" w:cstheme="minorHAnsi"/>
          <w:color w:val="3E3D40"/>
          <w:sz w:val="22"/>
          <w:szCs w:val="22"/>
        </w:rPr>
        <w:t>Bravo, H. R., Bootsma, H., and Khazaei, B. (2017). “Modeling the transport and fate of phosphorus from a point source in the Lake Michigan Nearshore Zone,” in </w:t>
      </w:r>
      <w:r w:rsidRPr="006C06ED">
        <w:rPr>
          <w:rFonts w:asciiTheme="minorHAnsi" w:hAnsiTheme="minorHAnsi" w:cstheme="minorHAnsi"/>
          <w:i/>
          <w:iCs/>
          <w:color w:val="3E3D40"/>
          <w:sz w:val="22"/>
          <w:szCs w:val="22"/>
        </w:rPr>
        <w:t xml:space="preserve">Proceedings of the 37th International Association of Hydraulic Research World </w:t>
      </w:r>
      <w:proofErr w:type="gramStart"/>
      <w:r w:rsidRPr="006C06ED">
        <w:rPr>
          <w:rFonts w:asciiTheme="minorHAnsi" w:hAnsiTheme="minorHAnsi" w:cstheme="minorHAnsi"/>
          <w:i/>
          <w:iCs/>
          <w:color w:val="3E3D40"/>
          <w:sz w:val="22"/>
          <w:szCs w:val="22"/>
        </w:rPr>
        <w:t>Congress</w:t>
      </w:r>
      <w:r w:rsidRPr="006C06ED">
        <w:rPr>
          <w:rFonts w:asciiTheme="minorHAnsi" w:hAnsiTheme="minorHAnsi" w:cstheme="minorHAnsi"/>
          <w:color w:val="3E3D40"/>
          <w:sz w:val="22"/>
          <w:szCs w:val="22"/>
        </w:rPr>
        <w:t>(</w:t>
      </w:r>
      <w:proofErr w:type="gramEnd"/>
      <w:r w:rsidRPr="006C06ED">
        <w:rPr>
          <w:rFonts w:asciiTheme="minorHAnsi" w:hAnsiTheme="minorHAnsi" w:cstheme="minorHAnsi"/>
          <w:color w:val="3E3D40"/>
          <w:sz w:val="22"/>
          <w:szCs w:val="22"/>
        </w:rPr>
        <w:t>Kuala Lumpur, Malaysia). 6865, 5172–5179.</w:t>
      </w:r>
    </w:p>
    <w:p w14:paraId="4E86518E"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17" w:name="B7"/>
      <w:bookmarkEnd w:id="17"/>
      <w:r w:rsidRPr="006C06ED">
        <w:rPr>
          <w:rFonts w:asciiTheme="minorHAnsi" w:hAnsiTheme="minorHAnsi" w:cstheme="minorHAnsi"/>
          <w:color w:val="3E3D40"/>
          <w:sz w:val="22"/>
          <w:szCs w:val="22"/>
        </w:rPr>
        <w:t>Bridle, T. R., and Skrypski-Mantele, S. (2004). Experience and lessons learned from sewage sludge pyrolysis in Australia. </w:t>
      </w:r>
      <w:r w:rsidRPr="006C06ED">
        <w:rPr>
          <w:rFonts w:asciiTheme="minorHAnsi" w:hAnsiTheme="minorHAnsi" w:cstheme="minorHAnsi"/>
          <w:i/>
          <w:iCs/>
          <w:color w:val="3E3D40"/>
          <w:sz w:val="22"/>
          <w:szCs w:val="22"/>
        </w:rPr>
        <w:t>Water Sci. Technol.</w:t>
      </w:r>
      <w:r w:rsidRPr="006C06ED">
        <w:rPr>
          <w:rFonts w:asciiTheme="minorHAnsi" w:hAnsiTheme="minorHAnsi" w:cstheme="minorHAnsi"/>
          <w:color w:val="3E3D40"/>
          <w:sz w:val="22"/>
          <w:szCs w:val="22"/>
        </w:rPr>
        <w:t> 49, 217–223. doi: 10.2166/wst.2004.0648</w:t>
      </w:r>
    </w:p>
    <w:p w14:paraId="4B57B2FB"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18" w:name="B8"/>
      <w:bookmarkEnd w:id="18"/>
      <w:r w:rsidRPr="006C06ED">
        <w:rPr>
          <w:rFonts w:asciiTheme="minorHAnsi" w:hAnsiTheme="minorHAnsi" w:cstheme="minorHAnsi"/>
          <w:color w:val="3E3D40"/>
          <w:sz w:val="22"/>
          <w:szCs w:val="22"/>
        </w:rPr>
        <w:t xml:space="preserve">Chen, D., Chen, X., Sun, J., Zheng, Z., and Fu, K. (2016). Pyrolysis polygeneration of pine </w:t>
      </w:r>
      <w:proofErr w:type="gramStart"/>
      <w:r w:rsidRPr="006C06ED">
        <w:rPr>
          <w:rFonts w:asciiTheme="minorHAnsi" w:hAnsiTheme="minorHAnsi" w:cstheme="minorHAnsi"/>
          <w:color w:val="3E3D40"/>
          <w:sz w:val="22"/>
          <w:szCs w:val="22"/>
        </w:rPr>
        <w:t>nut shell</w:t>
      </w:r>
      <w:proofErr w:type="gramEnd"/>
      <w:r w:rsidRPr="006C06ED">
        <w:rPr>
          <w:rFonts w:asciiTheme="minorHAnsi" w:hAnsiTheme="minorHAnsi" w:cstheme="minorHAnsi"/>
          <w:color w:val="3E3D40"/>
          <w:sz w:val="22"/>
          <w:szCs w:val="22"/>
        </w:rPr>
        <w:t>: quality of pyrolysis products and study on the preparation of activated carbon from biochar. </w:t>
      </w:r>
      <w:r w:rsidRPr="006C06ED">
        <w:rPr>
          <w:rFonts w:asciiTheme="minorHAnsi" w:hAnsiTheme="minorHAnsi" w:cstheme="minorHAnsi"/>
          <w:i/>
          <w:iCs/>
          <w:color w:val="3E3D40"/>
          <w:sz w:val="22"/>
          <w:szCs w:val="22"/>
        </w:rPr>
        <w:t>Bioresour. Technol.</w:t>
      </w:r>
      <w:r w:rsidRPr="006C06ED">
        <w:rPr>
          <w:rFonts w:asciiTheme="minorHAnsi" w:hAnsiTheme="minorHAnsi" w:cstheme="minorHAnsi"/>
          <w:color w:val="3E3D40"/>
          <w:sz w:val="22"/>
          <w:szCs w:val="22"/>
        </w:rPr>
        <w:t> 216, 629–636. doi: 10.1016/j.biortech.2016.05.107</w:t>
      </w:r>
    </w:p>
    <w:p w14:paraId="2D859E09"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19" w:name="B9"/>
      <w:bookmarkEnd w:id="19"/>
      <w:r w:rsidRPr="006C06ED">
        <w:rPr>
          <w:rFonts w:asciiTheme="minorHAnsi" w:hAnsiTheme="minorHAnsi" w:cstheme="minorHAnsi"/>
          <w:color w:val="3E3D40"/>
          <w:sz w:val="22"/>
          <w:szCs w:val="22"/>
        </w:rPr>
        <w:t>Chen, H., Zhai, Y., Xu, B., Xiang, B., Zhu, L., Qiu, L., et al. (2014). Characterization of bio-oil and biochar from high-temperature pyrolysis of sewage sludge. </w:t>
      </w:r>
      <w:r w:rsidRPr="006C06ED">
        <w:rPr>
          <w:rFonts w:asciiTheme="minorHAnsi" w:hAnsiTheme="minorHAnsi" w:cstheme="minorHAnsi"/>
          <w:i/>
          <w:iCs/>
          <w:color w:val="3E3D40"/>
          <w:sz w:val="22"/>
          <w:szCs w:val="22"/>
        </w:rPr>
        <w:t>Environ. Technol.</w:t>
      </w:r>
      <w:r w:rsidRPr="006C06ED">
        <w:rPr>
          <w:rFonts w:asciiTheme="minorHAnsi" w:hAnsiTheme="minorHAnsi" w:cstheme="minorHAnsi"/>
          <w:color w:val="3E3D40"/>
          <w:sz w:val="22"/>
          <w:szCs w:val="22"/>
        </w:rPr>
        <w:t> 36, 470–478. doi: 10.1080/09593330.2014.952343</w:t>
      </w:r>
    </w:p>
    <w:p w14:paraId="4E273231"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20" w:name="B10"/>
      <w:bookmarkEnd w:id="20"/>
      <w:r w:rsidRPr="006C06ED">
        <w:rPr>
          <w:rFonts w:asciiTheme="minorHAnsi" w:hAnsiTheme="minorHAnsi" w:cstheme="minorHAnsi"/>
          <w:color w:val="3E3D40"/>
          <w:sz w:val="22"/>
          <w:szCs w:val="22"/>
        </w:rPr>
        <w:t>Choi, Y. S., Johnston, P. A., Brown, R. C., Shanks, B. H., and Lee, K. H. (2014). Detailed characterization of red oak-derived pyrolysis oil: integrated use of GC, HPLC, IC, GPC and Karl-Fischer. </w:t>
      </w:r>
      <w:r w:rsidRPr="006C06ED">
        <w:rPr>
          <w:rFonts w:asciiTheme="minorHAnsi" w:hAnsiTheme="minorHAnsi" w:cstheme="minorHAnsi"/>
          <w:i/>
          <w:iCs/>
          <w:color w:val="3E3D40"/>
          <w:sz w:val="22"/>
          <w:szCs w:val="22"/>
        </w:rPr>
        <w:t>J. Anal. Appl. Pyrolysis</w:t>
      </w:r>
      <w:r w:rsidRPr="006C06ED">
        <w:rPr>
          <w:rFonts w:asciiTheme="minorHAnsi" w:hAnsiTheme="minorHAnsi" w:cstheme="minorHAnsi"/>
          <w:color w:val="3E3D40"/>
          <w:sz w:val="22"/>
          <w:szCs w:val="22"/>
        </w:rPr>
        <w:t> 110, 147–154. doi: 10.1016/j.jaap.2014.08.016</w:t>
      </w:r>
    </w:p>
    <w:p w14:paraId="0BB67126"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21" w:name="B11"/>
      <w:bookmarkEnd w:id="21"/>
      <w:r w:rsidRPr="006C06ED">
        <w:rPr>
          <w:rFonts w:asciiTheme="minorHAnsi" w:hAnsiTheme="minorHAnsi" w:cstheme="minorHAnsi"/>
          <w:color w:val="3E3D40"/>
          <w:sz w:val="22"/>
          <w:szCs w:val="22"/>
        </w:rPr>
        <w:t xml:space="preserve">Domínguez, A., Menéndez, J. A., Inguanzo, M., and Pís, J. J. (2006). Production of </w:t>
      </w:r>
      <w:proofErr w:type="gramStart"/>
      <w:r w:rsidRPr="006C06ED">
        <w:rPr>
          <w:rFonts w:asciiTheme="minorHAnsi" w:hAnsiTheme="minorHAnsi" w:cstheme="minorHAnsi"/>
          <w:color w:val="3E3D40"/>
          <w:sz w:val="22"/>
          <w:szCs w:val="22"/>
        </w:rPr>
        <w:t>bio-fuels</w:t>
      </w:r>
      <w:proofErr w:type="gramEnd"/>
      <w:r w:rsidRPr="006C06ED">
        <w:rPr>
          <w:rFonts w:asciiTheme="minorHAnsi" w:hAnsiTheme="minorHAnsi" w:cstheme="minorHAnsi"/>
          <w:color w:val="3E3D40"/>
          <w:sz w:val="22"/>
          <w:szCs w:val="22"/>
        </w:rPr>
        <w:t xml:space="preserve"> by high temperature pyrolysis of sewage sludge using conventional and microwave heating. </w:t>
      </w:r>
      <w:r w:rsidRPr="006C06ED">
        <w:rPr>
          <w:rFonts w:asciiTheme="minorHAnsi" w:hAnsiTheme="minorHAnsi" w:cstheme="minorHAnsi"/>
          <w:i/>
          <w:iCs/>
          <w:color w:val="3E3D40"/>
          <w:sz w:val="22"/>
          <w:szCs w:val="22"/>
        </w:rPr>
        <w:t>Bioresour. Technol.</w:t>
      </w:r>
      <w:r w:rsidRPr="006C06ED">
        <w:rPr>
          <w:rFonts w:asciiTheme="minorHAnsi" w:hAnsiTheme="minorHAnsi" w:cstheme="minorHAnsi"/>
          <w:color w:val="3E3D40"/>
          <w:sz w:val="22"/>
          <w:szCs w:val="22"/>
        </w:rPr>
        <w:t> 97, 1185–1193. doi: 10.1016/j.biortech.2005.05.011</w:t>
      </w:r>
    </w:p>
    <w:p w14:paraId="60CBAAAB"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22" w:name="B12"/>
      <w:bookmarkEnd w:id="22"/>
      <w:r w:rsidRPr="006C06ED">
        <w:rPr>
          <w:rFonts w:asciiTheme="minorHAnsi" w:hAnsiTheme="minorHAnsi" w:cstheme="minorHAnsi"/>
          <w:color w:val="3E3D40"/>
          <w:sz w:val="22"/>
          <w:szCs w:val="22"/>
        </w:rPr>
        <w:t>Edwards, E. A., and Grbic-Galic, D. (1994). Anaerobic degradation of toluene and o-xylene by a methanogenic consortium. </w:t>
      </w:r>
      <w:r w:rsidRPr="006C06ED">
        <w:rPr>
          <w:rFonts w:asciiTheme="minorHAnsi" w:hAnsiTheme="minorHAnsi" w:cstheme="minorHAnsi"/>
          <w:i/>
          <w:iCs/>
          <w:color w:val="3E3D40"/>
          <w:sz w:val="22"/>
          <w:szCs w:val="22"/>
        </w:rPr>
        <w:t>Appl. Environ. Microbiol.</w:t>
      </w:r>
      <w:r w:rsidRPr="006C06ED">
        <w:rPr>
          <w:rFonts w:asciiTheme="minorHAnsi" w:hAnsiTheme="minorHAnsi" w:cstheme="minorHAnsi"/>
          <w:color w:val="3E3D40"/>
          <w:sz w:val="22"/>
          <w:szCs w:val="22"/>
        </w:rPr>
        <w:t> 60, 313–322.</w:t>
      </w:r>
    </w:p>
    <w:p w14:paraId="63048196"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23" w:name="B13"/>
      <w:bookmarkEnd w:id="23"/>
      <w:r w:rsidRPr="006C06ED">
        <w:rPr>
          <w:rFonts w:asciiTheme="minorHAnsi" w:hAnsiTheme="minorHAnsi" w:cstheme="minorHAnsi"/>
          <w:color w:val="3E3D40"/>
          <w:sz w:val="22"/>
          <w:szCs w:val="22"/>
        </w:rPr>
        <w:t>Evans, R. J., and Milne, T. A. (1987). Molecular characterization of the pyrolysis of biomass. </w:t>
      </w:r>
      <w:r w:rsidRPr="006C06ED">
        <w:rPr>
          <w:rFonts w:asciiTheme="minorHAnsi" w:hAnsiTheme="minorHAnsi" w:cstheme="minorHAnsi"/>
          <w:i/>
          <w:iCs/>
          <w:color w:val="3E3D40"/>
          <w:sz w:val="22"/>
          <w:szCs w:val="22"/>
        </w:rPr>
        <w:t>Energy Fuels</w:t>
      </w:r>
      <w:r w:rsidRPr="006C06ED">
        <w:rPr>
          <w:rFonts w:asciiTheme="minorHAnsi" w:hAnsiTheme="minorHAnsi" w:cstheme="minorHAnsi"/>
          <w:color w:val="3E3D40"/>
          <w:sz w:val="22"/>
          <w:szCs w:val="22"/>
        </w:rPr>
        <w:t> 1, 123–137. doi: 10.1021/ef00002a001</w:t>
      </w:r>
    </w:p>
    <w:p w14:paraId="08389267"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24" w:name="B14"/>
      <w:bookmarkEnd w:id="24"/>
      <w:r w:rsidRPr="006C06ED">
        <w:rPr>
          <w:rFonts w:asciiTheme="minorHAnsi" w:hAnsiTheme="minorHAnsi" w:cstheme="minorHAnsi"/>
          <w:color w:val="3E3D40"/>
          <w:sz w:val="22"/>
          <w:szCs w:val="22"/>
        </w:rPr>
        <w:t>Fedorak, P. M., and Hrudey, S. E. (1984). The effects of phenol and some alkyl phenolicson batch anaerobic methanogenesis. Water Research, 18, 361–367.</w:t>
      </w:r>
    </w:p>
    <w:p w14:paraId="49740A2C"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25" w:name="B15"/>
      <w:bookmarkEnd w:id="25"/>
      <w:r w:rsidRPr="006C06ED">
        <w:rPr>
          <w:rFonts w:asciiTheme="minorHAnsi" w:hAnsiTheme="minorHAnsi" w:cstheme="minorHAnsi"/>
          <w:color w:val="3E3D40"/>
          <w:sz w:val="22"/>
          <w:szCs w:val="22"/>
        </w:rPr>
        <w:t>Fonts, I., Gea, G., Azuara, M., Ábrego, J., and Arauzo, J. (2012). Sewage sludge pyrolysis for liquid production: a review. </w:t>
      </w:r>
      <w:r w:rsidRPr="006C06ED">
        <w:rPr>
          <w:rFonts w:asciiTheme="minorHAnsi" w:hAnsiTheme="minorHAnsi" w:cstheme="minorHAnsi"/>
          <w:i/>
          <w:iCs/>
          <w:color w:val="3E3D40"/>
          <w:sz w:val="22"/>
          <w:szCs w:val="22"/>
        </w:rPr>
        <w:t>Renew. Sustain. Energy Rev.</w:t>
      </w:r>
      <w:r w:rsidRPr="006C06ED">
        <w:rPr>
          <w:rFonts w:asciiTheme="minorHAnsi" w:hAnsiTheme="minorHAnsi" w:cstheme="minorHAnsi"/>
          <w:color w:val="3E3D40"/>
          <w:sz w:val="22"/>
          <w:szCs w:val="22"/>
        </w:rPr>
        <w:t> 16, 2781–2805. doi: 10.1016/j.rser.2012.02.070</w:t>
      </w:r>
    </w:p>
    <w:p w14:paraId="2060E442"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26" w:name="B16"/>
      <w:bookmarkEnd w:id="26"/>
      <w:r w:rsidRPr="006C06ED">
        <w:rPr>
          <w:rFonts w:asciiTheme="minorHAnsi" w:hAnsiTheme="minorHAnsi" w:cstheme="minorHAnsi"/>
          <w:color w:val="3E3D40"/>
          <w:sz w:val="22"/>
          <w:szCs w:val="22"/>
        </w:rPr>
        <w:t>Fonts, I., Kuoppala, E., and Oasmaa, A. (2009). Physicochemical properties of product liquid from pyrolysis of sewage sludge. </w:t>
      </w:r>
      <w:r w:rsidRPr="006C06ED">
        <w:rPr>
          <w:rFonts w:asciiTheme="minorHAnsi" w:hAnsiTheme="minorHAnsi" w:cstheme="minorHAnsi"/>
          <w:i/>
          <w:iCs/>
          <w:color w:val="3E3D40"/>
          <w:sz w:val="22"/>
          <w:szCs w:val="22"/>
        </w:rPr>
        <w:t>Energy Fuels</w:t>
      </w:r>
      <w:r w:rsidRPr="006C06ED">
        <w:rPr>
          <w:rFonts w:asciiTheme="minorHAnsi" w:hAnsiTheme="minorHAnsi" w:cstheme="minorHAnsi"/>
          <w:color w:val="3E3D40"/>
          <w:sz w:val="22"/>
          <w:szCs w:val="22"/>
        </w:rPr>
        <w:t> 23, 4121–4128. doi: 10.1021/ef900300n</w:t>
      </w:r>
    </w:p>
    <w:p w14:paraId="61572271"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27" w:name="B17"/>
      <w:bookmarkEnd w:id="27"/>
      <w:r w:rsidRPr="006C06ED">
        <w:rPr>
          <w:rFonts w:asciiTheme="minorHAnsi" w:hAnsiTheme="minorHAnsi" w:cstheme="minorHAnsi"/>
          <w:color w:val="3E3D40"/>
          <w:sz w:val="22"/>
          <w:szCs w:val="22"/>
        </w:rPr>
        <w:t>Franchi, O., Rosenkranz, F., and Chamy, R. (2018). Key microbial populations involved in anaerobic degradation of phenol and p-cresol using different inocula. </w:t>
      </w:r>
      <w:r w:rsidRPr="006C06ED">
        <w:rPr>
          <w:rFonts w:asciiTheme="minorHAnsi" w:hAnsiTheme="minorHAnsi" w:cstheme="minorHAnsi"/>
          <w:i/>
          <w:iCs/>
          <w:color w:val="3E3D40"/>
          <w:sz w:val="22"/>
          <w:szCs w:val="22"/>
        </w:rPr>
        <w:t>Electron. J. Biotechnol</w:t>
      </w:r>
      <w:r w:rsidRPr="006C06ED">
        <w:rPr>
          <w:rFonts w:asciiTheme="minorHAnsi" w:hAnsiTheme="minorHAnsi" w:cstheme="minorHAnsi"/>
          <w:color w:val="3E3D40"/>
          <w:sz w:val="22"/>
          <w:szCs w:val="22"/>
        </w:rPr>
        <w:t>. 35, 33–38. doi: 10.1016/j.ejbt.2018.08.002</w:t>
      </w:r>
    </w:p>
    <w:p w14:paraId="04E020B4"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28" w:name="B18"/>
      <w:bookmarkEnd w:id="28"/>
      <w:r w:rsidRPr="006C06ED">
        <w:rPr>
          <w:rFonts w:asciiTheme="minorHAnsi" w:hAnsiTheme="minorHAnsi" w:cstheme="minorHAnsi"/>
          <w:color w:val="3E3D40"/>
          <w:sz w:val="22"/>
          <w:szCs w:val="22"/>
        </w:rPr>
        <w:t>Hamidi, S. A., Ekhtari, N., Hosseiny, H., and Khazaei, B. (2017). Using MODIS remote sensing data for mapping the spatiotemporal variability of water quality and river turbid plume in Green Bay. </w:t>
      </w:r>
      <w:r w:rsidRPr="006C06ED">
        <w:rPr>
          <w:rFonts w:asciiTheme="minorHAnsi" w:hAnsiTheme="minorHAnsi" w:cstheme="minorHAnsi"/>
          <w:i/>
          <w:iCs/>
          <w:color w:val="3E3D40"/>
          <w:sz w:val="22"/>
          <w:szCs w:val="22"/>
        </w:rPr>
        <w:t>J. Coast. Conserv.</w:t>
      </w:r>
      <w:r w:rsidRPr="006C06ED">
        <w:rPr>
          <w:rFonts w:asciiTheme="minorHAnsi" w:hAnsiTheme="minorHAnsi" w:cstheme="minorHAnsi"/>
          <w:color w:val="3E3D40"/>
          <w:sz w:val="22"/>
          <w:szCs w:val="22"/>
        </w:rPr>
        <w:t> 21, 939–950. doi: 10.1007/s11852-017-0564-y</w:t>
      </w:r>
    </w:p>
    <w:p w14:paraId="09735E68"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29" w:name="B19"/>
      <w:bookmarkEnd w:id="29"/>
      <w:r w:rsidRPr="006C06ED">
        <w:rPr>
          <w:rFonts w:asciiTheme="minorHAnsi" w:hAnsiTheme="minorHAnsi" w:cstheme="minorHAnsi"/>
          <w:color w:val="3E3D40"/>
          <w:sz w:val="22"/>
          <w:szCs w:val="22"/>
        </w:rPr>
        <w:t>Huber, G. W., Iborra, S., and Corma, A. (2006). Synthesis of transportation fuels from biomass: chemistry, catalysts, and engineering. </w:t>
      </w:r>
      <w:r w:rsidRPr="006C06ED">
        <w:rPr>
          <w:rFonts w:asciiTheme="minorHAnsi" w:hAnsiTheme="minorHAnsi" w:cstheme="minorHAnsi"/>
          <w:i/>
          <w:iCs/>
          <w:color w:val="3E3D40"/>
          <w:sz w:val="22"/>
          <w:szCs w:val="22"/>
        </w:rPr>
        <w:t>Chem. Rev.</w:t>
      </w:r>
      <w:r w:rsidRPr="006C06ED">
        <w:rPr>
          <w:rFonts w:asciiTheme="minorHAnsi" w:hAnsiTheme="minorHAnsi" w:cstheme="minorHAnsi"/>
          <w:color w:val="3E3D40"/>
          <w:sz w:val="22"/>
          <w:szCs w:val="22"/>
        </w:rPr>
        <w:t> 106, 4044–4098. doi: 10.1021/cr068360d</w:t>
      </w:r>
    </w:p>
    <w:p w14:paraId="63BD6B29"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30" w:name="B20"/>
      <w:bookmarkEnd w:id="30"/>
      <w:r w:rsidRPr="006C06ED">
        <w:rPr>
          <w:rFonts w:asciiTheme="minorHAnsi" w:hAnsiTheme="minorHAnsi" w:cstheme="minorHAnsi"/>
          <w:color w:val="3E3D40"/>
          <w:sz w:val="22"/>
          <w:szCs w:val="22"/>
        </w:rPr>
        <w:t>Hübner, T., and Mumme, J. (2015). Integration of pyrolysis and anaerobic digestion – Use of aqueous liquor from digestate pyrolysis for biogas production. </w:t>
      </w:r>
      <w:r w:rsidRPr="006C06ED">
        <w:rPr>
          <w:rFonts w:asciiTheme="minorHAnsi" w:hAnsiTheme="minorHAnsi" w:cstheme="minorHAnsi"/>
          <w:i/>
          <w:iCs/>
          <w:color w:val="3E3D40"/>
          <w:sz w:val="22"/>
          <w:szCs w:val="22"/>
        </w:rPr>
        <w:t>Bioresour. Technol.</w:t>
      </w:r>
      <w:r w:rsidRPr="006C06ED">
        <w:rPr>
          <w:rFonts w:asciiTheme="minorHAnsi" w:hAnsiTheme="minorHAnsi" w:cstheme="minorHAnsi"/>
          <w:color w:val="3E3D40"/>
          <w:sz w:val="22"/>
          <w:szCs w:val="22"/>
        </w:rPr>
        <w:t> 183, 86–92. doi: 10.1016/j.biortech.2015.02.037</w:t>
      </w:r>
    </w:p>
    <w:p w14:paraId="4255661F"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31" w:name="B21"/>
      <w:bookmarkEnd w:id="31"/>
      <w:r w:rsidRPr="006C06ED">
        <w:rPr>
          <w:rFonts w:asciiTheme="minorHAnsi" w:hAnsiTheme="minorHAnsi" w:cstheme="minorHAnsi"/>
          <w:color w:val="3E3D40"/>
          <w:sz w:val="22"/>
          <w:szCs w:val="22"/>
        </w:rPr>
        <w:t>Khazaei, B., Bravo, H. R., and Bootsma, H. A. (2017). “Using a hydrodynamic and biogeochemical model to investigate the effects of nutrient loading from a wastewater treatment plant into Lake Michigan,” [Abstract] in </w:t>
      </w:r>
      <w:r w:rsidRPr="006C06ED">
        <w:rPr>
          <w:rFonts w:asciiTheme="minorHAnsi" w:hAnsiTheme="minorHAnsi" w:cstheme="minorHAnsi"/>
          <w:i/>
          <w:iCs/>
          <w:color w:val="3E3D40"/>
          <w:sz w:val="22"/>
          <w:szCs w:val="22"/>
        </w:rPr>
        <w:t>[B43B-2123] presented at 2017 Fall Meeting, AGU</w:t>
      </w:r>
      <w:r w:rsidRPr="006C06ED">
        <w:rPr>
          <w:rFonts w:asciiTheme="minorHAnsi" w:hAnsiTheme="minorHAnsi" w:cstheme="minorHAnsi"/>
          <w:color w:val="3E3D40"/>
          <w:sz w:val="22"/>
          <w:szCs w:val="22"/>
        </w:rPr>
        <w:t>, (New Orleans, LA).</w:t>
      </w:r>
    </w:p>
    <w:p w14:paraId="42EC03C6"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32" w:name="B22"/>
      <w:bookmarkEnd w:id="32"/>
      <w:r w:rsidRPr="006C06ED">
        <w:rPr>
          <w:rFonts w:asciiTheme="minorHAnsi" w:hAnsiTheme="minorHAnsi" w:cstheme="minorHAnsi"/>
          <w:color w:val="3E3D40"/>
          <w:sz w:val="22"/>
          <w:szCs w:val="22"/>
        </w:rPr>
        <w:lastRenderedPageBreak/>
        <w:t>Khazaei, B., Hamidi, S. A., Houghton, S., Bartlett, S., and Bravo, H. R. (2018). “On the Relation between Sediment Concentration and Water Quality Parameters in the Green Bay of Lake Michigan,”in </w:t>
      </w:r>
      <w:r w:rsidRPr="006C06ED">
        <w:rPr>
          <w:rFonts w:asciiTheme="minorHAnsi" w:hAnsiTheme="minorHAnsi" w:cstheme="minorHAnsi"/>
          <w:i/>
          <w:iCs/>
          <w:color w:val="3E3D40"/>
          <w:sz w:val="22"/>
          <w:szCs w:val="22"/>
        </w:rPr>
        <w:t>ASLO 2018 Summer Meeting</w:t>
      </w:r>
      <w:r w:rsidRPr="006C06ED">
        <w:rPr>
          <w:rFonts w:asciiTheme="minorHAnsi" w:hAnsiTheme="minorHAnsi" w:cstheme="minorHAnsi"/>
          <w:color w:val="3E3D40"/>
          <w:sz w:val="22"/>
          <w:szCs w:val="22"/>
        </w:rPr>
        <w:t> (Victoria, BC)</w:t>
      </w:r>
    </w:p>
    <w:p w14:paraId="7359A8E7"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33" w:name="B23"/>
      <w:bookmarkEnd w:id="33"/>
      <w:r w:rsidRPr="006C06ED">
        <w:rPr>
          <w:rFonts w:asciiTheme="minorHAnsi" w:hAnsiTheme="minorHAnsi" w:cstheme="minorHAnsi"/>
          <w:color w:val="3E3D40"/>
          <w:sz w:val="22"/>
          <w:szCs w:val="22"/>
        </w:rPr>
        <w:t>Laird, D. A., Brown, R. C., Amonette, J. E., and Lehmann, J. (2009). Review of the pyrolysis platform for coproducing bio-oil and biochar. </w:t>
      </w:r>
      <w:r w:rsidRPr="006C06ED">
        <w:rPr>
          <w:rFonts w:asciiTheme="minorHAnsi" w:hAnsiTheme="minorHAnsi" w:cstheme="minorHAnsi"/>
          <w:i/>
          <w:iCs/>
          <w:color w:val="3E3D40"/>
          <w:sz w:val="22"/>
          <w:szCs w:val="22"/>
        </w:rPr>
        <w:t>Biofuels Bioproducts Biorefining</w:t>
      </w:r>
      <w:r w:rsidRPr="006C06ED">
        <w:rPr>
          <w:rFonts w:asciiTheme="minorHAnsi" w:hAnsiTheme="minorHAnsi" w:cstheme="minorHAnsi"/>
          <w:color w:val="3E3D40"/>
          <w:sz w:val="22"/>
          <w:szCs w:val="22"/>
        </w:rPr>
        <w:t> 3, 547–562. doi: 10.1002/bbb.169</w:t>
      </w:r>
    </w:p>
    <w:p w14:paraId="287816D7"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34" w:name="B24"/>
      <w:bookmarkEnd w:id="34"/>
      <w:r w:rsidRPr="006C06ED">
        <w:rPr>
          <w:rFonts w:asciiTheme="minorHAnsi" w:hAnsiTheme="minorHAnsi" w:cstheme="minorHAnsi"/>
          <w:color w:val="3E3D40"/>
          <w:sz w:val="22"/>
          <w:szCs w:val="22"/>
        </w:rPr>
        <w:t xml:space="preserve">Li, H., Xu, Q., Xue, H., and Yan, Y. (2009). Catalytic reforming of the aqueous phase derived from </w:t>
      </w:r>
      <w:proofErr w:type="gramStart"/>
      <w:r w:rsidRPr="006C06ED">
        <w:rPr>
          <w:rFonts w:asciiTheme="minorHAnsi" w:hAnsiTheme="minorHAnsi" w:cstheme="minorHAnsi"/>
          <w:color w:val="3E3D40"/>
          <w:sz w:val="22"/>
          <w:szCs w:val="22"/>
        </w:rPr>
        <w:t>fast-pyrolysis</w:t>
      </w:r>
      <w:proofErr w:type="gramEnd"/>
      <w:r w:rsidRPr="006C06ED">
        <w:rPr>
          <w:rFonts w:asciiTheme="minorHAnsi" w:hAnsiTheme="minorHAnsi" w:cstheme="minorHAnsi"/>
          <w:color w:val="3E3D40"/>
          <w:sz w:val="22"/>
          <w:szCs w:val="22"/>
        </w:rPr>
        <w:t xml:space="preserve"> of biomass. </w:t>
      </w:r>
      <w:r w:rsidRPr="006C06ED">
        <w:rPr>
          <w:rFonts w:asciiTheme="minorHAnsi" w:hAnsiTheme="minorHAnsi" w:cstheme="minorHAnsi"/>
          <w:i/>
          <w:iCs/>
          <w:color w:val="3E3D40"/>
          <w:sz w:val="22"/>
          <w:szCs w:val="22"/>
        </w:rPr>
        <w:t>Renew. Energy</w:t>
      </w:r>
      <w:r w:rsidRPr="006C06ED">
        <w:rPr>
          <w:rFonts w:asciiTheme="minorHAnsi" w:hAnsiTheme="minorHAnsi" w:cstheme="minorHAnsi"/>
          <w:color w:val="3E3D40"/>
          <w:sz w:val="22"/>
          <w:szCs w:val="22"/>
        </w:rPr>
        <w:t> 34, 2872–2877. doi: 10.1016/j.renene.2009.04.007</w:t>
      </w:r>
    </w:p>
    <w:p w14:paraId="7F78D84E"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35" w:name="B25"/>
      <w:bookmarkEnd w:id="35"/>
      <w:r w:rsidRPr="006C06ED">
        <w:rPr>
          <w:rFonts w:asciiTheme="minorHAnsi" w:hAnsiTheme="minorHAnsi" w:cstheme="minorHAnsi"/>
          <w:color w:val="3E3D40"/>
          <w:sz w:val="22"/>
          <w:szCs w:val="22"/>
        </w:rPr>
        <w:t>Liu, T., and Sung, S. (2002). Ammonia inhibition on thermophilic aceticlastic methanogens. </w:t>
      </w:r>
      <w:r w:rsidRPr="006C06ED">
        <w:rPr>
          <w:rFonts w:asciiTheme="minorHAnsi" w:hAnsiTheme="minorHAnsi" w:cstheme="minorHAnsi"/>
          <w:i/>
          <w:iCs/>
          <w:color w:val="3E3D40"/>
          <w:sz w:val="22"/>
          <w:szCs w:val="22"/>
        </w:rPr>
        <w:t>Water Sci. Technol.</w:t>
      </w:r>
      <w:r w:rsidRPr="006C06ED">
        <w:rPr>
          <w:rFonts w:asciiTheme="minorHAnsi" w:hAnsiTheme="minorHAnsi" w:cstheme="minorHAnsi"/>
          <w:color w:val="3E3D40"/>
          <w:sz w:val="22"/>
          <w:szCs w:val="22"/>
        </w:rPr>
        <w:t> 45, 113–120. doi: 10.2166/wst.2002.0304</w:t>
      </w:r>
    </w:p>
    <w:p w14:paraId="106E0082"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36" w:name="B26"/>
      <w:bookmarkEnd w:id="36"/>
      <w:r w:rsidRPr="006C06ED">
        <w:rPr>
          <w:rFonts w:asciiTheme="minorHAnsi" w:hAnsiTheme="minorHAnsi" w:cstheme="minorHAnsi"/>
          <w:color w:val="3E3D40"/>
          <w:sz w:val="22"/>
          <w:szCs w:val="22"/>
        </w:rPr>
        <w:t>Liu, Z., McNamara, P., and Zitomer, D. (2017). Autocatalytic pyrolysis of wastewater biosolids for product upgrading. </w:t>
      </w:r>
      <w:r w:rsidRPr="006C06ED">
        <w:rPr>
          <w:rFonts w:asciiTheme="minorHAnsi" w:hAnsiTheme="minorHAnsi" w:cstheme="minorHAnsi"/>
          <w:i/>
          <w:iCs/>
          <w:color w:val="3E3D40"/>
          <w:sz w:val="22"/>
          <w:szCs w:val="22"/>
        </w:rPr>
        <w:t>Environ. Sci. Technol.</w:t>
      </w:r>
      <w:r w:rsidRPr="006C06ED">
        <w:rPr>
          <w:rFonts w:asciiTheme="minorHAnsi" w:hAnsiTheme="minorHAnsi" w:cstheme="minorHAnsi"/>
          <w:color w:val="3E3D40"/>
          <w:sz w:val="22"/>
          <w:szCs w:val="22"/>
        </w:rPr>
        <w:t> 51, 9808–9816. doi: 10.1021/acs.est.7b02913</w:t>
      </w:r>
    </w:p>
    <w:p w14:paraId="5BF2FF91"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37" w:name="B27"/>
      <w:bookmarkEnd w:id="37"/>
      <w:r w:rsidRPr="006C06ED">
        <w:rPr>
          <w:rFonts w:asciiTheme="minorHAnsi" w:hAnsiTheme="minorHAnsi" w:cstheme="minorHAnsi"/>
          <w:color w:val="3E3D40"/>
          <w:sz w:val="22"/>
          <w:szCs w:val="22"/>
        </w:rPr>
        <w:t>Liu, Z., Singer, S., Tong, Y., Kimbell, L., Anderson, E., Hughes, M., et al. (2018). Characteristics and applications of biochars derived from wastewater solids. </w:t>
      </w:r>
      <w:r w:rsidRPr="006C06ED">
        <w:rPr>
          <w:rFonts w:asciiTheme="minorHAnsi" w:hAnsiTheme="minorHAnsi" w:cstheme="minorHAnsi"/>
          <w:i/>
          <w:iCs/>
          <w:color w:val="3E3D40"/>
          <w:sz w:val="22"/>
          <w:szCs w:val="22"/>
        </w:rPr>
        <w:t>Renew. Sustain. Energy Rev.</w:t>
      </w:r>
      <w:r w:rsidRPr="006C06ED">
        <w:rPr>
          <w:rFonts w:asciiTheme="minorHAnsi" w:hAnsiTheme="minorHAnsi" w:cstheme="minorHAnsi"/>
          <w:color w:val="3E3D40"/>
          <w:sz w:val="22"/>
          <w:szCs w:val="22"/>
        </w:rPr>
        <w:t> 90, 650–664. doi: 10.1016/j.rser.2018.02.040</w:t>
      </w:r>
    </w:p>
    <w:p w14:paraId="72A9E9A1"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38" w:name="B28"/>
      <w:bookmarkEnd w:id="38"/>
      <w:r w:rsidRPr="006C06ED">
        <w:rPr>
          <w:rFonts w:asciiTheme="minorHAnsi" w:hAnsiTheme="minorHAnsi" w:cstheme="minorHAnsi"/>
          <w:color w:val="3E3D40"/>
          <w:sz w:val="22"/>
          <w:szCs w:val="22"/>
        </w:rPr>
        <w:t>Madigou, C., Poirier, S., Bureau, C., and Chapleur, O. (2016). Acclimation strategy to increase phenol tolerance of an anaerobic microbiota. </w:t>
      </w:r>
      <w:r w:rsidRPr="006C06ED">
        <w:rPr>
          <w:rFonts w:asciiTheme="minorHAnsi" w:hAnsiTheme="minorHAnsi" w:cstheme="minorHAnsi"/>
          <w:i/>
          <w:iCs/>
          <w:color w:val="3E3D40"/>
          <w:sz w:val="22"/>
          <w:szCs w:val="22"/>
        </w:rPr>
        <w:t>Bioresour. Technol.</w:t>
      </w:r>
      <w:r w:rsidRPr="006C06ED">
        <w:rPr>
          <w:rFonts w:asciiTheme="minorHAnsi" w:hAnsiTheme="minorHAnsi" w:cstheme="minorHAnsi"/>
          <w:color w:val="3E3D40"/>
          <w:sz w:val="22"/>
          <w:szCs w:val="22"/>
        </w:rPr>
        <w:t> 216, 77–86. doi: 10.1016/j.biortech.2016.05.045</w:t>
      </w:r>
    </w:p>
    <w:p w14:paraId="48FF1290"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39" w:name="B29"/>
      <w:bookmarkEnd w:id="39"/>
      <w:r w:rsidRPr="006C06ED">
        <w:rPr>
          <w:rFonts w:asciiTheme="minorHAnsi" w:hAnsiTheme="minorHAnsi" w:cstheme="minorHAnsi"/>
          <w:color w:val="3E3D40"/>
          <w:sz w:val="22"/>
          <w:szCs w:val="22"/>
        </w:rPr>
        <w:t>McNamara, P. J., Koch, J. D., Liu, Z., and Zitomer, D. H. (2016). Pyrolysis of dried wastewater biosolids can be energy positive. </w:t>
      </w:r>
      <w:r w:rsidRPr="006C06ED">
        <w:rPr>
          <w:rFonts w:asciiTheme="minorHAnsi" w:hAnsiTheme="minorHAnsi" w:cstheme="minorHAnsi"/>
          <w:i/>
          <w:iCs/>
          <w:color w:val="3E3D40"/>
          <w:sz w:val="22"/>
          <w:szCs w:val="22"/>
        </w:rPr>
        <w:t>Water Environ. Res.</w:t>
      </w:r>
      <w:r w:rsidRPr="006C06ED">
        <w:rPr>
          <w:rFonts w:asciiTheme="minorHAnsi" w:hAnsiTheme="minorHAnsi" w:cstheme="minorHAnsi"/>
          <w:color w:val="3E3D40"/>
          <w:sz w:val="22"/>
          <w:szCs w:val="22"/>
        </w:rPr>
        <w:t> 88, 804–810. doi: 10.2175/106143016X14609975747441</w:t>
      </w:r>
    </w:p>
    <w:p w14:paraId="229734E9"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40" w:name="B30"/>
      <w:bookmarkEnd w:id="40"/>
      <w:r w:rsidRPr="006C06ED">
        <w:rPr>
          <w:rFonts w:asciiTheme="minorHAnsi" w:hAnsiTheme="minorHAnsi" w:cstheme="minorHAnsi"/>
          <w:color w:val="3E3D40"/>
          <w:sz w:val="22"/>
          <w:szCs w:val="22"/>
        </w:rPr>
        <w:t>Owen, W. F., Stuckey, D. C., Healy, J. B., Young, L. Y., and McCarty, P. L. (1979). Bioassay for monitoring biochemical methane potential and anaerobic toxicity. </w:t>
      </w:r>
      <w:r w:rsidRPr="006C06ED">
        <w:rPr>
          <w:rFonts w:asciiTheme="minorHAnsi" w:hAnsiTheme="minorHAnsi" w:cstheme="minorHAnsi"/>
          <w:i/>
          <w:iCs/>
          <w:color w:val="3E3D40"/>
          <w:sz w:val="22"/>
          <w:szCs w:val="22"/>
        </w:rPr>
        <w:t>Water Res.</w:t>
      </w:r>
      <w:r w:rsidRPr="006C06ED">
        <w:rPr>
          <w:rFonts w:asciiTheme="minorHAnsi" w:hAnsiTheme="minorHAnsi" w:cstheme="minorHAnsi"/>
          <w:color w:val="3E3D40"/>
          <w:sz w:val="22"/>
          <w:szCs w:val="22"/>
        </w:rPr>
        <w:t> 13, 485–492. doi: 10.1016/0043-1354(79)90043-5</w:t>
      </w:r>
    </w:p>
    <w:p w14:paraId="245DA062"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41" w:name="B31"/>
      <w:bookmarkEnd w:id="41"/>
      <w:r w:rsidRPr="006C06ED">
        <w:rPr>
          <w:rFonts w:asciiTheme="minorHAnsi" w:hAnsiTheme="minorHAnsi" w:cstheme="minorHAnsi"/>
          <w:color w:val="3E3D40"/>
          <w:sz w:val="22"/>
          <w:szCs w:val="22"/>
        </w:rPr>
        <w:t>Park, E. S., Kang, B. S., and Kim, J. S. (2008). Recovery of oils with high caloric value and low contaminant content by pyrolysis of digested and dried sewage sludge containing polymer flocculants. </w:t>
      </w:r>
      <w:r w:rsidRPr="006C06ED">
        <w:rPr>
          <w:rFonts w:asciiTheme="minorHAnsi" w:hAnsiTheme="minorHAnsi" w:cstheme="minorHAnsi"/>
          <w:i/>
          <w:iCs/>
          <w:color w:val="3E3D40"/>
          <w:sz w:val="22"/>
          <w:szCs w:val="22"/>
        </w:rPr>
        <w:t>Energy Fuels</w:t>
      </w:r>
      <w:r w:rsidRPr="006C06ED">
        <w:rPr>
          <w:rFonts w:asciiTheme="minorHAnsi" w:hAnsiTheme="minorHAnsi" w:cstheme="minorHAnsi"/>
          <w:color w:val="3E3D40"/>
          <w:sz w:val="22"/>
          <w:szCs w:val="22"/>
        </w:rPr>
        <w:t> 22, 1335–1340. doi: 10.1021/ef700586d</w:t>
      </w:r>
    </w:p>
    <w:p w14:paraId="12B6182A"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42" w:name="B32"/>
      <w:bookmarkEnd w:id="42"/>
      <w:r w:rsidRPr="006C06ED">
        <w:rPr>
          <w:rFonts w:asciiTheme="minorHAnsi" w:hAnsiTheme="minorHAnsi" w:cstheme="minorHAnsi"/>
          <w:color w:val="3E3D40"/>
          <w:sz w:val="22"/>
          <w:szCs w:val="22"/>
        </w:rPr>
        <w:t>Parry, D. L., Lewis, F. M., Vandenburgh, S., Haug, R. T., and Amador, J. (2012). Pyrolysis of dried biosolids for increased biogas production. </w:t>
      </w:r>
      <w:r w:rsidRPr="006C06ED">
        <w:rPr>
          <w:rFonts w:asciiTheme="minorHAnsi" w:hAnsiTheme="minorHAnsi" w:cstheme="minorHAnsi"/>
          <w:i/>
          <w:iCs/>
          <w:color w:val="3E3D40"/>
          <w:sz w:val="22"/>
          <w:szCs w:val="22"/>
        </w:rPr>
        <w:t>Proc. Water Environ. Fed.</w:t>
      </w:r>
      <w:r w:rsidRPr="006C06ED">
        <w:rPr>
          <w:rFonts w:asciiTheme="minorHAnsi" w:hAnsiTheme="minorHAnsi" w:cstheme="minorHAnsi"/>
          <w:color w:val="3E3D40"/>
          <w:sz w:val="22"/>
          <w:szCs w:val="22"/>
        </w:rPr>
        <w:t> 2012, 1128–1139. doi: 10.2175/193864712811693533</w:t>
      </w:r>
    </w:p>
    <w:p w14:paraId="4AC7A3BA"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43" w:name="B33"/>
      <w:bookmarkEnd w:id="43"/>
      <w:r w:rsidRPr="006C06ED">
        <w:rPr>
          <w:rFonts w:asciiTheme="minorHAnsi" w:hAnsiTheme="minorHAnsi" w:cstheme="minorHAnsi"/>
          <w:color w:val="3E3D40"/>
          <w:sz w:val="22"/>
          <w:szCs w:val="22"/>
        </w:rPr>
        <w:t>Rajagopal, R., Masse, D. I., and Singh, G. (2013). A critical review on inhibition of anaerobic digestion process by excess ammonia. </w:t>
      </w:r>
      <w:r w:rsidRPr="006C06ED">
        <w:rPr>
          <w:rFonts w:asciiTheme="minorHAnsi" w:hAnsiTheme="minorHAnsi" w:cstheme="minorHAnsi"/>
          <w:i/>
          <w:iCs/>
          <w:color w:val="3E3D40"/>
          <w:sz w:val="22"/>
          <w:szCs w:val="22"/>
        </w:rPr>
        <w:t>Bioresour. Technol.</w:t>
      </w:r>
      <w:r w:rsidRPr="006C06ED">
        <w:rPr>
          <w:rFonts w:asciiTheme="minorHAnsi" w:hAnsiTheme="minorHAnsi" w:cstheme="minorHAnsi"/>
          <w:color w:val="3E3D40"/>
          <w:sz w:val="22"/>
          <w:szCs w:val="22"/>
        </w:rPr>
        <w:t> 143, 632–641. doi: 10.1016/j.biortech.2013.06.030</w:t>
      </w:r>
    </w:p>
    <w:p w14:paraId="3DF7A0D9"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44" w:name="B34"/>
      <w:bookmarkEnd w:id="44"/>
      <w:r w:rsidRPr="006C06ED">
        <w:rPr>
          <w:rFonts w:asciiTheme="minorHAnsi" w:hAnsiTheme="minorHAnsi" w:cstheme="minorHAnsi"/>
          <w:color w:val="3E3D40"/>
          <w:sz w:val="22"/>
          <w:szCs w:val="22"/>
        </w:rPr>
        <w:t>Rosenkranz, F., Cabrol, L., Carballa, M., Donoso-Bravo, A., Cruz, L., Ruiz-Filippi, G., et al. (2013). Relationship between phenol degradation efficiency and microbial community structure in an anaerobic SBR. </w:t>
      </w:r>
      <w:r w:rsidRPr="006C06ED">
        <w:rPr>
          <w:rFonts w:asciiTheme="minorHAnsi" w:hAnsiTheme="minorHAnsi" w:cstheme="minorHAnsi"/>
          <w:i/>
          <w:iCs/>
          <w:color w:val="3E3D40"/>
          <w:sz w:val="22"/>
          <w:szCs w:val="22"/>
        </w:rPr>
        <w:t>Water Res.</w:t>
      </w:r>
      <w:r w:rsidRPr="006C06ED">
        <w:rPr>
          <w:rFonts w:asciiTheme="minorHAnsi" w:hAnsiTheme="minorHAnsi" w:cstheme="minorHAnsi"/>
          <w:color w:val="3E3D40"/>
          <w:sz w:val="22"/>
          <w:szCs w:val="22"/>
        </w:rPr>
        <w:t> 47, 6739–6749. doi: 10.1016/j.watres.2013.09.004</w:t>
      </w:r>
    </w:p>
    <w:p w14:paraId="0EB52313"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45" w:name="B35"/>
      <w:bookmarkEnd w:id="45"/>
      <w:r w:rsidRPr="006C06ED">
        <w:rPr>
          <w:rFonts w:asciiTheme="minorHAnsi" w:hAnsiTheme="minorHAnsi" w:cstheme="minorHAnsi"/>
          <w:color w:val="3E3D40"/>
          <w:sz w:val="22"/>
          <w:szCs w:val="22"/>
        </w:rPr>
        <w:t>Rover, M. R., Hall, P. H., Johnston, P. A., Smith, R. G., and Brown, R. C. (2015). Stabilization of bio-oils using low temperature, low pressure hydrogenation. </w:t>
      </w:r>
      <w:r w:rsidRPr="006C06ED">
        <w:rPr>
          <w:rFonts w:asciiTheme="minorHAnsi" w:hAnsiTheme="minorHAnsi" w:cstheme="minorHAnsi"/>
          <w:i/>
          <w:iCs/>
          <w:color w:val="3E3D40"/>
          <w:sz w:val="22"/>
          <w:szCs w:val="22"/>
        </w:rPr>
        <w:t>Fuel</w:t>
      </w:r>
      <w:r w:rsidRPr="006C06ED">
        <w:rPr>
          <w:rFonts w:asciiTheme="minorHAnsi" w:hAnsiTheme="minorHAnsi" w:cstheme="minorHAnsi"/>
          <w:color w:val="3E3D40"/>
          <w:sz w:val="22"/>
          <w:szCs w:val="22"/>
        </w:rPr>
        <w:t> 153, 224–230. doi: 10.1016/j.fuel.2015.02.054</w:t>
      </w:r>
    </w:p>
    <w:p w14:paraId="23002D42"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46" w:name="B36"/>
      <w:bookmarkEnd w:id="46"/>
      <w:r w:rsidRPr="006C06ED">
        <w:rPr>
          <w:rFonts w:asciiTheme="minorHAnsi" w:hAnsiTheme="minorHAnsi" w:cstheme="minorHAnsi"/>
          <w:color w:val="3E3D40"/>
          <w:sz w:val="22"/>
          <w:szCs w:val="22"/>
        </w:rPr>
        <w:t>Seyedi, S. (2018). </w:t>
      </w:r>
      <w:r w:rsidRPr="006C06ED">
        <w:rPr>
          <w:rFonts w:asciiTheme="minorHAnsi" w:hAnsiTheme="minorHAnsi" w:cstheme="minorHAnsi"/>
          <w:i/>
          <w:iCs/>
          <w:color w:val="3E3D40"/>
          <w:sz w:val="22"/>
          <w:szCs w:val="22"/>
        </w:rPr>
        <w:t>Anaerobic Co-digestion of Aqueous Liquid from Biosolids Pyrolysis</w:t>
      </w:r>
      <w:r w:rsidRPr="006C06ED">
        <w:rPr>
          <w:rFonts w:asciiTheme="minorHAnsi" w:hAnsiTheme="minorHAnsi" w:cstheme="minorHAnsi"/>
          <w:color w:val="3E3D40"/>
          <w:sz w:val="22"/>
          <w:szCs w:val="22"/>
        </w:rPr>
        <w:t>. Thesis. Marquette University.</w:t>
      </w:r>
    </w:p>
    <w:p w14:paraId="58D4F519"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47" w:name="B37"/>
      <w:bookmarkEnd w:id="47"/>
      <w:r w:rsidRPr="006C06ED">
        <w:rPr>
          <w:rFonts w:asciiTheme="minorHAnsi" w:hAnsiTheme="minorHAnsi" w:cstheme="minorHAnsi"/>
          <w:color w:val="3E3D40"/>
          <w:sz w:val="22"/>
          <w:szCs w:val="22"/>
        </w:rPr>
        <w:t>Speece, R. E. (1996). </w:t>
      </w:r>
      <w:r w:rsidRPr="006C06ED">
        <w:rPr>
          <w:rFonts w:asciiTheme="minorHAnsi" w:hAnsiTheme="minorHAnsi" w:cstheme="minorHAnsi"/>
          <w:i/>
          <w:iCs/>
          <w:color w:val="3E3D40"/>
          <w:sz w:val="22"/>
          <w:szCs w:val="22"/>
        </w:rPr>
        <w:t>Anaerobic Biotechnology for Industrial Wastewaters</w:t>
      </w:r>
      <w:r w:rsidRPr="006C06ED">
        <w:rPr>
          <w:rFonts w:asciiTheme="minorHAnsi" w:hAnsiTheme="minorHAnsi" w:cstheme="minorHAnsi"/>
          <w:color w:val="3E3D40"/>
          <w:sz w:val="22"/>
          <w:szCs w:val="22"/>
        </w:rPr>
        <w:t>. Nashville, TN: Archae Press, 416.</w:t>
      </w:r>
    </w:p>
    <w:p w14:paraId="2A24A12D"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48" w:name="B38"/>
      <w:bookmarkEnd w:id="48"/>
      <w:r w:rsidRPr="006C06ED">
        <w:rPr>
          <w:rFonts w:asciiTheme="minorHAnsi" w:hAnsiTheme="minorHAnsi" w:cstheme="minorHAnsi"/>
          <w:color w:val="3E3D40"/>
          <w:sz w:val="22"/>
          <w:szCs w:val="22"/>
        </w:rPr>
        <w:t>Speece, R. E. (2008). </w:t>
      </w:r>
      <w:r w:rsidRPr="006C06ED">
        <w:rPr>
          <w:rFonts w:asciiTheme="minorHAnsi" w:hAnsiTheme="minorHAnsi" w:cstheme="minorHAnsi"/>
          <w:i/>
          <w:iCs/>
          <w:color w:val="3E3D40"/>
          <w:sz w:val="22"/>
          <w:szCs w:val="22"/>
        </w:rPr>
        <w:t>Anaerobic Biotechnology and Odor/Corrosion Control for Municipalities and Industries</w:t>
      </w:r>
      <w:r w:rsidRPr="006C06ED">
        <w:rPr>
          <w:rFonts w:asciiTheme="minorHAnsi" w:hAnsiTheme="minorHAnsi" w:cstheme="minorHAnsi"/>
          <w:color w:val="3E3D40"/>
          <w:sz w:val="22"/>
          <w:szCs w:val="22"/>
        </w:rPr>
        <w:t>. Nashville, TN: Archae Press.</w:t>
      </w:r>
    </w:p>
    <w:p w14:paraId="16625227"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49" w:name="B39"/>
      <w:bookmarkEnd w:id="49"/>
      <w:r w:rsidRPr="006C06ED">
        <w:rPr>
          <w:rFonts w:asciiTheme="minorHAnsi" w:hAnsiTheme="minorHAnsi" w:cstheme="minorHAnsi"/>
          <w:color w:val="3E3D40"/>
          <w:sz w:val="22"/>
          <w:szCs w:val="22"/>
        </w:rPr>
        <w:t>Torri, C., and Fabbri, D. (2014). Biochar enables anaerobic digestion of aqueous phase from intermediate pyrolysis of biomass. </w:t>
      </w:r>
      <w:r w:rsidRPr="006C06ED">
        <w:rPr>
          <w:rFonts w:asciiTheme="minorHAnsi" w:hAnsiTheme="minorHAnsi" w:cstheme="minorHAnsi"/>
          <w:i/>
          <w:iCs/>
          <w:color w:val="3E3D40"/>
          <w:sz w:val="22"/>
          <w:szCs w:val="22"/>
        </w:rPr>
        <w:t>Bioresour. Technol.</w:t>
      </w:r>
      <w:r w:rsidRPr="006C06ED">
        <w:rPr>
          <w:rFonts w:asciiTheme="minorHAnsi" w:hAnsiTheme="minorHAnsi" w:cstheme="minorHAnsi"/>
          <w:color w:val="3E3D40"/>
          <w:sz w:val="22"/>
          <w:szCs w:val="22"/>
        </w:rPr>
        <w:t> 172, 335–341. doi: 10.1016/j.biortech.2014.09.021</w:t>
      </w:r>
    </w:p>
    <w:p w14:paraId="0A939D5B"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50" w:name="B40"/>
      <w:bookmarkEnd w:id="50"/>
      <w:r w:rsidRPr="006C06ED">
        <w:rPr>
          <w:rFonts w:asciiTheme="minorHAnsi" w:hAnsiTheme="minorHAnsi" w:cstheme="minorHAnsi"/>
          <w:color w:val="3E3D40"/>
          <w:sz w:val="22"/>
          <w:szCs w:val="22"/>
        </w:rPr>
        <w:t>Tsai, W. T., Lee, M. K., Chang, J. H., Su, T. Y., and Chang, Y. M. (2009). Characterization of bio-oil from induction-heating pyrolysis of food-processing sewage sludges using chromatographic analysis. </w:t>
      </w:r>
      <w:r w:rsidRPr="006C06ED">
        <w:rPr>
          <w:rFonts w:asciiTheme="minorHAnsi" w:hAnsiTheme="minorHAnsi" w:cstheme="minorHAnsi"/>
          <w:i/>
          <w:iCs/>
          <w:color w:val="3E3D40"/>
          <w:sz w:val="22"/>
          <w:szCs w:val="22"/>
        </w:rPr>
        <w:t>Bioresour. Technol.</w:t>
      </w:r>
      <w:r w:rsidRPr="006C06ED">
        <w:rPr>
          <w:rFonts w:asciiTheme="minorHAnsi" w:hAnsiTheme="minorHAnsi" w:cstheme="minorHAnsi"/>
          <w:color w:val="3E3D40"/>
          <w:sz w:val="22"/>
          <w:szCs w:val="22"/>
        </w:rPr>
        <w:t> 100, 2650–2654. doi: 10.1016/j.biortech.2008.11.023</w:t>
      </w:r>
    </w:p>
    <w:p w14:paraId="4A11C7C0"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51" w:name="B41"/>
      <w:bookmarkEnd w:id="51"/>
      <w:r w:rsidRPr="006C06ED">
        <w:rPr>
          <w:rFonts w:asciiTheme="minorHAnsi" w:hAnsiTheme="minorHAnsi" w:cstheme="minorHAnsi"/>
          <w:color w:val="3E3D40"/>
          <w:sz w:val="22"/>
          <w:szCs w:val="22"/>
        </w:rPr>
        <w:lastRenderedPageBreak/>
        <w:t>Xiu, S., and Shahbazi, A. (2012). Bio-oil production and upgrading research: a review. </w:t>
      </w:r>
      <w:r w:rsidRPr="006C06ED">
        <w:rPr>
          <w:rFonts w:asciiTheme="minorHAnsi" w:hAnsiTheme="minorHAnsi" w:cstheme="minorHAnsi"/>
          <w:i/>
          <w:iCs/>
          <w:color w:val="3E3D40"/>
          <w:sz w:val="22"/>
          <w:szCs w:val="22"/>
        </w:rPr>
        <w:t>Renew. Sustain. Energy Rev.</w:t>
      </w:r>
      <w:r w:rsidRPr="006C06ED">
        <w:rPr>
          <w:rFonts w:asciiTheme="minorHAnsi" w:hAnsiTheme="minorHAnsi" w:cstheme="minorHAnsi"/>
          <w:color w:val="3E3D40"/>
          <w:sz w:val="22"/>
          <w:szCs w:val="22"/>
        </w:rPr>
        <w:t> 16, 4406–4414. doi: 10.1016/j.rser.2012.04.028</w:t>
      </w:r>
    </w:p>
    <w:p w14:paraId="669741B7" w14:textId="77777777" w:rsidR="00AE0154" w:rsidRPr="006C06ED" w:rsidRDefault="00AE0154" w:rsidP="00577528">
      <w:pPr>
        <w:pStyle w:val="referencescopy1"/>
        <w:shd w:val="clear" w:color="auto" w:fill="FFFFFF"/>
        <w:spacing w:before="0" w:beforeAutospacing="0" w:after="0" w:afterAutospacing="0" w:line="276" w:lineRule="auto"/>
        <w:ind w:left="720" w:hanging="720"/>
        <w:rPr>
          <w:rFonts w:asciiTheme="minorHAnsi" w:hAnsiTheme="minorHAnsi" w:cstheme="minorHAnsi"/>
          <w:color w:val="3E3D40"/>
          <w:sz w:val="22"/>
          <w:szCs w:val="22"/>
        </w:rPr>
      </w:pPr>
      <w:bookmarkStart w:id="52" w:name="B42"/>
      <w:bookmarkEnd w:id="52"/>
      <w:r w:rsidRPr="006C06ED">
        <w:rPr>
          <w:rFonts w:asciiTheme="minorHAnsi" w:hAnsiTheme="minorHAnsi" w:cstheme="minorHAnsi"/>
          <w:color w:val="3E3D40"/>
          <w:sz w:val="22"/>
          <w:szCs w:val="22"/>
        </w:rPr>
        <w:t>Yenigün, O., and Demirel, B. (2013). Ammonia inhibition in anaerobic digestion: a review. </w:t>
      </w:r>
      <w:r w:rsidRPr="006C06ED">
        <w:rPr>
          <w:rFonts w:asciiTheme="minorHAnsi" w:hAnsiTheme="minorHAnsi" w:cstheme="minorHAnsi"/>
          <w:i/>
          <w:iCs/>
          <w:color w:val="3E3D40"/>
          <w:sz w:val="22"/>
          <w:szCs w:val="22"/>
        </w:rPr>
        <w:t>Process Biochem.</w:t>
      </w:r>
      <w:r w:rsidRPr="006C06ED">
        <w:rPr>
          <w:rFonts w:asciiTheme="minorHAnsi" w:hAnsiTheme="minorHAnsi" w:cstheme="minorHAnsi"/>
          <w:color w:val="3E3D40"/>
          <w:sz w:val="22"/>
          <w:szCs w:val="22"/>
        </w:rPr>
        <w:t> 48, 901–911. doi: 10.1016/j.procbio.2013.04.012</w:t>
      </w:r>
    </w:p>
    <w:p w14:paraId="4359E28D" w14:textId="3C2A501C" w:rsidR="00AE0154" w:rsidRPr="006C06ED" w:rsidRDefault="00AE0154" w:rsidP="00577528">
      <w:pPr>
        <w:pStyle w:val="referencescopy1"/>
        <w:shd w:val="clear" w:color="auto" w:fill="FFFFFF"/>
        <w:spacing w:before="0" w:beforeAutospacing="0" w:after="0" w:afterAutospacing="0" w:line="276" w:lineRule="auto"/>
        <w:ind w:left="720" w:hanging="720"/>
        <w:rPr>
          <w:rFonts w:cstheme="minorHAnsi"/>
          <w:sz w:val="22"/>
          <w:szCs w:val="22"/>
        </w:rPr>
      </w:pPr>
      <w:bookmarkStart w:id="53" w:name="B43"/>
      <w:bookmarkEnd w:id="53"/>
      <w:r w:rsidRPr="006C06ED">
        <w:rPr>
          <w:rFonts w:asciiTheme="minorHAnsi" w:hAnsiTheme="minorHAnsi" w:cstheme="minorHAnsi"/>
          <w:color w:val="3E3D40"/>
          <w:sz w:val="22"/>
          <w:szCs w:val="22"/>
        </w:rPr>
        <w:t>Zhang, S., Yan, Y., Li, T., and Ren, Z. (2005). Upgrading of liquid fuel from the pyrolysis of biomass. </w:t>
      </w:r>
      <w:r w:rsidRPr="006C06ED">
        <w:rPr>
          <w:rFonts w:asciiTheme="minorHAnsi" w:hAnsiTheme="minorHAnsi" w:cstheme="minorHAnsi"/>
          <w:i/>
          <w:iCs/>
          <w:color w:val="3E3D40"/>
          <w:sz w:val="22"/>
          <w:szCs w:val="22"/>
        </w:rPr>
        <w:t>Bioresour. Technol.</w:t>
      </w:r>
      <w:r w:rsidRPr="006C06ED">
        <w:rPr>
          <w:rFonts w:asciiTheme="minorHAnsi" w:hAnsiTheme="minorHAnsi" w:cstheme="minorHAnsi"/>
          <w:color w:val="3E3D40"/>
          <w:sz w:val="22"/>
          <w:szCs w:val="22"/>
        </w:rPr>
        <w:t> 96, 545–550. doi: 10.1016/j.biortech.2004.06.015</w:t>
      </w:r>
    </w:p>
    <w:sectPr w:rsidR="00AE0154" w:rsidRPr="006C06E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iSMpYwep2RHb05ughZnLCe6ykMwtGVcLuV03ksbzeeMJ72IaiiPPQFKgoHVmzLjAFlXK2dpwUnabdJikTAa8bQ==" w:salt="h01lSTNUJ1C6VPghf7Jzm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3EC5"/>
    <w:rsid w:val="00004B91"/>
    <w:rsid w:val="0000729D"/>
    <w:rsid w:val="0001072F"/>
    <w:rsid w:val="000132F6"/>
    <w:rsid w:val="00014F38"/>
    <w:rsid w:val="00017B22"/>
    <w:rsid w:val="000233C1"/>
    <w:rsid w:val="00024048"/>
    <w:rsid w:val="00026BC7"/>
    <w:rsid w:val="0003036D"/>
    <w:rsid w:val="00034205"/>
    <w:rsid w:val="00035704"/>
    <w:rsid w:val="00041C27"/>
    <w:rsid w:val="000423B6"/>
    <w:rsid w:val="000437DE"/>
    <w:rsid w:val="00043C8E"/>
    <w:rsid w:val="00044EBA"/>
    <w:rsid w:val="0004637E"/>
    <w:rsid w:val="0004717F"/>
    <w:rsid w:val="000525F1"/>
    <w:rsid w:val="0005413F"/>
    <w:rsid w:val="0005646D"/>
    <w:rsid w:val="000569F9"/>
    <w:rsid w:val="00057D20"/>
    <w:rsid w:val="000606A8"/>
    <w:rsid w:val="00061102"/>
    <w:rsid w:val="00064ECB"/>
    <w:rsid w:val="00070FE5"/>
    <w:rsid w:val="00071537"/>
    <w:rsid w:val="00072612"/>
    <w:rsid w:val="000735D6"/>
    <w:rsid w:val="00074B64"/>
    <w:rsid w:val="000769FD"/>
    <w:rsid w:val="00077000"/>
    <w:rsid w:val="000770E8"/>
    <w:rsid w:val="00082637"/>
    <w:rsid w:val="00083102"/>
    <w:rsid w:val="000846CC"/>
    <w:rsid w:val="00085797"/>
    <w:rsid w:val="00087367"/>
    <w:rsid w:val="0009064A"/>
    <w:rsid w:val="00091815"/>
    <w:rsid w:val="00092DFF"/>
    <w:rsid w:val="00093C1A"/>
    <w:rsid w:val="00097FBC"/>
    <w:rsid w:val="000A0975"/>
    <w:rsid w:val="000A266C"/>
    <w:rsid w:val="000A45D4"/>
    <w:rsid w:val="000A56C1"/>
    <w:rsid w:val="000A7622"/>
    <w:rsid w:val="000A7F84"/>
    <w:rsid w:val="000B1EEB"/>
    <w:rsid w:val="000B22D3"/>
    <w:rsid w:val="000B2768"/>
    <w:rsid w:val="000B3286"/>
    <w:rsid w:val="000B3464"/>
    <w:rsid w:val="000B389E"/>
    <w:rsid w:val="000B501D"/>
    <w:rsid w:val="000B5170"/>
    <w:rsid w:val="000C0E5B"/>
    <w:rsid w:val="000C3BAF"/>
    <w:rsid w:val="000C683A"/>
    <w:rsid w:val="000C6BA7"/>
    <w:rsid w:val="000C6E04"/>
    <w:rsid w:val="000D3573"/>
    <w:rsid w:val="000D3993"/>
    <w:rsid w:val="000D3EF4"/>
    <w:rsid w:val="000D4F0B"/>
    <w:rsid w:val="000D6BF2"/>
    <w:rsid w:val="000E4EA1"/>
    <w:rsid w:val="000E69EF"/>
    <w:rsid w:val="000E7C46"/>
    <w:rsid w:val="000F0449"/>
    <w:rsid w:val="000F08DA"/>
    <w:rsid w:val="000F14F0"/>
    <w:rsid w:val="000F1D5E"/>
    <w:rsid w:val="000F33D0"/>
    <w:rsid w:val="00101A98"/>
    <w:rsid w:val="00101C31"/>
    <w:rsid w:val="00104CE6"/>
    <w:rsid w:val="00107EA8"/>
    <w:rsid w:val="00107F11"/>
    <w:rsid w:val="00114114"/>
    <w:rsid w:val="00115963"/>
    <w:rsid w:val="00117F89"/>
    <w:rsid w:val="00120313"/>
    <w:rsid w:val="00121EDB"/>
    <w:rsid w:val="001222F8"/>
    <w:rsid w:val="001233A5"/>
    <w:rsid w:val="00123BC0"/>
    <w:rsid w:val="00123E80"/>
    <w:rsid w:val="00131A15"/>
    <w:rsid w:val="00131C28"/>
    <w:rsid w:val="001321FA"/>
    <w:rsid w:val="00134CF7"/>
    <w:rsid w:val="0014182B"/>
    <w:rsid w:val="0014490B"/>
    <w:rsid w:val="00145D9E"/>
    <w:rsid w:val="00146A5C"/>
    <w:rsid w:val="00146E50"/>
    <w:rsid w:val="00147E57"/>
    <w:rsid w:val="00150DB6"/>
    <w:rsid w:val="00154D34"/>
    <w:rsid w:val="00160E1F"/>
    <w:rsid w:val="00161372"/>
    <w:rsid w:val="001622DB"/>
    <w:rsid w:val="00162796"/>
    <w:rsid w:val="00163F71"/>
    <w:rsid w:val="00173556"/>
    <w:rsid w:val="00177079"/>
    <w:rsid w:val="0018114F"/>
    <w:rsid w:val="00181ADF"/>
    <w:rsid w:val="00183A38"/>
    <w:rsid w:val="001854EA"/>
    <w:rsid w:val="001856A3"/>
    <w:rsid w:val="00185C26"/>
    <w:rsid w:val="001871AE"/>
    <w:rsid w:val="00187A27"/>
    <w:rsid w:val="00196C7C"/>
    <w:rsid w:val="001A1C71"/>
    <w:rsid w:val="001A1DF4"/>
    <w:rsid w:val="001A34C4"/>
    <w:rsid w:val="001B49E9"/>
    <w:rsid w:val="001B6E76"/>
    <w:rsid w:val="001C3A3F"/>
    <w:rsid w:val="001C595C"/>
    <w:rsid w:val="001D1087"/>
    <w:rsid w:val="001D2448"/>
    <w:rsid w:val="001D3ADE"/>
    <w:rsid w:val="001D58D3"/>
    <w:rsid w:val="001D776C"/>
    <w:rsid w:val="001D7BCC"/>
    <w:rsid w:val="001E18FE"/>
    <w:rsid w:val="001E2555"/>
    <w:rsid w:val="001F36A1"/>
    <w:rsid w:val="001F70BC"/>
    <w:rsid w:val="001F7FBE"/>
    <w:rsid w:val="002016B1"/>
    <w:rsid w:val="00201875"/>
    <w:rsid w:val="00201AFD"/>
    <w:rsid w:val="00201FDC"/>
    <w:rsid w:val="002022D8"/>
    <w:rsid w:val="00206486"/>
    <w:rsid w:val="00206CC8"/>
    <w:rsid w:val="00211422"/>
    <w:rsid w:val="00212109"/>
    <w:rsid w:val="00215CC7"/>
    <w:rsid w:val="00224240"/>
    <w:rsid w:val="00226FA2"/>
    <w:rsid w:val="00227EFA"/>
    <w:rsid w:val="0024134B"/>
    <w:rsid w:val="00242879"/>
    <w:rsid w:val="00250496"/>
    <w:rsid w:val="00251132"/>
    <w:rsid w:val="002535DF"/>
    <w:rsid w:val="002558EB"/>
    <w:rsid w:val="00255B43"/>
    <w:rsid w:val="00255BDC"/>
    <w:rsid w:val="00255BEA"/>
    <w:rsid w:val="00261403"/>
    <w:rsid w:val="00261547"/>
    <w:rsid w:val="00261F59"/>
    <w:rsid w:val="00272AF4"/>
    <w:rsid w:val="00276C06"/>
    <w:rsid w:val="00277F72"/>
    <w:rsid w:val="00280198"/>
    <w:rsid w:val="00282094"/>
    <w:rsid w:val="002843BC"/>
    <w:rsid w:val="00284A84"/>
    <w:rsid w:val="00287126"/>
    <w:rsid w:val="00287783"/>
    <w:rsid w:val="0029129F"/>
    <w:rsid w:val="002912BC"/>
    <w:rsid w:val="00296B90"/>
    <w:rsid w:val="00297296"/>
    <w:rsid w:val="00297BE0"/>
    <w:rsid w:val="002A0668"/>
    <w:rsid w:val="002A607F"/>
    <w:rsid w:val="002A6B8B"/>
    <w:rsid w:val="002A7FBB"/>
    <w:rsid w:val="002B1ED8"/>
    <w:rsid w:val="002B45EC"/>
    <w:rsid w:val="002B62C6"/>
    <w:rsid w:val="002B7885"/>
    <w:rsid w:val="002C15E0"/>
    <w:rsid w:val="002C17A7"/>
    <w:rsid w:val="002C2B6F"/>
    <w:rsid w:val="002C2DA5"/>
    <w:rsid w:val="002C4714"/>
    <w:rsid w:val="002C6160"/>
    <w:rsid w:val="002C65B8"/>
    <w:rsid w:val="002D02F2"/>
    <w:rsid w:val="002D28EA"/>
    <w:rsid w:val="002D51BB"/>
    <w:rsid w:val="002D5BAE"/>
    <w:rsid w:val="002D5DDC"/>
    <w:rsid w:val="002D6AA3"/>
    <w:rsid w:val="002E5C33"/>
    <w:rsid w:val="002E5D29"/>
    <w:rsid w:val="002E6A97"/>
    <w:rsid w:val="00300BAE"/>
    <w:rsid w:val="00300EE4"/>
    <w:rsid w:val="0030197F"/>
    <w:rsid w:val="0030223E"/>
    <w:rsid w:val="00303A1E"/>
    <w:rsid w:val="00303BBD"/>
    <w:rsid w:val="00303F07"/>
    <w:rsid w:val="00313440"/>
    <w:rsid w:val="00314FCD"/>
    <w:rsid w:val="00324290"/>
    <w:rsid w:val="003263CF"/>
    <w:rsid w:val="0032732F"/>
    <w:rsid w:val="00331737"/>
    <w:rsid w:val="0033243D"/>
    <w:rsid w:val="00335CCB"/>
    <w:rsid w:val="0033652E"/>
    <w:rsid w:val="00340617"/>
    <w:rsid w:val="00340B13"/>
    <w:rsid w:val="00340CDB"/>
    <w:rsid w:val="0034143D"/>
    <w:rsid w:val="003427C6"/>
    <w:rsid w:val="00343472"/>
    <w:rsid w:val="00343874"/>
    <w:rsid w:val="003455AA"/>
    <w:rsid w:val="00347634"/>
    <w:rsid w:val="00351E90"/>
    <w:rsid w:val="0035245B"/>
    <w:rsid w:val="00360206"/>
    <w:rsid w:val="003624EE"/>
    <w:rsid w:val="003632E1"/>
    <w:rsid w:val="00363CD3"/>
    <w:rsid w:val="003656A9"/>
    <w:rsid w:val="003667C4"/>
    <w:rsid w:val="00366852"/>
    <w:rsid w:val="003706EF"/>
    <w:rsid w:val="00370BE4"/>
    <w:rsid w:val="00371D56"/>
    <w:rsid w:val="0037755D"/>
    <w:rsid w:val="00381318"/>
    <w:rsid w:val="00381F0E"/>
    <w:rsid w:val="0038549B"/>
    <w:rsid w:val="0038628A"/>
    <w:rsid w:val="0038634F"/>
    <w:rsid w:val="00391C48"/>
    <w:rsid w:val="00392769"/>
    <w:rsid w:val="00394337"/>
    <w:rsid w:val="003A437A"/>
    <w:rsid w:val="003A503E"/>
    <w:rsid w:val="003A6039"/>
    <w:rsid w:val="003B47FA"/>
    <w:rsid w:val="003B6208"/>
    <w:rsid w:val="003B7F8F"/>
    <w:rsid w:val="003C4172"/>
    <w:rsid w:val="003C437D"/>
    <w:rsid w:val="003C4456"/>
    <w:rsid w:val="003D3301"/>
    <w:rsid w:val="003D4641"/>
    <w:rsid w:val="003D4DC1"/>
    <w:rsid w:val="003E05B7"/>
    <w:rsid w:val="003E0C0A"/>
    <w:rsid w:val="003E6CFF"/>
    <w:rsid w:val="003F3401"/>
    <w:rsid w:val="00400198"/>
    <w:rsid w:val="004010E3"/>
    <w:rsid w:val="004055B8"/>
    <w:rsid w:val="0040709D"/>
    <w:rsid w:val="004100CD"/>
    <w:rsid w:val="00410546"/>
    <w:rsid w:val="004122F9"/>
    <w:rsid w:val="004124D3"/>
    <w:rsid w:val="004139BA"/>
    <w:rsid w:val="00417403"/>
    <w:rsid w:val="00421CBC"/>
    <w:rsid w:val="00421E5E"/>
    <w:rsid w:val="00424067"/>
    <w:rsid w:val="0043008C"/>
    <w:rsid w:val="00430B91"/>
    <w:rsid w:val="00435232"/>
    <w:rsid w:val="004374EF"/>
    <w:rsid w:val="00440F61"/>
    <w:rsid w:val="004441CB"/>
    <w:rsid w:val="00446B3D"/>
    <w:rsid w:val="00450DB8"/>
    <w:rsid w:val="00453D2C"/>
    <w:rsid w:val="00454851"/>
    <w:rsid w:val="00456070"/>
    <w:rsid w:val="00456B26"/>
    <w:rsid w:val="00456E3D"/>
    <w:rsid w:val="004570E7"/>
    <w:rsid w:val="00460A1D"/>
    <w:rsid w:val="00460F16"/>
    <w:rsid w:val="004613DF"/>
    <w:rsid w:val="00461BB2"/>
    <w:rsid w:val="00461BFA"/>
    <w:rsid w:val="00463F96"/>
    <w:rsid w:val="004660BE"/>
    <w:rsid w:val="0046696C"/>
    <w:rsid w:val="00466DD7"/>
    <w:rsid w:val="00471F7D"/>
    <w:rsid w:val="00473B19"/>
    <w:rsid w:val="00474CB3"/>
    <w:rsid w:val="00474ECD"/>
    <w:rsid w:val="004757B5"/>
    <w:rsid w:val="00481057"/>
    <w:rsid w:val="004816ED"/>
    <w:rsid w:val="004834F0"/>
    <w:rsid w:val="00487185"/>
    <w:rsid w:val="004873AE"/>
    <w:rsid w:val="004876F6"/>
    <w:rsid w:val="00487718"/>
    <w:rsid w:val="00490ABE"/>
    <w:rsid w:val="004932A8"/>
    <w:rsid w:val="004958D2"/>
    <w:rsid w:val="00497E47"/>
    <w:rsid w:val="004A0368"/>
    <w:rsid w:val="004A2715"/>
    <w:rsid w:val="004A2894"/>
    <w:rsid w:val="004A2B41"/>
    <w:rsid w:val="004A3B3E"/>
    <w:rsid w:val="004B1048"/>
    <w:rsid w:val="004B2226"/>
    <w:rsid w:val="004B46CD"/>
    <w:rsid w:val="004B5487"/>
    <w:rsid w:val="004B6BED"/>
    <w:rsid w:val="004B77C2"/>
    <w:rsid w:val="004C0B3D"/>
    <w:rsid w:val="004C2D7B"/>
    <w:rsid w:val="004C45D2"/>
    <w:rsid w:val="004C4E18"/>
    <w:rsid w:val="004C5EEF"/>
    <w:rsid w:val="004D118A"/>
    <w:rsid w:val="004D1CB9"/>
    <w:rsid w:val="004D21C9"/>
    <w:rsid w:val="004D277A"/>
    <w:rsid w:val="004D6A23"/>
    <w:rsid w:val="004E264A"/>
    <w:rsid w:val="004E34F8"/>
    <w:rsid w:val="004E3C84"/>
    <w:rsid w:val="004E528B"/>
    <w:rsid w:val="004F141E"/>
    <w:rsid w:val="004F146C"/>
    <w:rsid w:val="004F1F3C"/>
    <w:rsid w:val="0050408D"/>
    <w:rsid w:val="00504C6A"/>
    <w:rsid w:val="00510139"/>
    <w:rsid w:val="00510364"/>
    <w:rsid w:val="005116C9"/>
    <w:rsid w:val="00511BEE"/>
    <w:rsid w:val="00512159"/>
    <w:rsid w:val="00514CF3"/>
    <w:rsid w:val="005175E9"/>
    <w:rsid w:val="00520368"/>
    <w:rsid w:val="00521B7D"/>
    <w:rsid w:val="0052464F"/>
    <w:rsid w:val="0052658A"/>
    <w:rsid w:val="005301A7"/>
    <w:rsid w:val="00533270"/>
    <w:rsid w:val="00535717"/>
    <w:rsid w:val="00537BA5"/>
    <w:rsid w:val="00540146"/>
    <w:rsid w:val="00543C22"/>
    <w:rsid w:val="0054405B"/>
    <w:rsid w:val="005443B3"/>
    <w:rsid w:val="0054567F"/>
    <w:rsid w:val="00546B44"/>
    <w:rsid w:val="005514D3"/>
    <w:rsid w:val="00553291"/>
    <w:rsid w:val="005546FF"/>
    <w:rsid w:val="00556B72"/>
    <w:rsid w:val="005605E4"/>
    <w:rsid w:val="00563164"/>
    <w:rsid w:val="00563D7B"/>
    <w:rsid w:val="00563E3B"/>
    <w:rsid w:val="005643C8"/>
    <w:rsid w:val="00566DF8"/>
    <w:rsid w:val="005673D1"/>
    <w:rsid w:val="00570F38"/>
    <w:rsid w:val="00573955"/>
    <w:rsid w:val="00577528"/>
    <w:rsid w:val="00580E33"/>
    <w:rsid w:val="00583225"/>
    <w:rsid w:val="00586F9F"/>
    <w:rsid w:val="0058724D"/>
    <w:rsid w:val="00596593"/>
    <w:rsid w:val="00596A35"/>
    <w:rsid w:val="005979CD"/>
    <w:rsid w:val="005A12F0"/>
    <w:rsid w:val="005A322F"/>
    <w:rsid w:val="005A5291"/>
    <w:rsid w:val="005A6FD1"/>
    <w:rsid w:val="005B08F1"/>
    <w:rsid w:val="005B47BC"/>
    <w:rsid w:val="005C00EC"/>
    <w:rsid w:val="005C0A6B"/>
    <w:rsid w:val="005C15C9"/>
    <w:rsid w:val="005C2B60"/>
    <w:rsid w:val="005C30E9"/>
    <w:rsid w:val="005C663B"/>
    <w:rsid w:val="005D1C38"/>
    <w:rsid w:val="005D1ED6"/>
    <w:rsid w:val="005D55BE"/>
    <w:rsid w:val="005D767A"/>
    <w:rsid w:val="005E2628"/>
    <w:rsid w:val="005E5F66"/>
    <w:rsid w:val="005E7355"/>
    <w:rsid w:val="005F46EC"/>
    <w:rsid w:val="005F49C9"/>
    <w:rsid w:val="005F71CE"/>
    <w:rsid w:val="005F7A68"/>
    <w:rsid w:val="00601980"/>
    <w:rsid w:val="0060332C"/>
    <w:rsid w:val="00604C5A"/>
    <w:rsid w:val="00607F1D"/>
    <w:rsid w:val="006114B2"/>
    <w:rsid w:val="00612DE8"/>
    <w:rsid w:val="00615712"/>
    <w:rsid w:val="00615A83"/>
    <w:rsid w:val="006177F5"/>
    <w:rsid w:val="00620EA0"/>
    <w:rsid w:val="00623E47"/>
    <w:rsid w:val="00624AE8"/>
    <w:rsid w:val="00624CD2"/>
    <w:rsid w:val="0062795C"/>
    <w:rsid w:val="00631A06"/>
    <w:rsid w:val="00631DB2"/>
    <w:rsid w:val="00633D28"/>
    <w:rsid w:val="00633F1B"/>
    <w:rsid w:val="00634D07"/>
    <w:rsid w:val="00635799"/>
    <w:rsid w:val="00636A77"/>
    <w:rsid w:val="0064051B"/>
    <w:rsid w:val="00644867"/>
    <w:rsid w:val="00645D2C"/>
    <w:rsid w:val="0065028F"/>
    <w:rsid w:val="00650724"/>
    <w:rsid w:val="006517B5"/>
    <w:rsid w:val="00652076"/>
    <w:rsid w:val="00653DA3"/>
    <w:rsid w:val="006544B7"/>
    <w:rsid w:val="00654D37"/>
    <w:rsid w:val="0065600E"/>
    <w:rsid w:val="006621F0"/>
    <w:rsid w:val="006647E7"/>
    <w:rsid w:val="00666FD4"/>
    <w:rsid w:val="00667217"/>
    <w:rsid w:val="006702C6"/>
    <w:rsid w:val="006769E6"/>
    <w:rsid w:val="00676C63"/>
    <w:rsid w:val="00682333"/>
    <w:rsid w:val="0068295C"/>
    <w:rsid w:val="006844CA"/>
    <w:rsid w:val="006871E0"/>
    <w:rsid w:val="00693B53"/>
    <w:rsid w:val="00693B63"/>
    <w:rsid w:val="00696716"/>
    <w:rsid w:val="00697377"/>
    <w:rsid w:val="006A1F61"/>
    <w:rsid w:val="006A533C"/>
    <w:rsid w:val="006A5E52"/>
    <w:rsid w:val="006A712D"/>
    <w:rsid w:val="006A7B71"/>
    <w:rsid w:val="006B20FD"/>
    <w:rsid w:val="006B3411"/>
    <w:rsid w:val="006B3B2B"/>
    <w:rsid w:val="006C024E"/>
    <w:rsid w:val="006C06ED"/>
    <w:rsid w:val="006C2FC3"/>
    <w:rsid w:val="006C7ED1"/>
    <w:rsid w:val="006D75E1"/>
    <w:rsid w:val="006D7670"/>
    <w:rsid w:val="006E10F4"/>
    <w:rsid w:val="006E10FD"/>
    <w:rsid w:val="006E2996"/>
    <w:rsid w:val="006E2EEC"/>
    <w:rsid w:val="006E471E"/>
    <w:rsid w:val="006E4859"/>
    <w:rsid w:val="006F1ACC"/>
    <w:rsid w:val="006F24E3"/>
    <w:rsid w:val="006F6103"/>
    <w:rsid w:val="007065D3"/>
    <w:rsid w:val="007071B1"/>
    <w:rsid w:val="00707EC1"/>
    <w:rsid w:val="00710582"/>
    <w:rsid w:val="00714EE9"/>
    <w:rsid w:val="007242BA"/>
    <w:rsid w:val="007246B0"/>
    <w:rsid w:val="007258CB"/>
    <w:rsid w:val="00726B41"/>
    <w:rsid w:val="00730E29"/>
    <w:rsid w:val="00732FF6"/>
    <w:rsid w:val="00735393"/>
    <w:rsid w:val="00737C1B"/>
    <w:rsid w:val="007426A7"/>
    <w:rsid w:val="00744CAF"/>
    <w:rsid w:val="00745E32"/>
    <w:rsid w:val="007466F7"/>
    <w:rsid w:val="00746FB9"/>
    <w:rsid w:val="00751933"/>
    <w:rsid w:val="0075283E"/>
    <w:rsid w:val="00757D89"/>
    <w:rsid w:val="0076194B"/>
    <w:rsid w:val="00763676"/>
    <w:rsid w:val="00772776"/>
    <w:rsid w:val="00776E56"/>
    <w:rsid w:val="00781619"/>
    <w:rsid w:val="00782EF2"/>
    <w:rsid w:val="0079146B"/>
    <w:rsid w:val="00791DD5"/>
    <w:rsid w:val="0079331B"/>
    <w:rsid w:val="007962DA"/>
    <w:rsid w:val="00796875"/>
    <w:rsid w:val="0079756E"/>
    <w:rsid w:val="007A1233"/>
    <w:rsid w:val="007A258F"/>
    <w:rsid w:val="007A323D"/>
    <w:rsid w:val="007A3B3A"/>
    <w:rsid w:val="007A4577"/>
    <w:rsid w:val="007B0BBA"/>
    <w:rsid w:val="007B2AD3"/>
    <w:rsid w:val="007C16F7"/>
    <w:rsid w:val="007D25DB"/>
    <w:rsid w:val="007D51E8"/>
    <w:rsid w:val="007D655B"/>
    <w:rsid w:val="007D762B"/>
    <w:rsid w:val="007D7C64"/>
    <w:rsid w:val="007E1A27"/>
    <w:rsid w:val="007E2E07"/>
    <w:rsid w:val="007E491C"/>
    <w:rsid w:val="007E53E2"/>
    <w:rsid w:val="007E604C"/>
    <w:rsid w:val="007E642F"/>
    <w:rsid w:val="007E714E"/>
    <w:rsid w:val="007F0413"/>
    <w:rsid w:val="007F12C0"/>
    <w:rsid w:val="007F22F2"/>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03ED"/>
    <w:rsid w:val="008322E3"/>
    <w:rsid w:val="00834DF7"/>
    <w:rsid w:val="00836F01"/>
    <w:rsid w:val="008406F5"/>
    <w:rsid w:val="00841F1E"/>
    <w:rsid w:val="00842203"/>
    <w:rsid w:val="00845B27"/>
    <w:rsid w:val="00850E3E"/>
    <w:rsid w:val="00851D8C"/>
    <w:rsid w:val="008524E2"/>
    <w:rsid w:val="00864432"/>
    <w:rsid w:val="008649A3"/>
    <w:rsid w:val="0086670A"/>
    <w:rsid w:val="00870BA1"/>
    <w:rsid w:val="00871C0B"/>
    <w:rsid w:val="00873CDE"/>
    <w:rsid w:val="00874421"/>
    <w:rsid w:val="00875997"/>
    <w:rsid w:val="00876FB3"/>
    <w:rsid w:val="0087796C"/>
    <w:rsid w:val="00880932"/>
    <w:rsid w:val="008818C9"/>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41EB"/>
    <w:rsid w:val="008D719A"/>
    <w:rsid w:val="008E26DA"/>
    <w:rsid w:val="008F0401"/>
    <w:rsid w:val="008F04C1"/>
    <w:rsid w:val="008F2457"/>
    <w:rsid w:val="008F252A"/>
    <w:rsid w:val="008F6AFD"/>
    <w:rsid w:val="008F7645"/>
    <w:rsid w:val="0090248F"/>
    <w:rsid w:val="00902F25"/>
    <w:rsid w:val="0090407E"/>
    <w:rsid w:val="0090479B"/>
    <w:rsid w:val="00905334"/>
    <w:rsid w:val="00907ABB"/>
    <w:rsid w:val="00911307"/>
    <w:rsid w:val="00915110"/>
    <w:rsid w:val="009151B5"/>
    <w:rsid w:val="0091536D"/>
    <w:rsid w:val="00915553"/>
    <w:rsid w:val="00915E03"/>
    <w:rsid w:val="00916ADA"/>
    <w:rsid w:val="00916C64"/>
    <w:rsid w:val="00925107"/>
    <w:rsid w:val="00925421"/>
    <w:rsid w:val="009267EE"/>
    <w:rsid w:val="00927998"/>
    <w:rsid w:val="0093091A"/>
    <w:rsid w:val="00932185"/>
    <w:rsid w:val="009346E4"/>
    <w:rsid w:val="00935F23"/>
    <w:rsid w:val="009372D8"/>
    <w:rsid w:val="00937D12"/>
    <w:rsid w:val="00940ED2"/>
    <w:rsid w:val="00946997"/>
    <w:rsid w:val="0094737A"/>
    <w:rsid w:val="00950094"/>
    <w:rsid w:val="00950CC0"/>
    <w:rsid w:val="0095139E"/>
    <w:rsid w:val="00951536"/>
    <w:rsid w:val="00952239"/>
    <w:rsid w:val="0095271E"/>
    <w:rsid w:val="00952B32"/>
    <w:rsid w:val="00952C61"/>
    <w:rsid w:val="00954B3E"/>
    <w:rsid w:val="009554A6"/>
    <w:rsid w:val="00956FEB"/>
    <w:rsid w:val="009650D5"/>
    <w:rsid w:val="0096535F"/>
    <w:rsid w:val="00965F35"/>
    <w:rsid w:val="00966500"/>
    <w:rsid w:val="009679C3"/>
    <w:rsid w:val="009729A3"/>
    <w:rsid w:val="009732A9"/>
    <w:rsid w:val="00977F1D"/>
    <w:rsid w:val="00982217"/>
    <w:rsid w:val="00984B39"/>
    <w:rsid w:val="00986A83"/>
    <w:rsid w:val="00990645"/>
    <w:rsid w:val="00991068"/>
    <w:rsid w:val="009A130B"/>
    <w:rsid w:val="009A2639"/>
    <w:rsid w:val="009A397F"/>
    <w:rsid w:val="009A3CB9"/>
    <w:rsid w:val="009A6B20"/>
    <w:rsid w:val="009B41D4"/>
    <w:rsid w:val="009B4F83"/>
    <w:rsid w:val="009B6983"/>
    <w:rsid w:val="009B7220"/>
    <w:rsid w:val="009C5450"/>
    <w:rsid w:val="009C5716"/>
    <w:rsid w:val="009D316A"/>
    <w:rsid w:val="009D3527"/>
    <w:rsid w:val="009D4B9E"/>
    <w:rsid w:val="009D5368"/>
    <w:rsid w:val="009D54DF"/>
    <w:rsid w:val="009E36A9"/>
    <w:rsid w:val="009E489B"/>
    <w:rsid w:val="009E56AC"/>
    <w:rsid w:val="009E56AF"/>
    <w:rsid w:val="009E678D"/>
    <w:rsid w:val="009F28E2"/>
    <w:rsid w:val="009F349C"/>
    <w:rsid w:val="009F4BDF"/>
    <w:rsid w:val="009F5F60"/>
    <w:rsid w:val="009F60BA"/>
    <w:rsid w:val="009F7F44"/>
    <w:rsid w:val="00A01B8D"/>
    <w:rsid w:val="00A034AE"/>
    <w:rsid w:val="00A035F5"/>
    <w:rsid w:val="00A11F34"/>
    <w:rsid w:val="00A1350A"/>
    <w:rsid w:val="00A13BC7"/>
    <w:rsid w:val="00A20512"/>
    <w:rsid w:val="00A231A4"/>
    <w:rsid w:val="00A30636"/>
    <w:rsid w:val="00A310DA"/>
    <w:rsid w:val="00A31CF8"/>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4A90"/>
    <w:rsid w:val="00A650B2"/>
    <w:rsid w:val="00A66B2B"/>
    <w:rsid w:val="00A7290A"/>
    <w:rsid w:val="00A75006"/>
    <w:rsid w:val="00A81E28"/>
    <w:rsid w:val="00A82932"/>
    <w:rsid w:val="00A82D07"/>
    <w:rsid w:val="00A868FB"/>
    <w:rsid w:val="00A879F4"/>
    <w:rsid w:val="00A915ED"/>
    <w:rsid w:val="00A91CF2"/>
    <w:rsid w:val="00A93BA4"/>
    <w:rsid w:val="00A9416E"/>
    <w:rsid w:val="00AA493D"/>
    <w:rsid w:val="00AB1323"/>
    <w:rsid w:val="00AB4807"/>
    <w:rsid w:val="00AB4813"/>
    <w:rsid w:val="00AB50FD"/>
    <w:rsid w:val="00AC0052"/>
    <w:rsid w:val="00AC04D6"/>
    <w:rsid w:val="00AD0685"/>
    <w:rsid w:val="00AD38C1"/>
    <w:rsid w:val="00AD5A78"/>
    <w:rsid w:val="00AE0154"/>
    <w:rsid w:val="00AE1517"/>
    <w:rsid w:val="00AE4078"/>
    <w:rsid w:val="00AE4230"/>
    <w:rsid w:val="00AE69D7"/>
    <w:rsid w:val="00AE71AA"/>
    <w:rsid w:val="00AF1374"/>
    <w:rsid w:val="00AF1DFB"/>
    <w:rsid w:val="00AF1E8A"/>
    <w:rsid w:val="00AF2DE8"/>
    <w:rsid w:val="00AF3654"/>
    <w:rsid w:val="00AF4BE1"/>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539E"/>
    <w:rsid w:val="00B47D09"/>
    <w:rsid w:val="00B50108"/>
    <w:rsid w:val="00B525D3"/>
    <w:rsid w:val="00B551CE"/>
    <w:rsid w:val="00B55B5C"/>
    <w:rsid w:val="00B56290"/>
    <w:rsid w:val="00B60932"/>
    <w:rsid w:val="00B61B54"/>
    <w:rsid w:val="00B61B66"/>
    <w:rsid w:val="00B6351D"/>
    <w:rsid w:val="00B635E1"/>
    <w:rsid w:val="00B64203"/>
    <w:rsid w:val="00B6519E"/>
    <w:rsid w:val="00B66AF1"/>
    <w:rsid w:val="00B70245"/>
    <w:rsid w:val="00B703C2"/>
    <w:rsid w:val="00B74E41"/>
    <w:rsid w:val="00B7740D"/>
    <w:rsid w:val="00B8190A"/>
    <w:rsid w:val="00B82F58"/>
    <w:rsid w:val="00B83047"/>
    <w:rsid w:val="00B839A9"/>
    <w:rsid w:val="00B84323"/>
    <w:rsid w:val="00B84C63"/>
    <w:rsid w:val="00B86814"/>
    <w:rsid w:val="00B910CB"/>
    <w:rsid w:val="00B91743"/>
    <w:rsid w:val="00B91D38"/>
    <w:rsid w:val="00B927D2"/>
    <w:rsid w:val="00B935A4"/>
    <w:rsid w:val="00B945E5"/>
    <w:rsid w:val="00B9636B"/>
    <w:rsid w:val="00B974AD"/>
    <w:rsid w:val="00BA117C"/>
    <w:rsid w:val="00BA22C6"/>
    <w:rsid w:val="00BA316D"/>
    <w:rsid w:val="00BA5FEF"/>
    <w:rsid w:val="00BA7628"/>
    <w:rsid w:val="00BB2130"/>
    <w:rsid w:val="00BB30B6"/>
    <w:rsid w:val="00BB40CB"/>
    <w:rsid w:val="00BB448A"/>
    <w:rsid w:val="00BB6A27"/>
    <w:rsid w:val="00BB7C37"/>
    <w:rsid w:val="00BC168F"/>
    <w:rsid w:val="00BC1E95"/>
    <w:rsid w:val="00BC2262"/>
    <w:rsid w:val="00BC3D81"/>
    <w:rsid w:val="00BC420A"/>
    <w:rsid w:val="00BC540B"/>
    <w:rsid w:val="00BC7302"/>
    <w:rsid w:val="00BD01F3"/>
    <w:rsid w:val="00BD0D8D"/>
    <w:rsid w:val="00BD439F"/>
    <w:rsid w:val="00BD4F14"/>
    <w:rsid w:val="00BD713B"/>
    <w:rsid w:val="00BD7A40"/>
    <w:rsid w:val="00BE2644"/>
    <w:rsid w:val="00BE2719"/>
    <w:rsid w:val="00BE42F3"/>
    <w:rsid w:val="00BE551C"/>
    <w:rsid w:val="00BE62B7"/>
    <w:rsid w:val="00BE6A1E"/>
    <w:rsid w:val="00BE7C3C"/>
    <w:rsid w:val="00BF40E5"/>
    <w:rsid w:val="00BF6ECD"/>
    <w:rsid w:val="00BF790B"/>
    <w:rsid w:val="00C01A90"/>
    <w:rsid w:val="00C01E67"/>
    <w:rsid w:val="00C02EED"/>
    <w:rsid w:val="00C05302"/>
    <w:rsid w:val="00C05B3F"/>
    <w:rsid w:val="00C06B6B"/>
    <w:rsid w:val="00C06F37"/>
    <w:rsid w:val="00C0799A"/>
    <w:rsid w:val="00C13438"/>
    <w:rsid w:val="00C16C10"/>
    <w:rsid w:val="00C170FF"/>
    <w:rsid w:val="00C173E1"/>
    <w:rsid w:val="00C2019E"/>
    <w:rsid w:val="00C27AEF"/>
    <w:rsid w:val="00C3110E"/>
    <w:rsid w:val="00C3466C"/>
    <w:rsid w:val="00C355FF"/>
    <w:rsid w:val="00C41A64"/>
    <w:rsid w:val="00C46435"/>
    <w:rsid w:val="00C47122"/>
    <w:rsid w:val="00C47959"/>
    <w:rsid w:val="00C47CEA"/>
    <w:rsid w:val="00C515E0"/>
    <w:rsid w:val="00C531A3"/>
    <w:rsid w:val="00C555A6"/>
    <w:rsid w:val="00C57F24"/>
    <w:rsid w:val="00C63EA6"/>
    <w:rsid w:val="00C6619F"/>
    <w:rsid w:val="00C6624A"/>
    <w:rsid w:val="00C737C8"/>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3DEC"/>
    <w:rsid w:val="00CD101B"/>
    <w:rsid w:val="00CD139B"/>
    <w:rsid w:val="00CD1DAF"/>
    <w:rsid w:val="00CD5E59"/>
    <w:rsid w:val="00CD72D9"/>
    <w:rsid w:val="00CD7831"/>
    <w:rsid w:val="00CE05D4"/>
    <w:rsid w:val="00CE1AAA"/>
    <w:rsid w:val="00CE4712"/>
    <w:rsid w:val="00CE5EF2"/>
    <w:rsid w:val="00CF1B05"/>
    <w:rsid w:val="00CF1FB8"/>
    <w:rsid w:val="00CF50E5"/>
    <w:rsid w:val="00CF53EE"/>
    <w:rsid w:val="00D01E5B"/>
    <w:rsid w:val="00D02378"/>
    <w:rsid w:val="00D02BE9"/>
    <w:rsid w:val="00D056DC"/>
    <w:rsid w:val="00D101DD"/>
    <w:rsid w:val="00D14423"/>
    <w:rsid w:val="00D15ED3"/>
    <w:rsid w:val="00D15F27"/>
    <w:rsid w:val="00D17328"/>
    <w:rsid w:val="00D17394"/>
    <w:rsid w:val="00D17B7F"/>
    <w:rsid w:val="00D21541"/>
    <w:rsid w:val="00D23FFF"/>
    <w:rsid w:val="00D25323"/>
    <w:rsid w:val="00D25BCF"/>
    <w:rsid w:val="00D2778A"/>
    <w:rsid w:val="00D31043"/>
    <w:rsid w:val="00D32077"/>
    <w:rsid w:val="00D324C0"/>
    <w:rsid w:val="00D33F32"/>
    <w:rsid w:val="00D34A13"/>
    <w:rsid w:val="00D3640D"/>
    <w:rsid w:val="00D42AE0"/>
    <w:rsid w:val="00D43F4A"/>
    <w:rsid w:val="00D45330"/>
    <w:rsid w:val="00D45705"/>
    <w:rsid w:val="00D45A48"/>
    <w:rsid w:val="00D45DB8"/>
    <w:rsid w:val="00D45FAE"/>
    <w:rsid w:val="00D47478"/>
    <w:rsid w:val="00D505CD"/>
    <w:rsid w:val="00D50821"/>
    <w:rsid w:val="00D522A0"/>
    <w:rsid w:val="00D52D25"/>
    <w:rsid w:val="00D56FAF"/>
    <w:rsid w:val="00D573FE"/>
    <w:rsid w:val="00D60F44"/>
    <w:rsid w:val="00D63AB0"/>
    <w:rsid w:val="00D63D1F"/>
    <w:rsid w:val="00D65A57"/>
    <w:rsid w:val="00D66306"/>
    <w:rsid w:val="00D66B18"/>
    <w:rsid w:val="00D66C03"/>
    <w:rsid w:val="00D726DB"/>
    <w:rsid w:val="00D73164"/>
    <w:rsid w:val="00D77E53"/>
    <w:rsid w:val="00D8135F"/>
    <w:rsid w:val="00D81459"/>
    <w:rsid w:val="00D81DD5"/>
    <w:rsid w:val="00D87BB8"/>
    <w:rsid w:val="00D90BD9"/>
    <w:rsid w:val="00D932C5"/>
    <w:rsid w:val="00D939A7"/>
    <w:rsid w:val="00D9415A"/>
    <w:rsid w:val="00D954FD"/>
    <w:rsid w:val="00D9581C"/>
    <w:rsid w:val="00D95DCB"/>
    <w:rsid w:val="00D96228"/>
    <w:rsid w:val="00DA0C61"/>
    <w:rsid w:val="00DA203B"/>
    <w:rsid w:val="00DA5459"/>
    <w:rsid w:val="00DB0C67"/>
    <w:rsid w:val="00DB347E"/>
    <w:rsid w:val="00DB357A"/>
    <w:rsid w:val="00DB4233"/>
    <w:rsid w:val="00DB5097"/>
    <w:rsid w:val="00DC4580"/>
    <w:rsid w:val="00DC4F7C"/>
    <w:rsid w:val="00DC7134"/>
    <w:rsid w:val="00DC7C2C"/>
    <w:rsid w:val="00DD2256"/>
    <w:rsid w:val="00DD4B55"/>
    <w:rsid w:val="00DD5871"/>
    <w:rsid w:val="00DE2F66"/>
    <w:rsid w:val="00DE4173"/>
    <w:rsid w:val="00DE4592"/>
    <w:rsid w:val="00DF20EC"/>
    <w:rsid w:val="00DF6125"/>
    <w:rsid w:val="00E041ED"/>
    <w:rsid w:val="00E0526B"/>
    <w:rsid w:val="00E13E05"/>
    <w:rsid w:val="00E15784"/>
    <w:rsid w:val="00E16734"/>
    <w:rsid w:val="00E179BE"/>
    <w:rsid w:val="00E20401"/>
    <w:rsid w:val="00E22AEC"/>
    <w:rsid w:val="00E2516B"/>
    <w:rsid w:val="00E264D8"/>
    <w:rsid w:val="00E300EA"/>
    <w:rsid w:val="00E319F9"/>
    <w:rsid w:val="00E31C79"/>
    <w:rsid w:val="00E331C7"/>
    <w:rsid w:val="00E35240"/>
    <w:rsid w:val="00E353A7"/>
    <w:rsid w:val="00E36E18"/>
    <w:rsid w:val="00E37099"/>
    <w:rsid w:val="00E37A10"/>
    <w:rsid w:val="00E40A15"/>
    <w:rsid w:val="00E40CCE"/>
    <w:rsid w:val="00E40F1D"/>
    <w:rsid w:val="00E43654"/>
    <w:rsid w:val="00E43F9B"/>
    <w:rsid w:val="00E459FA"/>
    <w:rsid w:val="00E45A4B"/>
    <w:rsid w:val="00E45FEC"/>
    <w:rsid w:val="00E46996"/>
    <w:rsid w:val="00E50522"/>
    <w:rsid w:val="00E52F87"/>
    <w:rsid w:val="00E6120D"/>
    <w:rsid w:val="00E61D06"/>
    <w:rsid w:val="00E6299C"/>
    <w:rsid w:val="00E7043E"/>
    <w:rsid w:val="00E747D9"/>
    <w:rsid w:val="00E75D5D"/>
    <w:rsid w:val="00E766CA"/>
    <w:rsid w:val="00E81F85"/>
    <w:rsid w:val="00E8413D"/>
    <w:rsid w:val="00E84A35"/>
    <w:rsid w:val="00E84C2A"/>
    <w:rsid w:val="00E90C1D"/>
    <w:rsid w:val="00E90CA1"/>
    <w:rsid w:val="00E91D25"/>
    <w:rsid w:val="00E95F4D"/>
    <w:rsid w:val="00E97067"/>
    <w:rsid w:val="00EA2B77"/>
    <w:rsid w:val="00EA6E8E"/>
    <w:rsid w:val="00EA7978"/>
    <w:rsid w:val="00EA7D19"/>
    <w:rsid w:val="00EB7F70"/>
    <w:rsid w:val="00EC02AB"/>
    <w:rsid w:val="00EC4C2A"/>
    <w:rsid w:val="00EC57BC"/>
    <w:rsid w:val="00EC6764"/>
    <w:rsid w:val="00EC6A22"/>
    <w:rsid w:val="00EC726F"/>
    <w:rsid w:val="00EC7743"/>
    <w:rsid w:val="00EC7B8C"/>
    <w:rsid w:val="00ED2540"/>
    <w:rsid w:val="00ED48A6"/>
    <w:rsid w:val="00ED521A"/>
    <w:rsid w:val="00ED68D1"/>
    <w:rsid w:val="00ED6C27"/>
    <w:rsid w:val="00EE1F48"/>
    <w:rsid w:val="00EE3C5A"/>
    <w:rsid w:val="00EE43EB"/>
    <w:rsid w:val="00EE4E0F"/>
    <w:rsid w:val="00EE504D"/>
    <w:rsid w:val="00EE528A"/>
    <w:rsid w:val="00EE5E35"/>
    <w:rsid w:val="00EE619C"/>
    <w:rsid w:val="00EE75E3"/>
    <w:rsid w:val="00EE7777"/>
    <w:rsid w:val="00EF0C86"/>
    <w:rsid w:val="00EF2D7A"/>
    <w:rsid w:val="00EF586D"/>
    <w:rsid w:val="00F00B9A"/>
    <w:rsid w:val="00F0246E"/>
    <w:rsid w:val="00F026DB"/>
    <w:rsid w:val="00F03E41"/>
    <w:rsid w:val="00F04133"/>
    <w:rsid w:val="00F0720F"/>
    <w:rsid w:val="00F119B5"/>
    <w:rsid w:val="00F12233"/>
    <w:rsid w:val="00F12CE1"/>
    <w:rsid w:val="00F14096"/>
    <w:rsid w:val="00F14820"/>
    <w:rsid w:val="00F14EB5"/>
    <w:rsid w:val="00F176F5"/>
    <w:rsid w:val="00F26A33"/>
    <w:rsid w:val="00F305A3"/>
    <w:rsid w:val="00F30DED"/>
    <w:rsid w:val="00F314D5"/>
    <w:rsid w:val="00F31DB2"/>
    <w:rsid w:val="00F37720"/>
    <w:rsid w:val="00F4046D"/>
    <w:rsid w:val="00F40A6C"/>
    <w:rsid w:val="00F41D13"/>
    <w:rsid w:val="00F44EA5"/>
    <w:rsid w:val="00F4518D"/>
    <w:rsid w:val="00F46AEA"/>
    <w:rsid w:val="00F46C28"/>
    <w:rsid w:val="00F46CF6"/>
    <w:rsid w:val="00F51019"/>
    <w:rsid w:val="00F52179"/>
    <w:rsid w:val="00F52B79"/>
    <w:rsid w:val="00F559A5"/>
    <w:rsid w:val="00F55F9D"/>
    <w:rsid w:val="00F56E1A"/>
    <w:rsid w:val="00F60EEE"/>
    <w:rsid w:val="00F6204B"/>
    <w:rsid w:val="00F6266C"/>
    <w:rsid w:val="00F62CDA"/>
    <w:rsid w:val="00F6448C"/>
    <w:rsid w:val="00F65D8A"/>
    <w:rsid w:val="00F74422"/>
    <w:rsid w:val="00F75FDC"/>
    <w:rsid w:val="00F76222"/>
    <w:rsid w:val="00F83712"/>
    <w:rsid w:val="00F86BEC"/>
    <w:rsid w:val="00F9447B"/>
    <w:rsid w:val="00F944E0"/>
    <w:rsid w:val="00F95C39"/>
    <w:rsid w:val="00FA132A"/>
    <w:rsid w:val="00FA18E8"/>
    <w:rsid w:val="00FA1FC3"/>
    <w:rsid w:val="00FA431A"/>
    <w:rsid w:val="00FA54C6"/>
    <w:rsid w:val="00FA5E0B"/>
    <w:rsid w:val="00FA67F4"/>
    <w:rsid w:val="00FA7BFA"/>
    <w:rsid w:val="00FB00F5"/>
    <w:rsid w:val="00FB0527"/>
    <w:rsid w:val="00FB3A37"/>
    <w:rsid w:val="00FB635D"/>
    <w:rsid w:val="00FB6BC1"/>
    <w:rsid w:val="00FC0EED"/>
    <w:rsid w:val="00FC11D2"/>
    <w:rsid w:val="00FC1405"/>
    <w:rsid w:val="00FD012D"/>
    <w:rsid w:val="00FD0FFF"/>
    <w:rsid w:val="00FD2023"/>
    <w:rsid w:val="00FD39F9"/>
    <w:rsid w:val="00FD4A75"/>
    <w:rsid w:val="00FE2208"/>
    <w:rsid w:val="00FE2769"/>
    <w:rsid w:val="00FE2ED0"/>
    <w:rsid w:val="00FE3C8C"/>
    <w:rsid w:val="00FE430B"/>
    <w:rsid w:val="00FE46AF"/>
    <w:rsid w:val="00FE73C3"/>
    <w:rsid w:val="00FF1F94"/>
    <w:rsid w:val="00FF2B49"/>
    <w:rsid w:val="00FF3001"/>
    <w:rsid w:val="00FF3435"/>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E015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E01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15">
    <w:name w:val="mb15"/>
    <w:basedOn w:val="Normal"/>
    <w:rsid w:val="00AE015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E0154"/>
    <w:rPr>
      <w:color w:val="0000FF"/>
      <w:u w:val="single"/>
    </w:rPr>
  </w:style>
  <w:style w:type="character" w:styleId="FollowedHyperlink">
    <w:name w:val="FollowedHyperlink"/>
    <w:basedOn w:val="DefaultParagraphFont"/>
    <w:uiPriority w:val="99"/>
    <w:semiHidden/>
    <w:unhideWhenUsed/>
    <w:rsid w:val="00AE0154"/>
    <w:rPr>
      <w:color w:val="800080"/>
      <w:u w:val="single"/>
    </w:rPr>
  </w:style>
  <w:style w:type="paragraph" w:customStyle="1" w:styleId="mb0">
    <w:name w:val="mb0"/>
    <w:basedOn w:val="Normal"/>
    <w:rsid w:val="00AE01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t15">
    <w:name w:val="mt15"/>
    <w:basedOn w:val="Normal"/>
    <w:rsid w:val="00AE01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1">
    <w:name w:val="referencescopy1"/>
    <w:basedOn w:val="Normal"/>
    <w:rsid w:val="00AE01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2">
    <w:name w:val="referencescopy2"/>
    <w:basedOn w:val="Normal"/>
    <w:rsid w:val="00AE0154"/>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2B78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976824">
      <w:bodyDiv w:val="1"/>
      <w:marLeft w:val="0"/>
      <w:marRight w:val="0"/>
      <w:marTop w:val="0"/>
      <w:marBottom w:val="0"/>
      <w:divBdr>
        <w:top w:val="none" w:sz="0" w:space="0" w:color="auto"/>
        <w:left w:val="none" w:sz="0" w:space="0" w:color="auto"/>
        <w:bottom w:val="none" w:sz="0" w:space="0" w:color="auto"/>
        <w:right w:val="none" w:sz="0" w:space="0" w:color="auto"/>
      </w:divBdr>
      <w:divsChild>
        <w:div w:id="1032655920">
          <w:marLeft w:val="0"/>
          <w:marRight w:val="0"/>
          <w:marTop w:val="0"/>
          <w:marBottom w:val="0"/>
          <w:divBdr>
            <w:top w:val="none" w:sz="0" w:space="0" w:color="auto"/>
            <w:left w:val="none" w:sz="0" w:space="0" w:color="auto"/>
            <w:bottom w:val="none" w:sz="0" w:space="0" w:color="auto"/>
            <w:right w:val="none" w:sz="0" w:space="0" w:color="auto"/>
          </w:divBdr>
        </w:div>
        <w:div w:id="1268124897">
          <w:marLeft w:val="0"/>
          <w:marRight w:val="0"/>
          <w:marTop w:val="0"/>
          <w:marBottom w:val="0"/>
          <w:divBdr>
            <w:top w:val="none" w:sz="0" w:space="0" w:color="auto"/>
            <w:left w:val="none" w:sz="0" w:space="0" w:color="auto"/>
            <w:bottom w:val="none" w:sz="0" w:space="0" w:color="auto"/>
            <w:right w:val="none" w:sz="0" w:space="0" w:color="auto"/>
          </w:divBdr>
          <w:divsChild>
            <w:div w:id="118232881">
              <w:marLeft w:val="0"/>
              <w:marRight w:val="0"/>
              <w:marTop w:val="270"/>
              <w:marBottom w:val="0"/>
              <w:divBdr>
                <w:top w:val="none" w:sz="0" w:space="0" w:color="auto"/>
                <w:left w:val="none" w:sz="0" w:space="0" w:color="auto"/>
                <w:bottom w:val="none" w:sz="0" w:space="0" w:color="auto"/>
                <w:right w:val="none" w:sz="0" w:space="0" w:color="auto"/>
              </w:divBdr>
            </w:div>
            <w:div w:id="1266688103">
              <w:marLeft w:val="0"/>
              <w:marRight w:val="0"/>
              <w:marTop w:val="0"/>
              <w:marBottom w:val="270"/>
              <w:divBdr>
                <w:top w:val="none" w:sz="0" w:space="0" w:color="auto"/>
                <w:left w:val="none" w:sz="0" w:space="0" w:color="auto"/>
                <w:bottom w:val="none" w:sz="0" w:space="0" w:color="auto"/>
                <w:right w:val="none" w:sz="0" w:space="0" w:color="auto"/>
              </w:divBdr>
            </w:div>
            <w:div w:id="447940404">
              <w:marLeft w:val="0"/>
              <w:marRight w:val="0"/>
              <w:marTop w:val="270"/>
              <w:marBottom w:val="0"/>
              <w:divBdr>
                <w:top w:val="none" w:sz="0" w:space="0" w:color="auto"/>
                <w:left w:val="none" w:sz="0" w:space="0" w:color="auto"/>
                <w:bottom w:val="none" w:sz="0" w:space="0" w:color="auto"/>
                <w:right w:val="none" w:sz="0" w:space="0" w:color="auto"/>
              </w:divBdr>
            </w:div>
            <w:div w:id="1538083753">
              <w:marLeft w:val="0"/>
              <w:marRight w:val="0"/>
              <w:marTop w:val="0"/>
              <w:marBottom w:val="270"/>
              <w:divBdr>
                <w:top w:val="none" w:sz="0" w:space="0" w:color="auto"/>
                <w:left w:val="none" w:sz="0" w:space="0" w:color="auto"/>
                <w:bottom w:val="none" w:sz="0" w:space="0" w:color="auto"/>
                <w:right w:val="none" w:sz="0" w:space="0" w:color="auto"/>
              </w:divBdr>
            </w:div>
            <w:div w:id="799493247">
              <w:marLeft w:val="0"/>
              <w:marRight w:val="0"/>
              <w:marTop w:val="270"/>
              <w:marBottom w:val="0"/>
              <w:divBdr>
                <w:top w:val="none" w:sz="0" w:space="0" w:color="auto"/>
                <w:left w:val="none" w:sz="0" w:space="0" w:color="auto"/>
                <w:bottom w:val="none" w:sz="0" w:space="0" w:color="auto"/>
                <w:right w:val="none" w:sz="0" w:space="0" w:color="auto"/>
              </w:divBdr>
            </w:div>
            <w:div w:id="806361231">
              <w:marLeft w:val="0"/>
              <w:marRight w:val="0"/>
              <w:marTop w:val="0"/>
              <w:marBottom w:val="270"/>
              <w:divBdr>
                <w:top w:val="none" w:sz="0" w:space="0" w:color="auto"/>
                <w:left w:val="none" w:sz="0" w:space="0" w:color="auto"/>
                <w:bottom w:val="none" w:sz="0" w:space="0" w:color="auto"/>
                <w:right w:val="none" w:sz="0" w:space="0" w:color="auto"/>
              </w:divBdr>
            </w:div>
            <w:div w:id="1013800544">
              <w:marLeft w:val="0"/>
              <w:marRight w:val="0"/>
              <w:marTop w:val="270"/>
              <w:marBottom w:val="0"/>
              <w:divBdr>
                <w:top w:val="none" w:sz="0" w:space="0" w:color="auto"/>
                <w:left w:val="none" w:sz="0" w:space="0" w:color="auto"/>
                <w:bottom w:val="none" w:sz="0" w:space="0" w:color="auto"/>
                <w:right w:val="none" w:sz="0" w:space="0" w:color="auto"/>
              </w:divBdr>
            </w:div>
            <w:div w:id="593708415">
              <w:marLeft w:val="0"/>
              <w:marRight w:val="0"/>
              <w:marTop w:val="0"/>
              <w:marBottom w:val="270"/>
              <w:divBdr>
                <w:top w:val="none" w:sz="0" w:space="0" w:color="auto"/>
                <w:left w:val="none" w:sz="0" w:space="0" w:color="auto"/>
                <w:bottom w:val="none" w:sz="0" w:space="0" w:color="auto"/>
                <w:right w:val="none" w:sz="0" w:space="0" w:color="auto"/>
              </w:divBdr>
            </w:div>
            <w:div w:id="858736598">
              <w:marLeft w:val="0"/>
              <w:marRight w:val="0"/>
              <w:marTop w:val="270"/>
              <w:marBottom w:val="0"/>
              <w:divBdr>
                <w:top w:val="none" w:sz="0" w:space="0" w:color="auto"/>
                <w:left w:val="none" w:sz="0" w:space="0" w:color="auto"/>
                <w:bottom w:val="none" w:sz="0" w:space="0" w:color="auto"/>
                <w:right w:val="none" w:sz="0" w:space="0" w:color="auto"/>
              </w:divBdr>
            </w:div>
            <w:div w:id="17974783">
              <w:marLeft w:val="0"/>
              <w:marRight w:val="0"/>
              <w:marTop w:val="0"/>
              <w:marBottom w:val="270"/>
              <w:divBdr>
                <w:top w:val="none" w:sz="0" w:space="0" w:color="auto"/>
                <w:left w:val="none" w:sz="0" w:space="0" w:color="auto"/>
                <w:bottom w:val="none" w:sz="0" w:space="0" w:color="auto"/>
                <w:right w:val="none" w:sz="0" w:space="0" w:color="auto"/>
              </w:divBdr>
            </w:div>
            <w:div w:id="1746340750">
              <w:marLeft w:val="0"/>
              <w:marRight w:val="0"/>
              <w:marTop w:val="270"/>
              <w:marBottom w:val="0"/>
              <w:divBdr>
                <w:top w:val="none" w:sz="0" w:space="0" w:color="auto"/>
                <w:left w:val="none" w:sz="0" w:space="0" w:color="auto"/>
                <w:bottom w:val="none" w:sz="0" w:space="0" w:color="auto"/>
                <w:right w:val="none" w:sz="0" w:space="0" w:color="auto"/>
              </w:divBdr>
            </w:div>
            <w:div w:id="1586496888">
              <w:marLeft w:val="0"/>
              <w:marRight w:val="0"/>
              <w:marTop w:val="0"/>
              <w:marBottom w:val="270"/>
              <w:divBdr>
                <w:top w:val="none" w:sz="0" w:space="0" w:color="auto"/>
                <w:left w:val="none" w:sz="0" w:space="0" w:color="auto"/>
                <w:bottom w:val="none" w:sz="0" w:space="0" w:color="auto"/>
                <w:right w:val="none" w:sz="0" w:space="0" w:color="auto"/>
              </w:divBdr>
            </w:div>
            <w:div w:id="1534078314">
              <w:marLeft w:val="0"/>
              <w:marRight w:val="0"/>
              <w:marTop w:val="270"/>
              <w:marBottom w:val="0"/>
              <w:divBdr>
                <w:top w:val="none" w:sz="0" w:space="0" w:color="auto"/>
                <w:left w:val="none" w:sz="0" w:space="0" w:color="auto"/>
                <w:bottom w:val="none" w:sz="0" w:space="0" w:color="auto"/>
                <w:right w:val="none" w:sz="0" w:space="0" w:color="auto"/>
              </w:divBdr>
            </w:div>
            <w:div w:id="1666668927">
              <w:marLeft w:val="0"/>
              <w:marRight w:val="0"/>
              <w:marTop w:val="0"/>
              <w:marBottom w:val="270"/>
              <w:divBdr>
                <w:top w:val="none" w:sz="0" w:space="0" w:color="auto"/>
                <w:left w:val="none" w:sz="0" w:space="0" w:color="auto"/>
                <w:bottom w:val="none" w:sz="0" w:space="0" w:color="auto"/>
                <w:right w:val="none" w:sz="0" w:space="0" w:color="auto"/>
              </w:divBdr>
            </w:div>
            <w:div w:id="1854802702">
              <w:marLeft w:val="0"/>
              <w:marRight w:val="0"/>
              <w:marTop w:val="0"/>
              <w:marBottom w:val="0"/>
              <w:divBdr>
                <w:top w:val="none" w:sz="0" w:space="0" w:color="auto"/>
                <w:left w:val="none" w:sz="0" w:space="0" w:color="auto"/>
                <w:bottom w:val="none" w:sz="0" w:space="0" w:color="auto"/>
                <w:right w:val="none" w:sz="0" w:space="0" w:color="auto"/>
              </w:divBdr>
            </w:div>
            <w:div w:id="712462895">
              <w:marLeft w:val="0"/>
              <w:marRight w:val="0"/>
              <w:marTop w:val="0"/>
              <w:marBottom w:val="120"/>
              <w:divBdr>
                <w:top w:val="none" w:sz="0" w:space="0" w:color="auto"/>
                <w:left w:val="none" w:sz="0" w:space="0" w:color="auto"/>
                <w:bottom w:val="none" w:sz="0" w:space="0" w:color="auto"/>
                <w:right w:val="none" w:sz="0" w:space="0" w:color="auto"/>
              </w:divBdr>
            </w:div>
            <w:div w:id="143667616">
              <w:marLeft w:val="0"/>
              <w:marRight w:val="0"/>
              <w:marTop w:val="0"/>
              <w:marBottom w:val="0"/>
              <w:divBdr>
                <w:top w:val="none" w:sz="0" w:space="0" w:color="auto"/>
                <w:left w:val="none" w:sz="0" w:space="0" w:color="auto"/>
                <w:bottom w:val="none" w:sz="0" w:space="0" w:color="auto"/>
                <w:right w:val="none" w:sz="0" w:space="0" w:color="auto"/>
              </w:divBdr>
            </w:div>
            <w:div w:id="1714386173">
              <w:marLeft w:val="0"/>
              <w:marRight w:val="0"/>
              <w:marTop w:val="0"/>
              <w:marBottom w:val="0"/>
              <w:divBdr>
                <w:top w:val="none" w:sz="0" w:space="0" w:color="auto"/>
                <w:left w:val="none" w:sz="0" w:space="0" w:color="auto"/>
                <w:bottom w:val="none" w:sz="0" w:space="0" w:color="auto"/>
                <w:right w:val="none" w:sz="0" w:space="0" w:color="auto"/>
              </w:divBdr>
            </w:div>
            <w:div w:id="734401628">
              <w:marLeft w:val="0"/>
              <w:marRight w:val="0"/>
              <w:marTop w:val="0"/>
              <w:marBottom w:val="0"/>
              <w:divBdr>
                <w:top w:val="none" w:sz="0" w:space="0" w:color="auto"/>
                <w:left w:val="none" w:sz="0" w:space="0" w:color="auto"/>
                <w:bottom w:val="none" w:sz="0" w:space="0" w:color="auto"/>
                <w:right w:val="none" w:sz="0" w:space="0" w:color="auto"/>
              </w:divBdr>
            </w:div>
            <w:div w:id="556668815">
              <w:marLeft w:val="0"/>
              <w:marRight w:val="0"/>
              <w:marTop w:val="0"/>
              <w:marBottom w:val="120"/>
              <w:divBdr>
                <w:top w:val="none" w:sz="0" w:space="0" w:color="auto"/>
                <w:left w:val="none" w:sz="0" w:space="0" w:color="auto"/>
                <w:bottom w:val="none" w:sz="0" w:space="0" w:color="auto"/>
                <w:right w:val="none" w:sz="0" w:space="0" w:color="auto"/>
              </w:divBdr>
            </w:div>
            <w:div w:id="1655453877">
              <w:marLeft w:val="0"/>
              <w:marRight w:val="0"/>
              <w:marTop w:val="0"/>
              <w:marBottom w:val="0"/>
              <w:divBdr>
                <w:top w:val="none" w:sz="0" w:space="0" w:color="auto"/>
                <w:left w:val="none" w:sz="0" w:space="0" w:color="auto"/>
                <w:bottom w:val="none" w:sz="0" w:space="0" w:color="auto"/>
                <w:right w:val="none" w:sz="0" w:space="0" w:color="auto"/>
              </w:divBdr>
            </w:div>
            <w:div w:id="41441962">
              <w:marLeft w:val="0"/>
              <w:marRight w:val="0"/>
              <w:marTop w:val="0"/>
              <w:marBottom w:val="0"/>
              <w:divBdr>
                <w:top w:val="none" w:sz="0" w:space="0" w:color="auto"/>
                <w:left w:val="none" w:sz="0" w:space="0" w:color="auto"/>
                <w:bottom w:val="none" w:sz="0" w:space="0" w:color="auto"/>
                <w:right w:val="none" w:sz="0" w:space="0" w:color="auto"/>
              </w:divBdr>
            </w:div>
            <w:div w:id="1123234672">
              <w:marLeft w:val="0"/>
              <w:marRight w:val="0"/>
              <w:marTop w:val="0"/>
              <w:marBottom w:val="0"/>
              <w:divBdr>
                <w:top w:val="none" w:sz="0" w:space="0" w:color="auto"/>
                <w:left w:val="none" w:sz="0" w:space="0" w:color="auto"/>
                <w:bottom w:val="none" w:sz="0" w:space="0" w:color="auto"/>
                <w:right w:val="none" w:sz="0" w:space="0" w:color="auto"/>
              </w:divBdr>
            </w:div>
            <w:div w:id="1801453738">
              <w:marLeft w:val="0"/>
              <w:marRight w:val="0"/>
              <w:marTop w:val="0"/>
              <w:marBottom w:val="0"/>
              <w:divBdr>
                <w:top w:val="none" w:sz="0" w:space="0" w:color="auto"/>
                <w:left w:val="none" w:sz="0" w:space="0" w:color="auto"/>
                <w:bottom w:val="none" w:sz="0" w:space="0" w:color="auto"/>
                <w:right w:val="none" w:sz="0" w:space="0" w:color="auto"/>
              </w:divBdr>
            </w:div>
            <w:div w:id="296182233">
              <w:marLeft w:val="0"/>
              <w:marRight w:val="0"/>
              <w:marTop w:val="0"/>
              <w:marBottom w:val="0"/>
              <w:divBdr>
                <w:top w:val="none" w:sz="0" w:space="0" w:color="auto"/>
                <w:left w:val="none" w:sz="0" w:space="0" w:color="auto"/>
                <w:bottom w:val="none" w:sz="0" w:space="0" w:color="auto"/>
                <w:right w:val="none" w:sz="0" w:space="0" w:color="auto"/>
              </w:divBdr>
            </w:div>
            <w:div w:id="1787655836">
              <w:marLeft w:val="0"/>
              <w:marRight w:val="0"/>
              <w:marTop w:val="0"/>
              <w:marBottom w:val="0"/>
              <w:divBdr>
                <w:top w:val="none" w:sz="0" w:space="0" w:color="auto"/>
                <w:left w:val="none" w:sz="0" w:space="0" w:color="auto"/>
                <w:bottom w:val="none" w:sz="0" w:space="0" w:color="auto"/>
                <w:right w:val="none" w:sz="0" w:space="0" w:color="auto"/>
              </w:divBdr>
            </w:div>
            <w:div w:id="2073655111">
              <w:marLeft w:val="0"/>
              <w:marRight w:val="0"/>
              <w:marTop w:val="0"/>
              <w:marBottom w:val="0"/>
              <w:divBdr>
                <w:top w:val="none" w:sz="0" w:space="0" w:color="auto"/>
                <w:left w:val="none" w:sz="0" w:space="0" w:color="auto"/>
                <w:bottom w:val="none" w:sz="0" w:space="0" w:color="auto"/>
                <w:right w:val="none" w:sz="0" w:space="0" w:color="auto"/>
              </w:divBdr>
            </w:div>
            <w:div w:id="487674430">
              <w:marLeft w:val="0"/>
              <w:marRight w:val="0"/>
              <w:marTop w:val="0"/>
              <w:marBottom w:val="0"/>
              <w:divBdr>
                <w:top w:val="none" w:sz="0" w:space="0" w:color="auto"/>
                <w:left w:val="none" w:sz="0" w:space="0" w:color="auto"/>
                <w:bottom w:val="none" w:sz="0" w:space="0" w:color="auto"/>
                <w:right w:val="none" w:sz="0" w:space="0" w:color="auto"/>
              </w:divBdr>
            </w:div>
            <w:div w:id="658534721">
              <w:marLeft w:val="0"/>
              <w:marRight w:val="0"/>
              <w:marTop w:val="0"/>
              <w:marBottom w:val="0"/>
              <w:divBdr>
                <w:top w:val="none" w:sz="0" w:space="0" w:color="auto"/>
                <w:left w:val="none" w:sz="0" w:space="0" w:color="auto"/>
                <w:bottom w:val="none" w:sz="0" w:space="0" w:color="auto"/>
                <w:right w:val="none" w:sz="0" w:space="0" w:color="auto"/>
              </w:divBdr>
            </w:div>
            <w:div w:id="1664509599">
              <w:marLeft w:val="0"/>
              <w:marRight w:val="0"/>
              <w:marTop w:val="0"/>
              <w:marBottom w:val="0"/>
              <w:divBdr>
                <w:top w:val="none" w:sz="0" w:space="0" w:color="auto"/>
                <w:left w:val="none" w:sz="0" w:space="0" w:color="auto"/>
                <w:bottom w:val="none" w:sz="0" w:space="0" w:color="auto"/>
                <w:right w:val="none" w:sz="0" w:space="0" w:color="auto"/>
              </w:divBdr>
            </w:div>
            <w:div w:id="378020293">
              <w:marLeft w:val="0"/>
              <w:marRight w:val="0"/>
              <w:marTop w:val="0"/>
              <w:marBottom w:val="0"/>
              <w:divBdr>
                <w:top w:val="none" w:sz="0" w:space="0" w:color="auto"/>
                <w:left w:val="none" w:sz="0" w:space="0" w:color="auto"/>
                <w:bottom w:val="none" w:sz="0" w:space="0" w:color="auto"/>
                <w:right w:val="none" w:sz="0" w:space="0" w:color="auto"/>
              </w:divBdr>
            </w:div>
            <w:div w:id="185412286">
              <w:marLeft w:val="0"/>
              <w:marRight w:val="0"/>
              <w:marTop w:val="0"/>
              <w:marBottom w:val="0"/>
              <w:divBdr>
                <w:top w:val="none" w:sz="0" w:space="0" w:color="auto"/>
                <w:left w:val="none" w:sz="0" w:space="0" w:color="auto"/>
                <w:bottom w:val="none" w:sz="0" w:space="0" w:color="auto"/>
                <w:right w:val="none" w:sz="0" w:space="0" w:color="auto"/>
              </w:divBdr>
            </w:div>
            <w:div w:id="1634090634">
              <w:marLeft w:val="0"/>
              <w:marRight w:val="0"/>
              <w:marTop w:val="0"/>
              <w:marBottom w:val="0"/>
              <w:divBdr>
                <w:top w:val="none" w:sz="0" w:space="0" w:color="auto"/>
                <w:left w:val="none" w:sz="0" w:space="0" w:color="auto"/>
                <w:bottom w:val="none" w:sz="0" w:space="0" w:color="auto"/>
                <w:right w:val="none" w:sz="0" w:space="0" w:color="auto"/>
              </w:divBdr>
            </w:div>
            <w:div w:id="1169636249">
              <w:marLeft w:val="0"/>
              <w:marRight w:val="0"/>
              <w:marTop w:val="0"/>
              <w:marBottom w:val="0"/>
              <w:divBdr>
                <w:top w:val="none" w:sz="0" w:space="0" w:color="auto"/>
                <w:left w:val="none" w:sz="0" w:space="0" w:color="auto"/>
                <w:bottom w:val="none" w:sz="0" w:space="0" w:color="auto"/>
                <w:right w:val="none" w:sz="0" w:space="0" w:color="auto"/>
              </w:divBdr>
            </w:div>
            <w:div w:id="1828672496">
              <w:marLeft w:val="0"/>
              <w:marRight w:val="0"/>
              <w:marTop w:val="0"/>
              <w:marBottom w:val="0"/>
              <w:divBdr>
                <w:top w:val="none" w:sz="0" w:space="0" w:color="auto"/>
                <w:left w:val="none" w:sz="0" w:space="0" w:color="auto"/>
                <w:bottom w:val="none" w:sz="0" w:space="0" w:color="auto"/>
                <w:right w:val="none" w:sz="0" w:space="0" w:color="auto"/>
              </w:divBdr>
            </w:div>
            <w:div w:id="936137584">
              <w:marLeft w:val="0"/>
              <w:marRight w:val="0"/>
              <w:marTop w:val="0"/>
              <w:marBottom w:val="120"/>
              <w:divBdr>
                <w:top w:val="none" w:sz="0" w:space="0" w:color="auto"/>
                <w:left w:val="none" w:sz="0" w:space="0" w:color="auto"/>
                <w:bottom w:val="none" w:sz="0" w:space="0" w:color="auto"/>
                <w:right w:val="none" w:sz="0" w:space="0" w:color="auto"/>
              </w:divBdr>
            </w:div>
            <w:div w:id="56633538">
              <w:marLeft w:val="0"/>
              <w:marRight w:val="0"/>
              <w:marTop w:val="0"/>
              <w:marBottom w:val="0"/>
              <w:divBdr>
                <w:top w:val="none" w:sz="0" w:space="0" w:color="auto"/>
                <w:left w:val="none" w:sz="0" w:space="0" w:color="auto"/>
                <w:bottom w:val="none" w:sz="0" w:space="0" w:color="auto"/>
                <w:right w:val="none" w:sz="0" w:space="0" w:color="auto"/>
              </w:divBdr>
            </w:div>
            <w:div w:id="1040742767">
              <w:marLeft w:val="0"/>
              <w:marRight w:val="0"/>
              <w:marTop w:val="0"/>
              <w:marBottom w:val="0"/>
              <w:divBdr>
                <w:top w:val="none" w:sz="0" w:space="0" w:color="auto"/>
                <w:left w:val="none" w:sz="0" w:space="0" w:color="auto"/>
                <w:bottom w:val="none" w:sz="0" w:space="0" w:color="auto"/>
                <w:right w:val="none" w:sz="0" w:space="0" w:color="auto"/>
              </w:divBdr>
            </w:div>
            <w:div w:id="964189609">
              <w:marLeft w:val="0"/>
              <w:marRight w:val="0"/>
              <w:marTop w:val="0"/>
              <w:marBottom w:val="0"/>
              <w:divBdr>
                <w:top w:val="none" w:sz="0" w:space="0" w:color="auto"/>
                <w:left w:val="none" w:sz="0" w:space="0" w:color="auto"/>
                <w:bottom w:val="none" w:sz="0" w:space="0" w:color="auto"/>
                <w:right w:val="none" w:sz="0" w:space="0" w:color="auto"/>
              </w:divBdr>
            </w:div>
            <w:div w:id="862741657">
              <w:marLeft w:val="0"/>
              <w:marRight w:val="0"/>
              <w:marTop w:val="0"/>
              <w:marBottom w:val="0"/>
              <w:divBdr>
                <w:top w:val="none" w:sz="0" w:space="0" w:color="auto"/>
                <w:left w:val="none" w:sz="0" w:space="0" w:color="auto"/>
                <w:bottom w:val="none" w:sz="0" w:space="0" w:color="auto"/>
                <w:right w:val="none" w:sz="0" w:space="0" w:color="auto"/>
              </w:divBdr>
            </w:div>
            <w:div w:id="1646884960">
              <w:marLeft w:val="0"/>
              <w:marRight w:val="0"/>
              <w:marTop w:val="0"/>
              <w:marBottom w:val="0"/>
              <w:divBdr>
                <w:top w:val="none" w:sz="0" w:space="0" w:color="auto"/>
                <w:left w:val="none" w:sz="0" w:space="0" w:color="auto"/>
                <w:bottom w:val="none" w:sz="0" w:space="0" w:color="auto"/>
                <w:right w:val="none" w:sz="0" w:space="0" w:color="auto"/>
              </w:divBdr>
            </w:div>
            <w:div w:id="583688695">
              <w:marLeft w:val="0"/>
              <w:marRight w:val="0"/>
              <w:marTop w:val="0"/>
              <w:marBottom w:val="0"/>
              <w:divBdr>
                <w:top w:val="none" w:sz="0" w:space="0" w:color="auto"/>
                <w:left w:val="none" w:sz="0" w:space="0" w:color="auto"/>
                <w:bottom w:val="none" w:sz="0" w:space="0" w:color="auto"/>
                <w:right w:val="none" w:sz="0" w:space="0" w:color="auto"/>
              </w:divBdr>
            </w:div>
            <w:div w:id="1705399912">
              <w:marLeft w:val="0"/>
              <w:marRight w:val="0"/>
              <w:marTop w:val="0"/>
              <w:marBottom w:val="0"/>
              <w:divBdr>
                <w:top w:val="none" w:sz="0" w:space="0" w:color="auto"/>
                <w:left w:val="none" w:sz="0" w:space="0" w:color="auto"/>
                <w:bottom w:val="none" w:sz="0" w:space="0" w:color="auto"/>
                <w:right w:val="none" w:sz="0" w:space="0" w:color="auto"/>
              </w:divBdr>
            </w:div>
            <w:div w:id="22051961">
              <w:marLeft w:val="0"/>
              <w:marRight w:val="0"/>
              <w:marTop w:val="0"/>
              <w:marBottom w:val="0"/>
              <w:divBdr>
                <w:top w:val="none" w:sz="0" w:space="0" w:color="auto"/>
                <w:left w:val="none" w:sz="0" w:space="0" w:color="auto"/>
                <w:bottom w:val="none" w:sz="0" w:space="0" w:color="auto"/>
                <w:right w:val="none" w:sz="0" w:space="0" w:color="auto"/>
              </w:divBdr>
            </w:div>
            <w:div w:id="1207377636">
              <w:marLeft w:val="0"/>
              <w:marRight w:val="0"/>
              <w:marTop w:val="0"/>
              <w:marBottom w:val="0"/>
              <w:divBdr>
                <w:top w:val="none" w:sz="0" w:space="0" w:color="auto"/>
                <w:left w:val="none" w:sz="0" w:space="0" w:color="auto"/>
                <w:bottom w:val="none" w:sz="0" w:space="0" w:color="auto"/>
                <w:right w:val="none" w:sz="0" w:space="0" w:color="auto"/>
              </w:divBdr>
            </w:div>
            <w:div w:id="886911858">
              <w:marLeft w:val="0"/>
              <w:marRight w:val="0"/>
              <w:marTop w:val="0"/>
              <w:marBottom w:val="0"/>
              <w:divBdr>
                <w:top w:val="none" w:sz="0" w:space="0" w:color="auto"/>
                <w:left w:val="none" w:sz="0" w:space="0" w:color="auto"/>
                <w:bottom w:val="none" w:sz="0" w:space="0" w:color="auto"/>
                <w:right w:val="none" w:sz="0" w:space="0" w:color="auto"/>
              </w:divBdr>
            </w:div>
            <w:div w:id="579103220">
              <w:marLeft w:val="0"/>
              <w:marRight w:val="0"/>
              <w:marTop w:val="0"/>
              <w:marBottom w:val="0"/>
              <w:divBdr>
                <w:top w:val="none" w:sz="0" w:space="0" w:color="auto"/>
                <w:left w:val="none" w:sz="0" w:space="0" w:color="auto"/>
                <w:bottom w:val="none" w:sz="0" w:space="0" w:color="auto"/>
                <w:right w:val="none" w:sz="0" w:space="0" w:color="auto"/>
              </w:divBdr>
            </w:div>
            <w:div w:id="1661616637">
              <w:marLeft w:val="0"/>
              <w:marRight w:val="0"/>
              <w:marTop w:val="0"/>
              <w:marBottom w:val="0"/>
              <w:divBdr>
                <w:top w:val="none" w:sz="0" w:space="0" w:color="auto"/>
                <w:left w:val="none" w:sz="0" w:space="0" w:color="auto"/>
                <w:bottom w:val="none" w:sz="0" w:space="0" w:color="auto"/>
                <w:right w:val="none" w:sz="0" w:space="0" w:color="auto"/>
              </w:divBdr>
            </w:div>
            <w:div w:id="289558709">
              <w:marLeft w:val="0"/>
              <w:marRight w:val="0"/>
              <w:marTop w:val="0"/>
              <w:marBottom w:val="0"/>
              <w:divBdr>
                <w:top w:val="none" w:sz="0" w:space="0" w:color="auto"/>
                <w:left w:val="none" w:sz="0" w:space="0" w:color="auto"/>
                <w:bottom w:val="none" w:sz="0" w:space="0" w:color="auto"/>
                <w:right w:val="none" w:sz="0" w:space="0" w:color="auto"/>
              </w:divBdr>
            </w:div>
            <w:div w:id="1379550079">
              <w:marLeft w:val="0"/>
              <w:marRight w:val="0"/>
              <w:marTop w:val="0"/>
              <w:marBottom w:val="120"/>
              <w:divBdr>
                <w:top w:val="none" w:sz="0" w:space="0" w:color="auto"/>
                <w:left w:val="none" w:sz="0" w:space="0" w:color="auto"/>
                <w:bottom w:val="none" w:sz="0" w:space="0" w:color="auto"/>
                <w:right w:val="none" w:sz="0" w:space="0" w:color="auto"/>
              </w:divBdr>
            </w:div>
            <w:div w:id="1924607105">
              <w:marLeft w:val="0"/>
              <w:marRight w:val="0"/>
              <w:marTop w:val="0"/>
              <w:marBottom w:val="0"/>
              <w:divBdr>
                <w:top w:val="none" w:sz="0" w:space="0" w:color="auto"/>
                <w:left w:val="none" w:sz="0" w:space="0" w:color="auto"/>
                <w:bottom w:val="none" w:sz="0" w:space="0" w:color="auto"/>
                <w:right w:val="none" w:sz="0" w:space="0" w:color="auto"/>
              </w:divBdr>
            </w:div>
            <w:div w:id="1915776830">
              <w:marLeft w:val="0"/>
              <w:marRight w:val="0"/>
              <w:marTop w:val="0"/>
              <w:marBottom w:val="0"/>
              <w:divBdr>
                <w:top w:val="none" w:sz="0" w:space="0" w:color="auto"/>
                <w:left w:val="none" w:sz="0" w:space="0" w:color="auto"/>
                <w:bottom w:val="none" w:sz="0" w:space="0" w:color="auto"/>
                <w:right w:val="none" w:sz="0" w:space="0" w:color="auto"/>
              </w:divBdr>
            </w:div>
            <w:div w:id="1020548293">
              <w:marLeft w:val="0"/>
              <w:marRight w:val="0"/>
              <w:marTop w:val="0"/>
              <w:marBottom w:val="0"/>
              <w:divBdr>
                <w:top w:val="none" w:sz="0" w:space="0" w:color="auto"/>
                <w:left w:val="none" w:sz="0" w:space="0" w:color="auto"/>
                <w:bottom w:val="none" w:sz="0" w:space="0" w:color="auto"/>
                <w:right w:val="none" w:sz="0" w:space="0" w:color="auto"/>
              </w:divBdr>
            </w:div>
            <w:div w:id="403912625">
              <w:marLeft w:val="0"/>
              <w:marRight w:val="0"/>
              <w:marTop w:val="0"/>
              <w:marBottom w:val="0"/>
              <w:divBdr>
                <w:top w:val="none" w:sz="0" w:space="0" w:color="auto"/>
                <w:left w:val="none" w:sz="0" w:space="0" w:color="auto"/>
                <w:bottom w:val="none" w:sz="0" w:space="0" w:color="auto"/>
                <w:right w:val="none" w:sz="0" w:space="0" w:color="auto"/>
              </w:divBdr>
            </w:div>
            <w:div w:id="398870152">
              <w:marLeft w:val="0"/>
              <w:marRight w:val="0"/>
              <w:marTop w:val="0"/>
              <w:marBottom w:val="0"/>
              <w:divBdr>
                <w:top w:val="none" w:sz="0" w:space="0" w:color="auto"/>
                <w:left w:val="none" w:sz="0" w:space="0" w:color="auto"/>
                <w:bottom w:val="none" w:sz="0" w:space="0" w:color="auto"/>
                <w:right w:val="none" w:sz="0" w:space="0" w:color="auto"/>
              </w:divBdr>
            </w:div>
            <w:div w:id="1921062854">
              <w:marLeft w:val="0"/>
              <w:marRight w:val="0"/>
              <w:marTop w:val="0"/>
              <w:marBottom w:val="0"/>
              <w:divBdr>
                <w:top w:val="none" w:sz="0" w:space="0" w:color="auto"/>
                <w:left w:val="none" w:sz="0" w:space="0" w:color="auto"/>
                <w:bottom w:val="none" w:sz="0" w:space="0" w:color="auto"/>
                <w:right w:val="none" w:sz="0" w:space="0" w:color="auto"/>
              </w:divBdr>
            </w:div>
            <w:div w:id="1868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rontiersin.org/articles/10.3389/fenrg.2019.00005/full" TargetMode="External"/><Relationship Id="rId21" Type="http://schemas.openxmlformats.org/officeDocument/2006/relationships/hyperlink" Target="https://www.frontiersin.org/articles/10.3389/fenrg.2019.00005/full" TargetMode="External"/><Relationship Id="rId42" Type="http://schemas.openxmlformats.org/officeDocument/2006/relationships/hyperlink" Target="https://www.frontiersin.org/articles/10.3389/fenrg.2019.00005/full" TargetMode="External"/><Relationship Id="rId47" Type="http://schemas.openxmlformats.org/officeDocument/2006/relationships/hyperlink" Target="https://www.frontiersin.org/articles/10.3389/fenrg.2019.00005/full" TargetMode="External"/><Relationship Id="rId63" Type="http://schemas.openxmlformats.org/officeDocument/2006/relationships/hyperlink" Target="https://www.frontiersin.org/articles/10.3389/fenrg.2019.00005/full" TargetMode="External"/><Relationship Id="rId68" Type="http://schemas.openxmlformats.org/officeDocument/2006/relationships/hyperlink" Target="https://www.frontiersin.org/articles/10.3389/fenrg.2019.00005/full" TargetMode="External"/><Relationship Id="rId84" Type="http://schemas.openxmlformats.org/officeDocument/2006/relationships/hyperlink" Target="https://www.frontiersin.org/articles/10.3389/fenrg.2019.00005/full" TargetMode="External"/><Relationship Id="rId89" Type="http://schemas.openxmlformats.org/officeDocument/2006/relationships/hyperlink" Target="https://www.frontiersin.org/articles/10.3389/fenrg.2019.00005/full" TargetMode="External"/><Relationship Id="rId16" Type="http://schemas.openxmlformats.org/officeDocument/2006/relationships/hyperlink" Target="https://www.frontiersin.org/articles/10.3389/fenrg.2019.00005/full" TargetMode="External"/><Relationship Id="rId107" Type="http://schemas.openxmlformats.org/officeDocument/2006/relationships/fontTable" Target="fontTable.xml"/><Relationship Id="rId11" Type="http://schemas.openxmlformats.org/officeDocument/2006/relationships/hyperlink" Target="https://www.frontiersin.org/articles/10.3389/fenrg.2019.00005/full" TargetMode="External"/><Relationship Id="rId32" Type="http://schemas.openxmlformats.org/officeDocument/2006/relationships/hyperlink" Target="https://www.frontiersin.org/articles/10.3389/fenrg.2019.00005/full" TargetMode="External"/><Relationship Id="rId37" Type="http://schemas.openxmlformats.org/officeDocument/2006/relationships/hyperlink" Target="https://www.frontiersin.org/articles/10.3389/fenrg.2019.00005/full" TargetMode="External"/><Relationship Id="rId53" Type="http://schemas.openxmlformats.org/officeDocument/2006/relationships/hyperlink" Target="https://www.frontiersin.org/articles/10.3389/fenrg.2019.00005/full" TargetMode="External"/><Relationship Id="rId58" Type="http://schemas.openxmlformats.org/officeDocument/2006/relationships/hyperlink" Target="https://www.frontiersin.org/articles/10.3389/fenrg.2019.00005/full" TargetMode="External"/><Relationship Id="rId74" Type="http://schemas.openxmlformats.org/officeDocument/2006/relationships/hyperlink" Target="https://www.frontiersin.org/articles/10.3389/fenrg.2019.00005/full" TargetMode="External"/><Relationship Id="rId79" Type="http://schemas.openxmlformats.org/officeDocument/2006/relationships/hyperlink" Target="https://www.frontiersin.org/articles/10.3389/fenrg.2019.00005/full" TargetMode="External"/><Relationship Id="rId102" Type="http://schemas.openxmlformats.org/officeDocument/2006/relationships/hyperlink" Target="https://www.frontiersin.org/articles/10.3389/fenrg.2019.00005/full" TargetMode="External"/><Relationship Id="rId5" Type="http://schemas.openxmlformats.org/officeDocument/2006/relationships/settings" Target="settings.xml"/><Relationship Id="rId90" Type="http://schemas.openxmlformats.org/officeDocument/2006/relationships/hyperlink" Target="https://www.frontiersin.org/articles/10.3389/fenrg.2019.00005/full" TargetMode="External"/><Relationship Id="rId95" Type="http://schemas.openxmlformats.org/officeDocument/2006/relationships/hyperlink" Target="https://www.frontiersin.org/articles/10.3389/fenrg.2019.00005/full" TargetMode="External"/><Relationship Id="rId22" Type="http://schemas.openxmlformats.org/officeDocument/2006/relationships/hyperlink" Target="https://www.frontiersin.org/articles/10.3389/fenrg.2019.00005/full" TargetMode="External"/><Relationship Id="rId27" Type="http://schemas.openxmlformats.org/officeDocument/2006/relationships/hyperlink" Target="https://www.frontiersin.org/articles/10.3389/fenrg.2019.00005/full" TargetMode="External"/><Relationship Id="rId43" Type="http://schemas.openxmlformats.org/officeDocument/2006/relationships/hyperlink" Target="https://www.frontiersin.org/articles/10.3389/fenrg.2019.00005/full" TargetMode="External"/><Relationship Id="rId48" Type="http://schemas.openxmlformats.org/officeDocument/2006/relationships/hyperlink" Target="https://www.frontiersin.org/articles/10.3389/fenrg.2019.00005/full" TargetMode="External"/><Relationship Id="rId64" Type="http://schemas.openxmlformats.org/officeDocument/2006/relationships/hyperlink" Target="https://www.frontiersin.org/articles/10.3389/fenrg.2019.00005/full" TargetMode="External"/><Relationship Id="rId69" Type="http://schemas.openxmlformats.org/officeDocument/2006/relationships/hyperlink" Target="https://www.frontiersin.org/articles/10.3389/fenrg.2019.00005/full" TargetMode="External"/><Relationship Id="rId80" Type="http://schemas.openxmlformats.org/officeDocument/2006/relationships/hyperlink" Target="https://www.frontiersin.org/articles/10.3389/fenrg.2019.00005/full" TargetMode="External"/><Relationship Id="rId85" Type="http://schemas.openxmlformats.org/officeDocument/2006/relationships/hyperlink" Target="https://www.frontiersin.org/articles/10.3389/fenrg.2019.00005/full" TargetMode="External"/><Relationship Id="rId12" Type="http://schemas.openxmlformats.org/officeDocument/2006/relationships/hyperlink" Target="https://www.frontiersin.org/articles/10.3389/fenrg.2019.00005/full" TargetMode="External"/><Relationship Id="rId17" Type="http://schemas.openxmlformats.org/officeDocument/2006/relationships/hyperlink" Target="https://www.frontiersin.org/articles/10.3389/fenrg.2019.00005/full" TargetMode="External"/><Relationship Id="rId33" Type="http://schemas.openxmlformats.org/officeDocument/2006/relationships/hyperlink" Target="https://www.frontiersin.org/articles/10.3389/fenrg.2019.00005/full" TargetMode="External"/><Relationship Id="rId38" Type="http://schemas.openxmlformats.org/officeDocument/2006/relationships/hyperlink" Target="https://www.frontiersin.org/articles/10.3389/fenrg.2019.00005/full" TargetMode="External"/><Relationship Id="rId59" Type="http://schemas.openxmlformats.org/officeDocument/2006/relationships/hyperlink" Target="https://www.frontiersin.org/articles/10.3389/fenrg.2019.00005/full" TargetMode="External"/><Relationship Id="rId103" Type="http://schemas.openxmlformats.org/officeDocument/2006/relationships/image" Target="media/image3.png"/><Relationship Id="rId108" Type="http://schemas.openxmlformats.org/officeDocument/2006/relationships/theme" Target="theme/theme1.xml"/><Relationship Id="rId20" Type="http://schemas.openxmlformats.org/officeDocument/2006/relationships/hyperlink" Target="https://www.frontiersin.org/articles/10.3389/fenrg.2019.00005/full" TargetMode="External"/><Relationship Id="rId41" Type="http://schemas.openxmlformats.org/officeDocument/2006/relationships/hyperlink" Target="https://www.frontiersin.org/articles/10.3389/fenrg.2019.00005/full" TargetMode="External"/><Relationship Id="rId54" Type="http://schemas.openxmlformats.org/officeDocument/2006/relationships/hyperlink" Target="https://www.frontiersin.org/articles/10.3389/fenrg.2019.00005/full" TargetMode="External"/><Relationship Id="rId62" Type="http://schemas.openxmlformats.org/officeDocument/2006/relationships/hyperlink" Target="https://www.frontiersin.org/articles/10.3389/fenrg.2019.00005/full" TargetMode="External"/><Relationship Id="rId70" Type="http://schemas.openxmlformats.org/officeDocument/2006/relationships/hyperlink" Target="https://www.frontiersin.org/articles/10.3389/fenrg.2019.00005/full" TargetMode="External"/><Relationship Id="rId75" Type="http://schemas.openxmlformats.org/officeDocument/2006/relationships/hyperlink" Target="https://www.frontiersin.org/articles/10.3389/fenrg.2019.00005/full" TargetMode="External"/><Relationship Id="rId83" Type="http://schemas.openxmlformats.org/officeDocument/2006/relationships/hyperlink" Target="https://www.frontiersin.org/articles/10.3389/fenrg.2019.00005/full" TargetMode="External"/><Relationship Id="rId88" Type="http://schemas.openxmlformats.org/officeDocument/2006/relationships/hyperlink" Target="https://www.frontiersin.org/articles/10.3389/fenrg.2019.00005/full" TargetMode="External"/><Relationship Id="rId91" Type="http://schemas.openxmlformats.org/officeDocument/2006/relationships/hyperlink" Target="https://www.frontiersin.org/articles/10.3389/fenrg.2019.00005/full" TargetMode="External"/><Relationship Id="rId96" Type="http://schemas.openxmlformats.org/officeDocument/2006/relationships/hyperlink" Target="https://www.frontiersin.org/articles/10.3389/fenrg.2019.00005/ful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frontiersin.org/articles/10.3389/fenrg.2019.00005/full" TargetMode="External"/><Relationship Id="rId23" Type="http://schemas.openxmlformats.org/officeDocument/2006/relationships/hyperlink" Target="https://www.frontiersin.org/articles/10.3389/fenrg.2019.00005/full" TargetMode="External"/><Relationship Id="rId28" Type="http://schemas.openxmlformats.org/officeDocument/2006/relationships/hyperlink" Target="https://www.frontiersin.org/articles/10.3389/fenrg.2019.00005/full" TargetMode="External"/><Relationship Id="rId36" Type="http://schemas.openxmlformats.org/officeDocument/2006/relationships/hyperlink" Target="https://www.frontiersin.org/articles/10.3389/fenrg.2019.00005/full" TargetMode="External"/><Relationship Id="rId49" Type="http://schemas.openxmlformats.org/officeDocument/2006/relationships/hyperlink" Target="https://www.frontiersin.org/articles/10.3389/fenrg.2019.00005/full" TargetMode="External"/><Relationship Id="rId57" Type="http://schemas.openxmlformats.org/officeDocument/2006/relationships/hyperlink" Target="https://www.frontiersin.org/articles/10.3389/fenrg.2019.00005/full" TargetMode="External"/><Relationship Id="rId106" Type="http://schemas.openxmlformats.org/officeDocument/2006/relationships/hyperlink" Target="https://www.frontiersin.org/articles/10.3389/fenrg.2019.00005/full" TargetMode="External"/><Relationship Id="rId10" Type="http://schemas.openxmlformats.org/officeDocument/2006/relationships/hyperlink" Target="https://www.frontiersin.org/articles/10.3389/fenrg.2019.00005/full" TargetMode="External"/><Relationship Id="rId31" Type="http://schemas.openxmlformats.org/officeDocument/2006/relationships/hyperlink" Target="https://www.frontiersin.org/articles/10.3389/fenrg.2019.00005/full" TargetMode="External"/><Relationship Id="rId44" Type="http://schemas.openxmlformats.org/officeDocument/2006/relationships/hyperlink" Target="https://www.frontiersin.org/articles/10.3389/fenrg.2019.00005/full" TargetMode="External"/><Relationship Id="rId52" Type="http://schemas.openxmlformats.org/officeDocument/2006/relationships/hyperlink" Target="https://www.frontiersin.org/articles/10.3389/fenrg.2019.00005/full" TargetMode="External"/><Relationship Id="rId60" Type="http://schemas.openxmlformats.org/officeDocument/2006/relationships/hyperlink" Target="https://www.frontiersin.org/articles/10.3389/fenrg.2019.00005/full" TargetMode="External"/><Relationship Id="rId65" Type="http://schemas.openxmlformats.org/officeDocument/2006/relationships/hyperlink" Target="https://www.frontiersin.org/articles/10.3389/fenrg.2019.00005/full" TargetMode="External"/><Relationship Id="rId73" Type="http://schemas.openxmlformats.org/officeDocument/2006/relationships/hyperlink" Target="https://www.frontiersin.org/articles/10.3389/fenrg.2019.00005/full" TargetMode="External"/><Relationship Id="rId78" Type="http://schemas.openxmlformats.org/officeDocument/2006/relationships/hyperlink" Target="https://www.frontiersin.org/articles/10.3389/fenrg.2019.00005/full" TargetMode="External"/><Relationship Id="rId81" Type="http://schemas.openxmlformats.org/officeDocument/2006/relationships/hyperlink" Target="https://www.frontiersin.org/articles/10.3389/fenrg.2019.00005/full" TargetMode="External"/><Relationship Id="rId86" Type="http://schemas.openxmlformats.org/officeDocument/2006/relationships/hyperlink" Target="https://www.frontiersin.org/articles/10.3389/fenrg.2019.00005/full" TargetMode="External"/><Relationship Id="rId94" Type="http://schemas.openxmlformats.org/officeDocument/2006/relationships/hyperlink" Target="https://www.frontiersin.org/articles/10.3389/fenrg.2019.00005/full" TargetMode="External"/><Relationship Id="rId99" Type="http://schemas.openxmlformats.org/officeDocument/2006/relationships/hyperlink" Target="https://www.frontiersin.org/articles/10.3389/fenrg.2019.00005/full" TargetMode="External"/><Relationship Id="rId101" Type="http://schemas.openxmlformats.org/officeDocument/2006/relationships/hyperlink" Target="https://www.frontiersin.org/articles/10.3389/fenrg.2019.00005/full" TargetMode="External"/><Relationship Id="rId4" Type="http://schemas.openxmlformats.org/officeDocument/2006/relationships/styles" Target="styles.xml"/><Relationship Id="rId9" Type="http://schemas.openxmlformats.org/officeDocument/2006/relationships/hyperlink" Target="http://epublications.marquette.edu/" TargetMode="External"/><Relationship Id="rId13" Type="http://schemas.openxmlformats.org/officeDocument/2006/relationships/hyperlink" Target="https://www.frontiersin.org/articles/10.3389/fenrg.2019.00005/full" TargetMode="External"/><Relationship Id="rId18" Type="http://schemas.openxmlformats.org/officeDocument/2006/relationships/hyperlink" Target="https://www.frontiersin.org/articles/10.3389/fenrg.2019.00005/full" TargetMode="External"/><Relationship Id="rId39" Type="http://schemas.openxmlformats.org/officeDocument/2006/relationships/hyperlink" Target="https://www.frontiersin.org/articles/10.3389/fenrg.2019.00005/full" TargetMode="External"/><Relationship Id="rId34" Type="http://schemas.openxmlformats.org/officeDocument/2006/relationships/hyperlink" Target="https://www.frontiersin.org/articles/10.3389/fenrg.2019.00005/full" TargetMode="External"/><Relationship Id="rId50" Type="http://schemas.openxmlformats.org/officeDocument/2006/relationships/hyperlink" Target="https://www.frontiersin.org/articles/10.3389/fenrg.2019.00005/full" TargetMode="External"/><Relationship Id="rId55" Type="http://schemas.openxmlformats.org/officeDocument/2006/relationships/hyperlink" Target="https://www.frontiersin.org/articles/10.3389/fenrg.2019.00005/full" TargetMode="External"/><Relationship Id="rId76" Type="http://schemas.openxmlformats.org/officeDocument/2006/relationships/hyperlink" Target="https://www.frontiersin.org/articles/10.3389/fenrg.2019.00005/full" TargetMode="External"/><Relationship Id="rId97" Type="http://schemas.openxmlformats.org/officeDocument/2006/relationships/hyperlink" Target="https://www.frontiersin.org/articles/10.3389/fenrg.2019.00005/full" TargetMode="External"/><Relationship Id="rId104" Type="http://schemas.openxmlformats.org/officeDocument/2006/relationships/hyperlink" Target="https://www.frontiersin.org/articles/10.3389/fenrg.2019.00005/full" TargetMode="External"/><Relationship Id="rId7" Type="http://schemas.openxmlformats.org/officeDocument/2006/relationships/hyperlink" Target="https://www.frontiersin.org/articles/10.3389/fenrg.2019.00005/full" TargetMode="External"/><Relationship Id="rId71" Type="http://schemas.openxmlformats.org/officeDocument/2006/relationships/hyperlink" Target="https://www.frontiersin.org/articles/10.3389/fenrg.2019.00005/full" TargetMode="External"/><Relationship Id="rId92" Type="http://schemas.openxmlformats.org/officeDocument/2006/relationships/image" Target="media/image1.png"/><Relationship Id="rId2" Type="http://schemas.openxmlformats.org/officeDocument/2006/relationships/customXml" Target="../customXml/item2.xml"/><Relationship Id="rId29" Type="http://schemas.openxmlformats.org/officeDocument/2006/relationships/hyperlink" Target="https://www.frontiersin.org/articles/10.3389/fenrg.2019.00005/full" TargetMode="External"/><Relationship Id="rId24" Type="http://schemas.openxmlformats.org/officeDocument/2006/relationships/hyperlink" Target="https://www.frontiersin.org/articles/10.3389/fenrg.2019.00005/full" TargetMode="External"/><Relationship Id="rId40" Type="http://schemas.openxmlformats.org/officeDocument/2006/relationships/hyperlink" Target="https://www.frontiersin.org/articles/10.3389/fenrg.2019.00005/full" TargetMode="External"/><Relationship Id="rId45" Type="http://schemas.openxmlformats.org/officeDocument/2006/relationships/hyperlink" Target="https://www.frontiersin.org/articles/10.3389/fenrg.2019.00005/full" TargetMode="External"/><Relationship Id="rId66" Type="http://schemas.openxmlformats.org/officeDocument/2006/relationships/hyperlink" Target="https://www.frontiersin.org/articles/10.3389/fenrg.2019.00005/full" TargetMode="External"/><Relationship Id="rId87" Type="http://schemas.openxmlformats.org/officeDocument/2006/relationships/hyperlink" Target="https://www.frontiersin.org/articles/10.3389/fenrg.2019.00005/full" TargetMode="External"/><Relationship Id="rId61" Type="http://schemas.openxmlformats.org/officeDocument/2006/relationships/hyperlink" Target="https://www.frontiersin.org/articles/10.3389/fenrg.2019.00005/full" TargetMode="External"/><Relationship Id="rId82" Type="http://schemas.openxmlformats.org/officeDocument/2006/relationships/hyperlink" Target="https://www.frontiersin.org/articles/10.3389/fenrg.2019.00005/full" TargetMode="External"/><Relationship Id="rId19" Type="http://schemas.openxmlformats.org/officeDocument/2006/relationships/hyperlink" Target="https://www.frontiersin.org/articles/10.3389/fenrg.2019.00005/full" TargetMode="External"/><Relationship Id="rId14" Type="http://schemas.openxmlformats.org/officeDocument/2006/relationships/hyperlink" Target="https://www.frontiersin.org/articles/10.3389/fenrg.2019.00005/full" TargetMode="External"/><Relationship Id="rId30" Type="http://schemas.openxmlformats.org/officeDocument/2006/relationships/hyperlink" Target="https://www.frontiersin.org/articles/10.3389/fenrg.2019.00005/full" TargetMode="External"/><Relationship Id="rId35" Type="http://schemas.openxmlformats.org/officeDocument/2006/relationships/hyperlink" Target="https://www.frontiersin.org/articles/10.3389/fenrg.2019.00005/full" TargetMode="External"/><Relationship Id="rId56" Type="http://schemas.openxmlformats.org/officeDocument/2006/relationships/hyperlink" Target="https://www.frontiersin.org/articles/10.3389/fenrg.2019.00005/full" TargetMode="External"/><Relationship Id="rId77" Type="http://schemas.openxmlformats.org/officeDocument/2006/relationships/hyperlink" Target="https://www.frontiersin.org/articles/10.3389/fenrg.2019.00005/full" TargetMode="External"/><Relationship Id="rId100" Type="http://schemas.openxmlformats.org/officeDocument/2006/relationships/image" Target="media/image2.png"/><Relationship Id="rId105" Type="http://schemas.openxmlformats.org/officeDocument/2006/relationships/hyperlink" Target="https://www.frontiersin.org/articles/10.3389/fenrg.2019.00005/full" TargetMode="External"/><Relationship Id="rId8" Type="http://schemas.openxmlformats.org/officeDocument/2006/relationships/hyperlink" Target="http://creativecommons.org/licenses/by/4.0/" TargetMode="External"/><Relationship Id="rId51" Type="http://schemas.openxmlformats.org/officeDocument/2006/relationships/hyperlink" Target="https://www.frontiersin.org/articles/10.3389/fenrg.2019.00005/full" TargetMode="External"/><Relationship Id="rId72" Type="http://schemas.openxmlformats.org/officeDocument/2006/relationships/hyperlink" Target="https://www.frontiersin.org/articles/10.3389/fenrg.2019.00005/full" TargetMode="External"/><Relationship Id="rId93" Type="http://schemas.openxmlformats.org/officeDocument/2006/relationships/hyperlink" Target="https://www.frontiersin.org/articles/10.3389/fenrg.2019.00005/full" TargetMode="External"/><Relationship Id="rId98" Type="http://schemas.openxmlformats.org/officeDocument/2006/relationships/hyperlink" Target="https://www.frontiersin.org/articles/10.3389/fenrg.2019.00005/full" TargetMode="External"/><Relationship Id="rId3" Type="http://schemas.openxmlformats.org/officeDocument/2006/relationships/customXml" Target="../customXml/item3.xml"/><Relationship Id="rId25" Type="http://schemas.openxmlformats.org/officeDocument/2006/relationships/hyperlink" Target="https://www.frontiersin.org/articles/10.3389/fenrg.2019.00005/full" TargetMode="External"/><Relationship Id="rId46" Type="http://schemas.openxmlformats.org/officeDocument/2006/relationships/hyperlink" Target="https://www.frontiersin.org/articles/10.3389/fenrg.2019.00005/full" TargetMode="External"/><Relationship Id="rId67" Type="http://schemas.openxmlformats.org/officeDocument/2006/relationships/hyperlink" Target="https://www.frontiersin.org/articles/10.3389/fenrg.2019.00005/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244EB5-436D-40AF-A0EE-5410CFC633E1}">
  <ds:schemaRefs>
    <ds:schemaRef ds:uri="http://schemas.microsoft.com/sharepoint/v3/contenttype/forms"/>
  </ds:schemaRefs>
</ds:datastoreItem>
</file>

<file path=customXml/itemProps2.xml><?xml version="1.0" encoding="utf-8"?>
<ds:datastoreItem xmlns:ds="http://schemas.openxmlformats.org/officeDocument/2006/customXml" ds:itemID="{52DCE2FD-6694-4222-AE96-D7BD949D61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1FD99C-77B8-42F2-A324-EA9BD575E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16</Pages>
  <Words>7925</Words>
  <Characters>45178</Characters>
  <Application>Microsoft Office Word</Application>
  <DocSecurity>8</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280</cp:revision>
  <dcterms:created xsi:type="dcterms:W3CDTF">2019-08-08T15:45:00Z</dcterms:created>
  <dcterms:modified xsi:type="dcterms:W3CDTF">2019-10-29T19:11:00Z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