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15F0A" w:rsidRDefault="000A7622" w:rsidP="000A7622">
      <w:pPr>
        <w:pStyle w:val="Default"/>
        <w:rPr>
          <w:rFonts w:asciiTheme="minorHAnsi" w:hAnsiTheme="minorHAnsi" w:cstheme="minorHAnsi"/>
          <w:sz w:val="22"/>
          <w:szCs w:val="22"/>
        </w:rPr>
      </w:pPr>
    </w:p>
    <w:p w14:paraId="2538F7F5" w14:textId="77777777" w:rsidR="000A7622" w:rsidRPr="00315F0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15F0A">
        <w:rPr>
          <w:rFonts w:cstheme="minorHAnsi"/>
          <w:b/>
          <w:bCs/>
          <w:color w:val="316192"/>
          <w:sz w:val="28"/>
          <w:szCs w:val="26"/>
        </w:rPr>
        <w:t>Marquette University</w:t>
      </w:r>
    </w:p>
    <w:p w14:paraId="158D4B9F" w14:textId="77777777" w:rsidR="000A7622" w:rsidRPr="00315F0A" w:rsidRDefault="000A7622" w:rsidP="00D14423">
      <w:pPr>
        <w:autoSpaceDE w:val="0"/>
        <w:autoSpaceDN w:val="0"/>
        <w:adjustRightInd w:val="0"/>
        <w:rPr>
          <w:rFonts w:cstheme="minorHAnsi"/>
          <w:b/>
          <w:bCs/>
          <w:color w:val="316192"/>
          <w:sz w:val="40"/>
          <w:szCs w:val="36"/>
        </w:rPr>
      </w:pPr>
      <w:r w:rsidRPr="00315F0A">
        <w:rPr>
          <w:rFonts w:cstheme="minorHAnsi"/>
          <w:b/>
          <w:bCs/>
          <w:color w:val="316192"/>
          <w:sz w:val="40"/>
          <w:szCs w:val="36"/>
        </w:rPr>
        <w:t>e-Publications@Marquette</w:t>
      </w:r>
    </w:p>
    <w:p w14:paraId="689ACF87" w14:textId="77777777" w:rsidR="000A7622" w:rsidRPr="00315F0A" w:rsidRDefault="000A7622" w:rsidP="00D14423">
      <w:pPr>
        <w:autoSpaceDE w:val="0"/>
        <w:autoSpaceDN w:val="0"/>
        <w:adjustRightInd w:val="0"/>
        <w:rPr>
          <w:rFonts w:cstheme="minorHAnsi"/>
          <w:b/>
          <w:bCs/>
          <w:i/>
          <w:iCs/>
        </w:rPr>
      </w:pPr>
    </w:p>
    <w:p w14:paraId="161853CC" w14:textId="3DF0872D" w:rsidR="000A7622" w:rsidRPr="00315F0A" w:rsidRDefault="000B2AD9" w:rsidP="00D14423">
      <w:pPr>
        <w:autoSpaceDE w:val="0"/>
        <w:autoSpaceDN w:val="0"/>
        <w:adjustRightInd w:val="0"/>
        <w:rPr>
          <w:rFonts w:cstheme="minorHAnsi"/>
          <w:b/>
          <w:bCs/>
          <w:i/>
          <w:iCs/>
          <w:sz w:val="32"/>
          <w:szCs w:val="32"/>
        </w:rPr>
      </w:pPr>
      <w:r w:rsidRPr="00315F0A">
        <w:rPr>
          <w:rFonts w:cstheme="minorHAnsi"/>
          <w:b/>
          <w:bCs/>
          <w:i/>
          <w:iCs/>
          <w:sz w:val="32"/>
          <w:szCs w:val="32"/>
        </w:rPr>
        <w:t xml:space="preserve">Civil, Environmental, Construction Engineering </w:t>
      </w:r>
      <w:r w:rsidR="000A7622" w:rsidRPr="00315F0A">
        <w:rPr>
          <w:rFonts w:cstheme="minorHAnsi"/>
          <w:b/>
          <w:bCs/>
          <w:i/>
          <w:iCs/>
          <w:sz w:val="32"/>
          <w:szCs w:val="32"/>
        </w:rPr>
        <w:t>Faculty Research and Publications/</w:t>
      </w:r>
      <w:r w:rsidR="009732A9" w:rsidRPr="00315F0A">
        <w:rPr>
          <w:rFonts w:cstheme="minorHAnsi"/>
          <w:b/>
          <w:bCs/>
          <w:i/>
          <w:iCs/>
          <w:sz w:val="32"/>
          <w:szCs w:val="32"/>
        </w:rPr>
        <w:t xml:space="preserve">College of </w:t>
      </w:r>
      <w:r w:rsidRPr="00315F0A">
        <w:rPr>
          <w:rFonts w:cstheme="minorHAnsi"/>
          <w:b/>
          <w:bCs/>
          <w:i/>
          <w:iCs/>
          <w:sz w:val="32"/>
          <w:szCs w:val="32"/>
        </w:rPr>
        <w:t>Engineering</w:t>
      </w:r>
    </w:p>
    <w:bookmarkEnd w:id="0"/>
    <w:p w14:paraId="3E538636" w14:textId="77777777" w:rsidR="000A7622" w:rsidRPr="00315F0A" w:rsidRDefault="000A7622" w:rsidP="00D14423">
      <w:pPr>
        <w:jc w:val="center"/>
        <w:rPr>
          <w:rFonts w:cstheme="minorHAnsi"/>
          <w:b/>
          <w:bCs/>
          <w:i/>
          <w:iCs/>
        </w:rPr>
      </w:pPr>
    </w:p>
    <w:p w14:paraId="25509BF0" w14:textId="4F7E8C1C" w:rsidR="000A7622" w:rsidRPr="00315F0A" w:rsidRDefault="000A7622" w:rsidP="00D14423">
      <w:pPr>
        <w:jc w:val="center"/>
        <w:rPr>
          <w:rFonts w:cstheme="minorHAnsi"/>
          <w:sz w:val="24"/>
          <w:szCs w:val="24"/>
        </w:rPr>
      </w:pPr>
      <w:r w:rsidRPr="00315F0A">
        <w:rPr>
          <w:rFonts w:cstheme="minorHAnsi"/>
          <w:b/>
          <w:bCs/>
          <w:i/>
          <w:iCs/>
          <w:sz w:val="24"/>
          <w:szCs w:val="24"/>
        </w:rPr>
        <w:t xml:space="preserve">This paper is NOT THE PUBLISHED VERSION; </w:t>
      </w:r>
      <w:r w:rsidRPr="00315F0A">
        <w:rPr>
          <w:rFonts w:cstheme="minorHAnsi"/>
          <w:b/>
          <w:bCs/>
          <w:sz w:val="24"/>
          <w:szCs w:val="24"/>
        </w:rPr>
        <w:t xml:space="preserve">but the author’s final, peer-reviewed manuscript. </w:t>
      </w:r>
      <w:r w:rsidRPr="00315F0A">
        <w:rPr>
          <w:rFonts w:cstheme="minorHAnsi"/>
          <w:sz w:val="24"/>
          <w:szCs w:val="24"/>
        </w:rPr>
        <w:t>The published version may be accessed by following the link in th</w:t>
      </w:r>
      <w:r w:rsidR="000B2AD9" w:rsidRPr="00315F0A">
        <w:rPr>
          <w:rFonts w:cstheme="minorHAnsi"/>
          <w:sz w:val="24"/>
          <w:szCs w:val="24"/>
        </w:rPr>
        <w:t>e</w:t>
      </w:r>
      <w:r w:rsidRPr="00315F0A">
        <w:rPr>
          <w:rFonts w:cstheme="minorHAnsi"/>
          <w:sz w:val="24"/>
          <w:szCs w:val="24"/>
        </w:rPr>
        <w:t xml:space="preserve"> citation below.</w:t>
      </w:r>
    </w:p>
    <w:p w14:paraId="207B0342" w14:textId="77777777" w:rsidR="000A7622" w:rsidRPr="00315F0A" w:rsidRDefault="000A7622" w:rsidP="00D14423">
      <w:pPr>
        <w:jc w:val="center"/>
        <w:rPr>
          <w:rFonts w:cstheme="minorHAnsi"/>
          <w:sz w:val="24"/>
          <w:szCs w:val="24"/>
        </w:rPr>
      </w:pPr>
      <w:bookmarkStart w:id="2" w:name="_GoBack"/>
    </w:p>
    <w:bookmarkEnd w:id="2"/>
    <w:p w14:paraId="2A38AFE1" w14:textId="5F04551E" w:rsidR="000A7622" w:rsidRPr="00315F0A" w:rsidRDefault="00456329" w:rsidP="00D14423">
      <w:pPr>
        <w:rPr>
          <w:rFonts w:cstheme="minorHAnsi"/>
          <w:sz w:val="24"/>
          <w:szCs w:val="24"/>
        </w:rPr>
      </w:pPr>
      <w:r w:rsidRPr="00315F0A">
        <w:rPr>
          <w:rFonts w:cstheme="minorHAnsi"/>
          <w:i/>
          <w:sz w:val="24"/>
          <w:szCs w:val="24"/>
          <w:lang w:val="fr-FR"/>
        </w:rPr>
        <w:t xml:space="preserve">Water Environment </w:t>
      </w:r>
      <w:r w:rsidR="001D6BDC" w:rsidRPr="00315F0A">
        <w:rPr>
          <w:rFonts w:cstheme="minorHAnsi"/>
          <w:i/>
          <w:sz w:val="24"/>
          <w:szCs w:val="24"/>
          <w:lang w:val="fr-FR"/>
        </w:rPr>
        <w:t>Research</w:t>
      </w:r>
      <w:r w:rsidR="000A7622" w:rsidRPr="00315F0A">
        <w:rPr>
          <w:rFonts w:cstheme="minorHAnsi"/>
          <w:sz w:val="24"/>
          <w:szCs w:val="24"/>
          <w:lang w:val="fr-FR"/>
        </w:rPr>
        <w:t xml:space="preserve">, Vol. </w:t>
      </w:r>
      <w:r w:rsidR="00634F53" w:rsidRPr="00315F0A">
        <w:rPr>
          <w:rFonts w:cstheme="minorHAnsi"/>
          <w:sz w:val="24"/>
          <w:szCs w:val="24"/>
          <w:lang w:val="fr-FR"/>
        </w:rPr>
        <w:t>91</w:t>
      </w:r>
      <w:r w:rsidR="000A7622" w:rsidRPr="00315F0A">
        <w:rPr>
          <w:rFonts w:cstheme="minorHAnsi"/>
          <w:sz w:val="24"/>
          <w:szCs w:val="24"/>
          <w:lang w:val="fr-FR"/>
        </w:rPr>
        <w:t xml:space="preserve">, No. </w:t>
      </w:r>
      <w:r w:rsidR="00634F53" w:rsidRPr="00315F0A">
        <w:rPr>
          <w:rFonts w:cstheme="minorHAnsi"/>
          <w:sz w:val="24"/>
          <w:szCs w:val="24"/>
          <w:lang w:val="fr-FR"/>
        </w:rPr>
        <w:t>7</w:t>
      </w:r>
      <w:r w:rsidR="000A7622" w:rsidRPr="00315F0A">
        <w:rPr>
          <w:rFonts w:cstheme="minorHAnsi"/>
          <w:sz w:val="24"/>
          <w:szCs w:val="24"/>
          <w:lang w:val="fr-FR"/>
        </w:rPr>
        <w:t xml:space="preserve"> (</w:t>
      </w:r>
      <w:r w:rsidR="000308B6" w:rsidRPr="00315F0A">
        <w:rPr>
          <w:rFonts w:cstheme="minorHAnsi"/>
          <w:sz w:val="24"/>
          <w:szCs w:val="24"/>
          <w:lang w:val="fr-FR"/>
        </w:rPr>
        <w:t>July 2019</w:t>
      </w:r>
      <w:r w:rsidR="000A7622" w:rsidRPr="00315F0A">
        <w:rPr>
          <w:rFonts w:cstheme="minorHAnsi"/>
          <w:sz w:val="24"/>
          <w:szCs w:val="24"/>
          <w:lang w:val="fr-FR"/>
        </w:rPr>
        <w:t>)</w:t>
      </w:r>
      <w:r w:rsidR="00CD6B6A" w:rsidRPr="00315F0A">
        <w:rPr>
          <w:rFonts w:cstheme="minorHAnsi"/>
          <w:sz w:val="24"/>
          <w:szCs w:val="24"/>
          <w:lang w:val="fr-FR"/>
        </w:rPr>
        <w:t xml:space="preserve"> </w:t>
      </w:r>
      <w:r w:rsidR="000A7622" w:rsidRPr="00315F0A">
        <w:rPr>
          <w:rFonts w:cstheme="minorHAnsi"/>
          <w:sz w:val="24"/>
          <w:szCs w:val="24"/>
          <w:lang w:val="fr-FR"/>
        </w:rPr>
        <w:t xml:space="preserve">: </w:t>
      </w:r>
      <w:r w:rsidR="000308B6" w:rsidRPr="00315F0A">
        <w:rPr>
          <w:rFonts w:cstheme="minorHAnsi"/>
          <w:sz w:val="24"/>
          <w:szCs w:val="24"/>
          <w:lang w:val="fr-FR"/>
        </w:rPr>
        <w:t>606</w:t>
      </w:r>
      <w:r w:rsidR="000A7622" w:rsidRPr="00315F0A">
        <w:rPr>
          <w:rFonts w:cstheme="minorHAnsi"/>
          <w:sz w:val="24"/>
          <w:szCs w:val="24"/>
          <w:lang w:val="fr-FR"/>
        </w:rPr>
        <w:t>-</w:t>
      </w:r>
      <w:r w:rsidR="000308B6" w:rsidRPr="00315F0A">
        <w:rPr>
          <w:rFonts w:cstheme="minorHAnsi"/>
          <w:sz w:val="24"/>
          <w:szCs w:val="24"/>
          <w:lang w:val="fr-FR"/>
        </w:rPr>
        <w:t>615</w:t>
      </w:r>
      <w:r w:rsidR="000A7622" w:rsidRPr="00315F0A">
        <w:rPr>
          <w:rFonts w:cstheme="minorHAnsi"/>
          <w:sz w:val="24"/>
          <w:szCs w:val="24"/>
          <w:lang w:val="fr-FR"/>
        </w:rPr>
        <w:t xml:space="preserve">. </w:t>
      </w:r>
      <w:hyperlink r:id="rId8" w:history="1">
        <w:r w:rsidR="000A7622" w:rsidRPr="00315F0A">
          <w:rPr>
            <w:rFonts w:cstheme="minorHAnsi"/>
            <w:color w:val="0563C1" w:themeColor="hyperlink"/>
            <w:sz w:val="24"/>
            <w:szCs w:val="24"/>
            <w:u w:val="single"/>
            <w:lang w:val="fr-FR"/>
          </w:rPr>
          <w:t>DOI</w:t>
        </w:r>
      </w:hyperlink>
      <w:r w:rsidR="000A7622" w:rsidRPr="00315F0A">
        <w:rPr>
          <w:rFonts w:cstheme="minorHAnsi"/>
          <w:sz w:val="24"/>
          <w:szCs w:val="24"/>
          <w:lang w:val="fr-FR"/>
        </w:rPr>
        <w:t xml:space="preserve">. </w:t>
      </w:r>
      <w:r w:rsidR="000A7622" w:rsidRPr="00315F0A">
        <w:rPr>
          <w:rFonts w:cstheme="minorHAnsi"/>
          <w:sz w:val="24"/>
          <w:szCs w:val="24"/>
        </w:rPr>
        <w:t xml:space="preserve">This article is © </w:t>
      </w:r>
      <w:r w:rsidR="00C10BBB" w:rsidRPr="00315F0A">
        <w:rPr>
          <w:rFonts w:cstheme="minorHAnsi"/>
          <w:sz w:val="24"/>
          <w:szCs w:val="24"/>
        </w:rPr>
        <w:t>Water Environment Federation</w:t>
      </w:r>
      <w:r w:rsidR="000A7622" w:rsidRPr="00315F0A">
        <w:rPr>
          <w:rFonts w:cstheme="minorHAnsi"/>
          <w:sz w:val="24"/>
          <w:szCs w:val="24"/>
        </w:rPr>
        <w:t xml:space="preserve"> and permission has been granted for this version to appear in </w:t>
      </w:r>
      <w:hyperlink r:id="rId9" w:history="1">
        <w:r w:rsidR="000A7622" w:rsidRPr="00315F0A">
          <w:rPr>
            <w:rFonts w:cstheme="minorHAnsi"/>
            <w:color w:val="0563C1" w:themeColor="hyperlink"/>
            <w:sz w:val="24"/>
            <w:szCs w:val="24"/>
            <w:u w:val="single"/>
          </w:rPr>
          <w:t>e-Publications@Marquette</w:t>
        </w:r>
      </w:hyperlink>
      <w:r w:rsidR="000A7622" w:rsidRPr="00315F0A">
        <w:rPr>
          <w:rFonts w:cstheme="minorHAnsi"/>
          <w:sz w:val="24"/>
          <w:szCs w:val="24"/>
        </w:rPr>
        <w:t xml:space="preserve">. </w:t>
      </w:r>
      <w:r w:rsidR="00C10BBB" w:rsidRPr="00315F0A">
        <w:rPr>
          <w:rFonts w:cstheme="minorHAnsi"/>
          <w:sz w:val="24"/>
          <w:szCs w:val="24"/>
        </w:rPr>
        <w:t xml:space="preserve">Water Environment Federation </w:t>
      </w:r>
      <w:r w:rsidR="000A7622" w:rsidRPr="00315F0A">
        <w:rPr>
          <w:rFonts w:cstheme="minorHAnsi"/>
          <w:sz w:val="24"/>
          <w:szCs w:val="24"/>
        </w:rPr>
        <w:t xml:space="preserve">does not grant permission for this article to be further copied/distributed or hosted elsewhere without the express permission from </w:t>
      </w:r>
      <w:r w:rsidR="00C10BBB" w:rsidRPr="00315F0A">
        <w:rPr>
          <w:rFonts w:cstheme="minorHAnsi"/>
          <w:sz w:val="24"/>
          <w:szCs w:val="24"/>
        </w:rPr>
        <w:t>Water Environment Federation.</w:t>
      </w:r>
    </w:p>
    <w:bookmarkEnd w:id="1"/>
    <w:p w14:paraId="5BC0075B" w14:textId="4EACCDB5" w:rsidR="000A7622" w:rsidRPr="00315F0A" w:rsidRDefault="00E37EDB" w:rsidP="00E37EDB">
      <w:pPr>
        <w:pStyle w:val="Title"/>
        <w:rPr>
          <w:rFonts w:asciiTheme="minorHAnsi" w:hAnsiTheme="minorHAnsi" w:cstheme="minorHAnsi"/>
        </w:rPr>
      </w:pPr>
      <w:r w:rsidRPr="00315F0A">
        <w:rPr>
          <w:rFonts w:asciiTheme="minorHAnsi" w:hAnsiTheme="minorHAnsi" w:cstheme="minorHAnsi"/>
        </w:rPr>
        <w:t>Ion exchange nutrient recovery from anaerobic membrane bioreactor permeate</w:t>
      </w:r>
    </w:p>
    <w:p w14:paraId="6C42702D" w14:textId="77777777" w:rsidR="00433F59" w:rsidRPr="00315F0A" w:rsidRDefault="00433F59" w:rsidP="00A51074">
      <w:pPr>
        <w:rPr>
          <w:rFonts w:cstheme="minorHAnsi"/>
        </w:rPr>
      </w:pPr>
    </w:p>
    <w:p w14:paraId="79579BB5" w14:textId="6A4ECE04" w:rsidR="00A51074" w:rsidRPr="00315F0A" w:rsidRDefault="00A51074" w:rsidP="00A51074">
      <w:pPr>
        <w:rPr>
          <w:rFonts w:cstheme="minorHAnsi"/>
        </w:rPr>
      </w:pPr>
      <w:r w:rsidRPr="00315F0A">
        <w:rPr>
          <w:rFonts w:cstheme="minorHAnsi"/>
          <w:sz w:val="28"/>
          <w:szCs w:val="28"/>
        </w:rPr>
        <w:t>Patrick Mullen</w:t>
      </w:r>
      <w:r w:rsidR="007352E5" w:rsidRPr="00315F0A">
        <w:rPr>
          <w:rFonts w:cstheme="minorHAnsi"/>
          <w:sz w:val="28"/>
          <w:szCs w:val="28"/>
        </w:rPr>
        <w:t xml:space="preserve">: </w:t>
      </w:r>
      <w:r w:rsidR="007352E5" w:rsidRPr="00315F0A">
        <w:rPr>
          <w:rFonts w:cstheme="minorHAnsi"/>
        </w:rPr>
        <w:t>Department of Civil, Construction and Environmental Engineering, Marquette University, Milwaukee, Wisconsin</w:t>
      </w:r>
    </w:p>
    <w:p w14:paraId="029FA0E6" w14:textId="0EEC57C3" w:rsidR="00A51074" w:rsidRPr="00315F0A" w:rsidRDefault="00A51074" w:rsidP="00A51074">
      <w:pPr>
        <w:rPr>
          <w:rFonts w:cstheme="minorHAnsi"/>
        </w:rPr>
      </w:pPr>
      <w:r w:rsidRPr="00315F0A">
        <w:rPr>
          <w:rFonts w:cstheme="minorHAnsi"/>
          <w:sz w:val="28"/>
          <w:szCs w:val="28"/>
        </w:rPr>
        <w:t>Kaushik Venkiteshwaran</w:t>
      </w:r>
      <w:r w:rsidR="007352E5" w:rsidRPr="00315F0A">
        <w:rPr>
          <w:rFonts w:cstheme="minorHAnsi"/>
          <w:sz w:val="28"/>
          <w:szCs w:val="28"/>
        </w:rPr>
        <w:t xml:space="preserve">: </w:t>
      </w:r>
      <w:r w:rsidR="0005131F" w:rsidRPr="00315F0A">
        <w:rPr>
          <w:rFonts w:cstheme="minorHAnsi"/>
        </w:rPr>
        <w:t>Department of Civil, Construction and Environmental Engineering, Marquette University, Milwaukee, Wisconsin</w:t>
      </w:r>
      <w:r w:rsidRPr="00315F0A">
        <w:rPr>
          <w:rFonts w:cstheme="minorHAnsi"/>
        </w:rPr>
        <w:t xml:space="preserve">  </w:t>
      </w:r>
    </w:p>
    <w:p w14:paraId="415282C0" w14:textId="2E7F3B69" w:rsidR="00A51074" w:rsidRPr="00315F0A" w:rsidRDefault="00A51074" w:rsidP="00A51074">
      <w:pPr>
        <w:rPr>
          <w:rFonts w:cstheme="minorHAnsi"/>
        </w:rPr>
      </w:pPr>
      <w:r w:rsidRPr="00315F0A">
        <w:rPr>
          <w:rFonts w:cstheme="minorHAnsi"/>
          <w:sz w:val="28"/>
          <w:szCs w:val="28"/>
        </w:rPr>
        <w:t>Daniel H. Zitomer</w:t>
      </w:r>
      <w:r w:rsidR="0005131F" w:rsidRPr="00315F0A">
        <w:rPr>
          <w:rFonts w:cstheme="minorHAnsi"/>
          <w:sz w:val="28"/>
          <w:szCs w:val="28"/>
        </w:rPr>
        <w:t xml:space="preserve">: </w:t>
      </w:r>
      <w:r w:rsidR="007B012C" w:rsidRPr="00315F0A">
        <w:rPr>
          <w:rFonts w:cstheme="minorHAnsi"/>
        </w:rPr>
        <w:t>Department of Civil, Construction and Environmental Engineering, Marquette University, Milwaukee, Wisconsin</w:t>
      </w:r>
    </w:p>
    <w:p w14:paraId="32BF0D3D" w14:textId="3FA01417" w:rsidR="00E37EDB" w:rsidRPr="00315F0A" w:rsidRDefault="00A51074" w:rsidP="00A51074">
      <w:pPr>
        <w:rPr>
          <w:rFonts w:cstheme="minorHAnsi"/>
        </w:rPr>
      </w:pPr>
      <w:r w:rsidRPr="00315F0A">
        <w:rPr>
          <w:rFonts w:cstheme="minorHAnsi"/>
          <w:sz w:val="28"/>
          <w:szCs w:val="28"/>
        </w:rPr>
        <w:t>Brooke K. Mayer</w:t>
      </w:r>
      <w:r w:rsidR="007B012C" w:rsidRPr="00315F0A">
        <w:rPr>
          <w:rFonts w:cstheme="minorHAnsi"/>
          <w:sz w:val="28"/>
          <w:szCs w:val="28"/>
        </w:rPr>
        <w:t xml:space="preserve">: </w:t>
      </w:r>
      <w:r w:rsidR="00150ED1" w:rsidRPr="00315F0A">
        <w:rPr>
          <w:rFonts w:cstheme="minorHAnsi"/>
        </w:rPr>
        <w:t>Department of Civil, Construction and Environmental Engineering, Marquette University, Milwaukee, Wisconsin</w:t>
      </w:r>
    </w:p>
    <w:p w14:paraId="773328AD" w14:textId="565C6C99" w:rsidR="00596CAE" w:rsidRPr="00315F0A" w:rsidRDefault="00596CAE" w:rsidP="007A12CA">
      <w:pPr>
        <w:pStyle w:val="Heading1"/>
        <w:rPr>
          <w:rFonts w:asciiTheme="minorHAnsi" w:hAnsiTheme="minorHAnsi" w:cstheme="minorHAnsi"/>
        </w:rPr>
      </w:pPr>
      <w:r w:rsidRPr="00315F0A">
        <w:rPr>
          <w:rFonts w:asciiTheme="minorHAnsi" w:hAnsiTheme="minorHAnsi" w:cstheme="minorHAnsi"/>
        </w:rPr>
        <w:t>Abstract</w:t>
      </w:r>
    </w:p>
    <w:p w14:paraId="00AC6BB0" w14:textId="77777777" w:rsidR="00596CAE" w:rsidRPr="00315F0A" w:rsidRDefault="00596CAE" w:rsidP="007A12CA">
      <w:pPr>
        <w:rPr>
          <w:rFonts w:cstheme="minorHAnsi"/>
        </w:rPr>
      </w:pPr>
      <w:r w:rsidRPr="00315F0A">
        <w:rPr>
          <w:rFonts w:cstheme="minorHAnsi"/>
        </w:rPr>
        <w:t>Nutrient recovery from municipal wastewater was evaluated using anion exchange media loaded with hydrated ferric oxide (HFO) and copper (Cu</w:t>
      </w:r>
      <w:r w:rsidRPr="00315F0A">
        <w:rPr>
          <w:rFonts w:cstheme="minorHAnsi"/>
          <w:sz w:val="18"/>
          <w:szCs w:val="18"/>
          <w:vertAlign w:val="superscript"/>
        </w:rPr>
        <w:t>2+</w:t>
      </w:r>
      <w:r w:rsidRPr="00315F0A">
        <w:rPr>
          <w:rFonts w:cstheme="minorHAnsi"/>
        </w:rPr>
        <w:t xml:space="preserve">) (Dow‐HFO‐Cu resin) to selectively capture phosphate, followed by clinoptilolite for ammonium removal and recovery. Nutrients were concentrated in the regenerants and recovered as precipitated struvite. Media exchange capacity after multiple ion exchange cycles was determined using permeate from an anaerobic membrane bioreactor (AnMBR) treating synthetic or actual municipal </w:t>
      </w:r>
      <w:r w:rsidRPr="00315F0A">
        <w:rPr>
          <w:rFonts w:cstheme="minorHAnsi"/>
        </w:rPr>
        <w:lastRenderedPageBreak/>
        <w:t>wastewater from a full‐scale water reclamation facility. Regeneration through five ion exchange cycles using relatively low concentration regenerant solution (2% NaCl and 0.5% NaOH) resulted in the highest phosphate exchange capacity and phosphate recovery. This regenerant also provided the most consistent ammonium recovery. Column tests treating AnMBR permeate were performed over five ion exchange cycles; Dow‐HFO‐Cu resin exchange capacities ranged from 1.6 to 2.8 mg PO</w:t>
      </w:r>
      <w:r w:rsidRPr="00315F0A">
        <w:rPr>
          <w:rFonts w:cstheme="minorHAnsi"/>
          <w:sz w:val="18"/>
          <w:szCs w:val="18"/>
          <w:vertAlign w:val="subscript"/>
        </w:rPr>
        <w:t>4</w:t>
      </w:r>
      <w:r w:rsidRPr="00315F0A">
        <w:rPr>
          <w:rFonts w:cstheme="minorHAnsi"/>
        </w:rPr>
        <w:t>‐P/g dry media. A maximum of 94% of the removed phosphate was recovered during regeneration. The rate and extent of regeneration was insensitive to regenerant salt concentrations in the range investigated. Precipitation using a mixture of the spent regeneration brines from the Dow‐HFO‐Cu resin and clinoptilolite columns produced low molar ratios of Mg:NH</w:t>
      </w:r>
      <w:r w:rsidRPr="00315F0A">
        <w:rPr>
          <w:rFonts w:cstheme="minorHAnsi"/>
          <w:sz w:val="18"/>
          <w:szCs w:val="18"/>
          <w:vertAlign w:val="subscript"/>
        </w:rPr>
        <w:t>4</w:t>
      </w:r>
      <w:r w:rsidRPr="00315F0A">
        <w:rPr>
          <w:rFonts w:cstheme="minorHAnsi"/>
        </w:rPr>
        <w:t>:PO</w:t>
      </w:r>
      <w:r w:rsidRPr="00315F0A">
        <w:rPr>
          <w:rFonts w:cstheme="minorHAnsi"/>
          <w:sz w:val="18"/>
          <w:szCs w:val="18"/>
          <w:vertAlign w:val="subscript"/>
        </w:rPr>
        <w:t>4</w:t>
      </w:r>
      <w:r w:rsidRPr="00315F0A">
        <w:rPr>
          <w:rFonts w:cstheme="minorHAnsi"/>
        </w:rPr>
        <w:t>, suggesting that the recovered product was not pure struvite.</w:t>
      </w:r>
    </w:p>
    <w:p w14:paraId="71ABF5B5" w14:textId="77777777" w:rsidR="00596CAE" w:rsidRPr="00315F0A" w:rsidRDefault="00596CAE" w:rsidP="007A12CA">
      <w:pPr>
        <w:pStyle w:val="Heading2"/>
        <w:rPr>
          <w:rFonts w:asciiTheme="minorHAnsi" w:hAnsiTheme="minorHAnsi" w:cstheme="minorHAnsi"/>
        </w:rPr>
      </w:pPr>
      <w:r w:rsidRPr="00315F0A">
        <w:rPr>
          <w:rFonts w:asciiTheme="minorHAnsi" w:hAnsiTheme="minorHAnsi" w:cstheme="minorHAnsi"/>
        </w:rPr>
        <w:t>Practitioner points</w:t>
      </w:r>
    </w:p>
    <w:p w14:paraId="6CFE187D" w14:textId="329EED8E" w:rsidR="00596CAE" w:rsidRPr="00315F0A" w:rsidRDefault="00596CAE" w:rsidP="007A12CA">
      <w:pPr>
        <w:pStyle w:val="ListParagraph"/>
        <w:numPr>
          <w:ilvl w:val="0"/>
          <w:numId w:val="3"/>
        </w:numPr>
        <w:rPr>
          <w:rFonts w:cstheme="minorHAnsi"/>
        </w:rPr>
      </w:pPr>
      <w:r w:rsidRPr="00315F0A">
        <w:rPr>
          <w:rFonts w:cstheme="minorHAnsi"/>
        </w:rPr>
        <w:t>Ion exchange‐precipitation for the removal and recovery of  </w:t>
      </w:r>
      <m:oMath>
        <m:sSubSup>
          <m:sSubSupPr>
            <m:ctrlPr>
              <w:rPr>
                <w:rFonts w:ascii="Cambria Math" w:hAnsi="Cambria Math" w:cstheme="minorHAnsi"/>
                <w:iCs/>
              </w:rPr>
            </m:ctrlPr>
          </m:sSubSupPr>
          <m:e>
            <m:r>
              <m:rPr>
                <m:sty m:val="p"/>
              </m:rPr>
              <w:rPr>
                <w:rFonts w:ascii="Cambria Math" w:hAnsi="Cambria Math" w:cstheme="minorHAnsi"/>
              </w:rPr>
              <m:t>PO</m:t>
            </m:r>
          </m:e>
          <m:sub>
            <m:r>
              <m:rPr>
                <m:sty m:val="p"/>
              </m:rPr>
              <w:rPr>
                <w:rFonts w:ascii="Cambria Math" w:hAnsi="Cambria Math" w:cstheme="minorHAnsi"/>
              </w:rPr>
              <m:t>4</m:t>
            </m:r>
          </m:sub>
          <m:sup>
            <m:r>
              <m:rPr>
                <m:sty m:val="p"/>
              </m:rPr>
              <w:rPr>
                <w:rFonts w:ascii="Cambria Math" w:hAnsi="Cambria Math" w:cstheme="minorHAnsi"/>
              </w:rPr>
              <m:t>3-</m:t>
            </m:r>
          </m:sup>
        </m:sSubSup>
      </m:oMath>
      <w:r w:rsidR="00DB11DA">
        <w:rPr>
          <w:rFonts w:cstheme="minorHAnsi"/>
        </w:rPr>
        <w:t xml:space="preserve"> </w:t>
      </w:r>
      <w:r w:rsidRPr="00315F0A">
        <w:rPr>
          <w:rFonts w:cstheme="minorHAnsi"/>
        </w:rPr>
        <w:t xml:space="preserve">and </w:t>
      </w:r>
      <m:oMath>
        <m:sSubSup>
          <m:sSubSupPr>
            <m:ctrlPr>
              <w:rPr>
                <w:rFonts w:ascii="Cambria Math" w:hAnsi="Cambria Math" w:cstheme="minorHAnsi"/>
                <w:iCs/>
              </w:rPr>
            </m:ctrlPr>
          </m:sSubSupPr>
          <m:e>
            <m:r>
              <m:rPr>
                <m:sty m:val="p"/>
              </m:rPr>
              <w:rPr>
                <w:rFonts w:ascii="Cambria Math" w:hAnsi="Cambria Math" w:cstheme="minorHAnsi"/>
              </w:rPr>
              <m:t>NH</m:t>
            </m:r>
          </m:e>
          <m:sub>
            <m:r>
              <m:rPr>
                <m:sty m:val="p"/>
              </m:rPr>
              <w:rPr>
                <w:rFonts w:ascii="Cambria Math" w:hAnsi="Cambria Math" w:cstheme="minorHAnsi"/>
                <w:vertAlign w:val="subscript"/>
              </w:rPr>
              <m:t>4</m:t>
            </m:r>
          </m:sub>
          <m:sup>
            <m:r>
              <m:rPr>
                <m:sty m:val="p"/>
              </m:rPr>
              <w:rPr>
                <w:rFonts w:ascii="Cambria Math" w:hAnsi="Cambria Math" w:cstheme="minorHAnsi"/>
                <w:vertAlign w:val="superscript"/>
              </w:rPr>
              <m:t>+</m:t>
            </m:r>
          </m:sup>
        </m:sSubSup>
      </m:oMath>
      <w:r w:rsidRPr="00315F0A">
        <w:rPr>
          <w:rFonts w:cstheme="minorHAnsi"/>
        </w:rPr>
        <w:t> from AnMBR permeate is a promising technology.</w:t>
      </w:r>
    </w:p>
    <w:p w14:paraId="6AFE62D4" w14:textId="77777777" w:rsidR="00596CAE" w:rsidRPr="00315F0A" w:rsidRDefault="00596CAE" w:rsidP="007A12CA">
      <w:pPr>
        <w:pStyle w:val="ListParagraph"/>
        <w:numPr>
          <w:ilvl w:val="0"/>
          <w:numId w:val="3"/>
        </w:numPr>
        <w:rPr>
          <w:rFonts w:cstheme="minorHAnsi"/>
        </w:rPr>
      </w:pPr>
      <w:r w:rsidRPr="00315F0A">
        <w:rPr>
          <w:rFonts w:cstheme="minorHAnsi"/>
        </w:rPr>
        <w:t>2% NaCl + 0.5% NaOH regeneration solution provided the most consistent exchange performance for both phosphate and ammonium recovery.</w:t>
      </w:r>
    </w:p>
    <w:p w14:paraId="3C223CC0" w14:textId="77777777" w:rsidR="00596CAE" w:rsidRPr="00315F0A" w:rsidRDefault="00596CAE" w:rsidP="007A12CA">
      <w:pPr>
        <w:pStyle w:val="ListParagraph"/>
        <w:numPr>
          <w:ilvl w:val="0"/>
          <w:numId w:val="3"/>
        </w:numPr>
        <w:rPr>
          <w:rFonts w:cstheme="minorHAnsi"/>
        </w:rPr>
      </w:pPr>
      <w:r w:rsidRPr="00315F0A">
        <w:rPr>
          <w:rFonts w:cstheme="minorHAnsi"/>
        </w:rPr>
        <w:t>Regenerated Dow‐HFO‐Cu resin exchange capacity was consistently less than the virgin resin, likely due to copper leaching during regeneration.</w:t>
      </w:r>
    </w:p>
    <w:p w14:paraId="08817496" w14:textId="77777777" w:rsidR="00596CAE" w:rsidRPr="00315F0A" w:rsidRDefault="00596CAE" w:rsidP="007A12CA">
      <w:pPr>
        <w:pStyle w:val="ListParagraph"/>
        <w:numPr>
          <w:ilvl w:val="0"/>
          <w:numId w:val="3"/>
        </w:numPr>
        <w:rPr>
          <w:rFonts w:cstheme="minorHAnsi"/>
        </w:rPr>
      </w:pPr>
      <w:r w:rsidRPr="00315F0A">
        <w:rPr>
          <w:rFonts w:cstheme="minorHAnsi"/>
        </w:rPr>
        <w:t>Molar ratios in the precipitates suggested that the precipitated material was not pure struvite.</w:t>
      </w:r>
    </w:p>
    <w:p w14:paraId="69624202" w14:textId="77777777" w:rsidR="00596CAE" w:rsidRPr="00315F0A" w:rsidRDefault="00596CAE" w:rsidP="007A12CA">
      <w:pPr>
        <w:pStyle w:val="Heading1"/>
        <w:rPr>
          <w:rFonts w:asciiTheme="minorHAnsi" w:hAnsiTheme="minorHAnsi" w:cstheme="minorHAnsi"/>
        </w:rPr>
      </w:pPr>
      <w:r w:rsidRPr="00315F0A">
        <w:rPr>
          <w:rFonts w:asciiTheme="minorHAnsi" w:hAnsiTheme="minorHAnsi" w:cstheme="minorHAnsi"/>
        </w:rPr>
        <w:t>Introduction</w:t>
      </w:r>
    </w:p>
    <w:p w14:paraId="798B244F" w14:textId="77777777" w:rsidR="00596CAE" w:rsidRPr="00315F0A" w:rsidRDefault="00596CAE" w:rsidP="007A12CA">
      <w:pPr>
        <w:rPr>
          <w:rFonts w:cstheme="minorHAnsi"/>
        </w:rPr>
      </w:pPr>
      <w:r w:rsidRPr="00315F0A">
        <w:rPr>
          <w:rStyle w:val="smallcaps"/>
          <w:rFonts w:eastAsiaTheme="majorEastAsia" w:cstheme="minorHAnsi"/>
          <w:smallCaps/>
        </w:rPr>
        <w:t>The</w:t>
      </w:r>
      <w:r w:rsidRPr="00315F0A">
        <w:rPr>
          <w:rFonts w:cstheme="minorHAnsi"/>
        </w:rPr>
        <w:t> increasing global population relies on intensified crop production to meet demands for food supply (Cordell, Rosemarin, Schröder, &amp; Smit, </w:t>
      </w:r>
      <w:hyperlink r:id="rId10" w:anchor="wer1080-bib-0004" w:history="1">
        <w:r w:rsidRPr="00315F0A">
          <w:rPr>
            <w:rStyle w:val="Hyperlink"/>
            <w:rFonts w:eastAsiaTheme="majorEastAsia" w:cstheme="minorHAnsi"/>
            <w:b/>
            <w:bCs/>
            <w:color w:val="000000"/>
          </w:rPr>
          <w:t>2011</w:t>
        </w:r>
      </w:hyperlink>
      <w:r w:rsidRPr="00315F0A">
        <w:rPr>
          <w:rFonts w:cstheme="minorHAnsi"/>
        </w:rPr>
        <w:t>; McCarty, Bae, &amp; Kim, </w:t>
      </w:r>
      <w:hyperlink r:id="rId11" w:anchor="wer1080-bib-0009" w:history="1">
        <w:r w:rsidRPr="00315F0A">
          <w:rPr>
            <w:rStyle w:val="Hyperlink"/>
            <w:rFonts w:eastAsiaTheme="majorEastAsia" w:cstheme="minorHAnsi"/>
            <w:b/>
            <w:bCs/>
            <w:color w:val="000000"/>
          </w:rPr>
          <w:t>2011</w:t>
        </w:r>
      </w:hyperlink>
      <w:r w:rsidRPr="00315F0A">
        <w:rPr>
          <w:rFonts w:cstheme="minorHAnsi"/>
        </w:rPr>
        <w:t>). The phosphorus applied as a fertilizer in many commercial agricultural settings is commonly obtained through excavation of finite phosphate rock reserves. As demand for crop production continues, these reserves are increasingly depleted, thereby enhancing interest in “mining” municipal wastewaters as an alternative source of phosphorus and other valuable resources (Mayer et al., </w:t>
      </w:r>
      <w:hyperlink r:id="rId12" w:anchor="wer1080-bib-0008" w:history="1">
        <w:r w:rsidRPr="00315F0A">
          <w:rPr>
            <w:rStyle w:val="Hyperlink"/>
            <w:rFonts w:eastAsiaTheme="majorEastAsia" w:cstheme="minorHAnsi"/>
            <w:b/>
            <w:bCs/>
            <w:color w:val="000000"/>
          </w:rPr>
          <w:t>2016</w:t>
        </w:r>
      </w:hyperlink>
      <w:r w:rsidRPr="00315F0A">
        <w:rPr>
          <w:rFonts w:cstheme="minorHAnsi"/>
        </w:rPr>
        <w:t>; McCarty et al., </w:t>
      </w:r>
      <w:hyperlink r:id="rId13" w:anchor="wer1080-bib-0009" w:history="1">
        <w:r w:rsidRPr="00315F0A">
          <w:rPr>
            <w:rStyle w:val="Hyperlink"/>
            <w:rFonts w:eastAsiaTheme="majorEastAsia" w:cstheme="minorHAnsi"/>
            <w:b/>
            <w:bCs/>
            <w:color w:val="000000"/>
          </w:rPr>
          <w:t>2011</w:t>
        </w:r>
      </w:hyperlink>
      <w:r w:rsidRPr="00315F0A">
        <w:rPr>
          <w:rFonts w:cstheme="minorHAnsi"/>
        </w:rPr>
        <w:t>).</w:t>
      </w:r>
    </w:p>
    <w:p w14:paraId="69FCE5E1" w14:textId="77777777" w:rsidR="00596CAE" w:rsidRPr="00315F0A" w:rsidRDefault="00596CAE" w:rsidP="007A12CA">
      <w:pPr>
        <w:rPr>
          <w:rFonts w:cstheme="minorHAnsi"/>
        </w:rPr>
      </w:pPr>
      <w:r w:rsidRPr="00315F0A">
        <w:rPr>
          <w:rFonts w:cstheme="minorHAnsi"/>
        </w:rPr>
        <w:t>Typical water resource recovery facilities process a continuous wastewater flow containing both phosphorus and nitrogen, thereby providing a supply of recoverable nutrients. Multiple treatment techniques are currently used to reduce the concentration of both phosphate (PO</w:t>
      </w:r>
      <w:r w:rsidRPr="00315F0A">
        <w:rPr>
          <w:rFonts w:cstheme="minorHAnsi"/>
          <w:sz w:val="18"/>
          <w:szCs w:val="18"/>
          <w:vertAlign w:val="subscript"/>
        </w:rPr>
        <w:t>4</w:t>
      </w:r>
      <w:r w:rsidRPr="00315F0A">
        <w:rPr>
          <w:rFonts w:cstheme="minorHAnsi"/>
          <w:sz w:val="18"/>
          <w:szCs w:val="18"/>
          <w:vertAlign w:val="superscript"/>
        </w:rPr>
        <w:t>3−</w:t>
      </w:r>
      <w:r w:rsidRPr="00315F0A">
        <w:rPr>
          <w:rFonts w:cstheme="minorHAnsi"/>
        </w:rPr>
        <w:t>) and ammonium (NH</w:t>
      </w:r>
      <w:r w:rsidRPr="00315F0A">
        <w:rPr>
          <w:rFonts w:cstheme="minorHAnsi"/>
          <w:sz w:val="18"/>
          <w:szCs w:val="18"/>
          <w:vertAlign w:val="subscript"/>
        </w:rPr>
        <w:t>4</w:t>
      </w:r>
      <w:r w:rsidRPr="00315F0A">
        <w:rPr>
          <w:rFonts w:cstheme="minorHAnsi"/>
          <w:sz w:val="18"/>
          <w:szCs w:val="18"/>
          <w:vertAlign w:val="superscript"/>
        </w:rPr>
        <w:t>+</w:t>
      </w:r>
      <w:r w:rsidRPr="00315F0A">
        <w:rPr>
          <w:rFonts w:cstheme="minorHAnsi"/>
        </w:rPr>
        <w:t>) in wastewater effluents to help reduce the risks of eutrophication in receiving waters (Morse, Brett, Guy, &amp; Lester, </w:t>
      </w:r>
      <w:hyperlink r:id="rId14" w:anchor="wer1080-bib-0010" w:history="1">
        <w:r w:rsidRPr="00315F0A">
          <w:rPr>
            <w:rStyle w:val="Hyperlink"/>
            <w:rFonts w:eastAsiaTheme="majorEastAsia" w:cstheme="minorHAnsi"/>
            <w:b/>
            <w:bCs/>
            <w:color w:val="000000"/>
          </w:rPr>
          <w:t>1998</w:t>
        </w:r>
      </w:hyperlink>
      <w:r w:rsidRPr="00315F0A">
        <w:rPr>
          <w:rFonts w:cstheme="minorHAnsi"/>
        </w:rPr>
        <w:t>). However, most conventional nutrient removal methods do not yield recoverable, reusable nutrients (Rittmann, Mayer, Westerhoff, &amp; Edwards, </w:t>
      </w:r>
      <w:hyperlink r:id="rId15" w:anchor="wer1080-bib-0012" w:history="1">
        <w:r w:rsidRPr="00315F0A">
          <w:rPr>
            <w:rStyle w:val="Hyperlink"/>
            <w:rFonts w:eastAsiaTheme="majorEastAsia" w:cstheme="minorHAnsi"/>
            <w:b/>
            <w:bCs/>
            <w:color w:val="000000"/>
          </w:rPr>
          <w:t>2011</w:t>
        </w:r>
      </w:hyperlink>
      <w:r w:rsidRPr="00315F0A">
        <w:rPr>
          <w:rFonts w:cstheme="minorHAnsi"/>
        </w:rPr>
        <w:t>).</w:t>
      </w:r>
    </w:p>
    <w:p w14:paraId="260BDA42" w14:textId="77777777" w:rsidR="00596CAE" w:rsidRPr="00315F0A" w:rsidRDefault="00596CAE" w:rsidP="007A12CA">
      <w:pPr>
        <w:rPr>
          <w:rFonts w:cstheme="minorHAnsi"/>
        </w:rPr>
      </w:pPr>
      <w:r w:rsidRPr="00315F0A">
        <w:rPr>
          <w:rFonts w:cstheme="minorHAnsi"/>
        </w:rPr>
        <w:t>Ion exchange offers one approach to both remove and recover nutrients by interchanging ions of like valences attached to a solid phase medium. Once all available exchange sites on the medium are depleted, the process can be reversed through the use of a regenerant brine solution, enabling capture of the removed ions in a concentrated stream. The brine can then be used to chemically precipitate recoverable products such as struvite. Struvite (MgNH</w:t>
      </w:r>
      <w:r w:rsidRPr="00315F0A">
        <w:rPr>
          <w:rFonts w:cstheme="minorHAnsi"/>
          <w:sz w:val="18"/>
          <w:szCs w:val="18"/>
          <w:vertAlign w:val="subscript"/>
        </w:rPr>
        <w:t>4</w:t>
      </w:r>
      <w:r w:rsidRPr="00315F0A">
        <w:rPr>
          <w:rFonts w:cstheme="minorHAnsi"/>
        </w:rPr>
        <w:t>PO</w:t>
      </w:r>
      <w:r w:rsidRPr="00315F0A">
        <w:rPr>
          <w:rFonts w:cstheme="minorHAnsi"/>
          <w:sz w:val="18"/>
          <w:szCs w:val="18"/>
          <w:vertAlign w:val="subscript"/>
        </w:rPr>
        <w:t>4</w:t>
      </w:r>
      <w:r w:rsidRPr="00315F0A">
        <w:rPr>
          <w:rFonts w:cstheme="minorHAnsi"/>
        </w:rPr>
        <w:t>•6H</w:t>
      </w:r>
      <w:r w:rsidRPr="00315F0A">
        <w:rPr>
          <w:rFonts w:cstheme="minorHAnsi"/>
          <w:sz w:val="18"/>
          <w:szCs w:val="18"/>
          <w:vertAlign w:val="subscript"/>
        </w:rPr>
        <w:t>2</w:t>
      </w:r>
      <w:r w:rsidRPr="00315F0A">
        <w:rPr>
          <w:rFonts w:cstheme="minorHAnsi"/>
        </w:rPr>
        <w:t>O) is an inorganic mineral that can precipitate in the presence of high ion concentrations (de‐Bashan &amp; Bashan, </w:t>
      </w:r>
      <w:hyperlink r:id="rId16" w:anchor="wer1080-bib-0002" w:history="1">
        <w:r w:rsidRPr="00315F0A">
          <w:rPr>
            <w:rStyle w:val="Hyperlink"/>
            <w:rFonts w:eastAsiaTheme="majorEastAsia" w:cstheme="minorHAnsi"/>
            <w:b/>
            <w:bCs/>
            <w:color w:val="000000"/>
          </w:rPr>
          <w:t>2004</w:t>
        </w:r>
      </w:hyperlink>
      <w:r w:rsidRPr="00315F0A">
        <w:rPr>
          <w:rFonts w:cstheme="minorHAnsi"/>
        </w:rPr>
        <w:t>) and is considered a slow release fertilizer for agriculture (Le Corre, Valsami‐Jones, Hobbs, &amp; Parsons, </w:t>
      </w:r>
      <w:hyperlink r:id="rId17" w:anchor="wer1080-bib-0007" w:history="1">
        <w:r w:rsidRPr="00315F0A">
          <w:rPr>
            <w:rStyle w:val="Hyperlink"/>
            <w:rFonts w:eastAsiaTheme="majorEastAsia" w:cstheme="minorHAnsi"/>
            <w:b/>
            <w:bCs/>
            <w:color w:val="000000"/>
          </w:rPr>
          <w:t>2005</w:t>
        </w:r>
      </w:hyperlink>
      <w:r w:rsidRPr="00315F0A">
        <w:rPr>
          <w:rFonts w:cstheme="minorHAnsi"/>
        </w:rPr>
        <w:t>).</w:t>
      </w:r>
    </w:p>
    <w:p w14:paraId="2FC0D092" w14:textId="77777777" w:rsidR="00596CAE" w:rsidRPr="00315F0A" w:rsidRDefault="00596CAE" w:rsidP="007A12CA">
      <w:pPr>
        <w:rPr>
          <w:rFonts w:cstheme="minorHAnsi"/>
        </w:rPr>
      </w:pPr>
      <w:r w:rsidRPr="00315F0A">
        <w:rPr>
          <w:rFonts w:cstheme="minorHAnsi"/>
        </w:rPr>
        <w:t>Selective removal of a targeted ion over other competing ions is essential for effective recovery, but can be difficult to achieve with traditionally available media (Petruzzelli, Dell'Erba, Liberti, Notarnicola, &amp; Sengupta, </w:t>
      </w:r>
      <w:hyperlink r:id="rId18" w:anchor="wer1080-bib-0011" w:history="1">
        <w:r w:rsidRPr="00315F0A">
          <w:rPr>
            <w:rStyle w:val="Hyperlink"/>
            <w:rFonts w:eastAsiaTheme="majorEastAsia" w:cstheme="minorHAnsi"/>
            <w:b/>
            <w:bCs/>
            <w:color w:val="000000"/>
          </w:rPr>
          <w:t>2004</w:t>
        </w:r>
      </w:hyperlink>
      <w:r w:rsidRPr="00315F0A">
        <w:rPr>
          <w:rFonts w:cstheme="minorHAnsi"/>
        </w:rPr>
        <w:t>). For example, polymeric anion exchangers lack phosphate selectivity and affinity (Sengupta &amp; Pandit, </w:t>
      </w:r>
      <w:hyperlink r:id="rId19" w:anchor="wer1080-bib-0015" w:history="1">
        <w:r w:rsidRPr="00315F0A">
          <w:rPr>
            <w:rStyle w:val="Hyperlink"/>
            <w:rFonts w:eastAsiaTheme="majorEastAsia" w:cstheme="minorHAnsi"/>
            <w:b/>
            <w:bCs/>
            <w:color w:val="000000"/>
          </w:rPr>
          <w:t>2011</w:t>
        </w:r>
      </w:hyperlink>
      <w:r w:rsidRPr="00315F0A">
        <w:rPr>
          <w:rFonts w:cstheme="minorHAnsi"/>
        </w:rPr>
        <w:t>). However, research using metal–ligand structures on synthetic polymeric exchange media has demonstrated improved selectivity of phosphates over the competing anions present in wastewaters (Blaney, Cinar, &amp; SenGupta, </w:t>
      </w:r>
      <w:hyperlink r:id="rId20" w:anchor="wer1080-bib-0003" w:history="1">
        <w:r w:rsidRPr="00315F0A">
          <w:rPr>
            <w:rStyle w:val="Hyperlink"/>
            <w:rFonts w:eastAsiaTheme="majorEastAsia" w:cstheme="minorHAnsi"/>
            <w:b/>
            <w:bCs/>
            <w:color w:val="000000"/>
          </w:rPr>
          <w:t>2007</w:t>
        </w:r>
      </w:hyperlink>
      <w:r w:rsidRPr="00315F0A">
        <w:rPr>
          <w:rFonts w:cstheme="minorHAnsi"/>
        </w:rPr>
        <w:t>; Sengupta, </w:t>
      </w:r>
      <w:hyperlink r:id="rId21" w:anchor="wer1080-bib-0014" w:history="1">
        <w:r w:rsidRPr="00315F0A">
          <w:rPr>
            <w:rStyle w:val="Hyperlink"/>
            <w:rFonts w:eastAsiaTheme="majorEastAsia" w:cstheme="minorHAnsi"/>
            <w:b/>
            <w:bCs/>
            <w:color w:val="000000"/>
          </w:rPr>
          <w:t>2013</w:t>
        </w:r>
      </w:hyperlink>
      <w:r w:rsidRPr="00315F0A">
        <w:rPr>
          <w:rFonts w:cstheme="minorHAnsi"/>
        </w:rPr>
        <w:t>). The exchange media developed by Sengupta and Pandit (</w:t>
      </w:r>
      <w:hyperlink r:id="rId22" w:anchor="wer1080-bib-0015" w:history="1">
        <w:r w:rsidRPr="00315F0A">
          <w:rPr>
            <w:rStyle w:val="Hyperlink"/>
            <w:rFonts w:eastAsiaTheme="majorEastAsia" w:cstheme="minorHAnsi"/>
            <w:b/>
            <w:bCs/>
            <w:color w:val="000000"/>
          </w:rPr>
          <w:t>2011</w:t>
        </w:r>
      </w:hyperlink>
      <w:r w:rsidRPr="00315F0A">
        <w:rPr>
          <w:rFonts w:cstheme="minorHAnsi"/>
        </w:rPr>
        <w:t xml:space="preserve">) loads </w:t>
      </w:r>
      <w:r w:rsidRPr="00315F0A">
        <w:rPr>
          <w:rFonts w:cstheme="minorHAnsi"/>
        </w:rPr>
        <w:lastRenderedPageBreak/>
        <w:t>hydrated iron (III) oxide (FeOOH, abbreviated as HFO) and copper (Cu</w:t>
      </w:r>
      <w:r w:rsidRPr="00315F0A">
        <w:rPr>
          <w:rFonts w:cstheme="minorHAnsi"/>
          <w:sz w:val="18"/>
          <w:szCs w:val="18"/>
          <w:vertAlign w:val="superscript"/>
        </w:rPr>
        <w:t>2+</w:t>
      </w:r>
      <w:r w:rsidRPr="00315F0A">
        <w:rPr>
          <w:rFonts w:cstheme="minorHAnsi"/>
        </w:rPr>
        <w:t>) onto Dow polymeric media. The resulting Dow‐HFO‐Cu resin is promising for selective phosphorus removal due to the cumulative phosphate bonding with HFO and Cu</w:t>
      </w:r>
      <w:r w:rsidRPr="00315F0A">
        <w:rPr>
          <w:rFonts w:cstheme="minorHAnsi"/>
          <w:sz w:val="18"/>
          <w:szCs w:val="18"/>
          <w:vertAlign w:val="superscript"/>
        </w:rPr>
        <w:t>2+</w:t>
      </w:r>
      <w:r w:rsidRPr="00315F0A">
        <w:rPr>
          <w:rFonts w:cstheme="minorHAnsi"/>
        </w:rPr>
        <w:t>, which leverages both Lewis acid–base interaction and electrostatic attraction (Sengupta &amp; Pandit, </w:t>
      </w:r>
      <w:hyperlink r:id="rId23" w:anchor="wer1080-bib-0015" w:history="1">
        <w:r w:rsidRPr="00315F0A">
          <w:rPr>
            <w:rStyle w:val="Hyperlink"/>
            <w:rFonts w:eastAsiaTheme="majorEastAsia" w:cstheme="minorHAnsi"/>
            <w:b/>
            <w:bCs/>
            <w:color w:val="000000"/>
          </w:rPr>
          <w:t>2011</w:t>
        </w:r>
      </w:hyperlink>
      <w:r w:rsidRPr="00315F0A">
        <w:rPr>
          <w:rFonts w:cstheme="minorHAnsi"/>
        </w:rPr>
        <w:t>). However, the resin's performance over time remains to be established. Additionally, the recoverability of phosphorus through the regeneration process must be assessed. Another aspect yet to be determined is performance of the Dow‐HFO‐Cu resin exposed to real wastewater matrices.</w:t>
      </w:r>
    </w:p>
    <w:p w14:paraId="130E4C88" w14:textId="77777777" w:rsidR="00596CAE" w:rsidRPr="00315F0A" w:rsidRDefault="00596CAE" w:rsidP="007A12CA">
      <w:pPr>
        <w:rPr>
          <w:rFonts w:cstheme="minorHAnsi"/>
        </w:rPr>
      </w:pPr>
      <w:r w:rsidRPr="00315F0A">
        <w:rPr>
          <w:rFonts w:cstheme="minorHAnsi"/>
        </w:rPr>
        <w:t>One wastewater matrix of increasing interest is anaerobic membrane bioreactor (AnMBR) permeate. Anaerobic conversion of wastewater organics into biogas containing methane, which can be used to generate heat and electricity, is well established for wastewater sludges and high‐strength industrial wastes (McCarty et al., </w:t>
      </w:r>
      <w:hyperlink r:id="rId24" w:anchor="wer1080-bib-0009" w:history="1">
        <w:r w:rsidRPr="00315F0A">
          <w:rPr>
            <w:rStyle w:val="Hyperlink"/>
            <w:rFonts w:eastAsiaTheme="majorEastAsia" w:cstheme="minorHAnsi"/>
            <w:b/>
            <w:bCs/>
            <w:color w:val="000000"/>
          </w:rPr>
          <w:t>2011</w:t>
        </w:r>
      </w:hyperlink>
      <w:r w:rsidRPr="00315F0A">
        <w:rPr>
          <w:rFonts w:cstheme="minorHAnsi"/>
        </w:rPr>
        <w:t>; Speece, </w:t>
      </w:r>
      <w:hyperlink r:id="rId25" w:anchor="wer1080-bib-0016" w:history="1">
        <w:r w:rsidRPr="00315F0A">
          <w:rPr>
            <w:rStyle w:val="Hyperlink"/>
            <w:rFonts w:eastAsiaTheme="majorEastAsia" w:cstheme="minorHAnsi"/>
            <w:b/>
            <w:bCs/>
            <w:color w:val="000000"/>
          </w:rPr>
          <w:t>2008</w:t>
        </w:r>
      </w:hyperlink>
      <w:r w:rsidRPr="00315F0A">
        <w:rPr>
          <w:rFonts w:cstheme="minorHAnsi"/>
        </w:rPr>
        <w:t>). Since there is no mechanism for significant nutrient removal in the AnMBR process, the permeate contains soluble PO</w:t>
      </w:r>
      <w:r w:rsidRPr="00315F0A">
        <w:rPr>
          <w:rFonts w:cstheme="minorHAnsi"/>
          <w:sz w:val="18"/>
          <w:szCs w:val="18"/>
          <w:vertAlign w:val="subscript"/>
        </w:rPr>
        <w:t>4</w:t>
      </w:r>
      <w:r w:rsidRPr="00315F0A">
        <w:rPr>
          <w:rFonts w:cstheme="minorHAnsi"/>
          <w:sz w:val="18"/>
          <w:szCs w:val="18"/>
          <w:vertAlign w:val="superscript"/>
        </w:rPr>
        <w:t>3−</w:t>
      </w:r>
      <w:r w:rsidRPr="00315F0A">
        <w:rPr>
          <w:rFonts w:cstheme="minorHAnsi"/>
        </w:rPr>
        <w:t> and NH</w:t>
      </w:r>
      <w:r w:rsidRPr="00315F0A">
        <w:rPr>
          <w:rFonts w:cstheme="minorHAnsi"/>
          <w:sz w:val="18"/>
          <w:szCs w:val="18"/>
          <w:vertAlign w:val="subscript"/>
        </w:rPr>
        <w:t>4</w:t>
      </w:r>
      <w:r w:rsidRPr="00315F0A">
        <w:rPr>
          <w:rFonts w:cstheme="minorHAnsi"/>
          <w:sz w:val="18"/>
          <w:szCs w:val="18"/>
          <w:vertAlign w:val="superscript"/>
        </w:rPr>
        <w:t>+</w:t>
      </w:r>
      <w:r w:rsidRPr="00315F0A">
        <w:rPr>
          <w:rFonts w:cstheme="minorHAnsi"/>
        </w:rPr>
        <w:t>. The presence of soluble nutrients in AnMBR permeate provides an opportunity to recover nutrients as well as energy in a coupled AnMBR/ion exchange scenario.</w:t>
      </w:r>
    </w:p>
    <w:p w14:paraId="269AA891" w14:textId="77777777" w:rsidR="00596CAE" w:rsidRPr="00315F0A" w:rsidRDefault="00596CAE" w:rsidP="007A12CA">
      <w:pPr>
        <w:rPr>
          <w:rFonts w:cstheme="minorHAnsi"/>
        </w:rPr>
      </w:pPr>
      <w:r w:rsidRPr="00315F0A">
        <w:rPr>
          <w:rFonts w:cstheme="minorHAnsi"/>
        </w:rPr>
        <w:t>The specific objectives of this study were to (a) evaluate the ion exchange capacity of Dow‐HFO‐Cu resin and clinoptilolite media over multiple ion exchange cycles, (b) assess nutrient recovery using different regenerant brine concentrations in an effort to effectively recover nutrients using lower chemical inputs, and (c) evaluate the nutrient recovery potential in AnMBR permeate by precipitating struvite using the spent regenerant brines.</w:t>
      </w:r>
    </w:p>
    <w:p w14:paraId="16418E22" w14:textId="77777777" w:rsidR="00596CAE" w:rsidRPr="00315F0A" w:rsidRDefault="00596CAE" w:rsidP="007A12CA">
      <w:pPr>
        <w:pStyle w:val="Heading1"/>
        <w:rPr>
          <w:rFonts w:asciiTheme="minorHAnsi" w:hAnsiTheme="minorHAnsi" w:cstheme="minorHAnsi"/>
        </w:rPr>
      </w:pPr>
      <w:r w:rsidRPr="00315F0A">
        <w:rPr>
          <w:rFonts w:asciiTheme="minorHAnsi" w:hAnsiTheme="minorHAnsi" w:cstheme="minorHAnsi"/>
        </w:rPr>
        <w:t>Materials and methods</w:t>
      </w:r>
    </w:p>
    <w:p w14:paraId="6BF65E74" w14:textId="77777777" w:rsidR="00596CAE" w:rsidRPr="00315F0A" w:rsidRDefault="00596CAE" w:rsidP="007A12CA">
      <w:pPr>
        <w:pStyle w:val="Heading2"/>
        <w:rPr>
          <w:rFonts w:asciiTheme="minorHAnsi" w:hAnsiTheme="minorHAnsi" w:cstheme="minorHAnsi"/>
        </w:rPr>
      </w:pPr>
      <w:r w:rsidRPr="00315F0A">
        <w:rPr>
          <w:rFonts w:asciiTheme="minorHAnsi" w:hAnsiTheme="minorHAnsi" w:cstheme="minorHAnsi"/>
        </w:rPr>
        <w:t>Water matrices</w:t>
      </w:r>
    </w:p>
    <w:p w14:paraId="65927981" w14:textId="77777777" w:rsidR="00596CAE" w:rsidRPr="00315F0A" w:rsidRDefault="00596CAE" w:rsidP="007A12CA">
      <w:pPr>
        <w:rPr>
          <w:rFonts w:cstheme="minorHAnsi"/>
        </w:rPr>
      </w:pPr>
      <w:r w:rsidRPr="00315F0A">
        <w:rPr>
          <w:rFonts w:cstheme="minorHAnsi"/>
        </w:rPr>
        <w:t>To assess the performance of different regenerant solutions, initial batch tests were performed in deionized water. The water was spiked with either NaH</w:t>
      </w:r>
      <w:r w:rsidRPr="00315F0A">
        <w:rPr>
          <w:rFonts w:cstheme="minorHAnsi"/>
          <w:sz w:val="18"/>
          <w:szCs w:val="18"/>
          <w:vertAlign w:val="subscript"/>
        </w:rPr>
        <w:t>2</w:t>
      </w:r>
      <w:r w:rsidRPr="00315F0A">
        <w:rPr>
          <w:rFonts w:cstheme="minorHAnsi"/>
        </w:rPr>
        <w:t>PO</w:t>
      </w:r>
      <w:r w:rsidRPr="00315F0A">
        <w:rPr>
          <w:rFonts w:cstheme="minorHAnsi"/>
          <w:sz w:val="18"/>
          <w:szCs w:val="18"/>
          <w:vertAlign w:val="subscript"/>
        </w:rPr>
        <w:t>4</w:t>
      </w:r>
      <w:r w:rsidRPr="00315F0A">
        <w:rPr>
          <w:rFonts w:cstheme="minorHAnsi"/>
        </w:rPr>
        <w:t>•H</w:t>
      </w:r>
      <w:r w:rsidRPr="00315F0A">
        <w:rPr>
          <w:rFonts w:cstheme="minorHAnsi"/>
          <w:sz w:val="18"/>
          <w:szCs w:val="18"/>
          <w:vertAlign w:val="subscript"/>
        </w:rPr>
        <w:t>2</w:t>
      </w:r>
      <w:r w:rsidRPr="00315F0A">
        <w:rPr>
          <w:rFonts w:cstheme="minorHAnsi"/>
        </w:rPr>
        <w:t>O or NH</w:t>
      </w:r>
      <w:r w:rsidRPr="00315F0A">
        <w:rPr>
          <w:rFonts w:cstheme="minorHAnsi"/>
          <w:sz w:val="18"/>
          <w:szCs w:val="18"/>
          <w:vertAlign w:val="subscript"/>
        </w:rPr>
        <w:t>4</w:t>
      </w:r>
      <w:r w:rsidRPr="00315F0A">
        <w:rPr>
          <w:rFonts w:cstheme="minorHAnsi"/>
        </w:rPr>
        <w:t>Cl to yield 30 mg/L PO</w:t>
      </w:r>
      <w:r w:rsidRPr="00315F0A">
        <w:rPr>
          <w:rFonts w:cstheme="minorHAnsi"/>
          <w:sz w:val="18"/>
          <w:szCs w:val="18"/>
          <w:vertAlign w:val="subscript"/>
        </w:rPr>
        <w:t>4</w:t>
      </w:r>
      <w:r w:rsidRPr="00315F0A">
        <w:rPr>
          <w:rFonts w:cstheme="minorHAnsi"/>
        </w:rPr>
        <w:t>‐P for Dow‐HFO‐Cu resin tests or 78 mg/L NH</w:t>
      </w:r>
      <w:r w:rsidRPr="00315F0A">
        <w:rPr>
          <w:rFonts w:cstheme="minorHAnsi"/>
          <w:sz w:val="18"/>
          <w:szCs w:val="18"/>
          <w:vertAlign w:val="subscript"/>
        </w:rPr>
        <w:t>4</w:t>
      </w:r>
      <w:r w:rsidRPr="00315F0A">
        <w:rPr>
          <w:rFonts w:cstheme="minorHAnsi"/>
        </w:rPr>
        <w:t>‐N for clinoptilolite tests.</w:t>
      </w:r>
    </w:p>
    <w:p w14:paraId="3F4C4353" w14:textId="77777777" w:rsidR="00596CAE" w:rsidRPr="00315F0A" w:rsidRDefault="00596CAE" w:rsidP="007A12CA">
      <w:pPr>
        <w:rPr>
          <w:rFonts w:cstheme="minorHAnsi"/>
        </w:rPr>
      </w:pPr>
      <w:r w:rsidRPr="00315F0A">
        <w:rPr>
          <w:rFonts w:cstheme="minorHAnsi"/>
        </w:rPr>
        <w:t>After batch testing, continuous‐flow column testing was conducted using two different AnMBR permeate waters: (a) permeate from a laboratory‐scale AnMBR treating synthetic primary effluent wastewater (Seib, Berg, &amp; Zitomer, </w:t>
      </w:r>
      <w:hyperlink r:id="rId26" w:anchor="wer1080-bib-0013" w:history="1">
        <w:r w:rsidRPr="00315F0A">
          <w:rPr>
            <w:rStyle w:val="Hyperlink"/>
            <w:rFonts w:eastAsiaTheme="majorEastAsia" w:cstheme="minorHAnsi"/>
            <w:b/>
            <w:bCs/>
            <w:color w:val="000000"/>
          </w:rPr>
          <w:t>2016</w:t>
        </w:r>
      </w:hyperlink>
      <w:r w:rsidRPr="00315F0A">
        <w:rPr>
          <w:rFonts w:cstheme="minorHAnsi"/>
        </w:rPr>
        <w:t>) and (b) permeate from the same laboratory‐scale AnMBR treating municipal wastewater primary effluent collected from the South Shore Water Reclamation Facility, Oak Creek, WI, as described by Seib et al. (</w:t>
      </w:r>
      <w:hyperlink r:id="rId27" w:anchor="wer1080-bib-0013" w:history="1">
        <w:r w:rsidRPr="00315F0A">
          <w:rPr>
            <w:rStyle w:val="Hyperlink"/>
            <w:rFonts w:eastAsiaTheme="majorEastAsia" w:cstheme="minorHAnsi"/>
            <w:b/>
            <w:bCs/>
            <w:color w:val="000000"/>
          </w:rPr>
          <w:t>2016</w:t>
        </w:r>
      </w:hyperlink>
      <w:r w:rsidRPr="00315F0A">
        <w:rPr>
          <w:rFonts w:cstheme="minorHAnsi"/>
        </w:rPr>
        <w:t>). Pertinent parameters for the two AnMBR permeates are shown in Table </w:t>
      </w:r>
      <w:hyperlink r:id="rId28" w:anchor="wer1080-tbl-0001" w:tooltip="Link to table" w:history="1">
        <w:r w:rsidRPr="00315F0A">
          <w:rPr>
            <w:rStyle w:val="Hyperlink"/>
            <w:rFonts w:eastAsiaTheme="majorEastAsia" w:cstheme="minorHAnsi"/>
            <w:b/>
            <w:bCs/>
            <w:color w:val="005274"/>
          </w:rPr>
          <w:t>1</w:t>
        </w:r>
      </w:hyperlink>
      <w:r w:rsidRPr="00315F0A">
        <w:rPr>
          <w:rFonts w:cstheme="minorHAnsi"/>
        </w:rPr>
        <w:t>.</w:t>
      </w:r>
    </w:p>
    <w:p w14:paraId="6BBF8B7C" w14:textId="77777777" w:rsidR="00596CAE" w:rsidRPr="00315F0A" w:rsidRDefault="00596CAE" w:rsidP="0088114F">
      <w:pPr>
        <w:rPr>
          <w:rFonts w:cstheme="minorHAnsi"/>
        </w:rPr>
      </w:pPr>
      <w:r w:rsidRPr="00315F0A">
        <w:rPr>
          <w:rStyle w:val="table-captionlabel"/>
          <w:rFonts w:cstheme="minorHAnsi"/>
          <w:b/>
          <w:bCs/>
        </w:rPr>
        <w:t>Table 1. </w:t>
      </w:r>
      <w:r w:rsidRPr="00315F0A">
        <w:rPr>
          <w:rFonts w:cstheme="minorHAnsi"/>
        </w:rPr>
        <w:t>AnMBR influent wastewater parameters</w:t>
      </w:r>
    </w:p>
    <w:tbl>
      <w:tblPr>
        <w:tblStyle w:val="TableGrid"/>
        <w:tblW w:w="0" w:type="auto"/>
        <w:tblLook w:val="04A0" w:firstRow="1" w:lastRow="0" w:firstColumn="1" w:lastColumn="0" w:noHBand="0" w:noVBand="1"/>
      </w:tblPr>
      <w:tblGrid>
        <w:gridCol w:w="1264"/>
        <w:gridCol w:w="3638"/>
        <w:gridCol w:w="440"/>
        <w:gridCol w:w="3638"/>
        <w:gridCol w:w="440"/>
      </w:tblGrid>
      <w:tr w:rsidR="0088114F" w:rsidRPr="00315F0A" w14:paraId="2041E70E" w14:textId="77777777" w:rsidTr="00AC600B">
        <w:tc>
          <w:tcPr>
            <w:tcW w:w="0" w:type="auto"/>
            <w:hideMark/>
          </w:tcPr>
          <w:p w14:paraId="2E570710" w14:textId="77777777" w:rsidR="0088114F" w:rsidRPr="00315F0A" w:rsidRDefault="0088114F" w:rsidP="00AC600B">
            <w:pPr>
              <w:pStyle w:val="NoSpacing"/>
            </w:pPr>
            <w:r w:rsidRPr="00315F0A">
              <w:t>Constituent</w:t>
            </w:r>
          </w:p>
        </w:tc>
        <w:tc>
          <w:tcPr>
            <w:tcW w:w="0" w:type="auto"/>
            <w:hideMark/>
          </w:tcPr>
          <w:p w14:paraId="209EBD60" w14:textId="77777777" w:rsidR="0088114F" w:rsidRPr="00315F0A" w:rsidRDefault="0088114F" w:rsidP="00AC600B">
            <w:pPr>
              <w:pStyle w:val="NoSpacing"/>
            </w:pPr>
            <w:r w:rsidRPr="00315F0A">
              <w:t>Synthetic primary effluent</w:t>
            </w:r>
          </w:p>
        </w:tc>
        <w:tc>
          <w:tcPr>
            <w:tcW w:w="0" w:type="auto"/>
          </w:tcPr>
          <w:p w14:paraId="2475158B" w14:textId="1D3400FB" w:rsidR="0088114F" w:rsidRPr="00315F0A" w:rsidRDefault="0088114F" w:rsidP="00AC600B">
            <w:pPr>
              <w:pStyle w:val="NoSpacing"/>
            </w:pPr>
          </w:p>
        </w:tc>
        <w:tc>
          <w:tcPr>
            <w:tcW w:w="0" w:type="auto"/>
          </w:tcPr>
          <w:p w14:paraId="3AC84033" w14:textId="6F165A2C" w:rsidR="0088114F" w:rsidRPr="00315F0A" w:rsidRDefault="0088114F" w:rsidP="00AC600B">
            <w:pPr>
              <w:pStyle w:val="NoSpacing"/>
            </w:pPr>
            <w:r w:rsidRPr="00315F0A">
              <w:t>Municipal primary effluent</w:t>
            </w:r>
          </w:p>
        </w:tc>
        <w:tc>
          <w:tcPr>
            <w:tcW w:w="0" w:type="auto"/>
          </w:tcPr>
          <w:p w14:paraId="0D80C63E" w14:textId="0B430074" w:rsidR="0088114F" w:rsidRPr="00315F0A" w:rsidRDefault="0088114F" w:rsidP="00AC600B">
            <w:pPr>
              <w:pStyle w:val="NoSpacing"/>
            </w:pPr>
          </w:p>
        </w:tc>
      </w:tr>
      <w:tr w:rsidR="0088114F" w:rsidRPr="00315F0A" w14:paraId="1F365DD6" w14:textId="77777777" w:rsidTr="00AC600B">
        <w:tc>
          <w:tcPr>
            <w:tcW w:w="0" w:type="auto"/>
            <w:hideMark/>
          </w:tcPr>
          <w:p w14:paraId="1B49D636" w14:textId="77777777" w:rsidR="0088114F" w:rsidRPr="00315F0A" w:rsidRDefault="0088114F" w:rsidP="00AC600B">
            <w:pPr>
              <w:pStyle w:val="NoSpacing"/>
            </w:pPr>
          </w:p>
        </w:tc>
        <w:tc>
          <w:tcPr>
            <w:tcW w:w="0" w:type="auto"/>
            <w:hideMark/>
          </w:tcPr>
          <w:p w14:paraId="7AAB8C16" w14:textId="77777777" w:rsidR="0088114F" w:rsidRPr="00315F0A" w:rsidRDefault="0088114F" w:rsidP="00AC600B">
            <w:pPr>
              <w:pStyle w:val="NoSpacing"/>
            </w:pPr>
            <w:r w:rsidRPr="00315F0A">
              <w:t>Average ± 1 standard deviation (mg/L)</w:t>
            </w:r>
          </w:p>
        </w:tc>
        <w:tc>
          <w:tcPr>
            <w:tcW w:w="0" w:type="auto"/>
            <w:hideMark/>
          </w:tcPr>
          <w:p w14:paraId="222A2A38" w14:textId="77777777" w:rsidR="0088114F" w:rsidRPr="00315F0A" w:rsidRDefault="0088114F" w:rsidP="00AC600B">
            <w:pPr>
              <w:pStyle w:val="NoSpacing"/>
            </w:pPr>
            <w:r w:rsidRPr="00315F0A">
              <w:rPr>
                <w:i/>
                <w:iCs/>
              </w:rPr>
              <w:t>n</w:t>
            </w:r>
          </w:p>
        </w:tc>
        <w:tc>
          <w:tcPr>
            <w:tcW w:w="0" w:type="auto"/>
            <w:hideMark/>
          </w:tcPr>
          <w:p w14:paraId="46A2747E" w14:textId="77777777" w:rsidR="0088114F" w:rsidRPr="00315F0A" w:rsidRDefault="0088114F" w:rsidP="00AC600B">
            <w:pPr>
              <w:pStyle w:val="NoSpacing"/>
            </w:pPr>
            <w:r w:rsidRPr="00315F0A">
              <w:t>Average ± 1 standard deviation (mg/L)</w:t>
            </w:r>
          </w:p>
        </w:tc>
        <w:tc>
          <w:tcPr>
            <w:tcW w:w="0" w:type="auto"/>
            <w:hideMark/>
          </w:tcPr>
          <w:p w14:paraId="615BF0EB" w14:textId="77777777" w:rsidR="0088114F" w:rsidRPr="00315F0A" w:rsidRDefault="0088114F" w:rsidP="00AC600B">
            <w:pPr>
              <w:pStyle w:val="NoSpacing"/>
            </w:pPr>
            <w:r w:rsidRPr="00315F0A">
              <w:rPr>
                <w:i/>
                <w:iCs/>
              </w:rPr>
              <w:t>n</w:t>
            </w:r>
          </w:p>
        </w:tc>
      </w:tr>
      <w:tr w:rsidR="00596CAE" w:rsidRPr="00315F0A" w14:paraId="5F200185" w14:textId="77777777" w:rsidTr="00AC600B">
        <w:tc>
          <w:tcPr>
            <w:tcW w:w="0" w:type="auto"/>
            <w:hideMark/>
          </w:tcPr>
          <w:p w14:paraId="03BA94E4" w14:textId="77777777" w:rsidR="00596CAE" w:rsidRPr="00315F0A" w:rsidRDefault="00596CAE" w:rsidP="00AC600B">
            <w:pPr>
              <w:pStyle w:val="NoSpacing"/>
            </w:pPr>
            <w:r w:rsidRPr="00315F0A">
              <w:t>PO</w:t>
            </w:r>
            <w:r w:rsidRPr="00315F0A">
              <w:rPr>
                <w:vertAlign w:val="subscript"/>
              </w:rPr>
              <w:t>4</w:t>
            </w:r>
            <w:r w:rsidRPr="00315F0A">
              <w:t>‐P</w:t>
            </w:r>
          </w:p>
        </w:tc>
        <w:tc>
          <w:tcPr>
            <w:tcW w:w="0" w:type="auto"/>
            <w:hideMark/>
          </w:tcPr>
          <w:p w14:paraId="27EEA082" w14:textId="77777777" w:rsidR="00596CAE" w:rsidRPr="00315F0A" w:rsidRDefault="00596CAE" w:rsidP="00AC600B">
            <w:pPr>
              <w:pStyle w:val="NoSpacing"/>
            </w:pPr>
            <w:r w:rsidRPr="00315F0A">
              <w:t>4.6 ± 0.2</w:t>
            </w:r>
          </w:p>
        </w:tc>
        <w:tc>
          <w:tcPr>
            <w:tcW w:w="0" w:type="auto"/>
            <w:hideMark/>
          </w:tcPr>
          <w:p w14:paraId="08905F1E" w14:textId="77777777" w:rsidR="00596CAE" w:rsidRPr="00315F0A" w:rsidRDefault="00596CAE" w:rsidP="00AC600B">
            <w:pPr>
              <w:pStyle w:val="NoSpacing"/>
            </w:pPr>
            <w:r w:rsidRPr="00315F0A">
              <w:t>14</w:t>
            </w:r>
          </w:p>
        </w:tc>
        <w:tc>
          <w:tcPr>
            <w:tcW w:w="0" w:type="auto"/>
            <w:hideMark/>
          </w:tcPr>
          <w:p w14:paraId="259DA4BE" w14:textId="77777777" w:rsidR="00596CAE" w:rsidRPr="00315F0A" w:rsidRDefault="00596CAE" w:rsidP="00AC600B">
            <w:pPr>
              <w:pStyle w:val="NoSpacing"/>
            </w:pPr>
            <w:r w:rsidRPr="00315F0A">
              <w:t>4.9 ± 0.7</w:t>
            </w:r>
          </w:p>
        </w:tc>
        <w:tc>
          <w:tcPr>
            <w:tcW w:w="0" w:type="auto"/>
            <w:hideMark/>
          </w:tcPr>
          <w:p w14:paraId="2BC5D242" w14:textId="77777777" w:rsidR="00596CAE" w:rsidRPr="00315F0A" w:rsidRDefault="00596CAE" w:rsidP="00AC600B">
            <w:pPr>
              <w:pStyle w:val="NoSpacing"/>
            </w:pPr>
            <w:r w:rsidRPr="00315F0A">
              <w:t>15</w:t>
            </w:r>
          </w:p>
        </w:tc>
      </w:tr>
      <w:tr w:rsidR="00596CAE" w:rsidRPr="00315F0A" w14:paraId="35138ED5" w14:textId="77777777" w:rsidTr="00AC600B">
        <w:tc>
          <w:tcPr>
            <w:tcW w:w="0" w:type="auto"/>
            <w:hideMark/>
          </w:tcPr>
          <w:p w14:paraId="69E73975" w14:textId="77777777" w:rsidR="00596CAE" w:rsidRPr="00315F0A" w:rsidRDefault="00596CAE" w:rsidP="00AC600B">
            <w:pPr>
              <w:pStyle w:val="NoSpacing"/>
            </w:pPr>
            <w:r w:rsidRPr="00315F0A">
              <w:t>NH</w:t>
            </w:r>
            <w:r w:rsidRPr="00315F0A">
              <w:rPr>
                <w:vertAlign w:val="subscript"/>
              </w:rPr>
              <w:t>4</w:t>
            </w:r>
            <w:r w:rsidRPr="00315F0A">
              <w:t>‐N</w:t>
            </w:r>
          </w:p>
        </w:tc>
        <w:tc>
          <w:tcPr>
            <w:tcW w:w="0" w:type="auto"/>
            <w:hideMark/>
          </w:tcPr>
          <w:p w14:paraId="66943E27" w14:textId="77777777" w:rsidR="00596CAE" w:rsidRPr="00315F0A" w:rsidRDefault="00596CAE" w:rsidP="00AC600B">
            <w:pPr>
              <w:pStyle w:val="NoSpacing"/>
            </w:pPr>
            <w:r w:rsidRPr="00315F0A">
              <w:t>38 ± 2.7</w:t>
            </w:r>
          </w:p>
        </w:tc>
        <w:tc>
          <w:tcPr>
            <w:tcW w:w="0" w:type="auto"/>
            <w:hideMark/>
          </w:tcPr>
          <w:p w14:paraId="602159A6" w14:textId="77777777" w:rsidR="00596CAE" w:rsidRPr="00315F0A" w:rsidRDefault="00596CAE" w:rsidP="00AC600B">
            <w:pPr>
              <w:pStyle w:val="NoSpacing"/>
            </w:pPr>
            <w:r w:rsidRPr="00315F0A">
              <w:t>14</w:t>
            </w:r>
          </w:p>
        </w:tc>
        <w:tc>
          <w:tcPr>
            <w:tcW w:w="0" w:type="auto"/>
            <w:hideMark/>
          </w:tcPr>
          <w:p w14:paraId="7A791C54" w14:textId="77777777" w:rsidR="00596CAE" w:rsidRPr="00315F0A" w:rsidRDefault="00596CAE" w:rsidP="00AC600B">
            <w:pPr>
              <w:pStyle w:val="NoSpacing"/>
            </w:pPr>
            <w:r w:rsidRPr="00315F0A">
              <w:t>34 ± 5.9</w:t>
            </w:r>
          </w:p>
        </w:tc>
        <w:tc>
          <w:tcPr>
            <w:tcW w:w="0" w:type="auto"/>
            <w:hideMark/>
          </w:tcPr>
          <w:p w14:paraId="1340B95B" w14:textId="77777777" w:rsidR="00596CAE" w:rsidRPr="00315F0A" w:rsidRDefault="00596CAE" w:rsidP="00AC600B">
            <w:pPr>
              <w:pStyle w:val="NoSpacing"/>
            </w:pPr>
            <w:r w:rsidRPr="00315F0A">
              <w:t>15</w:t>
            </w:r>
          </w:p>
        </w:tc>
      </w:tr>
      <w:tr w:rsidR="00596CAE" w:rsidRPr="00315F0A" w14:paraId="0DD8FF6D" w14:textId="77777777" w:rsidTr="00AC600B">
        <w:tc>
          <w:tcPr>
            <w:tcW w:w="0" w:type="auto"/>
            <w:hideMark/>
          </w:tcPr>
          <w:p w14:paraId="4A5B52C0" w14:textId="77777777" w:rsidR="00596CAE" w:rsidRPr="00315F0A" w:rsidRDefault="00596CAE" w:rsidP="00AC600B">
            <w:pPr>
              <w:pStyle w:val="NoSpacing"/>
            </w:pPr>
            <w:r w:rsidRPr="00315F0A">
              <w:t>SO</w:t>
            </w:r>
            <w:r w:rsidRPr="00315F0A">
              <w:rPr>
                <w:vertAlign w:val="subscript"/>
              </w:rPr>
              <w:t>4</w:t>
            </w:r>
            <w:r w:rsidRPr="00315F0A">
              <w:rPr>
                <w:vertAlign w:val="superscript"/>
              </w:rPr>
              <w:t>2−</w:t>
            </w:r>
          </w:p>
        </w:tc>
        <w:tc>
          <w:tcPr>
            <w:tcW w:w="0" w:type="auto"/>
            <w:hideMark/>
          </w:tcPr>
          <w:p w14:paraId="2C8273A2" w14:textId="77777777" w:rsidR="00596CAE" w:rsidRPr="00315F0A" w:rsidRDefault="00596CAE" w:rsidP="00AC600B">
            <w:pPr>
              <w:pStyle w:val="NoSpacing"/>
            </w:pPr>
            <w:r w:rsidRPr="00315F0A">
              <w:t>16 ± 2.5</w:t>
            </w:r>
          </w:p>
        </w:tc>
        <w:tc>
          <w:tcPr>
            <w:tcW w:w="0" w:type="auto"/>
            <w:hideMark/>
          </w:tcPr>
          <w:p w14:paraId="239AC633" w14:textId="77777777" w:rsidR="00596CAE" w:rsidRPr="00315F0A" w:rsidRDefault="00596CAE" w:rsidP="00AC600B">
            <w:pPr>
              <w:pStyle w:val="NoSpacing"/>
            </w:pPr>
            <w:r w:rsidRPr="00315F0A">
              <w:t>3</w:t>
            </w:r>
          </w:p>
        </w:tc>
        <w:tc>
          <w:tcPr>
            <w:tcW w:w="0" w:type="auto"/>
            <w:hideMark/>
          </w:tcPr>
          <w:p w14:paraId="03B25CC9" w14:textId="77777777" w:rsidR="00596CAE" w:rsidRPr="00315F0A" w:rsidRDefault="00596CAE" w:rsidP="00AC600B">
            <w:pPr>
              <w:pStyle w:val="NoSpacing"/>
            </w:pPr>
            <w:r w:rsidRPr="00315F0A">
              <w:t>56 ± 10</w:t>
            </w:r>
          </w:p>
        </w:tc>
        <w:tc>
          <w:tcPr>
            <w:tcW w:w="0" w:type="auto"/>
            <w:hideMark/>
          </w:tcPr>
          <w:p w14:paraId="6C9E3EB8" w14:textId="77777777" w:rsidR="00596CAE" w:rsidRPr="00315F0A" w:rsidRDefault="00596CAE" w:rsidP="00AC600B">
            <w:pPr>
              <w:pStyle w:val="NoSpacing"/>
            </w:pPr>
            <w:r w:rsidRPr="00315F0A">
              <w:t>3</w:t>
            </w:r>
          </w:p>
        </w:tc>
      </w:tr>
      <w:tr w:rsidR="00596CAE" w:rsidRPr="00315F0A" w14:paraId="584F883D" w14:textId="77777777" w:rsidTr="00AC600B">
        <w:tc>
          <w:tcPr>
            <w:tcW w:w="0" w:type="auto"/>
            <w:hideMark/>
          </w:tcPr>
          <w:p w14:paraId="58CB9F56" w14:textId="77777777" w:rsidR="00596CAE" w:rsidRPr="00315F0A" w:rsidRDefault="00596CAE" w:rsidP="00AC600B">
            <w:pPr>
              <w:pStyle w:val="NoSpacing"/>
            </w:pPr>
            <w:r w:rsidRPr="00315F0A">
              <w:t>Cl</w:t>
            </w:r>
            <w:r w:rsidRPr="00315F0A">
              <w:rPr>
                <w:vertAlign w:val="superscript"/>
              </w:rPr>
              <w:t>−</w:t>
            </w:r>
          </w:p>
        </w:tc>
        <w:tc>
          <w:tcPr>
            <w:tcW w:w="0" w:type="auto"/>
            <w:hideMark/>
          </w:tcPr>
          <w:p w14:paraId="16AC7C90" w14:textId="77777777" w:rsidR="00596CAE" w:rsidRPr="00315F0A" w:rsidRDefault="00596CAE" w:rsidP="00AC600B">
            <w:pPr>
              <w:pStyle w:val="NoSpacing"/>
            </w:pPr>
            <w:r w:rsidRPr="00315F0A">
              <w:t>462 ± 72</w:t>
            </w:r>
          </w:p>
        </w:tc>
        <w:tc>
          <w:tcPr>
            <w:tcW w:w="0" w:type="auto"/>
            <w:hideMark/>
          </w:tcPr>
          <w:p w14:paraId="72335D60" w14:textId="77777777" w:rsidR="00596CAE" w:rsidRPr="00315F0A" w:rsidRDefault="00596CAE" w:rsidP="00AC600B">
            <w:pPr>
              <w:pStyle w:val="NoSpacing"/>
            </w:pPr>
            <w:r w:rsidRPr="00315F0A">
              <w:t>3</w:t>
            </w:r>
          </w:p>
        </w:tc>
        <w:tc>
          <w:tcPr>
            <w:tcW w:w="0" w:type="auto"/>
            <w:hideMark/>
          </w:tcPr>
          <w:p w14:paraId="37922D80" w14:textId="77777777" w:rsidR="00596CAE" w:rsidRPr="00315F0A" w:rsidRDefault="00596CAE" w:rsidP="00AC600B">
            <w:pPr>
              <w:pStyle w:val="NoSpacing"/>
            </w:pPr>
            <w:r w:rsidRPr="00315F0A">
              <w:t>536 ± 25</w:t>
            </w:r>
          </w:p>
        </w:tc>
        <w:tc>
          <w:tcPr>
            <w:tcW w:w="0" w:type="auto"/>
            <w:hideMark/>
          </w:tcPr>
          <w:p w14:paraId="7DE86AA0" w14:textId="77777777" w:rsidR="00596CAE" w:rsidRPr="00315F0A" w:rsidRDefault="00596CAE" w:rsidP="00AC600B">
            <w:pPr>
              <w:pStyle w:val="NoSpacing"/>
            </w:pPr>
            <w:r w:rsidRPr="00315F0A">
              <w:t>3</w:t>
            </w:r>
          </w:p>
        </w:tc>
      </w:tr>
      <w:tr w:rsidR="00596CAE" w:rsidRPr="00315F0A" w14:paraId="718CAB0A" w14:textId="77777777" w:rsidTr="00AC600B">
        <w:tc>
          <w:tcPr>
            <w:tcW w:w="0" w:type="auto"/>
            <w:hideMark/>
          </w:tcPr>
          <w:p w14:paraId="7E2A7FC5" w14:textId="77777777" w:rsidR="00596CAE" w:rsidRPr="00315F0A" w:rsidRDefault="00596CAE" w:rsidP="00AC600B">
            <w:pPr>
              <w:pStyle w:val="NoSpacing"/>
            </w:pPr>
            <w:r w:rsidRPr="00315F0A">
              <w:t>BOD</w:t>
            </w:r>
            <w:r w:rsidRPr="00315F0A">
              <w:rPr>
                <w:vertAlign w:val="subscript"/>
              </w:rPr>
              <w:t>5</w:t>
            </w:r>
          </w:p>
        </w:tc>
        <w:tc>
          <w:tcPr>
            <w:tcW w:w="0" w:type="auto"/>
            <w:hideMark/>
          </w:tcPr>
          <w:p w14:paraId="3F74B32F" w14:textId="77777777" w:rsidR="00596CAE" w:rsidRPr="00315F0A" w:rsidRDefault="00596CAE" w:rsidP="00AC600B">
            <w:pPr>
              <w:pStyle w:val="NoSpacing"/>
            </w:pPr>
            <w:r w:rsidRPr="00315F0A">
              <w:t>2.5 ± 1.3</w:t>
            </w:r>
          </w:p>
        </w:tc>
        <w:tc>
          <w:tcPr>
            <w:tcW w:w="0" w:type="auto"/>
            <w:hideMark/>
          </w:tcPr>
          <w:p w14:paraId="7B0AED69" w14:textId="77777777" w:rsidR="00596CAE" w:rsidRPr="00315F0A" w:rsidRDefault="00596CAE" w:rsidP="00AC600B">
            <w:pPr>
              <w:pStyle w:val="NoSpacing"/>
            </w:pPr>
            <w:r w:rsidRPr="00315F0A">
              <w:t>73</w:t>
            </w:r>
          </w:p>
        </w:tc>
        <w:tc>
          <w:tcPr>
            <w:tcW w:w="0" w:type="auto"/>
            <w:hideMark/>
          </w:tcPr>
          <w:p w14:paraId="6D42BF17" w14:textId="77777777" w:rsidR="00596CAE" w:rsidRPr="00315F0A" w:rsidRDefault="00596CAE" w:rsidP="00AC600B">
            <w:pPr>
              <w:pStyle w:val="NoSpacing"/>
            </w:pPr>
            <w:r w:rsidRPr="00315F0A">
              <w:t>6.0 ± 3.3</w:t>
            </w:r>
          </w:p>
        </w:tc>
        <w:tc>
          <w:tcPr>
            <w:tcW w:w="0" w:type="auto"/>
            <w:hideMark/>
          </w:tcPr>
          <w:p w14:paraId="34A9CF91" w14:textId="77777777" w:rsidR="00596CAE" w:rsidRPr="00315F0A" w:rsidRDefault="00596CAE" w:rsidP="00AC600B">
            <w:pPr>
              <w:pStyle w:val="NoSpacing"/>
            </w:pPr>
            <w:r w:rsidRPr="00315F0A">
              <w:t>11</w:t>
            </w:r>
          </w:p>
        </w:tc>
      </w:tr>
    </w:tbl>
    <w:p w14:paraId="3C8A95C5" w14:textId="77777777" w:rsidR="00596CAE" w:rsidRPr="00315F0A" w:rsidRDefault="00596CAE" w:rsidP="00255045">
      <w:pPr>
        <w:pStyle w:val="Heading2"/>
        <w:rPr>
          <w:rFonts w:asciiTheme="minorHAnsi" w:hAnsiTheme="minorHAnsi" w:cstheme="minorHAnsi"/>
        </w:rPr>
      </w:pPr>
      <w:r w:rsidRPr="00315F0A">
        <w:rPr>
          <w:rFonts w:asciiTheme="minorHAnsi" w:hAnsiTheme="minorHAnsi" w:cstheme="minorHAnsi"/>
        </w:rPr>
        <w:t>Ion exchange media</w:t>
      </w:r>
    </w:p>
    <w:p w14:paraId="2BA07937" w14:textId="77777777" w:rsidR="00596CAE" w:rsidRPr="00315F0A" w:rsidRDefault="00596CAE" w:rsidP="00255045">
      <w:pPr>
        <w:rPr>
          <w:rFonts w:cstheme="minorHAnsi"/>
        </w:rPr>
      </w:pPr>
      <w:r w:rsidRPr="00315F0A">
        <w:rPr>
          <w:rFonts w:cstheme="minorHAnsi"/>
        </w:rPr>
        <w:t>Dow‐HFO‐Cu resin was prepared by loading Cu</w:t>
      </w:r>
      <w:r w:rsidRPr="00315F0A">
        <w:rPr>
          <w:rFonts w:cstheme="minorHAnsi"/>
          <w:vertAlign w:val="superscript"/>
        </w:rPr>
        <w:t>2+</w:t>
      </w:r>
      <w:r w:rsidRPr="00315F0A">
        <w:rPr>
          <w:rFonts w:cstheme="minorHAnsi"/>
        </w:rPr>
        <w:t> and HFO metals on a commercial ion exchange resin (Dowex</w:t>
      </w:r>
      <w:r w:rsidRPr="00315F0A">
        <w:rPr>
          <w:rFonts w:cstheme="minorHAnsi"/>
          <w:vertAlign w:val="superscript"/>
        </w:rPr>
        <w:t>®</w:t>
      </w:r>
      <w:r w:rsidRPr="00315F0A">
        <w:rPr>
          <w:rFonts w:cstheme="minorHAnsi"/>
        </w:rPr>
        <w:t> M4195, Dow Chemical Company, Midland, MI) according to the protocol of Sengupta and Pandit (</w:t>
      </w:r>
      <w:hyperlink r:id="rId29" w:anchor="wer1080-bib-0015" w:history="1">
        <w:r w:rsidRPr="00315F0A">
          <w:rPr>
            <w:rStyle w:val="Hyperlink"/>
            <w:rFonts w:eastAsiaTheme="majorEastAsia" w:cstheme="minorHAnsi"/>
            <w:b/>
            <w:bCs/>
            <w:color w:val="000000"/>
          </w:rPr>
          <w:t>2011</w:t>
        </w:r>
      </w:hyperlink>
      <w:r w:rsidRPr="00315F0A">
        <w:rPr>
          <w:rFonts w:cstheme="minorHAnsi"/>
        </w:rPr>
        <w:t>). The resin's bulk density was 673 g/L, and its ion exchange capacity was 1 meq/mL (Sengupta &amp; Pandit, </w:t>
      </w:r>
      <w:hyperlink r:id="rId30" w:anchor="wer1080-bib-0015" w:history="1">
        <w:r w:rsidRPr="00315F0A">
          <w:rPr>
            <w:rStyle w:val="Hyperlink"/>
            <w:rFonts w:eastAsiaTheme="majorEastAsia" w:cstheme="minorHAnsi"/>
            <w:b/>
            <w:bCs/>
            <w:color w:val="000000"/>
          </w:rPr>
          <w:t>2011</w:t>
        </w:r>
      </w:hyperlink>
      <w:r w:rsidRPr="00315F0A">
        <w:rPr>
          <w:rFonts w:cstheme="minorHAnsi"/>
        </w:rPr>
        <w:t>). Scanning electron microscopy was used to quantify the particle size range as 300–700 μm (Figure </w:t>
      </w:r>
      <w:hyperlink r:id="rId31" w:anchor="wer1080-fig-0005" w:history="1">
        <w:r w:rsidRPr="00315F0A">
          <w:rPr>
            <w:rStyle w:val="Hyperlink"/>
            <w:rFonts w:eastAsiaTheme="majorEastAsia" w:cstheme="minorHAnsi"/>
            <w:b/>
            <w:bCs/>
            <w:color w:val="005274"/>
          </w:rPr>
          <w:t>5</w:t>
        </w:r>
      </w:hyperlink>
      <w:r w:rsidRPr="00315F0A">
        <w:rPr>
          <w:rFonts w:cstheme="minorHAnsi"/>
        </w:rPr>
        <w:t>), in agreement with that reported by Sengupta and Pandit (</w:t>
      </w:r>
      <w:hyperlink r:id="rId32" w:anchor="wer1080-bib-0015" w:history="1">
        <w:r w:rsidRPr="00315F0A">
          <w:rPr>
            <w:rStyle w:val="Hyperlink"/>
            <w:rFonts w:eastAsiaTheme="majorEastAsia" w:cstheme="minorHAnsi"/>
            <w:b/>
            <w:bCs/>
            <w:color w:val="000000"/>
          </w:rPr>
          <w:t>2011</w:t>
        </w:r>
      </w:hyperlink>
      <w:r w:rsidRPr="00315F0A">
        <w:rPr>
          <w:rFonts w:cstheme="minorHAnsi"/>
        </w:rPr>
        <w:t>), 297–841 μm (average = 570 μm).</w:t>
      </w:r>
    </w:p>
    <w:p w14:paraId="4656F3DE" w14:textId="77777777" w:rsidR="00596CAE" w:rsidRPr="00315F0A" w:rsidRDefault="00596CAE" w:rsidP="00255045">
      <w:pPr>
        <w:rPr>
          <w:rFonts w:cstheme="minorHAnsi"/>
        </w:rPr>
      </w:pPr>
      <w:r w:rsidRPr="00315F0A">
        <w:rPr>
          <w:rFonts w:cstheme="minorHAnsi"/>
        </w:rPr>
        <w:lastRenderedPageBreak/>
        <w:t>Clinoptilolite media (St. Cloud Zeolite, Tucson, AZ) was preconditioned by washing it to remove fine particles, followed by mixing 30 g of media with 1% NaCl solution for 2 days, and finally rinsing and drying for 24 hr at 103°C (Hedström, </w:t>
      </w:r>
      <w:hyperlink r:id="rId33" w:anchor="wer1080-bib-0006" w:history="1">
        <w:r w:rsidRPr="00315F0A">
          <w:rPr>
            <w:rStyle w:val="Hyperlink"/>
            <w:rFonts w:eastAsiaTheme="majorEastAsia" w:cstheme="minorHAnsi"/>
            <w:b/>
            <w:bCs/>
            <w:color w:val="000000"/>
          </w:rPr>
          <w:t>2001</w:t>
        </w:r>
      </w:hyperlink>
      <w:r w:rsidRPr="00315F0A">
        <w:rPr>
          <w:rFonts w:cstheme="minorHAnsi"/>
        </w:rPr>
        <w:t>; Sengupta, </w:t>
      </w:r>
      <w:hyperlink r:id="rId34" w:anchor="wer1080-bib-0014" w:history="1">
        <w:r w:rsidRPr="00315F0A">
          <w:rPr>
            <w:rStyle w:val="Hyperlink"/>
            <w:rFonts w:eastAsiaTheme="majorEastAsia" w:cstheme="minorHAnsi"/>
            <w:b/>
            <w:bCs/>
            <w:color w:val="000000"/>
          </w:rPr>
          <w:t>2013</w:t>
        </w:r>
      </w:hyperlink>
      <w:r w:rsidRPr="00315F0A">
        <w:rPr>
          <w:rFonts w:cstheme="minorHAnsi"/>
        </w:rPr>
        <w:t>).</w:t>
      </w:r>
    </w:p>
    <w:p w14:paraId="10D67108" w14:textId="77777777" w:rsidR="00596CAE" w:rsidRPr="00315F0A" w:rsidRDefault="00596CAE" w:rsidP="00255045">
      <w:pPr>
        <w:pStyle w:val="Heading2"/>
        <w:rPr>
          <w:rFonts w:asciiTheme="minorHAnsi" w:hAnsiTheme="minorHAnsi" w:cstheme="minorHAnsi"/>
        </w:rPr>
      </w:pPr>
      <w:r w:rsidRPr="00315F0A">
        <w:rPr>
          <w:rFonts w:asciiTheme="minorHAnsi" w:hAnsiTheme="minorHAnsi" w:cstheme="minorHAnsi"/>
        </w:rPr>
        <w:t>Batch tests</w:t>
      </w:r>
    </w:p>
    <w:p w14:paraId="0DBAEA2B" w14:textId="77777777" w:rsidR="00596CAE" w:rsidRPr="00315F0A" w:rsidRDefault="00596CAE" w:rsidP="00255045">
      <w:pPr>
        <w:rPr>
          <w:rFonts w:cstheme="minorHAnsi"/>
        </w:rPr>
      </w:pPr>
      <w:r w:rsidRPr="00315F0A">
        <w:rPr>
          <w:rFonts w:cstheme="minorHAnsi"/>
        </w:rPr>
        <w:t>To assess the nutrient removal capacity of ion exchange media over multiple ion exchange cycles, batch tests were conducted in triplicate vials prepared with 50 mL of nutrient‐spiked deionized water and 10 g/L of the respective exchange media. The vials were sealed and continuously mixed for 48 hr using a rotator mixer (Roto Torque</w:t>
      </w:r>
      <w:r w:rsidRPr="00315F0A">
        <w:rPr>
          <w:rFonts w:cstheme="minorHAnsi"/>
          <w:vertAlign w:val="superscript"/>
        </w:rPr>
        <w:t>™</w:t>
      </w:r>
      <w:r w:rsidRPr="00315F0A">
        <w:rPr>
          <w:rFonts w:cstheme="minorHAnsi"/>
        </w:rPr>
        <w:t>, Cole‐Parmer Instrument Company) to ensure time to reach equilibrium, as determined in preliminary tests (Figure </w:t>
      </w:r>
      <w:hyperlink r:id="rId35" w:anchor="support-information-section" w:history="1">
        <w:r w:rsidRPr="00315F0A">
          <w:rPr>
            <w:rStyle w:val="Hyperlink"/>
            <w:rFonts w:eastAsiaTheme="majorEastAsia" w:cstheme="minorHAnsi"/>
            <w:b/>
            <w:bCs/>
            <w:color w:val="005274"/>
          </w:rPr>
          <w:t>S1.1</w:t>
        </w:r>
      </w:hyperlink>
      <w:r w:rsidRPr="00315F0A">
        <w:rPr>
          <w:rFonts w:cstheme="minorHAnsi"/>
        </w:rPr>
        <w:t> of the Supporting Information [SI]). The supernatant was then analyzed for PO</w:t>
      </w:r>
      <w:r w:rsidRPr="00315F0A">
        <w:rPr>
          <w:rFonts w:cstheme="minorHAnsi"/>
          <w:vertAlign w:val="subscript"/>
        </w:rPr>
        <w:t>4</w:t>
      </w:r>
      <w:r w:rsidRPr="00315F0A">
        <w:rPr>
          <w:rFonts w:cstheme="minorHAnsi"/>
        </w:rPr>
        <w:t>‐P or NH</w:t>
      </w:r>
      <w:r w:rsidRPr="00315F0A">
        <w:rPr>
          <w:rFonts w:cstheme="minorHAnsi"/>
          <w:vertAlign w:val="subscript"/>
        </w:rPr>
        <w:t>4</w:t>
      </w:r>
      <w:r w:rsidRPr="00315F0A">
        <w:rPr>
          <w:rFonts w:cstheme="minorHAnsi"/>
        </w:rPr>
        <w:t>‐N, and the exchange capacity was calculated by dividing the mass of ions adsorbed by the mass of the media.</w:t>
      </w:r>
    </w:p>
    <w:p w14:paraId="56B6382E" w14:textId="77777777" w:rsidR="00596CAE" w:rsidRPr="00315F0A" w:rsidRDefault="00596CAE" w:rsidP="00255045">
      <w:pPr>
        <w:rPr>
          <w:rFonts w:cstheme="minorHAnsi"/>
        </w:rPr>
      </w:pPr>
      <w:r w:rsidRPr="00315F0A">
        <w:rPr>
          <w:rFonts w:cstheme="minorHAnsi"/>
        </w:rPr>
        <w:t>After the removal cycle, the remaining solution was decanted from the exhausted media, which was then rinsed with deionized water, and regeneration was conducted to desorb and recover PO</w:t>
      </w:r>
      <w:r w:rsidRPr="00315F0A">
        <w:rPr>
          <w:rFonts w:cstheme="minorHAnsi"/>
          <w:vertAlign w:val="subscript"/>
        </w:rPr>
        <w:t>4</w:t>
      </w:r>
      <w:r w:rsidRPr="00315F0A">
        <w:rPr>
          <w:rFonts w:cstheme="minorHAnsi"/>
          <w:vertAlign w:val="superscript"/>
        </w:rPr>
        <w:t>3−</w:t>
      </w:r>
      <w:r w:rsidRPr="00315F0A">
        <w:rPr>
          <w:rFonts w:cstheme="minorHAnsi"/>
        </w:rPr>
        <w:t> or NH</w:t>
      </w:r>
      <w:r w:rsidRPr="00315F0A">
        <w:rPr>
          <w:rFonts w:cstheme="minorHAnsi"/>
          <w:vertAlign w:val="subscript"/>
        </w:rPr>
        <w:t>4</w:t>
      </w:r>
      <w:r w:rsidRPr="00315F0A">
        <w:rPr>
          <w:rFonts w:cstheme="minorHAnsi"/>
          <w:vertAlign w:val="superscript"/>
        </w:rPr>
        <w:t>+</w:t>
      </w:r>
      <w:r w:rsidRPr="00315F0A">
        <w:rPr>
          <w:rFonts w:cstheme="minorHAnsi"/>
        </w:rPr>
        <w:t> using various regenerant solutions (Table </w:t>
      </w:r>
      <w:hyperlink r:id="rId36" w:anchor="wer1080-tbl-0002" w:tooltip="Link to table" w:history="1">
        <w:r w:rsidRPr="00315F0A">
          <w:rPr>
            <w:rStyle w:val="Hyperlink"/>
            <w:rFonts w:eastAsiaTheme="majorEastAsia" w:cstheme="minorHAnsi"/>
            <w:b/>
            <w:bCs/>
            <w:color w:val="005274"/>
          </w:rPr>
          <w:t>2</w:t>
        </w:r>
      </w:hyperlink>
      <w:r w:rsidRPr="00315F0A">
        <w:rPr>
          <w:rFonts w:cstheme="minorHAnsi"/>
        </w:rPr>
        <w:t>). Solutions including those reported by Sengupta (</w:t>
      </w:r>
      <w:hyperlink r:id="rId37" w:anchor="wer1080-bib-0014" w:history="1">
        <w:r w:rsidRPr="00315F0A">
          <w:rPr>
            <w:rStyle w:val="Hyperlink"/>
            <w:rFonts w:eastAsiaTheme="majorEastAsia" w:cstheme="minorHAnsi"/>
            <w:b/>
            <w:bCs/>
            <w:color w:val="000000"/>
          </w:rPr>
          <w:t>2013</w:t>
        </w:r>
      </w:hyperlink>
      <w:r w:rsidRPr="00315F0A">
        <w:rPr>
          <w:rFonts w:cstheme="minorHAnsi"/>
        </w:rPr>
        <w:t>) were tested in order to evaluate the nutrient desorption and regenerated media sorption capacity. For regeneration tests, 50 mL of regeneration solution was added to each vial containing spent media; vials were then sealed and mixed for 4 hr, as described by Williams (</w:t>
      </w:r>
      <w:hyperlink r:id="rId38" w:anchor="wer1080-bib-0017" w:history="1">
        <w:r w:rsidRPr="00315F0A">
          <w:rPr>
            <w:rStyle w:val="Hyperlink"/>
            <w:rFonts w:eastAsiaTheme="majorEastAsia" w:cstheme="minorHAnsi"/>
            <w:b/>
            <w:bCs/>
            <w:color w:val="000000"/>
          </w:rPr>
          <w:t>2013</w:t>
        </w:r>
      </w:hyperlink>
      <w:r w:rsidRPr="00315F0A">
        <w:rPr>
          <w:rFonts w:cstheme="minorHAnsi"/>
        </w:rPr>
        <w:t>). After regeneration, PO</w:t>
      </w:r>
      <w:r w:rsidRPr="00315F0A">
        <w:rPr>
          <w:rFonts w:cstheme="minorHAnsi"/>
          <w:vertAlign w:val="subscript"/>
        </w:rPr>
        <w:t>4</w:t>
      </w:r>
      <w:r w:rsidRPr="00315F0A">
        <w:rPr>
          <w:rFonts w:cstheme="minorHAnsi"/>
        </w:rPr>
        <w:t>‐P or NH</w:t>
      </w:r>
      <w:r w:rsidRPr="00315F0A">
        <w:rPr>
          <w:rFonts w:cstheme="minorHAnsi"/>
          <w:vertAlign w:val="subscript"/>
        </w:rPr>
        <w:t>4</w:t>
      </w:r>
      <w:r w:rsidRPr="00315F0A">
        <w:rPr>
          <w:rFonts w:cstheme="minorHAnsi"/>
        </w:rPr>
        <w:t>‐N concentration in the supernatant regeneration solution was measured and the media were prepared for the next exchange cycle by rinsing with deionized water. Five sequential removal and regeneration cycles were completed to evaluate media exchange capacity after multiple ion exchange cycles.</w:t>
      </w:r>
    </w:p>
    <w:p w14:paraId="27961E45" w14:textId="77777777" w:rsidR="00596CAE" w:rsidRPr="00315F0A" w:rsidRDefault="00596CAE" w:rsidP="00255045">
      <w:pPr>
        <w:rPr>
          <w:rFonts w:cstheme="minorHAnsi"/>
        </w:rPr>
      </w:pPr>
      <w:r w:rsidRPr="00315F0A">
        <w:rPr>
          <w:rStyle w:val="table-captionlabel"/>
          <w:rFonts w:cstheme="minorHAnsi"/>
          <w:b/>
          <w:bCs/>
        </w:rPr>
        <w:t>Table 2. </w:t>
      </w:r>
      <w:r w:rsidRPr="00315F0A">
        <w:rPr>
          <w:rFonts w:cstheme="minorHAnsi"/>
        </w:rPr>
        <w:t>Regenerant solutions tested in batch tests</w:t>
      </w:r>
    </w:p>
    <w:tbl>
      <w:tblPr>
        <w:tblStyle w:val="TableGrid"/>
        <w:tblW w:w="0" w:type="auto"/>
        <w:tblLook w:val="04A0" w:firstRow="1" w:lastRow="0" w:firstColumn="1" w:lastColumn="0" w:noHBand="0" w:noVBand="1"/>
      </w:tblPr>
      <w:tblGrid>
        <w:gridCol w:w="2007"/>
        <w:gridCol w:w="1573"/>
        <w:gridCol w:w="839"/>
        <w:gridCol w:w="954"/>
        <w:gridCol w:w="469"/>
      </w:tblGrid>
      <w:tr w:rsidR="00596CAE" w:rsidRPr="00315F0A" w14:paraId="14681BED" w14:textId="77777777" w:rsidTr="00AC600B">
        <w:tc>
          <w:tcPr>
            <w:tcW w:w="0" w:type="auto"/>
            <w:hideMark/>
          </w:tcPr>
          <w:p w14:paraId="45140393" w14:textId="77777777" w:rsidR="00596CAE" w:rsidRPr="00315F0A" w:rsidRDefault="00596CAE" w:rsidP="00AC600B">
            <w:pPr>
              <w:pStyle w:val="NoSpacing"/>
            </w:pPr>
            <w:r w:rsidRPr="00315F0A">
              <w:t>Ion exchange media</w:t>
            </w:r>
          </w:p>
        </w:tc>
        <w:tc>
          <w:tcPr>
            <w:tcW w:w="0" w:type="auto"/>
            <w:hideMark/>
          </w:tcPr>
          <w:p w14:paraId="2BD9F552" w14:textId="77777777" w:rsidR="00596CAE" w:rsidRPr="00315F0A" w:rsidRDefault="00596CAE" w:rsidP="00AC600B">
            <w:pPr>
              <w:pStyle w:val="NoSpacing"/>
            </w:pPr>
            <w:r w:rsidRPr="00315F0A">
              <w:t>Target nutrient</w:t>
            </w:r>
          </w:p>
        </w:tc>
        <w:tc>
          <w:tcPr>
            <w:tcW w:w="0" w:type="auto"/>
            <w:hideMark/>
          </w:tcPr>
          <w:p w14:paraId="63A5193D" w14:textId="77777777" w:rsidR="00596CAE" w:rsidRPr="00315F0A" w:rsidRDefault="00596CAE" w:rsidP="00AC600B">
            <w:pPr>
              <w:pStyle w:val="NoSpacing"/>
            </w:pPr>
            <w:r w:rsidRPr="00315F0A">
              <w:t>% NaCl</w:t>
            </w:r>
          </w:p>
        </w:tc>
        <w:tc>
          <w:tcPr>
            <w:tcW w:w="0" w:type="auto"/>
            <w:hideMark/>
          </w:tcPr>
          <w:p w14:paraId="4FC619D1" w14:textId="77777777" w:rsidR="00596CAE" w:rsidRPr="00315F0A" w:rsidRDefault="00596CAE" w:rsidP="00AC600B">
            <w:pPr>
              <w:pStyle w:val="NoSpacing"/>
            </w:pPr>
            <w:r w:rsidRPr="00315F0A">
              <w:t>% NaOH</w:t>
            </w:r>
          </w:p>
        </w:tc>
        <w:tc>
          <w:tcPr>
            <w:tcW w:w="0" w:type="auto"/>
            <w:hideMark/>
          </w:tcPr>
          <w:p w14:paraId="7DD94CE6" w14:textId="77777777" w:rsidR="00596CAE" w:rsidRPr="00315F0A" w:rsidRDefault="00596CAE" w:rsidP="00AC600B">
            <w:pPr>
              <w:pStyle w:val="NoSpacing"/>
            </w:pPr>
            <w:r w:rsidRPr="00315F0A">
              <w:t>pH</w:t>
            </w:r>
          </w:p>
        </w:tc>
      </w:tr>
      <w:tr w:rsidR="00562AFD" w:rsidRPr="00315F0A" w14:paraId="04430770" w14:textId="77777777" w:rsidTr="00AC600B">
        <w:tc>
          <w:tcPr>
            <w:tcW w:w="0" w:type="auto"/>
            <w:hideMark/>
          </w:tcPr>
          <w:p w14:paraId="75FC7115" w14:textId="77777777" w:rsidR="00562AFD" w:rsidRPr="00315F0A" w:rsidRDefault="00562AFD" w:rsidP="00AC600B">
            <w:pPr>
              <w:pStyle w:val="NoSpacing"/>
            </w:pPr>
            <w:r w:rsidRPr="00315F0A">
              <w:t>Dow‐HFO‐Cu</w:t>
            </w:r>
          </w:p>
        </w:tc>
        <w:tc>
          <w:tcPr>
            <w:tcW w:w="0" w:type="auto"/>
          </w:tcPr>
          <w:p w14:paraId="2DDB6047" w14:textId="55FA14CA" w:rsidR="00562AFD" w:rsidRPr="00315F0A" w:rsidRDefault="00562AFD" w:rsidP="00AC600B">
            <w:pPr>
              <w:pStyle w:val="NoSpacing"/>
            </w:pPr>
            <w:r w:rsidRPr="00315F0A">
              <w:t>PO</w:t>
            </w:r>
            <w:r w:rsidRPr="00315F0A">
              <w:rPr>
                <w:vertAlign w:val="subscript"/>
              </w:rPr>
              <w:t>4</w:t>
            </w:r>
            <w:r w:rsidRPr="00315F0A">
              <w:t>‐P</w:t>
            </w:r>
          </w:p>
        </w:tc>
        <w:tc>
          <w:tcPr>
            <w:tcW w:w="0" w:type="auto"/>
            <w:hideMark/>
          </w:tcPr>
          <w:p w14:paraId="540954A4" w14:textId="77777777" w:rsidR="00562AFD" w:rsidRPr="00315F0A" w:rsidRDefault="00562AFD" w:rsidP="00AC600B">
            <w:pPr>
              <w:pStyle w:val="NoSpacing"/>
            </w:pPr>
            <w:r w:rsidRPr="00315F0A">
              <w:t>2.5</w:t>
            </w:r>
          </w:p>
        </w:tc>
        <w:tc>
          <w:tcPr>
            <w:tcW w:w="0" w:type="auto"/>
            <w:hideMark/>
          </w:tcPr>
          <w:p w14:paraId="0500F10C" w14:textId="77777777" w:rsidR="00562AFD" w:rsidRPr="00315F0A" w:rsidRDefault="00562AFD" w:rsidP="00AC600B">
            <w:pPr>
              <w:pStyle w:val="NoSpacing"/>
            </w:pPr>
            <w:r w:rsidRPr="00315F0A">
              <w:t>2</w:t>
            </w:r>
          </w:p>
        </w:tc>
        <w:tc>
          <w:tcPr>
            <w:tcW w:w="0" w:type="auto"/>
            <w:hideMark/>
          </w:tcPr>
          <w:p w14:paraId="102C0831" w14:textId="77777777" w:rsidR="00562AFD" w:rsidRPr="00315F0A" w:rsidRDefault="00562AFD" w:rsidP="00AC600B">
            <w:pPr>
              <w:pStyle w:val="NoSpacing"/>
            </w:pPr>
            <w:r w:rsidRPr="00315F0A">
              <w:t>13</w:t>
            </w:r>
          </w:p>
        </w:tc>
      </w:tr>
      <w:tr w:rsidR="00562AFD" w:rsidRPr="00315F0A" w14:paraId="48B763BA" w14:textId="77777777" w:rsidTr="00AC600B">
        <w:tc>
          <w:tcPr>
            <w:tcW w:w="0" w:type="auto"/>
            <w:hideMark/>
          </w:tcPr>
          <w:p w14:paraId="604C8A75" w14:textId="77777777" w:rsidR="00562AFD" w:rsidRPr="00315F0A" w:rsidRDefault="00562AFD" w:rsidP="00AC600B">
            <w:pPr>
              <w:pStyle w:val="NoSpacing"/>
            </w:pPr>
          </w:p>
        </w:tc>
        <w:tc>
          <w:tcPr>
            <w:tcW w:w="0" w:type="auto"/>
          </w:tcPr>
          <w:p w14:paraId="60F73F35" w14:textId="061B4C58" w:rsidR="00562AFD" w:rsidRPr="00315F0A" w:rsidRDefault="00562AFD" w:rsidP="00AC600B">
            <w:pPr>
              <w:pStyle w:val="NoSpacing"/>
            </w:pPr>
          </w:p>
        </w:tc>
        <w:tc>
          <w:tcPr>
            <w:tcW w:w="0" w:type="auto"/>
            <w:hideMark/>
          </w:tcPr>
          <w:p w14:paraId="0840BA89" w14:textId="77777777" w:rsidR="00562AFD" w:rsidRPr="00315F0A" w:rsidRDefault="00562AFD" w:rsidP="00AC600B">
            <w:pPr>
              <w:pStyle w:val="NoSpacing"/>
            </w:pPr>
            <w:r w:rsidRPr="00315F0A">
              <w:t>1.5</w:t>
            </w:r>
          </w:p>
        </w:tc>
        <w:tc>
          <w:tcPr>
            <w:tcW w:w="0" w:type="auto"/>
            <w:hideMark/>
          </w:tcPr>
          <w:p w14:paraId="3640CAEC" w14:textId="77777777" w:rsidR="00562AFD" w:rsidRPr="00315F0A" w:rsidRDefault="00562AFD" w:rsidP="00AC600B">
            <w:pPr>
              <w:pStyle w:val="NoSpacing"/>
            </w:pPr>
            <w:r w:rsidRPr="00315F0A">
              <w:t>1</w:t>
            </w:r>
          </w:p>
        </w:tc>
        <w:tc>
          <w:tcPr>
            <w:tcW w:w="0" w:type="auto"/>
            <w:hideMark/>
          </w:tcPr>
          <w:p w14:paraId="6EB59F91" w14:textId="77777777" w:rsidR="00562AFD" w:rsidRPr="00315F0A" w:rsidRDefault="00562AFD" w:rsidP="00AC600B">
            <w:pPr>
              <w:pStyle w:val="NoSpacing"/>
            </w:pPr>
            <w:r w:rsidRPr="00315F0A">
              <w:t>12</w:t>
            </w:r>
          </w:p>
        </w:tc>
      </w:tr>
      <w:tr w:rsidR="00562AFD" w:rsidRPr="00315F0A" w14:paraId="536CB320" w14:textId="77777777" w:rsidTr="00AC600B">
        <w:tc>
          <w:tcPr>
            <w:tcW w:w="0" w:type="auto"/>
            <w:hideMark/>
          </w:tcPr>
          <w:p w14:paraId="187CB41D" w14:textId="77777777" w:rsidR="00562AFD" w:rsidRPr="00315F0A" w:rsidRDefault="00562AFD" w:rsidP="00AC600B">
            <w:pPr>
              <w:pStyle w:val="NoSpacing"/>
            </w:pPr>
          </w:p>
        </w:tc>
        <w:tc>
          <w:tcPr>
            <w:tcW w:w="0" w:type="auto"/>
          </w:tcPr>
          <w:p w14:paraId="5FBBE36F" w14:textId="26D019DB" w:rsidR="00562AFD" w:rsidRPr="00315F0A" w:rsidRDefault="00562AFD" w:rsidP="00AC600B">
            <w:pPr>
              <w:pStyle w:val="NoSpacing"/>
            </w:pPr>
          </w:p>
        </w:tc>
        <w:tc>
          <w:tcPr>
            <w:tcW w:w="0" w:type="auto"/>
            <w:hideMark/>
          </w:tcPr>
          <w:p w14:paraId="4610F603" w14:textId="77777777" w:rsidR="00562AFD" w:rsidRPr="00315F0A" w:rsidRDefault="00562AFD" w:rsidP="00AC600B">
            <w:pPr>
              <w:pStyle w:val="NoSpacing"/>
            </w:pPr>
            <w:r w:rsidRPr="00315F0A">
              <w:t>1</w:t>
            </w:r>
          </w:p>
        </w:tc>
        <w:tc>
          <w:tcPr>
            <w:tcW w:w="0" w:type="auto"/>
            <w:hideMark/>
          </w:tcPr>
          <w:p w14:paraId="13BA9F05" w14:textId="77777777" w:rsidR="00562AFD" w:rsidRPr="00315F0A" w:rsidRDefault="00562AFD" w:rsidP="00AC600B">
            <w:pPr>
              <w:pStyle w:val="NoSpacing"/>
            </w:pPr>
            <w:r w:rsidRPr="00315F0A">
              <w:t>0.5</w:t>
            </w:r>
          </w:p>
        </w:tc>
        <w:tc>
          <w:tcPr>
            <w:tcW w:w="0" w:type="auto"/>
            <w:hideMark/>
          </w:tcPr>
          <w:p w14:paraId="797332B1" w14:textId="77777777" w:rsidR="00562AFD" w:rsidRPr="00315F0A" w:rsidRDefault="00562AFD" w:rsidP="00AC600B">
            <w:pPr>
              <w:pStyle w:val="NoSpacing"/>
            </w:pPr>
            <w:r w:rsidRPr="00315F0A">
              <w:t>11</w:t>
            </w:r>
          </w:p>
        </w:tc>
      </w:tr>
      <w:tr w:rsidR="00562AFD" w:rsidRPr="00315F0A" w14:paraId="0480E011" w14:textId="77777777" w:rsidTr="00AC600B">
        <w:tc>
          <w:tcPr>
            <w:tcW w:w="0" w:type="auto"/>
            <w:hideMark/>
          </w:tcPr>
          <w:p w14:paraId="5D69D346" w14:textId="77777777" w:rsidR="00562AFD" w:rsidRPr="00315F0A" w:rsidRDefault="00562AFD" w:rsidP="00AC600B">
            <w:pPr>
              <w:pStyle w:val="NoSpacing"/>
            </w:pPr>
          </w:p>
        </w:tc>
        <w:tc>
          <w:tcPr>
            <w:tcW w:w="0" w:type="auto"/>
          </w:tcPr>
          <w:p w14:paraId="5D5F9912" w14:textId="58FC2D7C" w:rsidR="00562AFD" w:rsidRPr="00315F0A" w:rsidRDefault="00562AFD" w:rsidP="00AC600B">
            <w:pPr>
              <w:pStyle w:val="NoSpacing"/>
            </w:pPr>
          </w:p>
        </w:tc>
        <w:tc>
          <w:tcPr>
            <w:tcW w:w="0" w:type="auto"/>
            <w:hideMark/>
          </w:tcPr>
          <w:p w14:paraId="37804100" w14:textId="77777777" w:rsidR="00562AFD" w:rsidRPr="00315F0A" w:rsidRDefault="00562AFD" w:rsidP="00AC600B">
            <w:pPr>
              <w:pStyle w:val="NoSpacing"/>
            </w:pPr>
            <w:r w:rsidRPr="00315F0A">
              <w:t>2</w:t>
            </w:r>
          </w:p>
        </w:tc>
        <w:tc>
          <w:tcPr>
            <w:tcW w:w="0" w:type="auto"/>
            <w:hideMark/>
          </w:tcPr>
          <w:p w14:paraId="4E4A6156" w14:textId="77777777" w:rsidR="00562AFD" w:rsidRPr="00315F0A" w:rsidRDefault="00562AFD" w:rsidP="00AC600B">
            <w:pPr>
              <w:pStyle w:val="NoSpacing"/>
            </w:pPr>
            <w:r w:rsidRPr="00315F0A">
              <w:t>0.5</w:t>
            </w:r>
          </w:p>
        </w:tc>
        <w:tc>
          <w:tcPr>
            <w:tcW w:w="0" w:type="auto"/>
            <w:hideMark/>
          </w:tcPr>
          <w:p w14:paraId="1684ECE6" w14:textId="77777777" w:rsidR="00562AFD" w:rsidRPr="00315F0A" w:rsidRDefault="00562AFD" w:rsidP="00AC600B">
            <w:pPr>
              <w:pStyle w:val="NoSpacing"/>
            </w:pPr>
            <w:r w:rsidRPr="00315F0A">
              <w:t>11</w:t>
            </w:r>
          </w:p>
        </w:tc>
      </w:tr>
      <w:tr w:rsidR="00562AFD" w:rsidRPr="00315F0A" w14:paraId="0A7615E1" w14:textId="77777777" w:rsidTr="00AC600B">
        <w:tc>
          <w:tcPr>
            <w:tcW w:w="0" w:type="auto"/>
            <w:hideMark/>
          </w:tcPr>
          <w:p w14:paraId="706475BA" w14:textId="77777777" w:rsidR="00562AFD" w:rsidRPr="00315F0A" w:rsidRDefault="00562AFD" w:rsidP="00AC600B">
            <w:pPr>
              <w:pStyle w:val="NoSpacing"/>
            </w:pPr>
          </w:p>
        </w:tc>
        <w:tc>
          <w:tcPr>
            <w:tcW w:w="0" w:type="auto"/>
          </w:tcPr>
          <w:p w14:paraId="00FE6254" w14:textId="17C15EF4" w:rsidR="00562AFD" w:rsidRPr="00315F0A" w:rsidRDefault="00562AFD" w:rsidP="00AC600B">
            <w:pPr>
              <w:pStyle w:val="NoSpacing"/>
            </w:pPr>
          </w:p>
        </w:tc>
        <w:tc>
          <w:tcPr>
            <w:tcW w:w="0" w:type="auto"/>
            <w:hideMark/>
          </w:tcPr>
          <w:p w14:paraId="3A0EDBE6" w14:textId="77777777" w:rsidR="00562AFD" w:rsidRPr="00315F0A" w:rsidRDefault="00562AFD" w:rsidP="00AC600B">
            <w:pPr>
              <w:pStyle w:val="NoSpacing"/>
            </w:pPr>
            <w:r w:rsidRPr="00315F0A">
              <w:t>1</w:t>
            </w:r>
          </w:p>
        </w:tc>
        <w:tc>
          <w:tcPr>
            <w:tcW w:w="0" w:type="auto"/>
            <w:hideMark/>
          </w:tcPr>
          <w:p w14:paraId="6716E6E9" w14:textId="77777777" w:rsidR="00562AFD" w:rsidRPr="00315F0A" w:rsidRDefault="00562AFD" w:rsidP="00AC600B">
            <w:pPr>
              <w:pStyle w:val="NoSpacing"/>
            </w:pPr>
            <w:r w:rsidRPr="00315F0A">
              <w:t>2</w:t>
            </w:r>
          </w:p>
        </w:tc>
        <w:tc>
          <w:tcPr>
            <w:tcW w:w="0" w:type="auto"/>
            <w:hideMark/>
          </w:tcPr>
          <w:p w14:paraId="74A57493" w14:textId="77777777" w:rsidR="00562AFD" w:rsidRPr="00315F0A" w:rsidRDefault="00562AFD" w:rsidP="00AC600B">
            <w:pPr>
              <w:pStyle w:val="NoSpacing"/>
            </w:pPr>
            <w:r w:rsidRPr="00315F0A">
              <w:t>13</w:t>
            </w:r>
          </w:p>
        </w:tc>
      </w:tr>
      <w:tr w:rsidR="00562AFD" w:rsidRPr="00315F0A" w14:paraId="297D3A64" w14:textId="77777777" w:rsidTr="00AC600B">
        <w:tc>
          <w:tcPr>
            <w:tcW w:w="0" w:type="auto"/>
            <w:hideMark/>
          </w:tcPr>
          <w:p w14:paraId="12D0F6C2" w14:textId="77777777" w:rsidR="00562AFD" w:rsidRPr="00315F0A" w:rsidRDefault="00562AFD" w:rsidP="00AC600B">
            <w:pPr>
              <w:pStyle w:val="NoSpacing"/>
            </w:pPr>
            <w:r w:rsidRPr="00315F0A">
              <w:t>Clinoptilolite</w:t>
            </w:r>
          </w:p>
        </w:tc>
        <w:tc>
          <w:tcPr>
            <w:tcW w:w="0" w:type="auto"/>
          </w:tcPr>
          <w:p w14:paraId="6EB22426" w14:textId="7C4233FA" w:rsidR="00562AFD" w:rsidRPr="00315F0A" w:rsidRDefault="00562AFD" w:rsidP="00AC600B">
            <w:pPr>
              <w:pStyle w:val="NoSpacing"/>
            </w:pPr>
            <w:r w:rsidRPr="00315F0A">
              <w:t>NH</w:t>
            </w:r>
            <w:r w:rsidRPr="00315F0A">
              <w:rPr>
                <w:vertAlign w:val="subscript"/>
              </w:rPr>
              <w:t>4</w:t>
            </w:r>
            <w:r w:rsidRPr="00315F0A">
              <w:t>‐N</w:t>
            </w:r>
          </w:p>
        </w:tc>
        <w:tc>
          <w:tcPr>
            <w:tcW w:w="0" w:type="auto"/>
            <w:hideMark/>
          </w:tcPr>
          <w:p w14:paraId="4321BCB7" w14:textId="77777777" w:rsidR="00562AFD" w:rsidRPr="00315F0A" w:rsidRDefault="00562AFD" w:rsidP="00AC600B">
            <w:pPr>
              <w:pStyle w:val="NoSpacing"/>
            </w:pPr>
            <w:r w:rsidRPr="00315F0A">
              <w:t>2</w:t>
            </w:r>
          </w:p>
        </w:tc>
        <w:tc>
          <w:tcPr>
            <w:tcW w:w="0" w:type="auto"/>
            <w:hideMark/>
          </w:tcPr>
          <w:p w14:paraId="00519C84" w14:textId="77777777" w:rsidR="00562AFD" w:rsidRPr="00315F0A" w:rsidRDefault="00562AFD" w:rsidP="00AC600B">
            <w:pPr>
              <w:pStyle w:val="NoSpacing"/>
            </w:pPr>
            <w:r w:rsidRPr="00315F0A">
              <w:t>0.5</w:t>
            </w:r>
          </w:p>
        </w:tc>
        <w:tc>
          <w:tcPr>
            <w:tcW w:w="0" w:type="auto"/>
            <w:hideMark/>
          </w:tcPr>
          <w:p w14:paraId="55EE13DF" w14:textId="77777777" w:rsidR="00562AFD" w:rsidRPr="00315F0A" w:rsidRDefault="00562AFD" w:rsidP="00AC600B">
            <w:pPr>
              <w:pStyle w:val="NoSpacing"/>
            </w:pPr>
            <w:r w:rsidRPr="00315F0A">
              <w:t>11</w:t>
            </w:r>
          </w:p>
        </w:tc>
      </w:tr>
      <w:tr w:rsidR="00562AFD" w:rsidRPr="00315F0A" w14:paraId="7F5B4809" w14:textId="77777777" w:rsidTr="00AC600B">
        <w:tc>
          <w:tcPr>
            <w:tcW w:w="0" w:type="auto"/>
            <w:hideMark/>
          </w:tcPr>
          <w:p w14:paraId="2D7F1256" w14:textId="77777777" w:rsidR="00562AFD" w:rsidRPr="00315F0A" w:rsidRDefault="00562AFD" w:rsidP="00AC600B">
            <w:pPr>
              <w:pStyle w:val="NoSpacing"/>
            </w:pPr>
          </w:p>
        </w:tc>
        <w:tc>
          <w:tcPr>
            <w:tcW w:w="0" w:type="auto"/>
          </w:tcPr>
          <w:p w14:paraId="5FA612FF" w14:textId="36E2951C" w:rsidR="00562AFD" w:rsidRPr="00315F0A" w:rsidRDefault="00562AFD" w:rsidP="00AC600B">
            <w:pPr>
              <w:pStyle w:val="NoSpacing"/>
            </w:pPr>
          </w:p>
        </w:tc>
        <w:tc>
          <w:tcPr>
            <w:tcW w:w="0" w:type="auto"/>
            <w:hideMark/>
          </w:tcPr>
          <w:p w14:paraId="01339935" w14:textId="77777777" w:rsidR="00562AFD" w:rsidRPr="00315F0A" w:rsidRDefault="00562AFD" w:rsidP="00AC600B">
            <w:pPr>
              <w:pStyle w:val="NoSpacing"/>
            </w:pPr>
            <w:r w:rsidRPr="00315F0A">
              <w:t>4</w:t>
            </w:r>
          </w:p>
        </w:tc>
        <w:tc>
          <w:tcPr>
            <w:tcW w:w="0" w:type="auto"/>
            <w:hideMark/>
          </w:tcPr>
          <w:p w14:paraId="33892E31" w14:textId="77777777" w:rsidR="00562AFD" w:rsidRPr="00315F0A" w:rsidRDefault="00562AFD" w:rsidP="00AC600B">
            <w:pPr>
              <w:pStyle w:val="NoSpacing"/>
            </w:pPr>
            <w:r w:rsidRPr="00315F0A">
              <w:t>0.5</w:t>
            </w:r>
          </w:p>
        </w:tc>
        <w:tc>
          <w:tcPr>
            <w:tcW w:w="0" w:type="auto"/>
            <w:hideMark/>
          </w:tcPr>
          <w:p w14:paraId="30BDE086" w14:textId="77777777" w:rsidR="00562AFD" w:rsidRPr="00315F0A" w:rsidRDefault="00562AFD" w:rsidP="00AC600B">
            <w:pPr>
              <w:pStyle w:val="NoSpacing"/>
            </w:pPr>
            <w:r w:rsidRPr="00315F0A">
              <w:t>11</w:t>
            </w:r>
          </w:p>
        </w:tc>
      </w:tr>
      <w:tr w:rsidR="00562AFD" w:rsidRPr="00315F0A" w14:paraId="02BC91C4" w14:textId="77777777" w:rsidTr="00AC600B">
        <w:tc>
          <w:tcPr>
            <w:tcW w:w="0" w:type="auto"/>
            <w:hideMark/>
          </w:tcPr>
          <w:p w14:paraId="177CA087" w14:textId="77777777" w:rsidR="00562AFD" w:rsidRPr="00315F0A" w:rsidRDefault="00562AFD" w:rsidP="00AC600B">
            <w:pPr>
              <w:pStyle w:val="NoSpacing"/>
            </w:pPr>
          </w:p>
        </w:tc>
        <w:tc>
          <w:tcPr>
            <w:tcW w:w="0" w:type="auto"/>
          </w:tcPr>
          <w:p w14:paraId="28ED9CCC" w14:textId="17E7177C" w:rsidR="00562AFD" w:rsidRPr="00315F0A" w:rsidRDefault="00562AFD" w:rsidP="00AC600B">
            <w:pPr>
              <w:pStyle w:val="NoSpacing"/>
            </w:pPr>
          </w:p>
        </w:tc>
        <w:tc>
          <w:tcPr>
            <w:tcW w:w="0" w:type="auto"/>
            <w:hideMark/>
          </w:tcPr>
          <w:p w14:paraId="3EA502AB" w14:textId="77777777" w:rsidR="00562AFD" w:rsidRPr="00315F0A" w:rsidRDefault="00562AFD" w:rsidP="00AC600B">
            <w:pPr>
              <w:pStyle w:val="NoSpacing"/>
            </w:pPr>
            <w:r w:rsidRPr="00315F0A">
              <w:t>6</w:t>
            </w:r>
          </w:p>
        </w:tc>
        <w:tc>
          <w:tcPr>
            <w:tcW w:w="0" w:type="auto"/>
            <w:hideMark/>
          </w:tcPr>
          <w:p w14:paraId="5B643BAD" w14:textId="77777777" w:rsidR="00562AFD" w:rsidRPr="00315F0A" w:rsidRDefault="00562AFD" w:rsidP="00AC600B">
            <w:pPr>
              <w:pStyle w:val="NoSpacing"/>
            </w:pPr>
            <w:r w:rsidRPr="00315F0A">
              <w:t>0.5</w:t>
            </w:r>
          </w:p>
        </w:tc>
        <w:tc>
          <w:tcPr>
            <w:tcW w:w="0" w:type="auto"/>
            <w:hideMark/>
          </w:tcPr>
          <w:p w14:paraId="2F5248B8" w14:textId="77777777" w:rsidR="00562AFD" w:rsidRPr="00315F0A" w:rsidRDefault="00562AFD" w:rsidP="00AC600B">
            <w:pPr>
              <w:pStyle w:val="NoSpacing"/>
            </w:pPr>
            <w:r w:rsidRPr="00315F0A">
              <w:t>11</w:t>
            </w:r>
          </w:p>
        </w:tc>
      </w:tr>
    </w:tbl>
    <w:p w14:paraId="1730B44B" w14:textId="77777777" w:rsidR="00596CAE" w:rsidRPr="00315F0A" w:rsidRDefault="00596CAE" w:rsidP="00562AFD">
      <w:pPr>
        <w:pStyle w:val="Heading2"/>
        <w:rPr>
          <w:rFonts w:asciiTheme="minorHAnsi" w:hAnsiTheme="minorHAnsi" w:cstheme="minorHAnsi"/>
        </w:rPr>
      </w:pPr>
      <w:r w:rsidRPr="00315F0A">
        <w:rPr>
          <w:rFonts w:asciiTheme="minorHAnsi" w:hAnsiTheme="minorHAnsi" w:cstheme="minorHAnsi"/>
        </w:rPr>
        <w:t>Column tests</w:t>
      </w:r>
    </w:p>
    <w:p w14:paraId="42815B8B" w14:textId="77777777" w:rsidR="00596CAE" w:rsidRPr="00315F0A" w:rsidRDefault="00596CAE" w:rsidP="00562AFD">
      <w:pPr>
        <w:pStyle w:val="Heading3"/>
        <w:rPr>
          <w:rFonts w:asciiTheme="minorHAnsi" w:hAnsiTheme="minorHAnsi" w:cstheme="minorHAnsi"/>
        </w:rPr>
      </w:pPr>
      <w:r w:rsidRPr="00315F0A">
        <w:rPr>
          <w:rFonts w:asciiTheme="minorHAnsi" w:hAnsiTheme="minorHAnsi" w:cstheme="minorHAnsi"/>
        </w:rPr>
        <w:t>I</w:t>
      </w:r>
      <w:r w:rsidRPr="00315F0A">
        <w:rPr>
          <w:rStyle w:val="Heading3Char"/>
          <w:rFonts w:asciiTheme="minorHAnsi" w:hAnsiTheme="minorHAnsi" w:cstheme="minorHAnsi"/>
        </w:rPr>
        <w:t>on exchange</w:t>
      </w:r>
    </w:p>
    <w:p w14:paraId="77A1BA1C" w14:textId="77777777" w:rsidR="00596CAE" w:rsidRPr="00315F0A" w:rsidRDefault="00596CAE" w:rsidP="00562AFD">
      <w:pPr>
        <w:rPr>
          <w:rFonts w:cstheme="minorHAnsi"/>
        </w:rPr>
      </w:pPr>
      <w:r w:rsidRPr="00315F0A">
        <w:rPr>
          <w:rFonts w:cstheme="minorHAnsi"/>
        </w:rPr>
        <w:t>Column tests were performed using two sequential fixed‐bed columns containing Dow‐HFO‐Cu resin and clinoptilolite, respectively. Exchange media (15 mL) was packed in a 300‐mm long, 10‐mm diameter glass column (AdjustaChrom</w:t>
      </w:r>
      <w:r w:rsidRPr="00315F0A">
        <w:rPr>
          <w:rFonts w:cstheme="minorHAnsi"/>
          <w:vertAlign w:val="superscript"/>
        </w:rPr>
        <w:t>®</w:t>
      </w:r>
      <w:r w:rsidRPr="00315F0A">
        <w:rPr>
          <w:rFonts w:cstheme="minorHAnsi"/>
        </w:rPr>
        <w:t> #11, Ace Glass Inc., Vineland, NJ). AnMBR permeate from the synthetic or real primary effluent was pumped through the columns at 2 L/day to achieve 5.5 bed volumes (BV)/h and an empty bed contact time (EBCT) of 10.8 min using a peristaltic pump (Masterflex</w:t>
      </w:r>
      <w:r w:rsidRPr="00315F0A">
        <w:rPr>
          <w:rFonts w:cstheme="minorHAnsi"/>
          <w:vertAlign w:val="superscript"/>
        </w:rPr>
        <w:t>®</w:t>
      </w:r>
      <w:r w:rsidRPr="00315F0A">
        <w:rPr>
          <w:rFonts w:cstheme="minorHAnsi"/>
        </w:rPr>
        <w:t> C/L, Cole‐Parmer, USA). Effluent from the Dow‐HFO‐Cu resin column was collected in a continuously stirred 2‐L container for use as influent for the clinoptilolite column. Effluent samples from each column were collected every two hours using a two‐way diverter solenoid valve and fraction collector (CF‐1, Spectrum Chromatography, Houston, TX). When the column was exhausted, indicated by effluent concentrations reaching 85% of the influent concentration, the removal test was stopped and the media was rinsed with 5 to 10 BV of deionized water in preparation for regeneration.</w:t>
      </w:r>
    </w:p>
    <w:p w14:paraId="126DC37A" w14:textId="77777777" w:rsidR="00596CAE" w:rsidRPr="00315F0A" w:rsidRDefault="00596CAE" w:rsidP="00562AFD">
      <w:pPr>
        <w:pStyle w:val="Heading3"/>
        <w:rPr>
          <w:rFonts w:asciiTheme="minorHAnsi" w:hAnsiTheme="minorHAnsi" w:cstheme="minorHAnsi"/>
        </w:rPr>
      </w:pPr>
      <w:r w:rsidRPr="00315F0A">
        <w:rPr>
          <w:rFonts w:asciiTheme="minorHAnsi" w:hAnsiTheme="minorHAnsi" w:cstheme="minorHAnsi"/>
        </w:rPr>
        <w:lastRenderedPageBreak/>
        <w:t>Regeneration</w:t>
      </w:r>
    </w:p>
    <w:p w14:paraId="17F0EA2D" w14:textId="77777777" w:rsidR="00596CAE" w:rsidRPr="00315F0A" w:rsidRDefault="00596CAE" w:rsidP="00562AFD">
      <w:pPr>
        <w:rPr>
          <w:rFonts w:cstheme="minorHAnsi"/>
        </w:rPr>
      </w:pPr>
      <w:r w:rsidRPr="00315F0A">
        <w:rPr>
          <w:rFonts w:cstheme="minorHAnsi"/>
        </w:rPr>
        <w:t>The regeneration solution used in column tests was determined as the regenerant with the most PO</w:t>
      </w:r>
      <w:r w:rsidRPr="00315F0A">
        <w:rPr>
          <w:rFonts w:cstheme="minorHAnsi"/>
          <w:vertAlign w:val="subscript"/>
        </w:rPr>
        <w:t>4</w:t>
      </w:r>
      <w:r w:rsidRPr="00315F0A">
        <w:rPr>
          <w:rFonts w:cstheme="minorHAnsi"/>
        </w:rPr>
        <w:t>‐P recovery and least media attrition in subsequent ion exchange cycles during batch tests. Column regeneration was performed by feeding this regenerant through the respective column at 2 L/day. Effluent regeneration samples were collected every 30 min for PO</w:t>
      </w:r>
      <w:r w:rsidRPr="00315F0A">
        <w:rPr>
          <w:rFonts w:cstheme="minorHAnsi"/>
          <w:vertAlign w:val="subscript"/>
        </w:rPr>
        <w:t>4</w:t>
      </w:r>
      <w:r w:rsidRPr="00315F0A">
        <w:rPr>
          <w:rFonts w:cstheme="minorHAnsi"/>
        </w:rPr>
        <w:t>‐P and NH</w:t>
      </w:r>
      <w:r w:rsidRPr="00315F0A">
        <w:rPr>
          <w:rFonts w:cstheme="minorHAnsi"/>
          <w:vertAlign w:val="subscript"/>
        </w:rPr>
        <w:t>4</w:t>
      </w:r>
      <w:r w:rsidRPr="00315F0A">
        <w:rPr>
          <w:rFonts w:cstheme="minorHAnsi"/>
        </w:rPr>
        <w:t>‐N analysis. The effluent regenerant from the columns was collected in bulk for subsequent struvite precipitation tests. Regeneration was conducted until effluent PO</w:t>
      </w:r>
      <w:r w:rsidRPr="00315F0A">
        <w:rPr>
          <w:rFonts w:cstheme="minorHAnsi"/>
          <w:vertAlign w:val="subscript"/>
        </w:rPr>
        <w:t>4</w:t>
      </w:r>
      <w:r w:rsidRPr="00315F0A">
        <w:rPr>
          <w:rFonts w:cstheme="minorHAnsi"/>
        </w:rPr>
        <w:t>‐P or NH</w:t>
      </w:r>
      <w:r w:rsidRPr="00315F0A">
        <w:rPr>
          <w:rFonts w:cstheme="minorHAnsi"/>
          <w:vertAlign w:val="subscript"/>
        </w:rPr>
        <w:t>4</w:t>
      </w:r>
      <w:r w:rsidRPr="00315F0A">
        <w:rPr>
          <w:rFonts w:cstheme="minorHAnsi"/>
        </w:rPr>
        <w:t>‐N concentrations dropped below 10 mg/L, beyond which point a much larger volume of regeneration solution would be required to desorb a smaller fraction of the ions (Williams &amp; Mayer, </w:t>
      </w:r>
      <w:hyperlink r:id="rId39" w:anchor="wer1080-bib-0018" w:history="1">
        <w:r w:rsidRPr="00315F0A">
          <w:rPr>
            <w:rStyle w:val="Hyperlink"/>
            <w:rFonts w:eastAsiaTheme="majorEastAsia" w:cstheme="minorHAnsi"/>
            <w:b/>
            <w:bCs/>
            <w:color w:val="000000"/>
          </w:rPr>
          <w:t>2013</w:t>
        </w:r>
      </w:hyperlink>
      <w:r w:rsidRPr="00315F0A">
        <w:rPr>
          <w:rFonts w:cstheme="minorHAnsi"/>
        </w:rPr>
        <w:t>; Williams, Zitomer, &amp; Mayer, </w:t>
      </w:r>
      <w:hyperlink r:id="rId40" w:anchor="wer1080-bib-0019" w:history="1">
        <w:r w:rsidRPr="00315F0A">
          <w:rPr>
            <w:rStyle w:val="Hyperlink"/>
            <w:rFonts w:eastAsiaTheme="majorEastAsia" w:cstheme="minorHAnsi"/>
            <w:b/>
            <w:bCs/>
            <w:color w:val="000000"/>
          </w:rPr>
          <w:t>2015</w:t>
        </w:r>
      </w:hyperlink>
      <w:r w:rsidRPr="00315F0A">
        <w:rPr>
          <w:rFonts w:cstheme="minorHAnsi"/>
        </w:rPr>
        <w:t>). After regeneration, 5 to 10 BV of deionized water was pumped through the column to remove remaining regenerant solution and to prepare the media for another subsequent removal cycle.</w:t>
      </w:r>
    </w:p>
    <w:p w14:paraId="1054856F" w14:textId="77777777" w:rsidR="00596CAE" w:rsidRPr="00315F0A" w:rsidRDefault="00596CAE" w:rsidP="00562AFD">
      <w:pPr>
        <w:rPr>
          <w:rFonts w:cstheme="minorHAnsi"/>
        </w:rPr>
      </w:pPr>
      <w:r w:rsidRPr="00315F0A">
        <w:rPr>
          <w:rFonts w:cstheme="minorHAnsi"/>
        </w:rPr>
        <w:t>The total mass of desorbed PO</w:t>
      </w:r>
      <w:r w:rsidRPr="00315F0A">
        <w:rPr>
          <w:rFonts w:cstheme="minorHAnsi"/>
          <w:vertAlign w:val="subscript"/>
        </w:rPr>
        <w:t>4</w:t>
      </w:r>
      <w:r w:rsidRPr="00315F0A">
        <w:rPr>
          <w:rFonts w:cstheme="minorHAnsi"/>
        </w:rPr>
        <w:t>‐P or NH</w:t>
      </w:r>
      <w:r w:rsidRPr="00315F0A">
        <w:rPr>
          <w:rFonts w:cstheme="minorHAnsi"/>
          <w:vertAlign w:val="subscript"/>
        </w:rPr>
        <w:t>4</w:t>
      </w:r>
      <w:r w:rsidRPr="00315F0A">
        <w:rPr>
          <w:rFonts w:cstheme="minorHAnsi"/>
        </w:rPr>
        <w:t>‐N during regeneration was calculated by fitting multiple trend lines to the effluent concentration curve, plotted with respect to time, using Microsoft Excel. The resulting equations were integrated to determine the total desorbed nutrient mass (PO</w:t>
      </w:r>
      <w:r w:rsidRPr="00315F0A">
        <w:rPr>
          <w:rFonts w:cstheme="minorHAnsi"/>
          <w:vertAlign w:val="subscript"/>
        </w:rPr>
        <w:t>4</w:t>
      </w:r>
      <w:r w:rsidRPr="00315F0A">
        <w:rPr>
          <w:rFonts w:cstheme="minorHAnsi"/>
        </w:rPr>
        <w:t>‐P or NH</w:t>
      </w:r>
      <w:r w:rsidRPr="00315F0A">
        <w:rPr>
          <w:rFonts w:cstheme="minorHAnsi"/>
          <w:vertAlign w:val="subscript"/>
        </w:rPr>
        <w:t>4</w:t>
      </w:r>
      <w:r w:rsidRPr="00315F0A">
        <w:rPr>
          <w:rFonts w:cstheme="minorHAnsi"/>
        </w:rPr>
        <w:t>‐N). Figure </w:t>
      </w:r>
      <w:hyperlink r:id="rId41" w:anchor="support-information-section" w:history="1">
        <w:r w:rsidRPr="00315F0A">
          <w:rPr>
            <w:rStyle w:val="Hyperlink"/>
            <w:rFonts w:eastAsiaTheme="majorEastAsia" w:cstheme="minorHAnsi"/>
            <w:b/>
            <w:bCs/>
            <w:color w:val="005274"/>
          </w:rPr>
          <w:t>S4.2</w:t>
        </w:r>
      </w:hyperlink>
      <w:r w:rsidRPr="00315F0A">
        <w:rPr>
          <w:rFonts w:cstheme="minorHAnsi"/>
        </w:rPr>
        <w:t> shows an example of this approach implemented to assess NH</w:t>
      </w:r>
      <w:r w:rsidRPr="00315F0A">
        <w:rPr>
          <w:rFonts w:cstheme="minorHAnsi"/>
          <w:vertAlign w:val="subscript"/>
        </w:rPr>
        <w:t>4</w:t>
      </w:r>
      <w:r w:rsidRPr="00315F0A">
        <w:rPr>
          <w:rFonts w:cstheme="minorHAnsi"/>
        </w:rPr>
        <w:t>‐N recovery during zeolite column regeneration.</w:t>
      </w:r>
    </w:p>
    <w:p w14:paraId="158FB8EF" w14:textId="77777777" w:rsidR="00596CAE" w:rsidRPr="00315F0A" w:rsidRDefault="00596CAE" w:rsidP="00562AFD">
      <w:pPr>
        <w:pStyle w:val="Heading2"/>
        <w:rPr>
          <w:rFonts w:asciiTheme="minorHAnsi" w:hAnsiTheme="minorHAnsi" w:cstheme="minorHAnsi"/>
        </w:rPr>
      </w:pPr>
      <w:r w:rsidRPr="00315F0A">
        <w:rPr>
          <w:rFonts w:asciiTheme="minorHAnsi" w:hAnsiTheme="minorHAnsi" w:cstheme="minorHAnsi"/>
        </w:rPr>
        <w:t>Struvite precipitation tests</w:t>
      </w:r>
    </w:p>
    <w:p w14:paraId="45B678D9" w14:textId="77777777" w:rsidR="00596CAE" w:rsidRPr="00315F0A" w:rsidRDefault="00596CAE" w:rsidP="00562AFD">
      <w:pPr>
        <w:rPr>
          <w:rFonts w:cstheme="minorHAnsi"/>
        </w:rPr>
      </w:pPr>
      <w:r w:rsidRPr="00315F0A">
        <w:rPr>
          <w:rFonts w:cstheme="minorHAnsi"/>
        </w:rPr>
        <w:t>Effluent regenerant brine from the column tests was used for subsequent struvite precipitation testing. Using the regeneration solutions recovered from the first cycle of anion and cation exchange, preliminary screening was conducted to determine the pH (8, 8.7, or 9, adjusted using 0.1 M HCl solution) and the Mg</w:t>
      </w:r>
      <w:r w:rsidRPr="00315F0A">
        <w:rPr>
          <w:rFonts w:cstheme="minorHAnsi"/>
          <w:vertAlign w:val="superscript"/>
        </w:rPr>
        <w:t>2+</w:t>
      </w:r>
      <w:r w:rsidRPr="00315F0A">
        <w:rPr>
          <w:rFonts w:cstheme="minorHAnsi"/>
        </w:rPr>
        <w:t>:PO</w:t>
      </w:r>
      <w:r w:rsidRPr="00315F0A">
        <w:rPr>
          <w:rFonts w:cstheme="minorHAnsi"/>
          <w:vertAlign w:val="subscript"/>
        </w:rPr>
        <w:t>4</w:t>
      </w:r>
      <w:r w:rsidRPr="00315F0A">
        <w:rPr>
          <w:rFonts w:cstheme="minorHAnsi"/>
          <w:vertAlign w:val="superscript"/>
        </w:rPr>
        <w:t>3−</w:t>
      </w:r>
      <w:r w:rsidRPr="00315F0A">
        <w:rPr>
          <w:rFonts w:cstheme="minorHAnsi"/>
        </w:rPr>
        <w:t> ratio (1:1‐1.3:1) that resulted in the greatest PO</w:t>
      </w:r>
      <w:r w:rsidRPr="00315F0A">
        <w:rPr>
          <w:rFonts w:cstheme="minorHAnsi"/>
          <w:vertAlign w:val="subscript"/>
        </w:rPr>
        <w:t>4</w:t>
      </w:r>
      <w:r w:rsidRPr="00315F0A">
        <w:rPr>
          <w:rFonts w:cstheme="minorHAnsi"/>
        </w:rPr>
        <w:t>‐P precipitation. These conditions were then used in all subsequent tests.</w:t>
      </w:r>
    </w:p>
    <w:p w14:paraId="0446F660" w14:textId="77777777" w:rsidR="00596CAE" w:rsidRPr="00315F0A" w:rsidRDefault="00596CAE" w:rsidP="00562AFD">
      <w:pPr>
        <w:rPr>
          <w:rFonts w:cstheme="minorHAnsi"/>
        </w:rPr>
      </w:pPr>
      <w:r w:rsidRPr="00315F0A">
        <w:rPr>
          <w:rFonts w:cstheme="minorHAnsi"/>
        </w:rPr>
        <w:t>Initial concentrations of PO</w:t>
      </w:r>
      <w:r w:rsidRPr="00315F0A">
        <w:rPr>
          <w:rFonts w:cstheme="minorHAnsi"/>
          <w:vertAlign w:val="subscript"/>
        </w:rPr>
        <w:t>4</w:t>
      </w:r>
      <w:r w:rsidRPr="00315F0A">
        <w:rPr>
          <w:rFonts w:cstheme="minorHAnsi"/>
          <w:vertAlign w:val="superscript"/>
        </w:rPr>
        <w:t>3−</w:t>
      </w:r>
      <w:r w:rsidRPr="00315F0A">
        <w:rPr>
          <w:rFonts w:cstheme="minorHAnsi"/>
        </w:rPr>
        <w:t> and NH</w:t>
      </w:r>
      <w:r w:rsidRPr="00315F0A">
        <w:rPr>
          <w:rFonts w:cstheme="minorHAnsi"/>
          <w:vertAlign w:val="subscript"/>
        </w:rPr>
        <w:t>4</w:t>
      </w:r>
      <w:r w:rsidRPr="00315F0A">
        <w:rPr>
          <w:rFonts w:cstheme="minorHAnsi"/>
          <w:vertAlign w:val="superscript"/>
        </w:rPr>
        <w:t>+</w:t>
      </w:r>
      <w:r w:rsidRPr="00315F0A">
        <w:rPr>
          <w:rFonts w:cstheme="minorHAnsi"/>
        </w:rPr>
        <w:t> in the column regenerants were measured to calculate stoichiometric molar ratios of PO</w:t>
      </w:r>
      <w:r w:rsidRPr="00315F0A">
        <w:rPr>
          <w:rFonts w:cstheme="minorHAnsi"/>
          <w:vertAlign w:val="subscript"/>
        </w:rPr>
        <w:t>4</w:t>
      </w:r>
      <w:r w:rsidRPr="00315F0A">
        <w:rPr>
          <w:rFonts w:cstheme="minorHAnsi"/>
          <w:vertAlign w:val="superscript"/>
        </w:rPr>
        <w:t>3−</w:t>
      </w:r>
      <w:r w:rsidRPr="00315F0A">
        <w:rPr>
          <w:rFonts w:cstheme="minorHAnsi"/>
        </w:rPr>
        <w:t>, NH</w:t>
      </w:r>
      <w:r w:rsidRPr="00315F0A">
        <w:rPr>
          <w:rFonts w:cstheme="minorHAnsi"/>
          <w:vertAlign w:val="subscript"/>
        </w:rPr>
        <w:t>4</w:t>
      </w:r>
      <w:r w:rsidRPr="00315F0A">
        <w:rPr>
          <w:rFonts w:cstheme="minorHAnsi"/>
          <w:vertAlign w:val="superscript"/>
        </w:rPr>
        <w:t>+</w:t>
      </w:r>
      <w:r w:rsidRPr="00315F0A">
        <w:rPr>
          <w:rFonts w:cstheme="minorHAnsi"/>
        </w:rPr>
        <w:t>, and Mg</w:t>
      </w:r>
      <w:r w:rsidRPr="00315F0A">
        <w:rPr>
          <w:rFonts w:cstheme="minorHAnsi"/>
          <w:vertAlign w:val="superscript"/>
        </w:rPr>
        <w:t>2+</w:t>
      </w:r>
      <w:r w:rsidRPr="00315F0A">
        <w:rPr>
          <w:rFonts w:cstheme="minorHAnsi"/>
        </w:rPr>
        <w:t>. Since Mg</w:t>
      </w:r>
      <w:r w:rsidRPr="00315F0A">
        <w:rPr>
          <w:rFonts w:cstheme="minorHAnsi"/>
          <w:vertAlign w:val="superscript"/>
        </w:rPr>
        <w:t>2+</w:t>
      </w:r>
      <w:r w:rsidRPr="00315F0A">
        <w:rPr>
          <w:rFonts w:cstheme="minorHAnsi"/>
        </w:rPr>
        <w:t> concentrations are typically low in municipal wastewater, 12.5 g MgCl</w:t>
      </w:r>
      <w:r w:rsidRPr="00315F0A">
        <w:rPr>
          <w:rFonts w:cstheme="minorHAnsi"/>
          <w:vertAlign w:val="subscript"/>
        </w:rPr>
        <w:t>2</w:t>
      </w:r>
      <w:r w:rsidRPr="00315F0A">
        <w:rPr>
          <w:rFonts w:cstheme="minorHAnsi"/>
        </w:rPr>
        <w:t>•6 H</w:t>
      </w:r>
      <w:r w:rsidRPr="00315F0A">
        <w:rPr>
          <w:rFonts w:cstheme="minorHAnsi"/>
          <w:vertAlign w:val="subscript"/>
        </w:rPr>
        <w:t>2</w:t>
      </w:r>
      <w:r w:rsidRPr="00315F0A">
        <w:rPr>
          <w:rFonts w:cstheme="minorHAnsi"/>
        </w:rPr>
        <w:t>O was mixed with 1 L of deionized water, which was added to the mixed regenerants to target the desired molar ratios among the ions. After mixing, each solution was allowed to settle for 30 minutes and was then filtered through a 0.45‐μm glass fiber filter followed by analysis of the filtrate for PO</w:t>
      </w:r>
      <w:r w:rsidRPr="00315F0A">
        <w:rPr>
          <w:rFonts w:cstheme="minorHAnsi"/>
          <w:vertAlign w:val="subscript"/>
        </w:rPr>
        <w:t>4</w:t>
      </w:r>
      <w:r w:rsidRPr="00315F0A">
        <w:rPr>
          <w:rFonts w:cstheme="minorHAnsi"/>
        </w:rPr>
        <w:t>‐P, NH</w:t>
      </w:r>
      <w:r w:rsidRPr="00315F0A">
        <w:rPr>
          <w:rFonts w:cstheme="minorHAnsi"/>
          <w:vertAlign w:val="subscript"/>
        </w:rPr>
        <w:t>4</w:t>
      </w:r>
      <w:r w:rsidRPr="00315F0A">
        <w:rPr>
          <w:rFonts w:cstheme="minorHAnsi"/>
        </w:rPr>
        <w:t>‐N, and Mg</w:t>
      </w:r>
      <w:r w:rsidRPr="00315F0A">
        <w:rPr>
          <w:rFonts w:cstheme="minorHAnsi"/>
          <w:vertAlign w:val="superscript"/>
        </w:rPr>
        <w:t>2+</w:t>
      </w:r>
      <w:r w:rsidRPr="00315F0A">
        <w:rPr>
          <w:rFonts w:cstheme="minorHAnsi"/>
        </w:rPr>
        <w:t>.</w:t>
      </w:r>
    </w:p>
    <w:p w14:paraId="316676AD" w14:textId="77777777" w:rsidR="00596CAE" w:rsidRPr="00315F0A" w:rsidRDefault="00596CAE" w:rsidP="00562AFD">
      <w:pPr>
        <w:pStyle w:val="Heading2"/>
        <w:rPr>
          <w:rFonts w:asciiTheme="minorHAnsi" w:hAnsiTheme="minorHAnsi" w:cstheme="minorHAnsi"/>
        </w:rPr>
      </w:pPr>
      <w:r w:rsidRPr="00315F0A">
        <w:rPr>
          <w:rFonts w:asciiTheme="minorHAnsi" w:hAnsiTheme="minorHAnsi" w:cstheme="minorHAnsi"/>
        </w:rPr>
        <w:t>Analytical methods and data analysis</w:t>
      </w:r>
    </w:p>
    <w:p w14:paraId="42E38E5C" w14:textId="77777777" w:rsidR="00596CAE" w:rsidRPr="00315F0A" w:rsidRDefault="00596CAE" w:rsidP="00562AFD">
      <w:pPr>
        <w:rPr>
          <w:rFonts w:cstheme="minorHAnsi"/>
        </w:rPr>
      </w:pPr>
      <w:r w:rsidRPr="00315F0A">
        <w:rPr>
          <w:rFonts w:cstheme="minorHAnsi"/>
        </w:rPr>
        <w:t>All PO</w:t>
      </w:r>
      <w:r w:rsidRPr="00315F0A">
        <w:rPr>
          <w:rFonts w:cstheme="minorHAnsi"/>
          <w:vertAlign w:val="subscript"/>
        </w:rPr>
        <w:t>4</w:t>
      </w:r>
      <w:r w:rsidRPr="00315F0A">
        <w:rPr>
          <w:rFonts w:cstheme="minorHAnsi"/>
        </w:rPr>
        <w:t>‐P concentrations were analyzed using the PhosVer</w:t>
      </w:r>
      <w:r w:rsidRPr="00315F0A">
        <w:rPr>
          <w:rFonts w:cstheme="minorHAnsi"/>
          <w:vertAlign w:val="superscript"/>
        </w:rPr>
        <w:t>®</w:t>
      </w:r>
      <w:r w:rsidRPr="00315F0A">
        <w:rPr>
          <w:rFonts w:cstheme="minorHAnsi"/>
        </w:rPr>
        <w:t> 3 Phosphate Reagent powder pillow (Hach Company, Loveland, CO) spectrophotometric method adapted from the standard ascorbic acid method 4500‐PE (APHA et al., </w:t>
      </w:r>
      <w:hyperlink r:id="rId42" w:anchor="wer1080-bib-0001" w:history="1">
        <w:r w:rsidRPr="00315F0A">
          <w:rPr>
            <w:rStyle w:val="Hyperlink"/>
            <w:rFonts w:eastAsiaTheme="majorEastAsia" w:cstheme="minorHAnsi"/>
            <w:b/>
            <w:bCs/>
            <w:color w:val="000000"/>
          </w:rPr>
          <w:t>2012</w:t>
        </w:r>
      </w:hyperlink>
      <w:r w:rsidRPr="00315F0A">
        <w:rPr>
          <w:rFonts w:cstheme="minorHAnsi"/>
        </w:rPr>
        <w:t>). NH</w:t>
      </w:r>
      <w:r w:rsidRPr="00315F0A">
        <w:rPr>
          <w:rFonts w:cstheme="minorHAnsi"/>
          <w:vertAlign w:val="subscript"/>
        </w:rPr>
        <w:t>4</w:t>
      </w:r>
      <w:r w:rsidRPr="00315F0A">
        <w:rPr>
          <w:rFonts w:cstheme="minorHAnsi"/>
        </w:rPr>
        <w:t>‐N concentrations were analyzed using the phenate method, standard method 4500‐NH</w:t>
      </w:r>
      <w:r w:rsidRPr="00315F0A">
        <w:rPr>
          <w:rFonts w:cstheme="minorHAnsi"/>
          <w:vertAlign w:val="subscript"/>
        </w:rPr>
        <w:t>3</w:t>
      </w:r>
      <w:r w:rsidRPr="00315F0A">
        <w:rPr>
          <w:rFonts w:cstheme="minorHAnsi"/>
        </w:rPr>
        <w:t> F. Total concentrations of Mg</w:t>
      </w:r>
      <w:r w:rsidRPr="00315F0A">
        <w:rPr>
          <w:rFonts w:cstheme="minorHAnsi"/>
          <w:vertAlign w:val="superscript"/>
        </w:rPr>
        <w:t>2+</w:t>
      </w:r>
      <w:r w:rsidRPr="00315F0A">
        <w:rPr>
          <w:rFonts w:cstheme="minorHAnsi"/>
        </w:rPr>
        <w:t>, Ca</w:t>
      </w:r>
      <w:r w:rsidRPr="00315F0A">
        <w:rPr>
          <w:rFonts w:cstheme="minorHAnsi"/>
          <w:vertAlign w:val="superscript"/>
        </w:rPr>
        <w:t>2+</w:t>
      </w:r>
      <w:r w:rsidRPr="00315F0A">
        <w:rPr>
          <w:rFonts w:cstheme="minorHAnsi"/>
        </w:rPr>
        <w:t>, Al</w:t>
      </w:r>
      <w:r w:rsidRPr="00315F0A">
        <w:rPr>
          <w:rFonts w:cstheme="minorHAnsi"/>
          <w:vertAlign w:val="superscript"/>
        </w:rPr>
        <w:t>3+</w:t>
      </w:r>
      <w:r w:rsidRPr="00315F0A">
        <w:rPr>
          <w:rFonts w:cstheme="minorHAnsi"/>
        </w:rPr>
        <w:t>, Fe</w:t>
      </w:r>
      <w:r w:rsidRPr="00315F0A">
        <w:rPr>
          <w:rFonts w:cstheme="minorHAnsi"/>
          <w:vertAlign w:val="superscript"/>
        </w:rPr>
        <w:t>2+</w:t>
      </w:r>
      <w:r w:rsidRPr="00315F0A">
        <w:rPr>
          <w:rFonts w:cstheme="minorHAnsi"/>
        </w:rPr>
        <w:t>, and Cu</w:t>
      </w:r>
      <w:r w:rsidRPr="00315F0A">
        <w:rPr>
          <w:rFonts w:cstheme="minorHAnsi"/>
          <w:vertAlign w:val="superscript"/>
        </w:rPr>
        <w:t>2+</w:t>
      </w:r>
      <w:r w:rsidRPr="00315F0A">
        <w:rPr>
          <w:rFonts w:cstheme="minorHAnsi"/>
        </w:rPr>
        <w:t> were determined by digesting 10 mL of solution using the standard nitric acid digestion method 3030 E (APHA; AWWA; WEF, </w:t>
      </w:r>
      <w:hyperlink r:id="rId43" w:anchor="wer1080-bib-0001" w:history="1">
        <w:r w:rsidRPr="00315F0A">
          <w:rPr>
            <w:rStyle w:val="Hyperlink"/>
            <w:rFonts w:eastAsiaTheme="majorEastAsia" w:cstheme="minorHAnsi"/>
            <w:b/>
            <w:bCs/>
            <w:color w:val="000000"/>
          </w:rPr>
          <w:t>2012</w:t>
        </w:r>
      </w:hyperlink>
      <w:r w:rsidRPr="00315F0A">
        <w:rPr>
          <w:rFonts w:cstheme="minorHAnsi"/>
        </w:rPr>
        <w:t>). To assess the soluble fractions, a portion of the samples was filtered through 0.45 μm PES membrane filters (Sigma‐Aldrich, St. Louis, MO) prior to nitric acid digestion. Digested samples were analyzed using inductively coupled plasma‐mass spectrometry (7700 Series, Agilent Technologies, Santa Clara, CA). Anion concentrations including PO</w:t>
      </w:r>
      <w:r w:rsidRPr="00315F0A">
        <w:rPr>
          <w:rFonts w:cstheme="minorHAnsi"/>
          <w:vertAlign w:val="subscript"/>
        </w:rPr>
        <w:t>4</w:t>
      </w:r>
      <w:r w:rsidRPr="00315F0A">
        <w:rPr>
          <w:rFonts w:cstheme="minorHAnsi"/>
          <w:vertAlign w:val="superscript"/>
        </w:rPr>
        <w:t>3−</w:t>
      </w:r>
      <w:r w:rsidRPr="00315F0A">
        <w:rPr>
          <w:rFonts w:cstheme="minorHAnsi"/>
        </w:rPr>
        <w:t>, SO</w:t>
      </w:r>
      <w:r w:rsidRPr="00315F0A">
        <w:rPr>
          <w:rFonts w:cstheme="minorHAnsi"/>
          <w:vertAlign w:val="subscript"/>
        </w:rPr>
        <w:t>4</w:t>
      </w:r>
      <w:r w:rsidRPr="00315F0A">
        <w:rPr>
          <w:rFonts w:cstheme="minorHAnsi"/>
          <w:vertAlign w:val="superscript"/>
        </w:rPr>
        <w:t>2−</w:t>
      </w:r>
      <w:r w:rsidRPr="00315F0A">
        <w:rPr>
          <w:rFonts w:cstheme="minorHAnsi"/>
        </w:rPr>
        <w:t>, and Cl</w:t>
      </w:r>
      <w:r w:rsidRPr="00315F0A">
        <w:rPr>
          <w:rFonts w:cstheme="minorHAnsi"/>
          <w:vertAlign w:val="superscript"/>
        </w:rPr>
        <w:t>−</w:t>
      </w:r>
      <w:r w:rsidRPr="00315F0A">
        <w:rPr>
          <w:rFonts w:cstheme="minorHAnsi"/>
        </w:rPr>
        <w:t> were determined using ion chromatography (Dionex ICS‐1100, Thermo Fisher Scientific, Waltham, MA). BOD</w:t>
      </w:r>
      <w:r w:rsidRPr="00315F0A">
        <w:rPr>
          <w:rFonts w:cstheme="minorHAnsi"/>
          <w:vertAlign w:val="subscript"/>
        </w:rPr>
        <w:t>5</w:t>
      </w:r>
      <w:r w:rsidRPr="00315F0A">
        <w:rPr>
          <w:rFonts w:cstheme="minorHAnsi"/>
        </w:rPr>
        <w:t> was determined via standard method 5210 B (APHA; AWWA; WEF, </w:t>
      </w:r>
      <w:hyperlink r:id="rId44" w:anchor="wer1080-bib-0001" w:history="1">
        <w:r w:rsidRPr="00315F0A">
          <w:rPr>
            <w:rStyle w:val="Hyperlink"/>
            <w:rFonts w:eastAsiaTheme="majorEastAsia" w:cstheme="minorHAnsi"/>
            <w:b/>
            <w:bCs/>
            <w:color w:val="000000"/>
          </w:rPr>
          <w:t>2012</w:t>
        </w:r>
      </w:hyperlink>
      <w:r w:rsidRPr="00315F0A">
        <w:rPr>
          <w:rFonts w:cstheme="minorHAnsi"/>
        </w:rPr>
        <w:t>).</w:t>
      </w:r>
    </w:p>
    <w:p w14:paraId="2ED92C26" w14:textId="77777777" w:rsidR="00596CAE" w:rsidRPr="00315F0A" w:rsidRDefault="00596CAE" w:rsidP="00562AFD">
      <w:pPr>
        <w:pStyle w:val="Heading3"/>
        <w:rPr>
          <w:rFonts w:asciiTheme="minorHAnsi" w:hAnsiTheme="minorHAnsi" w:cstheme="minorHAnsi"/>
        </w:rPr>
      </w:pPr>
      <w:r w:rsidRPr="00315F0A">
        <w:rPr>
          <w:rFonts w:asciiTheme="minorHAnsi" w:hAnsiTheme="minorHAnsi" w:cstheme="minorHAnsi"/>
        </w:rPr>
        <w:t>Dow‐HFO‐Cu resin analysis before and after regeneration using SEM and EDS</w:t>
      </w:r>
    </w:p>
    <w:p w14:paraId="5C7F87A4" w14:textId="77777777" w:rsidR="00596CAE" w:rsidRPr="00315F0A" w:rsidRDefault="00596CAE" w:rsidP="00562AFD">
      <w:pPr>
        <w:rPr>
          <w:rFonts w:cstheme="minorHAnsi"/>
        </w:rPr>
      </w:pPr>
      <w:r w:rsidRPr="00315F0A">
        <w:rPr>
          <w:rFonts w:cstheme="minorHAnsi"/>
        </w:rPr>
        <w:t>Scanning electron microscope (SEM) and energy dispersive X‐ray spectroscopy (EDS) analyses were conducted to assess the effects of media regeneration on the structure and elemental composition of the Dow‐HFO‐Cu media. The SEM and EDS analyses were conducted using samples of virgin and regenerated Dow‐HFO‐Cu media. The regenerated Dow‐HFO‐Cu media was from batch tests (Section </w:t>
      </w:r>
      <w:hyperlink r:id="rId45" w:anchor="wer1080-sec-0007-title" w:history="1">
        <w:r w:rsidRPr="00315F0A">
          <w:rPr>
            <w:rStyle w:val="Hyperlink"/>
            <w:rFonts w:eastAsiaTheme="majorEastAsia" w:cstheme="minorHAnsi"/>
            <w:b/>
            <w:bCs/>
            <w:color w:val="005274"/>
          </w:rPr>
          <w:t>2.4.1</w:t>
        </w:r>
      </w:hyperlink>
      <w:r w:rsidRPr="00315F0A">
        <w:rPr>
          <w:rFonts w:cstheme="minorHAnsi"/>
        </w:rPr>
        <w:t>) following one regeneration cycle using 2% NaCl + 0.5% NaOH regenerant.</w:t>
      </w:r>
    </w:p>
    <w:p w14:paraId="2383969E" w14:textId="77777777" w:rsidR="00596CAE" w:rsidRPr="00315F0A" w:rsidRDefault="00596CAE" w:rsidP="00562AFD">
      <w:pPr>
        <w:rPr>
          <w:rFonts w:cstheme="minorHAnsi"/>
        </w:rPr>
      </w:pPr>
      <w:r w:rsidRPr="00315F0A">
        <w:rPr>
          <w:rFonts w:cstheme="minorHAnsi"/>
        </w:rPr>
        <w:lastRenderedPageBreak/>
        <w:t>The spherical Dow‐HFO‐Cu media samples were collected on double‐sided carbon conducting tape and were then sputter coated with approximately 20 nm (200 Ǻ) of gold–palladium to make them conductive. The specimens were examined and photographed using a JEOL JSM 6510LV SEM operated at 20 kV with a working distance of 20 mm and a spot size of 60. Scanning electron micrographs were obtained for one virgin and one regenerated Dow‐HFO‐Cu sphere at 150X and 500X. EDS spectra were obtained with a Fisher Scientific NORAN System 7 spectrum analyzer from areas at the center of each sphere at a magnification of 500X using an acquisition time of 100 s. The EDS spectra were obtained for three different virgin and regenerated Dow‐HFO‐Cu resin beads, and the spectra were quantitatively analyzed using the filter without standards and a Phi‐Rho‐Z correction. The output K‐ratio values, which is the ratio of the intensity (number of X‐ray counts) for an element of interest in the sample to the intensity for the standard assigned to that element, were used as a qualitative measure of changes in the elemental composition of the regenerated Dow‐HFO‐Cu media.</w:t>
      </w:r>
    </w:p>
    <w:p w14:paraId="0A35DE6E" w14:textId="77777777" w:rsidR="00596CAE" w:rsidRPr="00315F0A" w:rsidRDefault="00596CAE" w:rsidP="00562AFD">
      <w:pPr>
        <w:pStyle w:val="Heading3"/>
        <w:rPr>
          <w:rFonts w:asciiTheme="minorHAnsi" w:hAnsiTheme="minorHAnsi" w:cstheme="minorHAnsi"/>
        </w:rPr>
      </w:pPr>
      <w:r w:rsidRPr="00315F0A">
        <w:rPr>
          <w:rFonts w:asciiTheme="minorHAnsi" w:hAnsiTheme="minorHAnsi" w:cstheme="minorHAnsi"/>
        </w:rPr>
        <w:t>Data analysis</w:t>
      </w:r>
    </w:p>
    <w:p w14:paraId="4FA2C9D2" w14:textId="77777777" w:rsidR="00596CAE" w:rsidRPr="00315F0A" w:rsidRDefault="00596CAE" w:rsidP="00562AFD">
      <w:pPr>
        <w:rPr>
          <w:rFonts w:cstheme="minorHAnsi"/>
        </w:rPr>
      </w:pPr>
      <w:r w:rsidRPr="00315F0A">
        <w:rPr>
          <w:rFonts w:cstheme="minorHAnsi"/>
        </w:rPr>
        <w:t>One‐way ANOVA and Tukey's multiple comparison post hoc statistical analyses (</w:t>
      </w:r>
      <w:r w:rsidRPr="00315F0A">
        <w:rPr>
          <w:rFonts w:cstheme="minorHAnsi"/>
          <w:i/>
          <w:iCs/>
        </w:rPr>
        <w:t>α</w:t>
      </w:r>
      <w:r w:rsidRPr="00315F0A">
        <w:rPr>
          <w:rFonts w:cstheme="minorHAnsi"/>
        </w:rPr>
        <w:t> ≤ 0.05) were used to test for statistical differences using commercial software (Prism</w:t>
      </w:r>
      <w:r w:rsidRPr="00315F0A">
        <w:rPr>
          <w:rFonts w:cstheme="minorHAnsi"/>
          <w:vertAlign w:val="superscript"/>
        </w:rPr>
        <w:t>®</w:t>
      </w:r>
      <w:r w:rsidRPr="00315F0A">
        <w:rPr>
          <w:rFonts w:cstheme="minorHAnsi"/>
        </w:rPr>
        <w:t>, Graph Pad Software, La Jolla, CA).</w:t>
      </w:r>
    </w:p>
    <w:p w14:paraId="33256F68" w14:textId="77777777" w:rsidR="00596CAE" w:rsidRPr="00315F0A" w:rsidRDefault="00596CAE" w:rsidP="00562AFD">
      <w:pPr>
        <w:pStyle w:val="Heading1"/>
        <w:rPr>
          <w:rFonts w:asciiTheme="minorHAnsi" w:hAnsiTheme="minorHAnsi" w:cstheme="minorHAnsi"/>
        </w:rPr>
      </w:pPr>
      <w:r w:rsidRPr="00315F0A">
        <w:rPr>
          <w:rFonts w:asciiTheme="minorHAnsi" w:hAnsiTheme="minorHAnsi" w:cstheme="minorHAnsi"/>
        </w:rPr>
        <w:t>Results and discussion</w:t>
      </w:r>
    </w:p>
    <w:p w14:paraId="3E2FB4C2" w14:textId="77777777" w:rsidR="00596CAE" w:rsidRPr="00315F0A" w:rsidRDefault="00596CAE" w:rsidP="00562AFD">
      <w:pPr>
        <w:pStyle w:val="Heading2"/>
        <w:rPr>
          <w:rFonts w:asciiTheme="minorHAnsi" w:hAnsiTheme="minorHAnsi" w:cstheme="minorHAnsi"/>
        </w:rPr>
      </w:pPr>
      <w:r w:rsidRPr="00315F0A">
        <w:rPr>
          <w:rFonts w:asciiTheme="minorHAnsi" w:hAnsiTheme="minorHAnsi" w:cstheme="minorHAnsi"/>
        </w:rPr>
        <w:t>Batch tests</w:t>
      </w:r>
    </w:p>
    <w:p w14:paraId="4736575C" w14:textId="77777777" w:rsidR="00596CAE" w:rsidRPr="00315F0A" w:rsidRDefault="00596CAE" w:rsidP="00562AFD">
      <w:pPr>
        <w:rPr>
          <w:rFonts w:cstheme="minorHAnsi"/>
        </w:rPr>
      </w:pPr>
      <w:r w:rsidRPr="00315F0A">
        <w:rPr>
          <w:rFonts w:cstheme="minorHAnsi"/>
        </w:rPr>
        <w:t>The exchange capacity of virgin Dow‐HFO‐Cu resin was between 9 and 10 mg PO</w:t>
      </w:r>
      <w:r w:rsidRPr="00315F0A">
        <w:rPr>
          <w:rFonts w:cstheme="minorHAnsi"/>
          <w:vertAlign w:val="subscript"/>
        </w:rPr>
        <w:t>4</w:t>
      </w:r>
      <w:r w:rsidRPr="00315F0A">
        <w:rPr>
          <w:rFonts w:cstheme="minorHAnsi"/>
        </w:rPr>
        <w:t>‐P/g media (Figure </w:t>
      </w:r>
      <w:hyperlink r:id="rId46" w:anchor="wer1080-fig-0001" w:history="1">
        <w:r w:rsidRPr="00315F0A">
          <w:rPr>
            <w:rStyle w:val="Hyperlink"/>
            <w:rFonts w:eastAsiaTheme="majorEastAsia" w:cstheme="minorHAnsi"/>
            <w:b/>
            <w:bCs/>
            <w:color w:val="005274"/>
          </w:rPr>
          <w:t>1</w:t>
        </w:r>
      </w:hyperlink>
      <w:r w:rsidRPr="00315F0A">
        <w:rPr>
          <w:rFonts w:cstheme="minorHAnsi"/>
        </w:rPr>
        <w:t>a), whereas a capacity of 15 mg PO</w:t>
      </w:r>
      <w:r w:rsidRPr="00315F0A">
        <w:rPr>
          <w:rFonts w:cstheme="minorHAnsi"/>
          <w:vertAlign w:val="subscript"/>
        </w:rPr>
        <w:t>4</w:t>
      </w:r>
      <w:r w:rsidRPr="00315F0A">
        <w:rPr>
          <w:rFonts w:cstheme="minorHAnsi"/>
        </w:rPr>
        <w:t>‐P/g media was estimated by Sengupta and Pandit (</w:t>
      </w:r>
      <w:hyperlink r:id="rId47" w:anchor="wer1080-bib-0015" w:history="1">
        <w:r w:rsidRPr="00315F0A">
          <w:rPr>
            <w:rStyle w:val="Hyperlink"/>
            <w:rFonts w:eastAsiaTheme="majorEastAsia" w:cstheme="minorHAnsi"/>
            <w:b/>
            <w:bCs/>
            <w:color w:val="000000"/>
          </w:rPr>
          <w:t>2011</w:t>
        </w:r>
      </w:hyperlink>
      <w:r w:rsidRPr="00315F0A">
        <w:rPr>
          <w:rFonts w:cstheme="minorHAnsi"/>
        </w:rPr>
        <w:t>). The resin's exchange capacity significantly declined after regeneration (Figure </w:t>
      </w:r>
      <w:hyperlink r:id="rId48" w:anchor="wer1080-fig-0001" w:history="1">
        <w:r w:rsidRPr="00315F0A">
          <w:rPr>
            <w:rStyle w:val="Hyperlink"/>
            <w:rFonts w:eastAsiaTheme="majorEastAsia" w:cstheme="minorHAnsi"/>
            <w:b/>
            <w:bCs/>
            <w:color w:val="005274"/>
          </w:rPr>
          <w:t>1</w:t>
        </w:r>
      </w:hyperlink>
      <w:r w:rsidRPr="00315F0A">
        <w:rPr>
          <w:rFonts w:cstheme="minorHAnsi"/>
        </w:rPr>
        <w:t>a, Table </w:t>
      </w:r>
      <w:hyperlink r:id="rId49" w:anchor="support-information-section" w:history="1">
        <w:r w:rsidRPr="00315F0A">
          <w:rPr>
            <w:rStyle w:val="Hyperlink"/>
            <w:rFonts w:eastAsiaTheme="majorEastAsia" w:cstheme="minorHAnsi"/>
            <w:b/>
            <w:bCs/>
            <w:color w:val="005274"/>
          </w:rPr>
          <w:t>S2.1</w:t>
        </w:r>
      </w:hyperlink>
      <w:r w:rsidRPr="00315F0A">
        <w:rPr>
          <w:rFonts w:cstheme="minorHAnsi"/>
        </w:rPr>
        <w:t> of the Supporting Information). The largest exchange capacity decrease was generally observed after the first regeneration cycle, suggesting that PO</w:t>
      </w:r>
      <w:r w:rsidRPr="00315F0A">
        <w:rPr>
          <w:rFonts w:cstheme="minorHAnsi"/>
          <w:vertAlign w:val="subscript"/>
        </w:rPr>
        <w:t>4</w:t>
      </w:r>
      <w:r w:rsidRPr="00315F0A">
        <w:rPr>
          <w:rFonts w:cstheme="minorHAnsi"/>
          <w:vertAlign w:val="superscript"/>
        </w:rPr>
        <w:t>3−</w:t>
      </w:r>
      <w:r w:rsidRPr="00315F0A">
        <w:rPr>
          <w:rFonts w:cstheme="minorHAnsi"/>
        </w:rPr>
        <w:t>exchange sites may have been stripped from the surface of the Dow‐HFO‐Cu media. For example, alkaline solutions are used in regeneration to break the strong bonds between the phosphates and ligands, but high pH can potentially strip the exchange media of the Cu</w:t>
      </w:r>
      <w:r w:rsidRPr="00315F0A">
        <w:rPr>
          <w:rFonts w:cstheme="minorHAnsi"/>
          <w:vertAlign w:val="superscript"/>
        </w:rPr>
        <w:t>2+</w:t>
      </w:r>
      <w:r w:rsidRPr="00315F0A">
        <w:rPr>
          <w:rFonts w:cstheme="minorHAnsi"/>
        </w:rPr>
        <w:t>and HFO, thus eliminating exchange sites for subsequent removal cycles.</w:t>
      </w:r>
    </w:p>
    <w:p w14:paraId="0AC238F2" w14:textId="2BD92C2C" w:rsidR="00596CAE" w:rsidRPr="00315F0A" w:rsidRDefault="00596CAE" w:rsidP="00AC600B">
      <w:pPr>
        <w:pStyle w:val="NoSpacing"/>
      </w:pPr>
      <w:r w:rsidRPr="00315F0A">
        <w:rPr>
          <w:noProof/>
        </w:rPr>
        <w:drawing>
          <wp:inline distT="0" distB="0" distL="0" distR="0" wp14:anchorId="309F7D65" wp14:editId="1B087F1E">
            <wp:extent cx="2743200" cy="3374136"/>
            <wp:effectExtent l="0" t="0" r="0" b="0"/>
            <wp:docPr id="7" name="Picture 7" descr="Figure 1 Batch tests of the exchange capacity of (a) PO4‐P using Dow‐HFO‐Cu resin and (b) NH3‐N using clinoptilolite over five ion exchange/regeneration cycles using different regenerant solutions. Tests were performed in deionized water spiked with either 30 mg/L PO4‐P for Dow‐HFO‐Cu resin tests or 78 mg/L NH4‐N for clinoptilolite tests. All bars represent average results from triplicate experiments, with error bars depicting ± 1 standard d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3374136"/>
                    </a:xfrm>
                    <a:prstGeom prst="rect">
                      <a:avLst/>
                    </a:prstGeom>
                    <a:noFill/>
                    <a:ln>
                      <a:noFill/>
                    </a:ln>
                  </pic:spPr>
                </pic:pic>
              </a:graphicData>
            </a:graphic>
          </wp:inline>
        </w:drawing>
      </w:r>
    </w:p>
    <w:p w14:paraId="57AB8C83" w14:textId="50DCB337" w:rsidR="00596CAE" w:rsidRPr="00315F0A" w:rsidRDefault="00596CAE" w:rsidP="00EE7BAB">
      <w:pPr>
        <w:rPr>
          <w:rFonts w:cstheme="minorHAnsi"/>
        </w:rPr>
      </w:pPr>
      <w:r w:rsidRPr="00315F0A">
        <w:rPr>
          <w:rStyle w:val="Strong"/>
          <w:rFonts w:cstheme="minorHAnsi"/>
          <w:color w:val="212121"/>
        </w:rPr>
        <w:t>Figure 1</w:t>
      </w:r>
      <w:r w:rsidR="00AC600B">
        <w:rPr>
          <w:rStyle w:val="Strong"/>
          <w:rFonts w:cstheme="minorHAnsi"/>
          <w:color w:val="212121"/>
        </w:rPr>
        <w:t xml:space="preserve"> </w:t>
      </w:r>
      <w:r w:rsidRPr="00315F0A">
        <w:rPr>
          <w:rFonts w:cstheme="minorHAnsi"/>
        </w:rPr>
        <w:t>Batch tests of the exchange capacity of (a) PO</w:t>
      </w:r>
      <w:r w:rsidRPr="00315F0A">
        <w:rPr>
          <w:rFonts w:cstheme="minorHAnsi"/>
          <w:vertAlign w:val="subscript"/>
        </w:rPr>
        <w:t>4</w:t>
      </w:r>
      <w:r w:rsidRPr="00315F0A">
        <w:rPr>
          <w:rFonts w:cstheme="minorHAnsi"/>
        </w:rPr>
        <w:t>‐P using Dow‐HFO‐Cu resin and (b) NH</w:t>
      </w:r>
      <w:r w:rsidRPr="00315F0A">
        <w:rPr>
          <w:rFonts w:cstheme="minorHAnsi"/>
          <w:vertAlign w:val="subscript"/>
        </w:rPr>
        <w:t>3</w:t>
      </w:r>
      <w:r w:rsidRPr="00315F0A">
        <w:rPr>
          <w:rFonts w:cstheme="minorHAnsi"/>
        </w:rPr>
        <w:t xml:space="preserve">‐N using clinoptilolite over five ion exchange/regeneration cycles using different regenerant solutions. Tests were </w:t>
      </w:r>
      <w:r w:rsidRPr="00315F0A">
        <w:rPr>
          <w:rFonts w:cstheme="minorHAnsi"/>
        </w:rPr>
        <w:lastRenderedPageBreak/>
        <w:t>performed in deionized water spiked with either 30 mg/L PO</w:t>
      </w:r>
      <w:r w:rsidRPr="00315F0A">
        <w:rPr>
          <w:rFonts w:cstheme="minorHAnsi"/>
          <w:vertAlign w:val="subscript"/>
        </w:rPr>
        <w:t>4</w:t>
      </w:r>
      <w:r w:rsidRPr="00315F0A">
        <w:rPr>
          <w:rFonts w:cstheme="minorHAnsi"/>
        </w:rPr>
        <w:t>‐P for Dow‐HFO‐Cu resin tests or 78 mg/L NH</w:t>
      </w:r>
      <w:r w:rsidRPr="00315F0A">
        <w:rPr>
          <w:rFonts w:cstheme="minorHAnsi"/>
          <w:vertAlign w:val="subscript"/>
        </w:rPr>
        <w:t>4</w:t>
      </w:r>
      <w:r w:rsidRPr="00315F0A">
        <w:rPr>
          <w:rFonts w:cstheme="minorHAnsi"/>
        </w:rPr>
        <w:t>‐N for clinoptilolite tests. All bars represent average results from triplicate experiments, with error bars depicting ± 1 standard deviation.</w:t>
      </w:r>
    </w:p>
    <w:p w14:paraId="6B3A5D32" w14:textId="77777777" w:rsidR="00596CAE" w:rsidRPr="00315F0A" w:rsidRDefault="00596CAE" w:rsidP="00EE7BAB">
      <w:pPr>
        <w:rPr>
          <w:rFonts w:cstheme="minorHAnsi"/>
        </w:rPr>
      </w:pPr>
      <w:r w:rsidRPr="00315F0A">
        <w:rPr>
          <w:rFonts w:cstheme="minorHAnsi"/>
        </w:rPr>
        <w:t>Clinoptilolite exchange capacity was not significantly influenced by the number of regeneration cycles over the range tested (Figure </w:t>
      </w:r>
      <w:hyperlink r:id="rId51" w:anchor="wer1080-fig-0001" w:history="1">
        <w:r w:rsidRPr="00315F0A">
          <w:rPr>
            <w:rStyle w:val="Hyperlink"/>
            <w:rFonts w:eastAsiaTheme="majorEastAsia" w:cstheme="minorHAnsi"/>
            <w:b/>
            <w:bCs/>
            <w:color w:val="005274"/>
          </w:rPr>
          <w:t>1</w:t>
        </w:r>
      </w:hyperlink>
      <w:r w:rsidRPr="00315F0A">
        <w:rPr>
          <w:rFonts w:cstheme="minorHAnsi"/>
        </w:rPr>
        <w:t>b). The capacity ranged from 7 to 8 mg NH</w:t>
      </w:r>
      <w:r w:rsidRPr="00315F0A">
        <w:rPr>
          <w:rFonts w:cstheme="minorHAnsi"/>
          <w:vertAlign w:val="subscript"/>
        </w:rPr>
        <w:t>4</w:t>
      </w:r>
      <w:r w:rsidRPr="00315F0A">
        <w:rPr>
          <w:rFonts w:cstheme="minorHAnsi"/>
        </w:rPr>
        <w:t>‐N/g media over five ion exchange cycles. Of the three regeneration solutions tested, the solution with 2% NaCl and 0.5% NaOH provided the most consistent performance, similar to the Dow‐HFO‐Cu resin (</w:t>
      </w:r>
      <w:r w:rsidRPr="00315F0A">
        <w:rPr>
          <w:rFonts w:cstheme="minorHAnsi"/>
          <w:i/>
          <w:iCs/>
        </w:rPr>
        <w:t>p</w:t>
      </w:r>
      <w:r w:rsidRPr="00315F0A">
        <w:rPr>
          <w:rFonts w:cstheme="minorHAnsi"/>
        </w:rPr>
        <w:t> &lt; 0.05) (Table </w:t>
      </w:r>
      <w:hyperlink r:id="rId52" w:anchor="support-information-section" w:history="1">
        <w:r w:rsidRPr="00315F0A">
          <w:rPr>
            <w:rStyle w:val="Hyperlink"/>
            <w:rFonts w:eastAsiaTheme="majorEastAsia" w:cstheme="minorHAnsi"/>
            <w:b/>
            <w:bCs/>
            <w:color w:val="005274"/>
          </w:rPr>
          <w:t>S2.2</w:t>
        </w:r>
      </w:hyperlink>
      <w:r w:rsidRPr="00315F0A">
        <w:rPr>
          <w:rFonts w:cstheme="minorHAnsi"/>
        </w:rPr>
        <w:t> of the Supporting information).</w:t>
      </w:r>
    </w:p>
    <w:p w14:paraId="39163EAD" w14:textId="77777777" w:rsidR="00596CAE" w:rsidRPr="00315F0A" w:rsidRDefault="00596CAE" w:rsidP="00EE7BAB">
      <w:pPr>
        <w:rPr>
          <w:rFonts w:cstheme="minorHAnsi"/>
        </w:rPr>
      </w:pPr>
      <w:r w:rsidRPr="00315F0A">
        <w:rPr>
          <w:rFonts w:cstheme="minorHAnsi"/>
        </w:rPr>
        <w:t>Regeneration solutions containing 2.5% NaCl + 2% NaOH (suggested by Sengupta (</w:t>
      </w:r>
      <w:hyperlink r:id="rId53" w:anchor="wer1080-bib-0014" w:history="1">
        <w:r w:rsidRPr="00315F0A">
          <w:rPr>
            <w:rStyle w:val="Hyperlink"/>
            <w:rFonts w:eastAsiaTheme="majorEastAsia" w:cstheme="minorHAnsi"/>
            <w:b/>
            <w:bCs/>
            <w:color w:val="000000"/>
          </w:rPr>
          <w:t>2013</w:t>
        </w:r>
      </w:hyperlink>
      <w:r w:rsidRPr="00315F0A">
        <w:rPr>
          <w:rFonts w:cstheme="minorHAnsi"/>
        </w:rPr>
        <w:t>)) and 2% NaCl + 0.5% NaOH resulted in the least exchange capacity loss after regeneration. Beyond three ion exchange cycles, no significant difference in exchange capacities among sequential ion exchange cycles was observed (</w:t>
      </w:r>
      <w:r w:rsidRPr="00315F0A">
        <w:rPr>
          <w:rFonts w:cstheme="minorHAnsi"/>
          <w:i/>
          <w:iCs/>
        </w:rPr>
        <w:t>p</w:t>
      </w:r>
      <w:r w:rsidRPr="00315F0A">
        <w:rPr>
          <w:rFonts w:cstheme="minorHAnsi"/>
        </w:rPr>
        <w:t> &lt; 0.05) when using the two regeneration solutions. A complete summary of the statistical analyses is provided in Table </w:t>
      </w:r>
      <w:hyperlink r:id="rId54" w:anchor="support-information-section" w:history="1">
        <w:r w:rsidRPr="00315F0A">
          <w:rPr>
            <w:rStyle w:val="Hyperlink"/>
            <w:rFonts w:eastAsiaTheme="majorEastAsia" w:cstheme="minorHAnsi"/>
            <w:b/>
            <w:bCs/>
            <w:color w:val="005274"/>
          </w:rPr>
          <w:t>S2.1</w:t>
        </w:r>
      </w:hyperlink>
      <w:r w:rsidRPr="00315F0A">
        <w:rPr>
          <w:rFonts w:cstheme="minorHAnsi"/>
        </w:rPr>
        <w:t> of the Supporting information. In comparison with the 2.5% NaCl + 2% NaOH regenerant, the lower pH regenerant (2% NaCl + 0.5% NaOH) achieved a higher stabilized exchange capacity over five ion exchange cycles, with a final exchange capacity of 6.5 mg PO</w:t>
      </w:r>
      <w:r w:rsidRPr="00315F0A">
        <w:rPr>
          <w:rFonts w:cstheme="minorHAnsi"/>
          <w:vertAlign w:val="subscript"/>
        </w:rPr>
        <w:t>4</w:t>
      </w:r>
      <w:r w:rsidRPr="00315F0A">
        <w:rPr>
          <w:rFonts w:cstheme="minorHAnsi"/>
        </w:rPr>
        <w:t>/g media. This lower pH ostensibly caused less ligand stripping from the polymer, thereby better preserving media capacity over sequential ion exchange cycles.</w:t>
      </w:r>
    </w:p>
    <w:p w14:paraId="256F41E6" w14:textId="77777777" w:rsidR="00596CAE" w:rsidRPr="00315F0A" w:rsidRDefault="00596CAE" w:rsidP="00EE7BAB">
      <w:pPr>
        <w:pStyle w:val="Heading2"/>
        <w:rPr>
          <w:rFonts w:asciiTheme="minorHAnsi" w:hAnsiTheme="minorHAnsi" w:cstheme="minorHAnsi"/>
        </w:rPr>
      </w:pPr>
      <w:r w:rsidRPr="00315F0A">
        <w:rPr>
          <w:rFonts w:asciiTheme="minorHAnsi" w:hAnsiTheme="minorHAnsi" w:cstheme="minorHAnsi"/>
        </w:rPr>
        <w:t>Column tests</w:t>
      </w:r>
    </w:p>
    <w:p w14:paraId="383FE03C" w14:textId="77777777" w:rsidR="00596CAE" w:rsidRPr="00315F0A" w:rsidRDefault="00596CAE" w:rsidP="00EE7BAB">
      <w:pPr>
        <w:pStyle w:val="Heading3"/>
        <w:rPr>
          <w:rFonts w:asciiTheme="minorHAnsi" w:hAnsiTheme="minorHAnsi" w:cstheme="minorHAnsi"/>
          <w:b/>
          <w:bCs/>
        </w:rPr>
      </w:pPr>
      <w:r w:rsidRPr="00315F0A">
        <w:rPr>
          <w:rFonts w:asciiTheme="minorHAnsi" w:hAnsiTheme="minorHAnsi" w:cstheme="minorHAnsi"/>
        </w:rPr>
        <w:t>Exchange capacity over multiple ion exchange cycles</w:t>
      </w:r>
    </w:p>
    <w:p w14:paraId="058A22CF" w14:textId="77777777" w:rsidR="00596CAE" w:rsidRPr="00315F0A" w:rsidRDefault="00596CAE" w:rsidP="00EE7BAB">
      <w:pPr>
        <w:rPr>
          <w:rFonts w:cstheme="minorHAnsi"/>
        </w:rPr>
      </w:pPr>
      <w:r w:rsidRPr="00315F0A">
        <w:rPr>
          <w:rFonts w:cstheme="minorHAnsi"/>
        </w:rPr>
        <w:t>Operation of ion exchange processes as a continuous‐flow packed bed is a more realistic scenario for implementation. Thus, following batch experiments to gauge performance, laboratory‐scale column tests were performed. A normalized effluent phosphate concentration (C/C</w:t>
      </w:r>
      <w:r w:rsidRPr="00315F0A">
        <w:rPr>
          <w:rFonts w:cstheme="minorHAnsi"/>
          <w:vertAlign w:val="subscript"/>
        </w:rPr>
        <w:t>o</w:t>
      </w:r>
      <w:r w:rsidRPr="00315F0A">
        <w:rPr>
          <w:rFonts w:cstheme="minorHAnsi"/>
        </w:rPr>
        <w:t>) of less than 0.1 was maintained for over 300 BV during the initial removal cycle (Figure </w:t>
      </w:r>
      <w:hyperlink r:id="rId55" w:anchor="wer1080-fig-0002" w:history="1">
        <w:r w:rsidRPr="00315F0A">
          <w:rPr>
            <w:rStyle w:val="Hyperlink"/>
            <w:rFonts w:eastAsiaTheme="majorEastAsia" w:cstheme="minorHAnsi"/>
            <w:b/>
            <w:bCs/>
            <w:color w:val="005274"/>
          </w:rPr>
          <w:t>2</w:t>
        </w:r>
      </w:hyperlink>
      <w:r w:rsidRPr="00315F0A">
        <w:rPr>
          <w:rFonts w:cstheme="minorHAnsi"/>
        </w:rPr>
        <w:t>a). However, as observed in batch testing, the greatest decrease in removal performance occurred between ion exchange cycles 1 and 2, during which the second removal cycle achieved C/C</w:t>
      </w:r>
      <w:r w:rsidRPr="00315F0A">
        <w:rPr>
          <w:rFonts w:cstheme="minorHAnsi"/>
          <w:vertAlign w:val="subscript"/>
        </w:rPr>
        <w:t>o</w:t>
      </w:r>
      <w:r w:rsidRPr="00315F0A">
        <w:rPr>
          <w:rFonts w:cstheme="minorHAnsi"/>
        </w:rPr>
        <w:t> ≤ 0.1 through only 190 BV. All subsequent ion exchange cycles were characterized by breakthrough within the range of BV observed in the first two ion exchange cycles.</w:t>
      </w:r>
    </w:p>
    <w:p w14:paraId="1F661DD7" w14:textId="1B92AE3D" w:rsidR="00596CAE" w:rsidRPr="00315F0A" w:rsidRDefault="00596CAE" w:rsidP="00AC600B">
      <w:pPr>
        <w:pStyle w:val="NoSpacing"/>
      </w:pPr>
      <w:r w:rsidRPr="00315F0A">
        <w:rPr>
          <w:noProof/>
        </w:rPr>
        <w:drawing>
          <wp:inline distT="0" distB="0" distL="0" distR="0" wp14:anchorId="719A6920" wp14:editId="5D52F6B2">
            <wp:extent cx="2743200" cy="3236976"/>
            <wp:effectExtent l="0" t="0" r="0" b="1905"/>
            <wp:docPr id="6" name="Picture 6" descr="Figure 2 Breakthrough curves for (a) phosphate for the Dow‐HFO‐Cu exchange media and (b) ammonium for the zeolite media treating synthetic wastewater AnMBR permeate. All data points are single measurements of column effluent normalized to the tested water influent nutrient concen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43200" cy="3236976"/>
                    </a:xfrm>
                    <a:prstGeom prst="rect">
                      <a:avLst/>
                    </a:prstGeom>
                    <a:noFill/>
                    <a:ln>
                      <a:noFill/>
                    </a:ln>
                  </pic:spPr>
                </pic:pic>
              </a:graphicData>
            </a:graphic>
          </wp:inline>
        </w:drawing>
      </w:r>
    </w:p>
    <w:p w14:paraId="1DC46F32" w14:textId="3EF6FEFF" w:rsidR="00596CAE" w:rsidRPr="00315F0A" w:rsidRDefault="00596CAE" w:rsidP="00EE7BAB">
      <w:pPr>
        <w:rPr>
          <w:rFonts w:cstheme="minorHAnsi"/>
        </w:rPr>
      </w:pPr>
      <w:r w:rsidRPr="00315F0A">
        <w:rPr>
          <w:rStyle w:val="Strong"/>
          <w:rFonts w:cstheme="minorHAnsi"/>
          <w:color w:val="212121"/>
        </w:rPr>
        <w:lastRenderedPageBreak/>
        <w:t>Figure 2</w:t>
      </w:r>
      <w:r w:rsidR="00AC600B">
        <w:rPr>
          <w:rStyle w:val="Strong"/>
          <w:rFonts w:cstheme="minorHAnsi"/>
          <w:color w:val="212121"/>
        </w:rPr>
        <w:t xml:space="preserve"> </w:t>
      </w:r>
      <w:r w:rsidRPr="00315F0A">
        <w:rPr>
          <w:rFonts w:cstheme="minorHAnsi"/>
        </w:rPr>
        <w:t>Breakthrough curves for (a) phosphate for the Dow‐HFO‐Cu exchange media and (b) ammonium for the zeolite media treating synthetic wastewater AnMBR permeate. All data points are single measurements of column effluent normalized to the tested water influent nutrient concentration.</w:t>
      </w:r>
    </w:p>
    <w:p w14:paraId="13EA82EB" w14:textId="77777777" w:rsidR="00596CAE" w:rsidRPr="00315F0A" w:rsidRDefault="00596CAE" w:rsidP="00EE7BAB">
      <w:pPr>
        <w:rPr>
          <w:rFonts w:cstheme="minorHAnsi"/>
        </w:rPr>
      </w:pPr>
      <w:r w:rsidRPr="00315F0A">
        <w:rPr>
          <w:rFonts w:cstheme="minorHAnsi"/>
        </w:rPr>
        <w:t>Phosphate exchange capacities were calculated using data from each ion exchange cycle (Figure </w:t>
      </w:r>
      <w:hyperlink r:id="rId57" w:anchor="wer1080-fig-0003" w:history="1">
        <w:r w:rsidRPr="00315F0A">
          <w:rPr>
            <w:rStyle w:val="Hyperlink"/>
            <w:rFonts w:eastAsiaTheme="majorEastAsia" w:cstheme="minorHAnsi"/>
            <w:b/>
            <w:bCs/>
            <w:color w:val="005274"/>
          </w:rPr>
          <w:t>3</w:t>
        </w:r>
      </w:hyperlink>
      <w:r w:rsidRPr="00315F0A">
        <w:rPr>
          <w:rFonts w:cstheme="minorHAnsi"/>
        </w:rPr>
        <w:t>a). The exchange capacities of Dow‐HFO‐Cu media treating synthetic wastewater AnMBR permeate ranged from 1.6 to 2.8 mg‐PO</w:t>
      </w:r>
      <w:r w:rsidRPr="00315F0A">
        <w:rPr>
          <w:rFonts w:cstheme="minorHAnsi"/>
          <w:vertAlign w:val="subscript"/>
        </w:rPr>
        <w:t>4</w:t>
      </w:r>
      <w:r w:rsidRPr="00315F0A">
        <w:rPr>
          <w:rFonts w:cstheme="minorHAnsi"/>
        </w:rPr>
        <w:t>‐P/g during the fifth and first cycle, respectively. For municipal primary effluent AnMBR permeate, Dow‐HFO‐Cu media exchange capacities were 1.6 to 2.6 mg‐PO</w:t>
      </w:r>
      <w:r w:rsidRPr="00315F0A">
        <w:rPr>
          <w:rFonts w:cstheme="minorHAnsi"/>
          <w:vertAlign w:val="subscript"/>
        </w:rPr>
        <w:t>4</w:t>
      </w:r>
      <w:r w:rsidRPr="00315F0A">
        <w:rPr>
          <w:rFonts w:cstheme="minorHAnsi"/>
        </w:rPr>
        <w:t>‐P/g media during the fourth and first cycle, respectively. The largest exchange capacity reductions occurred during column testing between the first and second ion exchange cycles, with 22% and 24% decreases for the synthetic wastewater and primary effluent AnMBR permeates, respectively. Following the initial exchange and regeneration cycle, the average exchange capacity for both tested AnMBR permeates was 2 mg PO</w:t>
      </w:r>
      <w:r w:rsidRPr="00315F0A">
        <w:rPr>
          <w:rFonts w:cstheme="minorHAnsi"/>
          <w:vertAlign w:val="subscript"/>
        </w:rPr>
        <w:t>4</w:t>
      </w:r>
      <w:r w:rsidRPr="00315F0A">
        <w:rPr>
          <w:rFonts w:cstheme="minorHAnsi"/>
        </w:rPr>
        <w:t>‐P/g media. For influent water containing 5 mg PO</w:t>
      </w:r>
      <w:r w:rsidRPr="00315F0A">
        <w:rPr>
          <w:rFonts w:cstheme="minorHAnsi"/>
          <w:vertAlign w:val="subscript"/>
        </w:rPr>
        <w:t>4</w:t>
      </w:r>
      <w:r w:rsidRPr="00315F0A">
        <w:rPr>
          <w:rFonts w:cstheme="minorHAnsi"/>
        </w:rPr>
        <w:t>‐P/L, this translates to 0.4 L water treated per gram of media. The column capacities were significantly less than those observed during batch tests, suggesting that the column hydrodynamics influenced exchange capacity measurements.</w:t>
      </w:r>
    </w:p>
    <w:p w14:paraId="26AD3C3A" w14:textId="7F04E4FA" w:rsidR="00596CAE" w:rsidRPr="00315F0A" w:rsidRDefault="00596CAE" w:rsidP="00AC600B">
      <w:pPr>
        <w:pStyle w:val="NoSpacing"/>
      </w:pPr>
      <w:r w:rsidRPr="00315F0A">
        <w:rPr>
          <w:noProof/>
        </w:rPr>
        <w:drawing>
          <wp:inline distT="0" distB="0" distL="0" distR="0" wp14:anchorId="4BBFDDDF" wp14:editId="7337F8B1">
            <wp:extent cx="2743200" cy="4480560"/>
            <wp:effectExtent l="0" t="0" r="0" b="0"/>
            <wp:docPr id="5" name="Picture 5" descr="Figure 3 Exchange capacities of (a) Dow‐HFO‐Cu resin and (b) clinoptilolite ion exchange media in column studies testing real and synthetic AnMBR wastewater perme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43200" cy="4480560"/>
                    </a:xfrm>
                    <a:prstGeom prst="rect">
                      <a:avLst/>
                    </a:prstGeom>
                    <a:noFill/>
                    <a:ln>
                      <a:noFill/>
                    </a:ln>
                  </pic:spPr>
                </pic:pic>
              </a:graphicData>
            </a:graphic>
          </wp:inline>
        </w:drawing>
      </w:r>
    </w:p>
    <w:p w14:paraId="6C353B19" w14:textId="256B3F84" w:rsidR="00596CAE" w:rsidRPr="00315F0A" w:rsidRDefault="00596CAE" w:rsidP="00596CAE">
      <w:pPr>
        <w:rPr>
          <w:rFonts w:cstheme="minorHAnsi"/>
        </w:rPr>
      </w:pPr>
      <w:r w:rsidRPr="00315F0A">
        <w:rPr>
          <w:rStyle w:val="Strong"/>
          <w:rFonts w:cstheme="minorHAnsi"/>
          <w:color w:val="212121"/>
        </w:rPr>
        <w:t>Figure 3</w:t>
      </w:r>
      <w:r w:rsidR="00AC600B">
        <w:rPr>
          <w:rStyle w:val="Strong"/>
          <w:rFonts w:cstheme="minorHAnsi"/>
          <w:color w:val="212121"/>
        </w:rPr>
        <w:t xml:space="preserve"> </w:t>
      </w:r>
      <w:r w:rsidRPr="00315F0A">
        <w:rPr>
          <w:rFonts w:cstheme="minorHAnsi"/>
        </w:rPr>
        <w:t>Exchange capacities of (a) Dow‐HFO‐Cu resin and (b) clinoptilolite ion exchange media in column studies testing real and synthetic AnMBR wastewater permeate.</w:t>
      </w:r>
    </w:p>
    <w:p w14:paraId="51292DFC" w14:textId="77777777" w:rsidR="00596CAE" w:rsidRPr="00315F0A" w:rsidRDefault="00596CAE" w:rsidP="00EE7BAB">
      <w:pPr>
        <w:rPr>
          <w:rFonts w:cstheme="minorHAnsi"/>
        </w:rPr>
      </w:pPr>
      <w:r w:rsidRPr="00315F0A">
        <w:rPr>
          <w:rFonts w:cstheme="minorHAnsi"/>
        </w:rPr>
        <w:t>Fixed‐bed clinoptilolite column tests were also completed using each AnMBR permeate to assess the exchange capacity over five ion exchange cycles (Figures </w:t>
      </w:r>
      <w:hyperlink r:id="rId59" w:anchor="wer1080-fig-0002" w:history="1">
        <w:r w:rsidRPr="00315F0A">
          <w:rPr>
            <w:rStyle w:val="Hyperlink"/>
            <w:rFonts w:eastAsiaTheme="majorEastAsia" w:cstheme="minorHAnsi"/>
            <w:b/>
            <w:bCs/>
            <w:color w:val="005274"/>
          </w:rPr>
          <w:t>2</w:t>
        </w:r>
      </w:hyperlink>
      <w:r w:rsidRPr="00315F0A">
        <w:rPr>
          <w:rFonts w:cstheme="minorHAnsi"/>
        </w:rPr>
        <w:t>b and </w:t>
      </w:r>
      <w:hyperlink r:id="rId60" w:anchor="wer1080-fig-0003" w:history="1">
        <w:r w:rsidRPr="00315F0A">
          <w:rPr>
            <w:rStyle w:val="Hyperlink"/>
            <w:rFonts w:eastAsiaTheme="majorEastAsia" w:cstheme="minorHAnsi"/>
            <w:b/>
            <w:bCs/>
            <w:color w:val="005274"/>
          </w:rPr>
          <w:t>3</w:t>
        </w:r>
      </w:hyperlink>
      <w:r w:rsidRPr="00315F0A">
        <w:rPr>
          <w:rFonts w:cstheme="minorHAnsi"/>
        </w:rPr>
        <w:t>b). The exchange capacities ranged from 11 to 19 mg‐NH</w:t>
      </w:r>
      <w:r w:rsidRPr="00315F0A">
        <w:rPr>
          <w:rFonts w:cstheme="minorHAnsi"/>
          <w:vertAlign w:val="subscript"/>
        </w:rPr>
        <w:t>4</w:t>
      </w:r>
      <w:r w:rsidRPr="00315F0A">
        <w:rPr>
          <w:rFonts w:cstheme="minorHAnsi"/>
        </w:rPr>
        <w:t>‐N/g treating synthetic water, and 6 to 14 mg‐NH</w:t>
      </w:r>
      <w:r w:rsidRPr="00315F0A">
        <w:rPr>
          <w:rFonts w:cstheme="minorHAnsi"/>
          <w:vertAlign w:val="subscript"/>
        </w:rPr>
        <w:t>4</w:t>
      </w:r>
      <w:r w:rsidRPr="00315F0A">
        <w:rPr>
          <w:rFonts w:cstheme="minorHAnsi"/>
        </w:rPr>
        <w:t xml:space="preserve">‐N/g treating primary effluent. No general relationship was discerned regarding ammonium capacity and exchange cycle under the conditions studied. Exchange capacity values exceeded those observed in batch tests, unlike the Dow‐HFO‐Cu media, which showed reductions in the </w:t>
      </w:r>
      <w:r w:rsidRPr="00315F0A">
        <w:rPr>
          <w:rFonts w:cstheme="minorHAnsi"/>
        </w:rPr>
        <w:lastRenderedPageBreak/>
        <w:t>exchange capacities for column tests compared to batch tests. Regeneration using a solution containing 2% NaCl and 0.5% NaOH typically resulted in less than 50% recovery of the NH</w:t>
      </w:r>
      <w:r w:rsidRPr="00315F0A">
        <w:rPr>
          <w:rFonts w:cstheme="minorHAnsi"/>
          <w:vertAlign w:val="subscript"/>
        </w:rPr>
        <w:t>4</w:t>
      </w:r>
      <w:r w:rsidRPr="00315F0A">
        <w:rPr>
          <w:rFonts w:cstheme="minorHAnsi"/>
        </w:rPr>
        <w:t>‐N (Figure </w:t>
      </w:r>
      <w:hyperlink r:id="rId61" w:anchor="support-information-section" w:history="1">
        <w:r w:rsidRPr="00315F0A">
          <w:rPr>
            <w:rStyle w:val="Hyperlink"/>
            <w:rFonts w:eastAsiaTheme="majorEastAsia" w:cstheme="minorHAnsi"/>
            <w:b/>
            <w:bCs/>
            <w:color w:val="005274"/>
          </w:rPr>
          <w:t>S4.1</w:t>
        </w:r>
      </w:hyperlink>
      <w:r w:rsidRPr="00315F0A">
        <w:rPr>
          <w:rFonts w:cstheme="minorHAnsi"/>
        </w:rPr>
        <w:t> in the Supporting information).</w:t>
      </w:r>
    </w:p>
    <w:p w14:paraId="33D5F8C9" w14:textId="77777777" w:rsidR="00596CAE" w:rsidRPr="00315F0A" w:rsidRDefault="00596CAE" w:rsidP="00EE7BAB">
      <w:pPr>
        <w:pStyle w:val="Heading2"/>
        <w:rPr>
          <w:rFonts w:asciiTheme="minorHAnsi" w:hAnsiTheme="minorHAnsi" w:cstheme="minorHAnsi"/>
        </w:rPr>
      </w:pPr>
      <w:r w:rsidRPr="00315F0A">
        <w:rPr>
          <w:rFonts w:asciiTheme="minorHAnsi" w:hAnsiTheme="minorHAnsi" w:cstheme="minorHAnsi"/>
        </w:rPr>
        <w:t>Regeneration: content of recovered regenerant solutions and impact on the Dow‐HFO‐Cu resin</w:t>
      </w:r>
    </w:p>
    <w:p w14:paraId="32B60180" w14:textId="77777777" w:rsidR="00596CAE" w:rsidRPr="00315F0A" w:rsidRDefault="00596CAE" w:rsidP="00EE7BAB">
      <w:pPr>
        <w:rPr>
          <w:rFonts w:cstheme="minorHAnsi"/>
        </w:rPr>
      </w:pPr>
      <w:r w:rsidRPr="00315F0A">
        <w:rPr>
          <w:rFonts w:cstheme="minorHAnsi"/>
        </w:rPr>
        <w:t>Regenerated Dow‐HFO‐Cu resin exchange capacity was consistently less than that of the virgin resin. Regeneration may have reduced the number of active phosphate binding sites on the Dow‐HFO‐Cu surface. To assess loss of the reactive sites during regeneration, metal concentrations in the regenerant solution were measured for the regenerant with the least decrease in PO</w:t>
      </w:r>
      <w:r w:rsidRPr="00315F0A">
        <w:rPr>
          <w:rFonts w:cstheme="minorHAnsi"/>
          <w:sz w:val="18"/>
          <w:szCs w:val="18"/>
          <w:vertAlign w:val="subscript"/>
        </w:rPr>
        <w:t>4</w:t>
      </w:r>
      <w:r w:rsidRPr="00315F0A">
        <w:rPr>
          <w:rFonts w:cstheme="minorHAnsi"/>
          <w:sz w:val="18"/>
          <w:szCs w:val="18"/>
          <w:vertAlign w:val="superscript"/>
        </w:rPr>
        <w:t>3−</w:t>
      </w:r>
      <w:r w:rsidRPr="00315F0A">
        <w:rPr>
          <w:rFonts w:cstheme="minorHAnsi"/>
        </w:rPr>
        <w:t> sorption capacity in subsequent ion exchange cycles, 2% NaCl and 0.5% NaOH (Figure </w:t>
      </w:r>
      <w:hyperlink r:id="rId62" w:anchor="wer1080-fig-0004" w:history="1">
        <w:r w:rsidRPr="00315F0A">
          <w:rPr>
            <w:rStyle w:val="Hyperlink"/>
            <w:rFonts w:eastAsiaTheme="majorEastAsia" w:cstheme="minorHAnsi"/>
            <w:b/>
            <w:bCs/>
            <w:color w:val="005274"/>
          </w:rPr>
          <w:t>4</w:t>
        </w:r>
      </w:hyperlink>
      <w:r w:rsidRPr="00315F0A">
        <w:rPr>
          <w:rFonts w:cstheme="minorHAnsi"/>
        </w:rPr>
        <w:t>).</w:t>
      </w:r>
    </w:p>
    <w:p w14:paraId="0B64541C" w14:textId="059C8521" w:rsidR="00596CAE" w:rsidRPr="00315F0A" w:rsidRDefault="00596CAE" w:rsidP="00AC600B">
      <w:pPr>
        <w:pStyle w:val="NoSpacing"/>
      </w:pPr>
      <w:r w:rsidRPr="00315F0A">
        <w:rPr>
          <w:noProof/>
        </w:rPr>
        <w:drawing>
          <wp:inline distT="0" distB="0" distL="0" distR="0" wp14:anchorId="1AAF878F" wp14:editId="554BE72A">
            <wp:extent cx="2743200" cy="2313432"/>
            <wp:effectExtent l="0" t="0" r="0" b="0"/>
            <wp:docPr id="4" name="Picture 4" descr="Figure 4 Concentrations of metals, (a) copper, (b) iron, (c) aluminum, and (d) calcium, in 2% NaCl + 0.5% NaOH regeneration eluate of Dow‐HFO‐Cu exchange media using synthetic or real AnMBR wastewater permeate. Note that the scale of the y‐axis varies in each 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22741FAA" w14:textId="09124C1E" w:rsidR="00596CAE" w:rsidRPr="00315F0A" w:rsidRDefault="00596CAE" w:rsidP="00596CAE">
      <w:pPr>
        <w:rPr>
          <w:rFonts w:cstheme="minorHAnsi"/>
        </w:rPr>
      </w:pPr>
      <w:r w:rsidRPr="00315F0A">
        <w:rPr>
          <w:rStyle w:val="Strong"/>
          <w:rFonts w:cstheme="minorHAnsi"/>
          <w:color w:val="212121"/>
        </w:rPr>
        <w:t>Figure 4</w:t>
      </w:r>
      <w:r w:rsidR="00AC600B">
        <w:rPr>
          <w:rStyle w:val="Strong"/>
          <w:rFonts w:cstheme="minorHAnsi"/>
          <w:color w:val="212121"/>
        </w:rPr>
        <w:t xml:space="preserve"> </w:t>
      </w:r>
      <w:r w:rsidRPr="00315F0A">
        <w:rPr>
          <w:rFonts w:cstheme="minorHAnsi"/>
        </w:rPr>
        <w:t>Concentrations of metals, (a) copper, (b) iron, (c) aluminum, and (d) calcium, in 2% NaCl + 0.5% NaOH regeneration eluate of Dow‐HFO‐Cu exchange media using synthetic or real AnMBR wastewater permeate. Note that the scale of the </w:t>
      </w:r>
      <w:r w:rsidRPr="00315F0A">
        <w:rPr>
          <w:rFonts w:cstheme="minorHAnsi"/>
          <w:i/>
          <w:iCs/>
        </w:rPr>
        <w:t>y</w:t>
      </w:r>
      <w:r w:rsidRPr="00315F0A">
        <w:rPr>
          <w:rFonts w:cstheme="minorHAnsi"/>
        </w:rPr>
        <w:t>‐axis varies in each panel.</w:t>
      </w:r>
    </w:p>
    <w:p w14:paraId="5BEF8CDB" w14:textId="77777777" w:rsidR="00596CAE" w:rsidRPr="00315F0A" w:rsidRDefault="00596CAE" w:rsidP="00EE7BAB">
      <w:pPr>
        <w:rPr>
          <w:rFonts w:cstheme="minorHAnsi"/>
        </w:rPr>
      </w:pPr>
      <w:r w:rsidRPr="00315F0A">
        <w:rPr>
          <w:rFonts w:cstheme="minorHAnsi"/>
        </w:rPr>
        <w:t>The copper (Cu</w:t>
      </w:r>
      <w:r w:rsidRPr="00315F0A">
        <w:rPr>
          <w:rFonts w:cstheme="minorHAnsi"/>
          <w:vertAlign w:val="superscript"/>
        </w:rPr>
        <w:t>2+</w:t>
      </w:r>
      <w:r w:rsidRPr="00315F0A">
        <w:rPr>
          <w:rFonts w:cstheme="minorHAnsi"/>
        </w:rPr>
        <w:t>) and iron (Fe</w:t>
      </w:r>
      <w:r w:rsidRPr="00315F0A">
        <w:rPr>
          <w:rFonts w:cstheme="minorHAnsi"/>
          <w:vertAlign w:val="superscript"/>
        </w:rPr>
        <w:t>3+</w:t>
      </w:r>
      <w:r w:rsidRPr="00315F0A">
        <w:rPr>
          <w:rFonts w:cstheme="minorHAnsi"/>
        </w:rPr>
        <w:t>) complexes on Dow‐HFO‐Cu media are the intended ligands responsible for PO</w:t>
      </w:r>
      <w:r w:rsidRPr="00315F0A">
        <w:rPr>
          <w:rFonts w:cstheme="minorHAnsi"/>
          <w:vertAlign w:val="subscript"/>
        </w:rPr>
        <w:t>4</w:t>
      </w:r>
      <w:r w:rsidRPr="00315F0A">
        <w:rPr>
          <w:rFonts w:cstheme="minorHAnsi"/>
        </w:rPr>
        <w:t>‐P adsorption; therefore, loss of these ions during regeneration would negatively impact exchange capacity and could also decrease struvite fertilizer value due to potential Cu</w:t>
      </w:r>
      <w:r w:rsidRPr="00315F0A">
        <w:rPr>
          <w:rFonts w:cstheme="minorHAnsi"/>
          <w:vertAlign w:val="superscript"/>
        </w:rPr>
        <w:t>2+</w:t>
      </w:r>
      <w:r w:rsidRPr="00315F0A">
        <w:rPr>
          <w:rFonts w:cstheme="minorHAnsi"/>
        </w:rPr>
        <w:t> contamination. While the Fe</w:t>
      </w:r>
      <w:r w:rsidRPr="00315F0A">
        <w:rPr>
          <w:rFonts w:cstheme="minorHAnsi"/>
          <w:vertAlign w:val="superscript"/>
        </w:rPr>
        <w:t>3+</w:t>
      </w:r>
      <w:r w:rsidRPr="00315F0A">
        <w:rPr>
          <w:rFonts w:cstheme="minorHAnsi"/>
        </w:rPr>
        <w:t> concentration was relatively low in the regeneration solution (Figure </w:t>
      </w:r>
      <w:hyperlink r:id="rId64" w:anchor="wer1080-fig-0004" w:history="1">
        <w:r w:rsidRPr="00315F0A">
          <w:rPr>
            <w:rStyle w:val="Hyperlink"/>
            <w:rFonts w:eastAsiaTheme="majorEastAsia" w:cstheme="minorHAnsi"/>
            <w:b/>
            <w:bCs/>
            <w:color w:val="005274"/>
          </w:rPr>
          <w:t>4</w:t>
        </w:r>
      </w:hyperlink>
      <w:r w:rsidRPr="00315F0A">
        <w:rPr>
          <w:rFonts w:cstheme="minorHAnsi"/>
        </w:rPr>
        <w:t>), significant Cu</w:t>
      </w:r>
      <w:r w:rsidRPr="00315F0A">
        <w:rPr>
          <w:rFonts w:cstheme="minorHAnsi"/>
          <w:vertAlign w:val="superscript"/>
        </w:rPr>
        <w:t>2+</w:t>
      </w:r>
      <w:r w:rsidRPr="00315F0A">
        <w:rPr>
          <w:rFonts w:cstheme="minorHAnsi"/>
        </w:rPr>
        <w:t> leaching occurred. For column tests, the regeneration solution with the highest Cu</w:t>
      </w:r>
      <w:r w:rsidRPr="00315F0A">
        <w:rPr>
          <w:rFonts w:cstheme="minorHAnsi"/>
          <w:vertAlign w:val="superscript"/>
        </w:rPr>
        <w:t>2+</w:t>
      </w:r>
      <w:r w:rsidRPr="00315F0A">
        <w:rPr>
          <w:rFonts w:cstheme="minorHAnsi"/>
        </w:rPr>
        <w:t> concentration was observed after the initial regeneration cycle, with concentrations of 8.5 and 3.5 mg/L (or 0.26 and 0.11 mg Cu</w:t>
      </w:r>
      <w:r w:rsidRPr="00315F0A">
        <w:rPr>
          <w:rFonts w:cstheme="minorHAnsi"/>
          <w:vertAlign w:val="superscript"/>
        </w:rPr>
        <w:t>2+</w:t>
      </w:r>
      <w:r w:rsidRPr="00315F0A">
        <w:rPr>
          <w:rFonts w:cstheme="minorHAnsi"/>
        </w:rPr>
        <w:t> lost per gram of media) for synthetic wastewater and primary effluent AnMBR permeate, respectively. Batch tests demonstrated that 52 to 56% of the Fe</w:t>
      </w:r>
      <w:r w:rsidRPr="00315F0A">
        <w:rPr>
          <w:rFonts w:cstheme="minorHAnsi"/>
          <w:vertAlign w:val="superscript"/>
        </w:rPr>
        <w:t>3+</w:t>
      </w:r>
      <w:r w:rsidRPr="00315F0A">
        <w:rPr>
          <w:rFonts w:cstheme="minorHAnsi"/>
        </w:rPr>
        <w:t> and Cu</w:t>
      </w:r>
      <w:r w:rsidRPr="00315F0A">
        <w:rPr>
          <w:rFonts w:cstheme="minorHAnsi"/>
          <w:vertAlign w:val="superscript"/>
        </w:rPr>
        <w:t>2+</w:t>
      </w:r>
      <w:r w:rsidRPr="00315F0A">
        <w:rPr>
          <w:rFonts w:cstheme="minorHAnsi"/>
        </w:rPr>
        <w:t> in the regeneration solution were in the soluble form (&lt;0.45 μm). This correlates with the decreased exchange capacities observed between the first and second removal cycles. Additional Cu</w:t>
      </w:r>
      <w:r w:rsidRPr="00315F0A">
        <w:rPr>
          <w:rFonts w:cstheme="minorHAnsi"/>
          <w:vertAlign w:val="superscript"/>
        </w:rPr>
        <w:t>2+</w:t>
      </w:r>
      <w:r w:rsidRPr="00315F0A">
        <w:rPr>
          <w:rFonts w:cstheme="minorHAnsi"/>
        </w:rPr>
        <w:t> leaching was also observed in all subsequent regeneration cycles, ranging from 0.8 to 3 mg‐Cu</w:t>
      </w:r>
      <w:r w:rsidRPr="00315F0A">
        <w:rPr>
          <w:rFonts w:cstheme="minorHAnsi"/>
          <w:vertAlign w:val="superscript"/>
        </w:rPr>
        <w:t>2+</w:t>
      </w:r>
      <w:r w:rsidRPr="00315F0A">
        <w:rPr>
          <w:rFonts w:cstheme="minorHAnsi"/>
        </w:rPr>
        <w:t>/L.</w:t>
      </w:r>
    </w:p>
    <w:p w14:paraId="0FFB8E12" w14:textId="77777777" w:rsidR="00596CAE" w:rsidRPr="00315F0A" w:rsidRDefault="00596CAE" w:rsidP="00EE7BAB">
      <w:pPr>
        <w:rPr>
          <w:rFonts w:cstheme="minorHAnsi"/>
        </w:rPr>
      </w:pPr>
      <w:r w:rsidRPr="00315F0A">
        <w:rPr>
          <w:rFonts w:cstheme="minorHAnsi"/>
        </w:rPr>
        <w:t>SEM images revealed substantial surface scratches and indentations on the Dow‐HFO‐Cu resin surface after the initial regeneration cycle using 2% NaCl + 0.5% NaOH, compared to the virgin Dow‐HFO‐Cu media (Figure </w:t>
      </w:r>
      <w:hyperlink r:id="rId65" w:anchor="wer1080-fig-0005" w:history="1">
        <w:r w:rsidRPr="00315F0A">
          <w:rPr>
            <w:rStyle w:val="Hyperlink"/>
            <w:rFonts w:eastAsiaTheme="majorEastAsia" w:cstheme="minorHAnsi"/>
            <w:b/>
            <w:bCs/>
            <w:color w:val="005274"/>
          </w:rPr>
          <w:t>5</w:t>
        </w:r>
      </w:hyperlink>
      <w:r w:rsidRPr="00315F0A">
        <w:rPr>
          <w:rFonts w:cstheme="minorHAnsi"/>
        </w:rPr>
        <w:t>). Apart from changes to the structure of the resin surface, K‐ratio values from EDS analysis demonstrated a significant decrease in the resin's Cu content (</w:t>
      </w:r>
      <w:r w:rsidRPr="00315F0A">
        <w:rPr>
          <w:rFonts w:cstheme="minorHAnsi"/>
          <w:i/>
          <w:iCs/>
        </w:rPr>
        <w:t>p</w:t>
      </w:r>
      <w:r w:rsidRPr="00315F0A">
        <w:rPr>
          <w:rFonts w:cstheme="minorHAnsi"/>
        </w:rPr>
        <w:t> &lt;0.05), although no significant decrease in Fe was observed after the initial regeneration cycle (Figure </w:t>
      </w:r>
      <w:hyperlink r:id="rId66" w:anchor="wer1080-fig-0006" w:history="1">
        <w:r w:rsidRPr="00315F0A">
          <w:rPr>
            <w:rStyle w:val="Hyperlink"/>
            <w:rFonts w:eastAsiaTheme="majorEastAsia" w:cstheme="minorHAnsi"/>
            <w:b/>
            <w:bCs/>
            <w:color w:val="005274"/>
          </w:rPr>
          <w:t>6</w:t>
        </w:r>
      </w:hyperlink>
      <w:r w:rsidRPr="00315F0A">
        <w:rPr>
          <w:rFonts w:cstheme="minorHAnsi"/>
        </w:rPr>
        <w:t>). Results from the EDS spectral analysis correlate with the observed Fe</w:t>
      </w:r>
      <w:r w:rsidRPr="00315F0A">
        <w:rPr>
          <w:rFonts w:cstheme="minorHAnsi"/>
          <w:vertAlign w:val="superscript"/>
        </w:rPr>
        <w:t>3+</w:t>
      </w:r>
      <w:r w:rsidRPr="00315F0A">
        <w:rPr>
          <w:rFonts w:cstheme="minorHAnsi"/>
        </w:rPr>
        <w:t> and Cu</w:t>
      </w:r>
      <w:r w:rsidRPr="00315F0A">
        <w:rPr>
          <w:rFonts w:cstheme="minorHAnsi"/>
          <w:vertAlign w:val="superscript"/>
        </w:rPr>
        <w:t>2+</w:t>
      </w:r>
      <w:r w:rsidRPr="00315F0A">
        <w:rPr>
          <w:rFonts w:cstheme="minorHAnsi"/>
        </w:rPr>
        <w:t> concentration in the regeneration solution after the initial regeneration cycle. Together, the metal analysis of the regenerant and the resin EDS analysis indicate significant leaching of Cu</w:t>
      </w:r>
      <w:r w:rsidRPr="00315F0A">
        <w:rPr>
          <w:rFonts w:cstheme="minorHAnsi"/>
          <w:vertAlign w:val="superscript"/>
        </w:rPr>
        <w:t>2+</w:t>
      </w:r>
      <w:r w:rsidRPr="00315F0A">
        <w:rPr>
          <w:rFonts w:cstheme="minorHAnsi"/>
        </w:rPr>
        <w:t> and moderate loss of Fe</w:t>
      </w:r>
      <w:r w:rsidRPr="00315F0A">
        <w:rPr>
          <w:rFonts w:cstheme="minorHAnsi"/>
          <w:vertAlign w:val="superscript"/>
        </w:rPr>
        <w:t>3+</w:t>
      </w:r>
      <w:r w:rsidRPr="00315F0A">
        <w:rPr>
          <w:rFonts w:cstheme="minorHAnsi"/>
        </w:rPr>
        <w:t xml:space="preserve"> complexes during Dow‐HFO‐Cu regeneration, which also correlates with the decreased exchange capacities </w:t>
      </w:r>
      <w:r w:rsidRPr="00315F0A">
        <w:rPr>
          <w:rFonts w:cstheme="minorHAnsi"/>
        </w:rPr>
        <w:lastRenderedPageBreak/>
        <w:t>observed. Approaches to minimize Cu</w:t>
      </w:r>
      <w:r w:rsidRPr="00315F0A">
        <w:rPr>
          <w:rFonts w:cstheme="minorHAnsi"/>
          <w:vertAlign w:val="superscript"/>
        </w:rPr>
        <w:t>2+</w:t>
      </w:r>
      <w:r w:rsidRPr="00315F0A">
        <w:rPr>
          <w:rFonts w:cstheme="minorHAnsi"/>
        </w:rPr>
        <w:t> loss should be considered in future work using Dow‐HFO‐Cu exchange media. For example, a layer of conventional exchange media without Cu</w:t>
      </w:r>
      <w:r w:rsidRPr="00315F0A">
        <w:rPr>
          <w:rFonts w:cstheme="minorHAnsi"/>
          <w:vertAlign w:val="superscript"/>
        </w:rPr>
        <w:t>2+</w:t>
      </w:r>
      <w:r w:rsidRPr="00315F0A">
        <w:rPr>
          <w:rFonts w:cstheme="minorHAnsi"/>
        </w:rPr>
        <w:t> or HFO at the bottom of the exchange bed can be used to capture any Cu</w:t>
      </w:r>
      <w:r w:rsidRPr="00315F0A">
        <w:rPr>
          <w:rFonts w:cstheme="minorHAnsi"/>
          <w:vertAlign w:val="superscript"/>
        </w:rPr>
        <w:t>2+</w:t>
      </w:r>
      <w:r w:rsidRPr="00315F0A">
        <w:rPr>
          <w:rFonts w:cstheme="minorHAnsi"/>
        </w:rPr>
        <w:t> ions that may be stripped from the prepared media (Zhao &amp; Sengupta, </w:t>
      </w:r>
      <w:hyperlink r:id="rId67" w:anchor="wer1080-bib-0020" w:history="1">
        <w:r w:rsidRPr="00315F0A">
          <w:rPr>
            <w:rStyle w:val="Hyperlink"/>
            <w:rFonts w:eastAsiaTheme="majorEastAsia" w:cstheme="minorHAnsi"/>
            <w:b/>
            <w:bCs/>
            <w:color w:val="000000"/>
          </w:rPr>
          <w:t>1998</w:t>
        </w:r>
      </w:hyperlink>
      <w:r w:rsidRPr="00315F0A">
        <w:rPr>
          <w:rFonts w:cstheme="minorHAnsi"/>
        </w:rPr>
        <w:t>).</w:t>
      </w:r>
    </w:p>
    <w:p w14:paraId="4085FA38" w14:textId="33711F23" w:rsidR="00596CAE" w:rsidRPr="00315F0A" w:rsidRDefault="00596CAE" w:rsidP="00AC600B">
      <w:pPr>
        <w:pStyle w:val="NoSpacing"/>
      </w:pPr>
      <w:r w:rsidRPr="00315F0A">
        <w:rPr>
          <w:noProof/>
        </w:rPr>
        <w:drawing>
          <wp:inline distT="0" distB="0" distL="0" distR="0" wp14:anchorId="5AF040BB" wp14:editId="4EBE9356">
            <wp:extent cx="2743200" cy="1947672"/>
            <wp:effectExtent l="0" t="0" r="0" b="0"/>
            <wp:docPr id="3" name="Picture 3" descr="Figure 5 Scanning electron microscope (SEM) images of virgin and regenerated Dow‐HFO‐Cu media. (a) and (b) show 150X and 500X magnification images of one virgin Dow‐HFO‐Cu resin bead, respectively. (c) and (d) show 150X and 500X magnification images, respectively, of one Dow‐HFO‐Cu resin bead following one regeneration cycle using 2% NaCl + 0.5%NaOH regenerant. The regenerated Dow‐HFO‐Cu resin bead shows numerous and larger surface indentations as compared to the virgin re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5DD2C2E3" w14:textId="320443C7" w:rsidR="00596CAE" w:rsidRPr="00315F0A" w:rsidRDefault="00596CAE" w:rsidP="00596CAE">
      <w:pPr>
        <w:rPr>
          <w:rFonts w:cstheme="minorHAnsi"/>
        </w:rPr>
      </w:pPr>
      <w:r w:rsidRPr="00315F0A">
        <w:rPr>
          <w:rStyle w:val="Strong"/>
          <w:rFonts w:cstheme="minorHAnsi"/>
          <w:color w:val="212121"/>
        </w:rPr>
        <w:t>Figure 5</w:t>
      </w:r>
      <w:r w:rsidR="00AC600B">
        <w:rPr>
          <w:rStyle w:val="Strong"/>
          <w:rFonts w:cstheme="minorHAnsi"/>
          <w:color w:val="212121"/>
        </w:rPr>
        <w:t xml:space="preserve"> </w:t>
      </w:r>
      <w:r w:rsidRPr="00315F0A">
        <w:rPr>
          <w:rFonts w:cstheme="minorHAnsi"/>
        </w:rPr>
        <w:t>Scanning electron microscope (SEM) images of virgin and regenerated Dow‐HFO‐Cu media. (a) and (b) show 150X and 500X magnification images of one virgin Dow‐HFO‐Cu resin bead, respectively. (c) and (d) show 150X and 500X magnification images, respectively, of one Dow‐HFO‐Cu resin bead following one regeneration cycle using 2% NaCl + 0.5%NaOH regenerant. The regenerated Dow‐HFO‐Cu resin bead shows numerous and larger surface indentations as compared to the virgin resin.</w:t>
      </w:r>
    </w:p>
    <w:p w14:paraId="798B58FA" w14:textId="2A280E53" w:rsidR="00596CAE" w:rsidRPr="00315F0A" w:rsidRDefault="00596CAE" w:rsidP="00AC600B">
      <w:pPr>
        <w:pStyle w:val="NoSpacing"/>
      </w:pPr>
      <w:r w:rsidRPr="00315F0A">
        <w:rPr>
          <w:noProof/>
        </w:rPr>
        <w:drawing>
          <wp:inline distT="0" distB="0" distL="0" distR="0" wp14:anchorId="4DF02039" wp14:editId="595828C3">
            <wp:extent cx="2486025" cy="4762500"/>
            <wp:effectExtent l="0" t="0" r="9525" b="0"/>
            <wp:docPr id="2" name="Picture 2" descr="Figure 6 Energy dispersive X‐ray spectroscopy (EDS) spectra and K‐ratio values of virgin and regenerated Dow‐HFO‐Cu resin. EDS spectra are shown for (a) one virgin and (b) one regenerated Dow‐HFO‐Cu resin bead, along with K‐ratio values of detected elements. The regenerated Dow‐HFO‐Cu resin underwent one regeneration cycle using 2% NaCl + 0.5% NaOH regenerant. Panel (c) shows the average Fe and Cu K‐ratio values observed from EDS analysis of three different virgin and regenerated Dow‐HFO‐Cu resin beads. The error bars represent ± 1 standard deviation. The K‐ratio indicates a significant decrease in the Cu composition after one regeneration cycle (p &lt; 0.05), whereas no significant decrease in the resin's Fe content was obser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486025" cy="4762500"/>
                    </a:xfrm>
                    <a:prstGeom prst="rect">
                      <a:avLst/>
                    </a:prstGeom>
                    <a:noFill/>
                    <a:ln>
                      <a:noFill/>
                    </a:ln>
                  </pic:spPr>
                </pic:pic>
              </a:graphicData>
            </a:graphic>
          </wp:inline>
        </w:drawing>
      </w:r>
    </w:p>
    <w:p w14:paraId="20DE96E5" w14:textId="460D63E9" w:rsidR="00596CAE" w:rsidRPr="00315F0A" w:rsidRDefault="00596CAE" w:rsidP="00596CAE">
      <w:pPr>
        <w:rPr>
          <w:rFonts w:cstheme="minorHAnsi"/>
        </w:rPr>
      </w:pPr>
      <w:r w:rsidRPr="00315F0A">
        <w:rPr>
          <w:rStyle w:val="Strong"/>
          <w:rFonts w:cstheme="minorHAnsi"/>
          <w:color w:val="212121"/>
        </w:rPr>
        <w:lastRenderedPageBreak/>
        <w:t>Figure 6</w:t>
      </w:r>
      <w:r w:rsidR="00AC600B">
        <w:rPr>
          <w:rStyle w:val="Strong"/>
          <w:rFonts w:cstheme="minorHAnsi"/>
          <w:color w:val="212121"/>
        </w:rPr>
        <w:t xml:space="preserve"> </w:t>
      </w:r>
      <w:r w:rsidRPr="00315F0A">
        <w:rPr>
          <w:rFonts w:cstheme="minorHAnsi"/>
        </w:rPr>
        <w:t>Energy dispersive X‐ray spectroscopy (EDS) spectra and K‐ratio values of virgin and regenerated Dow‐HFO‐Cu resin. EDS spectra are shown for (a) one virgin and (b) one regenerated Dow‐HFO‐Cu resin bead, along with K‐ratio values of detected elements. The regenerated Dow‐HFO‐Cu resin underwent one regeneration cycle using 2% NaCl + 0.5% NaOH regenerant. Panel (c) shows the average Fe and Cu K‐ratio values observed from EDS analysis of three different virgin and regenerated Dow‐HFO‐Cu resin beads. The error bars represent ± 1 standard deviation. The K‐ratio indicates a significant decrease in the Cu composition after one regeneration cycle (</w:t>
      </w:r>
      <w:r w:rsidRPr="00315F0A">
        <w:rPr>
          <w:rFonts w:cstheme="minorHAnsi"/>
          <w:i/>
          <w:iCs/>
        </w:rPr>
        <w:t>p</w:t>
      </w:r>
      <w:r w:rsidRPr="00315F0A">
        <w:rPr>
          <w:rFonts w:cstheme="minorHAnsi"/>
        </w:rPr>
        <w:t> &lt; 0.05), whereas no significant decrease in the resin's Fe content was observed.</w:t>
      </w:r>
    </w:p>
    <w:p w14:paraId="164FA48A" w14:textId="77777777" w:rsidR="00596CAE" w:rsidRPr="00315F0A" w:rsidRDefault="00596CAE" w:rsidP="00EE7BAB">
      <w:pPr>
        <w:rPr>
          <w:rFonts w:cstheme="minorHAnsi"/>
        </w:rPr>
      </w:pPr>
      <w:r w:rsidRPr="00315F0A">
        <w:rPr>
          <w:rFonts w:cstheme="minorHAnsi"/>
        </w:rPr>
        <w:t>The spent regeneration solutions also contained Al</w:t>
      </w:r>
      <w:r w:rsidRPr="00315F0A">
        <w:rPr>
          <w:rFonts w:cstheme="minorHAnsi"/>
          <w:vertAlign w:val="superscript"/>
        </w:rPr>
        <w:t>3+</w:t>
      </w:r>
      <w:r w:rsidRPr="00315F0A">
        <w:rPr>
          <w:rFonts w:cstheme="minorHAnsi"/>
        </w:rPr>
        <w:t> and Ca</w:t>
      </w:r>
      <w:r w:rsidRPr="00315F0A">
        <w:rPr>
          <w:rFonts w:cstheme="minorHAnsi"/>
          <w:vertAlign w:val="superscript"/>
        </w:rPr>
        <w:t>2+</w:t>
      </w:r>
      <w:r w:rsidRPr="00315F0A">
        <w:rPr>
          <w:rFonts w:cstheme="minorHAnsi"/>
        </w:rPr>
        <w:t> ions that can inhibit struvite precipitation. For example, Al</w:t>
      </w:r>
      <w:r w:rsidRPr="00315F0A">
        <w:rPr>
          <w:rFonts w:cstheme="minorHAnsi"/>
          <w:vertAlign w:val="superscript"/>
        </w:rPr>
        <w:t>3+</w:t>
      </w:r>
      <w:r w:rsidRPr="00315F0A">
        <w:rPr>
          <w:rFonts w:cstheme="minorHAnsi"/>
        </w:rPr>
        <w:t> can precipitate AlPO</w:t>
      </w:r>
      <w:r w:rsidRPr="00315F0A">
        <w:rPr>
          <w:rFonts w:cstheme="minorHAnsi"/>
          <w:vertAlign w:val="subscript"/>
        </w:rPr>
        <w:t>4</w:t>
      </w:r>
      <w:r w:rsidRPr="00315F0A">
        <w:rPr>
          <w:rFonts w:cstheme="minorHAnsi"/>
        </w:rPr>
        <w:t>, and the PO</w:t>
      </w:r>
      <w:r w:rsidRPr="00315F0A">
        <w:rPr>
          <w:rFonts w:cstheme="minorHAnsi"/>
          <w:vertAlign w:val="subscript"/>
        </w:rPr>
        <w:t>4</w:t>
      </w:r>
      <w:r w:rsidRPr="00315F0A">
        <w:rPr>
          <w:rFonts w:cstheme="minorHAnsi"/>
          <w:vertAlign w:val="superscript"/>
        </w:rPr>
        <w:t>3−</w:t>
      </w:r>
      <w:r w:rsidRPr="00315F0A">
        <w:rPr>
          <w:rFonts w:cstheme="minorHAnsi"/>
        </w:rPr>
        <w:t> bound in this precipitate is largely considered to be unavailable for plant growth (Morse et al., </w:t>
      </w:r>
      <w:hyperlink r:id="rId70" w:anchor="wer1080-bib-0010" w:history="1">
        <w:r w:rsidRPr="00315F0A">
          <w:rPr>
            <w:rStyle w:val="Hyperlink"/>
            <w:rFonts w:eastAsiaTheme="majorEastAsia" w:cstheme="minorHAnsi"/>
            <w:b/>
            <w:bCs/>
            <w:color w:val="000000"/>
          </w:rPr>
          <w:t>1998</w:t>
        </w:r>
      </w:hyperlink>
      <w:r w:rsidRPr="00315F0A">
        <w:rPr>
          <w:rFonts w:cstheme="minorHAnsi"/>
        </w:rPr>
        <w:t>; Rittmann et al., </w:t>
      </w:r>
      <w:hyperlink r:id="rId71" w:anchor="wer1080-bib-0012" w:history="1">
        <w:r w:rsidRPr="00315F0A">
          <w:rPr>
            <w:rStyle w:val="Hyperlink"/>
            <w:rFonts w:eastAsiaTheme="majorEastAsia" w:cstheme="minorHAnsi"/>
            <w:b/>
            <w:bCs/>
            <w:color w:val="000000"/>
          </w:rPr>
          <w:t>2011</w:t>
        </w:r>
      </w:hyperlink>
      <w:r w:rsidRPr="00315F0A">
        <w:rPr>
          <w:rFonts w:cstheme="minorHAnsi"/>
        </w:rPr>
        <w:t>). Additionally, Ca</w:t>
      </w:r>
      <w:r w:rsidRPr="00315F0A">
        <w:rPr>
          <w:rFonts w:cstheme="minorHAnsi"/>
          <w:vertAlign w:val="superscript"/>
        </w:rPr>
        <w:t>2+</w:t>
      </w:r>
      <w:r w:rsidRPr="00315F0A">
        <w:rPr>
          <w:rFonts w:cstheme="minorHAnsi"/>
        </w:rPr>
        <w:t> can cause precipitation of calcium phosphate that may be reused as fertilizer, but does not recover NH</w:t>
      </w:r>
      <w:r w:rsidRPr="00315F0A">
        <w:rPr>
          <w:rFonts w:cstheme="minorHAnsi"/>
          <w:vertAlign w:val="subscript"/>
        </w:rPr>
        <w:t>4</w:t>
      </w:r>
      <w:r w:rsidRPr="00315F0A">
        <w:rPr>
          <w:rFonts w:cstheme="minorHAnsi"/>
          <w:vertAlign w:val="superscript"/>
        </w:rPr>
        <w:t>+</w:t>
      </w:r>
      <w:r w:rsidRPr="00315F0A">
        <w:rPr>
          <w:rFonts w:cstheme="minorHAnsi"/>
        </w:rPr>
        <w:t> along with PO</w:t>
      </w:r>
      <w:r w:rsidRPr="00315F0A">
        <w:rPr>
          <w:rFonts w:cstheme="minorHAnsi"/>
          <w:vertAlign w:val="subscript"/>
        </w:rPr>
        <w:t>4</w:t>
      </w:r>
      <w:r w:rsidRPr="00315F0A">
        <w:rPr>
          <w:rFonts w:cstheme="minorHAnsi"/>
          <w:vertAlign w:val="superscript"/>
        </w:rPr>
        <w:t>3−</w:t>
      </w:r>
      <w:r w:rsidRPr="00315F0A">
        <w:rPr>
          <w:rFonts w:cstheme="minorHAnsi"/>
        </w:rPr>
        <w:t>, as does struvite precipitation.</w:t>
      </w:r>
    </w:p>
    <w:p w14:paraId="0867F157" w14:textId="77777777" w:rsidR="00596CAE" w:rsidRPr="00315F0A" w:rsidRDefault="00596CAE" w:rsidP="00EE7BAB">
      <w:pPr>
        <w:pStyle w:val="Heading2"/>
        <w:rPr>
          <w:rFonts w:asciiTheme="minorHAnsi" w:hAnsiTheme="minorHAnsi" w:cstheme="minorHAnsi"/>
        </w:rPr>
      </w:pPr>
      <w:r w:rsidRPr="00315F0A">
        <w:rPr>
          <w:rFonts w:asciiTheme="minorHAnsi" w:hAnsiTheme="minorHAnsi" w:cstheme="minorHAnsi"/>
        </w:rPr>
        <w:t>Precipitated products for nutrient recovery</w:t>
      </w:r>
    </w:p>
    <w:p w14:paraId="16A25AB8" w14:textId="77777777" w:rsidR="00596CAE" w:rsidRPr="00315F0A" w:rsidRDefault="00596CAE" w:rsidP="00EE7BAB">
      <w:pPr>
        <w:rPr>
          <w:rFonts w:cstheme="minorHAnsi"/>
        </w:rPr>
      </w:pPr>
      <w:r w:rsidRPr="00315F0A">
        <w:rPr>
          <w:rFonts w:cstheme="minorHAnsi"/>
        </w:rPr>
        <w:t>Precipitation tests were performed by combining the cation and anion regeneration solutions and adding MgCl</w:t>
      </w:r>
      <w:r w:rsidRPr="00315F0A">
        <w:rPr>
          <w:rFonts w:cstheme="minorHAnsi"/>
          <w:vertAlign w:val="subscript"/>
        </w:rPr>
        <w:t>2</w:t>
      </w:r>
      <w:r w:rsidRPr="00315F0A">
        <w:rPr>
          <w:rFonts w:cstheme="minorHAnsi"/>
        </w:rPr>
        <w:t>•6H</w:t>
      </w:r>
      <w:r w:rsidRPr="00315F0A">
        <w:rPr>
          <w:rFonts w:cstheme="minorHAnsi"/>
          <w:vertAlign w:val="subscript"/>
        </w:rPr>
        <w:t>2</w:t>
      </w:r>
      <w:r w:rsidRPr="00315F0A">
        <w:rPr>
          <w:rFonts w:cstheme="minorHAnsi"/>
        </w:rPr>
        <w:t>O. Screening tests using regeneration solutions from the first ion exchange cycle were used to determine the optimal pH of 8 and 1.3:1 Mg</w:t>
      </w:r>
      <w:r w:rsidRPr="00315F0A">
        <w:rPr>
          <w:rFonts w:cstheme="minorHAnsi"/>
          <w:vertAlign w:val="superscript"/>
        </w:rPr>
        <w:t>2+</w:t>
      </w:r>
      <w:r w:rsidRPr="00315F0A">
        <w:rPr>
          <w:rFonts w:cstheme="minorHAnsi"/>
        </w:rPr>
        <w:t> to PO</w:t>
      </w:r>
      <w:r w:rsidRPr="00315F0A">
        <w:rPr>
          <w:rFonts w:cstheme="minorHAnsi"/>
          <w:vertAlign w:val="subscript"/>
        </w:rPr>
        <w:t>4</w:t>
      </w:r>
      <w:r w:rsidRPr="00315F0A">
        <w:rPr>
          <w:rFonts w:cstheme="minorHAnsi"/>
          <w:vertAlign w:val="superscript"/>
        </w:rPr>
        <w:t>3−</w:t>
      </w:r>
      <w:r w:rsidRPr="00315F0A">
        <w:rPr>
          <w:rFonts w:cstheme="minorHAnsi"/>
        </w:rPr>
        <w:t>ratio for synthetic wastewater column tests (ratio of 1.1:1 for the primary effluent tests). The optimal pH and Mg</w:t>
      </w:r>
      <w:r w:rsidRPr="00315F0A">
        <w:rPr>
          <w:rFonts w:cstheme="minorHAnsi"/>
          <w:vertAlign w:val="superscript"/>
        </w:rPr>
        <w:t>2+</w:t>
      </w:r>
      <w:r w:rsidRPr="00315F0A">
        <w:rPr>
          <w:rFonts w:cstheme="minorHAnsi"/>
        </w:rPr>
        <w:t> dosing ratios were chosen as they offered the largest decrease in soluble PO</w:t>
      </w:r>
      <w:r w:rsidRPr="00315F0A">
        <w:rPr>
          <w:rFonts w:cstheme="minorHAnsi"/>
          <w:vertAlign w:val="subscript"/>
        </w:rPr>
        <w:t>4</w:t>
      </w:r>
      <w:r w:rsidRPr="00315F0A">
        <w:rPr>
          <w:rFonts w:cstheme="minorHAnsi"/>
          <w:vertAlign w:val="superscript"/>
        </w:rPr>
        <w:t>3−</w:t>
      </w:r>
      <w:r w:rsidRPr="00315F0A">
        <w:rPr>
          <w:rFonts w:cstheme="minorHAnsi"/>
        </w:rPr>
        <w:t> concentration during screening tests.</w:t>
      </w:r>
    </w:p>
    <w:p w14:paraId="6D7EFC97" w14:textId="77777777" w:rsidR="00596CAE" w:rsidRPr="00315F0A" w:rsidRDefault="00596CAE" w:rsidP="00EE7BAB">
      <w:pPr>
        <w:rPr>
          <w:rFonts w:cstheme="minorHAnsi"/>
        </w:rPr>
      </w:pPr>
      <w:r w:rsidRPr="00315F0A">
        <w:rPr>
          <w:rFonts w:cstheme="minorHAnsi"/>
        </w:rPr>
        <w:t>A mass balance was performed using supernatant from batch‐style precipitation tests to determine the molar ratios in the precipitates in comparison to pure struvite (Table </w:t>
      </w:r>
      <w:hyperlink r:id="rId72" w:anchor="wer1080-tbl-0003" w:tooltip="Link to table" w:history="1">
        <w:r w:rsidRPr="00315F0A">
          <w:rPr>
            <w:rStyle w:val="Hyperlink"/>
            <w:rFonts w:eastAsiaTheme="majorEastAsia" w:cstheme="minorHAnsi"/>
            <w:b/>
            <w:bCs/>
            <w:color w:val="005274"/>
          </w:rPr>
          <w:t>3</w:t>
        </w:r>
      </w:hyperlink>
      <w:r w:rsidRPr="00315F0A">
        <w:rPr>
          <w:rFonts w:cstheme="minorHAnsi"/>
        </w:rPr>
        <w:t>). Most of the resulting NH</w:t>
      </w:r>
      <w:r w:rsidRPr="00315F0A">
        <w:rPr>
          <w:rFonts w:cstheme="minorHAnsi"/>
          <w:vertAlign w:val="subscript"/>
        </w:rPr>
        <w:t>4</w:t>
      </w:r>
      <w:r w:rsidRPr="00315F0A">
        <w:rPr>
          <w:rFonts w:cstheme="minorHAnsi"/>
          <w:vertAlign w:val="superscript"/>
        </w:rPr>
        <w:t>+</w:t>
      </w:r>
      <w:r w:rsidRPr="00315F0A">
        <w:rPr>
          <w:rFonts w:cstheme="minorHAnsi"/>
        </w:rPr>
        <w:t> and PO</w:t>
      </w:r>
      <w:r w:rsidRPr="00315F0A">
        <w:rPr>
          <w:rFonts w:cstheme="minorHAnsi"/>
          <w:vertAlign w:val="subscript"/>
        </w:rPr>
        <w:t>4</w:t>
      </w:r>
      <w:r w:rsidRPr="00315F0A">
        <w:rPr>
          <w:rFonts w:cstheme="minorHAnsi"/>
          <w:vertAlign w:val="superscript"/>
        </w:rPr>
        <w:t>3−</w:t>
      </w:r>
      <w:r w:rsidRPr="00315F0A">
        <w:rPr>
          <w:rFonts w:cstheme="minorHAnsi"/>
        </w:rPr>
        <w:t> molar ratios calculated from the tests were below the target range; however, two of the tests did recover PO</w:t>
      </w:r>
      <w:r w:rsidRPr="00315F0A">
        <w:rPr>
          <w:rFonts w:cstheme="minorHAnsi"/>
          <w:vertAlign w:val="subscript"/>
        </w:rPr>
        <w:t>4</w:t>
      </w:r>
      <w:r w:rsidRPr="00315F0A">
        <w:rPr>
          <w:rFonts w:cstheme="minorHAnsi"/>
          <w:vertAlign w:val="superscript"/>
        </w:rPr>
        <w:t>3−</w:t>
      </w:r>
      <w:r w:rsidRPr="00315F0A">
        <w:rPr>
          <w:rFonts w:cstheme="minorHAnsi"/>
        </w:rPr>
        <w:t> and Mg</w:t>
      </w:r>
      <w:r w:rsidRPr="00315F0A">
        <w:rPr>
          <w:rFonts w:cstheme="minorHAnsi"/>
          <w:vertAlign w:val="superscript"/>
        </w:rPr>
        <w:t>2+</w:t>
      </w:r>
      <w:r w:rsidRPr="00315F0A">
        <w:rPr>
          <w:rFonts w:cstheme="minorHAnsi"/>
        </w:rPr>
        <w:t> in the precipitated product with molar ratios close to or greater than one. NH</w:t>
      </w:r>
      <w:r w:rsidRPr="00315F0A">
        <w:rPr>
          <w:rFonts w:cstheme="minorHAnsi"/>
          <w:vertAlign w:val="subscript"/>
        </w:rPr>
        <w:t>4</w:t>
      </w:r>
      <w:r w:rsidRPr="00315F0A">
        <w:rPr>
          <w:rFonts w:cstheme="minorHAnsi"/>
          <w:vertAlign w:val="superscript"/>
        </w:rPr>
        <w:t>+</w:t>
      </w:r>
      <w:r w:rsidRPr="00315F0A">
        <w:rPr>
          <w:rFonts w:cstheme="minorHAnsi"/>
        </w:rPr>
        <w:t> ratios were much lower than theoretical values, suggesting that the precipitated material was not pure struvite. Similar results were observed by Williams (</w:t>
      </w:r>
      <w:hyperlink r:id="rId73" w:anchor="wer1080-bib-0017" w:history="1">
        <w:r w:rsidRPr="00315F0A">
          <w:rPr>
            <w:rStyle w:val="Hyperlink"/>
            <w:rFonts w:eastAsiaTheme="majorEastAsia" w:cstheme="minorHAnsi"/>
            <w:b/>
            <w:bCs/>
            <w:color w:val="000000"/>
          </w:rPr>
          <w:t>2013</w:t>
        </w:r>
      </w:hyperlink>
      <w:r w:rsidRPr="00315F0A">
        <w:rPr>
          <w:rFonts w:cstheme="minorHAnsi"/>
        </w:rPr>
        <w:t>) and could be due to the high pH of the regeneration solution, in which increased pH can convert NH</w:t>
      </w:r>
      <w:r w:rsidRPr="00315F0A">
        <w:rPr>
          <w:rFonts w:cstheme="minorHAnsi"/>
          <w:vertAlign w:val="subscript"/>
        </w:rPr>
        <w:t>4</w:t>
      </w:r>
      <w:r w:rsidRPr="00315F0A">
        <w:rPr>
          <w:rFonts w:cstheme="minorHAnsi"/>
          <w:vertAlign w:val="superscript"/>
        </w:rPr>
        <w:t>+</w:t>
      </w:r>
      <w:r w:rsidRPr="00315F0A">
        <w:rPr>
          <w:rFonts w:cstheme="minorHAnsi"/>
        </w:rPr>
        <w:t> ions to NH</w:t>
      </w:r>
      <w:r w:rsidRPr="00315F0A">
        <w:rPr>
          <w:rFonts w:cstheme="minorHAnsi"/>
          <w:vertAlign w:val="subscript"/>
        </w:rPr>
        <w:t>3</w:t>
      </w:r>
      <w:r w:rsidRPr="00315F0A">
        <w:rPr>
          <w:rFonts w:cstheme="minorHAnsi"/>
        </w:rPr>
        <w:t> and carry other competing ions stripped from the exchange media into solution, thereby inhibiting struvite precipitation (Hao, Wang, van Loosdrecht, &amp; Hu, </w:t>
      </w:r>
      <w:hyperlink r:id="rId74" w:anchor="wer1080-bib-0005" w:history="1">
        <w:r w:rsidRPr="00315F0A">
          <w:rPr>
            <w:rStyle w:val="Hyperlink"/>
            <w:rFonts w:eastAsiaTheme="majorEastAsia" w:cstheme="minorHAnsi"/>
            <w:b/>
            <w:bCs/>
            <w:color w:val="000000"/>
          </w:rPr>
          <w:t>2013</w:t>
        </w:r>
      </w:hyperlink>
      <w:r w:rsidRPr="00315F0A">
        <w:rPr>
          <w:rFonts w:cstheme="minorHAnsi"/>
        </w:rPr>
        <w:t>).</w:t>
      </w:r>
    </w:p>
    <w:p w14:paraId="3BAD0C17" w14:textId="77777777" w:rsidR="00596CAE" w:rsidRPr="00315F0A" w:rsidRDefault="00596CAE" w:rsidP="00AC600B">
      <w:pPr>
        <w:pStyle w:val="NoSpacing"/>
      </w:pPr>
      <w:r w:rsidRPr="00315F0A">
        <w:rPr>
          <w:rStyle w:val="table-captionlabel"/>
          <w:rFonts w:cstheme="minorHAnsi"/>
          <w:b/>
          <w:bCs/>
        </w:rPr>
        <w:t>Table 3. </w:t>
      </w:r>
      <w:r w:rsidRPr="00315F0A">
        <w:t>Calculated molar ratios of solid precipitate from supernatant mass balance</w:t>
      </w:r>
    </w:p>
    <w:tbl>
      <w:tblPr>
        <w:tblStyle w:val="TableGrid"/>
        <w:tblW w:w="0" w:type="auto"/>
        <w:tblLook w:val="04A0" w:firstRow="1" w:lastRow="0" w:firstColumn="1" w:lastColumn="0" w:noHBand="0" w:noVBand="1"/>
      </w:tblPr>
      <w:tblGrid>
        <w:gridCol w:w="1918"/>
        <w:gridCol w:w="2879"/>
        <w:gridCol w:w="596"/>
        <w:gridCol w:w="627"/>
        <w:gridCol w:w="2605"/>
        <w:gridCol w:w="596"/>
        <w:gridCol w:w="627"/>
      </w:tblGrid>
      <w:tr w:rsidR="00EE7BAB" w:rsidRPr="00315F0A" w14:paraId="3617069B" w14:textId="77777777" w:rsidTr="00AC600B">
        <w:tc>
          <w:tcPr>
            <w:tcW w:w="0" w:type="auto"/>
            <w:hideMark/>
          </w:tcPr>
          <w:p w14:paraId="78B5A319" w14:textId="77777777" w:rsidR="00EE7BAB" w:rsidRPr="00315F0A" w:rsidRDefault="00EE7BAB" w:rsidP="00AC600B">
            <w:pPr>
              <w:pStyle w:val="NoSpacing"/>
            </w:pPr>
            <w:r w:rsidRPr="00315F0A">
              <w:t>Ion Exchange Cycle</w:t>
            </w:r>
          </w:p>
        </w:tc>
        <w:tc>
          <w:tcPr>
            <w:tcW w:w="0" w:type="auto"/>
            <w:hideMark/>
          </w:tcPr>
          <w:p w14:paraId="43ECB2C5" w14:textId="77777777" w:rsidR="00EE7BAB" w:rsidRPr="00315F0A" w:rsidRDefault="00EE7BAB" w:rsidP="00AC600B">
            <w:pPr>
              <w:pStyle w:val="NoSpacing"/>
            </w:pPr>
            <w:r w:rsidRPr="00315F0A">
              <w:t>Synthetic PRIMARY EFFLUENT</w:t>
            </w:r>
          </w:p>
        </w:tc>
        <w:tc>
          <w:tcPr>
            <w:tcW w:w="0" w:type="auto"/>
          </w:tcPr>
          <w:p w14:paraId="58D33860" w14:textId="34E63499" w:rsidR="00EE7BAB" w:rsidRPr="00315F0A" w:rsidRDefault="00EE7BAB" w:rsidP="00AC600B">
            <w:pPr>
              <w:pStyle w:val="NoSpacing"/>
            </w:pPr>
          </w:p>
        </w:tc>
        <w:tc>
          <w:tcPr>
            <w:tcW w:w="0" w:type="auto"/>
          </w:tcPr>
          <w:p w14:paraId="3A26A666" w14:textId="77777777" w:rsidR="00EE7BAB" w:rsidRPr="00315F0A" w:rsidRDefault="00EE7BAB" w:rsidP="00AC600B">
            <w:pPr>
              <w:pStyle w:val="NoSpacing"/>
            </w:pPr>
          </w:p>
        </w:tc>
        <w:tc>
          <w:tcPr>
            <w:tcW w:w="0" w:type="auto"/>
          </w:tcPr>
          <w:p w14:paraId="77CA63A1" w14:textId="7E7C99F6" w:rsidR="00EE7BAB" w:rsidRPr="00315F0A" w:rsidRDefault="00A85AF3" w:rsidP="00AC600B">
            <w:pPr>
              <w:pStyle w:val="NoSpacing"/>
            </w:pPr>
            <w:r w:rsidRPr="00315F0A">
              <w:t>Municipal Primary Effluent</w:t>
            </w:r>
          </w:p>
        </w:tc>
        <w:tc>
          <w:tcPr>
            <w:tcW w:w="0" w:type="auto"/>
          </w:tcPr>
          <w:p w14:paraId="2A5D09C1" w14:textId="77777777" w:rsidR="00EE7BAB" w:rsidRPr="00315F0A" w:rsidRDefault="00EE7BAB" w:rsidP="00AC600B">
            <w:pPr>
              <w:pStyle w:val="NoSpacing"/>
            </w:pPr>
          </w:p>
        </w:tc>
        <w:tc>
          <w:tcPr>
            <w:tcW w:w="0" w:type="auto"/>
          </w:tcPr>
          <w:p w14:paraId="663C65B7" w14:textId="4363702D" w:rsidR="00EE7BAB" w:rsidRPr="00315F0A" w:rsidRDefault="00EE7BAB" w:rsidP="00AC600B">
            <w:pPr>
              <w:pStyle w:val="NoSpacing"/>
            </w:pPr>
          </w:p>
        </w:tc>
      </w:tr>
      <w:tr w:rsidR="00EE7BAB" w:rsidRPr="00315F0A" w14:paraId="26B57DA0" w14:textId="77777777" w:rsidTr="00AC600B">
        <w:tc>
          <w:tcPr>
            <w:tcW w:w="0" w:type="auto"/>
            <w:hideMark/>
          </w:tcPr>
          <w:p w14:paraId="2C653C14" w14:textId="77777777" w:rsidR="00EE7BAB" w:rsidRPr="00315F0A" w:rsidRDefault="00EE7BAB" w:rsidP="00AC600B">
            <w:pPr>
              <w:pStyle w:val="NoSpacing"/>
              <w:rPr>
                <w:sz w:val="24"/>
                <w:szCs w:val="24"/>
              </w:rPr>
            </w:pPr>
          </w:p>
        </w:tc>
        <w:tc>
          <w:tcPr>
            <w:tcW w:w="0" w:type="auto"/>
            <w:hideMark/>
          </w:tcPr>
          <w:p w14:paraId="42BEA7F4" w14:textId="77777777" w:rsidR="00EE7BAB" w:rsidRPr="00315F0A" w:rsidRDefault="00EE7BAB" w:rsidP="00AC600B">
            <w:pPr>
              <w:pStyle w:val="NoSpacing"/>
            </w:pPr>
            <w:r w:rsidRPr="00315F0A">
              <w:t>Mg</w:t>
            </w:r>
            <w:r w:rsidRPr="00315F0A">
              <w:rPr>
                <w:sz w:val="16"/>
                <w:szCs w:val="16"/>
                <w:vertAlign w:val="superscript"/>
              </w:rPr>
              <w:t>2+</w:t>
            </w:r>
          </w:p>
        </w:tc>
        <w:tc>
          <w:tcPr>
            <w:tcW w:w="0" w:type="auto"/>
            <w:hideMark/>
          </w:tcPr>
          <w:p w14:paraId="273E0991" w14:textId="77777777" w:rsidR="00EE7BAB" w:rsidRPr="00315F0A" w:rsidRDefault="00EE7BAB" w:rsidP="00AC600B">
            <w:pPr>
              <w:pStyle w:val="NoSpacing"/>
            </w:pPr>
            <w:r w:rsidRPr="00315F0A">
              <w:t>NH</w:t>
            </w:r>
            <w:r w:rsidRPr="00315F0A">
              <w:rPr>
                <w:sz w:val="16"/>
                <w:szCs w:val="16"/>
                <w:vertAlign w:val="subscript"/>
              </w:rPr>
              <w:t>4</w:t>
            </w:r>
            <w:r w:rsidRPr="00315F0A">
              <w:rPr>
                <w:sz w:val="16"/>
                <w:szCs w:val="16"/>
                <w:vertAlign w:val="superscript"/>
              </w:rPr>
              <w:t>+</w:t>
            </w:r>
          </w:p>
        </w:tc>
        <w:tc>
          <w:tcPr>
            <w:tcW w:w="0" w:type="auto"/>
            <w:hideMark/>
          </w:tcPr>
          <w:p w14:paraId="1201D5EC" w14:textId="77777777" w:rsidR="00EE7BAB" w:rsidRPr="00315F0A" w:rsidRDefault="00EE7BAB" w:rsidP="00AC600B">
            <w:pPr>
              <w:pStyle w:val="NoSpacing"/>
            </w:pPr>
            <w:r w:rsidRPr="00315F0A">
              <w:t>PO</w:t>
            </w:r>
            <w:r w:rsidRPr="00315F0A">
              <w:rPr>
                <w:sz w:val="16"/>
                <w:szCs w:val="16"/>
                <w:vertAlign w:val="subscript"/>
              </w:rPr>
              <w:t>4</w:t>
            </w:r>
            <w:r w:rsidRPr="00315F0A">
              <w:rPr>
                <w:sz w:val="16"/>
                <w:szCs w:val="16"/>
                <w:vertAlign w:val="superscript"/>
              </w:rPr>
              <w:t>3−</w:t>
            </w:r>
          </w:p>
        </w:tc>
        <w:tc>
          <w:tcPr>
            <w:tcW w:w="0" w:type="auto"/>
            <w:hideMark/>
          </w:tcPr>
          <w:p w14:paraId="6B7874D5" w14:textId="77777777" w:rsidR="00EE7BAB" w:rsidRPr="00315F0A" w:rsidRDefault="00EE7BAB" w:rsidP="00AC600B">
            <w:pPr>
              <w:pStyle w:val="NoSpacing"/>
            </w:pPr>
            <w:r w:rsidRPr="00315F0A">
              <w:t>Mg</w:t>
            </w:r>
            <w:r w:rsidRPr="00315F0A">
              <w:rPr>
                <w:sz w:val="16"/>
                <w:szCs w:val="16"/>
                <w:vertAlign w:val="superscript"/>
              </w:rPr>
              <w:t>2+</w:t>
            </w:r>
          </w:p>
        </w:tc>
        <w:tc>
          <w:tcPr>
            <w:tcW w:w="0" w:type="auto"/>
            <w:hideMark/>
          </w:tcPr>
          <w:p w14:paraId="0726EEC4" w14:textId="77777777" w:rsidR="00EE7BAB" w:rsidRPr="00315F0A" w:rsidRDefault="00EE7BAB" w:rsidP="00AC600B">
            <w:pPr>
              <w:pStyle w:val="NoSpacing"/>
            </w:pPr>
            <w:r w:rsidRPr="00315F0A">
              <w:t>NH</w:t>
            </w:r>
            <w:r w:rsidRPr="00315F0A">
              <w:rPr>
                <w:sz w:val="16"/>
                <w:szCs w:val="16"/>
                <w:vertAlign w:val="subscript"/>
              </w:rPr>
              <w:t>4</w:t>
            </w:r>
            <w:r w:rsidRPr="00315F0A">
              <w:rPr>
                <w:sz w:val="16"/>
                <w:szCs w:val="16"/>
                <w:vertAlign w:val="superscript"/>
              </w:rPr>
              <w:t>+</w:t>
            </w:r>
          </w:p>
        </w:tc>
        <w:tc>
          <w:tcPr>
            <w:tcW w:w="0" w:type="auto"/>
            <w:hideMark/>
          </w:tcPr>
          <w:p w14:paraId="7BA29184" w14:textId="77777777" w:rsidR="00EE7BAB" w:rsidRPr="00315F0A" w:rsidRDefault="00EE7BAB" w:rsidP="00AC600B">
            <w:pPr>
              <w:pStyle w:val="NoSpacing"/>
            </w:pPr>
            <w:r w:rsidRPr="00315F0A">
              <w:t>PO</w:t>
            </w:r>
            <w:r w:rsidRPr="00315F0A">
              <w:rPr>
                <w:sz w:val="16"/>
                <w:szCs w:val="16"/>
                <w:vertAlign w:val="subscript"/>
              </w:rPr>
              <w:t>4</w:t>
            </w:r>
            <w:r w:rsidRPr="00315F0A">
              <w:rPr>
                <w:sz w:val="16"/>
                <w:szCs w:val="16"/>
                <w:vertAlign w:val="superscript"/>
              </w:rPr>
              <w:t>3−</w:t>
            </w:r>
          </w:p>
        </w:tc>
      </w:tr>
      <w:tr w:rsidR="00596CAE" w:rsidRPr="00315F0A" w14:paraId="34ECA1D0" w14:textId="77777777" w:rsidTr="00AC600B">
        <w:tc>
          <w:tcPr>
            <w:tcW w:w="0" w:type="auto"/>
            <w:hideMark/>
          </w:tcPr>
          <w:p w14:paraId="1BA12298" w14:textId="77777777" w:rsidR="00596CAE" w:rsidRPr="00315F0A" w:rsidRDefault="00596CAE" w:rsidP="00AC600B">
            <w:pPr>
              <w:pStyle w:val="NoSpacing"/>
              <w:rPr>
                <w:sz w:val="18"/>
                <w:szCs w:val="18"/>
              </w:rPr>
            </w:pPr>
            <w:r w:rsidRPr="00315F0A">
              <w:rPr>
                <w:sz w:val="18"/>
                <w:szCs w:val="18"/>
              </w:rPr>
              <w:t>1</w:t>
            </w:r>
          </w:p>
        </w:tc>
        <w:tc>
          <w:tcPr>
            <w:tcW w:w="0" w:type="auto"/>
            <w:hideMark/>
          </w:tcPr>
          <w:p w14:paraId="0FB8CEEE" w14:textId="77777777" w:rsidR="00596CAE" w:rsidRPr="00315F0A" w:rsidRDefault="00596CAE" w:rsidP="00AC600B">
            <w:pPr>
              <w:pStyle w:val="NoSpacing"/>
              <w:rPr>
                <w:sz w:val="18"/>
                <w:szCs w:val="18"/>
              </w:rPr>
            </w:pPr>
            <w:r w:rsidRPr="00315F0A">
              <w:rPr>
                <w:sz w:val="18"/>
                <w:szCs w:val="18"/>
              </w:rPr>
              <w:t>1.1</w:t>
            </w:r>
          </w:p>
        </w:tc>
        <w:tc>
          <w:tcPr>
            <w:tcW w:w="0" w:type="auto"/>
            <w:hideMark/>
          </w:tcPr>
          <w:p w14:paraId="3FE72C4B" w14:textId="77777777" w:rsidR="00596CAE" w:rsidRPr="00315F0A" w:rsidRDefault="00596CAE" w:rsidP="00AC600B">
            <w:pPr>
              <w:pStyle w:val="NoSpacing"/>
              <w:rPr>
                <w:sz w:val="18"/>
                <w:szCs w:val="18"/>
              </w:rPr>
            </w:pPr>
            <w:r w:rsidRPr="00315F0A">
              <w:rPr>
                <w:sz w:val="18"/>
                <w:szCs w:val="18"/>
              </w:rPr>
              <w:t>0.1</w:t>
            </w:r>
          </w:p>
        </w:tc>
        <w:tc>
          <w:tcPr>
            <w:tcW w:w="0" w:type="auto"/>
            <w:hideMark/>
          </w:tcPr>
          <w:p w14:paraId="229B1D0D" w14:textId="77777777" w:rsidR="00596CAE" w:rsidRPr="00315F0A" w:rsidRDefault="00596CAE" w:rsidP="00AC600B">
            <w:pPr>
              <w:pStyle w:val="NoSpacing"/>
              <w:rPr>
                <w:sz w:val="18"/>
                <w:szCs w:val="18"/>
              </w:rPr>
            </w:pPr>
            <w:r w:rsidRPr="00315F0A">
              <w:rPr>
                <w:sz w:val="18"/>
                <w:szCs w:val="18"/>
              </w:rPr>
              <w:t>0.4</w:t>
            </w:r>
          </w:p>
        </w:tc>
        <w:tc>
          <w:tcPr>
            <w:tcW w:w="0" w:type="auto"/>
            <w:hideMark/>
          </w:tcPr>
          <w:p w14:paraId="33B65377" w14:textId="77777777" w:rsidR="00596CAE" w:rsidRPr="00315F0A" w:rsidRDefault="00596CAE" w:rsidP="00AC600B">
            <w:pPr>
              <w:pStyle w:val="NoSpacing"/>
              <w:rPr>
                <w:sz w:val="18"/>
                <w:szCs w:val="18"/>
              </w:rPr>
            </w:pPr>
            <w:r w:rsidRPr="00315F0A">
              <w:rPr>
                <w:sz w:val="18"/>
                <w:szCs w:val="18"/>
              </w:rPr>
              <w:t>0.8</w:t>
            </w:r>
          </w:p>
        </w:tc>
        <w:tc>
          <w:tcPr>
            <w:tcW w:w="0" w:type="auto"/>
            <w:hideMark/>
          </w:tcPr>
          <w:p w14:paraId="74ACCA9A" w14:textId="77777777" w:rsidR="00596CAE" w:rsidRPr="00315F0A" w:rsidRDefault="00596CAE" w:rsidP="00AC600B">
            <w:pPr>
              <w:pStyle w:val="NoSpacing"/>
              <w:rPr>
                <w:sz w:val="18"/>
                <w:szCs w:val="18"/>
              </w:rPr>
            </w:pPr>
            <w:r w:rsidRPr="00315F0A">
              <w:rPr>
                <w:sz w:val="18"/>
                <w:szCs w:val="18"/>
              </w:rPr>
              <w:t>0.1</w:t>
            </w:r>
          </w:p>
        </w:tc>
        <w:tc>
          <w:tcPr>
            <w:tcW w:w="0" w:type="auto"/>
            <w:hideMark/>
          </w:tcPr>
          <w:p w14:paraId="23E57600" w14:textId="77777777" w:rsidR="00596CAE" w:rsidRPr="00315F0A" w:rsidRDefault="00596CAE" w:rsidP="00AC600B">
            <w:pPr>
              <w:pStyle w:val="NoSpacing"/>
              <w:rPr>
                <w:sz w:val="18"/>
                <w:szCs w:val="18"/>
              </w:rPr>
            </w:pPr>
            <w:r w:rsidRPr="00315F0A">
              <w:rPr>
                <w:sz w:val="18"/>
                <w:szCs w:val="18"/>
              </w:rPr>
              <w:t>0.9</w:t>
            </w:r>
          </w:p>
        </w:tc>
      </w:tr>
      <w:tr w:rsidR="00596CAE" w:rsidRPr="00315F0A" w14:paraId="327D24FC" w14:textId="77777777" w:rsidTr="00AC600B">
        <w:tc>
          <w:tcPr>
            <w:tcW w:w="0" w:type="auto"/>
            <w:hideMark/>
          </w:tcPr>
          <w:p w14:paraId="75086ACC" w14:textId="77777777" w:rsidR="00596CAE" w:rsidRPr="00315F0A" w:rsidRDefault="00596CAE" w:rsidP="00AC600B">
            <w:pPr>
              <w:pStyle w:val="NoSpacing"/>
              <w:rPr>
                <w:sz w:val="18"/>
                <w:szCs w:val="18"/>
              </w:rPr>
            </w:pPr>
            <w:r w:rsidRPr="00315F0A">
              <w:rPr>
                <w:sz w:val="18"/>
                <w:szCs w:val="18"/>
              </w:rPr>
              <w:t>2</w:t>
            </w:r>
          </w:p>
        </w:tc>
        <w:tc>
          <w:tcPr>
            <w:tcW w:w="0" w:type="auto"/>
            <w:hideMark/>
          </w:tcPr>
          <w:p w14:paraId="5EF603D3" w14:textId="77777777" w:rsidR="00596CAE" w:rsidRPr="00315F0A" w:rsidRDefault="00596CAE" w:rsidP="00AC600B">
            <w:pPr>
              <w:pStyle w:val="NoSpacing"/>
              <w:rPr>
                <w:sz w:val="18"/>
                <w:szCs w:val="18"/>
              </w:rPr>
            </w:pPr>
            <w:r w:rsidRPr="00315F0A">
              <w:rPr>
                <w:sz w:val="18"/>
                <w:szCs w:val="18"/>
              </w:rPr>
              <w:t>1.0</w:t>
            </w:r>
          </w:p>
        </w:tc>
        <w:tc>
          <w:tcPr>
            <w:tcW w:w="0" w:type="auto"/>
            <w:hideMark/>
          </w:tcPr>
          <w:p w14:paraId="1EFDAF43" w14:textId="77777777" w:rsidR="00596CAE" w:rsidRPr="00315F0A" w:rsidRDefault="00596CAE" w:rsidP="00AC600B">
            <w:pPr>
              <w:pStyle w:val="NoSpacing"/>
              <w:rPr>
                <w:sz w:val="18"/>
                <w:szCs w:val="18"/>
              </w:rPr>
            </w:pPr>
            <w:r w:rsidRPr="00315F0A">
              <w:rPr>
                <w:sz w:val="18"/>
                <w:szCs w:val="18"/>
              </w:rPr>
              <w:t>0.4</w:t>
            </w:r>
          </w:p>
        </w:tc>
        <w:tc>
          <w:tcPr>
            <w:tcW w:w="0" w:type="auto"/>
            <w:hideMark/>
          </w:tcPr>
          <w:p w14:paraId="05396F9D" w14:textId="77777777" w:rsidR="00596CAE" w:rsidRPr="00315F0A" w:rsidRDefault="00596CAE" w:rsidP="00AC600B">
            <w:pPr>
              <w:pStyle w:val="NoSpacing"/>
              <w:rPr>
                <w:sz w:val="18"/>
                <w:szCs w:val="18"/>
              </w:rPr>
            </w:pPr>
            <w:r w:rsidRPr="00315F0A">
              <w:rPr>
                <w:sz w:val="18"/>
                <w:szCs w:val="18"/>
              </w:rPr>
              <w:t>0.2</w:t>
            </w:r>
          </w:p>
        </w:tc>
        <w:tc>
          <w:tcPr>
            <w:tcW w:w="0" w:type="auto"/>
            <w:hideMark/>
          </w:tcPr>
          <w:p w14:paraId="077B9E73" w14:textId="77777777" w:rsidR="00596CAE" w:rsidRPr="00315F0A" w:rsidRDefault="00596CAE" w:rsidP="00AC600B">
            <w:pPr>
              <w:pStyle w:val="NoSpacing"/>
              <w:rPr>
                <w:sz w:val="18"/>
                <w:szCs w:val="18"/>
              </w:rPr>
            </w:pPr>
            <w:r w:rsidRPr="00315F0A">
              <w:rPr>
                <w:sz w:val="18"/>
                <w:szCs w:val="18"/>
              </w:rPr>
              <w:t>0.2</w:t>
            </w:r>
          </w:p>
        </w:tc>
        <w:tc>
          <w:tcPr>
            <w:tcW w:w="0" w:type="auto"/>
            <w:hideMark/>
          </w:tcPr>
          <w:p w14:paraId="2C7A4F09" w14:textId="77777777" w:rsidR="00596CAE" w:rsidRPr="00315F0A" w:rsidRDefault="00596CAE" w:rsidP="00AC600B">
            <w:pPr>
              <w:pStyle w:val="NoSpacing"/>
              <w:rPr>
                <w:sz w:val="18"/>
                <w:szCs w:val="18"/>
              </w:rPr>
            </w:pPr>
            <w:r w:rsidRPr="00315F0A">
              <w:rPr>
                <w:sz w:val="18"/>
                <w:szCs w:val="18"/>
              </w:rPr>
              <w:t>0.5</w:t>
            </w:r>
          </w:p>
        </w:tc>
        <w:tc>
          <w:tcPr>
            <w:tcW w:w="0" w:type="auto"/>
            <w:hideMark/>
          </w:tcPr>
          <w:p w14:paraId="6B36DB04" w14:textId="77777777" w:rsidR="00596CAE" w:rsidRPr="00315F0A" w:rsidRDefault="00596CAE" w:rsidP="00AC600B">
            <w:pPr>
              <w:pStyle w:val="NoSpacing"/>
              <w:rPr>
                <w:sz w:val="18"/>
                <w:szCs w:val="18"/>
              </w:rPr>
            </w:pPr>
            <w:r w:rsidRPr="00315F0A">
              <w:rPr>
                <w:sz w:val="18"/>
                <w:szCs w:val="18"/>
              </w:rPr>
              <w:t>0.4</w:t>
            </w:r>
          </w:p>
        </w:tc>
      </w:tr>
      <w:tr w:rsidR="00596CAE" w:rsidRPr="00315F0A" w14:paraId="2FCE7F4C" w14:textId="77777777" w:rsidTr="00AC600B">
        <w:tc>
          <w:tcPr>
            <w:tcW w:w="0" w:type="auto"/>
            <w:hideMark/>
          </w:tcPr>
          <w:p w14:paraId="0600AD32" w14:textId="77777777" w:rsidR="00596CAE" w:rsidRPr="00315F0A" w:rsidRDefault="00596CAE" w:rsidP="00AC600B">
            <w:pPr>
              <w:pStyle w:val="NoSpacing"/>
              <w:rPr>
                <w:sz w:val="18"/>
                <w:szCs w:val="18"/>
              </w:rPr>
            </w:pPr>
            <w:r w:rsidRPr="00315F0A">
              <w:rPr>
                <w:sz w:val="18"/>
                <w:szCs w:val="18"/>
              </w:rPr>
              <w:t>3</w:t>
            </w:r>
          </w:p>
        </w:tc>
        <w:tc>
          <w:tcPr>
            <w:tcW w:w="0" w:type="auto"/>
            <w:hideMark/>
          </w:tcPr>
          <w:p w14:paraId="6300FBE1" w14:textId="77777777" w:rsidR="00596CAE" w:rsidRPr="00315F0A" w:rsidRDefault="00596CAE" w:rsidP="00AC600B">
            <w:pPr>
              <w:pStyle w:val="NoSpacing"/>
              <w:rPr>
                <w:sz w:val="18"/>
                <w:szCs w:val="18"/>
              </w:rPr>
            </w:pPr>
            <w:r w:rsidRPr="00315F0A">
              <w:rPr>
                <w:sz w:val="18"/>
                <w:szCs w:val="18"/>
              </w:rPr>
              <w:t>0.9</w:t>
            </w:r>
          </w:p>
        </w:tc>
        <w:tc>
          <w:tcPr>
            <w:tcW w:w="0" w:type="auto"/>
            <w:hideMark/>
          </w:tcPr>
          <w:p w14:paraId="37CBC0BA" w14:textId="77777777" w:rsidR="00596CAE" w:rsidRPr="00315F0A" w:rsidRDefault="00596CAE" w:rsidP="00AC600B">
            <w:pPr>
              <w:pStyle w:val="NoSpacing"/>
              <w:rPr>
                <w:sz w:val="18"/>
                <w:szCs w:val="18"/>
              </w:rPr>
            </w:pPr>
            <w:r w:rsidRPr="00315F0A">
              <w:rPr>
                <w:sz w:val="18"/>
                <w:szCs w:val="18"/>
              </w:rPr>
              <w:t>0.5</w:t>
            </w:r>
          </w:p>
        </w:tc>
        <w:tc>
          <w:tcPr>
            <w:tcW w:w="0" w:type="auto"/>
            <w:hideMark/>
          </w:tcPr>
          <w:p w14:paraId="1EAD7F2E" w14:textId="77777777" w:rsidR="00596CAE" w:rsidRPr="00315F0A" w:rsidRDefault="00596CAE" w:rsidP="00AC600B">
            <w:pPr>
              <w:pStyle w:val="NoSpacing"/>
              <w:rPr>
                <w:sz w:val="18"/>
                <w:szCs w:val="18"/>
              </w:rPr>
            </w:pPr>
            <w:r w:rsidRPr="00315F0A">
              <w:rPr>
                <w:sz w:val="18"/>
                <w:szCs w:val="18"/>
              </w:rPr>
              <w:t>0.3</w:t>
            </w:r>
          </w:p>
        </w:tc>
        <w:tc>
          <w:tcPr>
            <w:tcW w:w="0" w:type="auto"/>
            <w:hideMark/>
          </w:tcPr>
          <w:p w14:paraId="00F4D8DD" w14:textId="77777777" w:rsidR="00596CAE" w:rsidRPr="00315F0A" w:rsidRDefault="00596CAE" w:rsidP="00AC600B">
            <w:pPr>
              <w:pStyle w:val="NoSpacing"/>
              <w:rPr>
                <w:sz w:val="18"/>
                <w:szCs w:val="18"/>
              </w:rPr>
            </w:pPr>
            <w:r w:rsidRPr="00315F0A">
              <w:rPr>
                <w:sz w:val="18"/>
                <w:szCs w:val="18"/>
              </w:rPr>
              <w:t>0.5</w:t>
            </w:r>
          </w:p>
        </w:tc>
        <w:tc>
          <w:tcPr>
            <w:tcW w:w="0" w:type="auto"/>
            <w:hideMark/>
          </w:tcPr>
          <w:p w14:paraId="4C303EE5" w14:textId="77777777" w:rsidR="00596CAE" w:rsidRPr="00315F0A" w:rsidRDefault="00596CAE" w:rsidP="00AC600B">
            <w:pPr>
              <w:pStyle w:val="NoSpacing"/>
              <w:rPr>
                <w:sz w:val="18"/>
                <w:szCs w:val="18"/>
              </w:rPr>
            </w:pPr>
            <w:r w:rsidRPr="00315F0A">
              <w:rPr>
                <w:sz w:val="18"/>
                <w:szCs w:val="18"/>
              </w:rPr>
              <w:t>0.4</w:t>
            </w:r>
          </w:p>
        </w:tc>
        <w:tc>
          <w:tcPr>
            <w:tcW w:w="0" w:type="auto"/>
            <w:hideMark/>
          </w:tcPr>
          <w:p w14:paraId="71E9C243" w14:textId="77777777" w:rsidR="00596CAE" w:rsidRPr="00315F0A" w:rsidRDefault="00596CAE" w:rsidP="00AC600B">
            <w:pPr>
              <w:pStyle w:val="NoSpacing"/>
              <w:rPr>
                <w:sz w:val="18"/>
                <w:szCs w:val="18"/>
              </w:rPr>
            </w:pPr>
            <w:r w:rsidRPr="00315F0A">
              <w:rPr>
                <w:sz w:val="18"/>
                <w:szCs w:val="18"/>
              </w:rPr>
              <w:t>0.2</w:t>
            </w:r>
          </w:p>
        </w:tc>
      </w:tr>
      <w:tr w:rsidR="00596CAE" w:rsidRPr="00315F0A" w14:paraId="49BD3EEB" w14:textId="77777777" w:rsidTr="00AC600B">
        <w:tc>
          <w:tcPr>
            <w:tcW w:w="0" w:type="auto"/>
            <w:hideMark/>
          </w:tcPr>
          <w:p w14:paraId="1FF6634C" w14:textId="77777777" w:rsidR="00596CAE" w:rsidRPr="00315F0A" w:rsidRDefault="00596CAE" w:rsidP="00AC600B">
            <w:pPr>
              <w:pStyle w:val="NoSpacing"/>
              <w:rPr>
                <w:sz w:val="18"/>
                <w:szCs w:val="18"/>
              </w:rPr>
            </w:pPr>
            <w:r w:rsidRPr="00315F0A">
              <w:rPr>
                <w:sz w:val="18"/>
                <w:szCs w:val="18"/>
              </w:rPr>
              <w:t>4</w:t>
            </w:r>
          </w:p>
        </w:tc>
        <w:tc>
          <w:tcPr>
            <w:tcW w:w="0" w:type="auto"/>
            <w:hideMark/>
          </w:tcPr>
          <w:p w14:paraId="4A4C2889" w14:textId="77777777" w:rsidR="00596CAE" w:rsidRPr="00315F0A" w:rsidRDefault="00596CAE" w:rsidP="00AC600B">
            <w:pPr>
              <w:pStyle w:val="NoSpacing"/>
              <w:rPr>
                <w:sz w:val="18"/>
                <w:szCs w:val="18"/>
              </w:rPr>
            </w:pPr>
            <w:r w:rsidRPr="00315F0A">
              <w:rPr>
                <w:sz w:val="18"/>
                <w:szCs w:val="18"/>
              </w:rPr>
              <w:t>0.9</w:t>
            </w:r>
          </w:p>
        </w:tc>
        <w:tc>
          <w:tcPr>
            <w:tcW w:w="0" w:type="auto"/>
            <w:hideMark/>
          </w:tcPr>
          <w:p w14:paraId="66BBE603" w14:textId="77777777" w:rsidR="00596CAE" w:rsidRPr="00315F0A" w:rsidRDefault="00596CAE" w:rsidP="00AC600B">
            <w:pPr>
              <w:pStyle w:val="NoSpacing"/>
              <w:rPr>
                <w:sz w:val="18"/>
                <w:szCs w:val="18"/>
              </w:rPr>
            </w:pPr>
            <w:r w:rsidRPr="00315F0A">
              <w:rPr>
                <w:sz w:val="18"/>
                <w:szCs w:val="18"/>
              </w:rPr>
              <w:t>0.2</w:t>
            </w:r>
          </w:p>
        </w:tc>
        <w:tc>
          <w:tcPr>
            <w:tcW w:w="0" w:type="auto"/>
            <w:hideMark/>
          </w:tcPr>
          <w:p w14:paraId="5173DD8D" w14:textId="77777777" w:rsidR="00596CAE" w:rsidRPr="00315F0A" w:rsidRDefault="00596CAE" w:rsidP="00AC600B">
            <w:pPr>
              <w:pStyle w:val="NoSpacing"/>
              <w:rPr>
                <w:sz w:val="18"/>
                <w:szCs w:val="18"/>
              </w:rPr>
            </w:pPr>
            <w:r w:rsidRPr="00315F0A">
              <w:rPr>
                <w:sz w:val="18"/>
                <w:szCs w:val="18"/>
              </w:rPr>
              <w:t>0.2</w:t>
            </w:r>
          </w:p>
        </w:tc>
        <w:tc>
          <w:tcPr>
            <w:tcW w:w="0" w:type="auto"/>
            <w:hideMark/>
          </w:tcPr>
          <w:p w14:paraId="6507499B" w14:textId="77777777" w:rsidR="00596CAE" w:rsidRPr="00315F0A" w:rsidRDefault="00596CAE" w:rsidP="00AC600B">
            <w:pPr>
              <w:pStyle w:val="NoSpacing"/>
              <w:rPr>
                <w:sz w:val="18"/>
                <w:szCs w:val="18"/>
              </w:rPr>
            </w:pPr>
            <w:r w:rsidRPr="00315F0A">
              <w:rPr>
                <w:sz w:val="18"/>
                <w:szCs w:val="18"/>
              </w:rPr>
              <w:t>0.1</w:t>
            </w:r>
          </w:p>
        </w:tc>
        <w:tc>
          <w:tcPr>
            <w:tcW w:w="0" w:type="auto"/>
            <w:hideMark/>
          </w:tcPr>
          <w:p w14:paraId="639FA1EA" w14:textId="77777777" w:rsidR="00596CAE" w:rsidRPr="00315F0A" w:rsidRDefault="00596CAE" w:rsidP="00AC600B">
            <w:pPr>
              <w:pStyle w:val="NoSpacing"/>
              <w:rPr>
                <w:sz w:val="18"/>
                <w:szCs w:val="18"/>
              </w:rPr>
            </w:pPr>
            <w:r w:rsidRPr="00315F0A">
              <w:rPr>
                <w:sz w:val="18"/>
                <w:szCs w:val="18"/>
              </w:rPr>
              <w:t>0.6</w:t>
            </w:r>
          </w:p>
        </w:tc>
        <w:tc>
          <w:tcPr>
            <w:tcW w:w="0" w:type="auto"/>
            <w:hideMark/>
          </w:tcPr>
          <w:p w14:paraId="7E136958" w14:textId="77777777" w:rsidR="00596CAE" w:rsidRPr="00315F0A" w:rsidRDefault="00596CAE" w:rsidP="00AC600B">
            <w:pPr>
              <w:pStyle w:val="NoSpacing"/>
              <w:rPr>
                <w:sz w:val="18"/>
                <w:szCs w:val="18"/>
              </w:rPr>
            </w:pPr>
            <w:r w:rsidRPr="00315F0A">
              <w:rPr>
                <w:sz w:val="18"/>
                <w:szCs w:val="18"/>
              </w:rPr>
              <w:t>0.2</w:t>
            </w:r>
          </w:p>
        </w:tc>
      </w:tr>
      <w:tr w:rsidR="00596CAE" w:rsidRPr="00315F0A" w14:paraId="6B58E25F" w14:textId="77777777" w:rsidTr="00AC600B">
        <w:tc>
          <w:tcPr>
            <w:tcW w:w="0" w:type="auto"/>
            <w:hideMark/>
          </w:tcPr>
          <w:p w14:paraId="7C239136" w14:textId="77777777" w:rsidR="00596CAE" w:rsidRPr="00315F0A" w:rsidRDefault="00596CAE" w:rsidP="00AC600B">
            <w:pPr>
              <w:pStyle w:val="NoSpacing"/>
              <w:rPr>
                <w:sz w:val="18"/>
                <w:szCs w:val="18"/>
              </w:rPr>
            </w:pPr>
            <w:r w:rsidRPr="00315F0A">
              <w:rPr>
                <w:sz w:val="18"/>
                <w:szCs w:val="18"/>
              </w:rPr>
              <w:t>5</w:t>
            </w:r>
          </w:p>
        </w:tc>
        <w:tc>
          <w:tcPr>
            <w:tcW w:w="0" w:type="auto"/>
            <w:hideMark/>
          </w:tcPr>
          <w:p w14:paraId="7B86CEA2" w14:textId="77777777" w:rsidR="00596CAE" w:rsidRPr="00315F0A" w:rsidRDefault="00596CAE" w:rsidP="00AC600B">
            <w:pPr>
              <w:pStyle w:val="NoSpacing"/>
              <w:rPr>
                <w:sz w:val="18"/>
                <w:szCs w:val="18"/>
              </w:rPr>
            </w:pPr>
            <w:r w:rsidRPr="00315F0A">
              <w:rPr>
                <w:sz w:val="18"/>
                <w:szCs w:val="18"/>
              </w:rPr>
              <w:t>1.2</w:t>
            </w:r>
          </w:p>
        </w:tc>
        <w:tc>
          <w:tcPr>
            <w:tcW w:w="0" w:type="auto"/>
            <w:hideMark/>
          </w:tcPr>
          <w:p w14:paraId="7DB20D2A" w14:textId="77777777" w:rsidR="00596CAE" w:rsidRPr="00315F0A" w:rsidRDefault="00596CAE" w:rsidP="00AC600B">
            <w:pPr>
              <w:pStyle w:val="NoSpacing"/>
              <w:rPr>
                <w:sz w:val="18"/>
                <w:szCs w:val="18"/>
              </w:rPr>
            </w:pPr>
            <w:r w:rsidRPr="00315F0A">
              <w:rPr>
                <w:sz w:val="18"/>
                <w:szCs w:val="18"/>
              </w:rPr>
              <w:t>0.2</w:t>
            </w:r>
          </w:p>
        </w:tc>
        <w:tc>
          <w:tcPr>
            <w:tcW w:w="0" w:type="auto"/>
            <w:hideMark/>
          </w:tcPr>
          <w:p w14:paraId="32B00F40" w14:textId="77777777" w:rsidR="00596CAE" w:rsidRPr="00315F0A" w:rsidRDefault="00596CAE" w:rsidP="00AC600B">
            <w:pPr>
              <w:pStyle w:val="NoSpacing"/>
              <w:rPr>
                <w:sz w:val="18"/>
                <w:szCs w:val="18"/>
              </w:rPr>
            </w:pPr>
            <w:r w:rsidRPr="00315F0A">
              <w:rPr>
                <w:sz w:val="18"/>
                <w:szCs w:val="18"/>
              </w:rPr>
              <w:t>1.0</w:t>
            </w:r>
          </w:p>
        </w:tc>
        <w:tc>
          <w:tcPr>
            <w:tcW w:w="0" w:type="auto"/>
            <w:hideMark/>
          </w:tcPr>
          <w:p w14:paraId="2745E1FE" w14:textId="77777777" w:rsidR="00596CAE" w:rsidRPr="00315F0A" w:rsidRDefault="00596CAE" w:rsidP="00AC600B">
            <w:pPr>
              <w:pStyle w:val="NoSpacing"/>
              <w:rPr>
                <w:sz w:val="18"/>
                <w:szCs w:val="18"/>
              </w:rPr>
            </w:pPr>
            <w:r w:rsidRPr="00315F0A">
              <w:rPr>
                <w:sz w:val="18"/>
                <w:szCs w:val="18"/>
              </w:rPr>
              <w:t>0.4</w:t>
            </w:r>
          </w:p>
        </w:tc>
        <w:tc>
          <w:tcPr>
            <w:tcW w:w="0" w:type="auto"/>
            <w:hideMark/>
          </w:tcPr>
          <w:p w14:paraId="3EFB9BA6" w14:textId="77777777" w:rsidR="00596CAE" w:rsidRPr="00315F0A" w:rsidRDefault="00596CAE" w:rsidP="00AC600B">
            <w:pPr>
              <w:pStyle w:val="NoSpacing"/>
              <w:rPr>
                <w:sz w:val="18"/>
                <w:szCs w:val="18"/>
              </w:rPr>
            </w:pPr>
            <w:r w:rsidRPr="00315F0A">
              <w:rPr>
                <w:sz w:val="18"/>
                <w:szCs w:val="18"/>
              </w:rPr>
              <w:t>0.9</w:t>
            </w:r>
          </w:p>
        </w:tc>
        <w:tc>
          <w:tcPr>
            <w:tcW w:w="0" w:type="auto"/>
            <w:hideMark/>
          </w:tcPr>
          <w:p w14:paraId="558F08FE" w14:textId="77777777" w:rsidR="00596CAE" w:rsidRPr="00315F0A" w:rsidRDefault="00596CAE" w:rsidP="00AC600B">
            <w:pPr>
              <w:pStyle w:val="NoSpacing"/>
              <w:rPr>
                <w:sz w:val="18"/>
                <w:szCs w:val="18"/>
              </w:rPr>
            </w:pPr>
            <w:r w:rsidRPr="00315F0A">
              <w:rPr>
                <w:sz w:val="18"/>
                <w:szCs w:val="18"/>
              </w:rPr>
              <w:t>0.1</w:t>
            </w:r>
          </w:p>
        </w:tc>
      </w:tr>
    </w:tbl>
    <w:p w14:paraId="4BF13825" w14:textId="77777777" w:rsidR="00596CAE" w:rsidRPr="00315F0A" w:rsidRDefault="00596CAE" w:rsidP="00A85AF3">
      <w:pPr>
        <w:pStyle w:val="Heading1"/>
        <w:rPr>
          <w:rFonts w:asciiTheme="minorHAnsi" w:hAnsiTheme="minorHAnsi" w:cstheme="minorHAnsi"/>
        </w:rPr>
      </w:pPr>
      <w:r w:rsidRPr="00315F0A">
        <w:rPr>
          <w:rFonts w:asciiTheme="minorHAnsi" w:hAnsiTheme="minorHAnsi" w:cstheme="minorHAnsi"/>
        </w:rPr>
        <w:t>Conclusions</w:t>
      </w:r>
    </w:p>
    <w:p w14:paraId="0003B0FF" w14:textId="77777777" w:rsidR="00596CAE" w:rsidRPr="00315F0A" w:rsidRDefault="00596CAE" w:rsidP="00883CB4">
      <w:pPr>
        <w:rPr>
          <w:rFonts w:cstheme="minorHAnsi"/>
        </w:rPr>
      </w:pPr>
      <w:r w:rsidRPr="00315F0A">
        <w:rPr>
          <w:rFonts w:cstheme="minorHAnsi"/>
        </w:rPr>
        <w:t>In batch tests, the largest reduction in Dow‐HFO‐Cu exchange capacity was observed after the initial regeneration cycle, likely due to stripping of Cu</w:t>
      </w:r>
      <w:r w:rsidRPr="00315F0A">
        <w:rPr>
          <w:rFonts w:cstheme="minorHAnsi"/>
          <w:sz w:val="18"/>
          <w:szCs w:val="18"/>
          <w:vertAlign w:val="superscript"/>
        </w:rPr>
        <w:t>2+</w:t>
      </w:r>
      <w:r w:rsidRPr="00315F0A">
        <w:rPr>
          <w:rFonts w:cstheme="minorHAnsi"/>
        </w:rPr>
        <w:t> ligands. However, a consistent exchange capacity of 6.5 mg PO</w:t>
      </w:r>
      <w:r w:rsidRPr="00315F0A">
        <w:rPr>
          <w:rFonts w:cstheme="minorHAnsi"/>
          <w:sz w:val="18"/>
          <w:szCs w:val="18"/>
          <w:vertAlign w:val="subscript"/>
        </w:rPr>
        <w:t>4</w:t>
      </w:r>
      <w:r w:rsidRPr="00315F0A">
        <w:rPr>
          <w:rFonts w:cstheme="minorHAnsi"/>
        </w:rPr>
        <w:t>‐P/g Dow‐HFO‐Cu was achieved beyond three ion exchange cycles using a regeneration solution of 2% NaCl+ 0.5% NaOH. This regeneration solution also provided the most consistent NH</w:t>
      </w:r>
      <w:r w:rsidRPr="00315F0A">
        <w:rPr>
          <w:rFonts w:cstheme="minorHAnsi"/>
          <w:sz w:val="18"/>
          <w:szCs w:val="18"/>
          <w:vertAlign w:val="subscript"/>
        </w:rPr>
        <w:t>4</w:t>
      </w:r>
      <w:r w:rsidRPr="00315F0A">
        <w:rPr>
          <w:rFonts w:cstheme="minorHAnsi"/>
        </w:rPr>
        <w:t>‐N recovery using clinoptilolite. Use of the same solution for both anion and cation regeneration offers operational benefits.</w:t>
      </w:r>
    </w:p>
    <w:p w14:paraId="28A9DA0A" w14:textId="77777777" w:rsidR="00596CAE" w:rsidRPr="00315F0A" w:rsidRDefault="00596CAE" w:rsidP="00883CB4">
      <w:pPr>
        <w:rPr>
          <w:rFonts w:cstheme="minorHAnsi"/>
        </w:rPr>
      </w:pPr>
      <w:r w:rsidRPr="00315F0A">
        <w:rPr>
          <w:rFonts w:cstheme="minorHAnsi"/>
        </w:rPr>
        <w:t>Column tests also demonstrated decreases in exchange capacities after initial regeneration and offered lower overall phosphate removal capacity compared to batch tests, at 1.6 to 2.8 mg‐PO</w:t>
      </w:r>
      <w:r w:rsidRPr="00315F0A">
        <w:rPr>
          <w:rFonts w:cstheme="minorHAnsi"/>
          <w:sz w:val="18"/>
          <w:szCs w:val="18"/>
          <w:vertAlign w:val="subscript"/>
        </w:rPr>
        <w:t>4</w:t>
      </w:r>
      <w:r w:rsidRPr="00315F0A">
        <w:rPr>
          <w:rFonts w:cstheme="minorHAnsi"/>
        </w:rPr>
        <w:t xml:space="preserve">‐P/g Dow‐HFO‐Cu. Similarities in exchange capacities using the synthetic and actual AnMBR permeates suggest that comparable performance could be achieved treating variable quality AnMBR permeates. Although leaching of copper metals was observed </w:t>
      </w:r>
      <w:r w:rsidRPr="00315F0A">
        <w:rPr>
          <w:rFonts w:cstheme="minorHAnsi"/>
        </w:rPr>
        <w:lastRenderedPageBreak/>
        <w:t>in each regeneration cycle, the majority of the phosphate entering the columns was recovered (94% and 79% recovery of removed mass of PO</w:t>
      </w:r>
      <w:r w:rsidRPr="00315F0A">
        <w:rPr>
          <w:rFonts w:cstheme="minorHAnsi"/>
          <w:sz w:val="18"/>
          <w:szCs w:val="18"/>
          <w:vertAlign w:val="subscript"/>
        </w:rPr>
        <w:t>4</w:t>
      </w:r>
      <w:r w:rsidRPr="00315F0A">
        <w:rPr>
          <w:rFonts w:cstheme="minorHAnsi"/>
        </w:rPr>
        <w:t>‐P for the synthetic and real wastewater permeates, respectively).</w:t>
      </w:r>
    </w:p>
    <w:p w14:paraId="171E7C57" w14:textId="77777777" w:rsidR="00596CAE" w:rsidRPr="00315F0A" w:rsidRDefault="00596CAE" w:rsidP="00883CB4">
      <w:pPr>
        <w:rPr>
          <w:rFonts w:cstheme="minorHAnsi"/>
        </w:rPr>
      </w:pPr>
      <w:r w:rsidRPr="00315F0A">
        <w:rPr>
          <w:rFonts w:cstheme="minorHAnsi"/>
        </w:rPr>
        <w:t>Column tests showed removal and recovery of NH</w:t>
      </w:r>
      <w:r w:rsidRPr="00315F0A">
        <w:rPr>
          <w:rFonts w:cstheme="minorHAnsi"/>
          <w:sz w:val="18"/>
          <w:szCs w:val="18"/>
          <w:vertAlign w:val="subscript"/>
        </w:rPr>
        <w:t>4</w:t>
      </w:r>
      <w:r w:rsidRPr="00315F0A">
        <w:rPr>
          <w:rFonts w:cstheme="minorHAnsi"/>
          <w:sz w:val="18"/>
          <w:szCs w:val="18"/>
          <w:vertAlign w:val="superscript"/>
        </w:rPr>
        <w:t>+</w:t>
      </w:r>
      <w:r w:rsidRPr="00315F0A">
        <w:rPr>
          <w:rFonts w:cstheme="minorHAnsi"/>
        </w:rPr>
        <w:t> using clinoptilolite; however, less than 50% of the removed fraction of NH</w:t>
      </w:r>
      <w:r w:rsidRPr="00315F0A">
        <w:rPr>
          <w:rFonts w:cstheme="minorHAnsi"/>
          <w:sz w:val="18"/>
          <w:szCs w:val="18"/>
          <w:vertAlign w:val="subscript"/>
        </w:rPr>
        <w:t>4</w:t>
      </w:r>
      <w:r w:rsidRPr="00315F0A">
        <w:rPr>
          <w:rFonts w:cstheme="minorHAnsi"/>
        </w:rPr>
        <w:t>‐N was recovered in nearly all regeneration experiments. Thus, future improvements in regeneration conditions are desirable to achieve greater desorption of captured NH</w:t>
      </w:r>
      <w:r w:rsidRPr="00315F0A">
        <w:rPr>
          <w:rFonts w:cstheme="minorHAnsi"/>
          <w:sz w:val="18"/>
          <w:szCs w:val="18"/>
          <w:vertAlign w:val="subscript"/>
        </w:rPr>
        <w:t>4</w:t>
      </w:r>
      <w:r w:rsidRPr="00315F0A">
        <w:rPr>
          <w:rFonts w:cstheme="minorHAnsi"/>
          <w:sz w:val="18"/>
          <w:szCs w:val="18"/>
          <w:vertAlign w:val="superscript"/>
        </w:rPr>
        <w:t>+</w:t>
      </w:r>
      <w:r w:rsidRPr="00315F0A">
        <w:rPr>
          <w:rFonts w:cstheme="minorHAnsi"/>
        </w:rPr>
        <w:t> during regeneration, thereby improving subsequent exchange capacities. Precipitation tests using column regenerants indicated that products other than pure struvite were being precipitated, as a 1:1:1 molar ratio of Mg:NH</w:t>
      </w:r>
      <w:r w:rsidRPr="00315F0A">
        <w:rPr>
          <w:rFonts w:cstheme="minorHAnsi"/>
          <w:sz w:val="18"/>
          <w:szCs w:val="18"/>
          <w:vertAlign w:val="subscript"/>
        </w:rPr>
        <w:t>4</w:t>
      </w:r>
      <w:r w:rsidRPr="00315F0A">
        <w:rPr>
          <w:rFonts w:cstheme="minorHAnsi"/>
        </w:rPr>
        <w:t>:PO</w:t>
      </w:r>
      <w:r w:rsidRPr="00315F0A">
        <w:rPr>
          <w:rFonts w:cstheme="minorHAnsi"/>
          <w:sz w:val="18"/>
          <w:szCs w:val="18"/>
          <w:vertAlign w:val="subscript"/>
        </w:rPr>
        <w:t>4</w:t>
      </w:r>
      <w:r w:rsidRPr="00315F0A">
        <w:rPr>
          <w:rFonts w:cstheme="minorHAnsi"/>
        </w:rPr>
        <w:t> was not consistently achieved.</w:t>
      </w:r>
    </w:p>
    <w:p w14:paraId="0794DA95" w14:textId="77777777" w:rsidR="00596CAE" w:rsidRPr="00315F0A" w:rsidRDefault="00596CAE" w:rsidP="00883CB4">
      <w:pPr>
        <w:rPr>
          <w:rFonts w:cstheme="minorHAnsi"/>
        </w:rPr>
      </w:pPr>
      <w:r w:rsidRPr="00315F0A">
        <w:rPr>
          <w:rFonts w:cstheme="minorHAnsi"/>
        </w:rPr>
        <w:t>To provide an alternate, more sustainable nutrient source, ion exchange‐precipitation for the removal and recovery of PO</w:t>
      </w:r>
      <w:r w:rsidRPr="00315F0A">
        <w:rPr>
          <w:rFonts w:cstheme="minorHAnsi"/>
          <w:sz w:val="18"/>
          <w:szCs w:val="18"/>
          <w:vertAlign w:val="subscript"/>
        </w:rPr>
        <w:t>4</w:t>
      </w:r>
      <w:r w:rsidRPr="00315F0A">
        <w:rPr>
          <w:rFonts w:cstheme="minorHAnsi"/>
          <w:sz w:val="18"/>
          <w:szCs w:val="18"/>
          <w:vertAlign w:val="superscript"/>
        </w:rPr>
        <w:t>3−</w:t>
      </w:r>
      <w:r w:rsidRPr="00315F0A">
        <w:rPr>
          <w:rFonts w:cstheme="minorHAnsi"/>
        </w:rPr>
        <w:t> and NH</w:t>
      </w:r>
      <w:r w:rsidRPr="00315F0A">
        <w:rPr>
          <w:rFonts w:cstheme="minorHAnsi"/>
          <w:sz w:val="18"/>
          <w:szCs w:val="18"/>
          <w:vertAlign w:val="subscript"/>
        </w:rPr>
        <w:t>4</w:t>
      </w:r>
      <w:r w:rsidRPr="00315F0A">
        <w:rPr>
          <w:rFonts w:cstheme="minorHAnsi"/>
          <w:sz w:val="18"/>
          <w:szCs w:val="18"/>
          <w:vertAlign w:val="superscript"/>
        </w:rPr>
        <w:t>+</w:t>
      </w:r>
      <w:r w:rsidRPr="00315F0A">
        <w:rPr>
          <w:rFonts w:cstheme="minorHAnsi"/>
        </w:rPr>
        <w:t> from AnMBR permeate is a promising technology. Figure </w:t>
      </w:r>
      <w:hyperlink r:id="rId75" w:anchor="wer1080-fig-0007" w:history="1">
        <w:r w:rsidRPr="00315F0A">
          <w:rPr>
            <w:rStyle w:val="Hyperlink"/>
            <w:rFonts w:eastAsiaTheme="majorEastAsia" w:cstheme="minorHAnsi"/>
            <w:b/>
            <w:bCs/>
            <w:color w:val="005274"/>
          </w:rPr>
          <w:t>7</w:t>
        </w:r>
      </w:hyperlink>
      <w:r w:rsidRPr="00315F0A">
        <w:rPr>
          <w:rFonts w:cstheme="minorHAnsi"/>
        </w:rPr>
        <w:t> illustrates how ion exchange‐precipitation nutrient recovery may be implemented in a wastewater treatment operation downstream of AnMBR treatment to achieve a more sustainable operation using wastewater as a resource for recovery of both energy and nutrients.</w:t>
      </w:r>
    </w:p>
    <w:p w14:paraId="74922E1A" w14:textId="65FF0843" w:rsidR="00596CAE" w:rsidRPr="00315F0A" w:rsidRDefault="00596CAE" w:rsidP="00AC600B">
      <w:pPr>
        <w:pStyle w:val="NoSpacing"/>
      </w:pPr>
      <w:r w:rsidRPr="00315F0A">
        <w:rPr>
          <w:noProof/>
        </w:rPr>
        <w:drawing>
          <wp:inline distT="0" distB="0" distL="0" distR="0" wp14:anchorId="1010FFD4" wp14:editId="59253B18">
            <wp:extent cx="2743200" cy="1417320"/>
            <wp:effectExtent l="0" t="0" r="0" b="0"/>
            <wp:docPr id="1" name="Picture 1" descr="Figure 7 Nutrient recovery process diagram using results from the laboratory‐scale AnMBR treating synthetic wastewater followed by ion exchange colum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5E8CAC4F" w14:textId="04EDFDF6" w:rsidR="00596CAE" w:rsidRPr="00315F0A" w:rsidRDefault="00596CAE" w:rsidP="00596CAE">
      <w:pPr>
        <w:rPr>
          <w:rFonts w:cstheme="minorHAnsi"/>
        </w:rPr>
      </w:pPr>
      <w:r w:rsidRPr="00315F0A">
        <w:rPr>
          <w:rStyle w:val="Strong"/>
          <w:rFonts w:cstheme="minorHAnsi"/>
          <w:color w:val="212121"/>
        </w:rPr>
        <w:t>Figure 7</w:t>
      </w:r>
      <w:r w:rsidR="00AC600B">
        <w:rPr>
          <w:rStyle w:val="Strong"/>
          <w:rFonts w:cstheme="minorHAnsi"/>
          <w:color w:val="212121"/>
        </w:rPr>
        <w:t xml:space="preserve"> </w:t>
      </w:r>
      <w:r w:rsidRPr="00315F0A">
        <w:rPr>
          <w:rFonts w:cstheme="minorHAnsi"/>
        </w:rPr>
        <w:t>Nutrient recovery process diagram using results from the laboratory‐scale AnMBR treating synthetic wastewater followed by ion exchange columns.</w:t>
      </w:r>
    </w:p>
    <w:p w14:paraId="55BB2EEF" w14:textId="77777777" w:rsidR="00596CAE" w:rsidRPr="00315F0A" w:rsidRDefault="00596CAE" w:rsidP="00883CB4">
      <w:pPr>
        <w:pStyle w:val="Heading1"/>
        <w:rPr>
          <w:rFonts w:asciiTheme="minorHAnsi" w:hAnsiTheme="minorHAnsi" w:cstheme="minorHAnsi"/>
        </w:rPr>
      </w:pPr>
      <w:r w:rsidRPr="00315F0A">
        <w:rPr>
          <w:rFonts w:asciiTheme="minorHAnsi" w:hAnsiTheme="minorHAnsi" w:cstheme="minorHAnsi"/>
        </w:rPr>
        <w:t>Acknowledgments</w:t>
      </w:r>
    </w:p>
    <w:p w14:paraId="090477AB" w14:textId="77777777" w:rsidR="00596CAE" w:rsidRPr="00315F0A" w:rsidRDefault="00596CAE" w:rsidP="00883CB4">
      <w:pPr>
        <w:rPr>
          <w:rFonts w:cstheme="minorHAnsi"/>
        </w:rPr>
      </w:pPr>
      <w:r w:rsidRPr="00315F0A">
        <w:rPr>
          <w:rFonts w:cstheme="minorHAnsi"/>
        </w:rPr>
        <w:t>This project was supported by Xylem Corporation. The authors thank Dr. Matt Seib for operation of the AnMBR used to treat wastewater ahead of the ion exchange tests performed in this study. We also greatly appreciate Mr. Mike Dollhopf's assistance with ICP‐MS analyses and Dr. Ray Fournelle's assistance with SEM and EDS.</w:t>
      </w:r>
    </w:p>
    <w:p w14:paraId="7FA22E63" w14:textId="4D0BA1E1" w:rsidR="00596CAE" w:rsidRPr="00315F0A" w:rsidRDefault="00A322AD" w:rsidP="00A322AD">
      <w:pPr>
        <w:pStyle w:val="Heading1"/>
        <w:rPr>
          <w:rFonts w:asciiTheme="minorHAnsi" w:hAnsiTheme="minorHAnsi" w:cstheme="minorHAnsi"/>
        </w:rPr>
      </w:pPr>
      <w:r w:rsidRPr="00315F0A">
        <w:rPr>
          <w:rFonts w:asciiTheme="minorHAnsi" w:hAnsiTheme="minorHAnsi" w:cstheme="minorHAnsi"/>
        </w:rPr>
        <w:t>References</w:t>
      </w:r>
    </w:p>
    <w:p w14:paraId="0398F544" w14:textId="77777777" w:rsidR="006C52B1" w:rsidRPr="00315F0A" w:rsidRDefault="006C52B1" w:rsidP="00AC600B">
      <w:pPr>
        <w:numPr>
          <w:ilvl w:val="0"/>
          <w:numId w:val="4"/>
        </w:numPr>
        <w:spacing w:after="0"/>
        <w:rPr>
          <w:rFonts w:cstheme="minorHAnsi"/>
        </w:rPr>
      </w:pPr>
      <w:r w:rsidRPr="00315F0A">
        <w:rPr>
          <w:rFonts w:cstheme="minorHAnsi"/>
        </w:rPr>
        <w:t>APHA; AWWA; WEF. (2012). </w:t>
      </w:r>
      <w:r w:rsidRPr="00315F0A">
        <w:rPr>
          <w:rFonts w:cstheme="minorHAnsi"/>
          <w:i/>
          <w:iCs/>
        </w:rPr>
        <w:t>Standard methods for the examination of water and wastewater</w:t>
      </w:r>
      <w:r w:rsidRPr="00315F0A">
        <w:rPr>
          <w:rFonts w:cstheme="minorHAnsi"/>
        </w:rPr>
        <w:t>, 22nd edn ( E.W. Rice, R.B. Baird, A.D. Eaton &amp; RS Clesceri, Eds.). Washington, D.C.: American Public Health Association, American Water Works Association, and Water Environment Federation.</w:t>
      </w:r>
    </w:p>
    <w:p w14:paraId="60FFA0DC" w14:textId="77777777" w:rsidR="006C52B1" w:rsidRPr="00315F0A" w:rsidRDefault="006C52B1" w:rsidP="00AC600B">
      <w:pPr>
        <w:numPr>
          <w:ilvl w:val="0"/>
          <w:numId w:val="4"/>
        </w:numPr>
        <w:spacing w:after="0"/>
        <w:rPr>
          <w:rFonts w:cstheme="minorHAnsi"/>
        </w:rPr>
      </w:pPr>
      <w:r w:rsidRPr="00315F0A">
        <w:rPr>
          <w:rFonts w:cstheme="minorHAnsi"/>
        </w:rPr>
        <w:t>de‐Bashan, L. E., &amp; Bashan, Y. (2004). Recent advances in removing phosphorus from wastewater and its future use as fertilizer (1997‐2003). </w:t>
      </w:r>
      <w:r w:rsidRPr="00315F0A">
        <w:rPr>
          <w:rFonts w:cstheme="minorHAnsi"/>
          <w:i/>
          <w:iCs/>
        </w:rPr>
        <w:t>Water Research</w:t>
      </w:r>
      <w:r w:rsidRPr="00315F0A">
        <w:rPr>
          <w:rFonts w:cstheme="minorHAnsi"/>
        </w:rPr>
        <w:t>, </w:t>
      </w:r>
      <w:r w:rsidRPr="00315F0A">
        <w:rPr>
          <w:rFonts w:cstheme="minorHAnsi"/>
          <w:b/>
          <w:bCs/>
        </w:rPr>
        <w:t>38</w:t>
      </w:r>
      <w:r w:rsidRPr="00315F0A">
        <w:rPr>
          <w:rFonts w:cstheme="minorHAnsi"/>
        </w:rPr>
        <w:t>( 19), 4222– 4246.</w:t>
      </w:r>
    </w:p>
    <w:p w14:paraId="0A86ED8F" w14:textId="77777777" w:rsidR="006C52B1" w:rsidRPr="00315F0A" w:rsidRDefault="006C52B1" w:rsidP="00AC600B">
      <w:pPr>
        <w:numPr>
          <w:ilvl w:val="0"/>
          <w:numId w:val="4"/>
        </w:numPr>
        <w:spacing w:after="0"/>
        <w:rPr>
          <w:rFonts w:cstheme="minorHAnsi"/>
        </w:rPr>
      </w:pPr>
      <w:r w:rsidRPr="00315F0A">
        <w:rPr>
          <w:rFonts w:cstheme="minorHAnsi"/>
        </w:rPr>
        <w:t>Blaney, L. M., Cinar, S., &amp; SenGupta, A. K. (2007). Hybrid anion exchanger for trace phosphate removal from water and wastewater. </w:t>
      </w:r>
      <w:r w:rsidRPr="00315F0A">
        <w:rPr>
          <w:rFonts w:cstheme="minorHAnsi"/>
          <w:i/>
          <w:iCs/>
        </w:rPr>
        <w:t>Water Research</w:t>
      </w:r>
      <w:r w:rsidRPr="00315F0A">
        <w:rPr>
          <w:rFonts w:cstheme="minorHAnsi"/>
        </w:rPr>
        <w:t>, </w:t>
      </w:r>
      <w:r w:rsidRPr="00315F0A">
        <w:rPr>
          <w:rFonts w:cstheme="minorHAnsi"/>
          <w:b/>
          <w:bCs/>
        </w:rPr>
        <w:t>41</w:t>
      </w:r>
      <w:r w:rsidRPr="00315F0A">
        <w:rPr>
          <w:rFonts w:cstheme="minorHAnsi"/>
        </w:rPr>
        <w:t>( 7), 1603– 1613.</w:t>
      </w:r>
    </w:p>
    <w:p w14:paraId="39B16C06" w14:textId="77777777" w:rsidR="006C52B1" w:rsidRPr="00315F0A" w:rsidRDefault="006C52B1" w:rsidP="00AC600B">
      <w:pPr>
        <w:numPr>
          <w:ilvl w:val="0"/>
          <w:numId w:val="4"/>
        </w:numPr>
        <w:spacing w:after="0"/>
        <w:rPr>
          <w:rFonts w:cstheme="minorHAnsi"/>
        </w:rPr>
      </w:pPr>
      <w:r w:rsidRPr="00315F0A">
        <w:rPr>
          <w:rFonts w:cstheme="minorHAnsi"/>
        </w:rPr>
        <w:t>Cordell, D., Rosemarin, A., Schröder, J. J., &amp; Smit, A. L. (2011). Towards global phosphorus security: A systems framework for phosphorus recovery and reuse options. </w:t>
      </w:r>
      <w:r w:rsidRPr="00315F0A">
        <w:rPr>
          <w:rFonts w:cstheme="minorHAnsi"/>
          <w:i/>
          <w:iCs/>
        </w:rPr>
        <w:t>Chemosphere</w:t>
      </w:r>
      <w:r w:rsidRPr="00315F0A">
        <w:rPr>
          <w:rFonts w:cstheme="minorHAnsi"/>
        </w:rPr>
        <w:t>, </w:t>
      </w:r>
      <w:r w:rsidRPr="00315F0A">
        <w:rPr>
          <w:rFonts w:cstheme="minorHAnsi"/>
          <w:b/>
          <w:bCs/>
        </w:rPr>
        <w:t>84</w:t>
      </w:r>
      <w:r w:rsidRPr="00315F0A">
        <w:rPr>
          <w:rFonts w:cstheme="minorHAnsi"/>
        </w:rPr>
        <w:t>( 6), 747– 758.</w:t>
      </w:r>
    </w:p>
    <w:p w14:paraId="5417FA33" w14:textId="77777777" w:rsidR="006C52B1" w:rsidRPr="00315F0A" w:rsidRDefault="006C52B1" w:rsidP="00AC600B">
      <w:pPr>
        <w:numPr>
          <w:ilvl w:val="0"/>
          <w:numId w:val="4"/>
        </w:numPr>
        <w:spacing w:after="0"/>
        <w:rPr>
          <w:rFonts w:cstheme="minorHAnsi"/>
        </w:rPr>
      </w:pPr>
      <w:r w:rsidRPr="00315F0A">
        <w:rPr>
          <w:rFonts w:cstheme="minorHAnsi"/>
        </w:rPr>
        <w:t>Hao, X., Wang, C., van Loosdrecht, M. C. M., &amp; Hu, Y. (2013). Looking beyond struvite for P‐recovery. </w:t>
      </w:r>
      <w:r w:rsidRPr="00315F0A">
        <w:rPr>
          <w:rFonts w:cstheme="minorHAnsi"/>
          <w:i/>
          <w:iCs/>
        </w:rPr>
        <w:t>Environmental Science and Technology</w:t>
      </w:r>
      <w:r w:rsidRPr="00315F0A">
        <w:rPr>
          <w:rFonts w:cstheme="minorHAnsi"/>
        </w:rPr>
        <w:t>, </w:t>
      </w:r>
      <w:r w:rsidRPr="00315F0A">
        <w:rPr>
          <w:rFonts w:cstheme="minorHAnsi"/>
          <w:b/>
          <w:bCs/>
        </w:rPr>
        <w:t>47</w:t>
      </w:r>
      <w:r w:rsidRPr="00315F0A">
        <w:rPr>
          <w:rFonts w:cstheme="minorHAnsi"/>
        </w:rPr>
        <w:t>( 10), 4965– 4966.</w:t>
      </w:r>
    </w:p>
    <w:p w14:paraId="3BB482AF" w14:textId="77777777" w:rsidR="006C52B1" w:rsidRPr="00315F0A" w:rsidRDefault="006C52B1" w:rsidP="00AC600B">
      <w:pPr>
        <w:numPr>
          <w:ilvl w:val="0"/>
          <w:numId w:val="4"/>
        </w:numPr>
        <w:spacing w:after="0"/>
        <w:rPr>
          <w:rFonts w:cstheme="minorHAnsi"/>
        </w:rPr>
      </w:pPr>
      <w:r w:rsidRPr="00315F0A">
        <w:rPr>
          <w:rFonts w:cstheme="minorHAnsi"/>
        </w:rPr>
        <w:t>Hedström, A. (2001). Ion exchange of ammonium in zeolites: A literature review. </w:t>
      </w:r>
      <w:r w:rsidRPr="00315F0A">
        <w:rPr>
          <w:rFonts w:cstheme="minorHAnsi"/>
          <w:i/>
          <w:iCs/>
        </w:rPr>
        <w:t>Journal of Environmental Engineering</w:t>
      </w:r>
      <w:r w:rsidRPr="00315F0A">
        <w:rPr>
          <w:rFonts w:cstheme="minorHAnsi"/>
        </w:rPr>
        <w:t>, </w:t>
      </w:r>
      <w:r w:rsidRPr="00315F0A">
        <w:rPr>
          <w:rFonts w:cstheme="minorHAnsi"/>
          <w:b/>
          <w:bCs/>
        </w:rPr>
        <w:t>127</w:t>
      </w:r>
      <w:r w:rsidRPr="00315F0A">
        <w:rPr>
          <w:rFonts w:cstheme="minorHAnsi"/>
        </w:rPr>
        <w:t>( 8), 673– 681.</w:t>
      </w:r>
    </w:p>
    <w:p w14:paraId="67E5EC67" w14:textId="77777777" w:rsidR="006C52B1" w:rsidRPr="00315F0A" w:rsidRDefault="006C52B1" w:rsidP="00AC600B">
      <w:pPr>
        <w:numPr>
          <w:ilvl w:val="0"/>
          <w:numId w:val="4"/>
        </w:numPr>
        <w:spacing w:after="0"/>
        <w:rPr>
          <w:rFonts w:cstheme="minorHAnsi"/>
        </w:rPr>
      </w:pPr>
      <w:r w:rsidRPr="00315F0A">
        <w:rPr>
          <w:rFonts w:cstheme="minorHAnsi"/>
        </w:rPr>
        <w:t>Le Corre, K. S., Valsami‐Jones, E., Hobbs, P., &amp; Parsons, S. A. (2005) Impact of calcium on struvite crystal size, shape and purity. </w:t>
      </w:r>
      <w:r w:rsidRPr="00315F0A">
        <w:rPr>
          <w:rFonts w:cstheme="minorHAnsi"/>
          <w:i/>
          <w:iCs/>
        </w:rPr>
        <w:t>Journal of Crystal Growth</w:t>
      </w:r>
      <w:r w:rsidRPr="00315F0A">
        <w:rPr>
          <w:rFonts w:cstheme="minorHAnsi"/>
        </w:rPr>
        <w:t>, </w:t>
      </w:r>
      <w:r w:rsidRPr="00315F0A">
        <w:rPr>
          <w:rFonts w:cstheme="minorHAnsi"/>
          <w:b/>
          <w:bCs/>
        </w:rPr>
        <w:t>283</w:t>
      </w:r>
      <w:r w:rsidRPr="00315F0A">
        <w:rPr>
          <w:rFonts w:cstheme="minorHAnsi"/>
        </w:rPr>
        <w:t> ( 3–4), 514– 522.</w:t>
      </w:r>
    </w:p>
    <w:p w14:paraId="0FEF6FE4" w14:textId="77777777" w:rsidR="006C52B1" w:rsidRPr="00315F0A" w:rsidRDefault="006C52B1" w:rsidP="00AC600B">
      <w:pPr>
        <w:numPr>
          <w:ilvl w:val="0"/>
          <w:numId w:val="4"/>
        </w:numPr>
        <w:spacing w:after="0"/>
        <w:rPr>
          <w:rFonts w:cstheme="minorHAnsi"/>
        </w:rPr>
      </w:pPr>
      <w:r w:rsidRPr="00315F0A">
        <w:rPr>
          <w:rFonts w:cstheme="minorHAnsi"/>
        </w:rPr>
        <w:lastRenderedPageBreak/>
        <w:t>Mayer, B. K., Baker, L. A., Boyer, T. H., Drechsel, P., Gifford, M., Hanjra, M. A., Parameswaran, P., Stoltzfus, J., Westerhoff, P., &amp; Rittmann, B. E. (2016). Total value of phosphorus recovery. </w:t>
      </w:r>
      <w:r w:rsidRPr="00315F0A">
        <w:rPr>
          <w:rFonts w:cstheme="minorHAnsi"/>
          <w:i/>
          <w:iCs/>
        </w:rPr>
        <w:t>Environmental Science and Technology</w:t>
      </w:r>
      <w:r w:rsidRPr="00315F0A">
        <w:rPr>
          <w:rFonts w:cstheme="minorHAnsi"/>
        </w:rPr>
        <w:t>, </w:t>
      </w:r>
      <w:r w:rsidRPr="00315F0A">
        <w:rPr>
          <w:rFonts w:cstheme="minorHAnsi"/>
          <w:b/>
          <w:bCs/>
        </w:rPr>
        <w:t>50</w:t>
      </w:r>
      <w:r w:rsidRPr="00315F0A">
        <w:rPr>
          <w:rFonts w:cstheme="minorHAnsi"/>
        </w:rPr>
        <w:t>( 13), 6606– 6620.</w:t>
      </w:r>
    </w:p>
    <w:p w14:paraId="0982C952" w14:textId="77777777" w:rsidR="006C52B1" w:rsidRPr="00315F0A" w:rsidRDefault="006C52B1" w:rsidP="00AC600B">
      <w:pPr>
        <w:numPr>
          <w:ilvl w:val="0"/>
          <w:numId w:val="4"/>
        </w:numPr>
        <w:spacing w:after="0"/>
        <w:rPr>
          <w:rFonts w:cstheme="minorHAnsi"/>
        </w:rPr>
      </w:pPr>
      <w:r w:rsidRPr="00315F0A">
        <w:rPr>
          <w:rFonts w:cstheme="minorHAnsi"/>
        </w:rPr>
        <w:t>McCarty, P. L., Bae, J., &amp; Kim, J. (2011). Domestic wastewater treatment as a net energy producer–Can this be achieved? </w:t>
      </w:r>
      <w:r w:rsidRPr="00315F0A">
        <w:rPr>
          <w:rFonts w:cstheme="minorHAnsi"/>
          <w:i/>
          <w:iCs/>
        </w:rPr>
        <w:t>Environmental Science and Technology</w:t>
      </w:r>
      <w:r w:rsidRPr="00315F0A">
        <w:rPr>
          <w:rFonts w:cstheme="minorHAnsi"/>
        </w:rPr>
        <w:t>, </w:t>
      </w:r>
      <w:r w:rsidRPr="00315F0A">
        <w:rPr>
          <w:rFonts w:cstheme="minorHAnsi"/>
          <w:b/>
          <w:bCs/>
        </w:rPr>
        <w:t>45</w:t>
      </w:r>
      <w:r w:rsidRPr="00315F0A">
        <w:rPr>
          <w:rFonts w:cstheme="minorHAnsi"/>
        </w:rPr>
        <w:t>( 17), 7100– 7106.</w:t>
      </w:r>
    </w:p>
    <w:p w14:paraId="2754AACA" w14:textId="77777777" w:rsidR="006C52B1" w:rsidRPr="00315F0A" w:rsidRDefault="006C52B1" w:rsidP="00AC600B">
      <w:pPr>
        <w:numPr>
          <w:ilvl w:val="0"/>
          <w:numId w:val="4"/>
        </w:numPr>
        <w:spacing w:after="0"/>
        <w:rPr>
          <w:rFonts w:cstheme="minorHAnsi"/>
        </w:rPr>
      </w:pPr>
      <w:r w:rsidRPr="00315F0A">
        <w:rPr>
          <w:rFonts w:cstheme="minorHAnsi"/>
        </w:rPr>
        <w:t>Morse, G. K., Brett, S. W., Guy, J. A., &amp; Lester, J. N. (1998). Review: Phosphorus removal and recovery technologies. </w:t>
      </w:r>
      <w:r w:rsidRPr="00315F0A">
        <w:rPr>
          <w:rFonts w:cstheme="minorHAnsi"/>
          <w:i/>
          <w:iCs/>
        </w:rPr>
        <w:t>Science of the Total Environment</w:t>
      </w:r>
      <w:r w:rsidRPr="00315F0A">
        <w:rPr>
          <w:rFonts w:cstheme="minorHAnsi"/>
        </w:rPr>
        <w:t>, </w:t>
      </w:r>
      <w:r w:rsidRPr="00315F0A">
        <w:rPr>
          <w:rFonts w:cstheme="minorHAnsi"/>
          <w:b/>
          <w:bCs/>
        </w:rPr>
        <w:t>212</w:t>
      </w:r>
      <w:r w:rsidRPr="00315F0A">
        <w:rPr>
          <w:rFonts w:cstheme="minorHAnsi"/>
        </w:rPr>
        <w:t>( 1), 69– 81.</w:t>
      </w:r>
    </w:p>
    <w:p w14:paraId="15C8C240" w14:textId="77777777" w:rsidR="006C52B1" w:rsidRPr="00315F0A" w:rsidRDefault="006C52B1" w:rsidP="00AC600B">
      <w:pPr>
        <w:numPr>
          <w:ilvl w:val="0"/>
          <w:numId w:val="4"/>
        </w:numPr>
        <w:spacing w:after="0"/>
        <w:rPr>
          <w:rFonts w:cstheme="minorHAnsi"/>
        </w:rPr>
      </w:pPr>
      <w:r w:rsidRPr="00315F0A">
        <w:rPr>
          <w:rFonts w:cstheme="minorHAnsi"/>
        </w:rPr>
        <w:t>Petruzzelli, D., Dell'Erba, A., Liberti, L., Notarnicola, M., &amp; Sengupta, A. K. (2004). A phosphate‐selective sorbent for the REM NUT</w:t>
      </w:r>
      <w:r w:rsidRPr="00315F0A">
        <w:rPr>
          <w:rFonts w:cstheme="minorHAnsi"/>
          <w:vertAlign w:val="superscript"/>
        </w:rPr>
        <w:t>®</w:t>
      </w:r>
      <w:r w:rsidRPr="00315F0A">
        <w:rPr>
          <w:rFonts w:cstheme="minorHAnsi"/>
        </w:rPr>
        <w:t> process: Field experience at Massafra Wastewater Treatment Plant. </w:t>
      </w:r>
      <w:r w:rsidRPr="00315F0A">
        <w:rPr>
          <w:rFonts w:cstheme="minorHAnsi"/>
          <w:i/>
          <w:iCs/>
        </w:rPr>
        <w:t>Reactive &amp; Functional Polymers</w:t>
      </w:r>
      <w:r w:rsidRPr="00315F0A">
        <w:rPr>
          <w:rFonts w:cstheme="minorHAnsi"/>
        </w:rPr>
        <w:t>, </w:t>
      </w:r>
      <w:r w:rsidRPr="00315F0A">
        <w:rPr>
          <w:rFonts w:cstheme="minorHAnsi"/>
          <w:b/>
          <w:bCs/>
        </w:rPr>
        <w:t>60</w:t>
      </w:r>
      <w:r w:rsidRPr="00315F0A">
        <w:rPr>
          <w:rFonts w:cstheme="minorHAnsi"/>
        </w:rPr>
        <w:t>, 195– 202.</w:t>
      </w:r>
    </w:p>
    <w:p w14:paraId="50BBE961" w14:textId="77777777" w:rsidR="006C52B1" w:rsidRPr="00315F0A" w:rsidRDefault="006C52B1" w:rsidP="00AC600B">
      <w:pPr>
        <w:numPr>
          <w:ilvl w:val="0"/>
          <w:numId w:val="4"/>
        </w:numPr>
        <w:spacing w:after="0"/>
        <w:rPr>
          <w:rFonts w:cstheme="minorHAnsi"/>
        </w:rPr>
      </w:pPr>
      <w:r w:rsidRPr="00315F0A">
        <w:rPr>
          <w:rFonts w:cstheme="minorHAnsi"/>
        </w:rPr>
        <w:t>Rittmann, B. E., Mayer, B., Westerhoff, P., &amp; Edwards, M. (2011). Capturing the lost phosphorus. </w:t>
      </w:r>
      <w:r w:rsidRPr="00315F0A">
        <w:rPr>
          <w:rFonts w:cstheme="minorHAnsi"/>
          <w:i/>
          <w:iCs/>
        </w:rPr>
        <w:t>Chemosphere</w:t>
      </w:r>
      <w:r w:rsidRPr="00315F0A">
        <w:rPr>
          <w:rFonts w:cstheme="minorHAnsi"/>
        </w:rPr>
        <w:t>, </w:t>
      </w:r>
      <w:r w:rsidRPr="00315F0A">
        <w:rPr>
          <w:rFonts w:cstheme="minorHAnsi"/>
          <w:b/>
          <w:bCs/>
        </w:rPr>
        <w:t>84</w:t>
      </w:r>
      <w:r w:rsidRPr="00315F0A">
        <w:rPr>
          <w:rFonts w:cstheme="minorHAnsi"/>
        </w:rPr>
        <w:t>( 6), 846– 853.</w:t>
      </w:r>
    </w:p>
    <w:p w14:paraId="7CB65CBE" w14:textId="77777777" w:rsidR="006C52B1" w:rsidRPr="00315F0A" w:rsidRDefault="006C52B1" w:rsidP="00AC600B">
      <w:pPr>
        <w:numPr>
          <w:ilvl w:val="0"/>
          <w:numId w:val="4"/>
        </w:numPr>
        <w:spacing w:after="0"/>
        <w:rPr>
          <w:rFonts w:cstheme="minorHAnsi"/>
        </w:rPr>
      </w:pPr>
      <w:r w:rsidRPr="00315F0A">
        <w:rPr>
          <w:rFonts w:cstheme="minorHAnsi"/>
        </w:rPr>
        <w:t>Seib, M. D., Berg, K. J., &amp; Zitomer, D. H. (2016). Low energy anaerobic membrane bioreactor for municipal wastewater treatment. </w:t>
      </w:r>
      <w:r w:rsidRPr="00315F0A">
        <w:rPr>
          <w:rFonts w:cstheme="minorHAnsi"/>
          <w:i/>
          <w:iCs/>
        </w:rPr>
        <w:t>Journal of Membrane Science</w:t>
      </w:r>
      <w:r w:rsidRPr="00315F0A">
        <w:rPr>
          <w:rFonts w:cstheme="minorHAnsi"/>
        </w:rPr>
        <w:t>, </w:t>
      </w:r>
      <w:r w:rsidRPr="00315F0A">
        <w:rPr>
          <w:rFonts w:cstheme="minorHAnsi"/>
          <w:b/>
          <w:bCs/>
        </w:rPr>
        <w:t>514</w:t>
      </w:r>
      <w:r w:rsidRPr="00315F0A">
        <w:rPr>
          <w:rFonts w:cstheme="minorHAnsi"/>
        </w:rPr>
        <w:t>, 450– 457.</w:t>
      </w:r>
    </w:p>
    <w:p w14:paraId="4FBE5045" w14:textId="77777777" w:rsidR="006C52B1" w:rsidRPr="00315F0A" w:rsidRDefault="006C52B1" w:rsidP="00AC600B">
      <w:pPr>
        <w:numPr>
          <w:ilvl w:val="0"/>
          <w:numId w:val="4"/>
        </w:numPr>
        <w:spacing w:after="0"/>
        <w:rPr>
          <w:rFonts w:cstheme="minorHAnsi"/>
        </w:rPr>
      </w:pPr>
      <w:r w:rsidRPr="00315F0A">
        <w:rPr>
          <w:rFonts w:cstheme="minorHAnsi"/>
        </w:rPr>
        <w:t>Sengupta, S. (2013). Macronutrient removal and recovery from tertiary treatment of wastewater. </w:t>
      </w:r>
      <w:r w:rsidRPr="00315F0A">
        <w:rPr>
          <w:rFonts w:cstheme="minorHAnsi"/>
          <w:i/>
          <w:iCs/>
        </w:rPr>
        <w:t>Nov. Solut. Water Pollution</w:t>
      </w:r>
      <w:r w:rsidRPr="00315F0A">
        <w:rPr>
          <w:rFonts w:cstheme="minorHAnsi"/>
        </w:rPr>
        <w:t>, </w:t>
      </w:r>
      <w:r w:rsidRPr="00315F0A">
        <w:rPr>
          <w:rFonts w:cstheme="minorHAnsi"/>
          <w:b/>
          <w:bCs/>
        </w:rPr>
        <w:t>1123</w:t>
      </w:r>
      <w:r w:rsidRPr="00315F0A">
        <w:rPr>
          <w:rFonts w:cstheme="minorHAnsi"/>
        </w:rPr>
        <w:t>, 167– 187.</w:t>
      </w:r>
    </w:p>
    <w:p w14:paraId="301962E3" w14:textId="77777777" w:rsidR="006C52B1" w:rsidRPr="00315F0A" w:rsidRDefault="006C52B1" w:rsidP="00AC600B">
      <w:pPr>
        <w:numPr>
          <w:ilvl w:val="0"/>
          <w:numId w:val="4"/>
        </w:numPr>
        <w:spacing w:after="0"/>
        <w:rPr>
          <w:rFonts w:cstheme="minorHAnsi"/>
        </w:rPr>
      </w:pPr>
      <w:r w:rsidRPr="00315F0A">
        <w:rPr>
          <w:rFonts w:cstheme="minorHAnsi"/>
        </w:rPr>
        <w:t>Sengupta, S., &amp; Pandit, A. (2011). Selective removal of phosphorus from wastewater combined with its recovery as a solid‐phase fertilizer. </w:t>
      </w:r>
      <w:r w:rsidRPr="00315F0A">
        <w:rPr>
          <w:rFonts w:cstheme="minorHAnsi"/>
          <w:i/>
          <w:iCs/>
        </w:rPr>
        <w:t>Water Research</w:t>
      </w:r>
      <w:r w:rsidRPr="00315F0A">
        <w:rPr>
          <w:rFonts w:cstheme="minorHAnsi"/>
        </w:rPr>
        <w:t>, </w:t>
      </w:r>
      <w:r w:rsidRPr="00315F0A">
        <w:rPr>
          <w:rFonts w:cstheme="minorHAnsi"/>
          <w:b/>
          <w:bCs/>
        </w:rPr>
        <w:t>45</w:t>
      </w:r>
      <w:r w:rsidRPr="00315F0A">
        <w:rPr>
          <w:rFonts w:cstheme="minorHAnsi"/>
        </w:rPr>
        <w:t>( 11), 3318– 3330.</w:t>
      </w:r>
    </w:p>
    <w:p w14:paraId="0DCE6BDC" w14:textId="77777777" w:rsidR="006C52B1" w:rsidRPr="00315F0A" w:rsidRDefault="006C52B1" w:rsidP="00AC600B">
      <w:pPr>
        <w:numPr>
          <w:ilvl w:val="0"/>
          <w:numId w:val="4"/>
        </w:numPr>
        <w:spacing w:after="0"/>
        <w:rPr>
          <w:rFonts w:cstheme="minorHAnsi"/>
        </w:rPr>
      </w:pPr>
      <w:r w:rsidRPr="00315F0A">
        <w:rPr>
          <w:rFonts w:cstheme="minorHAnsi"/>
        </w:rPr>
        <w:t>Speece, R. E. (2008). </w:t>
      </w:r>
      <w:r w:rsidRPr="00315F0A">
        <w:rPr>
          <w:rFonts w:cstheme="minorHAnsi"/>
          <w:i/>
          <w:iCs/>
        </w:rPr>
        <w:t>Anaerobic biotechnology and odor/corrosion control for municipalities and industries</w:t>
      </w:r>
      <w:r w:rsidRPr="00315F0A">
        <w:rPr>
          <w:rFonts w:cstheme="minorHAnsi"/>
        </w:rPr>
        <w:t>. Nashville, TN: Archae Press.</w:t>
      </w:r>
    </w:p>
    <w:p w14:paraId="52124924" w14:textId="77777777" w:rsidR="006C52B1" w:rsidRPr="00315F0A" w:rsidRDefault="006C52B1" w:rsidP="00AC600B">
      <w:pPr>
        <w:numPr>
          <w:ilvl w:val="0"/>
          <w:numId w:val="4"/>
        </w:numPr>
        <w:spacing w:after="0"/>
        <w:rPr>
          <w:rFonts w:cstheme="minorHAnsi"/>
        </w:rPr>
      </w:pPr>
      <w:r w:rsidRPr="00315F0A">
        <w:rPr>
          <w:rFonts w:cstheme="minorHAnsi"/>
        </w:rPr>
        <w:t>Williams, A. T. (2013) Ion exchange nutrient recovery from municipal wastewater. M.S.Thesis, Marquette University.</w:t>
      </w:r>
    </w:p>
    <w:p w14:paraId="0EFF8C21" w14:textId="77777777" w:rsidR="006C52B1" w:rsidRPr="00315F0A" w:rsidRDefault="006C52B1" w:rsidP="00AC600B">
      <w:pPr>
        <w:numPr>
          <w:ilvl w:val="0"/>
          <w:numId w:val="4"/>
        </w:numPr>
        <w:spacing w:after="0"/>
        <w:rPr>
          <w:rFonts w:cstheme="minorHAnsi"/>
        </w:rPr>
      </w:pPr>
      <w:r w:rsidRPr="00315F0A">
        <w:rPr>
          <w:rFonts w:cstheme="minorHAnsi"/>
        </w:rPr>
        <w:t>Williams, A. T., &amp; Mayer, B. K. (2013). </w:t>
      </w:r>
      <w:r w:rsidRPr="00315F0A">
        <w:rPr>
          <w:rFonts w:cstheme="minorHAnsi"/>
          <w:i/>
          <w:iCs/>
        </w:rPr>
        <w:t>Advancements in ion exchange processes for municipal wastewater nutrient recovery</w:t>
      </w:r>
      <w:r w:rsidRPr="00315F0A">
        <w:rPr>
          <w:rFonts w:cstheme="minorHAnsi"/>
        </w:rPr>
        <w:t>. Chicago, IL: Proc. Water Environ. Fed. Tech. Exhib. Conf.</w:t>
      </w:r>
    </w:p>
    <w:p w14:paraId="7695E66A" w14:textId="77777777" w:rsidR="006C52B1" w:rsidRPr="00315F0A" w:rsidRDefault="006C52B1" w:rsidP="00AC600B">
      <w:pPr>
        <w:numPr>
          <w:ilvl w:val="0"/>
          <w:numId w:val="4"/>
        </w:numPr>
        <w:spacing w:after="0"/>
        <w:rPr>
          <w:rFonts w:cstheme="minorHAnsi"/>
        </w:rPr>
      </w:pPr>
      <w:r w:rsidRPr="00315F0A">
        <w:rPr>
          <w:rFonts w:cstheme="minorHAnsi"/>
        </w:rPr>
        <w:t>Williams, A. T., Zitomer, D. H., &amp; Mayer, B. K. (2015). Ion exchange‐precipitation for nutrient recovery from dilute wastewater. </w:t>
      </w:r>
      <w:r w:rsidRPr="00315F0A">
        <w:rPr>
          <w:rFonts w:cstheme="minorHAnsi"/>
          <w:i/>
          <w:iCs/>
        </w:rPr>
        <w:t>Environmental Science: Water Research &amp; Technology</w:t>
      </w:r>
      <w:r w:rsidRPr="00315F0A">
        <w:rPr>
          <w:rFonts w:cstheme="minorHAnsi"/>
        </w:rPr>
        <w:t>, </w:t>
      </w:r>
      <w:r w:rsidRPr="00315F0A">
        <w:rPr>
          <w:rFonts w:cstheme="minorHAnsi"/>
          <w:b/>
          <w:bCs/>
        </w:rPr>
        <w:t>1</w:t>
      </w:r>
      <w:r w:rsidRPr="00315F0A">
        <w:rPr>
          <w:rFonts w:cstheme="minorHAnsi"/>
        </w:rPr>
        <w:t>( 6), 832– 838.</w:t>
      </w:r>
    </w:p>
    <w:p w14:paraId="1BD1E8F9" w14:textId="77777777" w:rsidR="006C52B1" w:rsidRPr="00315F0A" w:rsidRDefault="006C52B1" w:rsidP="00AC600B">
      <w:pPr>
        <w:numPr>
          <w:ilvl w:val="0"/>
          <w:numId w:val="4"/>
        </w:numPr>
        <w:spacing w:after="0"/>
        <w:rPr>
          <w:rFonts w:cstheme="minorHAnsi"/>
        </w:rPr>
      </w:pPr>
      <w:r w:rsidRPr="00315F0A">
        <w:rPr>
          <w:rFonts w:cstheme="minorHAnsi"/>
        </w:rPr>
        <w:t>Zhao, D., &amp; Sengupta, A. K. (1998). Ultimate removal of phosphate from wastewater using a new class of polymeric ion exchangers. </w:t>
      </w:r>
      <w:r w:rsidRPr="00315F0A">
        <w:rPr>
          <w:rFonts w:cstheme="minorHAnsi"/>
          <w:i/>
          <w:iCs/>
        </w:rPr>
        <w:t>Water Research</w:t>
      </w:r>
      <w:r w:rsidRPr="00315F0A">
        <w:rPr>
          <w:rFonts w:cstheme="minorHAnsi"/>
        </w:rPr>
        <w:t>, </w:t>
      </w:r>
      <w:r w:rsidRPr="00315F0A">
        <w:rPr>
          <w:rFonts w:cstheme="minorHAnsi"/>
          <w:b/>
          <w:bCs/>
        </w:rPr>
        <w:t>32</w:t>
      </w:r>
      <w:r w:rsidRPr="00315F0A">
        <w:rPr>
          <w:rFonts w:cstheme="minorHAnsi"/>
        </w:rPr>
        <w:t>( 5), 1613– 1625.</w:t>
      </w:r>
    </w:p>
    <w:p w14:paraId="524E2042" w14:textId="77777777" w:rsidR="00A322AD" w:rsidRPr="00315F0A" w:rsidRDefault="00A322AD" w:rsidP="00AC600B">
      <w:pPr>
        <w:spacing w:after="0"/>
        <w:rPr>
          <w:rFonts w:cstheme="minorHAnsi"/>
        </w:rPr>
      </w:pPr>
    </w:p>
    <w:sectPr w:rsidR="00A322AD" w:rsidRPr="00315F0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D7845"/>
    <w:multiLevelType w:val="multilevel"/>
    <w:tmpl w:val="63EE2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8D65A7"/>
    <w:multiLevelType w:val="multilevel"/>
    <w:tmpl w:val="2960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09241C"/>
    <w:multiLevelType w:val="hybridMultilevel"/>
    <w:tmpl w:val="FA5A0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876731"/>
    <w:multiLevelType w:val="multilevel"/>
    <w:tmpl w:val="C8A277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n7ZTBHZDwZiDglyPyWg9ib0Mns0f/2cAifsLoImreayTwjJFo1J4HG5Ka3gJlq7WjQcPCXmoAKuwGiTKuyyCsg==" w:salt="sSO+OLgZECdAKCVRSZ0w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8B6"/>
    <w:rsid w:val="00034205"/>
    <w:rsid w:val="00035704"/>
    <w:rsid w:val="00041C27"/>
    <w:rsid w:val="000437DE"/>
    <w:rsid w:val="00043C8E"/>
    <w:rsid w:val="00044EBA"/>
    <w:rsid w:val="0004637E"/>
    <w:rsid w:val="0004717F"/>
    <w:rsid w:val="0005131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2AD9"/>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3A4"/>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0ED1"/>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6BDC"/>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045"/>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5F0A"/>
    <w:rsid w:val="00324290"/>
    <w:rsid w:val="00331737"/>
    <w:rsid w:val="0033243D"/>
    <w:rsid w:val="0033652E"/>
    <w:rsid w:val="00340617"/>
    <w:rsid w:val="00340B13"/>
    <w:rsid w:val="00340CDB"/>
    <w:rsid w:val="003427C6"/>
    <w:rsid w:val="00343472"/>
    <w:rsid w:val="003455AA"/>
    <w:rsid w:val="00346B4D"/>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EFB"/>
    <w:rsid w:val="00391C48"/>
    <w:rsid w:val="00394337"/>
    <w:rsid w:val="003A437A"/>
    <w:rsid w:val="003A503E"/>
    <w:rsid w:val="003A56B9"/>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3F59"/>
    <w:rsid w:val="004374EF"/>
    <w:rsid w:val="00440F61"/>
    <w:rsid w:val="004441CB"/>
    <w:rsid w:val="00450DB8"/>
    <w:rsid w:val="00453D2C"/>
    <w:rsid w:val="00454851"/>
    <w:rsid w:val="00456070"/>
    <w:rsid w:val="00456329"/>
    <w:rsid w:val="00456B26"/>
    <w:rsid w:val="004570E7"/>
    <w:rsid w:val="00460A1D"/>
    <w:rsid w:val="004613DF"/>
    <w:rsid w:val="00461BB2"/>
    <w:rsid w:val="00463F96"/>
    <w:rsid w:val="004660BE"/>
    <w:rsid w:val="0046696C"/>
    <w:rsid w:val="00466DD7"/>
    <w:rsid w:val="00471F7D"/>
    <w:rsid w:val="00472457"/>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5670"/>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2AFD"/>
    <w:rsid w:val="00563D7B"/>
    <w:rsid w:val="00563E3B"/>
    <w:rsid w:val="005643C8"/>
    <w:rsid w:val="005673D1"/>
    <w:rsid w:val="00570F38"/>
    <w:rsid w:val="00573955"/>
    <w:rsid w:val="00580E33"/>
    <w:rsid w:val="00583225"/>
    <w:rsid w:val="0058724D"/>
    <w:rsid w:val="00596593"/>
    <w:rsid w:val="00596A35"/>
    <w:rsid w:val="00596CAE"/>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4F53"/>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52B1"/>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2E5"/>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12CA"/>
    <w:rsid w:val="007A258F"/>
    <w:rsid w:val="007A3B3A"/>
    <w:rsid w:val="007B012C"/>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114F"/>
    <w:rsid w:val="008825B5"/>
    <w:rsid w:val="00883CB4"/>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2AD"/>
    <w:rsid w:val="00A32FCB"/>
    <w:rsid w:val="00A3561C"/>
    <w:rsid w:val="00A400BC"/>
    <w:rsid w:val="00A40701"/>
    <w:rsid w:val="00A42169"/>
    <w:rsid w:val="00A424F1"/>
    <w:rsid w:val="00A426B2"/>
    <w:rsid w:val="00A45EE8"/>
    <w:rsid w:val="00A465FC"/>
    <w:rsid w:val="00A47B50"/>
    <w:rsid w:val="00A50459"/>
    <w:rsid w:val="00A506CB"/>
    <w:rsid w:val="00A51074"/>
    <w:rsid w:val="00A52369"/>
    <w:rsid w:val="00A52A88"/>
    <w:rsid w:val="00A55701"/>
    <w:rsid w:val="00A56ED1"/>
    <w:rsid w:val="00A648A4"/>
    <w:rsid w:val="00A650B2"/>
    <w:rsid w:val="00A7290A"/>
    <w:rsid w:val="00A75006"/>
    <w:rsid w:val="00A81E28"/>
    <w:rsid w:val="00A82932"/>
    <w:rsid w:val="00A82D07"/>
    <w:rsid w:val="00A85AF3"/>
    <w:rsid w:val="00A868FB"/>
    <w:rsid w:val="00A915ED"/>
    <w:rsid w:val="00A91CF2"/>
    <w:rsid w:val="00A93BA4"/>
    <w:rsid w:val="00A9416E"/>
    <w:rsid w:val="00AA493D"/>
    <w:rsid w:val="00AB4807"/>
    <w:rsid w:val="00AB4813"/>
    <w:rsid w:val="00AC0052"/>
    <w:rsid w:val="00AC04D6"/>
    <w:rsid w:val="00AC600B"/>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07A96"/>
    <w:rsid w:val="00C10BBB"/>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6B6A"/>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1D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37EDB"/>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E7BAB"/>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96CA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96C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596CAE"/>
  </w:style>
  <w:style w:type="character" w:styleId="Hyperlink">
    <w:name w:val="Hyperlink"/>
    <w:basedOn w:val="DefaultParagraphFont"/>
    <w:uiPriority w:val="99"/>
    <w:unhideWhenUsed/>
    <w:rsid w:val="00596CAE"/>
    <w:rPr>
      <w:color w:val="0000FF"/>
      <w:u w:val="single"/>
    </w:rPr>
  </w:style>
  <w:style w:type="character" w:styleId="FollowedHyperlink">
    <w:name w:val="FollowedHyperlink"/>
    <w:basedOn w:val="DefaultParagraphFont"/>
    <w:uiPriority w:val="99"/>
    <w:semiHidden/>
    <w:unhideWhenUsed/>
    <w:rsid w:val="00596CAE"/>
    <w:rPr>
      <w:color w:val="800080"/>
      <w:u w:val="single"/>
    </w:rPr>
  </w:style>
  <w:style w:type="character" w:customStyle="1" w:styleId="table-captionlabel">
    <w:name w:val="table-caption__label"/>
    <w:basedOn w:val="DefaultParagraphFont"/>
    <w:rsid w:val="00596CAE"/>
  </w:style>
  <w:style w:type="character" w:styleId="UnresolvedMention">
    <w:name w:val="Unresolved Mention"/>
    <w:basedOn w:val="DefaultParagraphFont"/>
    <w:uiPriority w:val="99"/>
    <w:semiHidden/>
    <w:unhideWhenUsed/>
    <w:rsid w:val="006C5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443406">
      <w:bodyDiv w:val="1"/>
      <w:marLeft w:val="0"/>
      <w:marRight w:val="0"/>
      <w:marTop w:val="0"/>
      <w:marBottom w:val="0"/>
      <w:divBdr>
        <w:top w:val="none" w:sz="0" w:space="0" w:color="auto"/>
        <w:left w:val="none" w:sz="0" w:space="0" w:color="auto"/>
        <w:bottom w:val="none" w:sz="0" w:space="0" w:color="auto"/>
        <w:right w:val="none" w:sz="0" w:space="0" w:color="auto"/>
      </w:divBdr>
      <w:divsChild>
        <w:div w:id="682901469">
          <w:marLeft w:val="0"/>
          <w:marRight w:val="0"/>
          <w:marTop w:val="0"/>
          <w:marBottom w:val="0"/>
          <w:divBdr>
            <w:top w:val="none" w:sz="0" w:space="0" w:color="auto"/>
            <w:left w:val="none" w:sz="0" w:space="0" w:color="auto"/>
            <w:bottom w:val="none" w:sz="0" w:space="0" w:color="auto"/>
            <w:right w:val="none" w:sz="0" w:space="0" w:color="auto"/>
          </w:divBdr>
        </w:div>
        <w:div w:id="354577371">
          <w:marLeft w:val="0"/>
          <w:marRight w:val="0"/>
          <w:marTop w:val="0"/>
          <w:marBottom w:val="0"/>
          <w:divBdr>
            <w:top w:val="none" w:sz="0" w:space="0" w:color="auto"/>
            <w:left w:val="none" w:sz="0" w:space="0" w:color="auto"/>
            <w:bottom w:val="none" w:sz="0" w:space="0" w:color="auto"/>
            <w:right w:val="none" w:sz="0" w:space="0" w:color="auto"/>
          </w:divBdr>
        </w:div>
        <w:div w:id="1215770723">
          <w:marLeft w:val="0"/>
          <w:marRight w:val="0"/>
          <w:marTop w:val="0"/>
          <w:marBottom w:val="0"/>
          <w:divBdr>
            <w:top w:val="none" w:sz="0" w:space="0" w:color="auto"/>
            <w:left w:val="none" w:sz="0" w:space="0" w:color="auto"/>
            <w:bottom w:val="none" w:sz="0" w:space="0" w:color="auto"/>
            <w:right w:val="none" w:sz="0" w:space="0" w:color="auto"/>
          </w:divBdr>
        </w:div>
        <w:div w:id="1839690102">
          <w:marLeft w:val="0"/>
          <w:marRight w:val="0"/>
          <w:marTop w:val="0"/>
          <w:marBottom w:val="0"/>
          <w:divBdr>
            <w:top w:val="none" w:sz="0" w:space="0" w:color="auto"/>
            <w:left w:val="none" w:sz="0" w:space="0" w:color="auto"/>
            <w:bottom w:val="none" w:sz="0" w:space="0" w:color="auto"/>
            <w:right w:val="none" w:sz="0" w:space="0" w:color="auto"/>
          </w:divBdr>
        </w:div>
        <w:div w:id="1895851287">
          <w:marLeft w:val="0"/>
          <w:marRight w:val="0"/>
          <w:marTop w:val="0"/>
          <w:marBottom w:val="0"/>
          <w:divBdr>
            <w:top w:val="none" w:sz="0" w:space="0" w:color="auto"/>
            <w:left w:val="none" w:sz="0" w:space="0" w:color="auto"/>
            <w:bottom w:val="none" w:sz="0" w:space="0" w:color="auto"/>
            <w:right w:val="none" w:sz="0" w:space="0" w:color="auto"/>
          </w:divBdr>
        </w:div>
        <w:div w:id="1141076091">
          <w:marLeft w:val="0"/>
          <w:marRight w:val="0"/>
          <w:marTop w:val="0"/>
          <w:marBottom w:val="0"/>
          <w:divBdr>
            <w:top w:val="none" w:sz="0" w:space="0" w:color="auto"/>
            <w:left w:val="none" w:sz="0" w:space="0" w:color="auto"/>
            <w:bottom w:val="none" w:sz="0" w:space="0" w:color="auto"/>
            <w:right w:val="none" w:sz="0" w:space="0" w:color="auto"/>
          </w:divBdr>
        </w:div>
        <w:div w:id="1274089965">
          <w:marLeft w:val="0"/>
          <w:marRight w:val="0"/>
          <w:marTop w:val="0"/>
          <w:marBottom w:val="0"/>
          <w:divBdr>
            <w:top w:val="none" w:sz="0" w:space="0" w:color="auto"/>
            <w:left w:val="none" w:sz="0" w:space="0" w:color="auto"/>
            <w:bottom w:val="none" w:sz="0" w:space="0" w:color="auto"/>
            <w:right w:val="none" w:sz="0" w:space="0" w:color="auto"/>
          </w:divBdr>
        </w:div>
        <w:div w:id="1319113284">
          <w:marLeft w:val="0"/>
          <w:marRight w:val="0"/>
          <w:marTop w:val="0"/>
          <w:marBottom w:val="0"/>
          <w:divBdr>
            <w:top w:val="none" w:sz="0" w:space="0" w:color="auto"/>
            <w:left w:val="none" w:sz="0" w:space="0" w:color="auto"/>
            <w:bottom w:val="none" w:sz="0" w:space="0" w:color="auto"/>
            <w:right w:val="none" w:sz="0" w:space="0" w:color="auto"/>
          </w:divBdr>
        </w:div>
        <w:div w:id="922684156">
          <w:marLeft w:val="0"/>
          <w:marRight w:val="0"/>
          <w:marTop w:val="0"/>
          <w:marBottom w:val="0"/>
          <w:divBdr>
            <w:top w:val="none" w:sz="0" w:space="0" w:color="auto"/>
            <w:left w:val="none" w:sz="0" w:space="0" w:color="auto"/>
            <w:bottom w:val="none" w:sz="0" w:space="0" w:color="auto"/>
            <w:right w:val="none" w:sz="0" w:space="0" w:color="auto"/>
          </w:divBdr>
        </w:div>
        <w:div w:id="1672830515">
          <w:marLeft w:val="0"/>
          <w:marRight w:val="0"/>
          <w:marTop w:val="0"/>
          <w:marBottom w:val="0"/>
          <w:divBdr>
            <w:top w:val="none" w:sz="0" w:space="0" w:color="auto"/>
            <w:left w:val="none" w:sz="0" w:space="0" w:color="auto"/>
            <w:bottom w:val="none" w:sz="0" w:space="0" w:color="auto"/>
            <w:right w:val="none" w:sz="0" w:space="0" w:color="auto"/>
          </w:divBdr>
        </w:div>
        <w:div w:id="1834030081">
          <w:marLeft w:val="0"/>
          <w:marRight w:val="0"/>
          <w:marTop w:val="0"/>
          <w:marBottom w:val="0"/>
          <w:divBdr>
            <w:top w:val="none" w:sz="0" w:space="0" w:color="auto"/>
            <w:left w:val="none" w:sz="0" w:space="0" w:color="auto"/>
            <w:bottom w:val="none" w:sz="0" w:space="0" w:color="auto"/>
            <w:right w:val="none" w:sz="0" w:space="0" w:color="auto"/>
          </w:divBdr>
        </w:div>
        <w:div w:id="1960255455">
          <w:marLeft w:val="0"/>
          <w:marRight w:val="0"/>
          <w:marTop w:val="0"/>
          <w:marBottom w:val="0"/>
          <w:divBdr>
            <w:top w:val="none" w:sz="0" w:space="0" w:color="auto"/>
            <w:left w:val="none" w:sz="0" w:space="0" w:color="auto"/>
            <w:bottom w:val="none" w:sz="0" w:space="0" w:color="auto"/>
            <w:right w:val="none" w:sz="0" w:space="0" w:color="auto"/>
          </w:divBdr>
        </w:div>
        <w:div w:id="1019282137">
          <w:marLeft w:val="0"/>
          <w:marRight w:val="0"/>
          <w:marTop w:val="0"/>
          <w:marBottom w:val="0"/>
          <w:divBdr>
            <w:top w:val="none" w:sz="0" w:space="0" w:color="auto"/>
            <w:left w:val="none" w:sz="0" w:space="0" w:color="auto"/>
            <w:bottom w:val="none" w:sz="0" w:space="0" w:color="auto"/>
            <w:right w:val="none" w:sz="0" w:space="0" w:color="auto"/>
          </w:divBdr>
        </w:div>
        <w:div w:id="915163913">
          <w:marLeft w:val="0"/>
          <w:marRight w:val="0"/>
          <w:marTop w:val="0"/>
          <w:marBottom w:val="0"/>
          <w:divBdr>
            <w:top w:val="none" w:sz="0" w:space="0" w:color="auto"/>
            <w:left w:val="none" w:sz="0" w:space="0" w:color="auto"/>
            <w:bottom w:val="none" w:sz="0" w:space="0" w:color="auto"/>
            <w:right w:val="none" w:sz="0" w:space="0" w:color="auto"/>
          </w:divBdr>
        </w:div>
        <w:div w:id="652564173">
          <w:marLeft w:val="0"/>
          <w:marRight w:val="0"/>
          <w:marTop w:val="0"/>
          <w:marBottom w:val="0"/>
          <w:divBdr>
            <w:top w:val="none" w:sz="0" w:space="0" w:color="auto"/>
            <w:left w:val="none" w:sz="0" w:space="0" w:color="auto"/>
            <w:bottom w:val="none" w:sz="0" w:space="0" w:color="auto"/>
            <w:right w:val="none" w:sz="0" w:space="0" w:color="auto"/>
          </w:divBdr>
        </w:div>
        <w:div w:id="193690913">
          <w:marLeft w:val="0"/>
          <w:marRight w:val="0"/>
          <w:marTop w:val="0"/>
          <w:marBottom w:val="0"/>
          <w:divBdr>
            <w:top w:val="none" w:sz="0" w:space="0" w:color="auto"/>
            <w:left w:val="none" w:sz="0" w:space="0" w:color="auto"/>
            <w:bottom w:val="none" w:sz="0" w:space="0" w:color="auto"/>
            <w:right w:val="none" w:sz="0" w:space="0" w:color="auto"/>
          </w:divBdr>
        </w:div>
        <w:div w:id="45615742">
          <w:marLeft w:val="0"/>
          <w:marRight w:val="0"/>
          <w:marTop w:val="0"/>
          <w:marBottom w:val="0"/>
          <w:divBdr>
            <w:top w:val="none" w:sz="0" w:space="0" w:color="auto"/>
            <w:left w:val="none" w:sz="0" w:space="0" w:color="auto"/>
            <w:bottom w:val="none" w:sz="0" w:space="0" w:color="auto"/>
            <w:right w:val="none" w:sz="0" w:space="0" w:color="auto"/>
          </w:divBdr>
        </w:div>
        <w:div w:id="2086103835">
          <w:marLeft w:val="0"/>
          <w:marRight w:val="0"/>
          <w:marTop w:val="0"/>
          <w:marBottom w:val="0"/>
          <w:divBdr>
            <w:top w:val="none" w:sz="0" w:space="0" w:color="auto"/>
            <w:left w:val="none" w:sz="0" w:space="0" w:color="auto"/>
            <w:bottom w:val="none" w:sz="0" w:space="0" w:color="auto"/>
            <w:right w:val="none" w:sz="0" w:space="0" w:color="auto"/>
          </w:divBdr>
        </w:div>
        <w:div w:id="281498420">
          <w:marLeft w:val="0"/>
          <w:marRight w:val="0"/>
          <w:marTop w:val="0"/>
          <w:marBottom w:val="0"/>
          <w:divBdr>
            <w:top w:val="none" w:sz="0" w:space="0" w:color="auto"/>
            <w:left w:val="none" w:sz="0" w:space="0" w:color="auto"/>
            <w:bottom w:val="none" w:sz="0" w:space="0" w:color="auto"/>
            <w:right w:val="none" w:sz="0" w:space="0" w:color="auto"/>
          </w:divBdr>
        </w:div>
        <w:div w:id="38744660">
          <w:marLeft w:val="0"/>
          <w:marRight w:val="0"/>
          <w:marTop w:val="0"/>
          <w:marBottom w:val="0"/>
          <w:divBdr>
            <w:top w:val="none" w:sz="0" w:space="0" w:color="auto"/>
            <w:left w:val="none" w:sz="0" w:space="0" w:color="auto"/>
            <w:bottom w:val="none" w:sz="0" w:space="0" w:color="auto"/>
            <w:right w:val="none" w:sz="0" w:space="0" w:color="auto"/>
          </w:divBdr>
        </w:div>
      </w:divsChild>
    </w:div>
    <w:div w:id="1819573610">
      <w:bodyDiv w:val="1"/>
      <w:marLeft w:val="0"/>
      <w:marRight w:val="0"/>
      <w:marTop w:val="0"/>
      <w:marBottom w:val="0"/>
      <w:divBdr>
        <w:top w:val="none" w:sz="0" w:space="0" w:color="auto"/>
        <w:left w:val="none" w:sz="0" w:space="0" w:color="auto"/>
        <w:bottom w:val="none" w:sz="0" w:space="0" w:color="auto"/>
        <w:right w:val="none" w:sz="0" w:space="0" w:color="auto"/>
      </w:divBdr>
      <w:divsChild>
        <w:div w:id="1918442008">
          <w:marLeft w:val="0"/>
          <w:marRight w:val="0"/>
          <w:marTop w:val="0"/>
          <w:marBottom w:val="0"/>
          <w:divBdr>
            <w:top w:val="none" w:sz="0" w:space="0" w:color="auto"/>
            <w:left w:val="none" w:sz="0" w:space="0" w:color="auto"/>
            <w:bottom w:val="none" w:sz="0" w:space="0" w:color="auto"/>
            <w:right w:val="none" w:sz="0" w:space="0" w:color="auto"/>
          </w:divBdr>
          <w:divsChild>
            <w:div w:id="1100024549">
              <w:marLeft w:val="0"/>
              <w:marRight w:val="0"/>
              <w:marTop w:val="0"/>
              <w:marBottom w:val="0"/>
              <w:divBdr>
                <w:top w:val="none" w:sz="0" w:space="0" w:color="auto"/>
                <w:left w:val="none" w:sz="0" w:space="0" w:color="auto"/>
                <w:bottom w:val="none" w:sz="0" w:space="0" w:color="auto"/>
                <w:right w:val="none" w:sz="0" w:space="0" w:color="auto"/>
              </w:divBdr>
              <w:divsChild>
                <w:div w:id="431322065">
                  <w:marLeft w:val="0"/>
                  <w:marRight w:val="0"/>
                  <w:marTop w:val="0"/>
                  <w:marBottom w:val="0"/>
                  <w:divBdr>
                    <w:top w:val="none" w:sz="0" w:space="0" w:color="auto"/>
                    <w:left w:val="none" w:sz="0" w:space="0" w:color="auto"/>
                    <w:bottom w:val="none" w:sz="0" w:space="0" w:color="auto"/>
                    <w:right w:val="none" w:sz="0" w:space="0" w:color="auto"/>
                  </w:divBdr>
                </w:div>
                <w:div w:id="67380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41618">
          <w:marLeft w:val="0"/>
          <w:marRight w:val="0"/>
          <w:marTop w:val="0"/>
          <w:marBottom w:val="0"/>
          <w:divBdr>
            <w:top w:val="none" w:sz="0" w:space="0" w:color="auto"/>
            <w:left w:val="none" w:sz="0" w:space="0" w:color="auto"/>
            <w:bottom w:val="none" w:sz="0" w:space="0" w:color="auto"/>
            <w:right w:val="none" w:sz="0" w:space="0" w:color="auto"/>
          </w:divBdr>
        </w:div>
        <w:div w:id="1423916853">
          <w:marLeft w:val="0"/>
          <w:marRight w:val="0"/>
          <w:marTop w:val="0"/>
          <w:marBottom w:val="0"/>
          <w:divBdr>
            <w:top w:val="none" w:sz="0" w:space="0" w:color="auto"/>
            <w:left w:val="none" w:sz="0" w:space="0" w:color="auto"/>
            <w:bottom w:val="none" w:sz="0" w:space="0" w:color="auto"/>
            <w:right w:val="none" w:sz="0" w:space="0" w:color="auto"/>
          </w:divBdr>
          <w:divsChild>
            <w:div w:id="1749616942">
              <w:marLeft w:val="0"/>
              <w:marRight w:val="0"/>
              <w:marTop w:val="150"/>
              <w:marBottom w:val="270"/>
              <w:divBdr>
                <w:top w:val="none" w:sz="0" w:space="0" w:color="auto"/>
                <w:left w:val="none" w:sz="0" w:space="0" w:color="auto"/>
                <w:bottom w:val="none" w:sz="0" w:space="0" w:color="auto"/>
                <w:right w:val="none" w:sz="0" w:space="0" w:color="auto"/>
              </w:divBdr>
              <w:divsChild>
                <w:div w:id="741097849">
                  <w:marLeft w:val="0"/>
                  <w:marRight w:val="0"/>
                  <w:marTop w:val="0"/>
                  <w:marBottom w:val="450"/>
                  <w:divBdr>
                    <w:top w:val="none" w:sz="0" w:space="0" w:color="auto"/>
                    <w:left w:val="none" w:sz="0" w:space="0" w:color="auto"/>
                    <w:bottom w:val="none" w:sz="0" w:space="0" w:color="auto"/>
                    <w:right w:val="none" w:sz="0" w:space="0" w:color="auto"/>
                  </w:divBdr>
                  <w:divsChild>
                    <w:div w:id="9574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524">
              <w:marLeft w:val="0"/>
              <w:marRight w:val="0"/>
              <w:marTop w:val="150"/>
              <w:marBottom w:val="270"/>
              <w:divBdr>
                <w:top w:val="none" w:sz="0" w:space="0" w:color="auto"/>
                <w:left w:val="none" w:sz="0" w:space="0" w:color="auto"/>
                <w:bottom w:val="none" w:sz="0" w:space="0" w:color="auto"/>
                <w:right w:val="none" w:sz="0" w:space="0" w:color="auto"/>
              </w:divBdr>
            </w:div>
            <w:div w:id="1817720674">
              <w:marLeft w:val="0"/>
              <w:marRight w:val="0"/>
              <w:marTop w:val="150"/>
              <w:marBottom w:val="270"/>
              <w:divBdr>
                <w:top w:val="none" w:sz="0" w:space="0" w:color="auto"/>
                <w:left w:val="none" w:sz="0" w:space="0" w:color="auto"/>
                <w:bottom w:val="none" w:sz="0" w:space="0" w:color="auto"/>
                <w:right w:val="none" w:sz="0" w:space="0" w:color="auto"/>
              </w:divBdr>
              <w:divsChild>
                <w:div w:id="528224457">
                  <w:marLeft w:val="0"/>
                  <w:marRight w:val="0"/>
                  <w:marTop w:val="0"/>
                  <w:marBottom w:val="450"/>
                  <w:divBdr>
                    <w:top w:val="none" w:sz="0" w:space="0" w:color="auto"/>
                    <w:left w:val="none" w:sz="0" w:space="0" w:color="auto"/>
                    <w:bottom w:val="none" w:sz="0" w:space="0" w:color="auto"/>
                    <w:right w:val="none" w:sz="0" w:space="0" w:color="auto"/>
                  </w:divBdr>
                  <w:divsChild>
                    <w:div w:id="181575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414">
              <w:marLeft w:val="0"/>
              <w:marRight w:val="0"/>
              <w:marTop w:val="150"/>
              <w:marBottom w:val="270"/>
              <w:divBdr>
                <w:top w:val="none" w:sz="0" w:space="0" w:color="auto"/>
                <w:left w:val="none" w:sz="0" w:space="0" w:color="auto"/>
                <w:bottom w:val="none" w:sz="0" w:space="0" w:color="auto"/>
                <w:right w:val="none" w:sz="0" w:space="0" w:color="auto"/>
              </w:divBdr>
              <w:divsChild>
                <w:div w:id="1336689686">
                  <w:marLeft w:val="0"/>
                  <w:marRight w:val="0"/>
                  <w:marTop w:val="150"/>
                  <w:marBottom w:val="270"/>
                  <w:divBdr>
                    <w:top w:val="none" w:sz="0" w:space="0" w:color="auto"/>
                    <w:left w:val="none" w:sz="0" w:space="0" w:color="auto"/>
                    <w:bottom w:val="none" w:sz="0" w:space="0" w:color="auto"/>
                    <w:right w:val="none" w:sz="0" w:space="0" w:color="auto"/>
                  </w:divBdr>
                </w:div>
                <w:div w:id="322124715">
                  <w:marLeft w:val="0"/>
                  <w:marRight w:val="0"/>
                  <w:marTop w:val="150"/>
                  <w:marBottom w:val="270"/>
                  <w:divBdr>
                    <w:top w:val="none" w:sz="0" w:space="0" w:color="auto"/>
                    <w:left w:val="none" w:sz="0" w:space="0" w:color="auto"/>
                    <w:bottom w:val="none" w:sz="0" w:space="0" w:color="auto"/>
                    <w:right w:val="none" w:sz="0" w:space="0" w:color="auto"/>
                  </w:divBdr>
                </w:div>
              </w:divsChild>
            </w:div>
            <w:div w:id="87891305">
              <w:marLeft w:val="0"/>
              <w:marRight w:val="0"/>
              <w:marTop w:val="150"/>
              <w:marBottom w:val="270"/>
              <w:divBdr>
                <w:top w:val="none" w:sz="0" w:space="0" w:color="auto"/>
                <w:left w:val="none" w:sz="0" w:space="0" w:color="auto"/>
                <w:bottom w:val="none" w:sz="0" w:space="0" w:color="auto"/>
                <w:right w:val="none" w:sz="0" w:space="0" w:color="auto"/>
              </w:divBdr>
            </w:div>
            <w:div w:id="973634688">
              <w:marLeft w:val="0"/>
              <w:marRight w:val="0"/>
              <w:marTop w:val="150"/>
              <w:marBottom w:val="270"/>
              <w:divBdr>
                <w:top w:val="none" w:sz="0" w:space="0" w:color="auto"/>
                <w:left w:val="none" w:sz="0" w:space="0" w:color="auto"/>
                <w:bottom w:val="none" w:sz="0" w:space="0" w:color="auto"/>
                <w:right w:val="none" w:sz="0" w:space="0" w:color="auto"/>
              </w:divBdr>
              <w:divsChild>
                <w:div w:id="1317563181">
                  <w:marLeft w:val="0"/>
                  <w:marRight w:val="0"/>
                  <w:marTop w:val="150"/>
                  <w:marBottom w:val="270"/>
                  <w:divBdr>
                    <w:top w:val="none" w:sz="0" w:space="0" w:color="auto"/>
                    <w:left w:val="none" w:sz="0" w:space="0" w:color="auto"/>
                    <w:bottom w:val="none" w:sz="0" w:space="0" w:color="auto"/>
                    <w:right w:val="none" w:sz="0" w:space="0" w:color="auto"/>
                  </w:divBdr>
                </w:div>
                <w:div w:id="915014381">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965240694">
          <w:marLeft w:val="0"/>
          <w:marRight w:val="0"/>
          <w:marTop w:val="0"/>
          <w:marBottom w:val="0"/>
          <w:divBdr>
            <w:top w:val="none" w:sz="0" w:space="0" w:color="auto"/>
            <w:left w:val="none" w:sz="0" w:space="0" w:color="auto"/>
            <w:bottom w:val="none" w:sz="0" w:space="0" w:color="auto"/>
            <w:right w:val="none" w:sz="0" w:space="0" w:color="auto"/>
          </w:divBdr>
          <w:divsChild>
            <w:div w:id="393042041">
              <w:marLeft w:val="0"/>
              <w:marRight w:val="0"/>
              <w:marTop w:val="150"/>
              <w:marBottom w:val="270"/>
              <w:divBdr>
                <w:top w:val="none" w:sz="0" w:space="0" w:color="auto"/>
                <w:left w:val="none" w:sz="0" w:space="0" w:color="auto"/>
                <w:bottom w:val="none" w:sz="0" w:space="0" w:color="auto"/>
                <w:right w:val="none" w:sz="0" w:space="0" w:color="auto"/>
              </w:divBdr>
              <w:divsChild>
                <w:div w:id="1517767484">
                  <w:marLeft w:val="0"/>
                  <w:marRight w:val="0"/>
                  <w:marTop w:val="0"/>
                  <w:marBottom w:val="0"/>
                  <w:divBdr>
                    <w:top w:val="none" w:sz="0" w:space="0" w:color="auto"/>
                    <w:left w:val="none" w:sz="0" w:space="0" w:color="auto"/>
                    <w:bottom w:val="none" w:sz="0" w:space="0" w:color="auto"/>
                    <w:right w:val="none" w:sz="0" w:space="0" w:color="auto"/>
                  </w:divBdr>
                  <w:divsChild>
                    <w:div w:id="2057386771">
                      <w:marLeft w:val="0"/>
                      <w:marRight w:val="0"/>
                      <w:marTop w:val="0"/>
                      <w:marBottom w:val="0"/>
                      <w:divBdr>
                        <w:top w:val="none" w:sz="0" w:space="0" w:color="auto"/>
                        <w:left w:val="none" w:sz="0" w:space="0" w:color="auto"/>
                        <w:bottom w:val="none" w:sz="0" w:space="0" w:color="auto"/>
                        <w:right w:val="none" w:sz="0" w:space="0" w:color="auto"/>
                      </w:divBdr>
                    </w:div>
                  </w:divsChild>
                </w:div>
                <w:div w:id="1382552494">
                  <w:marLeft w:val="0"/>
                  <w:marRight w:val="0"/>
                  <w:marTop w:val="0"/>
                  <w:marBottom w:val="0"/>
                  <w:divBdr>
                    <w:top w:val="none" w:sz="0" w:space="0" w:color="auto"/>
                    <w:left w:val="none" w:sz="0" w:space="0" w:color="auto"/>
                    <w:bottom w:val="none" w:sz="0" w:space="0" w:color="auto"/>
                    <w:right w:val="none" w:sz="0" w:space="0" w:color="auto"/>
                  </w:divBdr>
                </w:div>
              </w:divsChild>
            </w:div>
            <w:div w:id="1459760483">
              <w:marLeft w:val="0"/>
              <w:marRight w:val="0"/>
              <w:marTop w:val="150"/>
              <w:marBottom w:val="270"/>
              <w:divBdr>
                <w:top w:val="none" w:sz="0" w:space="0" w:color="auto"/>
                <w:left w:val="none" w:sz="0" w:space="0" w:color="auto"/>
                <w:bottom w:val="none" w:sz="0" w:space="0" w:color="auto"/>
                <w:right w:val="none" w:sz="0" w:space="0" w:color="auto"/>
              </w:divBdr>
              <w:divsChild>
                <w:div w:id="510948859">
                  <w:marLeft w:val="0"/>
                  <w:marRight w:val="0"/>
                  <w:marTop w:val="150"/>
                  <w:marBottom w:val="270"/>
                  <w:divBdr>
                    <w:top w:val="none" w:sz="0" w:space="0" w:color="auto"/>
                    <w:left w:val="none" w:sz="0" w:space="0" w:color="auto"/>
                    <w:bottom w:val="none" w:sz="0" w:space="0" w:color="auto"/>
                    <w:right w:val="none" w:sz="0" w:space="0" w:color="auto"/>
                  </w:divBdr>
                  <w:divsChild>
                    <w:div w:id="1066949772">
                      <w:marLeft w:val="0"/>
                      <w:marRight w:val="0"/>
                      <w:marTop w:val="0"/>
                      <w:marBottom w:val="0"/>
                      <w:divBdr>
                        <w:top w:val="none" w:sz="0" w:space="0" w:color="auto"/>
                        <w:left w:val="none" w:sz="0" w:space="0" w:color="auto"/>
                        <w:bottom w:val="none" w:sz="0" w:space="0" w:color="auto"/>
                        <w:right w:val="none" w:sz="0" w:space="0" w:color="auto"/>
                      </w:divBdr>
                      <w:divsChild>
                        <w:div w:id="782772108">
                          <w:marLeft w:val="0"/>
                          <w:marRight w:val="0"/>
                          <w:marTop w:val="0"/>
                          <w:marBottom w:val="0"/>
                          <w:divBdr>
                            <w:top w:val="none" w:sz="0" w:space="0" w:color="auto"/>
                            <w:left w:val="none" w:sz="0" w:space="0" w:color="auto"/>
                            <w:bottom w:val="none" w:sz="0" w:space="0" w:color="auto"/>
                            <w:right w:val="none" w:sz="0" w:space="0" w:color="auto"/>
                          </w:divBdr>
                        </w:div>
                      </w:divsChild>
                    </w:div>
                    <w:div w:id="2003191205">
                      <w:marLeft w:val="0"/>
                      <w:marRight w:val="0"/>
                      <w:marTop w:val="0"/>
                      <w:marBottom w:val="0"/>
                      <w:divBdr>
                        <w:top w:val="none" w:sz="0" w:space="0" w:color="auto"/>
                        <w:left w:val="none" w:sz="0" w:space="0" w:color="auto"/>
                        <w:bottom w:val="none" w:sz="0" w:space="0" w:color="auto"/>
                        <w:right w:val="none" w:sz="0" w:space="0" w:color="auto"/>
                      </w:divBdr>
                    </w:div>
                    <w:div w:id="821237327">
                      <w:marLeft w:val="0"/>
                      <w:marRight w:val="0"/>
                      <w:marTop w:val="0"/>
                      <w:marBottom w:val="0"/>
                      <w:divBdr>
                        <w:top w:val="none" w:sz="0" w:space="0" w:color="auto"/>
                        <w:left w:val="none" w:sz="0" w:space="0" w:color="auto"/>
                        <w:bottom w:val="none" w:sz="0" w:space="0" w:color="auto"/>
                        <w:right w:val="none" w:sz="0" w:space="0" w:color="auto"/>
                      </w:divBdr>
                      <w:divsChild>
                        <w:div w:id="1571038572">
                          <w:marLeft w:val="0"/>
                          <w:marRight w:val="0"/>
                          <w:marTop w:val="0"/>
                          <w:marBottom w:val="0"/>
                          <w:divBdr>
                            <w:top w:val="none" w:sz="0" w:space="0" w:color="auto"/>
                            <w:left w:val="none" w:sz="0" w:space="0" w:color="auto"/>
                            <w:bottom w:val="none" w:sz="0" w:space="0" w:color="auto"/>
                            <w:right w:val="none" w:sz="0" w:space="0" w:color="auto"/>
                          </w:divBdr>
                        </w:div>
                      </w:divsChild>
                    </w:div>
                    <w:div w:id="178638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79337">
              <w:marLeft w:val="0"/>
              <w:marRight w:val="0"/>
              <w:marTop w:val="150"/>
              <w:marBottom w:val="270"/>
              <w:divBdr>
                <w:top w:val="none" w:sz="0" w:space="0" w:color="auto"/>
                <w:left w:val="none" w:sz="0" w:space="0" w:color="auto"/>
                <w:bottom w:val="none" w:sz="0" w:space="0" w:color="auto"/>
                <w:right w:val="none" w:sz="0" w:space="0" w:color="auto"/>
              </w:divBdr>
              <w:divsChild>
                <w:div w:id="293416521">
                  <w:marLeft w:val="0"/>
                  <w:marRight w:val="0"/>
                  <w:marTop w:val="0"/>
                  <w:marBottom w:val="0"/>
                  <w:divBdr>
                    <w:top w:val="none" w:sz="0" w:space="0" w:color="auto"/>
                    <w:left w:val="none" w:sz="0" w:space="0" w:color="auto"/>
                    <w:bottom w:val="none" w:sz="0" w:space="0" w:color="auto"/>
                    <w:right w:val="none" w:sz="0" w:space="0" w:color="auto"/>
                  </w:divBdr>
                  <w:divsChild>
                    <w:div w:id="1344622741">
                      <w:marLeft w:val="0"/>
                      <w:marRight w:val="0"/>
                      <w:marTop w:val="0"/>
                      <w:marBottom w:val="0"/>
                      <w:divBdr>
                        <w:top w:val="none" w:sz="0" w:space="0" w:color="auto"/>
                        <w:left w:val="none" w:sz="0" w:space="0" w:color="auto"/>
                        <w:bottom w:val="none" w:sz="0" w:space="0" w:color="auto"/>
                        <w:right w:val="none" w:sz="0" w:space="0" w:color="auto"/>
                      </w:divBdr>
                    </w:div>
                  </w:divsChild>
                </w:div>
                <w:div w:id="984968405">
                  <w:marLeft w:val="0"/>
                  <w:marRight w:val="0"/>
                  <w:marTop w:val="0"/>
                  <w:marBottom w:val="0"/>
                  <w:divBdr>
                    <w:top w:val="none" w:sz="0" w:space="0" w:color="auto"/>
                    <w:left w:val="none" w:sz="0" w:space="0" w:color="auto"/>
                    <w:bottom w:val="none" w:sz="0" w:space="0" w:color="auto"/>
                    <w:right w:val="none" w:sz="0" w:space="0" w:color="auto"/>
                  </w:divBdr>
                </w:div>
                <w:div w:id="1777941456">
                  <w:marLeft w:val="0"/>
                  <w:marRight w:val="0"/>
                  <w:marTop w:val="0"/>
                  <w:marBottom w:val="0"/>
                  <w:divBdr>
                    <w:top w:val="none" w:sz="0" w:space="0" w:color="auto"/>
                    <w:left w:val="none" w:sz="0" w:space="0" w:color="auto"/>
                    <w:bottom w:val="none" w:sz="0" w:space="0" w:color="auto"/>
                    <w:right w:val="none" w:sz="0" w:space="0" w:color="auto"/>
                  </w:divBdr>
                  <w:divsChild>
                    <w:div w:id="1352996451">
                      <w:marLeft w:val="0"/>
                      <w:marRight w:val="0"/>
                      <w:marTop w:val="0"/>
                      <w:marBottom w:val="0"/>
                      <w:divBdr>
                        <w:top w:val="none" w:sz="0" w:space="0" w:color="auto"/>
                        <w:left w:val="none" w:sz="0" w:space="0" w:color="auto"/>
                        <w:bottom w:val="none" w:sz="0" w:space="0" w:color="auto"/>
                        <w:right w:val="none" w:sz="0" w:space="0" w:color="auto"/>
                      </w:divBdr>
                    </w:div>
                  </w:divsChild>
                </w:div>
                <w:div w:id="931284667">
                  <w:marLeft w:val="0"/>
                  <w:marRight w:val="0"/>
                  <w:marTop w:val="0"/>
                  <w:marBottom w:val="0"/>
                  <w:divBdr>
                    <w:top w:val="none" w:sz="0" w:space="0" w:color="auto"/>
                    <w:left w:val="none" w:sz="0" w:space="0" w:color="auto"/>
                    <w:bottom w:val="none" w:sz="0" w:space="0" w:color="auto"/>
                    <w:right w:val="none" w:sz="0" w:space="0" w:color="auto"/>
                  </w:divBdr>
                </w:div>
                <w:div w:id="853375688">
                  <w:marLeft w:val="0"/>
                  <w:marRight w:val="0"/>
                  <w:marTop w:val="0"/>
                  <w:marBottom w:val="0"/>
                  <w:divBdr>
                    <w:top w:val="none" w:sz="0" w:space="0" w:color="auto"/>
                    <w:left w:val="none" w:sz="0" w:space="0" w:color="auto"/>
                    <w:bottom w:val="none" w:sz="0" w:space="0" w:color="auto"/>
                    <w:right w:val="none" w:sz="0" w:space="0" w:color="auto"/>
                  </w:divBdr>
                  <w:divsChild>
                    <w:div w:id="235474823">
                      <w:marLeft w:val="0"/>
                      <w:marRight w:val="0"/>
                      <w:marTop w:val="0"/>
                      <w:marBottom w:val="0"/>
                      <w:divBdr>
                        <w:top w:val="none" w:sz="0" w:space="0" w:color="auto"/>
                        <w:left w:val="none" w:sz="0" w:space="0" w:color="auto"/>
                        <w:bottom w:val="none" w:sz="0" w:space="0" w:color="auto"/>
                        <w:right w:val="none" w:sz="0" w:space="0" w:color="auto"/>
                      </w:divBdr>
                    </w:div>
                  </w:divsChild>
                </w:div>
                <w:div w:id="2074622040">
                  <w:marLeft w:val="0"/>
                  <w:marRight w:val="0"/>
                  <w:marTop w:val="0"/>
                  <w:marBottom w:val="0"/>
                  <w:divBdr>
                    <w:top w:val="none" w:sz="0" w:space="0" w:color="auto"/>
                    <w:left w:val="none" w:sz="0" w:space="0" w:color="auto"/>
                    <w:bottom w:val="none" w:sz="0" w:space="0" w:color="auto"/>
                    <w:right w:val="none" w:sz="0" w:space="0" w:color="auto"/>
                  </w:divBdr>
                </w:div>
              </w:divsChild>
            </w:div>
            <w:div w:id="473446495">
              <w:marLeft w:val="0"/>
              <w:marRight w:val="0"/>
              <w:marTop w:val="150"/>
              <w:marBottom w:val="270"/>
              <w:divBdr>
                <w:top w:val="none" w:sz="0" w:space="0" w:color="auto"/>
                <w:left w:val="none" w:sz="0" w:space="0" w:color="auto"/>
                <w:bottom w:val="none" w:sz="0" w:space="0" w:color="auto"/>
                <w:right w:val="none" w:sz="0" w:space="0" w:color="auto"/>
              </w:divBdr>
              <w:divsChild>
                <w:div w:id="1606188555">
                  <w:marLeft w:val="0"/>
                  <w:marRight w:val="0"/>
                  <w:marTop w:val="0"/>
                  <w:marBottom w:val="450"/>
                  <w:divBdr>
                    <w:top w:val="none" w:sz="0" w:space="0" w:color="auto"/>
                    <w:left w:val="none" w:sz="0" w:space="0" w:color="auto"/>
                    <w:bottom w:val="none" w:sz="0" w:space="0" w:color="auto"/>
                    <w:right w:val="none" w:sz="0" w:space="0" w:color="auto"/>
                  </w:divBdr>
                  <w:divsChild>
                    <w:div w:id="114612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03694">
          <w:marLeft w:val="0"/>
          <w:marRight w:val="0"/>
          <w:marTop w:val="0"/>
          <w:marBottom w:val="0"/>
          <w:divBdr>
            <w:top w:val="none" w:sz="0" w:space="0" w:color="auto"/>
            <w:left w:val="none" w:sz="0" w:space="0" w:color="auto"/>
            <w:bottom w:val="none" w:sz="0" w:space="0" w:color="auto"/>
            <w:right w:val="none" w:sz="0" w:space="0" w:color="auto"/>
          </w:divBdr>
          <w:divsChild>
            <w:div w:id="917247171">
              <w:marLeft w:val="0"/>
              <w:marRight w:val="0"/>
              <w:marTop w:val="0"/>
              <w:marBottom w:val="0"/>
              <w:divBdr>
                <w:top w:val="none" w:sz="0" w:space="0" w:color="auto"/>
                <w:left w:val="none" w:sz="0" w:space="0" w:color="auto"/>
                <w:bottom w:val="none" w:sz="0" w:space="0" w:color="auto"/>
                <w:right w:val="none" w:sz="0" w:space="0" w:color="auto"/>
              </w:divBdr>
              <w:divsChild>
                <w:div w:id="931595589">
                  <w:marLeft w:val="0"/>
                  <w:marRight w:val="0"/>
                  <w:marTop w:val="0"/>
                  <w:marBottom w:val="0"/>
                  <w:divBdr>
                    <w:top w:val="none" w:sz="0" w:space="0" w:color="auto"/>
                    <w:left w:val="none" w:sz="0" w:space="0" w:color="auto"/>
                    <w:bottom w:val="none" w:sz="0" w:space="0" w:color="auto"/>
                    <w:right w:val="none" w:sz="0" w:space="0" w:color="auto"/>
                  </w:divBdr>
                </w:div>
              </w:divsChild>
            </w:div>
            <w:div w:id="274672905">
              <w:marLeft w:val="0"/>
              <w:marRight w:val="0"/>
              <w:marTop w:val="0"/>
              <w:marBottom w:val="0"/>
              <w:divBdr>
                <w:top w:val="none" w:sz="0" w:space="0" w:color="auto"/>
                <w:left w:val="none" w:sz="0" w:space="0" w:color="auto"/>
                <w:bottom w:val="none" w:sz="0" w:space="0" w:color="auto"/>
                <w:right w:val="none" w:sz="0" w:space="0" w:color="auto"/>
              </w:divBdr>
            </w:div>
          </w:divsChild>
        </w:div>
        <w:div w:id="1534417159">
          <w:marLeft w:val="0"/>
          <w:marRight w:val="0"/>
          <w:marTop w:val="0"/>
          <w:marBottom w:val="0"/>
          <w:divBdr>
            <w:top w:val="none" w:sz="0" w:space="0" w:color="auto"/>
            <w:left w:val="none" w:sz="0" w:space="0" w:color="auto"/>
            <w:bottom w:val="none" w:sz="0" w:space="0" w:color="auto"/>
            <w:right w:val="none" w:sz="0" w:space="0" w:color="auto"/>
          </w:divBdr>
        </w:div>
        <w:div w:id="1976446542">
          <w:marLeft w:val="0"/>
          <w:marRight w:val="0"/>
          <w:marTop w:val="48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wer.1080" TargetMode="External"/><Relationship Id="rId21" Type="http://schemas.openxmlformats.org/officeDocument/2006/relationships/hyperlink" Target="https://onlinelibrary.wiley.com/doi/full/10.1002/wer.1080" TargetMode="External"/><Relationship Id="rId42" Type="http://schemas.openxmlformats.org/officeDocument/2006/relationships/hyperlink" Target="https://onlinelibrary.wiley.com/doi/full/10.1002/wer.1080" TargetMode="External"/><Relationship Id="rId47" Type="http://schemas.openxmlformats.org/officeDocument/2006/relationships/hyperlink" Target="https://onlinelibrary.wiley.com/doi/full/10.1002/wer.1080" TargetMode="External"/><Relationship Id="rId63" Type="http://schemas.openxmlformats.org/officeDocument/2006/relationships/image" Target="media/image4.png"/><Relationship Id="rId68" Type="http://schemas.openxmlformats.org/officeDocument/2006/relationships/image" Target="media/image5.png"/><Relationship Id="rId16" Type="http://schemas.openxmlformats.org/officeDocument/2006/relationships/hyperlink" Target="https://onlinelibrary.wiley.com/doi/full/10.1002/wer.1080" TargetMode="External"/><Relationship Id="rId11" Type="http://schemas.openxmlformats.org/officeDocument/2006/relationships/hyperlink" Target="https://onlinelibrary.wiley.com/doi/full/10.1002/wer.1080" TargetMode="External"/><Relationship Id="rId24" Type="http://schemas.openxmlformats.org/officeDocument/2006/relationships/hyperlink" Target="https://onlinelibrary.wiley.com/doi/full/10.1002/wer.1080" TargetMode="External"/><Relationship Id="rId32" Type="http://schemas.openxmlformats.org/officeDocument/2006/relationships/hyperlink" Target="https://onlinelibrary.wiley.com/doi/full/10.1002/wer.1080" TargetMode="External"/><Relationship Id="rId37" Type="http://schemas.openxmlformats.org/officeDocument/2006/relationships/hyperlink" Target="https://onlinelibrary.wiley.com/doi/full/10.1002/wer.1080" TargetMode="External"/><Relationship Id="rId40" Type="http://schemas.openxmlformats.org/officeDocument/2006/relationships/hyperlink" Target="https://onlinelibrary.wiley.com/doi/full/10.1002/wer.1080" TargetMode="External"/><Relationship Id="rId45" Type="http://schemas.openxmlformats.org/officeDocument/2006/relationships/hyperlink" Target="https://onlinelibrary.wiley.com/doi/full/10.1002/wer.1080" TargetMode="External"/><Relationship Id="rId53" Type="http://schemas.openxmlformats.org/officeDocument/2006/relationships/hyperlink" Target="https://onlinelibrary.wiley.com/doi/full/10.1002/wer.1080" TargetMode="External"/><Relationship Id="rId58" Type="http://schemas.openxmlformats.org/officeDocument/2006/relationships/image" Target="media/image3.png"/><Relationship Id="rId66" Type="http://schemas.openxmlformats.org/officeDocument/2006/relationships/hyperlink" Target="https://onlinelibrary.wiley.com/doi/full/10.1002/wer.1080" TargetMode="External"/><Relationship Id="rId74" Type="http://schemas.openxmlformats.org/officeDocument/2006/relationships/hyperlink" Target="https://onlinelibrary.wiley.com/doi/full/10.1002/wer.1080" TargetMode="External"/><Relationship Id="rId5" Type="http://schemas.openxmlformats.org/officeDocument/2006/relationships/styles" Target="styles.xml"/><Relationship Id="rId61" Type="http://schemas.openxmlformats.org/officeDocument/2006/relationships/hyperlink" Target="https://onlinelibrary.wiley.com/doi/full/10.1002/wer.1080" TargetMode="External"/><Relationship Id="rId19" Type="http://schemas.openxmlformats.org/officeDocument/2006/relationships/hyperlink" Target="https://onlinelibrary.wiley.com/doi/full/10.1002/wer.1080" TargetMode="External"/><Relationship Id="rId14" Type="http://schemas.openxmlformats.org/officeDocument/2006/relationships/hyperlink" Target="https://onlinelibrary.wiley.com/doi/full/10.1002/wer.1080" TargetMode="External"/><Relationship Id="rId22" Type="http://schemas.openxmlformats.org/officeDocument/2006/relationships/hyperlink" Target="https://onlinelibrary.wiley.com/doi/full/10.1002/wer.1080" TargetMode="External"/><Relationship Id="rId27" Type="http://schemas.openxmlformats.org/officeDocument/2006/relationships/hyperlink" Target="https://onlinelibrary.wiley.com/doi/full/10.1002/wer.1080" TargetMode="External"/><Relationship Id="rId30" Type="http://schemas.openxmlformats.org/officeDocument/2006/relationships/hyperlink" Target="https://onlinelibrary.wiley.com/doi/full/10.1002/wer.1080" TargetMode="External"/><Relationship Id="rId35" Type="http://schemas.openxmlformats.org/officeDocument/2006/relationships/hyperlink" Target="https://onlinelibrary.wiley.com/doi/full/10.1002/wer.1080" TargetMode="External"/><Relationship Id="rId43" Type="http://schemas.openxmlformats.org/officeDocument/2006/relationships/hyperlink" Target="https://onlinelibrary.wiley.com/doi/full/10.1002/wer.1080" TargetMode="External"/><Relationship Id="rId48" Type="http://schemas.openxmlformats.org/officeDocument/2006/relationships/hyperlink" Target="https://onlinelibrary.wiley.com/doi/full/10.1002/wer.1080" TargetMode="External"/><Relationship Id="rId56" Type="http://schemas.openxmlformats.org/officeDocument/2006/relationships/image" Target="media/image2.png"/><Relationship Id="rId64" Type="http://schemas.openxmlformats.org/officeDocument/2006/relationships/hyperlink" Target="https://onlinelibrary.wiley.com/doi/full/10.1002/wer.1080" TargetMode="External"/><Relationship Id="rId69" Type="http://schemas.openxmlformats.org/officeDocument/2006/relationships/image" Target="media/image6.png"/><Relationship Id="rId77" Type="http://schemas.openxmlformats.org/officeDocument/2006/relationships/fontTable" Target="fontTable.xml"/><Relationship Id="rId8" Type="http://schemas.openxmlformats.org/officeDocument/2006/relationships/hyperlink" Target="https://onlinelibrary.wiley.com/doi/full/10.1002/wer.1080" TargetMode="External"/><Relationship Id="rId51" Type="http://schemas.openxmlformats.org/officeDocument/2006/relationships/hyperlink" Target="https://onlinelibrary.wiley.com/doi/full/10.1002/wer.1080" TargetMode="External"/><Relationship Id="rId72" Type="http://schemas.openxmlformats.org/officeDocument/2006/relationships/hyperlink" Target="https://onlinelibrary.wiley.com/doi/full/10.1002/wer.1080" TargetMode="External"/><Relationship Id="rId3" Type="http://schemas.openxmlformats.org/officeDocument/2006/relationships/customXml" Target="../customXml/item3.xml"/><Relationship Id="rId12" Type="http://schemas.openxmlformats.org/officeDocument/2006/relationships/hyperlink" Target="https://onlinelibrary.wiley.com/doi/full/10.1002/wer.1080" TargetMode="External"/><Relationship Id="rId17" Type="http://schemas.openxmlformats.org/officeDocument/2006/relationships/hyperlink" Target="https://onlinelibrary.wiley.com/doi/full/10.1002/wer.1080" TargetMode="External"/><Relationship Id="rId25" Type="http://schemas.openxmlformats.org/officeDocument/2006/relationships/hyperlink" Target="https://onlinelibrary.wiley.com/doi/full/10.1002/wer.1080" TargetMode="External"/><Relationship Id="rId33" Type="http://schemas.openxmlformats.org/officeDocument/2006/relationships/hyperlink" Target="https://onlinelibrary.wiley.com/doi/full/10.1002/wer.1080" TargetMode="External"/><Relationship Id="rId38" Type="http://schemas.openxmlformats.org/officeDocument/2006/relationships/hyperlink" Target="https://onlinelibrary.wiley.com/doi/full/10.1002/wer.1080" TargetMode="External"/><Relationship Id="rId46" Type="http://schemas.openxmlformats.org/officeDocument/2006/relationships/hyperlink" Target="https://onlinelibrary.wiley.com/doi/full/10.1002/wer.1080" TargetMode="External"/><Relationship Id="rId59" Type="http://schemas.openxmlformats.org/officeDocument/2006/relationships/hyperlink" Target="https://onlinelibrary.wiley.com/doi/full/10.1002/wer.1080" TargetMode="External"/><Relationship Id="rId67" Type="http://schemas.openxmlformats.org/officeDocument/2006/relationships/hyperlink" Target="https://onlinelibrary.wiley.com/doi/full/10.1002/wer.1080" TargetMode="External"/><Relationship Id="rId20" Type="http://schemas.openxmlformats.org/officeDocument/2006/relationships/hyperlink" Target="https://onlinelibrary.wiley.com/doi/full/10.1002/wer.1080" TargetMode="External"/><Relationship Id="rId41" Type="http://schemas.openxmlformats.org/officeDocument/2006/relationships/hyperlink" Target="https://onlinelibrary.wiley.com/doi/full/10.1002/wer.1080" TargetMode="External"/><Relationship Id="rId54" Type="http://schemas.openxmlformats.org/officeDocument/2006/relationships/hyperlink" Target="https://onlinelibrary.wiley.com/doi/full/10.1002/wer.1080" TargetMode="External"/><Relationship Id="rId62" Type="http://schemas.openxmlformats.org/officeDocument/2006/relationships/hyperlink" Target="https://onlinelibrary.wiley.com/doi/full/10.1002/wer.1080" TargetMode="External"/><Relationship Id="rId70" Type="http://schemas.openxmlformats.org/officeDocument/2006/relationships/hyperlink" Target="https://onlinelibrary.wiley.com/doi/full/10.1002/wer.1080" TargetMode="External"/><Relationship Id="rId75" Type="http://schemas.openxmlformats.org/officeDocument/2006/relationships/hyperlink" Target="https://onlinelibrary.wiley.com/doi/full/10.1002/wer.108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02/wer.1080" TargetMode="External"/><Relationship Id="rId23" Type="http://schemas.openxmlformats.org/officeDocument/2006/relationships/hyperlink" Target="https://onlinelibrary.wiley.com/doi/full/10.1002/wer.1080" TargetMode="External"/><Relationship Id="rId28" Type="http://schemas.openxmlformats.org/officeDocument/2006/relationships/hyperlink" Target="https://onlinelibrary.wiley.com/doi/full/10.1002/wer.1080" TargetMode="External"/><Relationship Id="rId36" Type="http://schemas.openxmlformats.org/officeDocument/2006/relationships/hyperlink" Target="https://onlinelibrary.wiley.com/doi/full/10.1002/wer.1080" TargetMode="External"/><Relationship Id="rId49" Type="http://schemas.openxmlformats.org/officeDocument/2006/relationships/hyperlink" Target="https://onlinelibrary.wiley.com/doi/full/10.1002/wer.1080" TargetMode="External"/><Relationship Id="rId57" Type="http://schemas.openxmlformats.org/officeDocument/2006/relationships/hyperlink" Target="https://onlinelibrary.wiley.com/doi/full/10.1002/wer.1080" TargetMode="External"/><Relationship Id="rId10" Type="http://schemas.openxmlformats.org/officeDocument/2006/relationships/hyperlink" Target="https://onlinelibrary.wiley.com/doi/full/10.1002/wer.1080" TargetMode="External"/><Relationship Id="rId31" Type="http://schemas.openxmlformats.org/officeDocument/2006/relationships/hyperlink" Target="https://onlinelibrary.wiley.com/doi/full/10.1002/wer.1080" TargetMode="External"/><Relationship Id="rId44" Type="http://schemas.openxmlformats.org/officeDocument/2006/relationships/hyperlink" Target="https://onlinelibrary.wiley.com/doi/full/10.1002/wer.1080" TargetMode="External"/><Relationship Id="rId52" Type="http://schemas.openxmlformats.org/officeDocument/2006/relationships/hyperlink" Target="https://onlinelibrary.wiley.com/doi/full/10.1002/wer.1080" TargetMode="External"/><Relationship Id="rId60" Type="http://schemas.openxmlformats.org/officeDocument/2006/relationships/hyperlink" Target="https://onlinelibrary.wiley.com/doi/full/10.1002/wer.1080" TargetMode="External"/><Relationship Id="rId65" Type="http://schemas.openxmlformats.org/officeDocument/2006/relationships/hyperlink" Target="https://onlinelibrary.wiley.com/doi/full/10.1002/wer.1080" TargetMode="External"/><Relationship Id="rId73" Type="http://schemas.openxmlformats.org/officeDocument/2006/relationships/hyperlink" Target="https://onlinelibrary.wiley.com/doi/full/10.1002/wer.1080" TargetMode="External"/><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002/wer.1080" TargetMode="External"/><Relationship Id="rId18" Type="http://schemas.openxmlformats.org/officeDocument/2006/relationships/hyperlink" Target="https://onlinelibrary.wiley.com/doi/full/10.1002/wer.1080" TargetMode="External"/><Relationship Id="rId39" Type="http://schemas.openxmlformats.org/officeDocument/2006/relationships/hyperlink" Target="https://onlinelibrary.wiley.com/doi/full/10.1002/wer.1080" TargetMode="External"/><Relationship Id="rId34" Type="http://schemas.openxmlformats.org/officeDocument/2006/relationships/hyperlink" Target="https://onlinelibrary.wiley.com/doi/full/10.1002/wer.1080" TargetMode="External"/><Relationship Id="rId50" Type="http://schemas.openxmlformats.org/officeDocument/2006/relationships/image" Target="media/image1.png"/><Relationship Id="rId55" Type="http://schemas.openxmlformats.org/officeDocument/2006/relationships/hyperlink" Target="https://onlinelibrary.wiley.com/doi/full/10.1002/wer.1080" TargetMode="External"/><Relationship Id="rId76" Type="http://schemas.openxmlformats.org/officeDocument/2006/relationships/image" Target="media/image7.png"/><Relationship Id="rId7" Type="http://schemas.openxmlformats.org/officeDocument/2006/relationships/webSettings" Target="webSettings.xml"/><Relationship Id="rId71" Type="http://schemas.openxmlformats.org/officeDocument/2006/relationships/hyperlink" Target="https://onlinelibrary.wiley.com/doi/full/10.1002/wer.1080" TargetMode="External"/><Relationship Id="rId2" Type="http://schemas.openxmlformats.org/officeDocument/2006/relationships/customXml" Target="../customXml/item2.xml"/><Relationship Id="rId29" Type="http://schemas.openxmlformats.org/officeDocument/2006/relationships/hyperlink" Target="https://onlinelibrary.wiley.com/doi/full/10.1002/wer.1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55CE07-A972-495D-9F42-4845228CA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9538B-BFC2-4322-BC42-398DF723E509}">
  <ds:schemaRefs>
    <ds:schemaRef ds:uri="http://schemas.microsoft.com/sharepoint/v3/contenttype/forms"/>
  </ds:schemaRefs>
</ds:datastoreItem>
</file>

<file path=customXml/itemProps3.xml><?xml version="1.0" encoding="utf-8"?>
<ds:datastoreItem xmlns:ds="http://schemas.openxmlformats.org/officeDocument/2006/customXml" ds:itemID="{B751C8D0-5F5C-4832-9561-C037FF09C0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6276</Words>
  <Characters>35775</Characters>
  <Application>Microsoft Office Word</Application>
  <DocSecurity>8</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2019-07-29T17:38:00Z</dcterms:created>
  <dcterms:modified xsi:type="dcterms:W3CDTF">2019-12-05T17:30:00Z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