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4D8635C4" w:rsidR="00A765A5" w:rsidRPr="00A765A5" w:rsidRDefault="005B4ED6"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Biomedical Sciences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Health Sciences</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712266E3" w:rsidR="00A765A5" w:rsidRPr="00A765A5" w:rsidRDefault="002E0A4A" w:rsidP="00A765A5">
      <w:pPr>
        <w:rPr>
          <w:rFonts w:ascii="Calibri" w:eastAsia="MS Mincho" w:hAnsi="Calibri" w:cs="Calibri"/>
          <w:b/>
          <w:bCs/>
          <w:sz w:val="24"/>
          <w:szCs w:val="24"/>
        </w:rPr>
      </w:pPr>
      <w:r>
        <w:rPr>
          <w:rFonts w:ascii="Calibri" w:eastAsia="MS Mincho" w:hAnsi="Calibri" w:cs="Calibri"/>
          <w:i/>
          <w:sz w:val="24"/>
          <w:szCs w:val="24"/>
          <w:lang w:val="fr-FR"/>
        </w:rPr>
        <w:t>Biochemistry</w:t>
      </w:r>
      <w:r w:rsidR="00A765A5" w:rsidRPr="00A765A5">
        <w:rPr>
          <w:rFonts w:ascii="Calibri" w:eastAsia="MS Mincho" w:hAnsi="Calibri" w:cs="Calibri"/>
          <w:sz w:val="24"/>
          <w:szCs w:val="24"/>
          <w:lang w:val="fr-FR"/>
        </w:rPr>
        <w:t xml:space="preserve">, Vol. </w:t>
      </w:r>
      <w:r>
        <w:rPr>
          <w:rFonts w:ascii="Calibri" w:eastAsia="MS Mincho" w:hAnsi="Calibri" w:cs="Calibri"/>
          <w:sz w:val="24"/>
          <w:szCs w:val="24"/>
          <w:lang w:val="fr-FR"/>
        </w:rPr>
        <w:t>35</w:t>
      </w:r>
      <w:r w:rsidR="00A765A5" w:rsidRPr="00A765A5">
        <w:rPr>
          <w:rFonts w:ascii="Calibri" w:eastAsia="MS Mincho" w:hAnsi="Calibri" w:cs="Calibri"/>
          <w:sz w:val="24"/>
          <w:szCs w:val="24"/>
          <w:lang w:val="fr-FR"/>
        </w:rPr>
        <w:t xml:space="preserve">, No. </w:t>
      </w:r>
      <w:r>
        <w:rPr>
          <w:rFonts w:ascii="Calibri" w:eastAsia="MS Mincho" w:hAnsi="Calibri" w:cs="Calibri"/>
          <w:sz w:val="24"/>
          <w:szCs w:val="24"/>
          <w:lang w:val="fr-FR"/>
        </w:rPr>
        <w:t>18</w:t>
      </w:r>
      <w:r w:rsidR="00A765A5" w:rsidRPr="00A765A5">
        <w:rPr>
          <w:rFonts w:ascii="Calibri" w:eastAsia="MS Mincho" w:hAnsi="Calibri" w:cs="Calibri"/>
          <w:sz w:val="24"/>
          <w:szCs w:val="24"/>
          <w:lang w:val="fr-FR"/>
        </w:rPr>
        <w:t xml:space="preserve"> (</w:t>
      </w:r>
      <w:r>
        <w:rPr>
          <w:rFonts w:ascii="Calibri" w:eastAsia="MS Mincho" w:hAnsi="Calibri" w:cs="Calibri"/>
          <w:sz w:val="24"/>
          <w:szCs w:val="24"/>
          <w:lang w:val="fr-FR"/>
        </w:rPr>
        <w:t>May 1996</w:t>
      </w:r>
      <w:r w:rsidR="00A765A5" w:rsidRPr="00A765A5">
        <w:rPr>
          <w:rFonts w:ascii="Calibri" w:eastAsia="MS Mincho" w:hAnsi="Calibri" w:cs="Calibri"/>
          <w:sz w:val="24"/>
          <w:szCs w:val="24"/>
          <w:lang w:val="fr-FR"/>
        </w:rPr>
        <w:t xml:space="preserve">): </w:t>
      </w:r>
      <w:r>
        <w:rPr>
          <w:rFonts w:ascii="Calibri" w:eastAsia="MS Mincho" w:hAnsi="Calibri" w:cs="Calibri"/>
          <w:sz w:val="24"/>
          <w:szCs w:val="24"/>
          <w:lang w:val="fr-FR"/>
        </w:rPr>
        <w:t>5817-5821</w:t>
      </w:r>
      <w:r w:rsidR="00A765A5" w:rsidRPr="00A765A5">
        <w:rPr>
          <w:rFonts w:ascii="Calibri" w:eastAsia="MS Mincho" w:hAnsi="Calibri" w:cs="Calibri"/>
          <w:sz w:val="24"/>
          <w:szCs w:val="24"/>
          <w:lang w:val="fr-FR"/>
        </w:rPr>
        <w:t xml:space="preserve">. </w:t>
      </w:r>
      <w:hyperlink r:id="rId8"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A74170">
        <w:rPr>
          <w:rFonts w:ascii="Calibri" w:eastAsia="MS Mincho" w:hAnsi="Calibri" w:cs="Calibri"/>
          <w:sz w:val="24"/>
          <w:szCs w:val="24"/>
        </w:rPr>
        <w:t>American Chemical Society</w:t>
      </w:r>
      <w:r w:rsidR="00A765A5" w:rsidRPr="00A765A5">
        <w:rPr>
          <w:rFonts w:ascii="Calibri" w:eastAsia="MS Mincho" w:hAnsi="Calibri" w:cs="Calibri"/>
          <w:sz w:val="24"/>
          <w:szCs w:val="24"/>
        </w:rPr>
        <w:t xml:space="preserve"> and permission has been granted for this version to appear in </w:t>
      </w:r>
      <w:hyperlink r:id="rId9"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sidR="00A74170">
        <w:rPr>
          <w:rFonts w:ascii="Calibri" w:eastAsia="MS Mincho" w:hAnsi="Calibri" w:cs="Calibri"/>
          <w:sz w:val="24"/>
          <w:szCs w:val="24"/>
        </w:rPr>
        <w:t>American Chemical Society</w:t>
      </w:r>
      <w:r w:rsidR="00A765A5" w:rsidRPr="00A765A5">
        <w:rPr>
          <w:rFonts w:ascii="Calibri" w:eastAsia="MS Mincho" w:hAnsi="Calibri" w:cs="Calibri"/>
          <w:sz w:val="24"/>
          <w:szCs w:val="24"/>
        </w:rPr>
        <w:t xml:space="preserve"> does not grant permission for this article to be further copied/distributed or hosted elsewhere without express permission from </w:t>
      </w:r>
      <w:r w:rsidR="00A74170">
        <w:rPr>
          <w:rFonts w:ascii="Calibri" w:eastAsia="MS Mincho" w:hAnsi="Calibri" w:cs="Calibri"/>
          <w:sz w:val="24"/>
          <w:szCs w:val="24"/>
        </w:rPr>
        <w:t>American Chemical Society</w:t>
      </w:r>
      <w:r w:rsidR="00A765A5" w:rsidRPr="00A765A5">
        <w:rPr>
          <w:rFonts w:ascii="Calibri" w:eastAsia="MS Mincho" w:hAnsi="Calibri" w:cs="Calibri"/>
          <w:sz w:val="24"/>
          <w:szCs w:val="24"/>
        </w:rPr>
        <w:t>.</w:t>
      </w:r>
      <w:r w:rsidR="00A765A5" w:rsidRPr="00A765A5">
        <w:rPr>
          <w:rFonts w:ascii="Calibri" w:eastAsia="MS Mincho" w:hAnsi="Calibri" w:cs="Calibri"/>
          <w:b/>
          <w:bCs/>
          <w:sz w:val="24"/>
          <w:szCs w:val="24"/>
        </w:rPr>
        <w:t xml:space="preserve"> </w:t>
      </w:r>
      <w:bookmarkEnd w:id="1"/>
    </w:p>
    <w:p w14:paraId="3A117C40" w14:textId="77777777" w:rsidR="0045749C" w:rsidRDefault="0045749C" w:rsidP="005639B5"/>
    <w:p w14:paraId="03E2C0A3" w14:textId="6F4B2AF3" w:rsidR="005639B5" w:rsidRDefault="005639B5" w:rsidP="0045749C">
      <w:pPr>
        <w:pStyle w:val="Title"/>
      </w:pPr>
      <w:r>
        <w:t xml:space="preserve">Evidence for Intramolecular Cross-Linked </w:t>
      </w:r>
      <m:oMath>
        <m:r>
          <m:rPr>
            <m:sty m:val="p"/>
          </m:rPr>
          <w:rPr>
            <w:rFonts w:ascii="Cambria Math" w:hAnsi="Cambria Math"/>
          </w:rPr>
          <m:t>A</m:t>
        </m:r>
        <m:r>
          <w:rPr>
            <w:rFonts w:ascii="Cambria Math" w:hAnsi="Cambria Math"/>
          </w:rPr>
          <m:t>α·γ</m:t>
        </m:r>
      </m:oMath>
      <w:r>
        <w:t xml:space="preserve"> Chain Heterodimers in Plasma Fibrinogen</w:t>
      </w:r>
      <w:r w:rsidRPr="0099145C">
        <w:rPr>
          <w:vertAlign w:val="superscript"/>
        </w:rPr>
        <w:t>†</w:t>
      </w:r>
    </w:p>
    <w:p w14:paraId="5A326D16" w14:textId="77777777" w:rsidR="0045749C" w:rsidRDefault="0045749C" w:rsidP="005639B5"/>
    <w:p w14:paraId="35F8E3D3" w14:textId="77777777" w:rsidR="0045749C" w:rsidRPr="00FB6A15" w:rsidRDefault="005639B5" w:rsidP="00FB6A15">
      <w:pPr>
        <w:pStyle w:val="NoSpacing"/>
        <w:rPr>
          <w:sz w:val="32"/>
          <w:szCs w:val="32"/>
        </w:rPr>
      </w:pPr>
      <w:r w:rsidRPr="00FB6A15">
        <w:rPr>
          <w:sz w:val="32"/>
          <w:szCs w:val="32"/>
        </w:rPr>
        <w:t>Kevin R. Siebenlist</w:t>
      </w:r>
    </w:p>
    <w:p w14:paraId="0F4F7B03" w14:textId="5B24359C" w:rsidR="0045749C" w:rsidRPr="00FB6A15" w:rsidRDefault="00171E22" w:rsidP="00FB6A15">
      <w:pPr>
        <w:pStyle w:val="NoSpacing"/>
        <w:rPr>
          <w:sz w:val="24"/>
          <w:szCs w:val="24"/>
        </w:rPr>
      </w:pPr>
      <w:r w:rsidRPr="00FB6A15">
        <w:rPr>
          <w:sz w:val="24"/>
          <w:szCs w:val="24"/>
        </w:rPr>
        <w:t>Department of Basic Health Sciences, School of Dentistry, Marquette University</w:t>
      </w:r>
      <w:r w:rsidR="00FB6A15" w:rsidRPr="00FB6A15">
        <w:rPr>
          <w:sz w:val="24"/>
          <w:szCs w:val="24"/>
        </w:rPr>
        <w:t>, Milwaukee, WI</w:t>
      </w:r>
    </w:p>
    <w:p w14:paraId="04B94A49" w14:textId="2848E394" w:rsidR="001F6EC3" w:rsidRPr="00FB6A15" w:rsidRDefault="005639B5" w:rsidP="00FB6A15">
      <w:pPr>
        <w:pStyle w:val="NoSpacing"/>
        <w:rPr>
          <w:sz w:val="32"/>
          <w:szCs w:val="32"/>
        </w:rPr>
      </w:pPr>
      <w:r w:rsidRPr="00FB6A15">
        <w:rPr>
          <w:sz w:val="32"/>
          <w:szCs w:val="32"/>
        </w:rPr>
        <w:t>Michael W. Mosesson</w:t>
      </w:r>
    </w:p>
    <w:p w14:paraId="1729858E" w14:textId="77777777" w:rsidR="00FB6A15" w:rsidRPr="00FB6A15" w:rsidRDefault="00FB6A15" w:rsidP="00FB6A15">
      <w:pPr>
        <w:pStyle w:val="NoSpacing"/>
        <w:rPr>
          <w:sz w:val="24"/>
          <w:szCs w:val="24"/>
        </w:rPr>
      </w:pPr>
      <w:r w:rsidRPr="00FB6A15">
        <w:rPr>
          <w:sz w:val="24"/>
          <w:szCs w:val="24"/>
        </w:rPr>
        <w:t>University of Wisconsin Medical School, Sinai Samaritan Medical Center, Milwaukee, Wisconsin</w:t>
      </w:r>
    </w:p>
    <w:p w14:paraId="5B2888D2" w14:textId="77777777" w:rsidR="0045749C" w:rsidRDefault="0045749C" w:rsidP="005639B5"/>
    <w:p w14:paraId="5046A5B0" w14:textId="77777777" w:rsidR="004848EC" w:rsidRPr="004848EC" w:rsidRDefault="004848EC" w:rsidP="0045749C">
      <w:pPr>
        <w:pStyle w:val="Heading1"/>
      </w:pPr>
      <w:r w:rsidRPr="004848EC">
        <w:t>Abstract</w:t>
      </w:r>
    </w:p>
    <w:p w14:paraId="414F30C5" w14:textId="7923EEC3" w:rsidR="004848EC" w:rsidRPr="004848EC" w:rsidRDefault="004848EC" w:rsidP="004848EC">
      <w:r w:rsidRPr="004848EC">
        <w:t xml:space="preserve">A peptide band of </w:t>
      </w:r>
      <w:r w:rsidRPr="004848EC">
        <w:rPr>
          <w:rFonts w:ascii="Cambria Math" w:hAnsi="Cambria Math" w:cs="Cambria Math"/>
        </w:rPr>
        <w:t>∼</w:t>
      </w:r>
      <w:r w:rsidRPr="004848EC">
        <w:t xml:space="preserve">105 kDa migrating near the </w:t>
      </w:r>
      <m:oMath>
        <m:r>
          <w:rPr>
            <w:rFonts w:ascii="Cambria Math" w:hAnsi="Cambria Math"/>
          </w:rPr>
          <m:t>γ</m:t>
        </m:r>
      </m:oMath>
      <w:r w:rsidRPr="004848EC">
        <w:t xml:space="preserve"> dimer position of disulfide bond reduced human plasma fibrinogen prepared from fresh single donor or outdated plasma was identified by SDS−PAGE. The band, amounting to </w:t>
      </w:r>
      <w:r w:rsidRPr="004848EC">
        <w:rPr>
          <w:rFonts w:ascii="Cambria Math" w:hAnsi="Cambria Math" w:cs="Cambria Math"/>
        </w:rPr>
        <w:t>∼</w:t>
      </w:r>
      <w:r w:rsidRPr="004848EC">
        <w:t xml:space="preserve">2% of the total </w:t>
      </w:r>
      <m:oMath>
        <m:r>
          <m:rPr>
            <m:sty m:val="p"/>
          </m:rPr>
          <w:rPr>
            <w:rFonts w:ascii="Cambria Math" w:hAnsi="Cambria Math"/>
          </w:rPr>
          <m:t>A</m:t>
        </m:r>
        <m:r>
          <w:rPr>
            <w:rFonts w:ascii="Cambria Math" w:hAnsi="Cambria Math"/>
          </w:rPr>
          <m:t>α/γ</m:t>
        </m:r>
      </m:oMath>
      <w:r w:rsidRPr="004848EC">
        <w:t xml:space="preserve"> chain population, was thrombin and plasmin sensitive and reacted with antibodies to Aα or </w:t>
      </w:r>
      <m:oMath>
        <m:r>
          <w:rPr>
            <w:rFonts w:ascii="Cambria Math" w:hAnsi="Cambria Math"/>
          </w:rPr>
          <m:t>γ</m:t>
        </m:r>
      </m:oMath>
      <w:r w:rsidRPr="004848EC">
        <w:t xml:space="preserve"> chains but not with antibodies to </w:t>
      </w:r>
      <m:oMath>
        <m:r>
          <m:rPr>
            <m:sty m:val="p"/>
          </m:rPr>
          <w:rPr>
            <w:rFonts w:ascii="Cambria Math" w:hAnsi="Cambria Math"/>
          </w:rPr>
          <m:t>B</m:t>
        </m:r>
        <m:r>
          <w:rPr>
            <w:rFonts w:ascii="Cambria Math" w:hAnsi="Cambria Math"/>
          </w:rPr>
          <m:t>β</m:t>
        </m:r>
      </m:oMath>
      <w:r w:rsidRPr="004848EC">
        <w:t xml:space="preserve"> chains, plasminogen, or factor XIII. Amino acid sequencing revealed a double sequence corresponding to that of </w:t>
      </w:r>
      <m:oMath>
        <m:r>
          <m:rPr>
            <m:sty m:val="p"/>
          </m:rPr>
          <w:rPr>
            <w:rFonts w:ascii="Cambria Math" w:hAnsi="Cambria Math"/>
          </w:rPr>
          <m:t>A</m:t>
        </m:r>
        <m:r>
          <w:rPr>
            <w:rFonts w:ascii="Cambria Math" w:hAnsi="Cambria Math"/>
          </w:rPr>
          <m:t>α</m:t>
        </m:r>
      </m:oMath>
      <w:r w:rsidRPr="004848EC">
        <w:t xml:space="preserve"> and </w:t>
      </w:r>
      <m:oMath>
        <m:r>
          <w:rPr>
            <w:rFonts w:ascii="Cambria Math" w:hAnsi="Cambria Math"/>
          </w:rPr>
          <m:t>γ</m:t>
        </m:r>
      </m:oMath>
      <w:r w:rsidRPr="004848EC">
        <w:t xml:space="preserve"> chains, indicating that the band consists of covalently cross-linked </w:t>
      </w:r>
      <m:oMath>
        <m:r>
          <m:rPr>
            <m:sty m:val="p"/>
          </m:rPr>
          <w:rPr>
            <w:rFonts w:ascii="Cambria Math" w:hAnsi="Cambria Math"/>
          </w:rPr>
          <m:t>A</m:t>
        </m:r>
        <m:r>
          <w:rPr>
            <w:rFonts w:ascii="Cambria Math" w:hAnsi="Cambria Math"/>
          </w:rPr>
          <m:t>α·γ</m:t>
        </m:r>
      </m:oMath>
      <w:r w:rsidRPr="004848EC">
        <w:t xml:space="preserve"> chain heterodimers. </w:t>
      </w:r>
      <m:oMath>
        <m:r>
          <m:rPr>
            <m:sty m:val="p"/>
          </m:rPr>
          <w:rPr>
            <w:rFonts w:ascii="Cambria Math" w:hAnsi="Cambria Math"/>
          </w:rPr>
          <m:t>A</m:t>
        </m:r>
        <m:r>
          <w:rPr>
            <w:rFonts w:ascii="Cambria Math" w:hAnsi="Cambria Math"/>
          </w:rPr>
          <m:t>α·γ</m:t>
        </m:r>
      </m:oMath>
      <w:r w:rsidRPr="004848EC">
        <w:t xml:space="preserve"> heterodimers were identified as a component of monomeric fibrinogen by two-dimensional SDS−PAGE </w:t>
      </w:r>
      <w:r w:rsidRPr="004848EC">
        <w:lastRenderedPageBreak/>
        <w:t xml:space="preserve">and by SDS−PAGE analysis of the monomer fraction isolated by gel sieving chromatography, thus indicating that </w:t>
      </w:r>
      <w:bookmarkStart w:id="2" w:name="_Hlk115867634"/>
      <m:oMath>
        <m:r>
          <m:rPr>
            <m:sty m:val="p"/>
          </m:rPr>
          <w:rPr>
            <w:rFonts w:ascii="Cambria Math" w:hAnsi="Cambria Math"/>
          </w:rPr>
          <m:t>A</m:t>
        </m:r>
        <m:r>
          <w:rPr>
            <w:rFonts w:ascii="Cambria Math" w:hAnsi="Cambria Math"/>
          </w:rPr>
          <m:t>α·γ</m:t>
        </m:r>
      </m:oMath>
      <w:bookmarkEnd w:id="2"/>
      <w:r w:rsidRPr="004848EC">
        <w:t xml:space="preserve"> heterodimers arise by </w:t>
      </w:r>
      <w:r w:rsidRPr="004848EC">
        <w:rPr>
          <w:i/>
          <w:iCs/>
        </w:rPr>
        <w:t>intramolecular</w:t>
      </w:r>
      <w:r w:rsidRPr="004848EC">
        <w:t> </w:t>
      </w:r>
      <m:oMath>
        <m:r>
          <m:rPr>
            <m:sty m:val="p"/>
          </m:rPr>
          <w:rPr>
            <w:rFonts w:ascii="Cambria Math" w:hAnsi="Cambria Math"/>
          </w:rPr>
          <m:t>A</m:t>
        </m:r>
        <m:r>
          <w:rPr>
            <w:rFonts w:ascii="Cambria Math" w:hAnsi="Cambria Math"/>
          </w:rPr>
          <m:t>α/γ</m:t>
        </m:r>
      </m:oMath>
      <w:r w:rsidRPr="004848EC">
        <w:t xml:space="preserve"> chain cross-linking.</w:t>
      </w:r>
    </w:p>
    <w:p w14:paraId="7BABD1CE" w14:textId="77777777" w:rsidR="00962FA5" w:rsidRDefault="00962FA5" w:rsidP="00141A0D"/>
    <w:p w14:paraId="11EA9A7E" w14:textId="23112623" w:rsidR="00141A0D" w:rsidRPr="00141A0D" w:rsidRDefault="00141A0D" w:rsidP="00141A0D">
      <w:r w:rsidRPr="00141A0D">
        <w:t>In the presence of factor XIIIa, fibrin assembly is accompanied by intermolecular covalent cross-linking, in which ε-amino (</w:t>
      </w:r>
      <m:oMath>
        <m:r>
          <w:rPr>
            <w:rFonts w:ascii="Cambria Math" w:hAnsi="Cambria Math"/>
          </w:rPr>
          <m:t>γ</m:t>
        </m:r>
      </m:oMath>
      <w:r w:rsidR="00A26ACC" w:rsidRPr="00141A0D">
        <w:t xml:space="preserve"> </w:t>
      </w:r>
      <w:r w:rsidRPr="00141A0D">
        <w:t xml:space="preserve">-glutamyl) lysine isopeptide bonds are introduced between appropriately positioned donor lysine and acceptor glutamine residues (Pisano et al., 1968; Matačic̀ &amp; Loewy, 1968). Cross-linking occurs initially between </w:t>
      </w:r>
      <m:oMath>
        <m:r>
          <w:rPr>
            <w:rFonts w:ascii="Cambria Math" w:hAnsi="Cambria Math"/>
          </w:rPr>
          <m:t>γ</m:t>
        </m:r>
      </m:oMath>
      <w:r w:rsidRPr="00141A0D">
        <w:t xml:space="preserve"> chains to form </w:t>
      </w:r>
      <m:oMath>
        <m:r>
          <w:rPr>
            <w:rFonts w:ascii="Cambria Math" w:hAnsi="Cambria Math"/>
          </w:rPr>
          <m:t>γ</m:t>
        </m:r>
      </m:oMath>
      <w:r w:rsidRPr="00141A0D">
        <w:t xml:space="preserve"> dimers. Concomitantly, albeit at a slower rate, cross-linking occurs among α chains (McKee et al., 1970; Folk &amp; Finlayson, 1977) and to a minor extent between α and </w:t>
      </w:r>
      <m:oMath>
        <m:r>
          <w:rPr>
            <w:rFonts w:ascii="Cambria Math" w:hAnsi="Cambria Math"/>
          </w:rPr>
          <m:t>γ</m:t>
        </m:r>
      </m:oMath>
      <w:r w:rsidRPr="00141A0D">
        <w:t xml:space="preserve"> chains (Mosesson et al., 1989; Amrani &amp; Mosesson, 1989; Shainoff et al., 1991; Grøn et al., 1993). Continued factor XIIIa activity among the existing </w:t>
      </w:r>
      <m:oMath>
        <m:r>
          <w:rPr>
            <w:rFonts w:ascii="Cambria Math" w:hAnsi="Cambria Math"/>
          </w:rPr>
          <m:t>γ</m:t>
        </m:r>
      </m:oMath>
      <w:r w:rsidRPr="00141A0D">
        <w:t xml:space="preserve"> dimer population results in slow progressive evolution of </w:t>
      </w:r>
      <m:oMath>
        <m:r>
          <w:rPr>
            <w:rFonts w:ascii="Cambria Math" w:hAnsi="Cambria Math"/>
          </w:rPr>
          <m:t>γ</m:t>
        </m:r>
      </m:oMath>
      <w:r w:rsidRPr="00141A0D">
        <w:t xml:space="preserve"> chain multimers (Mosesson et al., 1989; Shainoff et al., 1991; Siebenlist &amp; Mosesson, 1992). XIIIa can also cross-link fibrinogen (Kanaide &amp; Shainoff, 1975; Mosesson et al., 1996), which forms a translucent, nonsynergizing gel, concomitant with </w:t>
      </w:r>
      <m:oMath>
        <m:r>
          <w:rPr>
            <w:rFonts w:ascii="Cambria Math" w:hAnsi="Cambria Math"/>
          </w:rPr>
          <m:t>γ</m:t>
        </m:r>
      </m:oMath>
      <w:r w:rsidRPr="00141A0D">
        <w:t xml:space="preserve"> dimer formation. </w:t>
      </w:r>
      <m:oMath>
        <m:r>
          <w:rPr>
            <w:rFonts w:ascii="Cambria Math" w:hAnsi="Cambria Math"/>
          </w:rPr>
          <m:t>γ</m:t>
        </m:r>
      </m:oMath>
      <w:r w:rsidRPr="00141A0D">
        <w:t xml:space="preserve"> chain multimers and cross-linked α−γ hybrid chains have also been detected in XIIIa cross-linked fibrinogen polymers (Murthy &amp; Lorand, 1990; Shainoff et al., 1991).</w:t>
      </w:r>
    </w:p>
    <w:p w14:paraId="70358BE4" w14:textId="1540C1AA" w:rsidR="00141A0D" w:rsidRPr="00141A0D" w:rsidRDefault="00141A0D" w:rsidP="00141A0D">
      <w:r w:rsidRPr="00141A0D">
        <w:t xml:space="preserve">Fibrinogen and fibrin can also be cross-linked by tissue transglutaminase, which follows a different course than that of XIIIa (Chung, 1972; Purves et al., 1987; Murthy &amp; Lorand, 1990; Shainoff et al., 1991). α chains become cross-linked more rapidly than </w:t>
      </w:r>
      <m:oMath>
        <m:r>
          <w:rPr>
            <w:rFonts w:ascii="Cambria Math" w:hAnsi="Cambria Math"/>
          </w:rPr>
          <m:t>γ</m:t>
        </m:r>
      </m:oMath>
      <w:r w:rsidRPr="00141A0D">
        <w:t xml:space="preserve"> chains, and both α and </w:t>
      </w:r>
      <m:oMath>
        <m:r>
          <w:rPr>
            <w:rFonts w:ascii="Cambria Math" w:hAnsi="Cambria Math"/>
          </w:rPr>
          <m:t>γ</m:t>
        </m:r>
      </m:oMath>
      <w:r w:rsidRPr="00141A0D">
        <w:t xml:space="preserve"> chains become incorporated into high molecular weight polymeric structures. There is no direct evidence that </w:t>
      </w:r>
      <m:oMath>
        <m:r>
          <w:rPr>
            <w:rFonts w:ascii="Cambria Math" w:hAnsi="Cambria Math"/>
          </w:rPr>
          <m:t>γ</m:t>
        </m:r>
      </m:oMath>
      <w:r w:rsidRPr="00141A0D">
        <w:t xml:space="preserve"> dimers, per se, are formed (Purves et al., 1987; Shainoff et al., 1991), since </w:t>
      </w:r>
      <m:oMath>
        <m:r>
          <w:rPr>
            <w:rFonts w:ascii="Cambria Math" w:hAnsi="Cambria Math"/>
          </w:rPr>
          <m:t>γ</m:t>
        </m:r>
      </m:oMath>
      <w:r w:rsidRPr="00141A0D">
        <w:t xml:space="preserve"> chains become preferentially incorporated into α-γ hybrids early in the cross-linking reaction (Murthy &amp; Lorand, 1990; Shainoff et al., 1991).</w:t>
      </w:r>
    </w:p>
    <w:p w14:paraId="5144ABE7" w14:textId="1A5A2428" w:rsidR="00141A0D" w:rsidRPr="00141A0D" w:rsidRDefault="00141A0D" w:rsidP="00141A0D">
      <w:r w:rsidRPr="00141A0D">
        <w:t>Recent studies have shown that erythrocyte transglutaminase can cross-link fibrinogen (Murthy et al., 1991), although this type of cross-linking reaction is not known to occur </w:t>
      </w:r>
      <w:r w:rsidRPr="00141A0D">
        <w:rPr>
          <w:i/>
          <w:iCs/>
        </w:rPr>
        <w:t>in vivo</w:t>
      </w:r>
      <w:r w:rsidRPr="00141A0D">
        <w:t xml:space="preserve"> in circulating fibrinogen molecules. In this report, we demonstrate the existence of a subpopulation of native fibrinogen molecules containing intramolecular cross-links between </w:t>
      </w:r>
      <m:oMath>
        <m:r>
          <m:rPr>
            <m:sty m:val="p"/>
          </m:rPr>
          <w:rPr>
            <w:rFonts w:ascii="Cambria Math" w:hAnsi="Cambria Math"/>
          </w:rPr>
          <m:t>A</m:t>
        </m:r>
        <m:r>
          <w:rPr>
            <w:rFonts w:ascii="Cambria Math" w:hAnsi="Cambria Math"/>
          </w:rPr>
          <m:t>α</m:t>
        </m:r>
      </m:oMath>
      <w:r w:rsidRPr="00141A0D">
        <w:t xml:space="preserve"> and </w:t>
      </w:r>
      <m:oMath>
        <m:r>
          <w:rPr>
            <w:rFonts w:ascii="Cambria Math" w:hAnsi="Cambria Math"/>
          </w:rPr>
          <m:t>γ</m:t>
        </m:r>
      </m:oMath>
      <w:r w:rsidRPr="00141A0D">
        <w:t xml:space="preserve"> chains, probably mediated </w:t>
      </w:r>
      <w:r w:rsidRPr="00141A0D">
        <w:rPr>
          <w:i/>
          <w:iCs/>
        </w:rPr>
        <w:t>in vivo</w:t>
      </w:r>
      <w:r w:rsidRPr="00141A0D">
        <w:t> by a tissue transglutaminase.</w:t>
      </w:r>
    </w:p>
    <w:p w14:paraId="5283A358" w14:textId="77777777" w:rsidR="00141A0D" w:rsidRPr="00141A0D" w:rsidRDefault="00141A0D" w:rsidP="007E52AA">
      <w:pPr>
        <w:pStyle w:val="Heading1"/>
      </w:pPr>
      <w:r w:rsidRPr="00141A0D">
        <w:t>Methods</w:t>
      </w:r>
    </w:p>
    <w:p w14:paraId="3237C713" w14:textId="3105D5D8" w:rsidR="00141A0D" w:rsidRPr="00141A0D" w:rsidRDefault="00141A0D" w:rsidP="00141A0D">
      <w:r w:rsidRPr="00141A0D">
        <w:t>All chemicals and reagents were the highest grade available from commercial sources. Human fibrinogen (greater than 98% coagulable) was isolated from pooled citrated plasma by glycine precipitation (Kazal et al., 1963) and subfractionated to fraction I-2 by an established procedure (Mosesson &amp; Sherry, 1966). Fibrinogen concentrations were determined spectrophotometrically at 280 nm using an absorbance coefficient </w:t>
      </w:r>
      <m:oMath>
        <m:sSubSup>
          <m:sSubSupPr>
            <m:ctrlPr>
              <w:rPr>
                <w:rFonts w:ascii="Cambria Math" w:hAnsi="Cambria Math"/>
                <w:i/>
              </w:rPr>
            </m:ctrlPr>
          </m:sSubSupPr>
          <m:e>
            <m:r>
              <w:rPr>
                <w:rFonts w:ascii="Cambria Math" w:hAnsi="Cambria Math"/>
              </w:rPr>
              <m:t>A</m:t>
            </m:r>
          </m:e>
          <m:sub>
            <m:r>
              <m:rPr>
                <m:sty m:val="p"/>
              </m:rPr>
              <w:rPr>
                <w:rFonts w:ascii="Cambria Math" w:hAnsi="Cambria Math"/>
              </w:rPr>
              <m:t>cm</m:t>
            </m:r>
          </m:sub>
          <m:sup>
            <m:r>
              <w:rPr>
                <w:rFonts w:ascii="Cambria Math" w:hAnsi="Cambria Math"/>
              </w:rPr>
              <m:t>1%</m:t>
            </m:r>
          </m:sup>
        </m:sSubSup>
      </m:oMath>
      <w:r w:rsidR="00F648AA">
        <w:t xml:space="preserve"> </w:t>
      </w:r>
      <w:r w:rsidRPr="00141A0D">
        <w:t xml:space="preserve">of 15.1 (Mosesson &amp; Finlayson, 1963). Peak 1 </w:t>
      </w:r>
      <m:oMath>
        <m:r>
          <w:rPr>
            <w:rFonts w:ascii="Cambria Math" w:hAnsi="Cambria Math"/>
          </w:rPr>
          <m:t>(γ</m:t>
        </m:r>
        <m:r>
          <m:rPr>
            <m:sty m:val="p"/>
          </m:rPr>
          <w:rPr>
            <w:rFonts w:ascii="Cambria Math" w:hAnsi="Cambria Math"/>
          </w:rPr>
          <m:t>A</m:t>
        </m:r>
        <m:r>
          <w:rPr>
            <w:rFonts w:ascii="Cambria Math" w:hAnsi="Cambria Math"/>
          </w:rPr>
          <m:t>, γ</m:t>
        </m:r>
        <m:r>
          <m:rPr>
            <m:sty m:val="p"/>
          </m:rPr>
          <w:rPr>
            <w:rFonts w:ascii="Cambria Math" w:hAnsi="Cambria Math"/>
          </w:rPr>
          <m:t>A</m:t>
        </m:r>
        <m:r>
          <w:rPr>
            <w:rFonts w:ascii="Cambria Math" w:hAnsi="Cambria Math"/>
          </w:rPr>
          <m:t>)</m:t>
        </m:r>
      </m:oMath>
      <w:r w:rsidRPr="00141A0D">
        <w:t xml:space="preserve"> and peak 2 </w:t>
      </w:r>
      <m:oMath>
        <m:r>
          <w:rPr>
            <w:rFonts w:ascii="Cambria Math" w:hAnsi="Cambria Math"/>
          </w:rPr>
          <m:t>(γ</m:t>
        </m:r>
        <m:r>
          <m:rPr>
            <m:sty m:val="p"/>
          </m:rPr>
          <w:rPr>
            <w:rFonts w:ascii="Cambria Math" w:hAnsi="Cambria Math"/>
          </w:rPr>
          <m:t>A</m:t>
        </m:r>
        <m:r>
          <w:rPr>
            <w:rFonts w:ascii="Cambria Math" w:hAnsi="Cambria Math"/>
          </w:rPr>
          <m:t>, γ‘)</m:t>
        </m:r>
      </m:oMath>
      <w:r w:rsidRPr="00141A0D">
        <w:t xml:space="preserve"> fibrinogen were prepared from fraction I-2 by chromatography on DE-52 (Whatman Inc., Clifton, NJ) (Finlayson &amp; Mosesson, 1963; Mosesson et al., 1972). Single donor plasma was obtained by contrifugation of blood collected into acid−citrate−dextrose (9:1) supplemented with a variety of protease/transglutaminase inhibitors [PMSF (0.5 mM, final); aprotinin (15 KIU/mL, final) (Trasylol, Mobay Chemical Corp., New York); PPACK (2.5 μM, final) (Calbiochem, San Diego, CA); </w:t>
      </w:r>
      <w:r w:rsidRPr="00141A0D">
        <w:rPr>
          <w:i/>
          <w:iCs/>
        </w:rPr>
        <w:t>N</w:t>
      </w:r>
      <w:r w:rsidRPr="00141A0D">
        <w:t>-ethylmaleimide (10 mM, final); EDTA (5 mM, final)]. These inhibitors were added to all solutions employed during fibrinogen isolation. Fibrinogen was labeled with </w:t>
      </w:r>
      <w:r w:rsidRPr="00141A0D">
        <w:rPr>
          <w:vertAlign w:val="superscript"/>
        </w:rPr>
        <w:t>125</w:t>
      </w:r>
      <w:r w:rsidRPr="00141A0D">
        <w:t>I using the iodine monochloride method (McFarlane, 1963), resulting in a labeling ratio of 0.6 atom of </w:t>
      </w:r>
      <w:r w:rsidRPr="00141A0D">
        <w:rPr>
          <w:vertAlign w:val="superscript"/>
        </w:rPr>
        <w:t>125</w:t>
      </w:r>
      <w:r w:rsidRPr="00141A0D">
        <w:t>I per fibrinogen molecule.</w:t>
      </w:r>
    </w:p>
    <w:p w14:paraId="20DCE6E4" w14:textId="6812B8B7" w:rsidR="00141A0D" w:rsidRPr="00141A0D" w:rsidRDefault="00141A0D" w:rsidP="00141A0D">
      <w:r w:rsidRPr="00141A0D">
        <w:t xml:space="preserve">Factor XIII was purified from pooled human plasma (Lorand &amp; Gotoh, 1970); its specific activity ranged from 2000 to 2500 Loewy units/mg (Loewy et al., 1961). Factor XIII was activated to factor XIIIa by addition of human </w:t>
      </w:r>
      <m:oMath>
        <m:r>
          <w:rPr>
            <w:rFonts w:ascii="Cambria Math" w:hAnsi="Cambria Math"/>
          </w:rPr>
          <m:t>α</m:t>
        </m:r>
      </m:oMath>
      <w:r w:rsidRPr="00141A0D">
        <w:t>-thrombin (10 units/mL) (Enzyme Research Inc., South Bend, IN) (Kanaide &amp; Shainoff, 1975). Plasminogen was </w:t>
      </w:r>
      <w:bookmarkStart w:id="3" w:name="bi003501805818"/>
      <w:bookmarkEnd w:id="3"/>
      <w:r w:rsidRPr="00141A0D">
        <w:t>isolated from human plasma by affinity chromatography on lysine−Sepharose (Robbins &amp; Summaria, 1976), activated to plasmin by incubation with streptokinase (1:800 molar ratio) for 20 h at room temperature (Robbins &amp; Summaria, 1970), and assayed colorometrically using Kabi S-2251 (Chromogenix, Mölndal, Sweden).</w:t>
      </w:r>
    </w:p>
    <w:p w14:paraId="55927B24" w14:textId="77777777" w:rsidR="00141A0D" w:rsidRPr="00141A0D" w:rsidRDefault="00141A0D" w:rsidP="00141A0D">
      <w:r w:rsidRPr="00141A0D">
        <w:t>For analysis of thrombin or plasmin susceptibility, fibrinogen (1 mg/mL) in 50 mM Tris and 100 mM NaCl, pH 7.4, was clotted by the addition of thrombin (0.5 unit/mL) and incubated at room temperature for 1 h or digested with plasmin (0.1 unit/mL) for up to 360 min at room temperature. Digestions were terminated by adding Laemmli sample buffer containing reducing agents.</w:t>
      </w:r>
    </w:p>
    <w:p w14:paraId="6F8AE466" w14:textId="51FF9C7E" w:rsidR="00141A0D" w:rsidRPr="00141A0D" w:rsidRDefault="00141A0D" w:rsidP="00141A0D">
      <w:r w:rsidRPr="00141A0D">
        <w:t xml:space="preserve">SDS−PAGE was performed as described by Weber and Osborn (1969) for tube gels (3 mm diameter) or on 1.5 mm slab gels using the method of Laemmli (1970). Five percent polyacrylamide gels were used for reduced samples and 7.5% or 9% gels for disulfide bond reduced samples. Fibrinogen fractions from a gel sieving column were analyzed on 8−25% gels using the Phast Gel System (Pharmacia, Piscataway, NJ) and stained with 0.5% Coomassie Brilliant Blue R250 (Sigma Chemical Co., St. Louis, MO). Immunoblotting was carried out on samples that had been separated by SDS−PAGE (Laemmli, 1970), electroblotted onto nitrocellulose paper, and probed with polyclonal rabbit antibodies raised against the </w:t>
      </w:r>
      <m:oMath>
        <m:r>
          <m:rPr>
            <m:sty m:val="p"/>
          </m:rPr>
          <w:rPr>
            <w:rFonts w:ascii="Cambria Math" w:hAnsi="Cambria Math"/>
          </w:rPr>
          <m:t>A</m:t>
        </m:r>
        <m:r>
          <w:rPr>
            <w:rFonts w:ascii="Cambria Math" w:hAnsi="Cambria Math"/>
          </w:rPr>
          <m:t>α</m:t>
        </m:r>
      </m:oMath>
      <w:r w:rsidRPr="00141A0D">
        <w:t xml:space="preserve">, </w:t>
      </w:r>
      <m:oMath>
        <m:r>
          <m:rPr>
            <m:sty m:val="p"/>
          </m:rPr>
          <w:rPr>
            <w:rFonts w:ascii="Cambria Math" w:hAnsi="Cambria Math"/>
          </w:rPr>
          <m:t>B</m:t>
        </m:r>
        <m:r>
          <w:rPr>
            <w:rFonts w:ascii="Cambria Math" w:hAnsi="Cambria Math"/>
          </w:rPr>
          <m:t>β</m:t>
        </m:r>
      </m:oMath>
      <w:r w:rsidRPr="00141A0D">
        <w:t xml:space="preserve">, and </w:t>
      </w:r>
      <m:oMath>
        <m:r>
          <w:rPr>
            <w:rFonts w:ascii="Cambria Math" w:hAnsi="Cambria Math"/>
          </w:rPr>
          <m:t>γ</m:t>
        </m:r>
      </m:oMath>
      <w:r w:rsidRPr="00141A0D">
        <w:t xml:space="preserve"> chain of fibrinogen, factor XIII, or plasminogen (Dako Corp., Carpinteria, CA) followed by </w:t>
      </w:r>
      <w:r w:rsidRPr="00141A0D">
        <w:rPr>
          <w:vertAlign w:val="superscript"/>
        </w:rPr>
        <w:t>125</w:t>
      </w:r>
      <w:r w:rsidRPr="00141A0D">
        <w:t>I-labeled goat anti-rabbit IgG.</w:t>
      </w:r>
    </w:p>
    <w:p w14:paraId="3E691278" w14:textId="77777777" w:rsidR="00141A0D" w:rsidRPr="00141A0D" w:rsidRDefault="00141A0D" w:rsidP="00141A0D">
      <w:r w:rsidRPr="00141A0D">
        <w:t>Size exclusion chromatography on 50−100 mg fibrinogen samples was performed on a tandem pair of 1.5 × 90 cm columns that had been equilibrated in either 50 mM Tris, 100 mM NaCl, 0.5 mM PMSF, and 5 KIU/mL aprotinin, pH 7.4, buffer or the same buffer containing 500 mM NaCl and developed at a flow rate of 15 mL/h.</w:t>
      </w:r>
    </w:p>
    <w:p w14:paraId="5FF65158" w14:textId="77777777" w:rsidR="00141A0D" w:rsidRPr="00141A0D" w:rsidRDefault="00141A0D" w:rsidP="00141A0D">
      <w:r w:rsidRPr="00141A0D">
        <w:t>For amino acid sequencing, reduced fibrinogen chains were separated on 7.5% polyacrylamide gels (Laemmli, 1970), the regions of interest were excised from the gel, and the protein was recovered by electroelution. The pooled and concentrated samples were reelectrophoresed, electroblotted onto a poly(vinylidene difluoride) membrane (Matsudaira, 1987), excised, and then subjected to automated sequencing on a model 477A Applied Biosystems pulsed liquid-phase sequencer with a model 120A on-line phenylthiohydantoin amino acid analyzer.</w:t>
      </w:r>
    </w:p>
    <w:p w14:paraId="079B8F50" w14:textId="77777777" w:rsidR="00141A0D" w:rsidRPr="00CA17F0" w:rsidRDefault="00141A0D" w:rsidP="00CA17F0">
      <w:pPr>
        <w:pStyle w:val="Heading1"/>
      </w:pPr>
      <w:r w:rsidRPr="00CA17F0">
        <w:t>Results</w:t>
      </w:r>
    </w:p>
    <w:p w14:paraId="37E7674F" w14:textId="77777777" w:rsidR="00CA17F0" w:rsidRDefault="00141A0D" w:rsidP="00CA17F0">
      <w:pPr>
        <w:pStyle w:val="Heading2"/>
      </w:pPr>
      <w:r w:rsidRPr="00141A0D">
        <w:t xml:space="preserve">Identification of a 105 kDa Peptide in Fibrinogen. </w:t>
      </w:r>
    </w:p>
    <w:p w14:paraId="03E0B05C" w14:textId="26003295" w:rsidR="00141A0D" w:rsidRPr="00141A0D" w:rsidRDefault="00141A0D" w:rsidP="00141A0D">
      <w:r w:rsidRPr="00141A0D">
        <w:t>During studies originally designed to explore the cross-linking reaction between fibrin(ogen) and factor XIIIa, a radioactive band was noted on autoradiographs of reduced un-cross-linked </w:t>
      </w:r>
      <w:r w:rsidRPr="00141A0D">
        <w:rPr>
          <w:vertAlign w:val="superscript"/>
        </w:rPr>
        <w:t>125</w:t>
      </w:r>
      <w:r w:rsidRPr="00141A0D">
        <w:t xml:space="preserve">I-labeled fibrinogen (Figure 1, lane A). This band migrated close to the </w:t>
      </w:r>
      <m:oMath>
        <m:r>
          <w:rPr>
            <w:rFonts w:ascii="Cambria Math" w:hAnsi="Cambria Math"/>
          </w:rPr>
          <m:t>γ</m:t>
        </m:r>
      </m:oMath>
      <w:r w:rsidRPr="00141A0D">
        <w:t xml:space="preserve"> dimer position corresponding to a molecular mass of </w:t>
      </w:r>
      <w:r w:rsidRPr="00141A0D">
        <w:rPr>
          <w:rFonts w:ascii="Cambria Math" w:hAnsi="Cambria Math" w:cs="Cambria Math"/>
        </w:rPr>
        <w:t>∼</w:t>
      </w:r>
      <w:r w:rsidRPr="00141A0D">
        <w:t>105 kDa. This unanticipated band could also be detected on Coomassie Blue stained SDS</w:t>
      </w:r>
      <w:r w:rsidRPr="00141A0D">
        <w:rPr>
          <w:rFonts w:ascii="Calibri" w:hAnsi="Calibri" w:cs="Calibri"/>
        </w:rPr>
        <w:t>−</w:t>
      </w:r>
      <w:r w:rsidRPr="00141A0D">
        <w:t xml:space="preserve">PAGE gels of reduced fibrinogen (Figure 1, lane B). However, unlike </w:t>
      </w:r>
      <m:oMath>
        <m:r>
          <w:rPr>
            <w:rFonts w:ascii="Cambria Math" w:hAnsi="Cambria Math"/>
          </w:rPr>
          <m:t>γ</m:t>
        </m:r>
      </m:oMath>
      <w:r w:rsidRPr="00141A0D">
        <w:t xml:space="preserve"> dimers, the 105 kDa band was thrombin sensitive, as assessed by the faster migration rate in fibrin samples compared with fibrinogen (Figure 2). The band was also plasmin sensitive, disappearing from its SDS−PAGE position in the same time frame as monomeric fibrinogen chains (Figure 3). On the basis of densitometric analysis of Coomassie blue stained gels, this band represented approximately 2% of the total </w:t>
      </w:r>
      <m:oMath>
        <m:r>
          <m:rPr>
            <m:sty m:val="p"/>
          </m:rPr>
          <w:rPr>
            <w:rFonts w:ascii="Cambria Math" w:hAnsi="Cambria Math"/>
          </w:rPr>
          <m:t>A</m:t>
        </m:r>
        <m:r>
          <w:rPr>
            <w:rFonts w:ascii="Cambria Math" w:hAnsi="Cambria Math"/>
          </w:rPr>
          <m:t>α</m:t>
        </m:r>
      </m:oMath>
      <w:r w:rsidRPr="00141A0D">
        <w:t xml:space="preserve"> and </w:t>
      </w:r>
      <m:oMath>
        <m:r>
          <w:rPr>
            <w:rFonts w:ascii="Cambria Math" w:hAnsi="Cambria Math"/>
          </w:rPr>
          <m:t>γ</m:t>
        </m:r>
      </m:oMath>
      <w:r w:rsidRPr="00141A0D">
        <w:t xml:space="preserve"> chain monomer population.</w:t>
      </w:r>
    </w:p>
    <w:p w14:paraId="5DDA6D0C" w14:textId="3B577A8F" w:rsidR="00141A0D" w:rsidRPr="00141A0D" w:rsidRDefault="00141A0D" w:rsidP="007E52AA">
      <w:pPr>
        <w:pStyle w:val="NoSpacing"/>
      </w:pPr>
      <w:r w:rsidRPr="00141A0D">
        <w:rPr>
          <w:noProof/>
        </w:rPr>
        <w:drawing>
          <wp:inline distT="0" distB="0" distL="0" distR="0" wp14:anchorId="6ECA98F4" wp14:editId="5A564278">
            <wp:extent cx="1929384" cy="3657600"/>
            <wp:effectExtent l="0" t="0" r="0" b="0"/>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29384" cy="3657600"/>
                    </a:xfrm>
                    <a:prstGeom prst="rect">
                      <a:avLst/>
                    </a:prstGeom>
                    <a:noFill/>
                    <a:ln>
                      <a:noFill/>
                    </a:ln>
                  </pic:spPr>
                </pic:pic>
              </a:graphicData>
            </a:graphic>
          </wp:inline>
        </w:drawing>
      </w:r>
    </w:p>
    <w:p w14:paraId="1F9644F8" w14:textId="2E2DD3B8" w:rsidR="00141A0D" w:rsidRPr="00141A0D" w:rsidRDefault="00141A0D" w:rsidP="007E52AA">
      <w:pPr>
        <w:pStyle w:val="NoSpacing"/>
      </w:pPr>
      <w:r w:rsidRPr="00141A0D">
        <w:t>Figure 1 SDS−PAGE of fibrinogen demonstrating the presence of the 105 kDa band in fibrinogen. Lane A is an autoradiograph of reduced un-cross-linked </w:t>
      </w:r>
      <w:r w:rsidRPr="00141A0D">
        <w:rPr>
          <w:vertAlign w:val="superscript"/>
        </w:rPr>
        <w:t>125</w:t>
      </w:r>
      <w:r w:rsidRPr="00141A0D">
        <w:t xml:space="preserve">I-labeled fibrinogen separated on 9% polyacrylamide gels. Lane B contains the same amount of fibrinogen separated under similar conditions and stained with Coomassie Blue R250. The differences in mobility are due to slight differences in the time of electrophoresis. The positions of the relevant fibrinogen chains and factor XIII are indicated. The location of the 105 kDa band is designated by </w:t>
      </w:r>
      <m:oMath>
        <m:r>
          <m:rPr>
            <m:sty m:val="p"/>
          </m:rPr>
          <w:rPr>
            <w:rFonts w:ascii="Cambria Math" w:hAnsi="Cambria Math"/>
          </w:rPr>
          <m:t>A</m:t>
        </m:r>
        <m:r>
          <w:rPr>
            <w:rFonts w:ascii="Cambria Math" w:hAnsi="Cambria Math"/>
          </w:rPr>
          <m:t>α·γ</m:t>
        </m:r>
      </m:oMath>
      <w:r w:rsidRPr="00141A0D">
        <w:t>.</w:t>
      </w:r>
    </w:p>
    <w:p w14:paraId="62E0AF3D" w14:textId="18B6F393" w:rsidR="00141A0D" w:rsidRPr="00141A0D" w:rsidRDefault="00141A0D" w:rsidP="007E52AA">
      <w:pPr>
        <w:pStyle w:val="NoSpacing"/>
      </w:pPr>
      <w:r w:rsidRPr="00141A0D">
        <w:rPr>
          <w:noProof/>
        </w:rPr>
        <w:drawing>
          <wp:inline distT="0" distB="0" distL="0" distR="0" wp14:anchorId="6D5AA939" wp14:editId="3A40DF2B">
            <wp:extent cx="2743200" cy="2542032"/>
            <wp:effectExtent l="0" t="0" r="0" b="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542032"/>
                    </a:xfrm>
                    <a:prstGeom prst="rect">
                      <a:avLst/>
                    </a:prstGeom>
                    <a:noFill/>
                    <a:ln>
                      <a:noFill/>
                    </a:ln>
                  </pic:spPr>
                </pic:pic>
              </a:graphicData>
            </a:graphic>
          </wp:inline>
        </w:drawing>
      </w:r>
    </w:p>
    <w:p w14:paraId="60AFAC7F" w14:textId="3DB476E0" w:rsidR="00141A0D" w:rsidRDefault="00141A0D" w:rsidP="007E52AA">
      <w:pPr>
        <w:pStyle w:val="NoSpacing"/>
      </w:pPr>
      <w:r w:rsidRPr="00141A0D">
        <w:t xml:space="preserve">Figure 2 Thrombin sensitivity of the 105 kDa band. Aliquots of fibrinogen before and after thrombin treatment (0.5 unit/mL for 1 h at room temperature) were separated on 7.5% polyacrylamide gels and stained with Coomassie Blue R250. Lanes 1, cross-linked peak 2 fibrin; 2 and 4, fibrinogen; 3 and 5, fibrin; 6, factor XIII. The positions of the relevant fibrinogen chains and factor XIII are indicated. The location of the 105 kDa band in fibrinogen is designated by </w:t>
      </w:r>
      <m:oMath>
        <m:r>
          <m:rPr>
            <m:sty m:val="p"/>
          </m:rPr>
          <w:rPr>
            <w:rFonts w:ascii="Cambria Math" w:hAnsi="Cambria Math"/>
          </w:rPr>
          <m:t>A</m:t>
        </m:r>
        <m:r>
          <w:rPr>
            <w:rFonts w:ascii="Cambria Math" w:hAnsi="Cambria Math"/>
          </w:rPr>
          <m:t>α·γ</m:t>
        </m:r>
      </m:oMath>
      <w:r w:rsidRPr="00141A0D">
        <w:t xml:space="preserve"> and as </w:t>
      </w:r>
      <m:oMath>
        <m:r>
          <w:rPr>
            <w:rFonts w:ascii="Cambria Math" w:hAnsi="Cambria Math"/>
          </w:rPr>
          <m:t>α·γ</m:t>
        </m:r>
      </m:oMath>
      <w:r w:rsidRPr="00141A0D">
        <w:t xml:space="preserve"> in fibrin.</w:t>
      </w:r>
    </w:p>
    <w:p w14:paraId="4E796F35" w14:textId="14B943D0" w:rsidR="00141A0D" w:rsidRPr="00141A0D" w:rsidRDefault="00141A0D" w:rsidP="00141A0D">
      <w:r w:rsidRPr="00141A0D">
        <w:t xml:space="preserve">The peptide chain composition of the 105 kDa band in fibrinogen (peak 2) was explored by Western blotting of reduced fibrinogen samples. The band reacted against antibodies to </w:t>
      </w:r>
      <m:oMath>
        <m:r>
          <m:rPr>
            <m:sty m:val="p"/>
          </m:rPr>
          <w:rPr>
            <w:rFonts w:ascii="Cambria Math" w:hAnsi="Cambria Math"/>
          </w:rPr>
          <m:t>A</m:t>
        </m:r>
        <m:r>
          <w:rPr>
            <w:rFonts w:ascii="Cambria Math" w:hAnsi="Cambria Math"/>
          </w:rPr>
          <m:t>α</m:t>
        </m:r>
      </m:oMath>
      <w:r w:rsidRPr="00141A0D">
        <w:t xml:space="preserve"> or </w:t>
      </w:r>
      <m:oMath>
        <m:r>
          <w:rPr>
            <w:rFonts w:ascii="Cambria Math" w:hAnsi="Cambria Math"/>
          </w:rPr>
          <m:t>γ</m:t>
        </m:r>
      </m:oMath>
      <w:r w:rsidRPr="00141A0D">
        <w:t xml:space="preserve"> chains (Figure 4) but did not react with antibodies against </w:t>
      </w:r>
      <m:oMath>
        <m:r>
          <m:rPr>
            <m:sty m:val="p"/>
          </m:rPr>
          <w:rPr>
            <w:rFonts w:ascii="Cambria Math" w:hAnsi="Cambria Math"/>
          </w:rPr>
          <m:t>B</m:t>
        </m:r>
        <m:r>
          <w:rPr>
            <w:rFonts w:ascii="Cambria Math" w:hAnsi="Cambria Math"/>
          </w:rPr>
          <m:t>β</m:t>
        </m:r>
      </m:oMath>
      <w:r w:rsidRPr="00141A0D">
        <w:t xml:space="preserve"> chains, factor XIII, or plasminogen. The </w:t>
      </w:r>
      <m:oMath>
        <m:r>
          <m:rPr>
            <m:sty m:val="p"/>
          </m:rPr>
          <w:rPr>
            <w:rFonts w:ascii="Cambria Math" w:hAnsi="Cambria Math"/>
          </w:rPr>
          <m:t>A</m:t>
        </m:r>
        <m:r>
          <w:rPr>
            <w:rFonts w:ascii="Cambria Math" w:hAnsi="Cambria Math"/>
          </w:rPr>
          <m:t>α·γ</m:t>
        </m:r>
      </m:oMath>
      <w:r w:rsidRPr="00141A0D">
        <w:t xml:space="preserve"> identity of the 105 kDa band was confirmed by amino acid sequence analysis of material electroeluted from SDS−PAGE gels. Multiple amino acids were found at each step (Table 1). The most prominent amino acids corresponded to the </w:t>
      </w:r>
      <m:oMath>
        <m:r>
          <w:rPr>
            <w:rFonts w:ascii="Cambria Math" w:hAnsi="Cambria Math"/>
          </w:rPr>
          <m:t>γ</m:t>
        </m:r>
      </m:oMath>
      <w:r w:rsidRPr="00141A0D">
        <w:t xml:space="preserve"> chain sequence, whereas the others indicated the presence of </w:t>
      </w:r>
      <m:oMath>
        <m:r>
          <m:rPr>
            <m:sty m:val="p"/>
          </m:rPr>
          <w:rPr>
            <w:rFonts w:ascii="Cambria Math" w:hAnsi="Cambria Math"/>
          </w:rPr>
          <m:t>A</m:t>
        </m:r>
        <m:r>
          <w:rPr>
            <w:rFonts w:ascii="Cambria Math" w:hAnsi="Cambria Math"/>
          </w:rPr>
          <m:t>α</m:t>
        </m:r>
      </m:oMath>
      <w:r w:rsidRPr="00141A0D">
        <w:t xml:space="preserve"> or α chain sequences (Table 1). About 60% of the non-</w:t>
      </w:r>
      <w:r w:rsidR="00A26ACC" w:rsidRPr="00A26ACC">
        <w:rPr>
          <w:rFonts w:ascii="Cambria Math" w:hAnsi="Cambria Math"/>
          <w:i/>
        </w:rPr>
        <w:t xml:space="preserve"> </w:t>
      </w:r>
      <m:oMath>
        <m:r>
          <w:rPr>
            <w:rFonts w:ascii="Cambria Math" w:hAnsi="Cambria Math"/>
          </w:rPr>
          <m:t>γ</m:t>
        </m:r>
      </m:oMath>
      <w:r w:rsidRPr="00141A0D">
        <w:t xml:space="preserve"> chain amino acids were derived from the intact </w:t>
      </w:r>
      <m:oMath>
        <m:r>
          <m:rPr>
            <m:sty m:val="p"/>
          </m:rPr>
          <w:rPr>
            <w:rFonts w:ascii="Cambria Math" w:hAnsi="Cambria Math"/>
          </w:rPr>
          <m:t>A</m:t>
        </m:r>
        <m:r>
          <w:rPr>
            <w:rFonts w:ascii="Cambria Math" w:hAnsi="Cambria Math"/>
          </w:rPr>
          <m:t>α</m:t>
        </m:r>
      </m:oMath>
      <w:r w:rsidRPr="00141A0D">
        <w:t xml:space="preserve"> chain (Ala</w:t>
      </w:r>
      <w:r w:rsidRPr="00141A0D">
        <w:rPr>
          <w:vertAlign w:val="subscript"/>
        </w:rPr>
        <w:t>1</w:t>
      </w:r>
      <w:r w:rsidRPr="00141A0D">
        <w:t>-Asp</w:t>
      </w:r>
      <w:r w:rsidRPr="00141A0D">
        <w:rPr>
          <w:vertAlign w:val="subscript"/>
        </w:rPr>
        <w:t>2</w:t>
      </w:r>
      <w:r w:rsidRPr="00141A0D">
        <w:t xml:space="preserve">...), and approximately 15% came from a minor </w:t>
      </w:r>
      <m:oMath>
        <m:r>
          <m:rPr>
            <m:sty m:val="p"/>
          </m:rPr>
          <w:rPr>
            <w:rFonts w:ascii="Cambria Math" w:hAnsi="Cambria Math"/>
          </w:rPr>
          <m:t>A</m:t>
        </m:r>
        <m:r>
          <w:rPr>
            <w:rFonts w:ascii="Cambria Math" w:hAnsi="Cambria Math"/>
          </w:rPr>
          <m:t>α</m:t>
        </m:r>
      </m:oMath>
      <w:r w:rsidRPr="00141A0D">
        <w:t xml:space="preserve"> chain population lacking the N-terminal Ala residue (Asp</w:t>
      </w:r>
      <w:r w:rsidRPr="00141A0D">
        <w:rPr>
          <w:vertAlign w:val="subscript"/>
        </w:rPr>
        <w:t>2</w:t>
      </w:r>
      <w:r w:rsidRPr="00141A0D">
        <w:t>-Ser</w:t>
      </w:r>
      <w:r w:rsidRPr="00141A0D">
        <w:rPr>
          <w:vertAlign w:val="subscript"/>
        </w:rPr>
        <w:t>3</w:t>
      </w:r>
      <w:r w:rsidRPr="00141A0D">
        <w:t>...). The </w:t>
      </w:r>
      <w:bookmarkStart w:id="4" w:name="bi003501805819"/>
      <w:bookmarkEnd w:id="4"/>
      <w:r w:rsidRPr="00141A0D">
        <w:t>remaining amino acids corresponded to the fibrin α chain (Gly</w:t>
      </w:r>
      <w:r w:rsidRPr="00141A0D">
        <w:rPr>
          <w:vertAlign w:val="subscript"/>
        </w:rPr>
        <w:t>17</w:t>
      </w:r>
      <w:r w:rsidRPr="00141A0D">
        <w:t>-Pro</w:t>
      </w:r>
      <w:r w:rsidRPr="00141A0D">
        <w:rPr>
          <w:vertAlign w:val="subscript"/>
        </w:rPr>
        <w:t>18</w:t>
      </w:r>
      <w:r w:rsidRPr="00141A0D">
        <w:t xml:space="preserve">...). The total recovery of A(α) chain amino acids approximated the amount recovered from the </w:t>
      </w:r>
      <m:oMath>
        <m:r>
          <w:rPr>
            <w:rFonts w:ascii="Cambria Math" w:hAnsi="Cambria Math"/>
          </w:rPr>
          <m:t>γ</m:t>
        </m:r>
      </m:oMath>
      <w:r w:rsidRPr="00141A0D">
        <w:t xml:space="preserve"> chains. These findings further suggested that a small proportion of the </w:t>
      </w:r>
      <m:oMath>
        <m:r>
          <m:rPr>
            <m:sty m:val="p"/>
          </m:rPr>
          <w:rPr>
            <w:rFonts w:ascii="Cambria Math" w:hAnsi="Cambria Math"/>
          </w:rPr>
          <m:t>A</m:t>
        </m:r>
        <m:r>
          <w:rPr>
            <w:rFonts w:ascii="Cambria Math" w:hAnsi="Cambria Math"/>
          </w:rPr>
          <m:t>α·γ</m:t>
        </m:r>
      </m:oMath>
      <w:r w:rsidRPr="00141A0D">
        <w:t xml:space="preserve"> chains had been converted to fibrin α·γ.</w:t>
      </w:r>
    </w:p>
    <w:p w14:paraId="23AC33C0" w14:textId="3A077D6C" w:rsidR="00141A0D" w:rsidRPr="00141A0D" w:rsidRDefault="00141A0D" w:rsidP="007E52AA">
      <w:pPr>
        <w:pStyle w:val="NoSpacing"/>
      </w:pPr>
      <w:r w:rsidRPr="00141A0D">
        <w:rPr>
          <w:noProof/>
        </w:rPr>
        <w:drawing>
          <wp:inline distT="0" distB="0" distL="0" distR="0" wp14:anchorId="4A1ACECA" wp14:editId="65BE4BD6">
            <wp:extent cx="2743200" cy="2441448"/>
            <wp:effectExtent l="0" t="0" r="0"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441448"/>
                    </a:xfrm>
                    <a:prstGeom prst="rect">
                      <a:avLst/>
                    </a:prstGeom>
                    <a:noFill/>
                    <a:ln>
                      <a:noFill/>
                    </a:ln>
                  </pic:spPr>
                </pic:pic>
              </a:graphicData>
            </a:graphic>
          </wp:inline>
        </w:drawing>
      </w:r>
    </w:p>
    <w:p w14:paraId="204A0B05" w14:textId="79EE6A1D" w:rsidR="00141A0D" w:rsidRPr="00141A0D" w:rsidRDefault="00141A0D" w:rsidP="007E52AA">
      <w:pPr>
        <w:pStyle w:val="NoSpacing"/>
      </w:pPr>
      <w:r w:rsidRPr="00141A0D">
        <w:t xml:space="preserve">Figure 3 Plasmin sensitivity of the 105 kDa band. Aliquots of fibrinogen were treated with plasmin (0.1 unit/mL) for up to 360 min at room temperature, electrophoresed on a 9% polyacrylamide gel under reducing conditions, and stained with Coomassie Blue R250. The positions of the relevant fibrinogen chains and factor XIII are indicated. The location of the 105 kDa band is designated by </w:t>
      </w:r>
      <m:oMath>
        <m:r>
          <m:rPr>
            <m:sty m:val="p"/>
          </m:rPr>
          <w:rPr>
            <w:rFonts w:ascii="Cambria Math" w:hAnsi="Cambria Math"/>
          </w:rPr>
          <m:t>A</m:t>
        </m:r>
        <m:r>
          <w:rPr>
            <w:rFonts w:ascii="Cambria Math" w:hAnsi="Cambria Math"/>
          </w:rPr>
          <m:t>α·γ</m:t>
        </m:r>
      </m:oMath>
      <w:r w:rsidRPr="00141A0D">
        <w:t>.</w:t>
      </w:r>
    </w:p>
    <w:p w14:paraId="5395701E" w14:textId="5642718B" w:rsidR="00141A0D" w:rsidRPr="00141A0D" w:rsidRDefault="00141A0D" w:rsidP="007E52AA">
      <w:pPr>
        <w:pStyle w:val="NoSpacing"/>
      </w:pPr>
      <w:r w:rsidRPr="00141A0D">
        <w:rPr>
          <w:noProof/>
        </w:rPr>
        <w:drawing>
          <wp:inline distT="0" distB="0" distL="0" distR="0" wp14:anchorId="017C088F" wp14:editId="50703B11">
            <wp:extent cx="2743200" cy="2688336"/>
            <wp:effectExtent l="0" t="0" r="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688336"/>
                    </a:xfrm>
                    <a:prstGeom prst="rect">
                      <a:avLst/>
                    </a:prstGeom>
                    <a:noFill/>
                    <a:ln>
                      <a:noFill/>
                    </a:ln>
                  </pic:spPr>
                </pic:pic>
              </a:graphicData>
            </a:graphic>
          </wp:inline>
        </w:drawing>
      </w:r>
    </w:p>
    <w:p w14:paraId="26FB1CAC" w14:textId="5F251A1D" w:rsidR="00141A0D" w:rsidRDefault="00141A0D" w:rsidP="007E52AA">
      <w:pPr>
        <w:pStyle w:val="NoSpacing"/>
      </w:pPr>
      <w:r w:rsidRPr="00141A0D">
        <w:t xml:space="preserve">Figure 4 Western blots of fibrinogen. Aliquots of fibrinogen were separated on gels under reducing conditions, electroblotted onto nitrocellulose paper, and probed with rabbit antibodies raised against human fibrinogen </w:t>
      </w:r>
      <m:oMath>
        <m:r>
          <m:rPr>
            <m:sty m:val="p"/>
          </m:rPr>
          <w:rPr>
            <w:rFonts w:ascii="Cambria Math" w:hAnsi="Cambria Math"/>
          </w:rPr>
          <m:t>A</m:t>
        </m:r>
        <m:r>
          <w:rPr>
            <w:rFonts w:ascii="Cambria Math" w:hAnsi="Cambria Math"/>
          </w:rPr>
          <m:t>α</m:t>
        </m:r>
      </m:oMath>
      <w:r w:rsidRPr="00141A0D">
        <w:t xml:space="preserve">, </w:t>
      </w:r>
      <m:oMath>
        <m:r>
          <m:rPr>
            <m:sty m:val="p"/>
          </m:rPr>
          <w:rPr>
            <w:rFonts w:ascii="Cambria Math" w:hAnsi="Cambria Math"/>
          </w:rPr>
          <m:t>B</m:t>
        </m:r>
        <m:r>
          <w:rPr>
            <w:rFonts w:ascii="Cambria Math" w:hAnsi="Cambria Math"/>
          </w:rPr>
          <m:t>β</m:t>
        </m:r>
      </m:oMath>
      <w:r w:rsidRPr="00141A0D">
        <w:t>, or γ chains, human factor XIII, or human plasminogen followed by </w:t>
      </w:r>
      <w:r w:rsidRPr="00141A0D">
        <w:rPr>
          <w:vertAlign w:val="superscript"/>
        </w:rPr>
        <w:t>125</w:t>
      </w:r>
      <w:r w:rsidRPr="00141A0D">
        <w:t>I-labeled goat anti-</w:t>
      </w:r>
      <w:r w:rsidR="00292DFC" w:rsidRPr="00292DFC">
        <w:rPr>
          <w:rFonts w:ascii="Cambria Math" w:hAnsi="Cambria Math"/>
          <w:iCs/>
        </w:rPr>
        <w:t xml:space="preserve"> </w:t>
      </w:r>
      <m:oMath>
        <m:r>
          <m:rPr>
            <m:sty m:val="p"/>
          </m:rPr>
          <w:rPr>
            <w:rFonts w:ascii="Cambria Math" w:hAnsi="Cambria Math"/>
          </w:rPr>
          <m:t>A</m:t>
        </m:r>
        <m:r>
          <w:rPr>
            <w:rFonts w:ascii="Cambria Math" w:hAnsi="Cambria Math"/>
          </w:rPr>
          <m:t>α</m:t>
        </m:r>
      </m:oMath>
      <w:r w:rsidRPr="00141A0D">
        <w:t>; 3, anti-</w:t>
      </w:r>
      <w:r w:rsidR="00FD38C9" w:rsidRPr="00FD38C9">
        <w:rPr>
          <w:rFonts w:ascii="Cambria Math" w:hAnsi="Cambria Math"/>
          <w:iCs/>
        </w:rPr>
        <w:t xml:space="preserve"> </w:t>
      </w:r>
      <m:oMath>
        <m:r>
          <m:rPr>
            <m:sty m:val="p"/>
          </m:rPr>
          <w:rPr>
            <w:rFonts w:ascii="Cambria Math" w:hAnsi="Cambria Math"/>
          </w:rPr>
          <m:t>B</m:t>
        </m:r>
        <m:r>
          <w:rPr>
            <w:rFonts w:ascii="Cambria Math" w:hAnsi="Cambria Math"/>
          </w:rPr>
          <m:t>β</m:t>
        </m:r>
      </m:oMath>
      <w:r w:rsidRPr="00141A0D">
        <w:t>; 4, anti-</w:t>
      </w:r>
      <w:r w:rsidR="004052C6" w:rsidRPr="004052C6">
        <w:rPr>
          <w:rFonts w:ascii="Cambria Math" w:hAnsi="Cambria Math"/>
          <w:i/>
        </w:rPr>
        <w:t xml:space="preserve"> </w:t>
      </w:r>
      <m:oMath>
        <m:r>
          <w:rPr>
            <w:rFonts w:ascii="Cambria Math" w:hAnsi="Cambria Math"/>
          </w:rPr>
          <m:t>γ</m:t>
        </m:r>
      </m:oMath>
      <w:r w:rsidRPr="00141A0D">
        <w:t xml:space="preserve">; 5, anti-factor XIII; 6, anti-plasminogen. The positions of the relevant fibrinogen chains and factor XIII are indicated. The location of the 105 kDa band is designated by </w:t>
      </w:r>
      <m:oMath>
        <m:r>
          <m:rPr>
            <m:sty m:val="p"/>
          </m:rPr>
          <w:rPr>
            <w:rFonts w:ascii="Cambria Math" w:hAnsi="Cambria Math"/>
          </w:rPr>
          <m:t>A</m:t>
        </m:r>
        <m:r>
          <w:rPr>
            <w:rFonts w:ascii="Cambria Math" w:hAnsi="Cambria Math"/>
          </w:rPr>
          <m:t>α·γ</m:t>
        </m:r>
      </m:oMath>
      <w:r w:rsidRPr="00141A0D">
        <w:t>.</w:t>
      </w:r>
    </w:p>
    <w:p w14:paraId="154A05C4" w14:textId="77777777" w:rsidR="007E52AA" w:rsidRPr="00141A0D" w:rsidRDefault="007E52AA" w:rsidP="00141A0D"/>
    <w:p w14:paraId="0A87A9EF" w14:textId="77777777" w:rsidR="00141A0D" w:rsidRPr="00141A0D" w:rsidRDefault="00141A0D" w:rsidP="007E52AA">
      <w:pPr>
        <w:spacing w:after="0"/>
        <w:rPr>
          <w:b/>
          <w:bCs/>
        </w:rPr>
      </w:pPr>
      <w:r w:rsidRPr="00141A0D">
        <w:rPr>
          <w:b/>
          <w:bCs/>
        </w:rPr>
        <w:t>Table 1: Amino Acid Sequence Analysis of the 105 kDa Band</w:t>
      </w:r>
      <w:r w:rsidRPr="00141A0D">
        <w:rPr>
          <w:b/>
          <w:bCs/>
          <w:i/>
          <w:iCs/>
          <w:vertAlign w:val="superscript"/>
        </w:rPr>
        <w:t>a</w:t>
      </w:r>
    </w:p>
    <w:tbl>
      <w:tblPr>
        <w:tblStyle w:val="TableGrid"/>
        <w:tblW w:w="5000" w:type="pct"/>
        <w:tblLook w:val="04A0" w:firstRow="1" w:lastRow="0" w:firstColumn="1" w:lastColumn="0" w:noHBand="0" w:noVBand="1"/>
      </w:tblPr>
      <w:tblGrid>
        <w:gridCol w:w="1065"/>
        <w:gridCol w:w="919"/>
        <w:gridCol w:w="502"/>
        <w:gridCol w:w="502"/>
        <w:gridCol w:w="502"/>
        <w:gridCol w:w="501"/>
        <w:gridCol w:w="501"/>
        <w:gridCol w:w="501"/>
        <w:gridCol w:w="501"/>
        <w:gridCol w:w="501"/>
        <w:gridCol w:w="671"/>
        <w:gridCol w:w="671"/>
        <w:gridCol w:w="671"/>
        <w:gridCol w:w="671"/>
        <w:gridCol w:w="671"/>
      </w:tblGrid>
      <w:tr w:rsidR="004D445C" w:rsidRPr="00141A0D" w14:paraId="050A4428" w14:textId="77777777" w:rsidTr="004D445C">
        <w:tc>
          <w:tcPr>
            <w:tcW w:w="569" w:type="pct"/>
            <w:noWrap/>
            <w:hideMark/>
          </w:tcPr>
          <w:p w14:paraId="118EF930" w14:textId="77777777" w:rsidR="00A75A8D" w:rsidRPr="00141A0D" w:rsidRDefault="00A75A8D" w:rsidP="00141A0D">
            <w:r w:rsidRPr="00141A0D">
              <w:t> </w:t>
            </w:r>
          </w:p>
        </w:tc>
        <w:tc>
          <w:tcPr>
            <w:tcW w:w="491" w:type="pct"/>
            <w:noWrap/>
            <w:hideMark/>
          </w:tcPr>
          <w:p w14:paraId="64A735CA" w14:textId="77777777" w:rsidR="00A75A8D" w:rsidRPr="00141A0D" w:rsidRDefault="00A75A8D" w:rsidP="00141A0D">
            <w:r w:rsidRPr="00141A0D">
              <w:t>step</w:t>
            </w:r>
          </w:p>
        </w:tc>
        <w:tc>
          <w:tcPr>
            <w:tcW w:w="268" w:type="pct"/>
          </w:tcPr>
          <w:p w14:paraId="7DC7811D" w14:textId="77777777" w:rsidR="00A75A8D" w:rsidRPr="00141A0D" w:rsidRDefault="00A75A8D" w:rsidP="00141A0D"/>
        </w:tc>
        <w:tc>
          <w:tcPr>
            <w:tcW w:w="268" w:type="pct"/>
          </w:tcPr>
          <w:p w14:paraId="69B1239A" w14:textId="77777777" w:rsidR="00A75A8D" w:rsidRPr="00141A0D" w:rsidRDefault="00A75A8D" w:rsidP="00141A0D"/>
        </w:tc>
        <w:tc>
          <w:tcPr>
            <w:tcW w:w="268" w:type="pct"/>
          </w:tcPr>
          <w:p w14:paraId="4BAFC4B4" w14:textId="77777777" w:rsidR="00A75A8D" w:rsidRPr="00141A0D" w:rsidRDefault="00A75A8D" w:rsidP="00141A0D"/>
        </w:tc>
        <w:tc>
          <w:tcPr>
            <w:tcW w:w="268" w:type="pct"/>
          </w:tcPr>
          <w:p w14:paraId="311A0D9A" w14:textId="77777777" w:rsidR="00A75A8D" w:rsidRPr="00141A0D" w:rsidRDefault="00A75A8D" w:rsidP="00141A0D"/>
        </w:tc>
        <w:tc>
          <w:tcPr>
            <w:tcW w:w="268" w:type="pct"/>
          </w:tcPr>
          <w:p w14:paraId="4F88891D" w14:textId="77777777" w:rsidR="00A75A8D" w:rsidRPr="00141A0D" w:rsidRDefault="00A75A8D" w:rsidP="00141A0D"/>
        </w:tc>
        <w:tc>
          <w:tcPr>
            <w:tcW w:w="268" w:type="pct"/>
          </w:tcPr>
          <w:p w14:paraId="4400F1E8" w14:textId="77777777" w:rsidR="00A75A8D" w:rsidRPr="00141A0D" w:rsidRDefault="00A75A8D" w:rsidP="00141A0D"/>
        </w:tc>
        <w:tc>
          <w:tcPr>
            <w:tcW w:w="268" w:type="pct"/>
          </w:tcPr>
          <w:p w14:paraId="734D18FC" w14:textId="77777777" w:rsidR="00A75A8D" w:rsidRPr="00141A0D" w:rsidRDefault="00A75A8D" w:rsidP="00141A0D"/>
        </w:tc>
        <w:tc>
          <w:tcPr>
            <w:tcW w:w="268" w:type="pct"/>
          </w:tcPr>
          <w:p w14:paraId="6FC4753A" w14:textId="77777777" w:rsidR="00A75A8D" w:rsidRPr="00141A0D" w:rsidRDefault="00A75A8D" w:rsidP="00141A0D"/>
        </w:tc>
        <w:tc>
          <w:tcPr>
            <w:tcW w:w="359" w:type="pct"/>
          </w:tcPr>
          <w:p w14:paraId="5ED231AC" w14:textId="77777777" w:rsidR="00A75A8D" w:rsidRPr="00141A0D" w:rsidRDefault="00A75A8D" w:rsidP="00141A0D"/>
        </w:tc>
        <w:tc>
          <w:tcPr>
            <w:tcW w:w="359" w:type="pct"/>
          </w:tcPr>
          <w:p w14:paraId="40C87A36" w14:textId="77777777" w:rsidR="00A75A8D" w:rsidRPr="00141A0D" w:rsidRDefault="00A75A8D" w:rsidP="00141A0D"/>
        </w:tc>
        <w:tc>
          <w:tcPr>
            <w:tcW w:w="359" w:type="pct"/>
          </w:tcPr>
          <w:p w14:paraId="66054494" w14:textId="77777777" w:rsidR="00A75A8D" w:rsidRPr="00141A0D" w:rsidRDefault="00A75A8D" w:rsidP="00141A0D"/>
        </w:tc>
        <w:tc>
          <w:tcPr>
            <w:tcW w:w="359" w:type="pct"/>
          </w:tcPr>
          <w:p w14:paraId="7324CF3C" w14:textId="77777777" w:rsidR="00A75A8D" w:rsidRPr="00141A0D" w:rsidRDefault="00A75A8D" w:rsidP="00141A0D"/>
        </w:tc>
        <w:tc>
          <w:tcPr>
            <w:tcW w:w="359" w:type="pct"/>
          </w:tcPr>
          <w:p w14:paraId="34FA653A" w14:textId="11758620" w:rsidR="00A75A8D" w:rsidRPr="00141A0D" w:rsidRDefault="00A75A8D" w:rsidP="00141A0D"/>
        </w:tc>
      </w:tr>
      <w:tr w:rsidR="004D445C" w:rsidRPr="00141A0D" w14:paraId="62AA49F5" w14:textId="77777777" w:rsidTr="004D445C">
        <w:tc>
          <w:tcPr>
            <w:tcW w:w="569" w:type="pct"/>
            <w:noWrap/>
            <w:hideMark/>
          </w:tcPr>
          <w:p w14:paraId="75E55D16" w14:textId="77777777" w:rsidR="00141A0D" w:rsidRPr="00141A0D" w:rsidRDefault="00141A0D" w:rsidP="00141A0D">
            <w:r w:rsidRPr="00141A0D">
              <w:t>chain</w:t>
            </w:r>
          </w:p>
        </w:tc>
        <w:tc>
          <w:tcPr>
            <w:tcW w:w="491" w:type="pct"/>
            <w:noWrap/>
            <w:hideMark/>
          </w:tcPr>
          <w:p w14:paraId="7B311BC9" w14:textId="77777777" w:rsidR="00141A0D" w:rsidRPr="00141A0D" w:rsidRDefault="00141A0D" w:rsidP="00141A0D">
            <w:r w:rsidRPr="00141A0D">
              <w:t>1</w:t>
            </w:r>
          </w:p>
        </w:tc>
        <w:tc>
          <w:tcPr>
            <w:tcW w:w="268" w:type="pct"/>
            <w:noWrap/>
            <w:hideMark/>
          </w:tcPr>
          <w:p w14:paraId="2603E588" w14:textId="77777777" w:rsidR="00141A0D" w:rsidRPr="00141A0D" w:rsidRDefault="00141A0D" w:rsidP="00141A0D">
            <w:r w:rsidRPr="00141A0D">
              <w:t>2</w:t>
            </w:r>
          </w:p>
        </w:tc>
        <w:tc>
          <w:tcPr>
            <w:tcW w:w="268" w:type="pct"/>
            <w:noWrap/>
            <w:hideMark/>
          </w:tcPr>
          <w:p w14:paraId="7E896174" w14:textId="77777777" w:rsidR="00141A0D" w:rsidRPr="00141A0D" w:rsidRDefault="00141A0D" w:rsidP="00141A0D">
            <w:r w:rsidRPr="00141A0D">
              <w:t>3</w:t>
            </w:r>
          </w:p>
        </w:tc>
        <w:tc>
          <w:tcPr>
            <w:tcW w:w="268" w:type="pct"/>
            <w:noWrap/>
            <w:hideMark/>
          </w:tcPr>
          <w:p w14:paraId="776C912E" w14:textId="77777777" w:rsidR="00141A0D" w:rsidRPr="00141A0D" w:rsidRDefault="00141A0D" w:rsidP="00141A0D">
            <w:r w:rsidRPr="00141A0D">
              <w:t>4</w:t>
            </w:r>
          </w:p>
        </w:tc>
        <w:tc>
          <w:tcPr>
            <w:tcW w:w="268" w:type="pct"/>
            <w:noWrap/>
            <w:hideMark/>
          </w:tcPr>
          <w:p w14:paraId="1B0A7D3C" w14:textId="77777777" w:rsidR="00141A0D" w:rsidRPr="00141A0D" w:rsidRDefault="00141A0D" w:rsidP="00141A0D">
            <w:r w:rsidRPr="00141A0D">
              <w:t>5</w:t>
            </w:r>
          </w:p>
        </w:tc>
        <w:tc>
          <w:tcPr>
            <w:tcW w:w="268" w:type="pct"/>
            <w:noWrap/>
            <w:hideMark/>
          </w:tcPr>
          <w:p w14:paraId="7C733372" w14:textId="77777777" w:rsidR="00141A0D" w:rsidRPr="00141A0D" w:rsidRDefault="00141A0D" w:rsidP="00141A0D">
            <w:r w:rsidRPr="00141A0D">
              <w:t>6</w:t>
            </w:r>
          </w:p>
        </w:tc>
        <w:tc>
          <w:tcPr>
            <w:tcW w:w="268" w:type="pct"/>
            <w:noWrap/>
            <w:hideMark/>
          </w:tcPr>
          <w:p w14:paraId="6A8995A5" w14:textId="77777777" w:rsidR="00141A0D" w:rsidRPr="00141A0D" w:rsidRDefault="00141A0D" w:rsidP="00141A0D">
            <w:r w:rsidRPr="00141A0D">
              <w:t>7</w:t>
            </w:r>
          </w:p>
        </w:tc>
        <w:tc>
          <w:tcPr>
            <w:tcW w:w="268" w:type="pct"/>
            <w:noWrap/>
            <w:hideMark/>
          </w:tcPr>
          <w:p w14:paraId="3B3ED740" w14:textId="77777777" w:rsidR="00141A0D" w:rsidRPr="00141A0D" w:rsidRDefault="00141A0D" w:rsidP="00141A0D">
            <w:r w:rsidRPr="00141A0D">
              <w:t>8</w:t>
            </w:r>
          </w:p>
        </w:tc>
        <w:tc>
          <w:tcPr>
            <w:tcW w:w="268" w:type="pct"/>
            <w:noWrap/>
            <w:hideMark/>
          </w:tcPr>
          <w:p w14:paraId="74D472D6" w14:textId="77777777" w:rsidR="00141A0D" w:rsidRPr="00141A0D" w:rsidRDefault="00141A0D" w:rsidP="00141A0D">
            <w:r w:rsidRPr="00141A0D">
              <w:t>9</w:t>
            </w:r>
          </w:p>
        </w:tc>
        <w:tc>
          <w:tcPr>
            <w:tcW w:w="359" w:type="pct"/>
            <w:noWrap/>
            <w:hideMark/>
          </w:tcPr>
          <w:p w14:paraId="15466B9D" w14:textId="77777777" w:rsidR="00141A0D" w:rsidRPr="00141A0D" w:rsidRDefault="00141A0D" w:rsidP="00141A0D">
            <w:r w:rsidRPr="00141A0D">
              <w:t>10</w:t>
            </w:r>
          </w:p>
        </w:tc>
        <w:tc>
          <w:tcPr>
            <w:tcW w:w="359" w:type="pct"/>
            <w:noWrap/>
            <w:hideMark/>
          </w:tcPr>
          <w:p w14:paraId="499B20DB" w14:textId="77777777" w:rsidR="00141A0D" w:rsidRPr="00141A0D" w:rsidRDefault="00141A0D" w:rsidP="00141A0D">
            <w:r w:rsidRPr="00141A0D">
              <w:t>11</w:t>
            </w:r>
          </w:p>
        </w:tc>
        <w:tc>
          <w:tcPr>
            <w:tcW w:w="359" w:type="pct"/>
            <w:noWrap/>
            <w:hideMark/>
          </w:tcPr>
          <w:p w14:paraId="5F483B96" w14:textId="77777777" w:rsidR="00141A0D" w:rsidRPr="00141A0D" w:rsidRDefault="00141A0D" w:rsidP="00141A0D">
            <w:r w:rsidRPr="00141A0D">
              <w:t>12</w:t>
            </w:r>
          </w:p>
        </w:tc>
        <w:tc>
          <w:tcPr>
            <w:tcW w:w="359" w:type="pct"/>
            <w:noWrap/>
            <w:hideMark/>
          </w:tcPr>
          <w:p w14:paraId="7122D503" w14:textId="77777777" w:rsidR="00141A0D" w:rsidRPr="00141A0D" w:rsidRDefault="00141A0D" w:rsidP="00141A0D">
            <w:r w:rsidRPr="00141A0D">
              <w:t>13</w:t>
            </w:r>
          </w:p>
        </w:tc>
        <w:tc>
          <w:tcPr>
            <w:tcW w:w="359" w:type="pct"/>
            <w:noWrap/>
            <w:hideMark/>
          </w:tcPr>
          <w:p w14:paraId="6052C707" w14:textId="77777777" w:rsidR="00141A0D" w:rsidRPr="00141A0D" w:rsidRDefault="00141A0D" w:rsidP="00141A0D">
            <w:r w:rsidRPr="00141A0D">
              <w:t>14</w:t>
            </w:r>
          </w:p>
        </w:tc>
      </w:tr>
    </w:tbl>
    <w:p w14:paraId="39E423DB" w14:textId="77777777" w:rsidR="00141A0D" w:rsidRPr="00141A0D" w:rsidRDefault="00141A0D" w:rsidP="00141A0D">
      <w:pPr>
        <w:rPr>
          <w:vanish/>
        </w:rPr>
      </w:pPr>
    </w:p>
    <w:tbl>
      <w:tblPr>
        <w:tblStyle w:val="TableGrid"/>
        <w:tblW w:w="5000" w:type="pct"/>
        <w:tblLook w:val="04A0" w:firstRow="1" w:lastRow="0" w:firstColumn="1" w:lastColumn="0" w:noHBand="0" w:noVBand="1"/>
      </w:tblPr>
      <w:tblGrid>
        <w:gridCol w:w="9350"/>
      </w:tblGrid>
      <w:tr w:rsidR="00141A0D" w:rsidRPr="00141A0D" w14:paraId="3FA18506" w14:textId="77777777" w:rsidTr="008D05E4">
        <w:tc>
          <w:tcPr>
            <w:tcW w:w="5000" w:type="pct"/>
            <w:noWrap/>
            <w:hideMark/>
          </w:tcPr>
          <w:p w14:paraId="004058F6" w14:textId="77777777" w:rsidR="00141A0D" w:rsidRPr="00141A0D" w:rsidRDefault="00141A0D" w:rsidP="00141A0D">
            <w:r w:rsidRPr="00141A0D">
              <w:t>Predicted Sequence</w:t>
            </w:r>
          </w:p>
        </w:tc>
      </w:tr>
    </w:tbl>
    <w:p w14:paraId="3278FEBD" w14:textId="77777777" w:rsidR="00141A0D" w:rsidRPr="00141A0D" w:rsidRDefault="00141A0D" w:rsidP="00141A0D">
      <w:pPr>
        <w:rPr>
          <w:vanish/>
        </w:rPr>
      </w:pPr>
    </w:p>
    <w:tbl>
      <w:tblPr>
        <w:tblStyle w:val="TableGrid"/>
        <w:tblW w:w="5000" w:type="pct"/>
        <w:tblLook w:val="04A0" w:firstRow="1" w:lastRow="0" w:firstColumn="1" w:lastColumn="0" w:noHBand="0" w:noVBand="1"/>
      </w:tblPr>
      <w:tblGrid>
        <w:gridCol w:w="635"/>
        <w:gridCol w:w="592"/>
        <w:gridCol w:w="639"/>
        <w:gridCol w:w="613"/>
        <w:gridCol w:w="604"/>
        <w:gridCol w:w="613"/>
        <w:gridCol w:w="638"/>
        <w:gridCol w:w="638"/>
        <w:gridCol w:w="651"/>
        <w:gridCol w:w="625"/>
        <w:gridCol w:w="591"/>
        <w:gridCol w:w="625"/>
        <w:gridCol w:w="638"/>
        <w:gridCol w:w="610"/>
        <w:gridCol w:w="638"/>
      </w:tblGrid>
      <w:tr w:rsidR="00141A0D" w:rsidRPr="00141A0D" w14:paraId="38340CF9" w14:textId="77777777" w:rsidTr="008D05E4">
        <w:tc>
          <w:tcPr>
            <w:tcW w:w="340" w:type="pct"/>
            <w:noWrap/>
            <w:hideMark/>
          </w:tcPr>
          <w:p w14:paraId="66D16C6E" w14:textId="0D92D377" w:rsidR="00141A0D" w:rsidRPr="00141A0D" w:rsidRDefault="00292DFC" w:rsidP="00141A0D">
            <m:oMath>
              <m:r>
                <m:rPr>
                  <m:sty m:val="p"/>
                </m:rPr>
                <w:rPr>
                  <w:rFonts w:ascii="Cambria Math" w:hAnsi="Cambria Math"/>
                </w:rPr>
                <m:t>A</m:t>
              </m:r>
              <m:r>
                <w:rPr>
                  <w:rFonts w:ascii="Cambria Math" w:hAnsi="Cambria Math"/>
                </w:rPr>
                <m:t>α</m:t>
              </m:r>
            </m:oMath>
            <w:r w:rsidRPr="00141A0D">
              <w:rPr>
                <w:i/>
                <w:iCs/>
                <w:vertAlign w:val="superscript"/>
              </w:rPr>
              <w:t xml:space="preserve"> </w:t>
            </w:r>
            <w:r w:rsidR="00141A0D" w:rsidRPr="00141A0D">
              <w:rPr>
                <w:i/>
                <w:iCs/>
                <w:vertAlign w:val="superscript"/>
              </w:rPr>
              <w:t>b</w:t>
            </w:r>
          </w:p>
        </w:tc>
        <w:tc>
          <w:tcPr>
            <w:tcW w:w="317" w:type="pct"/>
            <w:noWrap/>
            <w:hideMark/>
          </w:tcPr>
          <w:p w14:paraId="0B3994A7" w14:textId="77777777" w:rsidR="00141A0D" w:rsidRPr="00141A0D" w:rsidRDefault="00141A0D" w:rsidP="00141A0D">
            <w:r w:rsidRPr="00141A0D">
              <w:t>Ala</w:t>
            </w:r>
          </w:p>
        </w:tc>
        <w:tc>
          <w:tcPr>
            <w:tcW w:w="342" w:type="pct"/>
            <w:noWrap/>
            <w:hideMark/>
          </w:tcPr>
          <w:p w14:paraId="3B08723B" w14:textId="77777777" w:rsidR="00141A0D" w:rsidRPr="00141A0D" w:rsidRDefault="00141A0D" w:rsidP="00141A0D">
            <w:r w:rsidRPr="00141A0D">
              <w:t>Asp</w:t>
            </w:r>
          </w:p>
        </w:tc>
        <w:tc>
          <w:tcPr>
            <w:tcW w:w="328" w:type="pct"/>
            <w:noWrap/>
            <w:hideMark/>
          </w:tcPr>
          <w:p w14:paraId="4E1317AD" w14:textId="77777777" w:rsidR="00141A0D" w:rsidRPr="00141A0D" w:rsidRDefault="00141A0D" w:rsidP="00141A0D">
            <w:r w:rsidRPr="00141A0D">
              <w:t>Ser</w:t>
            </w:r>
          </w:p>
        </w:tc>
        <w:tc>
          <w:tcPr>
            <w:tcW w:w="323" w:type="pct"/>
            <w:noWrap/>
            <w:hideMark/>
          </w:tcPr>
          <w:p w14:paraId="4D80244F" w14:textId="77777777" w:rsidR="00141A0D" w:rsidRPr="00141A0D" w:rsidRDefault="00141A0D" w:rsidP="00141A0D">
            <w:r w:rsidRPr="00141A0D">
              <w:t>Gly</w:t>
            </w:r>
          </w:p>
        </w:tc>
        <w:tc>
          <w:tcPr>
            <w:tcW w:w="328" w:type="pct"/>
            <w:noWrap/>
            <w:hideMark/>
          </w:tcPr>
          <w:p w14:paraId="47FDCA15" w14:textId="77777777" w:rsidR="00141A0D" w:rsidRPr="00141A0D" w:rsidRDefault="00141A0D" w:rsidP="00141A0D">
            <w:r w:rsidRPr="00141A0D">
              <w:t>Glu</w:t>
            </w:r>
          </w:p>
        </w:tc>
        <w:tc>
          <w:tcPr>
            <w:tcW w:w="341" w:type="pct"/>
            <w:noWrap/>
            <w:hideMark/>
          </w:tcPr>
          <w:p w14:paraId="6E3E6A3B" w14:textId="77777777" w:rsidR="00141A0D" w:rsidRPr="00141A0D" w:rsidRDefault="00141A0D" w:rsidP="00141A0D">
            <w:r w:rsidRPr="00141A0D">
              <w:t>Gly</w:t>
            </w:r>
          </w:p>
        </w:tc>
        <w:tc>
          <w:tcPr>
            <w:tcW w:w="341" w:type="pct"/>
            <w:noWrap/>
            <w:hideMark/>
          </w:tcPr>
          <w:p w14:paraId="6B7E5B22" w14:textId="77777777" w:rsidR="00141A0D" w:rsidRPr="00141A0D" w:rsidRDefault="00141A0D" w:rsidP="00141A0D">
            <w:r w:rsidRPr="00141A0D">
              <w:t>Asp</w:t>
            </w:r>
          </w:p>
        </w:tc>
        <w:tc>
          <w:tcPr>
            <w:tcW w:w="348" w:type="pct"/>
            <w:noWrap/>
            <w:hideMark/>
          </w:tcPr>
          <w:p w14:paraId="697B115F" w14:textId="77777777" w:rsidR="00141A0D" w:rsidRPr="00141A0D" w:rsidRDefault="00141A0D" w:rsidP="00141A0D">
            <w:r w:rsidRPr="00141A0D">
              <w:t>Phe</w:t>
            </w:r>
          </w:p>
        </w:tc>
        <w:tc>
          <w:tcPr>
            <w:tcW w:w="334" w:type="pct"/>
            <w:noWrap/>
            <w:hideMark/>
          </w:tcPr>
          <w:p w14:paraId="31566A9D" w14:textId="77777777" w:rsidR="00141A0D" w:rsidRPr="00141A0D" w:rsidRDefault="00141A0D" w:rsidP="00141A0D">
            <w:r w:rsidRPr="00141A0D">
              <w:t>Leu</w:t>
            </w:r>
          </w:p>
        </w:tc>
        <w:tc>
          <w:tcPr>
            <w:tcW w:w="316" w:type="pct"/>
            <w:noWrap/>
            <w:hideMark/>
          </w:tcPr>
          <w:p w14:paraId="5B44E199" w14:textId="77777777" w:rsidR="00141A0D" w:rsidRPr="00141A0D" w:rsidRDefault="00141A0D" w:rsidP="00141A0D">
            <w:r w:rsidRPr="00141A0D">
              <w:t>Ala</w:t>
            </w:r>
          </w:p>
        </w:tc>
        <w:tc>
          <w:tcPr>
            <w:tcW w:w="334" w:type="pct"/>
            <w:noWrap/>
            <w:hideMark/>
          </w:tcPr>
          <w:p w14:paraId="7C8F9F3E" w14:textId="77777777" w:rsidR="00141A0D" w:rsidRPr="00141A0D" w:rsidRDefault="00141A0D" w:rsidP="00141A0D">
            <w:r w:rsidRPr="00141A0D">
              <w:t>Glu</w:t>
            </w:r>
          </w:p>
        </w:tc>
        <w:tc>
          <w:tcPr>
            <w:tcW w:w="341" w:type="pct"/>
            <w:noWrap/>
            <w:hideMark/>
          </w:tcPr>
          <w:p w14:paraId="2CDD069C" w14:textId="77777777" w:rsidR="00141A0D" w:rsidRPr="00141A0D" w:rsidRDefault="00141A0D" w:rsidP="00141A0D">
            <w:r w:rsidRPr="00141A0D">
              <w:t>Gly</w:t>
            </w:r>
          </w:p>
        </w:tc>
        <w:tc>
          <w:tcPr>
            <w:tcW w:w="326" w:type="pct"/>
            <w:noWrap/>
            <w:hideMark/>
          </w:tcPr>
          <w:p w14:paraId="36535687" w14:textId="77777777" w:rsidR="00141A0D" w:rsidRPr="00141A0D" w:rsidRDefault="00141A0D" w:rsidP="00141A0D">
            <w:r w:rsidRPr="00141A0D">
              <w:t>Gly</w:t>
            </w:r>
          </w:p>
        </w:tc>
        <w:tc>
          <w:tcPr>
            <w:tcW w:w="341" w:type="pct"/>
            <w:noWrap/>
            <w:hideMark/>
          </w:tcPr>
          <w:p w14:paraId="362B5A4D" w14:textId="77777777" w:rsidR="00141A0D" w:rsidRPr="00141A0D" w:rsidRDefault="00141A0D" w:rsidP="00141A0D">
            <w:r w:rsidRPr="00141A0D">
              <w:t>Gly</w:t>
            </w:r>
          </w:p>
        </w:tc>
      </w:tr>
      <w:tr w:rsidR="00141A0D" w:rsidRPr="00141A0D" w14:paraId="6DAF9688" w14:textId="77777777" w:rsidTr="008D05E4">
        <w:tc>
          <w:tcPr>
            <w:tcW w:w="340" w:type="pct"/>
            <w:noWrap/>
            <w:hideMark/>
          </w:tcPr>
          <w:p w14:paraId="3FE26D7F" w14:textId="28533EAB" w:rsidR="00141A0D" w:rsidRPr="00141A0D" w:rsidRDefault="0096074A" w:rsidP="00141A0D">
            <m:oMathPara>
              <m:oMath>
                <m:r>
                  <w:rPr>
                    <w:rFonts w:ascii="Cambria Math" w:hAnsi="Cambria Math"/>
                  </w:rPr>
                  <m:t>α</m:t>
                </m:r>
              </m:oMath>
            </m:oMathPara>
          </w:p>
        </w:tc>
        <w:tc>
          <w:tcPr>
            <w:tcW w:w="317" w:type="pct"/>
            <w:noWrap/>
            <w:hideMark/>
          </w:tcPr>
          <w:p w14:paraId="6C8F6E16" w14:textId="77777777" w:rsidR="00141A0D" w:rsidRPr="00141A0D" w:rsidRDefault="00141A0D" w:rsidP="00141A0D">
            <w:r w:rsidRPr="00141A0D">
              <w:t>Gly</w:t>
            </w:r>
          </w:p>
        </w:tc>
        <w:tc>
          <w:tcPr>
            <w:tcW w:w="342" w:type="pct"/>
            <w:noWrap/>
            <w:hideMark/>
          </w:tcPr>
          <w:p w14:paraId="557F30BC" w14:textId="77777777" w:rsidR="00141A0D" w:rsidRPr="00141A0D" w:rsidRDefault="00141A0D" w:rsidP="00141A0D">
            <w:r w:rsidRPr="00141A0D">
              <w:t>Pro</w:t>
            </w:r>
          </w:p>
        </w:tc>
        <w:tc>
          <w:tcPr>
            <w:tcW w:w="328" w:type="pct"/>
            <w:noWrap/>
            <w:hideMark/>
          </w:tcPr>
          <w:p w14:paraId="0B7D881F" w14:textId="77777777" w:rsidR="00141A0D" w:rsidRPr="00141A0D" w:rsidRDefault="00141A0D" w:rsidP="00141A0D">
            <w:r w:rsidRPr="00141A0D">
              <w:t>Arg</w:t>
            </w:r>
          </w:p>
        </w:tc>
        <w:tc>
          <w:tcPr>
            <w:tcW w:w="323" w:type="pct"/>
            <w:noWrap/>
            <w:hideMark/>
          </w:tcPr>
          <w:p w14:paraId="69DBCF59" w14:textId="77777777" w:rsidR="00141A0D" w:rsidRPr="00141A0D" w:rsidRDefault="00141A0D" w:rsidP="00141A0D">
            <w:r w:rsidRPr="00141A0D">
              <w:t>Val</w:t>
            </w:r>
          </w:p>
        </w:tc>
        <w:tc>
          <w:tcPr>
            <w:tcW w:w="328" w:type="pct"/>
            <w:noWrap/>
            <w:hideMark/>
          </w:tcPr>
          <w:p w14:paraId="30AE6B1D" w14:textId="77777777" w:rsidR="00141A0D" w:rsidRPr="00141A0D" w:rsidRDefault="00141A0D" w:rsidP="00141A0D">
            <w:r w:rsidRPr="00141A0D">
              <w:t>Val</w:t>
            </w:r>
          </w:p>
        </w:tc>
        <w:tc>
          <w:tcPr>
            <w:tcW w:w="341" w:type="pct"/>
            <w:noWrap/>
            <w:hideMark/>
          </w:tcPr>
          <w:p w14:paraId="2E5012F3" w14:textId="77777777" w:rsidR="00141A0D" w:rsidRPr="00141A0D" w:rsidRDefault="00141A0D" w:rsidP="00141A0D">
            <w:r w:rsidRPr="00141A0D">
              <w:t>Glu</w:t>
            </w:r>
          </w:p>
        </w:tc>
        <w:tc>
          <w:tcPr>
            <w:tcW w:w="341" w:type="pct"/>
            <w:noWrap/>
            <w:hideMark/>
          </w:tcPr>
          <w:p w14:paraId="50F3BED5" w14:textId="77777777" w:rsidR="00141A0D" w:rsidRPr="00141A0D" w:rsidRDefault="00141A0D" w:rsidP="00141A0D">
            <w:r w:rsidRPr="00141A0D">
              <w:t>Arg</w:t>
            </w:r>
          </w:p>
        </w:tc>
        <w:tc>
          <w:tcPr>
            <w:tcW w:w="348" w:type="pct"/>
            <w:noWrap/>
            <w:hideMark/>
          </w:tcPr>
          <w:p w14:paraId="31ECC0F4" w14:textId="77777777" w:rsidR="00141A0D" w:rsidRPr="00141A0D" w:rsidRDefault="00141A0D" w:rsidP="00141A0D">
            <w:r w:rsidRPr="00141A0D">
              <w:t>His</w:t>
            </w:r>
          </w:p>
        </w:tc>
        <w:tc>
          <w:tcPr>
            <w:tcW w:w="334" w:type="pct"/>
            <w:noWrap/>
            <w:hideMark/>
          </w:tcPr>
          <w:p w14:paraId="62B326BB" w14:textId="77777777" w:rsidR="00141A0D" w:rsidRPr="00141A0D" w:rsidRDefault="00141A0D" w:rsidP="00141A0D">
            <w:r w:rsidRPr="00141A0D">
              <w:t>Gln</w:t>
            </w:r>
          </w:p>
        </w:tc>
        <w:tc>
          <w:tcPr>
            <w:tcW w:w="316" w:type="pct"/>
            <w:noWrap/>
            <w:hideMark/>
          </w:tcPr>
          <w:p w14:paraId="0DE1C8D3" w14:textId="77777777" w:rsidR="00141A0D" w:rsidRPr="00141A0D" w:rsidRDefault="00141A0D" w:rsidP="00141A0D">
            <w:r w:rsidRPr="00141A0D">
              <w:t>Ser</w:t>
            </w:r>
          </w:p>
        </w:tc>
        <w:tc>
          <w:tcPr>
            <w:tcW w:w="334" w:type="pct"/>
            <w:noWrap/>
            <w:hideMark/>
          </w:tcPr>
          <w:p w14:paraId="29E207EB" w14:textId="77777777" w:rsidR="00141A0D" w:rsidRPr="00141A0D" w:rsidRDefault="00141A0D" w:rsidP="00141A0D">
            <w:r w:rsidRPr="00141A0D">
              <w:t>Ala</w:t>
            </w:r>
          </w:p>
        </w:tc>
        <w:tc>
          <w:tcPr>
            <w:tcW w:w="341" w:type="pct"/>
            <w:noWrap/>
            <w:hideMark/>
          </w:tcPr>
          <w:p w14:paraId="5F567DDD" w14:textId="77777777" w:rsidR="00141A0D" w:rsidRPr="00141A0D" w:rsidRDefault="00141A0D" w:rsidP="00141A0D">
            <w:r w:rsidRPr="00141A0D">
              <w:t>Cys</w:t>
            </w:r>
          </w:p>
        </w:tc>
        <w:tc>
          <w:tcPr>
            <w:tcW w:w="326" w:type="pct"/>
            <w:noWrap/>
            <w:hideMark/>
          </w:tcPr>
          <w:p w14:paraId="142769AB" w14:textId="77777777" w:rsidR="00141A0D" w:rsidRPr="00141A0D" w:rsidRDefault="00141A0D" w:rsidP="00141A0D">
            <w:r w:rsidRPr="00141A0D">
              <w:t>Lys</w:t>
            </w:r>
          </w:p>
        </w:tc>
        <w:tc>
          <w:tcPr>
            <w:tcW w:w="341" w:type="pct"/>
            <w:noWrap/>
            <w:hideMark/>
          </w:tcPr>
          <w:p w14:paraId="470D8B8E" w14:textId="77777777" w:rsidR="00141A0D" w:rsidRPr="00141A0D" w:rsidRDefault="00141A0D" w:rsidP="00141A0D">
            <w:r w:rsidRPr="00141A0D">
              <w:t>Asp</w:t>
            </w:r>
          </w:p>
        </w:tc>
      </w:tr>
      <w:tr w:rsidR="00141A0D" w:rsidRPr="00141A0D" w14:paraId="4AB38E7B" w14:textId="77777777" w:rsidTr="008D05E4">
        <w:tc>
          <w:tcPr>
            <w:tcW w:w="340" w:type="pct"/>
            <w:noWrap/>
            <w:hideMark/>
          </w:tcPr>
          <w:p w14:paraId="042ED858" w14:textId="2725D68E" w:rsidR="00141A0D" w:rsidRPr="00141A0D" w:rsidRDefault="004052C6" w:rsidP="00141A0D">
            <m:oMathPara>
              <m:oMath>
                <m:r>
                  <w:rPr>
                    <w:rFonts w:ascii="Cambria Math" w:hAnsi="Cambria Math"/>
                  </w:rPr>
                  <m:t>γ</m:t>
                </m:r>
              </m:oMath>
            </m:oMathPara>
          </w:p>
        </w:tc>
        <w:tc>
          <w:tcPr>
            <w:tcW w:w="317" w:type="pct"/>
            <w:noWrap/>
            <w:hideMark/>
          </w:tcPr>
          <w:p w14:paraId="142E620B" w14:textId="77777777" w:rsidR="00141A0D" w:rsidRPr="00141A0D" w:rsidRDefault="00141A0D" w:rsidP="00141A0D">
            <w:r w:rsidRPr="00141A0D">
              <w:t>Tyr</w:t>
            </w:r>
          </w:p>
        </w:tc>
        <w:tc>
          <w:tcPr>
            <w:tcW w:w="342" w:type="pct"/>
            <w:noWrap/>
            <w:hideMark/>
          </w:tcPr>
          <w:p w14:paraId="5273EAB4" w14:textId="77777777" w:rsidR="00141A0D" w:rsidRPr="00141A0D" w:rsidRDefault="00141A0D" w:rsidP="00141A0D">
            <w:r w:rsidRPr="00141A0D">
              <w:t>Val</w:t>
            </w:r>
          </w:p>
        </w:tc>
        <w:tc>
          <w:tcPr>
            <w:tcW w:w="328" w:type="pct"/>
            <w:noWrap/>
            <w:hideMark/>
          </w:tcPr>
          <w:p w14:paraId="43FFE9C3" w14:textId="77777777" w:rsidR="00141A0D" w:rsidRPr="00141A0D" w:rsidRDefault="00141A0D" w:rsidP="00141A0D">
            <w:r w:rsidRPr="00141A0D">
              <w:t>Ala</w:t>
            </w:r>
          </w:p>
        </w:tc>
        <w:tc>
          <w:tcPr>
            <w:tcW w:w="323" w:type="pct"/>
            <w:noWrap/>
            <w:hideMark/>
          </w:tcPr>
          <w:p w14:paraId="4BB7A6AB" w14:textId="77777777" w:rsidR="00141A0D" w:rsidRPr="00141A0D" w:rsidRDefault="00141A0D" w:rsidP="00141A0D">
            <w:r w:rsidRPr="00141A0D">
              <w:t>Thr</w:t>
            </w:r>
          </w:p>
        </w:tc>
        <w:tc>
          <w:tcPr>
            <w:tcW w:w="328" w:type="pct"/>
            <w:noWrap/>
            <w:hideMark/>
          </w:tcPr>
          <w:p w14:paraId="5F81DD3D" w14:textId="77777777" w:rsidR="00141A0D" w:rsidRPr="00141A0D" w:rsidRDefault="00141A0D" w:rsidP="00141A0D">
            <w:r w:rsidRPr="00141A0D">
              <w:t>Arg</w:t>
            </w:r>
          </w:p>
        </w:tc>
        <w:tc>
          <w:tcPr>
            <w:tcW w:w="341" w:type="pct"/>
            <w:noWrap/>
            <w:hideMark/>
          </w:tcPr>
          <w:p w14:paraId="14115550" w14:textId="77777777" w:rsidR="00141A0D" w:rsidRPr="00141A0D" w:rsidRDefault="00141A0D" w:rsidP="00141A0D">
            <w:r w:rsidRPr="00141A0D">
              <w:t>Asp</w:t>
            </w:r>
          </w:p>
        </w:tc>
        <w:tc>
          <w:tcPr>
            <w:tcW w:w="341" w:type="pct"/>
            <w:noWrap/>
            <w:hideMark/>
          </w:tcPr>
          <w:p w14:paraId="7802A3F8" w14:textId="77777777" w:rsidR="00141A0D" w:rsidRPr="00141A0D" w:rsidRDefault="00141A0D" w:rsidP="00141A0D">
            <w:r w:rsidRPr="00141A0D">
              <w:t>Asn</w:t>
            </w:r>
          </w:p>
        </w:tc>
        <w:tc>
          <w:tcPr>
            <w:tcW w:w="348" w:type="pct"/>
            <w:noWrap/>
            <w:hideMark/>
          </w:tcPr>
          <w:p w14:paraId="18594CFE" w14:textId="77777777" w:rsidR="00141A0D" w:rsidRPr="00141A0D" w:rsidRDefault="00141A0D" w:rsidP="00141A0D">
            <w:r w:rsidRPr="00141A0D">
              <w:t>Cys</w:t>
            </w:r>
          </w:p>
        </w:tc>
        <w:tc>
          <w:tcPr>
            <w:tcW w:w="334" w:type="pct"/>
            <w:noWrap/>
            <w:hideMark/>
          </w:tcPr>
          <w:p w14:paraId="34EB7554" w14:textId="77777777" w:rsidR="00141A0D" w:rsidRPr="00141A0D" w:rsidRDefault="00141A0D" w:rsidP="00141A0D">
            <w:r w:rsidRPr="00141A0D">
              <w:t>Cys</w:t>
            </w:r>
          </w:p>
        </w:tc>
        <w:tc>
          <w:tcPr>
            <w:tcW w:w="316" w:type="pct"/>
            <w:noWrap/>
            <w:hideMark/>
          </w:tcPr>
          <w:p w14:paraId="4800F52D" w14:textId="77777777" w:rsidR="00141A0D" w:rsidRPr="00141A0D" w:rsidRDefault="00141A0D" w:rsidP="00141A0D">
            <w:r w:rsidRPr="00141A0D">
              <w:t>Ile</w:t>
            </w:r>
          </w:p>
        </w:tc>
        <w:tc>
          <w:tcPr>
            <w:tcW w:w="334" w:type="pct"/>
            <w:noWrap/>
            <w:hideMark/>
          </w:tcPr>
          <w:p w14:paraId="67CA9B22" w14:textId="77777777" w:rsidR="00141A0D" w:rsidRPr="00141A0D" w:rsidRDefault="00141A0D" w:rsidP="00141A0D">
            <w:r w:rsidRPr="00141A0D">
              <w:t>Leu</w:t>
            </w:r>
          </w:p>
        </w:tc>
        <w:tc>
          <w:tcPr>
            <w:tcW w:w="341" w:type="pct"/>
            <w:noWrap/>
            <w:hideMark/>
          </w:tcPr>
          <w:p w14:paraId="62AE54BF" w14:textId="77777777" w:rsidR="00141A0D" w:rsidRPr="00141A0D" w:rsidRDefault="00141A0D" w:rsidP="00141A0D">
            <w:r w:rsidRPr="00141A0D">
              <w:t>Asp</w:t>
            </w:r>
          </w:p>
        </w:tc>
        <w:tc>
          <w:tcPr>
            <w:tcW w:w="326" w:type="pct"/>
            <w:noWrap/>
            <w:hideMark/>
          </w:tcPr>
          <w:p w14:paraId="54F604B8" w14:textId="77777777" w:rsidR="00141A0D" w:rsidRPr="00141A0D" w:rsidRDefault="00141A0D" w:rsidP="00141A0D">
            <w:r w:rsidRPr="00141A0D">
              <w:t>Glu</w:t>
            </w:r>
          </w:p>
        </w:tc>
        <w:tc>
          <w:tcPr>
            <w:tcW w:w="341" w:type="pct"/>
            <w:noWrap/>
            <w:hideMark/>
          </w:tcPr>
          <w:p w14:paraId="7D1FDECE" w14:textId="77777777" w:rsidR="00141A0D" w:rsidRPr="00141A0D" w:rsidRDefault="00141A0D" w:rsidP="00141A0D">
            <w:r w:rsidRPr="00141A0D">
              <w:t>Arg</w:t>
            </w:r>
          </w:p>
        </w:tc>
      </w:tr>
    </w:tbl>
    <w:p w14:paraId="656DD215" w14:textId="77777777" w:rsidR="00141A0D" w:rsidRPr="00141A0D" w:rsidRDefault="00141A0D" w:rsidP="00141A0D">
      <w:pPr>
        <w:rPr>
          <w:vanish/>
        </w:rPr>
      </w:pPr>
    </w:p>
    <w:tbl>
      <w:tblPr>
        <w:tblStyle w:val="TableGrid"/>
        <w:tblW w:w="5000" w:type="pct"/>
        <w:tblLook w:val="04A0" w:firstRow="1" w:lastRow="0" w:firstColumn="1" w:lastColumn="0" w:noHBand="0" w:noVBand="1"/>
      </w:tblPr>
      <w:tblGrid>
        <w:gridCol w:w="9350"/>
      </w:tblGrid>
      <w:tr w:rsidR="00141A0D" w:rsidRPr="00141A0D" w14:paraId="38B2883C" w14:textId="77777777" w:rsidTr="008D05E4">
        <w:tc>
          <w:tcPr>
            <w:tcW w:w="0" w:type="auto"/>
            <w:noWrap/>
            <w:hideMark/>
          </w:tcPr>
          <w:p w14:paraId="412161D2" w14:textId="77777777" w:rsidR="00141A0D" w:rsidRPr="00141A0D" w:rsidRDefault="00141A0D" w:rsidP="00141A0D">
            <w:r w:rsidRPr="00141A0D">
              <w:t>Amino Acids Found/Yield (pmol)</w:t>
            </w:r>
          </w:p>
        </w:tc>
      </w:tr>
    </w:tbl>
    <w:p w14:paraId="3421428F" w14:textId="77777777" w:rsidR="00141A0D" w:rsidRPr="00141A0D" w:rsidRDefault="00141A0D" w:rsidP="00141A0D">
      <w:pPr>
        <w:rPr>
          <w:vanish/>
        </w:rPr>
      </w:pPr>
    </w:p>
    <w:tbl>
      <w:tblPr>
        <w:tblStyle w:val="TableGrid"/>
        <w:tblW w:w="5000" w:type="pct"/>
        <w:tblLook w:val="04A0" w:firstRow="1" w:lastRow="0" w:firstColumn="1" w:lastColumn="0" w:noHBand="0" w:noVBand="1"/>
      </w:tblPr>
      <w:tblGrid>
        <w:gridCol w:w="693"/>
        <w:gridCol w:w="587"/>
        <w:gridCol w:w="634"/>
        <w:gridCol w:w="610"/>
        <w:gridCol w:w="600"/>
        <w:gridCol w:w="610"/>
        <w:gridCol w:w="634"/>
        <w:gridCol w:w="634"/>
        <w:gridCol w:w="646"/>
        <w:gridCol w:w="621"/>
        <w:gridCol w:w="586"/>
        <w:gridCol w:w="621"/>
        <w:gridCol w:w="634"/>
        <w:gridCol w:w="606"/>
        <w:gridCol w:w="634"/>
      </w:tblGrid>
      <w:tr w:rsidR="00141A0D" w:rsidRPr="00141A0D" w14:paraId="3894A146" w14:textId="77777777" w:rsidTr="008D05E4">
        <w:tc>
          <w:tcPr>
            <w:tcW w:w="0" w:type="auto"/>
            <w:noWrap/>
            <w:hideMark/>
          </w:tcPr>
          <w:p w14:paraId="7B033CD7" w14:textId="0A8744D0" w:rsidR="00141A0D" w:rsidRPr="00141A0D" w:rsidRDefault="00423710" w:rsidP="00141A0D">
            <m:oMath>
              <m:r>
                <m:rPr>
                  <m:sty m:val="p"/>
                </m:rPr>
                <w:rPr>
                  <w:rFonts w:ascii="Cambria Math" w:hAnsi="Cambria Math"/>
                </w:rPr>
                <m:t>A</m:t>
              </m:r>
              <m:r>
                <w:rPr>
                  <w:rFonts w:ascii="Cambria Math" w:hAnsi="Cambria Math"/>
                </w:rPr>
                <m:t>α</m:t>
              </m:r>
            </m:oMath>
            <w:r w:rsidRPr="00141A0D">
              <w:rPr>
                <w:i/>
                <w:iCs/>
                <w:vertAlign w:val="superscript"/>
              </w:rPr>
              <w:t xml:space="preserve"> </w:t>
            </w:r>
            <w:r w:rsidR="00141A0D" w:rsidRPr="00141A0D">
              <w:rPr>
                <w:i/>
                <w:iCs/>
                <w:vertAlign w:val="superscript"/>
              </w:rPr>
              <w:t>b</w:t>
            </w:r>
          </w:p>
        </w:tc>
        <w:tc>
          <w:tcPr>
            <w:tcW w:w="0" w:type="auto"/>
            <w:noWrap/>
            <w:hideMark/>
          </w:tcPr>
          <w:p w14:paraId="4641FC97" w14:textId="77777777" w:rsidR="00141A0D" w:rsidRPr="00141A0D" w:rsidRDefault="00141A0D" w:rsidP="00141A0D">
            <w:r w:rsidRPr="00141A0D">
              <w:t>Ala</w:t>
            </w:r>
          </w:p>
        </w:tc>
        <w:tc>
          <w:tcPr>
            <w:tcW w:w="0" w:type="auto"/>
            <w:noWrap/>
            <w:hideMark/>
          </w:tcPr>
          <w:p w14:paraId="6C8409B0" w14:textId="77777777" w:rsidR="00141A0D" w:rsidRPr="00141A0D" w:rsidRDefault="00141A0D" w:rsidP="00141A0D">
            <w:r w:rsidRPr="00141A0D">
              <w:t>Asp</w:t>
            </w:r>
          </w:p>
        </w:tc>
        <w:tc>
          <w:tcPr>
            <w:tcW w:w="0" w:type="auto"/>
            <w:noWrap/>
            <w:hideMark/>
          </w:tcPr>
          <w:p w14:paraId="2074A72A" w14:textId="77777777" w:rsidR="00141A0D" w:rsidRPr="00141A0D" w:rsidRDefault="00141A0D" w:rsidP="00141A0D">
            <w:r w:rsidRPr="00141A0D">
              <w:t>Ser</w:t>
            </w:r>
          </w:p>
        </w:tc>
        <w:tc>
          <w:tcPr>
            <w:tcW w:w="0" w:type="auto"/>
            <w:noWrap/>
            <w:hideMark/>
          </w:tcPr>
          <w:p w14:paraId="363DC469" w14:textId="77777777" w:rsidR="00141A0D" w:rsidRPr="00141A0D" w:rsidRDefault="00141A0D" w:rsidP="00141A0D">
            <w:r w:rsidRPr="00141A0D">
              <w:t>Gly</w:t>
            </w:r>
          </w:p>
        </w:tc>
        <w:tc>
          <w:tcPr>
            <w:tcW w:w="0" w:type="auto"/>
            <w:noWrap/>
            <w:hideMark/>
          </w:tcPr>
          <w:p w14:paraId="7AA4B4ED" w14:textId="77777777" w:rsidR="00141A0D" w:rsidRPr="00141A0D" w:rsidRDefault="00141A0D" w:rsidP="00141A0D">
            <w:r w:rsidRPr="00141A0D">
              <w:t>Glu</w:t>
            </w:r>
          </w:p>
        </w:tc>
        <w:tc>
          <w:tcPr>
            <w:tcW w:w="0" w:type="auto"/>
            <w:noWrap/>
            <w:hideMark/>
          </w:tcPr>
          <w:p w14:paraId="1BBDDE90" w14:textId="77777777" w:rsidR="00141A0D" w:rsidRPr="00141A0D" w:rsidRDefault="00141A0D" w:rsidP="00141A0D">
            <w:r w:rsidRPr="00141A0D">
              <w:t>Gly</w:t>
            </w:r>
          </w:p>
        </w:tc>
        <w:tc>
          <w:tcPr>
            <w:tcW w:w="0" w:type="auto"/>
            <w:noWrap/>
            <w:hideMark/>
          </w:tcPr>
          <w:p w14:paraId="5E0FF488" w14:textId="77777777" w:rsidR="00141A0D" w:rsidRPr="00141A0D" w:rsidRDefault="00141A0D" w:rsidP="00141A0D">
            <w:r w:rsidRPr="00141A0D">
              <w:t>Asp</w:t>
            </w:r>
          </w:p>
        </w:tc>
        <w:tc>
          <w:tcPr>
            <w:tcW w:w="0" w:type="auto"/>
            <w:noWrap/>
            <w:hideMark/>
          </w:tcPr>
          <w:p w14:paraId="2524E46B" w14:textId="77777777" w:rsidR="00141A0D" w:rsidRPr="00141A0D" w:rsidRDefault="00141A0D" w:rsidP="00141A0D">
            <w:r w:rsidRPr="00141A0D">
              <w:t>Phe</w:t>
            </w:r>
          </w:p>
        </w:tc>
        <w:tc>
          <w:tcPr>
            <w:tcW w:w="0" w:type="auto"/>
            <w:noWrap/>
            <w:hideMark/>
          </w:tcPr>
          <w:p w14:paraId="135B9CA3" w14:textId="77777777" w:rsidR="00141A0D" w:rsidRPr="00141A0D" w:rsidRDefault="00141A0D" w:rsidP="00141A0D">
            <w:r w:rsidRPr="00141A0D">
              <w:t>Leu</w:t>
            </w:r>
          </w:p>
        </w:tc>
        <w:tc>
          <w:tcPr>
            <w:tcW w:w="0" w:type="auto"/>
            <w:noWrap/>
            <w:hideMark/>
          </w:tcPr>
          <w:p w14:paraId="3C94E2CC" w14:textId="77777777" w:rsidR="00141A0D" w:rsidRPr="00141A0D" w:rsidRDefault="00141A0D" w:rsidP="00141A0D">
            <w:r w:rsidRPr="00141A0D">
              <w:t>Ala</w:t>
            </w:r>
          </w:p>
        </w:tc>
        <w:tc>
          <w:tcPr>
            <w:tcW w:w="0" w:type="auto"/>
            <w:noWrap/>
            <w:hideMark/>
          </w:tcPr>
          <w:p w14:paraId="36CD6DD3" w14:textId="77777777" w:rsidR="00141A0D" w:rsidRPr="00141A0D" w:rsidRDefault="00141A0D" w:rsidP="00141A0D">
            <w:r w:rsidRPr="00141A0D">
              <w:t>Glu</w:t>
            </w:r>
          </w:p>
        </w:tc>
        <w:tc>
          <w:tcPr>
            <w:tcW w:w="0" w:type="auto"/>
            <w:noWrap/>
            <w:hideMark/>
          </w:tcPr>
          <w:p w14:paraId="01FAF699" w14:textId="77777777" w:rsidR="00141A0D" w:rsidRPr="00141A0D" w:rsidRDefault="00141A0D" w:rsidP="00141A0D">
            <w:r w:rsidRPr="00141A0D">
              <w:t>Gly</w:t>
            </w:r>
          </w:p>
        </w:tc>
        <w:tc>
          <w:tcPr>
            <w:tcW w:w="0" w:type="auto"/>
            <w:noWrap/>
            <w:hideMark/>
          </w:tcPr>
          <w:p w14:paraId="13D2EEE0" w14:textId="77777777" w:rsidR="00141A0D" w:rsidRPr="00141A0D" w:rsidRDefault="00141A0D" w:rsidP="00141A0D">
            <w:r w:rsidRPr="00141A0D">
              <w:t>Gly</w:t>
            </w:r>
          </w:p>
        </w:tc>
        <w:tc>
          <w:tcPr>
            <w:tcW w:w="0" w:type="auto"/>
            <w:noWrap/>
            <w:hideMark/>
          </w:tcPr>
          <w:p w14:paraId="1E22D00F" w14:textId="77777777" w:rsidR="00141A0D" w:rsidRPr="00141A0D" w:rsidRDefault="00141A0D" w:rsidP="00141A0D">
            <w:r w:rsidRPr="00141A0D">
              <w:t>Gly</w:t>
            </w:r>
          </w:p>
        </w:tc>
      </w:tr>
      <w:tr w:rsidR="00141A0D" w:rsidRPr="00141A0D" w14:paraId="3287547C" w14:textId="77777777" w:rsidTr="008D05E4">
        <w:tc>
          <w:tcPr>
            <w:tcW w:w="0" w:type="auto"/>
            <w:noWrap/>
            <w:hideMark/>
          </w:tcPr>
          <w:p w14:paraId="38FBBB65" w14:textId="77777777" w:rsidR="00141A0D" w:rsidRPr="00141A0D" w:rsidRDefault="00141A0D" w:rsidP="00141A0D">
            <w:r w:rsidRPr="00141A0D">
              <w:t> </w:t>
            </w:r>
          </w:p>
        </w:tc>
        <w:tc>
          <w:tcPr>
            <w:tcW w:w="0" w:type="auto"/>
            <w:noWrap/>
            <w:hideMark/>
          </w:tcPr>
          <w:p w14:paraId="2C50D7AD" w14:textId="77777777" w:rsidR="00141A0D" w:rsidRPr="00141A0D" w:rsidRDefault="00141A0D" w:rsidP="00141A0D">
            <w:r w:rsidRPr="00141A0D">
              <w:t>12</w:t>
            </w:r>
          </w:p>
        </w:tc>
        <w:tc>
          <w:tcPr>
            <w:tcW w:w="0" w:type="auto"/>
            <w:noWrap/>
            <w:hideMark/>
          </w:tcPr>
          <w:p w14:paraId="346ED45A" w14:textId="77777777" w:rsidR="00141A0D" w:rsidRPr="00141A0D" w:rsidRDefault="00141A0D" w:rsidP="00141A0D">
            <w:r w:rsidRPr="00141A0D">
              <w:t>21</w:t>
            </w:r>
          </w:p>
        </w:tc>
        <w:tc>
          <w:tcPr>
            <w:tcW w:w="0" w:type="auto"/>
            <w:noWrap/>
            <w:hideMark/>
          </w:tcPr>
          <w:p w14:paraId="1AD545A2" w14:textId="77777777" w:rsidR="00141A0D" w:rsidRPr="00141A0D" w:rsidRDefault="00141A0D" w:rsidP="00141A0D">
            <w:r w:rsidRPr="00141A0D">
              <w:t>21</w:t>
            </w:r>
          </w:p>
        </w:tc>
        <w:tc>
          <w:tcPr>
            <w:tcW w:w="0" w:type="auto"/>
            <w:noWrap/>
            <w:hideMark/>
          </w:tcPr>
          <w:p w14:paraId="02DD0F87" w14:textId="77777777" w:rsidR="00141A0D" w:rsidRPr="00141A0D" w:rsidRDefault="00141A0D" w:rsidP="00141A0D">
            <w:r w:rsidRPr="00141A0D">
              <w:t>20</w:t>
            </w:r>
          </w:p>
        </w:tc>
        <w:tc>
          <w:tcPr>
            <w:tcW w:w="0" w:type="auto"/>
            <w:noWrap/>
            <w:hideMark/>
          </w:tcPr>
          <w:p w14:paraId="75A95FF1" w14:textId="77777777" w:rsidR="00141A0D" w:rsidRPr="00141A0D" w:rsidRDefault="00141A0D" w:rsidP="00141A0D">
            <w:r w:rsidRPr="00141A0D">
              <w:t>8</w:t>
            </w:r>
          </w:p>
        </w:tc>
        <w:tc>
          <w:tcPr>
            <w:tcW w:w="0" w:type="auto"/>
            <w:noWrap/>
            <w:hideMark/>
          </w:tcPr>
          <w:p w14:paraId="7DD29FB4" w14:textId="77777777" w:rsidR="00141A0D" w:rsidRPr="00141A0D" w:rsidRDefault="00141A0D" w:rsidP="00141A0D">
            <w:r w:rsidRPr="00141A0D">
              <w:t>25</w:t>
            </w:r>
          </w:p>
        </w:tc>
        <w:tc>
          <w:tcPr>
            <w:tcW w:w="0" w:type="auto"/>
            <w:noWrap/>
            <w:hideMark/>
          </w:tcPr>
          <w:p w14:paraId="1445B69A" w14:textId="77777777" w:rsidR="00141A0D" w:rsidRPr="00141A0D" w:rsidRDefault="00141A0D" w:rsidP="00141A0D">
            <w:r w:rsidRPr="00141A0D">
              <w:t>26</w:t>
            </w:r>
          </w:p>
        </w:tc>
        <w:tc>
          <w:tcPr>
            <w:tcW w:w="0" w:type="auto"/>
            <w:noWrap/>
            <w:hideMark/>
          </w:tcPr>
          <w:p w14:paraId="517AEF50" w14:textId="77777777" w:rsidR="00141A0D" w:rsidRPr="00141A0D" w:rsidRDefault="00141A0D" w:rsidP="00141A0D">
            <w:r w:rsidRPr="00141A0D">
              <w:t>10</w:t>
            </w:r>
          </w:p>
        </w:tc>
        <w:tc>
          <w:tcPr>
            <w:tcW w:w="0" w:type="auto"/>
            <w:noWrap/>
            <w:hideMark/>
          </w:tcPr>
          <w:p w14:paraId="743BA0D5" w14:textId="77777777" w:rsidR="00141A0D" w:rsidRPr="00141A0D" w:rsidRDefault="00141A0D" w:rsidP="00141A0D">
            <w:r w:rsidRPr="00141A0D">
              <w:t>10</w:t>
            </w:r>
          </w:p>
        </w:tc>
        <w:tc>
          <w:tcPr>
            <w:tcW w:w="0" w:type="auto"/>
            <w:noWrap/>
            <w:hideMark/>
          </w:tcPr>
          <w:p w14:paraId="2E96043D" w14:textId="77777777" w:rsidR="00141A0D" w:rsidRPr="00141A0D" w:rsidRDefault="00141A0D" w:rsidP="00141A0D">
            <w:r w:rsidRPr="00141A0D">
              <w:t>15</w:t>
            </w:r>
          </w:p>
        </w:tc>
        <w:tc>
          <w:tcPr>
            <w:tcW w:w="0" w:type="auto"/>
            <w:noWrap/>
            <w:hideMark/>
          </w:tcPr>
          <w:p w14:paraId="4C2D718D" w14:textId="77777777" w:rsidR="00141A0D" w:rsidRPr="00141A0D" w:rsidRDefault="00141A0D" w:rsidP="00141A0D">
            <w:r w:rsidRPr="00141A0D">
              <w:t>11</w:t>
            </w:r>
          </w:p>
        </w:tc>
        <w:tc>
          <w:tcPr>
            <w:tcW w:w="0" w:type="auto"/>
            <w:noWrap/>
            <w:hideMark/>
          </w:tcPr>
          <w:p w14:paraId="0669FC74" w14:textId="77777777" w:rsidR="00141A0D" w:rsidRPr="00141A0D" w:rsidRDefault="00141A0D" w:rsidP="00141A0D">
            <w:r w:rsidRPr="00141A0D">
              <w:t>12</w:t>
            </w:r>
          </w:p>
        </w:tc>
        <w:tc>
          <w:tcPr>
            <w:tcW w:w="0" w:type="auto"/>
            <w:noWrap/>
            <w:hideMark/>
          </w:tcPr>
          <w:p w14:paraId="2B069388" w14:textId="77777777" w:rsidR="00141A0D" w:rsidRPr="00141A0D" w:rsidRDefault="00141A0D" w:rsidP="00141A0D">
            <w:r w:rsidRPr="00141A0D">
              <w:t>12</w:t>
            </w:r>
          </w:p>
        </w:tc>
        <w:tc>
          <w:tcPr>
            <w:tcW w:w="0" w:type="auto"/>
            <w:noWrap/>
            <w:hideMark/>
          </w:tcPr>
          <w:p w14:paraId="36569462" w14:textId="77777777" w:rsidR="00141A0D" w:rsidRPr="00141A0D" w:rsidRDefault="00141A0D" w:rsidP="00141A0D">
            <w:r w:rsidRPr="00141A0D">
              <w:t>10</w:t>
            </w:r>
          </w:p>
        </w:tc>
      </w:tr>
      <w:tr w:rsidR="00141A0D" w:rsidRPr="00141A0D" w14:paraId="294F668B" w14:textId="77777777" w:rsidTr="008D05E4">
        <w:tc>
          <w:tcPr>
            <w:tcW w:w="0" w:type="auto"/>
            <w:noWrap/>
            <w:hideMark/>
          </w:tcPr>
          <w:p w14:paraId="0CC0ED92" w14:textId="0D0A0024" w:rsidR="00141A0D" w:rsidRPr="00141A0D" w:rsidRDefault="0096074A" w:rsidP="00141A0D">
            <m:oMathPara>
              <m:oMath>
                <m:r>
                  <w:rPr>
                    <w:rFonts w:ascii="Cambria Math" w:hAnsi="Cambria Math"/>
                  </w:rPr>
                  <m:t>α</m:t>
                </m:r>
              </m:oMath>
            </m:oMathPara>
          </w:p>
        </w:tc>
        <w:tc>
          <w:tcPr>
            <w:tcW w:w="0" w:type="auto"/>
            <w:noWrap/>
            <w:hideMark/>
          </w:tcPr>
          <w:p w14:paraId="6066A951" w14:textId="77777777" w:rsidR="00141A0D" w:rsidRPr="00141A0D" w:rsidRDefault="00141A0D" w:rsidP="00141A0D">
            <w:r w:rsidRPr="00141A0D">
              <w:t>Gly</w:t>
            </w:r>
          </w:p>
        </w:tc>
        <w:tc>
          <w:tcPr>
            <w:tcW w:w="0" w:type="auto"/>
            <w:noWrap/>
            <w:hideMark/>
          </w:tcPr>
          <w:p w14:paraId="5D7A79DE" w14:textId="77777777" w:rsidR="00141A0D" w:rsidRPr="00141A0D" w:rsidRDefault="00141A0D" w:rsidP="00141A0D">
            <w:r w:rsidRPr="00141A0D">
              <w:t>Pro</w:t>
            </w:r>
          </w:p>
        </w:tc>
        <w:tc>
          <w:tcPr>
            <w:tcW w:w="0" w:type="auto"/>
            <w:noWrap/>
            <w:hideMark/>
          </w:tcPr>
          <w:p w14:paraId="3EA213A3" w14:textId="77777777" w:rsidR="00141A0D" w:rsidRPr="00141A0D" w:rsidRDefault="00141A0D" w:rsidP="00141A0D">
            <w:r w:rsidRPr="00141A0D">
              <w:t>Arg</w:t>
            </w:r>
          </w:p>
        </w:tc>
        <w:tc>
          <w:tcPr>
            <w:tcW w:w="0" w:type="auto"/>
            <w:noWrap/>
            <w:hideMark/>
          </w:tcPr>
          <w:p w14:paraId="6AD833D2" w14:textId="77777777" w:rsidR="00141A0D" w:rsidRPr="00141A0D" w:rsidRDefault="00141A0D" w:rsidP="00141A0D">
            <w:r w:rsidRPr="00141A0D">
              <w:t>Val</w:t>
            </w:r>
          </w:p>
        </w:tc>
        <w:tc>
          <w:tcPr>
            <w:tcW w:w="0" w:type="auto"/>
            <w:noWrap/>
            <w:hideMark/>
          </w:tcPr>
          <w:p w14:paraId="0348F6CE" w14:textId="77777777" w:rsidR="00141A0D" w:rsidRPr="00141A0D" w:rsidRDefault="00141A0D" w:rsidP="00141A0D">
            <w:r w:rsidRPr="00141A0D">
              <w:t>Val</w:t>
            </w:r>
          </w:p>
        </w:tc>
        <w:tc>
          <w:tcPr>
            <w:tcW w:w="0" w:type="auto"/>
            <w:noWrap/>
            <w:hideMark/>
          </w:tcPr>
          <w:p w14:paraId="2130E586" w14:textId="77777777" w:rsidR="00141A0D" w:rsidRPr="00141A0D" w:rsidRDefault="00141A0D" w:rsidP="00141A0D">
            <w:r w:rsidRPr="00141A0D">
              <w:t>Glu</w:t>
            </w:r>
          </w:p>
        </w:tc>
        <w:tc>
          <w:tcPr>
            <w:tcW w:w="0" w:type="auto"/>
            <w:noWrap/>
            <w:hideMark/>
          </w:tcPr>
          <w:p w14:paraId="6BE2115B" w14:textId="77777777" w:rsidR="00141A0D" w:rsidRPr="00141A0D" w:rsidRDefault="00141A0D" w:rsidP="00141A0D">
            <w:r w:rsidRPr="00141A0D">
              <w:t>Arg</w:t>
            </w:r>
          </w:p>
        </w:tc>
        <w:tc>
          <w:tcPr>
            <w:tcW w:w="0" w:type="auto"/>
            <w:noWrap/>
            <w:hideMark/>
          </w:tcPr>
          <w:p w14:paraId="5AC0D26F" w14:textId="77777777" w:rsidR="00141A0D" w:rsidRPr="00141A0D" w:rsidRDefault="00141A0D" w:rsidP="00141A0D">
            <w:r w:rsidRPr="00141A0D">
              <w:t>His</w:t>
            </w:r>
          </w:p>
        </w:tc>
        <w:tc>
          <w:tcPr>
            <w:tcW w:w="0" w:type="auto"/>
            <w:noWrap/>
            <w:hideMark/>
          </w:tcPr>
          <w:p w14:paraId="3255C843" w14:textId="77777777" w:rsidR="00141A0D" w:rsidRPr="00141A0D" w:rsidRDefault="00141A0D" w:rsidP="00141A0D">
            <w:r w:rsidRPr="00141A0D">
              <w:t>Gln</w:t>
            </w:r>
          </w:p>
        </w:tc>
        <w:tc>
          <w:tcPr>
            <w:tcW w:w="0" w:type="auto"/>
            <w:noWrap/>
            <w:hideMark/>
          </w:tcPr>
          <w:p w14:paraId="1FF08750" w14:textId="77777777" w:rsidR="00141A0D" w:rsidRPr="00141A0D" w:rsidRDefault="00141A0D" w:rsidP="00141A0D">
            <w:r w:rsidRPr="00141A0D">
              <w:t>Ser</w:t>
            </w:r>
          </w:p>
        </w:tc>
        <w:tc>
          <w:tcPr>
            <w:tcW w:w="0" w:type="auto"/>
            <w:noWrap/>
            <w:hideMark/>
          </w:tcPr>
          <w:p w14:paraId="6983BAC9" w14:textId="77777777" w:rsidR="00141A0D" w:rsidRPr="00141A0D" w:rsidRDefault="00141A0D" w:rsidP="00141A0D">
            <w:r w:rsidRPr="00141A0D">
              <w:t>Ala</w:t>
            </w:r>
          </w:p>
        </w:tc>
        <w:tc>
          <w:tcPr>
            <w:tcW w:w="0" w:type="auto"/>
            <w:noWrap/>
            <w:hideMark/>
          </w:tcPr>
          <w:p w14:paraId="7DA1B018" w14:textId="77777777" w:rsidR="00141A0D" w:rsidRPr="00141A0D" w:rsidRDefault="00141A0D" w:rsidP="00141A0D">
            <w:r w:rsidRPr="00141A0D">
              <w:t>X</w:t>
            </w:r>
          </w:p>
        </w:tc>
        <w:tc>
          <w:tcPr>
            <w:tcW w:w="0" w:type="auto"/>
            <w:noWrap/>
            <w:hideMark/>
          </w:tcPr>
          <w:p w14:paraId="3EED8B52" w14:textId="77777777" w:rsidR="00141A0D" w:rsidRPr="00141A0D" w:rsidRDefault="00141A0D" w:rsidP="00141A0D">
            <w:r w:rsidRPr="00141A0D">
              <w:t>Lys</w:t>
            </w:r>
          </w:p>
        </w:tc>
        <w:tc>
          <w:tcPr>
            <w:tcW w:w="0" w:type="auto"/>
            <w:noWrap/>
            <w:hideMark/>
          </w:tcPr>
          <w:p w14:paraId="3A069358" w14:textId="77777777" w:rsidR="00141A0D" w:rsidRPr="00141A0D" w:rsidRDefault="00141A0D" w:rsidP="00141A0D">
            <w:r w:rsidRPr="00141A0D">
              <w:t>Asp</w:t>
            </w:r>
          </w:p>
        </w:tc>
      </w:tr>
      <w:tr w:rsidR="00141A0D" w:rsidRPr="00141A0D" w14:paraId="56264748" w14:textId="77777777" w:rsidTr="008D05E4">
        <w:tc>
          <w:tcPr>
            <w:tcW w:w="0" w:type="auto"/>
            <w:noWrap/>
            <w:hideMark/>
          </w:tcPr>
          <w:p w14:paraId="661DB896" w14:textId="77777777" w:rsidR="00141A0D" w:rsidRPr="00141A0D" w:rsidRDefault="00141A0D" w:rsidP="00141A0D">
            <w:r w:rsidRPr="00141A0D">
              <w:t> </w:t>
            </w:r>
          </w:p>
        </w:tc>
        <w:tc>
          <w:tcPr>
            <w:tcW w:w="0" w:type="auto"/>
            <w:noWrap/>
            <w:hideMark/>
          </w:tcPr>
          <w:p w14:paraId="1D3F4762" w14:textId="77777777" w:rsidR="00141A0D" w:rsidRPr="00141A0D" w:rsidRDefault="00141A0D" w:rsidP="00141A0D">
            <w:r w:rsidRPr="00141A0D">
              <w:t>12</w:t>
            </w:r>
          </w:p>
        </w:tc>
        <w:tc>
          <w:tcPr>
            <w:tcW w:w="0" w:type="auto"/>
            <w:noWrap/>
            <w:hideMark/>
          </w:tcPr>
          <w:p w14:paraId="1FA23BDE" w14:textId="77777777" w:rsidR="00141A0D" w:rsidRPr="00141A0D" w:rsidRDefault="00141A0D" w:rsidP="00141A0D">
            <w:r w:rsidRPr="00141A0D">
              <w:t>7</w:t>
            </w:r>
          </w:p>
        </w:tc>
        <w:tc>
          <w:tcPr>
            <w:tcW w:w="0" w:type="auto"/>
            <w:noWrap/>
            <w:hideMark/>
          </w:tcPr>
          <w:p w14:paraId="2DDF6F25" w14:textId="77777777" w:rsidR="00141A0D" w:rsidRPr="00141A0D" w:rsidRDefault="00141A0D" w:rsidP="00141A0D">
            <w:r w:rsidRPr="00141A0D">
              <w:t>3</w:t>
            </w:r>
          </w:p>
        </w:tc>
        <w:tc>
          <w:tcPr>
            <w:tcW w:w="0" w:type="auto"/>
            <w:noWrap/>
            <w:hideMark/>
          </w:tcPr>
          <w:p w14:paraId="6FB79A75" w14:textId="77777777" w:rsidR="00141A0D" w:rsidRPr="00141A0D" w:rsidRDefault="00141A0D" w:rsidP="00141A0D">
            <w:r w:rsidRPr="00141A0D">
              <w:t>9</w:t>
            </w:r>
          </w:p>
        </w:tc>
        <w:tc>
          <w:tcPr>
            <w:tcW w:w="0" w:type="auto"/>
            <w:noWrap/>
            <w:hideMark/>
          </w:tcPr>
          <w:p w14:paraId="71AD674C" w14:textId="77777777" w:rsidR="00141A0D" w:rsidRPr="00141A0D" w:rsidRDefault="00141A0D" w:rsidP="00141A0D">
            <w:r w:rsidRPr="00141A0D">
              <w:t>5</w:t>
            </w:r>
          </w:p>
        </w:tc>
        <w:tc>
          <w:tcPr>
            <w:tcW w:w="0" w:type="auto"/>
            <w:noWrap/>
            <w:hideMark/>
          </w:tcPr>
          <w:p w14:paraId="2460C4EC" w14:textId="77777777" w:rsidR="00141A0D" w:rsidRPr="00141A0D" w:rsidRDefault="00141A0D" w:rsidP="00141A0D">
            <w:r w:rsidRPr="00141A0D">
              <w:t>8</w:t>
            </w:r>
          </w:p>
        </w:tc>
        <w:tc>
          <w:tcPr>
            <w:tcW w:w="0" w:type="auto"/>
            <w:noWrap/>
            <w:hideMark/>
          </w:tcPr>
          <w:p w14:paraId="2F6F6462" w14:textId="77777777" w:rsidR="00141A0D" w:rsidRPr="00141A0D" w:rsidRDefault="00141A0D" w:rsidP="00141A0D">
            <w:r w:rsidRPr="00141A0D">
              <w:t>4</w:t>
            </w:r>
          </w:p>
        </w:tc>
        <w:tc>
          <w:tcPr>
            <w:tcW w:w="0" w:type="auto"/>
            <w:noWrap/>
            <w:hideMark/>
          </w:tcPr>
          <w:p w14:paraId="5F6AC47D" w14:textId="77777777" w:rsidR="00141A0D" w:rsidRPr="00141A0D" w:rsidRDefault="00141A0D" w:rsidP="00141A0D">
            <w:r w:rsidRPr="00141A0D">
              <w:t>8</w:t>
            </w:r>
          </w:p>
        </w:tc>
        <w:tc>
          <w:tcPr>
            <w:tcW w:w="0" w:type="auto"/>
            <w:noWrap/>
            <w:hideMark/>
          </w:tcPr>
          <w:p w14:paraId="1E00D4CA" w14:textId="77777777" w:rsidR="00141A0D" w:rsidRPr="00141A0D" w:rsidRDefault="00141A0D" w:rsidP="00141A0D">
            <w:r w:rsidRPr="00141A0D">
              <w:t>5</w:t>
            </w:r>
          </w:p>
        </w:tc>
        <w:tc>
          <w:tcPr>
            <w:tcW w:w="0" w:type="auto"/>
            <w:noWrap/>
            <w:hideMark/>
          </w:tcPr>
          <w:p w14:paraId="20F01A02" w14:textId="77777777" w:rsidR="00141A0D" w:rsidRPr="00141A0D" w:rsidRDefault="00141A0D" w:rsidP="00141A0D">
            <w:r w:rsidRPr="00141A0D">
              <w:t>8</w:t>
            </w:r>
          </w:p>
        </w:tc>
        <w:tc>
          <w:tcPr>
            <w:tcW w:w="0" w:type="auto"/>
            <w:noWrap/>
            <w:hideMark/>
          </w:tcPr>
          <w:p w14:paraId="36228349" w14:textId="77777777" w:rsidR="00141A0D" w:rsidRPr="00141A0D" w:rsidRDefault="00141A0D" w:rsidP="00141A0D">
            <w:r w:rsidRPr="00141A0D">
              <w:t>8</w:t>
            </w:r>
          </w:p>
        </w:tc>
        <w:tc>
          <w:tcPr>
            <w:tcW w:w="0" w:type="auto"/>
            <w:noWrap/>
            <w:hideMark/>
          </w:tcPr>
          <w:p w14:paraId="65136913" w14:textId="77777777" w:rsidR="00141A0D" w:rsidRPr="00141A0D" w:rsidRDefault="00141A0D" w:rsidP="00141A0D">
            <w:r w:rsidRPr="00141A0D">
              <w:t> </w:t>
            </w:r>
          </w:p>
        </w:tc>
        <w:tc>
          <w:tcPr>
            <w:tcW w:w="0" w:type="auto"/>
            <w:noWrap/>
            <w:hideMark/>
          </w:tcPr>
          <w:p w14:paraId="34B2EAC6" w14:textId="77777777" w:rsidR="00141A0D" w:rsidRPr="00141A0D" w:rsidRDefault="00141A0D" w:rsidP="00141A0D">
            <w:r w:rsidRPr="00141A0D">
              <w:t>6</w:t>
            </w:r>
          </w:p>
        </w:tc>
        <w:tc>
          <w:tcPr>
            <w:tcW w:w="0" w:type="auto"/>
            <w:noWrap/>
            <w:hideMark/>
          </w:tcPr>
          <w:p w14:paraId="4EE584D9" w14:textId="77777777" w:rsidR="00141A0D" w:rsidRPr="00141A0D" w:rsidRDefault="00141A0D" w:rsidP="00141A0D">
            <w:r w:rsidRPr="00141A0D">
              <w:t>9</w:t>
            </w:r>
          </w:p>
        </w:tc>
      </w:tr>
      <w:tr w:rsidR="00141A0D" w:rsidRPr="00141A0D" w14:paraId="24EEC1A6" w14:textId="77777777" w:rsidTr="008D05E4">
        <w:tc>
          <w:tcPr>
            <w:tcW w:w="0" w:type="auto"/>
            <w:noWrap/>
            <w:hideMark/>
          </w:tcPr>
          <w:p w14:paraId="158975D1" w14:textId="5AF44319" w:rsidR="00141A0D" w:rsidRPr="00141A0D" w:rsidRDefault="004052C6" w:rsidP="00141A0D">
            <m:oMathPara>
              <m:oMath>
                <m:r>
                  <w:rPr>
                    <w:rFonts w:ascii="Cambria Math" w:hAnsi="Cambria Math"/>
                  </w:rPr>
                  <m:t>γ</m:t>
                </m:r>
              </m:oMath>
            </m:oMathPara>
          </w:p>
        </w:tc>
        <w:tc>
          <w:tcPr>
            <w:tcW w:w="0" w:type="auto"/>
            <w:noWrap/>
            <w:hideMark/>
          </w:tcPr>
          <w:p w14:paraId="5579928A" w14:textId="77777777" w:rsidR="00141A0D" w:rsidRPr="00141A0D" w:rsidRDefault="00141A0D" w:rsidP="00141A0D">
            <w:r w:rsidRPr="00141A0D">
              <w:t>Tyr</w:t>
            </w:r>
          </w:p>
        </w:tc>
        <w:tc>
          <w:tcPr>
            <w:tcW w:w="0" w:type="auto"/>
            <w:noWrap/>
            <w:hideMark/>
          </w:tcPr>
          <w:p w14:paraId="33F79A24" w14:textId="77777777" w:rsidR="00141A0D" w:rsidRPr="00141A0D" w:rsidRDefault="00141A0D" w:rsidP="00141A0D">
            <w:r w:rsidRPr="00141A0D">
              <w:t>Val</w:t>
            </w:r>
          </w:p>
        </w:tc>
        <w:tc>
          <w:tcPr>
            <w:tcW w:w="0" w:type="auto"/>
            <w:noWrap/>
            <w:hideMark/>
          </w:tcPr>
          <w:p w14:paraId="3CE12108" w14:textId="77777777" w:rsidR="00141A0D" w:rsidRPr="00141A0D" w:rsidRDefault="00141A0D" w:rsidP="00141A0D">
            <w:r w:rsidRPr="00141A0D">
              <w:t>Ala</w:t>
            </w:r>
          </w:p>
        </w:tc>
        <w:tc>
          <w:tcPr>
            <w:tcW w:w="0" w:type="auto"/>
            <w:noWrap/>
            <w:hideMark/>
          </w:tcPr>
          <w:p w14:paraId="23BD1476" w14:textId="77777777" w:rsidR="00141A0D" w:rsidRPr="00141A0D" w:rsidRDefault="00141A0D" w:rsidP="00141A0D">
            <w:r w:rsidRPr="00141A0D">
              <w:t>Thr</w:t>
            </w:r>
          </w:p>
        </w:tc>
        <w:tc>
          <w:tcPr>
            <w:tcW w:w="0" w:type="auto"/>
            <w:noWrap/>
            <w:hideMark/>
          </w:tcPr>
          <w:p w14:paraId="27C6C391" w14:textId="77777777" w:rsidR="00141A0D" w:rsidRPr="00141A0D" w:rsidRDefault="00141A0D" w:rsidP="00141A0D">
            <w:r w:rsidRPr="00141A0D">
              <w:t>Arg</w:t>
            </w:r>
          </w:p>
        </w:tc>
        <w:tc>
          <w:tcPr>
            <w:tcW w:w="0" w:type="auto"/>
            <w:noWrap/>
            <w:hideMark/>
          </w:tcPr>
          <w:p w14:paraId="0F495D35" w14:textId="77777777" w:rsidR="00141A0D" w:rsidRPr="00141A0D" w:rsidRDefault="00141A0D" w:rsidP="00141A0D">
            <w:r w:rsidRPr="00141A0D">
              <w:t>Asp</w:t>
            </w:r>
          </w:p>
        </w:tc>
        <w:tc>
          <w:tcPr>
            <w:tcW w:w="0" w:type="auto"/>
            <w:noWrap/>
            <w:hideMark/>
          </w:tcPr>
          <w:p w14:paraId="0C897154" w14:textId="77777777" w:rsidR="00141A0D" w:rsidRPr="00141A0D" w:rsidRDefault="00141A0D" w:rsidP="00141A0D">
            <w:r w:rsidRPr="00141A0D">
              <w:t>Asn</w:t>
            </w:r>
          </w:p>
        </w:tc>
        <w:tc>
          <w:tcPr>
            <w:tcW w:w="0" w:type="auto"/>
            <w:noWrap/>
            <w:hideMark/>
          </w:tcPr>
          <w:p w14:paraId="0FCD6A67" w14:textId="77777777" w:rsidR="00141A0D" w:rsidRPr="00141A0D" w:rsidRDefault="00141A0D" w:rsidP="00141A0D">
            <w:r w:rsidRPr="00141A0D">
              <w:t>X</w:t>
            </w:r>
          </w:p>
        </w:tc>
        <w:tc>
          <w:tcPr>
            <w:tcW w:w="0" w:type="auto"/>
            <w:noWrap/>
            <w:hideMark/>
          </w:tcPr>
          <w:p w14:paraId="56779E73" w14:textId="77777777" w:rsidR="00141A0D" w:rsidRPr="00141A0D" w:rsidRDefault="00141A0D" w:rsidP="00141A0D">
            <w:r w:rsidRPr="00141A0D">
              <w:t>X</w:t>
            </w:r>
          </w:p>
        </w:tc>
        <w:tc>
          <w:tcPr>
            <w:tcW w:w="0" w:type="auto"/>
            <w:noWrap/>
            <w:hideMark/>
          </w:tcPr>
          <w:p w14:paraId="460681FC" w14:textId="77777777" w:rsidR="00141A0D" w:rsidRPr="00141A0D" w:rsidRDefault="00141A0D" w:rsidP="00141A0D">
            <w:r w:rsidRPr="00141A0D">
              <w:t>Ile</w:t>
            </w:r>
          </w:p>
        </w:tc>
        <w:tc>
          <w:tcPr>
            <w:tcW w:w="0" w:type="auto"/>
            <w:noWrap/>
            <w:hideMark/>
          </w:tcPr>
          <w:p w14:paraId="02B58315" w14:textId="77777777" w:rsidR="00141A0D" w:rsidRPr="00141A0D" w:rsidRDefault="00141A0D" w:rsidP="00141A0D">
            <w:r w:rsidRPr="00141A0D">
              <w:t>Leu</w:t>
            </w:r>
          </w:p>
        </w:tc>
        <w:tc>
          <w:tcPr>
            <w:tcW w:w="0" w:type="auto"/>
            <w:noWrap/>
            <w:hideMark/>
          </w:tcPr>
          <w:p w14:paraId="08726AA3" w14:textId="77777777" w:rsidR="00141A0D" w:rsidRPr="00141A0D" w:rsidRDefault="00141A0D" w:rsidP="00141A0D">
            <w:r w:rsidRPr="00141A0D">
              <w:t>Asp</w:t>
            </w:r>
          </w:p>
        </w:tc>
        <w:tc>
          <w:tcPr>
            <w:tcW w:w="0" w:type="auto"/>
            <w:noWrap/>
            <w:hideMark/>
          </w:tcPr>
          <w:p w14:paraId="2871B6ED" w14:textId="77777777" w:rsidR="00141A0D" w:rsidRPr="00141A0D" w:rsidRDefault="00141A0D" w:rsidP="00141A0D">
            <w:r w:rsidRPr="00141A0D">
              <w:t>Glu</w:t>
            </w:r>
          </w:p>
        </w:tc>
        <w:tc>
          <w:tcPr>
            <w:tcW w:w="0" w:type="auto"/>
            <w:noWrap/>
            <w:hideMark/>
          </w:tcPr>
          <w:p w14:paraId="2D83660D" w14:textId="77777777" w:rsidR="00141A0D" w:rsidRPr="00141A0D" w:rsidRDefault="00141A0D" w:rsidP="00141A0D">
            <w:r w:rsidRPr="00141A0D">
              <w:t>Arg</w:t>
            </w:r>
          </w:p>
        </w:tc>
      </w:tr>
      <w:tr w:rsidR="00141A0D" w:rsidRPr="00141A0D" w14:paraId="5071D716" w14:textId="77777777" w:rsidTr="008D05E4">
        <w:tc>
          <w:tcPr>
            <w:tcW w:w="0" w:type="auto"/>
            <w:noWrap/>
            <w:hideMark/>
          </w:tcPr>
          <w:p w14:paraId="7687D2FB" w14:textId="77777777" w:rsidR="00141A0D" w:rsidRPr="00141A0D" w:rsidRDefault="00141A0D" w:rsidP="00141A0D">
            <w:r w:rsidRPr="00141A0D">
              <w:t> </w:t>
            </w:r>
          </w:p>
        </w:tc>
        <w:tc>
          <w:tcPr>
            <w:tcW w:w="0" w:type="auto"/>
            <w:noWrap/>
            <w:hideMark/>
          </w:tcPr>
          <w:p w14:paraId="53B5EF4A" w14:textId="77777777" w:rsidR="00141A0D" w:rsidRPr="00141A0D" w:rsidRDefault="00141A0D" w:rsidP="00141A0D">
            <w:r w:rsidRPr="00141A0D">
              <w:t>31</w:t>
            </w:r>
          </w:p>
        </w:tc>
        <w:tc>
          <w:tcPr>
            <w:tcW w:w="0" w:type="auto"/>
            <w:noWrap/>
            <w:hideMark/>
          </w:tcPr>
          <w:p w14:paraId="05A9D51C" w14:textId="77777777" w:rsidR="00141A0D" w:rsidRPr="00141A0D" w:rsidRDefault="00141A0D" w:rsidP="00141A0D">
            <w:r w:rsidRPr="00141A0D">
              <w:t>34</w:t>
            </w:r>
          </w:p>
        </w:tc>
        <w:tc>
          <w:tcPr>
            <w:tcW w:w="0" w:type="auto"/>
            <w:noWrap/>
            <w:hideMark/>
          </w:tcPr>
          <w:p w14:paraId="5F6143E0" w14:textId="77777777" w:rsidR="00141A0D" w:rsidRPr="00141A0D" w:rsidRDefault="00141A0D" w:rsidP="00141A0D">
            <w:r w:rsidRPr="00141A0D">
              <w:t>27</w:t>
            </w:r>
          </w:p>
        </w:tc>
        <w:tc>
          <w:tcPr>
            <w:tcW w:w="0" w:type="auto"/>
            <w:noWrap/>
            <w:hideMark/>
          </w:tcPr>
          <w:p w14:paraId="3175C4C3" w14:textId="77777777" w:rsidR="00141A0D" w:rsidRPr="00141A0D" w:rsidRDefault="00141A0D" w:rsidP="00141A0D">
            <w:r w:rsidRPr="00141A0D">
              <w:t>29</w:t>
            </w:r>
          </w:p>
        </w:tc>
        <w:tc>
          <w:tcPr>
            <w:tcW w:w="0" w:type="auto"/>
            <w:noWrap/>
            <w:hideMark/>
          </w:tcPr>
          <w:p w14:paraId="0E0A4542" w14:textId="77777777" w:rsidR="00141A0D" w:rsidRPr="00141A0D" w:rsidRDefault="00141A0D" w:rsidP="00141A0D">
            <w:r w:rsidRPr="00141A0D">
              <w:t>16</w:t>
            </w:r>
          </w:p>
        </w:tc>
        <w:tc>
          <w:tcPr>
            <w:tcW w:w="0" w:type="auto"/>
            <w:noWrap/>
            <w:hideMark/>
          </w:tcPr>
          <w:p w14:paraId="3B0FB557" w14:textId="77777777" w:rsidR="00141A0D" w:rsidRPr="00141A0D" w:rsidRDefault="00141A0D" w:rsidP="00141A0D">
            <w:r w:rsidRPr="00141A0D">
              <w:t>28</w:t>
            </w:r>
          </w:p>
        </w:tc>
        <w:tc>
          <w:tcPr>
            <w:tcW w:w="0" w:type="auto"/>
            <w:noWrap/>
            <w:hideMark/>
          </w:tcPr>
          <w:p w14:paraId="64ACA591" w14:textId="77777777" w:rsidR="00141A0D" w:rsidRPr="00141A0D" w:rsidRDefault="00141A0D" w:rsidP="00141A0D">
            <w:r w:rsidRPr="00141A0D">
              <w:t>29</w:t>
            </w:r>
          </w:p>
        </w:tc>
        <w:tc>
          <w:tcPr>
            <w:tcW w:w="0" w:type="auto"/>
            <w:noWrap/>
            <w:hideMark/>
          </w:tcPr>
          <w:p w14:paraId="4E589925" w14:textId="77777777" w:rsidR="00141A0D" w:rsidRPr="00141A0D" w:rsidRDefault="00141A0D" w:rsidP="00141A0D">
            <w:r w:rsidRPr="00141A0D">
              <w:t> </w:t>
            </w:r>
          </w:p>
        </w:tc>
        <w:tc>
          <w:tcPr>
            <w:tcW w:w="0" w:type="auto"/>
            <w:noWrap/>
            <w:hideMark/>
          </w:tcPr>
          <w:p w14:paraId="37F808BE" w14:textId="77777777" w:rsidR="00141A0D" w:rsidRPr="00141A0D" w:rsidRDefault="00141A0D" w:rsidP="00141A0D">
            <w:r w:rsidRPr="00141A0D">
              <w:t> </w:t>
            </w:r>
          </w:p>
        </w:tc>
        <w:tc>
          <w:tcPr>
            <w:tcW w:w="0" w:type="auto"/>
            <w:noWrap/>
            <w:hideMark/>
          </w:tcPr>
          <w:p w14:paraId="417434DE" w14:textId="77777777" w:rsidR="00141A0D" w:rsidRPr="00141A0D" w:rsidRDefault="00141A0D" w:rsidP="00141A0D">
            <w:r w:rsidRPr="00141A0D">
              <w:t>20</w:t>
            </w:r>
          </w:p>
        </w:tc>
        <w:tc>
          <w:tcPr>
            <w:tcW w:w="0" w:type="auto"/>
            <w:noWrap/>
            <w:hideMark/>
          </w:tcPr>
          <w:p w14:paraId="221D0C4E" w14:textId="77777777" w:rsidR="00141A0D" w:rsidRPr="00141A0D" w:rsidRDefault="00141A0D" w:rsidP="00141A0D">
            <w:r w:rsidRPr="00141A0D">
              <w:t>19</w:t>
            </w:r>
          </w:p>
        </w:tc>
        <w:tc>
          <w:tcPr>
            <w:tcW w:w="0" w:type="auto"/>
            <w:noWrap/>
            <w:hideMark/>
          </w:tcPr>
          <w:p w14:paraId="4F6DD624" w14:textId="77777777" w:rsidR="00141A0D" w:rsidRPr="00141A0D" w:rsidRDefault="00141A0D" w:rsidP="00141A0D">
            <w:r w:rsidRPr="00141A0D">
              <w:t>21</w:t>
            </w:r>
          </w:p>
        </w:tc>
        <w:tc>
          <w:tcPr>
            <w:tcW w:w="0" w:type="auto"/>
            <w:noWrap/>
            <w:hideMark/>
          </w:tcPr>
          <w:p w14:paraId="43BCF9B2" w14:textId="77777777" w:rsidR="00141A0D" w:rsidRPr="00141A0D" w:rsidRDefault="00141A0D" w:rsidP="00141A0D">
            <w:r w:rsidRPr="00141A0D">
              <w:t>17</w:t>
            </w:r>
          </w:p>
        </w:tc>
        <w:tc>
          <w:tcPr>
            <w:tcW w:w="0" w:type="auto"/>
            <w:noWrap/>
            <w:hideMark/>
          </w:tcPr>
          <w:p w14:paraId="43C3FA9B" w14:textId="77777777" w:rsidR="00141A0D" w:rsidRPr="00141A0D" w:rsidRDefault="00141A0D" w:rsidP="00141A0D">
            <w:r w:rsidRPr="00141A0D">
              <w:t>17</w:t>
            </w:r>
          </w:p>
        </w:tc>
      </w:tr>
    </w:tbl>
    <w:p w14:paraId="3A554B79" w14:textId="60A678DB" w:rsidR="00141A0D" w:rsidRPr="00141A0D" w:rsidRDefault="00141A0D" w:rsidP="008D05E4">
      <w:pPr>
        <w:pStyle w:val="NoSpacing"/>
      </w:pPr>
      <w:r w:rsidRPr="00141A0D">
        <w:rPr>
          <w:i/>
          <w:iCs/>
          <w:vertAlign w:val="superscript"/>
        </w:rPr>
        <w:t>a</w:t>
      </w:r>
      <w:r w:rsidRPr="00141A0D">
        <w:t> The 105 kDa band was separated from other fibrinogen bands by SDS−PAGE under reducing conditions. Appropriate regions of the gel were excised and protein was collected by electroelution. Concentrated samples were rerun on SDS−PAGE, transferred to poly(vinylidene difluoride) membrane, and sequenced on a model 477A Applied Biosystems pulsed liquid-phase sequencer. The amino acid recovery (picomoles) at each cycle is indicated below the residue.</w:t>
      </w:r>
      <w:r w:rsidRPr="00141A0D">
        <w:rPr>
          <w:i/>
          <w:iCs/>
          <w:vertAlign w:val="superscript"/>
        </w:rPr>
        <w:t>b</w:t>
      </w:r>
      <w:r w:rsidRPr="00141A0D">
        <w:t xml:space="preserve"> A minor </w:t>
      </w:r>
      <m:oMath>
        <m:r>
          <m:rPr>
            <m:sty m:val="p"/>
          </m:rPr>
          <w:rPr>
            <w:rFonts w:ascii="Cambria Math" w:hAnsi="Cambria Math"/>
          </w:rPr>
          <m:t>A</m:t>
        </m:r>
        <m:r>
          <w:rPr>
            <w:rFonts w:ascii="Cambria Math" w:hAnsi="Cambria Math"/>
          </w:rPr>
          <m:t>α</m:t>
        </m:r>
      </m:oMath>
      <w:r w:rsidRPr="00141A0D">
        <w:t xml:space="preserve"> chain variant (≈15%) beginning at position 2 (Asp) was present in the samples. The sequence data for this variant was included with the intact </w:t>
      </w:r>
      <m:oMath>
        <m:r>
          <m:rPr>
            <m:sty m:val="p"/>
          </m:rPr>
          <w:rPr>
            <w:rFonts w:ascii="Cambria Math" w:hAnsi="Cambria Math"/>
          </w:rPr>
          <m:t>A</m:t>
        </m:r>
        <m:r>
          <w:rPr>
            <w:rFonts w:ascii="Cambria Math" w:hAnsi="Cambria Math"/>
          </w:rPr>
          <m:t>α</m:t>
        </m:r>
      </m:oMath>
      <w:r w:rsidRPr="00141A0D">
        <w:t xml:space="preserve"> chain by putting it in register beginning at position 2.</w:t>
      </w:r>
    </w:p>
    <w:p w14:paraId="38ECB17A" w14:textId="77777777" w:rsidR="008D05E4" w:rsidRDefault="008D05E4" w:rsidP="00141A0D">
      <w:pPr>
        <w:rPr>
          <w:i/>
          <w:iCs/>
        </w:rPr>
      </w:pPr>
    </w:p>
    <w:p w14:paraId="29F6F6FD" w14:textId="3C893F2C" w:rsidR="00CA17F0" w:rsidRDefault="00141A0D" w:rsidP="00CA17F0">
      <w:pPr>
        <w:pStyle w:val="Heading2"/>
      </w:pPr>
      <w:r w:rsidRPr="00141A0D">
        <w:t xml:space="preserve">Intramolecular Nature of the </w:t>
      </w:r>
      <m:oMath>
        <m:r>
          <m:rPr>
            <m:sty m:val="p"/>
          </m:rPr>
          <w:rPr>
            <w:rFonts w:ascii="Cambria Math" w:hAnsi="Cambria Math"/>
          </w:rPr>
          <m:t>A</m:t>
        </m:r>
        <m:r>
          <w:rPr>
            <w:rFonts w:ascii="Cambria Math" w:hAnsi="Cambria Math"/>
          </w:rPr>
          <m:t>α·γ</m:t>
        </m:r>
      </m:oMath>
      <w:r w:rsidRPr="00141A0D">
        <w:t xml:space="preserve"> Band. </w:t>
      </w:r>
    </w:p>
    <w:p w14:paraId="753D2AAF" w14:textId="152B819F" w:rsidR="00141A0D" w:rsidRPr="00141A0D" w:rsidRDefault="00141A0D" w:rsidP="00141A0D">
      <w:r w:rsidRPr="00141A0D">
        <w:t xml:space="preserve">In nonreduced fibrinogen fraction I-2 preparations, monomeric fibrinogen and the factor XIII A and B subunits were detected, but a band migrating in the 105 kDa position was absent (Figure 5, horizontal tube gel). When a gel of unreduced fibrinogen was run in a second dimension under reducing conditions, the 105 kDa </w:t>
      </w:r>
      <m:oMath>
        <m:r>
          <m:rPr>
            <m:sty m:val="p"/>
          </m:rPr>
          <w:rPr>
            <w:rFonts w:ascii="Cambria Math" w:hAnsi="Cambria Math"/>
          </w:rPr>
          <m:t>A</m:t>
        </m:r>
        <m:r>
          <w:rPr>
            <w:rFonts w:ascii="Cambria Math" w:hAnsi="Cambria Math"/>
          </w:rPr>
          <m:t>α·γ</m:t>
        </m:r>
      </m:oMath>
      <w:r w:rsidRPr="00141A0D">
        <w:t xml:space="preserve"> band appeared in the region corresponding to fibrinogen monomer, indicating that it was covalently incorporated into a monomeric form of fibrinogen (Figure 5, slab gel).</w:t>
      </w:r>
    </w:p>
    <w:p w14:paraId="469B7196" w14:textId="0D2ED7D5" w:rsidR="00141A0D" w:rsidRPr="00141A0D" w:rsidRDefault="00141A0D" w:rsidP="00CA17F0">
      <w:pPr>
        <w:pStyle w:val="NoSpacing"/>
      </w:pPr>
      <w:r w:rsidRPr="00141A0D">
        <w:rPr>
          <w:noProof/>
        </w:rPr>
        <w:drawing>
          <wp:inline distT="0" distB="0" distL="0" distR="0" wp14:anchorId="0E60FC04" wp14:editId="7C96CB58">
            <wp:extent cx="2743200" cy="2139696"/>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139696"/>
                    </a:xfrm>
                    <a:prstGeom prst="rect">
                      <a:avLst/>
                    </a:prstGeom>
                    <a:noFill/>
                    <a:ln>
                      <a:noFill/>
                    </a:ln>
                  </pic:spPr>
                </pic:pic>
              </a:graphicData>
            </a:graphic>
          </wp:inline>
        </w:drawing>
      </w:r>
    </w:p>
    <w:p w14:paraId="546164A1" w14:textId="5F2F10D0" w:rsidR="00141A0D" w:rsidRDefault="00141A0D" w:rsidP="00CA17F0">
      <w:pPr>
        <w:pStyle w:val="NoSpacing"/>
      </w:pPr>
      <w:r w:rsidRPr="00141A0D">
        <w:t xml:space="preserve">Figure 5 Two-dimensional SDS−PAGE of fibrinogen. In the first dimension fibrinogen was separated on a 5% gel under nonreducing conditions (horizontal tube gel). For the second dimension, the tube bel was placed on top of a 9% gel and electrophoresed under reducing conditions. Protein bands were visualized by staining with Coomassie Blue R250. The positions of the relevant fibrinogen chains, factor XIII, and the </w:t>
      </w:r>
      <m:oMath>
        <m:r>
          <m:rPr>
            <m:sty m:val="p"/>
          </m:rPr>
          <w:rPr>
            <w:rFonts w:ascii="Cambria Math" w:hAnsi="Cambria Math"/>
          </w:rPr>
          <m:t>A</m:t>
        </m:r>
        <m:r>
          <w:rPr>
            <w:rFonts w:ascii="Cambria Math" w:hAnsi="Cambria Math"/>
          </w:rPr>
          <m:t>α·γ</m:t>
        </m:r>
      </m:oMath>
      <w:r w:rsidRPr="00141A0D">
        <w:t xml:space="preserve"> band are indicated.</w:t>
      </w:r>
    </w:p>
    <w:p w14:paraId="285BF627" w14:textId="77777777" w:rsidR="00CA17F0" w:rsidRPr="00141A0D" w:rsidRDefault="00CA17F0" w:rsidP="00141A0D"/>
    <w:p w14:paraId="375E45DC" w14:textId="7224EDD7" w:rsidR="00141A0D" w:rsidRPr="00141A0D" w:rsidRDefault="00141A0D" w:rsidP="00141A0D">
      <w:r w:rsidRPr="00141A0D">
        <w:t xml:space="preserve">We attempted to separate the 105 kDa band from the fraction I-2 fibrinogen by size exclusion chromatography in 50 mM Tris and 0.1 or 0.5 M NaCl, pH 7.4, buffers on the premise that the fibrinogen preparations might contain small amounts of multimeric cross-linked fibrinogen or fibrin molecules. Under either buffer condition, fibrinogen was separated into two fractions:  a minor early eluting peak and a major peak of fibrinogen monomer (Figure 6). SDS−PAGE of peak fractions (Figure 6, inset) revealed that the early eluting peak contained multimeric cross-linked fibrinogen or fibrin formed through </w:t>
      </w:r>
      <m:oMath>
        <m:r>
          <w:rPr>
            <w:rFonts w:ascii="Cambria Math" w:hAnsi="Cambria Math"/>
          </w:rPr>
          <m:t>γ</m:t>
        </m:r>
      </m:oMath>
      <w:r w:rsidRPr="00141A0D">
        <w:t xml:space="preserve"> chain cross-linking. The fibrinogen monomer peak expressed the 105 kDa </w:t>
      </w:r>
      <m:oMath>
        <m:r>
          <m:rPr>
            <m:sty m:val="p"/>
          </m:rPr>
          <w:rPr>
            <w:rFonts w:ascii="Cambria Math" w:hAnsi="Cambria Math"/>
          </w:rPr>
          <m:t>A</m:t>
        </m:r>
        <m:r>
          <w:rPr>
            <w:rFonts w:ascii="Cambria Math" w:hAnsi="Cambria Math"/>
          </w:rPr>
          <m:t>α·γ</m:t>
        </m:r>
      </m:oMath>
      <w:r w:rsidRPr="00141A0D">
        <w:t xml:space="preserve"> band.</w:t>
      </w:r>
    </w:p>
    <w:p w14:paraId="36AAECCD" w14:textId="7734EEE2" w:rsidR="00141A0D" w:rsidRPr="00141A0D" w:rsidRDefault="00141A0D" w:rsidP="00CA17F0">
      <w:pPr>
        <w:pStyle w:val="NoSpacing"/>
      </w:pPr>
      <w:r w:rsidRPr="00141A0D">
        <w:rPr>
          <w:noProof/>
        </w:rPr>
        <w:drawing>
          <wp:inline distT="0" distB="0" distL="0" distR="0" wp14:anchorId="39B0E36C" wp14:editId="4003FCCF">
            <wp:extent cx="2743200" cy="2944368"/>
            <wp:effectExtent l="0" t="0" r="0" b="889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2944368"/>
                    </a:xfrm>
                    <a:prstGeom prst="rect">
                      <a:avLst/>
                    </a:prstGeom>
                    <a:noFill/>
                    <a:ln>
                      <a:noFill/>
                    </a:ln>
                  </pic:spPr>
                </pic:pic>
              </a:graphicData>
            </a:graphic>
          </wp:inline>
        </w:drawing>
      </w:r>
    </w:p>
    <w:p w14:paraId="564B532E" w14:textId="6371709A" w:rsidR="00141A0D" w:rsidRDefault="00141A0D" w:rsidP="00CA17F0">
      <w:pPr>
        <w:pStyle w:val="NoSpacing"/>
      </w:pPr>
      <w:r w:rsidRPr="00141A0D">
        <w:t xml:space="preserve">Figure 6 Size exclusion chromatography of fibrinogen. Fibrinogen was loaded onto a pair of columns containing Sepharose 4B-CL equilibrated in 50 mM Tris, 100 mM NaCl, 0.5 mM PMSF, 5 KIU/mL Trasylol, pH 7.4. A fast eluting minor peak and a slower eluting major peak were resolved. The inset to this figure is an 8−25% Coomassie Blue stained Phast gel of selected fractions. Lanes:  1, starting fibrinogen; 2−7, column fractions as indicated by arrows; 8, factor XIIIa cross-linked fibrin. The positions of the relevant fibrinogen chains, factor XIII, and the </w:t>
      </w:r>
      <m:oMath>
        <m:r>
          <m:rPr>
            <m:sty m:val="p"/>
          </m:rPr>
          <w:rPr>
            <w:rFonts w:ascii="Cambria Math" w:hAnsi="Cambria Math"/>
          </w:rPr>
          <m:t>A</m:t>
        </m:r>
        <m:r>
          <w:rPr>
            <w:rFonts w:ascii="Cambria Math" w:hAnsi="Cambria Math"/>
          </w:rPr>
          <m:t>α·γ</m:t>
        </m:r>
      </m:oMath>
      <w:r w:rsidRPr="00141A0D">
        <w:t xml:space="preserve"> band are indicated.</w:t>
      </w:r>
    </w:p>
    <w:p w14:paraId="4144136F" w14:textId="77777777" w:rsidR="00CA17F0" w:rsidRPr="00141A0D" w:rsidRDefault="00CA17F0" w:rsidP="00141A0D"/>
    <w:p w14:paraId="22C2FC55" w14:textId="15F02031" w:rsidR="00141A0D" w:rsidRPr="00141A0D" w:rsidRDefault="00141A0D" w:rsidP="00141A0D">
      <w:r w:rsidRPr="00141A0D">
        <w:t xml:space="preserve">The method of plasma collection from which the fibrinogen was isolated had little, if any, effect on the occurrence of the </w:t>
      </w:r>
      <m:oMath>
        <m:r>
          <m:rPr>
            <m:sty m:val="p"/>
          </m:rPr>
          <w:rPr>
            <w:rFonts w:ascii="Cambria Math" w:hAnsi="Cambria Math"/>
          </w:rPr>
          <m:t>A</m:t>
        </m:r>
        <m:r>
          <w:rPr>
            <w:rFonts w:ascii="Cambria Math" w:hAnsi="Cambria Math"/>
          </w:rPr>
          <m:t>α·γ</m:t>
        </m:r>
      </m:oMath>
      <w:r w:rsidRPr="00141A0D">
        <w:t xml:space="preserve"> band. Plasma from fresh single donor blood that had been collected into acid−citrate−dextrose supplemented with PMSF, aprotinin, PPACK, </w:t>
      </w:r>
      <w:r w:rsidRPr="00141A0D">
        <w:rPr>
          <w:i/>
          <w:iCs/>
        </w:rPr>
        <w:t>N</w:t>
      </w:r>
      <w:r w:rsidRPr="00141A0D">
        <w:t xml:space="preserve">-ethylmaleimide, and EDTA was subfractionated from buffers containing these inhibitors in all solutions. SDS−PAGE analysis demonstrated the presence of the </w:t>
      </w:r>
      <m:oMath>
        <m:r>
          <m:rPr>
            <m:sty m:val="p"/>
          </m:rPr>
          <w:rPr>
            <w:rFonts w:ascii="Cambria Math" w:hAnsi="Cambria Math"/>
          </w:rPr>
          <m:t>A</m:t>
        </m:r>
        <m:r>
          <w:rPr>
            <w:rFonts w:ascii="Cambria Math" w:hAnsi="Cambria Math"/>
          </w:rPr>
          <m:t>α·γ</m:t>
        </m:r>
      </m:oMath>
      <w:r w:rsidRPr="00141A0D">
        <w:t xml:space="preserve"> band (Figure 7, lane 1) in about the same amounts as had been found in fibrinogen isolated from outdated plasma (cf. Figure 1). When a fibrinogen sample prepared from fresh single donor plasma was chromoatographically subfractionated into peaks 1 and </w:t>
      </w:r>
      <w:bookmarkStart w:id="5" w:name="bi003501805820"/>
      <w:bookmarkEnd w:id="5"/>
      <w:r w:rsidRPr="00141A0D">
        <w:t xml:space="preserve">2, the </w:t>
      </w:r>
      <m:oMath>
        <m:r>
          <m:rPr>
            <m:sty m:val="p"/>
          </m:rPr>
          <w:rPr>
            <w:rFonts w:ascii="Cambria Math" w:hAnsi="Cambria Math"/>
          </w:rPr>
          <m:t>A</m:t>
        </m:r>
        <m:r>
          <w:rPr>
            <w:rFonts w:ascii="Cambria Math" w:hAnsi="Cambria Math"/>
          </w:rPr>
          <m:t>α·γ</m:t>
        </m:r>
      </m:oMath>
      <w:r w:rsidRPr="00141A0D">
        <w:t xml:space="preserve"> band was found in both peak fractions, with a somewhat higher proportion in the peak 2 fibrinogen (Figure 7, lanes 2 and 3).</w:t>
      </w:r>
    </w:p>
    <w:p w14:paraId="2D56FC95" w14:textId="7BE0C67C" w:rsidR="00141A0D" w:rsidRPr="00141A0D" w:rsidRDefault="00141A0D" w:rsidP="00CA17F0">
      <w:pPr>
        <w:pStyle w:val="NoSpacing"/>
      </w:pPr>
      <w:r w:rsidRPr="00141A0D">
        <w:rPr>
          <w:noProof/>
        </w:rPr>
        <w:drawing>
          <wp:inline distT="0" distB="0" distL="0" distR="0" wp14:anchorId="52116D87" wp14:editId="74066531">
            <wp:extent cx="2743200" cy="3502152"/>
            <wp:effectExtent l="0" t="0" r="0" b="3175"/>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3502152"/>
                    </a:xfrm>
                    <a:prstGeom prst="rect">
                      <a:avLst/>
                    </a:prstGeom>
                    <a:noFill/>
                    <a:ln>
                      <a:noFill/>
                    </a:ln>
                  </pic:spPr>
                </pic:pic>
              </a:graphicData>
            </a:graphic>
          </wp:inline>
        </w:drawing>
      </w:r>
    </w:p>
    <w:p w14:paraId="4715D8B3" w14:textId="4953A526" w:rsidR="00CA17F0" w:rsidRPr="00141A0D" w:rsidRDefault="00141A0D" w:rsidP="00CA17F0">
      <w:pPr>
        <w:pStyle w:val="NoSpacing"/>
      </w:pPr>
      <w:r w:rsidRPr="00141A0D">
        <w:t xml:space="preserve">Figure 7 Identification of the </w:t>
      </w:r>
      <m:oMath>
        <m:r>
          <m:rPr>
            <m:sty m:val="p"/>
          </m:rPr>
          <w:rPr>
            <w:rFonts w:ascii="Cambria Math" w:hAnsi="Cambria Math"/>
          </w:rPr>
          <m:t>A</m:t>
        </m:r>
        <m:r>
          <w:rPr>
            <w:rFonts w:ascii="Cambria Math" w:hAnsi="Cambria Math"/>
          </w:rPr>
          <m:t>α·γ</m:t>
        </m:r>
      </m:oMath>
      <w:r w:rsidRPr="00141A0D">
        <w:t xml:space="preserve"> band in fibrinogen isolated from fresh plasma. Single donor plasma was collected into acid−citrate−dextrose (9:1) supplemented with a variety of protease/transglutaminase inhibitors (see Methods). These same inhibitors were present in all solutions employed during fibrinogen isolation. An aliquot of fraction I-2 fibrinogen (lane 1) was separated into peak 1 (lane 2) and peak 2 (lane 3) fibrinogen by chromatography on DE-52. The positions on this Coomassie Blue stained gel of the relevant fibrinogen chains, factor XIII, and the </w:t>
      </w:r>
      <m:oMath>
        <m:r>
          <m:rPr>
            <m:sty m:val="p"/>
          </m:rPr>
          <w:rPr>
            <w:rFonts w:ascii="Cambria Math" w:hAnsi="Cambria Math"/>
          </w:rPr>
          <m:t>A</m:t>
        </m:r>
        <m:r>
          <w:rPr>
            <w:rFonts w:ascii="Cambria Math" w:hAnsi="Cambria Math"/>
          </w:rPr>
          <m:t>α·γ</m:t>
        </m:r>
      </m:oMath>
      <w:r w:rsidRPr="00141A0D">
        <w:t xml:space="preserve"> band are indicated.</w:t>
      </w:r>
    </w:p>
    <w:p w14:paraId="01281D00" w14:textId="77777777" w:rsidR="00141A0D" w:rsidRPr="00141A0D" w:rsidRDefault="00141A0D" w:rsidP="00CA17F0">
      <w:pPr>
        <w:pStyle w:val="Heading1"/>
      </w:pPr>
      <w:r w:rsidRPr="00141A0D">
        <w:t>Discussion</w:t>
      </w:r>
    </w:p>
    <w:p w14:paraId="589B89C1" w14:textId="12CCE1E9" w:rsidR="00141A0D" w:rsidRPr="00141A0D" w:rsidRDefault="00141A0D" w:rsidP="00141A0D">
      <w:r w:rsidRPr="00141A0D">
        <w:t xml:space="preserve">A band corresponding to the </w:t>
      </w:r>
      <m:oMath>
        <m:r>
          <m:rPr>
            <m:sty m:val="p"/>
          </m:rPr>
          <w:rPr>
            <w:rFonts w:ascii="Cambria Math" w:hAnsi="Cambria Math"/>
          </w:rPr>
          <m:t>A</m:t>
        </m:r>
        <m:r>
          <w:rPr>
            <w:rFonts w:ascii="Cambria Math" w:hAnsi="Cambria Math"/>
          </w:rPr>
          <m:t>α·γ</m:t>
        </m:r>
      </m:oMath>
      <w:r w:rsidRPr="00141A0D">
        <w:t xml:space="preserve"> chain fibrinogen band has been observed previously by other investigations but was not recognized to consist of cross-linked </w:t>
      </w:r>
      <m:oMath>
        <m:r>
          <m:rPr>
            <m:sty m:val="p"/>
          </m:rPr>
          <w:rPr>
            <w:rFonts w:ascii="Cambria Math" w:hAnsi="Cambria Math"/>
          </w:rPr>
          <m:t>A</m:t>
        </m:r>
        <m:r>
          <w:rPr>
            <w:rFonts w:ascii="Cambria Math" w:hAnsi="Cambria Math"/>
          </w:rPr>
          <m:t>α·γ</m:t>
        </m:r>
      </m:oMath>
      <w:r w:rsidRPr="00141A0D">
        <w:t xml:space="preserve"> chain heterodimers. Grøn et al. (1993) noted that the 105 kDa band reacted with antibodies directed against </w:t>
      </w:r>
      <m:oMath>
        <m:r>
          <m:rPr>
            <m:sty m:val="p"/>
          </m:rPr>
          <w:rPr>
            <w:rFonts w:ascii="Cambria Math" w:hAnsi="Cambria Math"/>
          </w:rPr>
          <m:t>A</m:t>
        </m:r>
        <m:r>
          <w:rPr>
            <w:rFonts w:ascii="Cambria Math" w:hAnsi="Cambria Math"/>
          </w:rPr>
          <m:t>α</m:t>
        </m:r>
      </m:oMath>
      <w:r w:rsidRPr="00141A0D">
        <w:t xml:space="preserve"> or </w:t>
      </w:r>
      <m:oMath>
        <m:r>
          <w:rPr>
            <w:rFonts w:ascii="Cambria Math" w:hAnsi="Cambria Math"/>
          </w:rPr>
          <m:t>γ</m:t>
        </m:r>
      </m:oMath>
      <w:r w:rsidRPr="00141A0D">
        <w:t xml:space="preserve"> chains, but they did not analyze the band in further detail and believed that it consisted of </w:t>
      </w:r>
      <m:oMath>
        <m:r>
          <w:rPr>
            <w:rFonts w:ascii="Cambria Math" w:hAnsi="Cambria Math"/>
          </w:rPr>
          <m:t>γ</m:t>
        </m:r>
      </m:oMath>
      <w:r w:rsidRPr="00141A0D">
        <w:t xml:space="preserve"> dimers superimposed upon partially degraded cross-linked </w:t>
      </w:r>
      <m:oMath>
        <m:r>
          <m:rPr>
            <m:sty m:val="p"/>
          </m:rPr>
          <w:rPr>
            <w:rFonts w:ascii="Cambria Math" w:hAnsi="Cambria Math"/>
          </w:rPr>
          <m:t>A</m:t>
        </m:r>
        <m:r>
          <w:rPr>
            <w:rFonts w:ascii="Cambria Math" w:hAnsi="Cambria Math"/>
          </w:rPr>
          <m:t>α</m:t>
        </m:r>
      </m:oMath>
      <w:r w:rsidRPr="00141A0D">
        <w:t xml:space="preserve"> chains. Our present experiments show that intramolecular cross-linked </w:t>
      </w:r>
      <m:oMath>
        <m:r>
          <m:rPr>
            <m:sty m:val="p"/>
          </m:rPr>
          <w:rPr>
            <w:rFonts w:ascii="Cambria Math" w:hAnsi="Cambria Math"/>
          </w:rPr>
          <m:t>A</m:t>
        </m:r>
        <m:r>
          <w:rPr>
            <w:rFonts w:ascii="Cambria Math" w:hAnsi="Cambria Math"/>
          </w:rPr>
          <m:t>α</m:t>
        </m:r>
      </m:oMath>
      <w:r w:rsidRPr="00141A0D">
        <w:t xml:space="preserve"> and </w:t>
      </w:r>
      <m:oMath>
        <m:r>
          <w:rPr>
            <w:rFonts w:ascii="Cambria Math" w:hAnsi="Cambria Math"/>
          </w:rPr>
          <m:t>γ</m:t>
        </m:r>
      </m:oMath>
      <w:r w:rsidRPr="00141A0D">
        <w:t xml:space="preserve"> chains are present in circulating monomeric fibrinogen molecules. The </w:t>
      </w:r>
      <m:oMath>
        <m:r>
          <m:rPr>
            <m:sty m:val="p"/>
          </m:rPr>
          <w:rPr>
            <w:rFonts w:ascii="Cambria Math" w:hAnsi="Cambria Math"/>
          </w:rPr>
          <m:t>A</m:t>
        </m:r>
        <m:r>
          <w:rPr>
            <w:rFonts w:ascii="Cambria Math" w:hAnsi="Cambria Math"/>
          </w:rPr>
          <m:t>α·γ</m:t>
        </m:r>
      </m:oMath>
      <w:r w:rsidRPr="00141A0D">
        <w:t xml:space="preserve"> heterodimers are present in a small proportion of circulating fibrinogen molecules amounting to approximately 2% of the </w:t>
      </w:r>
      <m:oMath>
        <m:r>
          <m:rPr>
            <m:sty m:val="p"/>
          </m:rPr>
          <w:rPr>
            <w:rFonts w:ascii="Cambria Math" w:hAnsi="Cambria Math"/>
          </w:rPr>
          <m:t>A</m:t>
        </m:r>
        <m:r>
          <w:rPr>
            <w:rFonts w:ascii="Cambria Math" w:hAnsi="Cambria Math"/>
          </w:rPr>
          <m:t>α/γ</m:t>
        </m:r>
      </m:oMath>
      <w:r w:rsidRPr="00141A0D">
        <w:t xml:space="preserve"> chain population.</w:t>
      </w:r>
    </w:p>
    <w:p w14:paraId="62008FAC" w14:textId="71DF7984" w:rsidR="00141A0D" w:rsidRPr="00141A0D" w:rsidRDefault="00141A0D" w:rsidP="00141A0D">
      <w:r w:rsidRPr="00141A0D">
        <w:t xml:space="preserve">The </w:t>
      </w:r>
      <m:oMath>
        <m:r>
          <m:rPr>
            <m:sty m:val="p"/>
          </m:rPr>
          <w:rPr>
            <w:rFonts w:ascii="Cambria Math" w:hAnsi="Cambria Math"/>
          </w:rPr>
          <m:t>A</m:t>
        </m:r>
        <m:r>
          <w:rPr>
            <w:rFonts w:ascii="Cambria Math" w:hAnsi="Cambria Math"/>
          </w:rPr>
          <m:t>α·γ</m:t>
        </m:r>
      </m:oMath>
      <w:r w:rsidRPr="00141A0D">
        <w:t xml:space="preserve"> heterodimers are presumably formed by the action of a transglutaminase. Murthy et al. (1991) recently found that transglutaminase from erythrocytes catalyzed the formation of intermolecularly cross-linked fibrinogen polymers </w:t>
      </w:r>
      <w:r w:rsidRPr="00141A0D">
        <w:rPr>
          <w:i/>
          <w:iCs/>
        </w:rPr>
        <w:t>in vitro</w:t>
      </w:r>
      <w:r w:rsidRPr="00141A0D">
        <w:t>, suggesting to us that a tissue-type transglutaminase is responsible for formation of these complexes in circulating fibrinogen </w:t>
      </w:r>
      <w:r w:rsidRPr="00141A0D">
        <w:rPr>
          <w:i/>
          <w:iCs/>
        </w:rPr>
        <w:t>in vivo</w:t>
      </w:r>
      <w:r w:rsidRPr="00141A0D">
        <w:t xml:space="preserve">. However, a possible role for factor XIIIa cannot be completely discounted, since both forms of factor XIII have been shown to produce cross-linked </w:t>
      </w:r>
      <m:oMath>
        <m:r>
          <m:rPr>
            <m:sty m:val="p"/>
          </m:rPr>
          <w:rPr>
            <w:rFonts w:ascii="Cambria Math" w:hAnsi="Cambria Math"/>
          </w:rPr>
          <m:t>A</m:t>
        </m:r>
        <m:r>
          <w:rPr>
            <w:rFonts w:ascii="Cambria Math" w:hAnsi="Cambria Math"/>
          </w:rPr>
          <m:t>α·γ</m:t>
        </m:r>
      </m:oMath>
      <w:r w:rsidRPr="00141A0D">
        <w:t xml:space="preserve"> chains in fibrin and fibrinogen (Mosesson et al., 1989; Amrani &amp; Mosesson, 1989; Shainoff et al., 1991; Grøn et al., 1993). Similarly, the region(s) of the </w:t>
      </w:r>
      <m:oMath>
        <m:r>
          <m:rPr>
            <m:sty m:val="p"/>
          </m:rPr>
          <w:rPr>
            <w:rFonts w:ascii="Cambria Math" w:hAnsi="Cambria Math"/>
          </w:rPr>
          <m:t>A</m:t>
        </m:r>
        <m:r>
          <w:rPr>
            <w:rFonts w:ascii="Cambria Math" w:hAnsi="Cambria Math"/>
          </w:rPr>
          <m:t>α</m:t>
        </m:r>
      </m:oMath>
      <w:r w:rsidRPr="00141A0D">
        <w:t xml:space="preserve"> chain that become(s) cross-linked to the </w:t>
      </w:r>
      <m:oMath>
        <m:r>
          <w:rPr>
            <w:rFonts w:ascii="Cambria Math" w:hAnsi="Cambria Math"/>
          </w:rPr>
          <m:t>γ</m:t>
        </m:r>
      </m:oMath>
      <w:r w:rsidRPr="00141A0D">
        <w:t xml:space="preserve"> chain is (are) unknown as is the chain which contributes the lysine donor and glutamine acceptor groups.</w:t>
      </w:r>
    </w:p>
    <w:p w14:paraId="4A949C2A" w14:textId="7D994EBE" w:rsidR="00141A0D" w:rsidRPr="00141A0D" w:rsidRDefault="00141A0D" w:rsidP="00141A0D">
      <w:r w:rsidRPr="00141A0D">
        <w:t xml:space="preserve">Several plausible scenarios can be suggested to explain how </w:t>
      </w:r>
      <m:oMath>
        <m:r>
          <m:rPr>
            <m:sty m:val="p"/>
          </m:rPr>
          <w:rPr>
            <w:rFonts w:ascii="Cambria Math" w:hAnsi="Cambria Math"/>
          </w:rPr>
          <m:t>A</m:t>
        </m:r>
        <m:r>
          <w:rPr>
            <w:rFonts w:ascii="Cambria Math" w:hAnsi="Cambria Math"/>
          </w:rPr>
          <m:t>α·γ</m:t>
        </m:r>
      </m:oMath>
      <w:r w:rsidRPr="00141A0D">
        <w:t xml:space="preserve"> complexes form </w:t>
      </w:r>
      <w:r w:rsidRPr="00141A0D">
        <w:rPr>
          <w:i/>
          <w:iCs/>
        </w:rPr>
        <w:t>in vivo</w:t>
      </w:r>
      <w:r w:rsidRPr="00141A0D">
        <w:t xml:space="preserve">. Fibrinogen has been shown to bind covalently to hepatocytes and endothelial cells in a calcium-dependent manner (Barsigian et al., 1987, 1988; Greenberg et al., 1987; Martinez et al., 1989; Barsigian &amp; Martinez, 1990). Tissue transglutaminase evidently is the processing enzyme mediating the binding because there was preferential cross-linking of </w:t>
      </w:r>
      <m:oMath>
        <m:r>
          <m:rPr>
            <m:sty m:val="p"/>
          </m:rPr>
          <w:rPr>
            <w:rFonts w:ascii="Cambria Math" w:hAnsi="Cambria Math"/>
          </w:rPr>
          <m:t>A</m:t>
        </m:r>
        <m:r>
          <w:rPr>
            <w:rFonts w:ascii="Cambria Math" w:hAnsi="Cambria Math"/>
          </w:rPr>
          <m:t>α</m:t>
        </m:r>
      </m:oMath>
      <w:r w:rsidRPr="00141A0D">
        <w:t xml:space="preserve"> chains over </w:t>
      </w:r>
      <m:oMath>
        <m:r>
          <w:rPr>
            <w:rFonts w:ascii="Cambria Math" w:hAnsi="Cambria Math"/>
          </w:rPr>
          <m:t>γ</m:t>
        </m:r>
      </m:oMath>
      <w:r w:rsidRPr="00141A0D">
        <w:t xml:space="preserve"> chains and </w:t>
      </w:r>
      <m:oMath>
        <m:r>
          <w:rPr>
            <w:rFonts w:ascii="Cambria Math" w:hAnsi="Cambria Math"/>
          </w:rPr>
          <m:t>γ</m:t>
        </m:r>
      </m:oMath>
      <w:r w:rsidRPr="00141A0D">
        <w:t xml:space="preserve"> dimers were not observed. Cross-linking at the cell surface, in which the Aα chain reacts internally with a neighboring </w:t>
      </w:r>
      <m:oMath>
        <m:r>
          <w:rPr>
            <w:rFonts w:ascii="Cambria Math" w:hAnsi="Cambria Math"/>
          </w:rPr>
          <m:t>γ</m:t>
        </m:r>
      </m:oMath>
      <w:r w:rsidRPr="00141A0D">
        <w:t xml:space="preserve"> chain before it binds to the cell, could lead to circulating monomeric fibrinogen containing intramolecular </w:t>
      </w:r>
      <m:oMath>
        <m:r>
          <m:rPr>
            <m:sty m:val="p"/>
          </m:rPr>
          <w:rPr>
            <w:rFonts w:ascii="Cambria Math" w:hAnsi="Cambria Math"/>
          </w:rPr>
          <m:t>A</m:t>
        </m:r>
        <m:r>
          <w:rPr>
            <w:rFonts w:ascii="Cambria Math" w:hAnsi="Cambria Math"/>
          </w:rPr>
          <m:t>α·γ</m:t>
        </m:r>
      </m:oMath>
      <w:r w:rsidRPr="00141A0D">
        <w:t xml:space="preserve"> complexes. Alternatively, these complexes could form in the circulation when factor XIII becomes activated or whenever </w:t>
      </w:r>
      <w:bookmarkStart w:id="6" w:name="bi003501805821"/>
      <w:bookmarkEnd w:id="6"/>
      <w:r w:rsidRPr="00141A0D">
        <w:t xml:space="preserve">a transglutaminase is released from a cell such as an erythrocyte (even through normal senescent erythrocyte processing). Pathological conditions causing hemolysis and/or cell damage could also result in increased levels of </w:t>
      </w:r>
      <m:oMath>
        <m:r>
          <m:rPr>
            <m:sty m:val="p"/>
          </m:rPr>
          <w:rPr>
            <w:rFonts w:ascii="Cambria Math" w:hAnsi="Cambria Math"/>
          </w:rPr>
          <m:t>A</m:t>
        </m:r>
        <m:r>
          <w:rPr>
            <w:rFonts w:ascii="Cambria Math" w:hAnsi="Cambria Math"/>
          </w:rPr>
          <m:t>α·γ</m:t>
        </m:r>
      </m:oMath>
      <w:r w:rsidRPr="00141A0D">
        <w:t xml:space="preserve"> heterodimers in circulating fibrinogen.</w:t>
      </w:r>
    </w:p>
    <w:p w14:paraId="40E84769" w14:textId="77777777" w:rsidR="00141A0D" w:rsidRPr="00141A0D" w:rsidRDefault="00141A0D" w:rsidP="007F545A">
      <w:pPr>
        <w:pStyle w:val="Heading1"/>
      </w:pPr>
      <w:r w:rsidRPr="00141A0D">
        <w:t>Acknowledgment</w:t>
      </w:r>
    </w:p>
    <w:p w14:paraId="47844568" w14:textId="77777777" w:rsidR="00141A0D" w:rsidRPr="00141A0D" w:rsidRDefault="00141A0D" w:rsidP="00141A0D">
      <w:r w:rsidRPr="00141A0D">
        <w:t>We are grateful to Diane Bartley and Pamela Ried for their excellent technical assistance and to Karen Mickey Higgins for her skilled assistance with the graphic and photographic illustrations. Amino acid microsequence analysis was performed at the Protein/Nucleic Acid Shared Facility of the Cancer Center at the Medical College of Wisconsin, Milwaukee.</w:t>
      </w:r>
    </w:p>
    <w:p w14:paraId="76C3B9A9" w14:textId="7D7C50E2" w:rsidR="00141A0D" w:rsidRPr="00141A0D" w:rsidRDefault="00141A0D" w:rsidP="00141A0D">
      <w:r w:rsidRPr="00141A0D">
        <w:rPr>
          <w:rFonts w:ascii="Segoe UI Symbol" w:hAnsi="Segoe UI Symbol" w:cs="Segoe UI Symbol"/>
        </w:rPr>
        <w:t>✗</w:t>
      </w:r>
      <w:r w:rsidRPr="00141A0D">
        <w:t> Abstract published in </w:t>
      </w:r>
      <w:r w:rsidRPr="00141A0D">
        <w:rPr>
          <w:i/>
          <w:iCs/>
        </w:rPr>
        <w:t>Advance ACS Abstracts,</w:t>
      </w:r>
      <w:r w:rsidRPr="00141A0D">
        <w:t> April 15, 1996.</w:t>
      </w:r>
    </w:p>
    <w:p w14:paraId="4DB690C3" w14:textId="27460B88" w:rsidR="00141A0D" w:rsidRPr="00141A0D" w:rsidRDefault="007F545A" w:rsidP="007F545A">
      <w:pPr>
        <w:pStyle w:val="Heading1"/>
      </w:pPr>
      <w:r>
        <w:t>References</w:t>
      </w:r>
    </w:p>
    <w:p w14:paraId="6FDC7928" w14:textId="77777777" w:rsidR="00141A0D" w:rsidRPr="00141A0D" w:rsidRDefault="00141A0D" w:rsidP="0058454E">
      <w:pPr>
        <w:pStyle w:val="NoSpacing"/>
        <w:ind w:left="720" w:hanging="720"/>
      </w:pPr>
      <w:r w:rsidRPr="00141A0D">
        <w:t>Amrani, D. L., &amp; Mosesson, M. W. (1989) </w:t>
      </w:r>
      <w:r w:rsidRPr="00141A0D">
        <w:rPr>
          <w:i/>
          <w:iCs/>
        </w:rPr>
        <w:t>Blood 74</w:t>
      </w:r>
      <w:r w:rsidRPr="00141A0D">
        <w:t> (Suppl. 1), 212a.</w:t>
      </w:r>
    </w:p>
    <w:p w14:paraId="1F0E94D8" w14:textId="77777777" w:rsidR="00141A0D" w:rsidRPr="00141A0D" w:rsidRDefault="00141A0D" w:rsidP="0058454E">
      <w:pPr>
        <w:pStyle w:val="NoSpacing"/>
        <w:ind w:left="720" w:hanging="720"/>
      </w:pPr>
      <w:r w:rsidRPr="00141A0D">
        <w:t>Barsigian, C., &amp; Martinez, J. (1990) </w:t>
      </w:r>
      <w:r w:rsidRPr="00141A0D">
        <w:rPr>
          <w:i/>
          <w:iCs/>
        </w:rPr>
        <w:t>Blood Coagulation Fibrinolysis 1</w:t>
      </w:r>
      <w:r w:rsidRPr="00141A0D">
        <w:t>, 551−555.</w:t>
      </w:r>
    </w:p>
    <w:p w14:paraId="3CC0F71B" w14:textId="77777777" w:rsidR="00141A0D" w:rsidRPr="00141A0D" w:rsidRDefault="00141A0D" w:rsidP="0058454E">
      <w:pPr>
        <w:pStyle w:val="NoSpacing"/>
        <w:ind w:left="720" w:hanging="720"/>
      </w:pPr>
      <w:r w:rsidRPr="00141A0D">
        <w:t>Barsigian, C., Fellin, F. M., Base, W., Schaeffer, A., Fish, S., &amp; Martinez, J. (1987) </w:t>
      </w:r>
      <w:r w:rsidRPr="00141A0D">
        <w:rPr>
          <w:i/>
          <w:iCs/>
        </w:rPr>
        <w:t>J</w:t>
      </w:r>
      <w:r w:rsidRPr="00141A0D">
        <w:t>. </w:t>
      </w:r>
      <w:r w:rsidRPr="00141A0D">
        <w:rPr>
          <w:i/>
          <w:iCs/>
        </w:rPr>
        <w:t>Biol</w:t>
      </w:r>
      <w:r w:rsidRPr="00141A0D">
        <w:t>. </w:t>
      </w:r>
      <w:r w:rsidRPr="00141A0D">
        <w:rPr>
          <w:i/>
          <w:iCs/>
        </w:rPr>
        <w:t>Chem</w:t>
      </w:r>
      <w:r w:rsidRPr="00141A0D">
        <w:t>. </w:t>
      </w:r>
      <w:r w:rsidRPr="00141A0D">
        <w:rPr>
          <w:i/>
          <w:iCs/>
        </w:rPr>
        <w:t>262</w:t>
      </w:r>
      <w:r w:rsidRPr="00141A0D">
        <w:t>, 3674−3679.</w:t>
      </w:r>
    </w:p>
    <w:p w14:paraId="61CB3884" w14:textId="77777777" w:rsidR="00141A0D" w:rsidRPr="00141A0D" w:rsidRDefault="00141A0D" w:rsidP="0058454E">
      <w:pPr>
        <w:pStyle w:val="NoSpacing"/>
        <w:ind w:left="720" w:hanging="720"/>
      </w:pPr>
      <w:r w:rsidRPr="00141A0D">
        <w:t>Barsigian, C., Fellin, F. M., Jain, A., &amp; Martinez, J. (1988) </w:t>
      </w:r>
      <w:r w:rsidRPr="00141A0D">
        <w:rPr>
          <w:i/>
          <w:iCs/>
        </w:rPr>
        <w:t>J</w:t>
      </w:r>
      <w:r w:rsidRPr="00141A0D">
        <w:t>. </w:t>
      </w:r>
      <w:r w:rsidRPr="00141A0D">
        <w:rPr>
          <w:i/>
          <w:iCs/>
        </w:rPr>
        <w:t>Biol</w:t>
      </w:r>
      <w:r w:rsidRPr="00141A0D">
        <w:t>. </w:t>
      </w:r>
      <w:r w:rsidRPr="00141A0D">
        <w:rPr>
          <w:i/>
          <w:iCs/>
        </w:rPr>
        <w:t>Chem</w:t>
      </w:r>
      <w:r w:rsidRPr="00141A0D">
        <w:t>. </w:t>
      </w:r>
      <w:r w:rsidRPr="00141A0D">
        <w:rPr>
          <w:i/>
          <w:iCs/>
        </w:rPr>
        <w:t>263</w:t>
      </w:r>
      <w:r w:rsidRPr="00141A0D">
        <w:t>, 14015−14022.</w:t>
      </w:r>
    </w:p>
    <w:p w14:paraId="66D2B26A" w14:textId="77777777" w:rsidR="00141A0D" w:rsidRPr="00141A0D" w:rsidRDefault="00141A0D" w:rsidP="0058454E">
      <w:pPr>
        <w:pStyle w:val="NoSpacing"/>
        <w:ind w:left="720" w:hanging="720"/>
      </w:pPr>
      <w:r w:rsidRPr="00141A0D">
        <w:t>Chung, S. I. (1972) </w:t>
      </w:r>
      <w:r w:rsidRPr="00141A0D">
        <w:rPr>
          <w:i/>
          <w:iCs/>
        </w:rPr>
        <w:t>Ann</w:t>
      </w:r>
      <w:r w:rsidRPr="00141A0D">
        <w:t>. </w:t>
      </w:r>
      <w:r w:rsidRPr="00141A0D">
        <w:rPr>
          <w:i/>
          <w:iCs/>
        </w:rPr>
        <w:t>N</w:t>
      </w:r>
      <w:r w:rsidRPr="00141A0D">
        <w:t>.</w:t>
      </w:r>
      <w:r w:rsidRPr="00141A0D">
        <w:rPr>
          <w:i/>
          <w:iCs/>
        </w:rPr>
        <w:t>Y</w:t>
      </w:r>
      <w:r w:rsidRPr="00141A0D">
        <w:t>. </w:t>
      </w:r>
      <w:r w:rsidRPr="00141A0D">
        <w:rPr>
          <w:i/>
          <w:iCs/>
        </w:rPr>
        <w:t>Acad</w:t>
      </w:r>
      <w:r w:rsidRPr="00141A0D">
        <w:t>. </w:t>
      </w:r>
      <w:r w:rsidRPr="00141A0D">
        <w:rPr>
          <w:i/>
          <w:iCs/>
        </w:rPr>
        <w:t>Sci</w:t>
      </w:r>
      <w:r w:rsidRPr="00141A0D">
        <w:t>. </w:t>
      </w:r>
      <w:r w:rsidRPr="00141A0D">
        <w:rPr>
          <w:i/>
          <w:iCs/>
        </w:rPr>
        <w:t>202</w:t>
      </w:r>
      <w:r w:rsidRPr="00141A0D">
        <w:t>, 240−255.</w:t>
      </w:r>
    </w:p>
    <w:p w14:paraId="54F8B490" w14:textId="77777777" w:rsidR="00141A0D" w:rsidRPr="00141A0D" w:rsidRDefault="00141A0D" w:rsidP="0058454E">
      <w:pPr>
        <w:pStyle w:val="NoSpacing"/>
        <w:ind w:left="720" w:hanging="720"/>
      </w:pPr>
      <w:r w:rsidRPr="00141A0D">
        <w:t>Finlayson, J. S. &amp; Mosesson, M. W. (1963) </w:t>
      </w:r>
      <w:r w:rsidRPr="00141A0D">
        <w:rPr>
          <w:i/>
          <w:iCs/>
        </w:rPr>
        <w:t>Biochemistry 2</w:t>
      </w:r>
      <w:r w:rsidRPr="00141A0D">
        <w:t>, 42−46.</w:t>
      </w:r>
    </w:p>
    <w:p w14:paraId="36B549F0" w14:textId="77777777" w:rsidR="00141A0D" w:rsidRPr="00141A0D" w:rsidRDefault="00141A0D" w:rsidP="0058454E">
      <w:pPr>
        <w:pStyle w:val="NoSpacing"/>
        <w:ind w:left="720" w:hanging="720"/>
      </w:pPr>
      <w:r w:rsidRPr="00141A0D">
        <w:t>Folk, J. E., &amp; Finlayson, J. S. (1977) </w:t>
      </w:r>
      <w:r w:rsidRPr="00141A0D">
        <w:rPr>
          <w:i/>
          <w:iCs/>
        </w:rPr>
        <w:t>Adv</w:t>
      </w:r>
      <w:r w:rsidRPr="00141A0D">
        <w:t>. </w:t>
      </w:r>
      <w:r w:rsidRPr="00141A0D">
        <w:rPr>
          <w:i/>
          <w:iCs/>
        </w:rPr>
        <w:t>Protein Chem</w:t>
      </w:r>
      <w:r w:rsidRPr="00141A0D">
        <w:t>. </w:t>
      </w:r>
      <w:r w:rsidRPr="00141A0D">
        <w:rPr>
          <w:i/>
          <w:iCs/>
        </w:rPr>
        <w:t>31</w:t>
      </w:r>
      <w:r w:rsidRPr="00141A0D">
        <w:t>, 1−133.</w:t>
      </w:r>
    </w:p>
    <w:p w14:paraId="7E19500E" w14:textId="77777777" w:rsidR="00141A0D" w:rsidRPr="00141A0D" w:rsidRDefault="00141A0D" w:rsidP="0058454E">
      <w:pPr>
        <w:pStyle w:val="NoSpacing"/>
        <w:ind w:left="720" w:hanging="720"/>
      </w:pPr>
      <w:r w:rsidRPr="00141A0D">
        <w:t>Greenberg, C. S., Achyuthan, K. E., Borowitz, M. J., &amp; Shuman, M. (1987) </w:t>
      </w:r>
      <w:r w:rsidRPr="00141A0D">
        <w:rPr>
          <w:i/>
          <w:iCs/>
        </w:rPr>
        <w:t>Blood 70</w:t>
      </w:r>
      <w:r w:rsidRPr="00141A0D">
        <w:t>, 702−709.</w:t>
      </w:r>
    </w:p>
    <w:p w14:paraId="0E98D4E0" w14:textId="77777777" w:rsidR="00141A0D" w:rsidRPr="00141A0D" w:rsidRDefault="00141A0D" w:rsidP="0058454E">
      <w:pPr>
        <w:pStyle w:val="NoSpacing"/>
        <w:ind w:left="720" w:hanging="720"/>
      </w:pPr>
      <w:r w:rsidRPr="00141A0D">
        <w:t>Grøn, B., Filion-Myklebust, C., Bjørnsen, S., Haidaris, P., &amp; Brosstad, F. (1993) </w:t>
      </w:r>
      <w:r w:rsidRPr="00141A0D">
        <w:rPr>
          <w:i/>
          <w:iCs/>
        </w:rPr>
        <w:t>Thromb</w:t>
      </w:r>
      <w:r w:rsidRPr="00141A0D">
        <w:t>. </w:t>
      </w:r>
      <w:r w:rsidRPr="00141A0D">
        <w:rPr>
          <w:i/>
          <w:iCs/>
        </w:rPr>
        <w:t>Haemostasis 70</w:t>
      </w:r>
      <w:r w:rsidRPr="00141A0D">
        <w:t>, 438−442.</w:t>
      </w:r>
    </w:p>
    <w:p w14:paraId="50A7B895" w14:textId="77777777" w:rsidR="00141A0D" w:rsidRPr="00141A0D" w:rsidRDefault="00141A0D" w:rsidP="0058454E">
      <w:pPr>
        <w:pStyle w:val="NoSpacing"/>
        <w:ind w:left="720" w:hanging="720"/>
      </w:pPr>
      <w:r w:rsidRPr="00141A0D">
        <w:t>Kanaide, H., &amp; Shainoff, J. R. (1975) </w:t>
      </w:r>
      <w:r w:rsidRPr="00141A0D">
        <w:rPr>
          <w:i/>
          <w:iCs/>
        </w:rPr>
        <w:t>J</w:t>
      </w:r>
      <w:r w:rsidRPr="00141A0D">
        <w:t>. </w:t>
      </w:r>
      <w:r w:rsidRPr="00141A0D">
        <w:rPr>
          <w:i/>
          <w:iCs/>
        </w:rPr>
        <w:t>Lab</w:t>
      </w:r>
      <w:r w:rsidRPr="00141A0D">
        <w:t>. </w:t>
      </w:r>
      <w:r w:rsidRPr="00141A0D">
        <w:rPr>
          <w:i/>
          <w:iCs/>
        </w:rPr>
        <w:t>Clin</w:t>
      </w:r>
      <w:r w:rsidRPr="00141A0D">
        <w:t>. </w:t>
      </w:r>
      <w:r w:rsidRPr="00141A0D">
        <w:rPr>
          <w:i/>
          <w:iCs/>
        </w:rPr>
        <w:t>Med</w:t>
      </w:r>
      <w:r w:rsidRPr="00141A0D">
        <w:t>. </w:t>
      </w:r>
      <w:r w:rsidRPr="00141A0D">
        <w:rPr>
          <w:i/>
          <w:iCs/>
        </w:rPr>
        <w:t>85</w:t>
      </w:r>
      <w:r w:rsidRPr="00141A0D">
        <w:t>, 574−597.</w:t>
      </w:r>
    </w:p>
    <w:p w14:paraId="1CEFBB20" w14:textId="77777777" w:rsidR="00141A0D" w:rsidRPr="00141A0D" w:rsidRDefault="00141A0D" w:rsidP="0058454E">
      <w:pPr>
        <w:pStyle w:val="NoSpacing"/>
        <w:ind w:left="720" w:hanging="720"/>
      </w:pPr>
      <w:r w:rsidRPr="00141A0D">
        <w:t>Kazal, L. A., Amsel, S., Miller, O. P., &amp; Tocantins, L. M. (1963) </w:t>
      </w:r>
      <w:r w:rsidRPr="00141A0D">
        <w:rPr>
          <w:i/>
          <w:iCs/>
        </w:rPr>
        <w:t>Proc</w:t>
      </w:r>
      <w:r w:rsidRPr="00141A0D">
        <w:t>. </w:t>
      </w:r>
      <w:r w:rsidRPr="00141A0D">
        <w:rPr>
          <w:i/>
          <w:iCs/>
        </w:rPr>
        <w:t>Soc</w:t>
      </w:r>
      <w:r w:rsidRPr="00141A0D">
        <w:t>. </w:t>
      </w:r>
      <w:r w:rsidRPr="00141A0D">
        <w:rPr>
          <w:i/>
          <w:iCs/>
        </w:rPr>
        <w:t>Exp</w:t>
      </w:r>
      <w:r w:rsidRPr="00141A0D">
        <w:t>. </w:t>
      </w:r>
      <w:r w:rsidRPr="00141A0D">
        <w:rPr>
          <w:i/>
          <w:iCs/>
        </w:rPr>
        <w:t>Biol</w:t>
      </w:r>
      <w:r w:rsidRPr="00141A0D">
        <w:t>. </w:t>
      </w:r>
      <w:r w:rsidRPr="00141A0D">
        <w:rPr>
          <w:i/>
          <w:iCs/>
        </w:rPr>
        <w:t>Med</w:t>
      </w:r>
      <w:r w:rsidRPr="00141A0D">
        <w:t>. </w:t>
      </w:r>
      <w:r w:rsidRPr="00141A0D">
        <w:rPr>
          <w:i/>
          <w:iCs/>
        </w:rPr>
        <w:t>113</w:t>
      </w:r>
      <w:r w:rsidRPr="00141A0D">
        <w:t>, 989−994.</w:t>
      </w:r>
    </w:p>
    <w:p w14:paraId="430D52F0" w14:textId="77777777" w:rsidR="00141A0D" w:rsidRPr="00141A0D" w:rsidRDefault="00141A0D" w:rsidP="0058454E">
      <w:pPr>
        <w:pStyle w:val="NoSpacing"/>
        <w:ind w:left="720" w:hanging="720"/>
      </w:pPr>
      <w:r w:rsidRPr="00141A0D">
        <w:t>Laemmli, U. K. (1970) </w:t>
      </w:r>
      <w:r w:rsidRPr="00141A0D">
        <w:rPr>
          <w:i/>
          <w:iCs/>
        </w:rPr>
        <w:t>Nature 227</w:t>
      </w:r>
      <w:r w:rsidRPr="00141A0D">
        <w:t>, 680−685.</w:t>
      </w:r>
    </w:p>
    <w:p w14:paraId="62C998FB" w14:textId="77777777" w:rsidR="00141A0D" w:rsidRPr="00141A0D" w:rsidRDefault="00141A0D" w:rsidP="0058454E">
      <w:pPr>
        <w:pStyle w:val="NoSpacing"/>
        <w:ind w:left="720" w:hanging="720"/>
      </w:pPr>
      <w:r w:rsidRPr="00141A0D">
        <w:t>Loewy, A. G., Dunathan, K., Kriel, R., &amp; Wolfinger, H. L. (1961) </w:t>
      </w:r>
      <w:r w:rsidRPr="00141A0D">
        <w:rPr>
          <w:i/>
          <w:iCs/>
        </w:rPr>
        <w:t>J</w:t>
      </w:r>
      <w:r w:rsidRPr="00141A0D">
        <w:t>. </w:t>
      </w:r>
      <w:r w:rsidRPr="00141A0D">
        <w:rPr>
          <w:i/>
          <w:iCs/>
        </w:rPr>
        <w:t>Biol</w:t>
      </w:r>
      <w:r w:rsidRPr="00141A0D">
        <w:t>. </w:t>
      </w:r>
      <w:r w:rsidRPr="00141A0D">
        <w:rPr>
          <w:i/>
          <w:iCs/>
        </w:rPr>
        <w:t>Chem</w:t>
      </w:r>
      <w:r w:rsidRPr="00141A0D">
        <w:t>. </w:t>
      </w:r>
      <w:r w:rsidRPr="00141A0D">
        <w:rPr>
          <w:i/>
          <w:iCs/>
        </w:rPr>
        <w:t>236</w:t>
      </w:r>
      <w:r w:rsidRPr="00141A0D">
        <w:t>, 2625−2633.</w:t>
      </w:r>
    </w:p>
    <w:p w14:paraId="4BF41828" w14:textId="77777777" w:rsidR="00141A0D" w:rsidRPr="00141A0D" w:rsidRDefault="00141A0D" w:rsidP="0058454E">
      <w:pPr>
        <w:pStyle w:val="NoSpacing"/>
        <w:ind w:left="720" w:hanging="720"/>
      </w:pPr>
      <w:r w:rsidRPr="00141A0D">
        <w:t>Lorand, L., &amp; Gotoh, T. (1970) </w:t>
      </w:r>
      <w:r w:rsidRPr="00141A0D">
        <w:rPr>
          <w:i/>
          <w:iCs/>
        </w:rPr>
        <w:t>Methods Enzymol</w:t>
      </w:r>
      <w:r w:rsidRPr="00141A0D">
        <w:t>. </w:t>
      </w:r>
      <w:r w:rsidRPr="00141A0D">
        <w:rPr>
          <w:i/>
          <w:iCs/>
        </w:rPr>
        <w:t>19</w:t>
      </w:r>
      <w:r w:rsidRPr="00141A0D">
        <w:t>, 770−782.</w:t>
      </w:r>
    </w:p>
    <w:p w14:paraId="7CB5E5F1" w14:textId="77777777" w:rsidR="00141A0D" w:rsidRPr="00141A0D" w:rsidRDefault="00141A0D" w:rsidP="0058454E">
      <w:pPr>
        <w:pStyle w:val="NoSpacing"/>
        <w:ind w:left="720" w:hanging="720"/>
      </w:pPr>
      <w:r w:rsidRPr="00141A0D">
        <w:t>Martinez, J., Rich, E., &amp; Barsigian, C. (1989) </w:t>
      </w:r>
      <w:r w:rsidRPr="00141A0D">
        <w:rPr>
          <w:i/>
          <w:iCs/>
        </w:rPr>
        <w:t>J</w:t>
      </w:r>
      <w:r w:rsidRPr="00141A0D">
        <w:t>. </w:t>
      </w:r>
      <w:r w:rsidRPr="00141A0D">
        <w:rPr>
          <w:i/>
          <w:iCs/>
        </w:rPr>
        <w:t>Biol</w:t>
      </w:r>
      <w:r w:rsidRPr="00141A0D">
        <w:t>. </w:t>
      </w:r>
      <w:r w:rsidRPr="00141A0D">
        <w:rPr>
          <w:i/>
          <w:iCs/>
        </w:rPr>
        <w:t>Chem</w:t>
      </w:r>
      <w:r w:rsidRPr="00141A0D">
        <w:t>. </w:t>
      </w:r>
      <w:r w:rsidRPr="00141A0D">
        <w:rPr>
          <w:i/>
          <w:iCs/>
        </w:rPr>
        <w:t>264</w:t>
      </w:r>
      <w:r w:rsidRPr="00141A0D">
        <w:t>, 20502−20508.</w:t>
      </w:r>
    </w:p>
    <w:p w14:paraId="52F5391B" w14:textId="77777777" w:rsidR="00141A0D" w:rsidRPr="00141A0D" w:rsidRDefault="00141A0D" w:rsidP="0058454E">
      <w:pPr>
        <w:pStyle w:val="NoSpacing"/>
        <w:ind w:left="720" w:hanging="720"/>
      </w:pPr>
      <w:r w:rsidRPr="00141A0D">
        <w:t>Matačic̀, S., &amp; Loewy, A. G. (1968) </w:t>
      </w:r>
      <w:r w:rsidRPr="00141A0D">
        <w:rPr>
          <w:i/>
          <w:iCs/>
        </w:rPr>
        <w:t>Biochem</w:t>
      </w:r>
      <w:r w:rsidRPr="00141A0D">
        <w:t>. </w:t>
      </w:r>
      <w:r w:rsidRPr="00141A0D">
        <w:rPr>
          <w:i/>
          <w:iCs/>
        </w:rPr>
        <w:t>Biophys</w:t>
      </w:r>
      <w:r w:rsidRPr="00141A0D">
        <w:t>. </w:t>
      </w:r>
      <w:r w:rsidRPr="00141A0D">
        <w:rPr>
          <w:i/>
          <w:iCs/>
        </w:rPr>
        <w:t>Res</w:t>
      </w:r>
      <w:r w:rsidRPr="00141A0D">
        <w:t>. </w:t>
      </w:r>
      <w:r w:rsidRPr="00141A0D">
        <w:rPr>
          <w:i/>
          <w:iCs/>
        </w:rPr>
        <w:t>Commun</w:t>
      </w:r>
      <w:r w:rsidRPr="00141A0D">
        <w:t>. </w:t>
      </w:r>
      <w:r w:rsidRPr="00141A0D">
        <w:rPr>
          <w:i/>
          <w:iCs/>
        </w:rPr>
        <w:t>30</w:t>
      </w:r>
      <w:r w:rsidRPr="00141A0D">
        <w:t>, 356−562.</w:t>
      </w:r>
    </w:p>
    <w:p w14:paraId="2783BCDE" w14:textId="77777777" w:rsidR="00141A0D" w:rsidRPr="00141A0D" w:rsidRDefault="00141A0D" w:rsidP="0058454E">
      <w:pPr>
        <w:pStyle w:val="NoSpacing"/>
        <w:ind w:left="720" w:hanging="720"/>
      </w:pPr>
      <w:r w:rsidRPr="00141A0D">
        <w:t>Matsudaira, P. (1987) </w:t>
      </w:r>
      <w:r w:rsidRPr="00141A0D">
        <w:rPr>
          <w:i/>
          <w:iCs/>
        </w:rPr>
        <w:t>J</w:t>
      </w:r>
      <w:r w:rsidRPr="00141A0D">
        <w:t>. </w:t>
      </w:r>
      <w:r w:rsidRPr="00141A0D">
        <w:rPr>
          <w:i/>
          <w:iCs/>
        </w:rPr>
        <w:t>Biol</w:t>
      </w:r>
      <w:r w:rsidRPr="00141A0D">
        <w:t>. </w:t>
      </w:r>
      <w:r w:rsidRPr="00141A0D">
        <w:rPr>
          <w:i/>
          <w:iCs/>
        </w:rPr>
        <w:t>Chem</w:t>
      </w:r>
      <w:r w:rsidRPr="00141A0D">
        <w:t>. </w:t>
      </w:r>
      <w:r w:rsidRPr="00141A0D">
        <w:rPr>
          <w:i/>
          <w:iCs/>
        </w:rPr>
        <w:t>262</w:t>
      </w:r>
      <w:r w:rsidRPr="00141A0D">
        <w:t>, 10035−10038.</w:t>
      </w:r>
    </w:p>
    <w:p w14:paraId="5A452BFE" w14:textId="77777777" w:rsidR="00141A0D" w:rsidRPr="00141A0D" w:rsidRDefault="00141A0D" w:rsidP="0058454E">
      <w:pPr>
        <w:pStyle w:val="NoSpacing"/>
        <w:ind w:left="720" w:hanging="720"/>
      </w:pPr>
      <w:r w:rsidRPr="00141A0D">
        <w:t>McFarlane, A. S. (1963) </w:t>
      </w:r>
      <w:r w:rsidRPr="00141A0D">
        <w:rPr>
          <w:i/>
          <w:iCs/>
        </w:rPr>
        <w:t>J</w:t>
      </w:r>
      <w:r w:rsidRPr="00141A0D">
        <w:t>. </w:t>
      </w:r>
      <w:r w:rsidRPr="00141A0D">
        <w:rPr>
          <w:i/>
          <w:iCs/>
        </w:rPr>
        <w:t>Clin</w:t>
      </w:r>
      <w:r w:rsidRPr="00141A0D">
        <w:t>. </w:t>
      </w:r>
      <w:r w:rsidRPr="00141A0D">
        <w:rPr>
          <w:i/>
          <w:iCs/>
        </w:rPr>
        <w:t>Invest</w:t>
      </w:r>
      <w:r w:rsidRPr="00141A0D">
        <w:t>. </w:t>
      </w:r>
      <w:r w:rsidRPr="00141A0D">
        <w:rPr>
          <w:i/>
          <w:iCs/>
        </w:rPr>
        <w:t>42</w:t>
      </w:r>
      <w:r w:rsidRPr="00141A0D">
        <w:t>, 346−361.</w:t>
      </w:r>
    </w:p>
    <w:p w14:paraId="14B5688B" w14:textId="77777777" w:rsidR="00141A0D" w:rsidRPr="00141A0D" w:rsidRDefault="00141A0D" w:rsidP="0058454E">
      <w:pPr>
        <w:pStyle w:val="NoSpacing"/>
        <w:ind w:left="720" w:hanging="720"/>
      </w:pPr>
      <w:r w:rsidRPr="00141A0D">
        <w:t>McKee, P. A., Mattock, P., &amp; Hill, R. (1970) </w:t>
      </w:r>
      <w:r w:rsidRPr="00141A0D">
        <w:rPr>
          <w:i/>
          <w:iCs/>
        </w:rPr>
        <w:t>Proc</w:t>
      </w:r>
      <w:r w:rsidRPr="00141A0D">
        <w:t>. </w:t>
      </w:r>
      <w:r w:rsidRPr="00141A0D">
        <w:rPr>
          <w:i/>
          <w:iCs/>
        </w:rPr>
        <w:t>Natl</w:t>
      </w:r>
      <w:r w:rsidRPr="00141A0D">
        <w:t>. </w:t>
      </w:r>
      <w:r w:rsidRPr="00141A0D">
        <w:rPr>
          <w:i/>
          <w:iCs/>
        </w:rPr>
        <w:t>Acad</w:t>
      </w:r>
      <w:r w:rsidRPr="00141A0D">
        <w:t>. </w:t>
      </w:r>
      <w:r w:rsidRPr="00141A0D">
        <w:rPr>
          <w:i/>
          <w:iCs/>
        </w:rPr>
        <w:t>Sci</w:t>
      </w:r>
      <w:r w:rsidRPr="00141A0D">
        <w:t>. </w:t>
      </w:r>
      <w:r w:rsidRPr="00141A0D">
        <w:rPr>
          <w:i/>
          <w:iCs/>
        </w:rPr>
        <w:t>U</w:t>
      </w:r>
      <w:r w:rsidRPr="00141A0D">
        <w:t>.</w:t>
      </w:r>
      <w:r w:rsidRPr="00141A0D">
        <w:rPr>
          <w:i/>
          <w:iCs/>
        </w:rPr>
        <w:t>S</w:t>
      </w:r>
      <w:r w:rsidRPr="00141A0D">
        <w:t>.</w:t>
      </w:r>
      <w:r w:rsidRPr="00141A0D">
        <w:rPr>
          <w:i/>
          <w:iCs/>
        </w:rPr>
        <w:t>A</w:t>
      </w:r>
      <w:r w:rsidRPr="00141A0D">
        <w:t>. </w:t>
      </w:r>
      <w:r w:rsidRPr="00141A0D">
        <w:rPr>
          <w:i/>
          <w:iCs/>
        </w:rPr>
        <w:t>66</w:t>
      </w:r>
      <w:r w:rsidRPr="00141A0D">
        <w:t>, 738−744.</w:t>
      </w:r>
    </w:p>
    <w:p w14:paraId="37E03DCB" w14:textId="77777777" w:rsidR="00141A0D" w:rsidRPr="00141A0D" w:rsidRDefault="00141A0D" w:rsidP="0058454E">
      <w:pPr>
        <w:pStyle w:val="NoSpacing"/>
        <w:ind w:left="720" w:hanging="720"/>
      </w:pPr>
      <w:r w:rsidRPr="00141A0D">
        <w:t>Mosesson, M. W., &amp; Finlayson, J. S. (1963) </w:t>
      </w:r>
      <w:r w:rsidRPr="00141A0D">
        <w:rPr>
          <w:i/>
          <w:iCs/>
        </w:rPr>
        <w:t>J</w:t>
      </w:r>
      <w:r w:rsidRPr="00141A0D">
        <w:t>. </w:t>
      </w:r>
      <w:r w:rsidRPr="00141A0D">
        <w:rPr>
          <w:i/>
          <w:iCs/>
        </w:rPr>
        <w:t>Lab</w:t>
      </w:r>
      <w:r w:rsidRPr="00141A0D">
        <w:t>. </w:t>
      </w:r>
      <w:r w:rsidRPr="00141A0D">
        <w:rPr>
          <w:i/>
          <w:iCs/>
        </w:rPr>
        <w:t>Clin</w:t>
      </w:r>
      <w:r w:rsidRPr="00141A0D">
        <w:t>. </w:t>
      </w:r>
      <w:r w:rsidRPr="00141A0D">
        <w:rPr>
          <w:i/>
          <w:iCs/>
        </w:rPr>
        <w:t>Med</w:t>
      </w:r>
      <w:r w:rsidRPr="00141A0D">
        <w:t>. </w:t>
      </w:r>
      <w:r w:rsidRPr="00141A0D">
        <w:rPr>
          <w:i/>
          <w:iCs/>
        </w:rPr>
        <w:t>62</w:t>
      </w:r>
      <w:r w:rsidRPr="00141A0D">
        <w:t>, 663−674.</w:t>
      </w:r>
    </w:p>
    <w:p w14:paraId="564355E1" w14:textId="77777777" w:rsidR="00141A0D" w:rsidRPr="00141A0D" w:rsidRDefault="00141A0D" w:rsidP="0058454E">
      <w:pPr>
        <w:pStyle w:val="NoSpacing"/>
        <w:ind w:left="720" w:hanging="720"/>
      </w:pPr>
      <w:r w:rsidRPr="00141A0D">
        <w:t>Mosesson, M. W., &amp; Sherry, S. (1966) </w:t>
      </w:r>
      <w:r w:rsidRPr="00141A0D">
        <w:rPr>
          <w:i/>
          <w:iCs/>
        </w:rPr>
        <w:t>Biochemistry 5</w:t>
      </w:r>
      <w:r w:rsidRPr="00141A0D">
        <w:t>, 2829−2835.</w:t>
      </w:r>
    </w:p>
    <w:p w14:paraId="3EF357CB" w14:textId="77777777" w:rsidR="00141A0D" w:rsidRPr="00141A0D" w:rsidRDefault="00141A0D" w:rsidP="0058454E">
      <w:pPr>
        <w:pStyle w:val="NoSpacing"/>
        <w:ind w:left="720" w:hanging="720"/>
      </w:pPr>
      <w:r w:rsidRPr="00141A0D">
        <w:t>Mosesson, M. W., Finlayson, J. S., &amp; Umfleet, R. A. (1972) </w:t>
      </w:r>
      <w:r w:rsidRPr="00141A0D">
        <w:rPr>
          <w:i/>
          <w:iCs/>
        </w:rPr>
        <w:t>J</w:t>
      </w:r>
      <w:r w:rsidRPr="00141A0D">
        <w:t>. </w:t>
      </w:r>
      <w:r w:rsidRPr="00141A0D">
        <w:rPr>
          <w:i/>
          <w:iCs/>
        </w:rPr>
        <w:t>Biol</w:t>
      </w:r>
      <w:r w:rsidRPr="00141A0D">
        <w:t>. </w:t>
      </w:r>
      <w:r w:rsidRPr="00141A0D">
        <w:rPr>
          <w:i/>
          <w:iCs/>
        </w:rPr>
        <w:t>Chem</w:t>
      </w:r>
      <w:r w:rsidRPr="00141A0D">
        <w:t>. </w:t>
      </w:r>
      <w:r w:rsidRPr="00141A0D">
        <w:rPr>
          <w:i/>
          <w:iCs/>
        </w:rPr>
        <w:t>247</w:t>
      </w:r>
      <w:r w:rsidRPr="00141A0D">
        <w:t>, 5223−5227.</w:t>
      </w:r>
    </w:p>
    <w:p w14:paraId="62E531DA" w14:textId="77777777" w:rsidR="00141A0D" w:rsidRPr="00141A0D" w:rsidRDefault="00141A0D" w:rsidP="0058454E">
      <w:pPr>
        <w:pStyle w:val="NoSpacing"/>
        <w:ind w:left="720" w:hanging="720"/>
      </w:pPr>
      <w:r w:rsidRPr="00141A0D">
        <w:t>Mosesson, M. W., Siebenlist, K. R., Amrani, D. L., &amp; DiOrio, J. P. (1989) </w:t>
      </w:r>
      <w:r w:rsidRPr="00141A0D">
        <w:rPr>
          <w:i/>
          <w:iCs/>
        </w:rPr>
        <w:t>Proc</w:t>
      </w:r>
      <w:r w:rsidRPr="00141A0D">
        <w:t>. </w:t>
      </w:r>
      <w:r w:rsidRPr="00141A0D">
        <w:rPr>
          <w:i/>
          <w:iCs/>
        </w:rPr>
        <w:t>Natl</w:t>
      </w:r>
      <w:r w:rsidRPr="00141A0D">
        <w:t>. </w:t>
      </w:r>
      <w:r w:rsidRPr="00141A0D">
        <w:rPr>
          <w:i/>
          <w:iCs/>
        </w:rPr>
        <w:t>Acad</w:t>
      </w:r>
      <w:r w:rsidRPr="00141A0D">
        <w:t>. </w:t>
      </w:r>
      <w:r w:rsidRPr="00141A0D">
        <w:rPr>
          <w:i/>
          <w:iCs/>
        </w:rPr>
        <w:t>Sci</w:t>
      </w:r>
      <w:r w:rsidRPr="00141A0D">
        <w:t>. </w:t>
      </w:r>
      <w:r w:rsidRPr="00141A0D">
        <w:rPr>
          <w:i/>
          <w:iCs/>
        </w:rPr>
        <w:t>U</w:t>
      </w:r>
      <w:r w:rsidRPr="00141A0D">
        <w:t>.</w:t>
      </w:r>
      <w:r w:rsidRPr="00141A0D">
        <w:rPr>
          <w:i/>
          <w:iCs/>
        </w:rPr>
        <w:t>S</w:t>
      </w:r>
      <w:r w:rsidRPr="00141A0D">
        <w:t>.</w:t>
      </w:r>
      <w:r w:rsidRPr="00141A0D">
        <w:rPr>
          <w:i/>
          <w:iCs/>
        </w:rPr>
        <w:t>A</w:t>
      </w:r>
      <w:r w:rsidRPr="00141A0D">
        <w:t>. </w:t>
      </w:r>
      <w:r w:rsidRPr="00141A0D">
        <w:rPr>
          <w:i/>
          <w:iCs/>
        </w:rPr>
        <w:t>86</w:t>
      </w:r>
      <w:r w:rsidRPr="00141A0D">
        <w:t>, 1113−1117.</w:t>
      </w:r>
    </w:p>
    <w:p w14:paraId="2A92059C" w14:textId="77777777" w:rsidR="00141A0D" w:rsidRPr="00141A0D" w:rsidRDefault="00141A0D" w:rsidP="0058454E">
      <w:pPr>
        <w:pStyle w:val="NoSpacing"/>
        <w:ind w:left="720" w:hanging="720"/>
      </w:pPr>
      <w:r w:rsidRPr="00141A0D">
        <w:t>Mosesson, M. W., Siebenlist, K. R., Hainfeld, J. F., &amp; Wall, J. S. (1996) </w:t>
      </w:r>
      <w:r w:rsidRPr="00141A0D">
        <w:rPr>
          <w:i/>
          <w:iCs/>
        </w:rPr>
        <w:t>J</w:t>
      </w:r>
      <w:r w:rsidRPr="00141A0D">
        <w:t>. </w:t>
      </w:r>
      <w:r w:rsidRPr="00141A0D">
        <w:rPr>
          <w:i/>
          <w:iCs/>
        </w:rPr>
        <w:t>Struct</w:t>
      </w:r>
      <w:r w:rsidRPr="00141A0D">
        <w:t>. </w:t>
      </w:r>
      <w:r w:rsidRPr="00141A0D">
        <w:rPr>
          <w:i/>
          <w:iCs/>
        </w:rPr>
        <w:t>Biol</w:t>
      </w:r>
      <w:r w:rsidRPr="00141A0D">
        <w:t>. (in press).</w:t>
      </w:r>
    </w:p>
    <w:p w14:paraId="4B5987FD" w14:textId="77777777" w:rsidR="00141A0D" w:rsidRPr="00141A0D" w:rsidRDefault="00141A0D" w:rsidP="0058454E">
      <w:pPr>
        <w:pStyle w:val="NoSpacing"/>
        <w:ind w:left="720" w:hanging="720"/>
      </w:pPr>
      <w:r w:rsidRPr="00141A0D">
        <w:t>Murthy, S. N. P., &amp; Lorand, L. (1990) </w:t>
      </w:r>
      <w:r w:rsidRPr="00141A0D">
        <w:rPr>
          <w:i/>
          <w:iCs/>
        </w:rPr>
        <w:t>Proc</w:t>
      </w:r>
      <w:r w:rsidRPr="00141A0D">
        <w:t>. </w:t>
      </w:r>
      <w:r w:rsidRPr="00141A0D">
        <w:rPr>
          <w:i/>
          <w:iCs/>
        </w:rPr>
        <w:t>Natl</w:t>
      </w:r>
      <w:r w:rsidRPr="00141A0D">
        <w:t>. </w:t>
      </w:r>
      <w:r w:rsidRPr="00141A0D">
        <w:rPr>
          <w:i/>
          <w:iCs/>
        </w:rPr>
        <w:t>Acad</w:t>
      </w:r>
      <w:r w:rsidRPr="00141A0D">
        <w:t>. </w:t>
      </w:r>
      <w:r w:rsidRPr="00141A0D">
        <w:rPr>
          <w:i/>
          <w:iCs/>
        </w:rPr>
        <w:t>Sci</w:t>
      </w:r>
      <w:r w:rsidRPr="00141A0D">
        <w:t>. </w:t>
      </w:r>
      <w:r w:rsidRPr="00141A0D">
        <w:rPr>
          <w:i/>
          <w:iCs/>
        </w:rPr>
        <w:t>U</w:t>
      </w:r>
      <w:r w:rsidRPr="00141A0D">
        <w:t>.</w:t>
      </w:r>
      <w:r w:rsidRPr="00141A0D">
        <w:rPr>
          <w:i/>
          <w:iCs/>
        </w:rPr>
        <w:t>S</w:t>
      </w:r>
      <w:r w:rsidRPr="00141A0D">
        <w:t>.</w:t>
      </w:r>
      <w:r w:rsidRPr="00141A0D">
        <w:rPr>
          <w:i/>
          <w:iCs/>
        </w:rPr>
        <w:t>A</w:t>
      </w:r>
      <w:r w:rsidRPr="00141A0D">
        <w:t>. </w:t>
      </w:r>
      <w:r w:rsidRPr="00141A0D">
        <w:rPr>
          <w:i/>
          <w:iCs/>
        </w:rPr>
        <w:t>87</w:t>
      </w:r>
      <w:r w:rsidRPr="00141A0D">
        <w:t>, 9679−9682.</w:t>
      </w:r>
    </w:p>
    <w:p w14:paraId="00B62B19" w14:textId="77777777" w:rsidR="00141A0D" w:rsidRPr="00141A0D" w:rsidRDefault="00141A0D" w:rsidP="0058454E">
      <w:pPr>
        <w:pStyle w:val="NoSpacing"/>
        <w:ind w:left="720" w:hanging="720"/>
      </w:pPr>
      <w:r w:rsidRPr="00141A0D">
        <w:t>Murthy, S. N. P., Wilson, J., Guy, S. L., &amp; Lorand, L. (1991) </w:t>
      </w:r>
      <w:r w:rsidRPr="00141A0D">
        <w:rPr>
          <w:i/>
          <w:iCs/>
        </w:rPr>
        <w:t>Proc</w:t>
      </w:r>
      <w:r w:rsidRPr="00141A0D">
        <w:t>. </w:t>
      </w:r>
      <w:r w:rsidRPr="00141A0D">
        <w:rPr>
          <w:i/>
          <w:iCs/>
        </w:rPr>
        <w:t>Natl</w:t>
      </w:r>
      <w:r w:rsidRPr="00141A0D">
        <w:t>. </w:t>
      </w:r>
      <w:r w:rsidRPr="00141A0D">
        <w:rPr>
          <w:i/>
          <w:iCs/>
        </w:rPr>
        <w:t>Acad</w:t>
      </w:r>
      <w:r w:rsidRPr="00141A0D">
        <w:t>. </w:t>
      </w:r>
      <w:r w:rsidRPr="00141A0D">
        <w:rPr>
          <w:i/>
          <w:iCs/>
        </w:rPr>
        <w:t>Sci</w:t>
      </w:r>
      <w:r w:rsidRPr="00141A0D">
        <w:t>. </w:t>
      </w:r>
      <w:r w:rsidRPr="00141A0D">
        <w:rPr>
          <w:i/>
          <w:iCs/>
        </w:rPr>
        <w:t>U</w:t>
      </w:r>
      <w:r w:rsidRPr="00141A0D">
        <w:t>.</w:t>
      </w:r>
      <w:r w:rsidRPr="00141A0D">
        <w:rPr>
          <w:i/>
          <w:iCs/>
        </w:rPr>
        <w:t>S</w:t>
      </w:r>
      <w:r w:rsidRPr="00141A0D">
        <w:t>.</w:t>
      </w:r>
      <w:r w:rsidRPr="00141A0D">
        <w:rPr>
          <w:i/>
          <w:iCs/>
        </w:rPr>
        <w:t>A</w:t>
      </w:r>
      <w:r w:rsidRPr="00141A0D">
        <w:t>. </w:t>
      </w:r>
      <w:r w:rsidRPr="00141A0D">
        <w:rPr>
          <w:i/>
          <w:iCs/>
        </w:rPr>
        <w:t>88</w:t>
      </w:r>
      <w:r w:rsidRPr="00141A0D">
        <w:t>, 10601−10604.</w:t>
      </w:r>
    </w:p>
    <w:p w14:paraId="031EE901" w14:textId="77777777" w:rsidR="00141A0D" w:rsidRPr="00141A0D" w:rsidRDefault="00141A0D" w:rsidP="0058454E">
      <w:pPr>
        <w:pStyle w:val="NoSpacing"/>
        <w:ind w:left="720" w:hanging="720"/>
      </w:pPr>
      <w:r w:rsidRPr="00141A0D">
        <w:t>Pisano, J. J., Finlayson, J. S., &amp; Peyton, M. P. (1968) </w:t>
      </w:r>
      <w:r w:rsidRPr="00141A0D">
        <w:rPr>
          <w:i/>
          <w:iCs/>
        </w:rPr>
        <w:t>Science 160</w:t>
      </w:r>
      <w:r w:rsidRPr="00141A0D">
        <w:t>, 892−893.</w:t>
      </w:r>
    </w:p>
    <w:p w14:paraId="74F2DD48" w14:textId="77777777" w:rsidR="00141A0D" w:rsidRPr="00141A0D" w:rsidRDefault="00141A0D" w:rsidP="0058454E">
      <w:pPr>
        <w:pStyle w:val="NoSpacing"/>
        <w:ind w:left="720" w:hanging="720"/>
      </w:pPr>
      <w:r w:rsidRPr="00141A0D">
        <w:t>Purves, L. R., Purves, M., &amp; Brandt, W. (1987) </w:t>
      </w:r>
      <w:r w:rsidRPr="00141A0D">
        <w:rPr>
          <w:i/>
          <w:iCs/>
        </w:rPr>
        <w:t>Biochemistry 26</w:t>
      </w:r>
      <w:r w:rsidRPr="00141A0D">
        <w:t>, 4640−4646.</w:t>
      </w:r>
    </w:p>
    <w:p w14:paraId="7EE0F32A" w14:textId="77777777" w:rsidR="00141A0D" w:rsidRPr="00141A0D" w:rsidRDefault="00141A0D" w:rsidP="0058454E">
      <w:pPr>
        <w:pStyle w:val="NoSpacing"/>
        <w:ind w:left="720" w:hanging="720"/>
      </w:pPr>
      <w:r w:rsidRPr="00141A0D">
        <w:t>Robbins, K. C., &amp; Summaria, L. (1970) </w:t>
      </w:r>
      <w:r w:rsidRPr="00141A0D">
        <w:rPr>
          <w:i/>
          <w:iCs/>
        </w:rPr>
        <w:t>Methods Enzymol</w:t>
      </w:r>
      <w:r w:rsidRPr="00141A0D">
        <w:t>. </w:t>
      </w:r>
      <w:r w:rsidRPr="00141A0D">
        <w:rPr>
          <w:i/>
          <w:iCs/>
        </w:rPr>
        <w:t>19</w:t>
      </w:r>
      <w:r w:rsidRPr="00141A0D">
        <w:t>, 184−199.</w:t>
      </w:r>
    </w:p>
    <w:p w14:paraId="4B9C3DF5" w14:textId="77777777" w:rsidR="00141A0D" w:rsidRPr="00141A0D" w:rsidRDefault="00141A0D" w:rsidP="0058454E">
      <w:pPr>
        <w:pStyle w:val="NoSpacing"/>
        <w:ind w:left="720" w:hanging="720"/>
      </w:pPr>
      <w:r w:rsidRPr="00141A0D">
        <w:t>Robbins, K. C., &amp; Summaria, L. (1976) </w:t>
      </w:r>
      <w:r w:rsidRPr="00141A0D">
        <w:rPr>
          <w:i/>
          <w:iCs/>
        </w:rPr>
        <w:t>Methods Enzymol</w:t>
      </w:r>
      <w:r w:rsidRPr="00141A0D">
        <w:t>. </w:t>
      </w:r>
      <w:r w:rsidRPr="00141A0D">
        <w:rPr>
          <w:i/>
          <w:iCs/>
        </w:rPr>
        <w:t>45</w:t>
      </w:r>
      <w:r w:rsidRPr="00141A0D">
        <w:t>, 257−273.</w:t>
      </w:r>
    </w:p>
    <w:p w14:paraId="13516D7A" w14:textId="77777777" w:rsidR="00141A0D" w:rsidRPr="00141A0D" w:rsidRDefault="00141A0D" w:rsidP="0058454E">
      <w:pPr>
        <w:pStyle w:val="NoSpacing"/>
        <w:ind w:left="720" w:hanging="720"/>
      </w:pPr>
      <w:r w:rsidRPr="00141A0D">
        <w:t>Shainoff, J. R., Urbanic, D. A., &amp; DiBello, P. M. (1991) </w:t>
      </w:r>
      <w:r w:rsidRPr="00141A0D">
        <w:rPr>
          <w:i/>
          <w:iCs/>
        </w:rPr>
        <w:t>J</w:t>
      </w:r>
      <w:r w:rsidRPr="00141A0D">
        <w:t>. </w:t>
      </w:r>
      <w:r w:rsidRPr="00141A0D">
        <w:rPr>
          <w:i/>
          <w:iCs/>
        </w:rPr>
        <w:t>Biol</w:t>
      </w:r>
      <w:r w:rsidRPr="00141A0D">
        <w:t>. </w:t>
      </w:r>
      <w:r w:rsidRPr="00141A0D">
        <w:rPr>
          <w:i/>
          <w:iCs/>
        </w:rPr>
        <w:t>Chem</w:t>
      </w:r>
      <w:r w:rsidRPr="00141A0D">
        <w:t>. </w:t>
      </w:r>
      <w:r w:rsidRPr="00141A0D">
        <w:rPr>
          <w:i/>
          <w:iCs/>
        </w:rPr>
        <w:t>266</w:t>
      </w:r>
      <w:r w:rsidRPr="00141A0D">
        <w:t>, 6429−6437.</w:t>
      </w:r>
    </w:p>
    <w:p w14:paraId="2BFBF1ED" w14:textId="77777777" w:rsidR="00141A0D" w:rsidRPr="00141A0D" w:rsidRDefault="00141A0D" w:rsidP="0058454E">
      <w:pPr>
        <w:pStyle w:val="NoSpacing"/>
        <w:ind w:left="720" w:hanging="720"/>
      </w:pPr>
      <w:r w:rsidRPr="00141A0D">
        <w:t>Siebenlist, K. R., &amp; Mosesson, M. W. (1992) </w:t>
      </w:r>
      <w:r w:rsidRPr="00141A0D">
        <w:rPr>
          <w:i/>
          <w:iCs/>
        </w:rPr>
        <w:t>Biochemistry 31</w:t>
      </w:r>
      <w:r w:rsidRPr="00141A0D">
        <w:t>, 936−941.</w:t>
      </w:r>
    </w:p>
    <w:p w14:paraId="015975DB" w14:textId="77777777" w:rsidR="00141A0D" w:rsidRPr="00141A0D" w:rsidRDefault="00141A0D" w:rsidP="0058454E">
      <w:pPr>
        <w:pStyle w:val="NoSpacing"/>
        <w:ind w:left="720" w:hanging="720"/>
      </w:pPr>
      <w:r w:rsidRPr="00141A0D">
        <w:t>Siebenlist, K. R., &amp; Mosesson, M. W. (1995) </w:t>
      </w:r>
      <w:r w:rsidRPr="00141A0D">
        <w:rPr>
          <w:i/>
          <w:iCs/>
        </w:rPr>
        <w:t>Thromb</w:t>
      </w:r>
      <w:r w:rsidRPr="00141A0D">
        <w:t>. </w:t>
      </w:r>
      <w:r w:rsidRPr="00141A0D">
        <w:rPr>
          <w:i/>
          <w:iCs/>
        </w:rPr>
        <w:t>Haemostasis 73</w:t>
      </w:r>
      <w:r w:rsidRPr="00141A0D">
        <w:t>, 1226.</w:t>
      </w:r>
    </w:p>
    <w:p w14:paraId="22A590ED" w14:textId="77777777" w:rsidR="00141A0D" w:rsidRPr="00141A0D" w:rsidRDefault="00141A0D" w:rsidP="0058454E">
      <w:pPr>
        <w:pStyle w:val="NoSpacing"/>
        <w:ind w:left="720" w:hanging="720"/>
      </w:pPr>
      <w:r w:rsidRPr="00141A0D">
        <w:t>Weber, K., &amp; Osborn, M. (1969) </w:t>
      </w:r>
      <w:r w:rsidRPr="00141A0D">
        <w:rPr>
          <w:i/>
          <w:iCs/>
        </w:rPr>
        <w:t>J</w:t>
      </w:r>
      <w:r w:rsidRPr="00141A0D">
        <w:t>. </w:t>
      </w:r>
      <w:r w:rsidRPr="00141A0D">
        <w:rPr>
          <w:i/>
          <w:iCs/>
        </w:rPr>
        <w:t>Biol</w:t>
      </w:r>
      <w:r w:rsidRPr="00141A0D">
        <w:t>. </w:t>
      </w:r>
      <w:r w:rsidRPr="00141A0D">
        <w:rPr>
          <w:i/>
          <w:iCs/>
        </w:rPr>
        <w:t>Chem</w:t>
      </w:r>
      <w:r w:rsidRPr="00141A0D">
        <w:t>. </w:t>
      </w:r>
      <w:r w:rsidRPr="00141A0D">
        <w:rPr>
          <w:i/>
          <w:iCs/>
        </w:rPr>
        <w:t>244</w:t>
      </w:r>
      <w:r w:rsidRPr="00141A0D">
        <w:t>, 4406−4412.</w:t>
      </w:r>
    </w:p>
    <w:p w14:paraId="71D27875" w14:textId="77777777" w:rsidR="005639B5" w:rsidRDefault="005639B5" w:rsidP="005639B5"/>
    <w:p w14:paraId="6CFAE932" w14:textId="77777777" w:rsidR="00962FA5" w:rsidRPr="00141A0D" w:rsidRDefault="00962FA5" w:rsidP="00962FA5">
      <w:pPr>
        <w:pStyle w:val="NoSpacing"/>
        <w:ind w:left="720" w:hanging="720"/>
      </w:pPr>
      <w:r w:rsidRPr="00141A0D">
        <w:rPr>
          <w:b/>
          <w:bCs/>
        </w:rPr>
        <w:t>†</w:t>
      </w:r>
      <w:r w:rsidRPr="00141A0D">
        <w:t> This investigation was supported by NHLBI Grant HL-47000. The results of this study were presented at the XVth Congress of the International Society on Thrombosis and Haemostasis in June 1995 (Siebenlist &amp; Mosesson, 1995).</w:t>
      </w:r>
    </w:p>
    <w:p w14:paraId="70D12370" w14:textId="77777777" w:rsidR="00962FA5" w:rsidRPr="00141A0D" w:rsidRDefault="00962FA5" w:rsidP="00962FA5">
      <w:pPr>
        <w:pStyle w:val="NoSpacing"/>
        <w:ind w:left="720" w:hanging="720"/>
      </w:pPr>
      <w:r w:rsidRPr="00141A0D">
        <w:rPr>
          <w:b/>
          <w:bCs/>
        </w:rPr>
        <w:t>*</w:t>
      </w:r>
      <w:r w:rsidRPr="00141A0D">
        <w:t>In papers with more than one author, the asterisk indicates the name of the author to whom inquiries about the paper should be addressed.</w:t>
      </w:r>
    </w:p>
    <w:p w14:paraId="22497EB1" w14:textId="77777777" w:rsidR="00962FA5" w:rsidRPr="00141A0D" w:rsidRDefault="00962FA5" w:rsidP="00962FA5">
      <w:pPr>
        <w:pStyle w:val="NoSpacing"/>
        <w:ind w:left="720" w:hanging="720"/>
      </w:pPr>
      <w:r w:rsidRPr="00141A0D">
        <w:rPr>
          <w:b/>
          <w:bCs/>
        </w:rPr>
        <w:t>‡</w:t>
      </w:r>
      <w:r w:rsidRPr="00141A0D">
        <w:t> Marquette University.</w:t>
      </w:r>
    </w:p>
    <w:p w14:paraId="788E21A4" w14:textId="77777777" w:rsidR="00962FA5" w:rsidRPr="00141A0D" w:rsidRDefault="00962FA5" w:rsidP="00962FA5">
      <w:pPr>
        <w:pStyle w:val="NoSpacing"/>
        <w:ind w:left="720" w:hanging="720"/>
      </w:pPr>
      <w:r w:rsidRPr="00141A0D">
        <w:rPr>
          <w:b/>
          <w:bCs/>
        </w:rPr>
        <w:t>§</w:t>
      </w:r>
      <w:r w:rsidRPr="00141A0D">
        <w:t> Sinai Samaritan Medical Center.</w:t>
      </w:r>
    </w:p>
    <w:p w14:paraId="7FAD8C82" w14:textId="77777777" w:rsidR="00962FA5" w:rsidRPr="00141A0D" w:rsidRDefault="00962FA5" w:rsidP="00962FA5">
      <w:pPr>
        <w:pStyle w:val="NoSpacing"/>
        <w:ind w:left="720" w:hanging="720"/>
      </w:pPr>
      <w:r w:rsidRPr="00141A0D">
        <w:rPr>
          <w:rFonts w:ascii="Segoe UI Symbol" w:hAnsi="Segoe UI Symbol" w:cs="Segoe UI Symbol"/>
          <w:b/>
          <w:bCs/>
        </w:rPr>
        <w:t>✗</w:t>
      </w:r>
      <w:r w:rsidRPr="00141A0D">
        <w:t> Abstract published in </w:t>
      </w:r>
      <w:r w:rsidRPr="00141A0D">
        <w:rPr>
          <w:i/>
          <w:iCs/>
        </w:rPr>
        <w:t>Advance ACS Abstracts,</w:t>
      </w:r>
      <w:r w:rsidRPr="00141A0D">
        <w:t> April 15, 1996.</w:t>
      </w:r>
    </w:p>
    <w:p w14:paraId="2BE0E135" w14:textId="77777777" w:rsidR="00962FA5" w:rsidRDefault="00962FA5" w:rsidP="005639B5"/>
    <w:sectPr w:rsidR="00962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154981"/>
    <w:multiLevelType w:val="multilevel"/>
    <w:tmpl w:val="3E1C2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F465437"/>
    <w:multiLevelType w:val="multilevel"/>
    <w:tmpl w:val="F7BEF9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2793963">
    <w:abstractNumId w:val="1"/>
  </w:num>
  <w:num w:numId="2" w16cid:durableId="11489826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jUL544MznnVemZa4RwOKEC/Yomwecc06J+o264CyLWbucKePl0Sn8JJ9cxJ+MEcxf9PFOyLh/0Ak5T49JliSkA==" w:salt="Ar3/w8yCFA6ftSPiJyilD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97A93"/>
    <w:rsid w:val="00136DC7"/>
    <w:rsid w:val="00141A0D"/>
    <w:rsid w:val="00171E22"/>
    <w:rsid w:val="00245C27"/>
    <w:rsid w:val="00292DFC"/>
    <w:rsid w:val="0029751A"/>
    <w:rsid w:val="002B77E0"/>
    <w:rsid w:val="002E0A4A"/>
    <w:rsid w:val="00326D46"/>
    <w:rsid w:val="004052C6"/>
    <w:rsid w:val="00423710"/>
    <w:rsid w:val="0045749C"/>
    <w:rsid w:val="004848EC"/>
    <w:rsid w:val="004D445C"/>
    <w:rsid w:val="005639B5"/>
    <w:rsid w:val="0058454E"/>
    <w:rsid w:val="005B4ED6"/>
    <w:rsid w:val="007E52AA"/>
    <w:rsid w:val="007F545A"/>
    <w:rsid w:val="008D05E4"/>
    <w:rsid w:val="0096074A"/>
    <w:rsid w:val="00962FA5"/>
    <w:rsid w:val="00986646"/>
    <w:rsid w:val="0099145C"/>
    <w:rsid w:val="00A26ACC"/>
    <w:rsid w:val="00A41971"/>
    <w:rsid w:val="00A74170"/>
    <w:rsid w:val="00A75A8D"/>
    <w:rsid w:val="00A765A5"/>
    <w:rsid w:val="00C30F95"/>
    <w:rsid w:val="00C65A6C"/>
    <w:rsid w:val="00CA17F0"/>
    <w:rsid w:val="00D162D9"/>
    <w:rsid w:val="00D84347"/>
    <w:rsid w:val="00DB1D72"/>
    <w:rsid w:val="00F300AA"/>
    <w:rsid w:val="00F648AA"/>
    <w:rsid w:val="00FB6A15"/>
    <w:rsid w:val="00FD38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49C"/>
  </w:style>
  <w:style w:type="paragraph" w:styleId="Heading1">
    <w:name w:val="heading 1"/>
    <w:basedOn w:val="Normal"/>
    <w:next w:val="Normal"/>
    <w:link w:val="Heading1Char"/>
    <w:uiPriority w:val="9"/>
    <w:qFormat/>
    <w:rsid w:val="0045749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45749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45749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45749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45749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45749C"/>
    <w:pPr>
      <w:keepNext/>
      <w:keepLines/>
      <w:spacing w:before="40" w:after="0"/>
      <w:outlineLvl w:val="5"/>
    </w:pPr>
  </w:style>
  <w:style w:type="paragraph" w:styleId="Heading7">
    <w:name w:val="heading 7"/>
    <w:basedOn w:val="Normal"/>
    <w:next w:val="Normal"/>
    <w:link w:val="Heading7Char"/>
    <w:uiPriority w:val="9"/>
    <w:semiHidden/>
    <w:unhideWhenUsed/>
    <w:qFormat/>
    <w:rsid w:val="0045749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5749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45749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1A0D"/>
    <w:rPr>
      <w:color w:val="0563C1" w:themeColor="hyperlink"/>
      <w:u w:val="single"/>
    </w:rPr>
  </w:style>
  <w:style w:type="character" w:styleId="UnresolvedMention">
    <w:name w:val="Unresolved Mention"/>
    <w:basedOn w:val="DefaultParagraphFont"/>
    <w:uiPriority w:val="99"/>
    <w:semiHidden/>
    <w:unhideWhenUsed/>
    <w:rsid w:val="00141A0D"/>
    <w:rPr>
      <w:color w:val="605E5C"/>
      <w:shd w:val="clear" w:color="auto" w:fill="E1DFDD"/>
    </w:rPr>
  </w:style>
  <w:style w:type="character" w:customStyle="1" w:styleId="Heading1Char">
    <w:name w:val="Heading 1 Char"/>
    <w:basedOn w:val="DefaultParagraphFont"/>
    <w:link w:val="Heading1"/>
    <w:uiPriority w:val="9"/>
    <w:rsid w:val="0045749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45749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45749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45749C"/>
    <w:rPr>
      <w:i/>
      <w:iCs/>
    </w:rPr>
  </w:style>
  <w:style w:type="character" w:customStyle="1" w:styleId="Heading5Char">
    <w:name w:val="Heading 5 Char"/>
    <w:basedOn w:val="DefaultParagraphFont"/>
    <w:link w:val="Heading5"/>
    <w:uiPriority w:val="9"/>
    <w:semiHidden/>
    <w:rsid w:val="0045749C"/>
    <w:rPr>
      <w:color w:val="404040" w:themeColor="text1" w:themeTint="BF"/>
    </w:rPr>
  </w:style>
  <w:style w:type="character" w:customStyle="1" w:styleId="Heading6Char">
    <w:name w:val="Heading 6 Char"/>
    <w:basedOn w:val="DefaultParagraphFont"/>
    <w:link w:val="Heading6"/>
    <w:uiPriority w:val="9"/>
    <w:semiHidden/>
    <w:rsid w:val="0045749C"/>
  </w:style>
  <w:style w:type="character" w:customStyle="1" w:styleId="Heading7Char">
    <w:name w:val="Heading 7 Char"/>
    <w:basedOn w:val="DefaultParagraphFont"/>
    <w:link w:val="Heading7"/>
    <w:uiPriority w:val="9"/>
    <w:semiHidden/>
    <w:rsid w:val="0045749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5749C"/>
    <w:rPr>
      <w:color w:val="262626" w:themeColor="text1" w:themeTint="D9"/>
      <w:sz w:val="21"/>
      <w:szCs w:val="21"/>
    </w:rPr>
  </w:style>
  <w:style w:type="character" w:customStyle="1" w:styleId="Heading9Char">
    <w:name w:val="Heading 9 Char"/>
    <w:basedOn w:val="DefaultParagraphFont"/>
    <w:link w:val="Heading9"/>
    <w:uiPriority w:val="9"/>
    <w:semiHidden/>
    <w:rsid w:val="0045749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5749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5749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5749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5749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5749C"/>
    <w:rPr>
      <w:color w:val="5A5A5A" w:themeColor="text1" w:themeTint="A5"/>
      <w:spacing w:val="15"/>
    </w:rPr>
  </w:style>
  <w:style w:type="character" w:styleId="Strong">
    <w:name w:val="Strong"/>
    <w:basedOn w:val="DefaultParagraphFont"/>
    <w:uiPriority w:val="22"/>
    <w:qFormat/>
    <w:rsid w:val="0045749C"/>
    <w:rPr>
      <w:b/>
      <w:bCs/>
      <w:color w:val="auto"/>
    </w:rPr>
  </w:style>
  <w:style w:type="character" w:styleId="Emphasis">
    <w:name w:val="Emphasis"/>
    <w:basedOn w:val="DefaultParagraphFont"/>
    <w:uiPriority w:val="20"/>
    <w:qFormat/>
    <w:rsid w:val="0045749C"/>
    <w:rPr>
      <w:i/>
      <w:iCs/>
      <w:color w:val="auto"/>
    </w:rPr>
  </w:style>
  <w:style w:type="paragraph" w:styleId="NoSpacing">
    <w:name w:val="No Spacing"/>
    <w:uiPriority w:val="1"/>
    <w:qFormat/>
    <w:rsid w:val="0045749C"/>
    <w:pPr>
      <w:spacing w:after="0" w:line="240" w:lineRule="auto"/>
    </w:pPr>
  </w:style>
  <w:style w:type="paragraph" w:styleId="Quote">
    <w:name w:val="Quote"/>
    <w:basedOn w:val="Normal"/>
    <w:next w:val="Normal"/>
    <w:link w:val="QuoteChar"/>
    <w:uiPriority w:val="29"/>
    <w:qFormat/>
    <w:rsid w:val="0045749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5749C"/>
    <w:rPr>
      <w:i/>
      <w:iCs/>
      <w:color w:val="404040" w:themeColor="text1" w:themeTint="BF"/>
    </w:rPr>
  </w:style>
  <w:style w:type="paragraph" w:styleId="IntenseQuote">
    <w:name w:val="Intense Quote"/>
    <w:basedOn w:val="Normal"/>
    <w:next w:val="Normal"/>
    <w:link w:val="IntenseQuoteChar"/>
    <w:uiPriority w:val="30"/>
    <w:qFormat/>
    <w:rsid w:val="0045749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5749C"/>
    <w:rPr>
      <w:i/>
      <w:iCs/>
      <w:color w:val="404040" w:themeColor="text1" w:themeTint="BF"/>
    </w:rPr>
  </w:style>
  <w:style w:type="character" w:styleId="SubtleEmphasis">
    <w:name w:val="Subtle Emphasis"/>
    <w:basedOn w:val="DefaultParagraphFont"/>
    <w:uiPriority w:val="19"/>
    <w:qFormat/>
    <w:rsid w:val="0045749C"/>
    <w:rPr>
      <w:i/>
      <w:iCs/>
      <w:color w:val="404040" w:themeColor="text1" w:themeTint="BF"/>
    </w:rPr>
  </w:style>
  <w:style w:type="character" w:styleId="IntenseEmphasis">
    <w:name w:val="Intense Emphasis"/>
    <w:basedOn w:val="DefaultParagraphFont"/>
    <w:uiPriority w:val="21"/>
    <w:qFormat/>
    <w:rsid w:val="0045749C"/>
    <w:rPr>
      <w:b/>
      <w:bCs/>
      <w:i/>
      <w:iCs/>
      <w:color w:val="auto"/>
    </w:rPr>
  </w:style>
  <w:style w:type="character" w:styleId="SubtleReference">
    <w:name w:val="Subtle Reference"/>
    <w:basedOn w:val="DefaultParagraphFont"/>
    <w:uiPriority w:val="31"/>
    <w:qFormat/>
    <w:rsid w:val="0045749C"/>
    <w:rPr>
      <w:smallCaps/>
      <w:color w:val="404040" w:themeColor="text1" w:themeTint="BF"/>
    </w:rPr>
  </w:style>
  <w:style w:type="character" w:styleId="IntenseReference">
    <w:name w:val="Intense Reference"/>
    <w:basedOn w:val="DefaultParagraphFont"/>
    <w:uiPriority w:val="32"/>
    <w:qFormat/>
    <w:rsid w:val="0045749C"/>
    <w:rPr>
      <w:b/>
      <w:bCs/>
      <w:smallCaps/>
      <w:color w:val="404040" w:themeColor="text1" w:themeTint="BF"/>
      <w:spacing w:val="5"/>
    </w:rPr>
  </w:style>
  <w:style w:type="character" w:styleId="BookTitle">
    <w:name w:val="Book Title"/>
    <w:basedOn w:val="DefaultParagraphFont"/>
    <w:uiPriority w:val="33"/>
    <w:qFormat/>
    <w:rsid w:val="0045749C"/>
    <w:rPr>
      <w:b/>
      <w:bCs/>
      <w:i/>
      <w:iCs/>
      <w:spacing w:val="5"/>
    </w:rPr>
  </w:style>
  <w:style w:type="paragraph" w:styleId="TOCHeading">
    <w:name w:val="TOC Heading"/>
    <w:basedOn w:val="Heading1"/>
    <w:next w:val="Normal"/>
    <w:uiPriority w:val="39"/>
    <w:semiHidden/>
    <w:unhideWhenUsed/>
    <w:qFormat/>
    <w:rsid w:val="0045749C"/>
    <w:pPr>
      <w:outlineLvl w:val="9"/>
    </w:pPr>
  </w:style>
  <w:style w:type="table" w:styleId="TableGrid">
    <w:name w:val="Table Grid"/>
    <w:basedOn w:val="TableNormal"/>
    <w:uiPriority w:val="39"/>
    <w:rsid w:val="007E52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648A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628901">
      <w:bodyDiv w:val="1"/>
      <w:marLeft w:val="0"/>
      <w:marRight w:val="0"/>
      <w:marTop w:val="0"/>
      <w:marBottom w:val="0"/>
      <w:divBdr>
        <w:top w:val="none" w:sz="0" w:space="0" w:color="auto"/>
        <w:left w:val="none" w:sz="0" w:space="0" w:color="auto"/>
        <w:bottom w:val="none" w:sz="0" w:space="0" w:color="auto"/>
        <w:right w:val="none" w:sz="0" w:space="0" w:color="auto"/>
      </w:divBdr>
      <w:divsChild>
        <w:div w:id="12004119">
          <w:marLeft w:val="0"/>
          <w:marRight w:val="0"/>
          <w:marTop w:val="0"/>
          <w:marBottom w:val="0"/>
          <w:divBdr>
            <w:top w:val="none" w:sz="0" w:space="0" w:color="auto"/>
            <w:left w:val="none" w:sz="0" w:space="0" w:color="auto"/>
            <w:bottom w:val="none" w:sz="0" w:space="0" w:color="auto"/>
            <w:right w:val="none" w:sz="0" w:space="0" w:color="auto"/>
          </w:divBdr>
        </w:div>
      </w:divsChild>
    </w:div>
    <w:div w:id="754280570">
      <w:bodyDiv w:val="1"/>
      <w:marLeft w:val="0"/>
      <w:marRight w:val="0"/>
      <w:marTop w:val="0"/>
      <w:marBottom w:val="0"/>
      <w:divBdr>
        <w:top w:val="none" w:sz="0" w:space="0" w:color="auto"/>
        <w:left w:val="none" w:sz="0" w:space="0" w:color="auto"/>
        <w:bottom w:val="none" w:sz="0" w:space="0" w:color="auto"/>
        <w:right w:val="none" w:sz="0" w:space="0" w:color="auto"/>
      </w:divBdr>
      <w:divsChild>
        <w:div w:id="1636327475">
          <w:marLeft w:val="0"/>
          <w:marRight w:val="0"/>
          <w:marTop w:val="0"/>
          <w:marBottom w:val="270"/>
          <w:divBdr>
            <w:top w:val="none" w:sz="0" w:space="0" w:color="auto"/>
            <w:left w:val="none" w:sz="0" w:space="0" w:color="auto"/>
            <w:bottom w:val="single" w:sz="24" w:space="8" w:color="DF2A2E"/>
            <w:right w:val="none" w:sz="0" w:space="0" w:color="auto"/>
          </w:divBdr>
          <w:divsChild>
            <w:div w:id="873542638">
              <w:marLeft w:val="0"/>
              <w:marRight w:val="0"/>
              <w:marTop w:val="0"/>
              <w:marBottom w:val="150"/>
              <w:divBdr>
                <w:top w:val="none" w:sz="0" w:space="0" w:color="auto"/>
                <w:left w:val="none" w:sz="0" w:space="0" w:color="auto"/>
                <w:bottom w:val="none" w:sz="0" w:space="0" w:color="auto"/>
                <w:right w:val="none" w:sz="0" w:space="0" w:color="auto"/>
              </w:divBdr>
            </w:div>
            <w:div w:id="1270429149">
              <w:marLeft w:val="0"/>
              <w:marRight w:val="0"/>
              <w:marTop w:val="0"/>
              <w:marBottom w:val="150"/>
              <w:divBdr>
                <w:top w:val="none" w:sz="0" w:space="0" w:color="auto"/>
                <w:left w:val="none" w:sz="0" w:space="0" w:color="auto"/>
                <w:bottom w:val="none" w:sz="0" w:space="0" w:color="auto"/>
                <w:right w:val="none" w:sz="0" w:space="0" w:color="auto"/>
              </w:divBdr>
            </w:div>
            <w:div w:id="2024739282">
              <w:marLeft w:val="0"/>
              <w:marRight w:val="0"/>
              <w:marTop w:val="0"/>
              <w:marBottom w:val="150"/>
              <w:divBdr>
                <w:top w:val="none" w:sz="0" w:space="0" w:color="auto"/>
                <w:left w:val="none" w:sz="0" w:space="0" w:color="auto"/>
                <w:bottom w:val="none" w:sz="0" w:space="0" w:color="auto"/>
                <w:right w:val="none" w:sz="0" w:space="0" w:color="auto"/>
              </w:divBdr>
            </w:div>
            <w:div w:id="1102189738">
              <w:marLeft w:val="0"/>
              <w:marRight w:val="0"/>
              <w:marTop w:val="0"/>
              <w:marBottom w:val="150"/>
              <w:divBdr>
                <w:top w:val="none" w:sz="0" w:space="0" w:color="auto"/>
                <w:left w:val="none" w:sz="0" w:space="0" w:color="auto"/>
                <w:bottom w:val="none" w:sz="0" w:space="0" w:color="auto"/>
                <w:right w:val="none" w:sz="0" w:space="0" w:color="auto"/>
              </w:divBdr>
            </w:div>
            <w:div w:id="1512600880">
              <w:marLeft w:val="0"/>
              <w:marRight w:val="0"/>
              <w:marTop w:val="0"/>
              <w:marBottom w:val="150"/>
              <w:divBdr>
                <w:top w:val="none" w:sz="0" w:space="0" w:color="auto"/>
                <w:left w:val="none" w:sz="0" w:space="0" w:color="auto"/>
                <w:bottom w:val="none" w:sz="0" w:space="0" w:color="auto"/>
                <w:right w:val="none" w:sz="0" w:space="0" w:color="auto"/>
              </w:divBdr>
            </w:div>
          </w:divsChild>
        </w:div>
        <w:div w:id="516431475">
          <w:marLeft w:val="0"/>
          <w:marRight w:val="0"/>
          <w:marTop w:val="225"/>
          <w:marBottom w:val="0"/>
          <w:divBdr>
            <w:top w:val="none" w:sz="0" w:space="0" w:color="auto"/>
            <w:left w:val="none" w:sz="0" w:space="0" w:color="auto"/>
            <w:bottom w:val="none" w:sz="0" w:space="0" w:color="auto"/>
            <w:right w:val="none" w:sz="0" w:space="0" w:color="auto"/>
          </w:divBdr>
          <w:divsChild>
            <w:div w:id="393435744">
              <w:marLeft w:val="0"/>
              <w:marRight w:val="0"/>
              <w:marTop w:val="240"/>
              <w:marBottom w:val="240"/>
              <w:divBdr>
                <w:top w:val="none" w:sz="0" w:space="0" w:color="auto"/>
                <w:left w:val="none" w:sz="0" w:space="0" w:color="auto"/>
                <w:bottom w:val="none" w:sz="0" w:space="0" w:color="auto"/>
                <w:right w:val="none" w:sz="0" w:space="0" w:color="auto"/>
              </w:divBdr>
            </w:div>
            <w:div w:id="617371027">
              <w:marLeft w:val="0"/>
              <w:marRight w:val="0"/>
              <w:marTop w:val="240"/>
              <w:marBottom w:val="240"/>
              <w:divBdr>
                <w:top w:val="none" w:sz="0" w:space="0" w:color="auto"/>
                <w:left w:val="none" w:sz="0" w:space="0" w:color="auto"/>
                <w:bottom w:val="none" w:sz="0" w:space="0" w:color="auto"/>
                <w:right w:val="none" w:sz="0" w:space="0" w:color="auto"/>
              </w:divBdr>
            </w:div>
            <w:div w:id="12925640">
              <w:marLeft w:val="0"/>
              <w:marRight w:val="0"/>
              <w:marTop w:val="240"/>
              <w:marBottom w:val="240"/>
              <w:divBdr>
                <w:top w:val="none" w:sz="0" w:space="0" w:color="auto"/>
                <w:left w:val="none" w:sz="0" w:space="0" w:color="auto"/>
                <w:bottom w:val="none" w:sz="0" w:space="0" w:color="auto"/>
                <w:right w:val="none" w:sz="0" w:space="0" w:color="auto"/>
              </w:divBdr>
            </w:div>
          </w:divsChild>
        </w:div>
        <w:div w:id="261644844">
          <w:marLeft w:val="0"/>
          <w:marRight w:val="0"/>
          <w:marTop w:val="225"/>
          <w:marBottom w:val="0"/>
          <w:divBdr>
            <w:top w:val="none" w:sz="0" w:space="0" w:color="auto"/>
            <w:left w:val="none" w:sz="0" w:space="0" w:color="auto"/>
            <w:bottom w:val="none" w:sz="0" w:space="0" w:color="auto"/>
            <w:right w:val="none" w:sz="0" w:space="0" w:color="auto"/>
          </w:divBdr>
          <w:divsChild>
            <w:div w:id="2061005249">
              <w:marLeft w:val="0"/>
              <w:marRight w:val="0"/>
              <w:marTop w:val="0"/>
              <w:marBottom w:val="0"/>
              <w:divBdr>
                <w:top w:val="none" w:sz="0" w:space="0" w:color="auto"/>
                <w:left w:val="none" w:sz="0" w:space="0" w:color="auto"/>
                <w:bottom w:val="none" w:sz="0" w:space="0" w:color="auto"/>
                <w:right w:val="none" w:sz="0" w:space="0" w:color="auto"/>
              </w:divBdr>
              <w:divsChild>
                <w:div w:id="84503723">
                  <w:marLeft w:val="0"/>
                  <w:marRight w:val="0"/>
                  <w:marTop w:val="0"/>
                  <w:marBottom w:val="0"/>
                  <w:divBdr>
                    <w:top w:val="none" w:sz="0" w:space="0" w:color="auto"/>
                    <w:left w:val="none" w:sz="0" w:space="0" w:color="auto"/>
                    <w:bottom w:val="none" w:sz="0" w:space="0" w:color="auto"/>
                    <w:right w:val="none" w:sz="0" w:space="0" w:color="auto"/>
                  </w:divBdr>
                  <w:divsChild>
                    <w:div w:id="743337596">
                      <w:marLeft w:val="0"/>
                      <w:marRight w:val="0"/>
                      <w:marTop w:val="0"/>
                      <w:marBottom w:val="0"/>
                      <w:divBdr>
                        <w:top w:val="none" w:sz="0" w:space="0" w:color="auto"/>
                        <w:left w:val="none" w:sz="0" w:space="0" w:color="auto"/>
                        <w:bottom w:val="none" w:sz="0" w:space="0" w:color="auto"/>
                        <w:right w:val="none" w:sz="0" w:space="0" w:color="auto"/>
                      </w:divBdr>
                    </w:div>
                    <w:div w:id="84123784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13233494">
              <w:marLeft w:val="0"/>
              <w:marRight w:val="0"/>
              <w:marTop w:val="240"/>
              <w:marBottom w:val="240"/>
              <w:divBdr>
                <w:top w:val="none" w:sz="0" w:space="0" w:color="auto"/>
                <w:left w:val="none" w:sz="0" w:space="0" w:color="auto"/>
                <w:bottom w:val="none" w:sz="0" w:space="0" w:color="auto"/>
                <w:right w:val="none" w:sz="0" w:space="0" w:color="auto"/>
              </w:divBdr>
            </w:div>
            <w:div w:id="930624769">
              <w:marLeft w:val="0"/>
              <w:marRight w:val="0"/>
              <w:marTop w:val="240"/>
              <w:marBottom w:val="240"/>
              <w:divBdr>
                <w:top w:val="none" w:sz="0" w:space="0" w:color="auto"/>
                <w:left w:val="none" w:sz="0" w:space="0" w:color="auto"/>
                <w:bottom w:val="none" w:sz="0" w:space="0" w:color="auto"/>
                <w:right w:val="none" w:sz="0" w:space="0" w:color="auto"/>
              </w:divBdr>
            </w:div>
            <w:div w:id="285047609">
              <w:marLeft w:val="0"/>
              <w:marRight w:val="0"/>
              <w:marTop w:val="240"/>
              <w:marBottom w:val="240"/>
              <w:divBdr>
                <w:top w:val="none" w:sz="0" w:space="0" w:color="auto"/>
                <w:left w:val="none" w:sz="0" w:space="0" w:color="auto"/>
                <w:bottom w:val="none" w:sz="0" w:space="0" w:color="auto"/>
                <w:right w:val="none" w:sz="0" w:space="0" w:color="auto"/>
              </w:divBdr>
            </w:div>
            <w:div w:id="1793859794">
              <w:marLeft w:val="0"/>
              <w:marRight w:val="0"/>
              <w:marTop w:val="240"/>
              <w:marBottom w:val="240"/>
              <w:divBdr>
                <w:top w:val="none" w:sz="0" w:space="0" w:color="auto"/>
                <w:left w:val="none" w:sz="0" w:space="0" w:color="auto"/>
                <w:bottom w:val="none" w:sz="0" w:space="0" w:color="auto"/>
                <w:right w:val="none" w:sz="0" w:space="0" w:color="auto"/>
              </w:divBdr>
            </w:div>
            <w:div w:id="687414346">
              <w:marLeft w:val="0"/>
              <w:marRight w:val="0"/>
              <w:marTop w:val="240"/>
              <w:marBottom w:val="240"/>
              <w:divBdr>
                <w:top w:val="none" w:sz="0" w:space="0" w:color="auto"/>
                <w:left w:val="none" w:sz="0" w:space="0" w:color="auto"/>
                <w:bottom w:val="none" w:sz="0" w:space="0" w:color="auto"/>
                <w:right w:val="none" w:sz="0" w:space="0" w:color="auto"/>
              </w:divBdr>
            </w:div>
            <w:div w:id="1620721165">
              <w:marLeft w:val="0"/>
              <w:marRight w:val="0"/>
              <w:marTop w:val="240"/>
              <w:marBottom w:val="240"/>
              <w:divBdr>
                <w:top w:val="none" w:sz="0" w:space="0" w:color="auto"/>
                <w:left w:val="none" w:sz="0" w:space="0" w:color="auto"/>
                <w:bottom w:val="none" w:sz="0" w:space="0" w:color="auto"/>
                <w:right w:val="none" w:sz="0" w:space="0" w:color="auto"/>
              </w:divBdr>
            </w:div>
          </w:divsChild>
        </w:div>
        <w:div w:id="475413081">
          <w:marLeft w:val="0"/>
          <w:marRight w:val="0"/>
          <w:marTop w:val="225"/>
          <w:marBottom w:val="0"/>
          <w:divBdr>
            <w:top w:val="none" w:sz="0" w:space="0" w:color="auto"/>
            <w:left w:val="none" w:sz="0" w:space="0" w:color="auto"/>
            <w:bottom w:val="none" w:sz="0" w:space="0" w:color="auto"/>
            <w:right w:val="none" w:sz="0" w:space="0" w:color="auto"/>
          </w:divBdr>
          <w:divsChild>
            <w:div w:id="461506253">
              <w:marLeft w:val="0"/>
              <w:marRight w:val="0"/>
              <w:marTop w:val="0"/>
              <w:marBottom w:val="0"/>
              <w:divBdr>
                <w:top w:val="none" w:sz="0" w:space="0" w:color="auto"/>
                <w:left w:val="none" w:sz="0" w:space="0" w:color="auto"/>
                <w:bottom w:val="none" w:sz="0" w:space="0" w:color="auto"/>
                <w:right w:val="none" w:sz="0" w:space="0" w:color="auto"/>
              </w:divBdr>
              <w:divsChild>
                <w:div w:id="351802503">
                  <w:marLeft w:val="0"/>
                  <w:marRight w:val="0"/>
                  <w:marTop w:val="0"/>
                  <w:marBottom w:val="0"/>
                  <w:divBdr>
                    <w:top w:val="none" w:sz="0" w:space="0" w:color="auto"/>
                    <w:left w:val="none" w:sz="0" w:space="0" w:color="auto"/>
                    <w:bottom w:val="none" w:sz="0" w:space="0" w:color="auto"/>
                    <w:right w:val="none" w:sz="0" w:space="0" w:color="auto"/>
                  </w:divBdr>
                  <w:divsChild>
                    <w:div w:id="1194155885">
                      <w:marLeft w:val="0"/>
                      <w:marRight w:val="0"/>
                      <w:marTop w:val="0"/>
                      <w:marBottom w:val="0"/>
                      <w:divBdr>
                        <w:top w:val="none" w:sz="0" w:space="0" w:color="auto"/>
                        <w:left w:val="none" w:sz="0" w:space="0" w:color="auto"/>
                        <w:bottom w:val="none" w:sz="0" w:space="0" w:color="auto"/>
                        <w:right w:val="none" w:sz="0" w:space="0" w:color="auto"/>
                      </w:divBdr>
                    </w:div>
                    <w:div w:id="2433392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997152591">
              <w:marLeft w:val="0"/>
              <w:marRight w:val="0"/>
              <w:marTop w:val="240"/>
              <w:marBottom w:val="240"/>
              <w:divBdr>
                <w:top w:val="none" w:sz="0" w:space="0" w:color="auto"/>
                <w:left w:val="none" w:sz="0" w:space="0" w:color="auto"/>
                <w:bottom w:val="none" w:sz="0" w:space="0" w:color="auto"/>
                <w:right w:val="none" w:sz="0" w:space="0" w:color="auto"/>
              </w:divBdr>
              <w:divsChild>
                <w:div w:id="557395806">
                  <w:marLeft w:val="0"/>
                  <w:marRight w:val="0"/>
                  <w:marTop w:val="0"/>
                  <w:marBottom w:val="0"/>
                  <w:divBdr>
                    <w:top w:val="none" w:sz="0" w:space="0" w:color="auto"/>
                    <w:left w:val="none" w:sz="0" w:space="0" w:color="auto"/>
                    <w:bottom w:val="none" w:sz="0" w:space="0" w:color="auto"/>
                    <w:right w:val="none" w:sz="0" w:space="0" w:color="auto"/>
                  </w:divBdr>
                  <w:divsChild>
                    <w:div w:id="1718890539">
                      <w:marLeft w:val="0"/>
                      <w:marRight w:val="0"/>
                      <w:marTop w:val="0"/>
                      <w:marBottom w:val="0"/>
                      <w:divBdr>
                        <w:top w:val="none" w:sz="0" w:space="0" w:color="auto"/>
                        <w:left w:val="none" w:sz="0" w:space="0" w:color="auto"/>
                        <w:bottom w:val="none" w:sz="0" w:space="0" w:color="auto"/>
                        <w:right w:val="none" w:sz="0" w:space="0" w:color="auto"/>
                      </w:divBdr>
                    </w:div>
                    <w:div w:id="199301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477476">
              <w:marLeft w:val="0"/>
              <w:marRight w:val="0"/>
              <w:marTop w:val="240"/>
              <w:marBottom w:val="240"/>
              <w:divBdr>
                <w:top w:val="none" w:sz="0" w:space="0" w:color="auto"/>
                <w:left w:val="none" w:sz="0" w:space="0" w:color="auto"/>
                <w:bottom w:val="none" w:sz="0" w:space="0" w:color="auto"/>
                <w:right w:val="none" w:sz="0" w:space="0" w:color="auto"/>
              </w:divBdr>
              <w:divsChild>
                <w:div w:id="124543455">
                  <w:marLeft w:val="0"/>
                  <w:marRight w:val="0"/>
                  <w:marTop w:val="0"/>
                  <w:marBottom w:val="0"/>
                  <w:divBdr>
                    <w:top w:val="none" w:sz="0" w:space="0" w:color="auto"/>
                    <w:left w:val="none" w:sz="0" w:space="0" w:color="auto"/>
                    <w:bottom w:val="none" w:sz="0" w:space="0" w:color="auto"/>
                    <w:right w:val="none" w:sz="0" w:space="0" w:color="auto"/>
                  </w:divBdr>
                  <w:divsChild>
                    <w:div w:id="577325098">
                      <w:marLeft w:val="0"/>
                      <w:marRight w:val="0"/>
                      <w:marTop w:val="0"/>
                      <w:marBottom w:val="0"/>
                      <w:divBdr>
                        <w:top w:val="none" w:sz="0" w:space="0" w:color="auto"/>
                        <w:left w:val="none" w:sz="0" w:space="0" w:color="auto"/>
                        <w:bottom w:val="none" w:sz="0" w:space="0" w:color="auto"/>
                        <w:right w:val="none" w:sz="0" w:space="0" w:color="auto"/>
                      </w:divBdr>
                    </w:div>
                    <w:div w:id="520246855">
                      <w:marLeft w:val="0"/>
                      <w:marRight w:val="0"/>
                      <w:marTop w:val="0"/>
                      <w:marBottom w:val="0"/>
                      <w:divBdr>
                        <w:top w:val="none" w:sz="0" w:space="0" w:color="auto"/>
                        <w:left w:val="none" w:sz="0" w:space="0" w:color="auto"/>
                        <w:bottom w:val="none" w:sz="0" w:space="0" w:color="auto"/>
                        <w:right w:val="none" w:sz="0" w:space="0" w:color="auto"/>
                      </w:divBdr>
                    </w:div>
                  </w:divsChild>
                </w:div>
                <w:div w:id="746733493">
                  <w:marLeft w:val="0"/>
                  <w:marRight w:val="0"/>
                  <w:marTop w:val="0"/>
                  <w:marBottom w:val="0"/>
                  <w:divBdr>
                    <w:top w:val="none" w:sz="0" w:space="0" w:color="auto"/>
                    <w:left w:val="none" w:sz="0" w:space="0" w:color="auto"/>
                    <w:bottom w:val="none" w:sz="0" w:space="0" w:color="auto"/>
                    <w:right w:val="none" w:sz="0" w:space="0" w:color="auto"/>
                  </w:divBdr>
                  <w:divsChild>
                    <w:div w:id="1291932199">
                      <w:marLeft w:val="0"/>
                      <w:marRight w:val="0"/>
                      <w:marTop w:val="0"/>
                      <w:marBottom w:val="0"/>
                      <w:divBdr>
                        <w:top w:val="none" w:sz="0" w:space="0" w:color="auto"/>
                        <w:left w:val="none" w:sz="0" w:space="0" w:color="auto"/>
                        <w:bottom w:val="none" w:sz="0" w:space="0" w:color="auto"/>
                        <w:right w:val="none" w:sz="0" w:space="0" w:color="auto"/>
                      </w:divBdr>
                      <w:divsChild>
                        <w:div w:id="1158110890">
                          <w:marLeft w:val="0"/>
                          <w:marRight w:val="0"/>
                          <w:marTop w:val="225"/>
                          <w:marBottom w:val="0"/>
                          <w:divBdr>
                            <w:top w:val="none" w:sz="0" w:space="0" w:color="auto"/>
                            <w:left w:val="none" w:sz="0" w:space="0" w:color="auto"/>
                            <w:bottom w:val="none" w:sz="0" w:space="0" w:color="auto"/>
                            <w:right w:val="none" w:sz="0" w:space="0" w:color="auto"/>
                          </w:divBdr>
                        </w:div>
                      </w:divsChild>
                    </w:div>
                    <w:div w:id="480081027">
                      <w:marLeft w:val="0"/>
                      <w:marRight w:val="0"/>
                      <w:marTop w:val="225"/>
                      <w:marBottom w:val="225"/>
                      <w:divBdr>
                        <w:top w:val="none" w:sz="0" w:space="0" w:color="auto"/>
                        <w:left w:val="single" w:sz="6" w:space="0" w:color="A7A9AC"/>
                        <w:bottom w:val="none" w:sz="0" w:space="0" w:color="auto"/>
                        <w:right w:val="single" w:sz="6" w:space="0" w:color="A7A9AC"/>
                      </w:divBdr>
                    </w:div>
                    <w:div w:id="202894503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22264493">
              <w:marLeft w:val="0"/>
              <w:marRight w:val="0"/>
              <w:marTop w:val="240"/>
              <w:marBottom w:val="240"/>
              <w:divBdr>
                <w:top w:val="none" w:sz="0" w:space="0" w:color="auto"/>
                <w:left w:val="none" w:sz="0" w:space="0" w:color="auto"/>
                <w:bottom w:val="none" w:sz="0" w:space="0" w:color="auto"/>
                <w:right w:val="none" w:sz="0" w:space="0" w:color="auto"/>
              </w:divBdr>
              <w:divsChild>
                <w:div w:id="1036663419">
                  <w:marLeft w:val="0"/>
                  <w:marRight w:val="0"/>
                  <w:marTop w:val="0"/>
                  <w:marBottom w:val="0"/>
                  <w:divBdr>
                    <w:top w:val="none" w:sz="0" w:space="0" w:color="auto"/>
                    <w:left w:val="none" w:sz="0" w:space="0" w:color="auto"/>
                    <w:bottom w:val="none" w:sz="0" w:space="0" w:color="auto"/>
                    <w:right w:val="none" w:sz="0" w:space="0" w:color="auto"/>
                  </w:divBdr>
                  <w:divsChild>
                    <w:div w:id="110915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693065">
              <w:marLeft w:val="0"/>
              <w:marRight w:val="0"/>
              <w:marTop w:val="240"/>
              <w:marBottom w:val="240"/>
              <w:divBdr>
                <w:top w:val="none" w:sz="0" w:space="0" w:color="auto"/>
                <w:left w:val="none" w:sz="0" w:space="0" w:color="auto"/>
                <w:bottom w:val="none" w:sz="0" w:space="0" w:color="auto"/>
                <w:right w:val="none" w:sz="0" w:space="0" w:color="auto"/>
              </w:divBdr>
              <w:divsChild>
                <w:div w:id="1550413263">
                  <w:marLeft w:val="0"/>
                  <w:marRight w:val="0"/>
                  <w:marTop w:val="0"/>
                  <w:marBottom w:val="0"/>
                  <w:divBdr>
                    <w:top w:val="none" w:sz="0" w:space="0" w:color="auto"/>
                    <w:left w:val="none" w:sz="0" w:space="0" w:color="auto"/>
                    <w:bottom w:val="none" w:sz="0" w:space="0" w:color="auto"/>
                    <w:right w:val="none" w:sz="0" w:space="0" w:color="auto"/>
                  </w:divBdr>
                  <w:divsChild>
                    <w:div w:id="25690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193169">
              <w:marLeft w:val="0"/>
              <w:marRight w:val="0"/>
              <w:marTop w:val="240"/>
              <w:marBottom w:val="240"/>
              <w:divBdr>
                <w:top w:val="none" w:sz="0" w:space="0" w:color="auto"/>
                <w:left w:val="none" w:sz="0" w:space="0" w:color="auto"/>
                <w:bottom w:val="none" w:sz="0" w:space="0" w:color="auto"/>
                <w:right w:val="none" w:sz="0" w:space="0" w:color="auto"/>
              </w:divBdr>
              <w:divsChild>
                <w:div w:id="1719738378">
                  <w:marLeft w:val="0"/>
                  <w:marRight w:val="0"/>
                  <w:marTop w:val="0"/>
                  <w:marBottom w:val="0"/>
                  <w:divBdr>
                    <w:top w:val="none" w:sz="0" w:space="0" w:color="auto"/>
                    <w:left w:val="none" w:sz="0" w:space="0" w:color="auto"/>
                    <w:bottom w:val="none" w:sz="0" w:space="0" w:color="auto"/>
                    <w:right w:val="none" w:sz="0" w:space="0" w:color="auto"/>
                  </w:divBdr>
                  <w:divsChild>
                    <w:div w:id="140306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195954">
          <w:marLeft w:val="0"/>
          <w:marRight w:val="0"/>
          <w:marTop w:val="225"/>
          <w:marBottom w:val="0"/>
          <w:divBdr>
            <w:top w:val="none" w:sz="0" w:space="0" w:color="auto"/>
            <w:left w:val="none" w:sz="0" w:space="0" w:color="auto"/>
            <w:bottom w:val="none" w:sz="0" w:space="0" w:color="auto"/>
            <w:right w:val="none" w:sz="0" w:space="0" w:color="auto"/>
          </w:divBdr>
          <w:divsChild>
            <w:div w:id="843326642">
              <w:marLeft w:val="0"/>
              <w:marRight w:val="0"/>
              <w:marTop w:val="0"/>
              <w:marBottom w:val="0"/>
              <w:divBdr>
                <w:top w:val="none" w:sz="0" w:space="0" w:color="auto"/>
                <w:left w:val="none" w:sz="0" w:space="0" w:color="auto"/>
                <w:bottom w:val="none" w:sz="0" w:space="0" w:color="auto"/>
                <w:right w:val="none" w:sz="0" w:space="0" w:color="auto"/>
              </w:divBdr>
              <w:divsChild>
                <w:div w:id="2098935136">
                  <w:marLeft w:val="0"/>
                  <w:marRight w:val="0"/>
                  <w:marTop w:val="0"/>
                  <w:marBottom w:val="0"/>
                  <w:divBdr>
                    <w:top w:val="none" w:sz="0" w:space="0" w:color="auto"/>
                    <w:left w:val="none" w:sz="0" w:space="0" w:color="auto"/>
                    <w:bottom w:val="none" w:sz="0" w:space="0" w:color="auto"/>
                    <w:right w:val="none" w:sz="0" w:space="0" w:color="auto"/>
                  </w:divBdr>
                  <w:divsChild>
                    <w:div w:id="218979659">
                      <w:marLeft w:val="0"/>
                      <w:marRight w:val="0"/>
                      <w:marTop w:val="0"/>
                      <w:marBottom w:val="0"/>
                      <w:divBdr>
                        <w:top w:val="none" w:sz="0" w:space="0" w:color="auto"/>
                        <w:left w:val="none" w:sz="0" w:space="0" w:color="auto"/>
                        <w:bottom w:val="none" w:sz="0" w:space="0" w:color="auto"/>
                        <w:right w:val="none" w:sz="0" w:space="0" w:color="auto"/>
                      </w:divBdr>
                    </w:div>
                    <w:div w:id="96805254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85899797">
              <w:marLeft w:val="0"/>
              <w:marRight w:val="0"/>
              <w:marTop w:val="240"/>
              <w:marBottom w:val="240"/>
              <w:divBdr>
                <w:top w:val="none" w:sz="0" w:space="0" w:color="auto"/>
                <w:left w:val="none" w:sz="0" w:space="0" w:color="auto"/>
                <w:bottom w:val="none" w:sz="0" w:space="0" w:color="auto"/>
                <w:right w:val="none" w:sz="0" w:space="0" w:color="auto"/>
              </w:divBdr>
            </w:div>
            <w:div w:id="127406982">
              <w:marLeft w:val="0"/>
              <w:marRight w:val="0"/>
              <w:marTop w:val="240"/>
              <w:marBottom w:val="240"/>
              <w:divBdr>
                <w:top w:val="none" w:sz="0" w:space="0" w:color="auto"/>
                <w:left w:val="none" w:sz="0" w:space="0" w:color="auto"/>
                <w:bottom w:val="none" w:sz="0" w:space="0" w:color="auto"/>
                <w:right w:val="none" w:sz="0" w:space="0" w:color="auto"/>
              </w:divBdr>
            </w:div>
            <w:div w:id="96951839">
              <w:marLeft w:val="0"/>
              <w:marRight w:val="0"/>
              <w:marTop w:val="240"/>
              <w:marBottom w:val="240"/>
              <w:divBdr>
                <w:top w:val="none" w:sz="0" w:space="0" w:color="auto"/>
                <w:left w:val="none" w:sz="0" w:space="0" w:color="auto"/>
                <w:bottom w:val="none" w:sz="0" w:space="0" w:color="auto"/>
                <w:right w:val="none" w:sz="0" w:space="0" w:color="auto"/>
              </w:divBdr>
            </w:div>
          </w:divsChild>
        </w:div>
        <w:div w:id="1834905012">
          <w:marLeft w:val="0"/>
          <w:marRight w:val="0"/>
          <w:marTop w:val="0"/>
          <w:marBottom w:val="0"/>
          <w:divBdr>
            <w:top w:val="none" w:sz="0" w:space="0" w:color="auto"/>
            <w:left w:val="none" w:sz="0" w:space="0" w:color="auto"/>
            <w:bottom w:val="none" w:sz="0" w:space="0" w:color="auto"/>
            <w:right w:val="none" w:sz="0" w:space="0" w:color="auto"/>
          </w:divBdr>
          <w:divsChild>
            <w:div w:id="905839853">
              <w:marLeft w:val="0"/>
              <w:marRight w:val="0"/>
              <w:marTop w:val="0"/>
              <w:marBottom w:val="0"/>
              <w:divBdr>
                <w:top w:val="none" w:sz="0" w:space="0" w:color="auto"/>
                <w:left w:val="none" w:sz="0" w:space="0" w:color="auto"/>
                <w:bottom w:val="none" w:sz="0" w:space="0" w:color="auto"/>
                <w:right w:val="none" w:sz="0" w:space="0" w:color="auto"/>
              </w:divBdr>
              <w:divsChild>
                <w:div w:id="183784643">
                  <w:marLeft w:val="0"/>
                  <w:marRight w:val="0"/>
                  <w:marTop w:val="0"/>
                  <w:marBottom w:val="0"/>
                  <w:divBdr>
                    <w:top w:val="none" w:sz="0" w:space="0" w:color="auto"/>
                    <w:left w:val="none" w:sz="0" w:space="0" w:color="auto"/>
                    <w:bottom w:val="none" w:sz="0" w:space="0" w:color="auto"/>
                    <w:right w:val="none" w:sz="0" w:space="0" w:color="auto"/>
                  </w:divBdr>
                  <w:divsChild>
                    <w:div w:id="1757480901">
                      <w:marLeft w:val="0"/>
                      <w:marRight w:val="0"/>
                      <w:marTop w:val="0"/>
                      <w:marBottom w:val="0"/>
                      <w:divBdr>
                        <w:top w:val="none" w:sz="0" w:space="0" w:color="auto"/>
                        <w:left w:val="none" w:sz="0" w:space="0" w:color="auto"/>
                        <w:bottom w:val="none" w:sz="0" w:space="0" w:color="auto"/>
                        <w:right w:val="none" w:sz="0" w:space="0" w:color="auto"/>
                      </w:divBdr>
                      <w:divsChild>
                        <w:div w:id="799570423">
                          <w:marLeft w:val="0"/>
                          <w:marRight w:val="0"/>
                          <w:marTop w:val="0"/>
                          <w:marBottom w:val="0"/>
                          <w:divBdr>
                            <w:top w:val="none" w:sz="0" w:space="0" w:color="auto"/>
                            <w:left w:val="none" w:sz="0" w:space="0" w:color="auto"/>
                            <w:bottom w:val="none" w:sz="0" w:space="0" w:color="auto"/>
                            <w:right w:val="none" w:sz="0" w:space="0" w:color="auto"/>
                          </w:divBdr>
                        </w:div>
                        <w:div w:id="7627253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855921083">
                  <w:marLeft w:val="0"/>
                  <w:marRight w:val="0"/>
                  <w:marTop w:val="0"/>
                  <w:marBottom w:val="0"/>
                  <w:divBdr>
                    <w:top w:val="none" w:sz="0" w:space="0" w:color="auto"/>
                    <w:left w:val="none" w:sz="0" w:space="0" w:color="auto"/>
                    <w:bottom w:val="none" w:sz="0" w:space="0" w:color="auto"/>
                    <w:right w:val="none" w:sz="0" w:space="0" w:color="auto"/>
                  </w:divBdr>
                </w:div>
                <w:div w:id="1521239436">
                  <w:marLeft w:val="0"/>
                  <w:marRight w:val="0"/>
                  <w:marTop w:val="0"/>
                  <w:marBottom w:val="0"/>
                  <w:divBdr>
                    <w:top w:val="none" w:sz="0" w:space="0" w:color="auto"/>
                    <w:left w:val="none" w:sz="0" w:space="0" w:color="auto"/>
                    <w:bottom w:val="none" w:sz="0" w:space="0" w:color="auto"/>
                    <w:right w:val="none" w:sz="0" w:space="0" w:color="auto"/>
                  </w:divBdr>
                </w:div>
              </w:divsChild>
            </w:div>
            <w:div w:id="133377521">
              <w:marLeft w:val="0"/>
              <w:marRight w:val="0"/>
              <w:marTop w:val="0"/>
              <w:marBottom w:val="0"/>
              <w:divBdr>
                <w:top w:val="none" w:sz="0" w:space="0" w:color="auto"/>
                <w:left w:val="none" w:sz="0" w:space="0" w:color="auto"/>
                <w:bottom w:val="none" w:sz="0" w:space="0" w:color="auto"/>
                <w:right w:val="none" w:sz="0" w:space="0" w:color="auto"/>
              </w:divBdr>
              <w:divsChild>
                <w:div w:id="945575322">
                  <w:marLeft w:val="0"/>
                  <w:marRight w:val="0"/>
                  <w:marTop w:val="0"/>
                  <w:marBottom w:val="0"/>
                  <w:divBdr>
                    <w:top w:val="none" w:sz="0" w:space="0" w:color="auto"/>
                    <w:left w:val="none" w:sz="0" w:space="0" w:color="auto"/>
                    <w:bottom w:val="none" w:sz="0" w:space="0" w:color="auto"/>
                    <w:right w:val="none" w:sz="0" w:space="0" w:color="auto"/>
                  </w:divBdr>
                  <w:divsChild>
                    <w:div w:id="388773076">
                      <w:marLeft w:val="0"/>
                      <w:marRight w:val="0"/>
                      <w:marTop w:val="0"/>
                      <w:marBottom w:val="0"/>
                      <w:divBdr>
                        <w:top w:val="none" w:sz="0" w:space="0" w:color="auto"/>
                        <w:left w:val="none" w:sz="0" w:space="0" w:color="auto"/>
                        <w:bottom w:val="none" w:sz="0" w:space="0" w:color="auto"/>
                        <w:right w:val="none" w:sz="0" w:space="0" w:color="auto"/>
                      </w:divBdr>
                      <w:divsChild>
                        <w:div w:id="1946226299">
                          <w:marLeft w:val="0"/>
                          <w:marRight w:val="0"/>
                          <w:marTop w:val="0"/>
                          <w:marBottom w:val="0"/>
                          <w:divBdr>
                            <w:top w:val="none" w:sz="0" w:space="0" w:color="auto"/>
                            <w:left w:val="none" w:sz="0" w:space="0" w:color="auto"/>
                            <w:bottom w:val="none" w:sz="0" w:space="0" w:color="auto"/>
                            <w:right w:val="none" w:sz="0" w:space="0" w:color="auto"/>
                          </w:divBdr>
                        </w:div>
                        <w:div w:id="29164283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47369115">
              <w:marLeft w:val="0"/>
              <w:marRight w:val="0"/>
              <w:marTop w:val="0"/>
              <w:marBottom w:val="0"/>
              <w:divBdr>
                <w:top w:val="none" w:sz="0" w:space="0" w:color="auto"/>
                <w:left w:val="none" w:sz="0" w:space="0" w:color="auto"/>
                <w:bottom w:val="none" w:sz="0" w:space="0" w:color="auto"/>
                <w:right w:val="none" w:sz="0" w:space="0" w:color="auto"/>
              </w:divBdr>
            </w:div>
            <w:div w:id="2045709542">
              <w:marLeft w:val="0"/>
              <w:marRight w:val="0"/>
              <w:marTop w:val="0"/>
              <w:marBottom w:val="0"/>
              <w:divBdr>
                <w:top w:val="none" w:sz="0" w:space="0" w:color="auto"/>
                <w:left w:val="none" w:sz="0" w:space="0" w:color="auto"/>
                <w:bottom w:val="none" w:sz="0" w:space="0" w:color="auto"/>
                <w:right w:val="none" w:sz="0" w:space="0" w:color="auto"/>
              </w:divBdr>
              <w:divsChild>
                <w:div w:id="1567062875">
                  <w:marLeft w:val="0"/>
                  <w:marRight w:val="0"/>
                  <w:marTop w:val="75"/>
                  <w:marBottom w:val="0"/>
                  <w:divBdr>
                    <w:top w:val="none" w:sz="0" w:space="0" w:color="auto"/>
                    <w:left w:val="none" w:sz="0" w:space="0" w:color="auto"/>
                    <w:bottom w:val="none" w:sz="0" w:space="0" w:color="auto"/>
                    <w:right w:val="none" w:sz="0" w:space="0" w:color="auto"/>
                  </w:divBdr>
                  <w:divsChild>
                    <w:div w:id="113490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405762">
              <w:marLeft w:val="0"/>
              <w:marRight w:val="0"/>
              <w:marTop w:val="0"/>
              <w:marBottom w:val="0"/>
              <w:divBdr>
                <w:top w:val="none" w:sz="0" w:space="0" w:color="auto"/>
                <w:left w:val="none" w:sz="0" w:space="0" w:color="auto"/>
                <w:bottom w:val="none" w:sz="0" w:space="0" w:color="auto"/>
                <w:right w:val="none" w:sz="0" w:space="0" w:color="auto"/>
              </w:divBdr>
              <w:divsChild>
                <w:div w:id="1017466095">
                  <w:marLeft w:val="0"/>
                  <w:marRight w:val="0"/>
                  <w:marTop w:val="75"/>
                  <w:marBottom w:val="0"/>
                  <w:divBdr>
                    <w:top w:val="none" w:sz="0" w:space="0" w:color="auto"/>
                    <w:left w:val="none" w:sz="0" w:space="0" w:color="auto"/>
                    <w:bottom w:val="none" w:sz="0" w:space="0" w:color="auto"/>
                    <w:right w:val="none" w:sz="0" w:space="0" w:color="auto"/>
                  </w:divBdr>
                  <w:divsChild>
                    <w:div w:id="189716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088768">
              <w:marLeft w:val="0"/>
              <w:marRight w:val="0"/>
              <w:marTop w:val="0"/>
              <w:marBottom w:val="0"/>
              <w:divBdr>
                <w:top w:val="none" w:sz="0" w:space="0" w:color="auto"/>
                <w:left w:val="none" w:sz="0" w:space="0" w:color="auto"/>
                <w:bottom w:val="none" w:sz="0" w:space="0" w:color="auto"/>
                <w:right w:val="none" w:sz="0" w:space="0" w:color="auto"/>
              </w:divBdr>
              <w:divsChild>
                <w:div w:id="1308897061">
                  <w:marLeft w:val="0"/>
                  <w:marRight w:val="0"/>
                  <w:marTop w:val="75"/>
                  <w:marBottom w:val="0"/>
                  <w:divBdr>
                    <w:top w:val="none" w:sz="0" w:space="0" w:color="auto"/>
                    <w:left w:val="none" w:sz="0" w:space="0" w:color="auto"/>
                    <w:bottom w:val="none" w:sz="0" w:space="0" w:color="auto"/>
                    <w:right w:val="none" w:sz="0" w:space="0" w:color="auto"/>
                  </w:divBdr>
                  <w:divsChild>
                    <w:div w:id="88672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997077">
              <w:marLeft w:val="0"/>
              <w:marRight w:val="0"/>
              <w:marTop w:val="0"/>
              <w:marBottom w:val="0"/>
              <w:divBdr>
                <w:top w:val="none" w:sz="0" w:space="0" w:color="auto"/>
                <w:left w:val="none" w:sz="0" w:space="0" w:color="auto"/>
                <w:bottom w:val="none" w:sz="0" w:space="0" w:color="auto"/>
                <w:right w:val="none" w:sz="0" w:space="0" w:color="auto"/>
              </w:divBdr>
              <w:divsChild>
                <w:div w:id="200166279">
                  <w:marLeft w:val="0"/>
                  <w:marRight w:val="0"/>
                  <w:marTop w:val="75"/>
                  <w:marBottom w:val="0"/>
                  <w:divBdr>
                    <w:top w:val="none" w:sz="0" w:space="0" w:color="auto"/>
                    <w:left w:val="none" w:sz="0" w:space="0" w:color="auto"/>
                    <w:bottom w:val="none" w:sz="0" w:space="0" w:color="auto"/>
                    <w:right w:val="none" w:sz="0" w:space="0" w:color="auto"/>
                  </w:divBdr>
                  <w:divsChild>
                    <w:div w:id="45240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262187">
              <w:marLeft w:val="0"/>
              <w:marRight w:val="0"/>
              <w:marTop w:val="0"/>
              <w:marBottom w:val="0"/>
              <w:divBdr>
                <w:top w:val="none" w:sz="0" w:space="0" w:color="auto"/>
                <w:left w:val="none" w:sz="0" w:space="0" w:color="auto"/>
                <w:bottom w:val="none" w:sz="0" w:space="0" w:color="auto"/>
                <w:right w:val="none" w:sz="0" w:space="0" w:color="auto"/>
              </w:divBdr>
              <w:divsChild>
                <w:div w:id="1313682873">
                  <w:marLeft w:val="0"/>
                  <w:marRight w:val="0"/>
                  <w:marTop w:val="75"/>
                  <w:marBottom w:val="0"/>
                  <w:divBdr>
                    <w:top w:val="none" w:sz="0" w:space="0" w:color="auto"/>
                    <w:left w:val="none" w:sz="0" w:space="0" w:color="auto"/>
                    <w:bottom w:val="none" w:sz="0" w:space="0" w:color="auto"/>
                    <w:right w:val="none" w:sz="0" w:space="0" w:color="auto"/>
                  </w:divBdr>
                  <w:divsChild>
                    <w:div w:id="21204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0928">
              <w:marLeft w:val="0"/>
              <w:marRight w:val="0"/>
              <w:marTop w:val="0"/>
              <w:marBottom w:val="0"/>
              <w:divBdr>
                <w:top w:val="none" w:sz="0" w:space="0" w:color="auto"/>
                <w:left w:val="none" w:sz="0" w:space="0" w:color="auto"/>
                <w:bottom w:val="none" w:sz="0" w:space="0" w:color="auto"/>
                <w:right w:val="none" w:sz="0" w:space="0" w:color="auto"/>
              </w:divBdr>
              <w:divsChild>
                <w:div w:id="963730622">
                  <w:marLeft w:val="0"/>
                  <w:marRight w:val="0"/>
                  <w:marTop w:val="75"/>
                  <w:marBottom w:val="0"/>
                  <w:divBdr>
                    <w:top w:val="none" w:sz="0" w:space="0" w:color="auto"/>
                    <w:left w:val="none" w:sz="0" w:space="0" w:color="auto"/>
                    <w:bottom w:val="none" w:sz="0" w:space="0" w:color="auto"/>
                    <w:right w:val="none" w:sz="0" w:space="0" w:color="auto"/>
                  </w:divBdr>
                  <w:divsChild>
                    <w:div w:id="170046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834169">
              <w:marLeft w:val="0"/>
              <w:marRight w:val="0"/>
              <w:marTop w:val="0"/>
              <w:marBottom w:val="0"/>
              <w:divBdr>
                <w:top w:val="none" w:sz="0" w:space="0" w:color="auto"/>
                <w:left w:val="none" w:sz="0" w:space="0" w:color="auto"/>
                <w:bottom w:val="none" w:sz="0" w:space="0" w:color="auto"/>
                <w:right w:val="none" w:sz="0" w:space="0" w:color="auto"/>
              </w:divBdr>
              <w:divsChild>
                <w:div w:id="62140935">
                  <w:marLeft w:val="0"/>
                  <w:marRight w:val="0"/>
                  <w:marTop w:val="75"/>
                  <w:marBottom w:val="0"/>
                  <w:divBdr>
                    <w:top w:val="none" w:sz="0" w:space="0" w:color="auto"/>
                    <w:left w:val="none" w:sz="0" w:space="0" w:color="auto"/>
                    <w:bottom w:val="none" w:sz="0" w:space="0" w:color="auto"/>
                    <w:right w:val="none" w:sz="0" w:space="0" w:color="auto"/>
                  </w:divBdr>
                  <w:divsChild>
                    <w:div w:id="124907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495299">
              <w:marLeft w:val="0"/>
              <w:marRight w:val="0"/>
              <w:marTop w:val="0"/>
              <w:marBottom w:val="0"/>
              <w:divBdr>
                <w:top w:val="none" w:sz="0" w:space="0" w:color="auto"/>
                <w:left w:val="none" w:sz="0" w:space="0" w:color="auto"/>
                <w:bottom w:val="none" w:sz="0" w:space="0" w:color="auto"/>
                <w:right w:val="none" w:sz="0" w:space="0" w:color="auto"/>
              </w:divBdr>
              <w:divsChild>
                <w:div w:id="1303316405">
                  <w:marLeft w:val="0"/>
                  <w:marRight w:val="0"/>
                  <w:marTop w:val="75"/>
                  <w:marBottom w:val="0"/>
                  <w:divBdr>
                    <w:top w:val="none" w:sz="0" w:space="0" w:color="auto"/>
                    <w:left w:val="none" w:sz="0" w:space="0" w:color="auto"/>
                    <w:bottom w:val="none" w:sz="0" w:space="0" w:color="auto"/>
                    <w:right w:val="none" w:sz="0" w:space="0" w:color="auto"/>
                  </w:divBdr>
                  <w:divsChild>
                    <w:div w:id="159701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336829">
              <w:marLeft w:val="0"/>
              <w:marRight w:val="0"/>
              <w:marTop w:val="0"/>
              <w:marBottom w:val="0"/>
              <w:divBdr>
                <w:top w:val="none" w:sz="0" w:space="0" w:color="auto"/>
                <w:left w:val="none" w:sz="0" w:space="0" w:color="auto"/>
                <w:bottom w:val="none" w:sz="0" w:space="0" w:color="auto"/>
                <w:right w:val="none" w:sz="0" w:space="0" w:color="auto"/>
              </w:divBdr>
              <w:divsChild>
                <w:div w:id="1884557893">
                  <w:marLeft w:val="0"/>
                  <w:marRight w:val="0"/>
                  <w:marTop w:val="75"/>
                  <w:marBottom w:val="0"/>
                  <w:divBdr>
                    <w:top w:val="none" w:sz="0" w:space="0" w:color="auto"/>
                    <w:left w:val="none" w:sz="0" w:space="0" w:color="auto"/>
                    <w:bottom w:val="none" w:sz="0" w:space="0" w:color="auto"/>
                    <w:right w:val="none" w:sz="0" w:space="0" w:color="auto"/>
                  </w:divBdr>
                  <w:divsChild>
                    <w:div w:id="72707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491643">
              <w:marLeft w:val="0"/>
              <w:marRight w:val="0"/>
              <w:marTop w:val="0"/>
              <w:marBottom w:val="0"/>
              <w:divBdr>
                <w:top w:val="none" w:sz="0" w:space="0" w:color="auto"/>
                <w:left w:val="none" w:sz="0" w:space="0" w:color="auto"/>
                <w:bottom w:val="none" w:sz="0" w:space="0" w:color="auto"/>
                <w:right w:val="none" w:sz="0" w:space="0" w:color="auto"/>
              </w:divBdr>
              <w:divsChild>
                <w:div w:id="1487935342">
                  <w:marLeft w:val="0"/>
                  <w:marRight w:val="0"/>
                  <w:marTop w:val="75"/>
                  <w:marBottom w:val="0"/>
                  <w:divBdr>
                    <w:top w:val="none" w:sz="0" w:space="0" w:color="auto"/>
                    <w:left w:val="none" w:sz="0" w:space="0" w:color="auto"/>
                    <w:bottom w:val="none" w:sz="0" w:space="0" w:color="auto"/>
                    <w:right w:val="none" w:sz="0" w:space="0" w:color="auto"/>
                  </w:divBdr>
                  <w:divsChild>
                    <w:div w:id="8148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077831">
              <w:marLeft w:val="0"/>
              <w:marRight w:val="0"/>
              <w:marTop w:val="0"/>
              <w:marBottom w:val="0"/>
              <w:divBdr>
                <w:top w:val="none" w:sz="0" w:space="0" w:color="auto"/>
                <w:left w:val="none" w:sz="0" w:space="0" w:color="auto"/>
                <w:bottom w:val="none" w:sz="0" w:space="0" w:color="auto"/>
                <w:right w:val="none" w:sz="0" w:space="0" w:color="auto"/>
              </w:divBdr>
              <w:divsChild>
                <w:div w:id="2142728654">
                  <w:marLeft w:val="0"/>
                  <w:marRight w:val="0"/>
                  <w:marTop w:val="75"/>
                  <w:marBottom w:val="0"/>
                  <w:divBdr>
                    <w:top w:val="none" w:sz="0" w:space="0" w:color="auto"/>
                    <w:left w:val="none" w:sz="0" w:space="0" w:color="auto"/>
                    <w:bottom w:val="none" w:sz="0" w:space="0" w:color="auto"/>
                    <w:right w:val="none" w:sz="0" w:space="0" w:color="auto"/>
                  </w:divBdr>
                  <w:divsChild>
                    <w:div w:id="142596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164288">
              <w:marLeft w:val="0"/>
              <w:marRight w:val="0"/>
              <w:marTop w:val="0"/>
              <w:marBottom w:val="0"/>
              <w:divBdr>
                <w:top w:val="none" w:sz="0" w:space="0" w:color="auto"/>
                <w:left w:val="none" w:sz="0" w:space="0" w:color="auto"/>
                <w:bottom w:val="none" w:sz="0" w:space="0" w:color="auto"/>
                <w:right w:val="none" w:sz="0" w:space="0" w:color="auto"/>
              </w:divBdr>
              <w:divsChild>
                <w:div w:id="445080138">
                  <w:marLeft w:val="0"/>
                  <w:marRight w:val="0"/>
                  <w:marTop w:val="75"/>
                  <w:marBottom w:val="0"/>
                  <w:divBdr>
                    <w:top w:val="none" w:sz="0" w:space="0" w:color="auto"/>
                    <w:left w:val="none" w:sz="0" w:space="0" w:color="auto"/>
                    <w:bottom w:val="none" w:sz="0" w:space="0" w:color="auto"/>
                    <w:right w:val="none" w:sz="0" w:space="0" w:color="auto"/>
                  </w:divBdr>
                  <w:divsChild>
                    <w:div w:id="10134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363477">
              <w:marLeft w:val="0"/>
              <w:marRight w:val="0"/>
              <w:marTop w:val="0"/>
              <w:marBottom w:val="0"/>
              <w:divBdr>
                <w:top w:val="none" w:sz="0" w:space="0" w:color="auto"/>
                <w:left w:val="none" w:sz="0" w:space="0" w:color="auto"/>
                <w:bottom w:val="none" w:sz="0" w:space="0" w:color="auto"/>
                <w:right w:val="none" w:sz="0" w:space="0" w:color="auto"/>
              </w:divBdr>
              <w:divsChild>
                <w:div w:id="1891991191">
                  <w:marLeft w:val="0"/>
                  <w:marRight w:val="0"/>
                  <w:marTop w:val="75"/>
                  <w:marBottom w:val="0"/>
                  <w:divBdr>
                    <w:top w:val="none" w:sz="0" w:space="0" w:color="auto"/>
                    <w:left w:val="none" w:sz="0" w:space="0" w:color="auto"/>
                    <w:bottom w:val="none" w:sz="0" w:space="0" w:color="auto"/>
                    <w:right w:val="none" w:sz="0" w:space="0" w:color="auto"/>
                  </w:divBdr>
                  <w:divsChild>
                    <w:div w:id="44520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73030">
              <w:marLeft w:val="0"/>
              <w:marRight w:val="0"/>
              <w:marTop w:val="0"/>
              <w:marBottom w:val="0"/>
              <w:divBdr>
                <w:top w:val="none" w:sz="0" w:space="0" w:color="auto"/>
                <w:left w:val="none" w:sz="0" w:space="0" w:color="auto"/>
                <w:bottom w:val="none" w:sz="0" w:space="0" w:color="auto"/>
                <w:right w:val="none" w:sz="0" w:space="0" w:color="auto"/>
              </w:divBdr>
              <w:divsChild>
                <w:div w:id="171989212">
                  <w:marLeft w:val="0"/>
                  <w:marRight w:val="0"/>
                  <w:marTop w:val="75"/>
                  <w:marBottom w:val="0"/>
                  <w:divBdr>
                    <w:top w:val="none" w:sz="0" w:space="0" w:color="auto"/>
                    <w:left w:val="none" w:sz="0" w:space="0" w:color="auto"/>
                    <w:bottom w:val="none" w:sz="0" w:space="0" w:color="auto"/>
                    <w:right w:val="none" w:sz="0" w:space="0" w:color="auto"/>
                  </w:divBdr>
                  <w:divsChild>
                    <w:div w:id="172918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822143">
              <w:marLeft w:val="0"/>
              <w:marRight w:val="0"/>
              <w:marTop w:val="0"/>
              <w:marBottom w:val="0"/>
              <w:divBdr>
                <w:top w:val="none" w:sz="0" w:space="0" w:color="auto"/>
                <w:left w:val="none" w:sz="0" w:space="0" w:color="auto"/>
                <w:bottom w:val="none" w:sz="0" w:space="0" w:color="auto"/>
                <w:right w:val="none" w:sz="0" w:space="0" w:color="auto"/>
              </w:divBdr>
              <w:divsChild>
                <w:div w:id="1212038033">
                  <w:marLeft w:val="0"/>
                  <w:marRight w:val="0"/>
                  <w:marTop w:val="75"/>
                  <w:marBottom w:val="0"/>
                  <w:divBdr>
                    <w:top w:val="none" w:sz="0" w:space="0" w:color="auto"/>
                    <w:left w:val="none" w:sz="0" w:space="0" w:color="auto"/>
                    <w:bottom w:val="none" w:sz="0" w:space="0" w:color="auto"/>
                    <w:right w:val="none" w:sz="0" w:space="0" w:color="auto"/>
                  </w:divBdr>
                  <w:divsChild>
                    <w:div w:id="107008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94860">
              <w:marLeft w:val="0"/>
              <w:marRight w:val="0"/>
              <w:marTop w:val="0"/>
              <w:marBottom w:val="0"/>
              <w:divBdr>
                <w:top w:val="none" w:sz="0" w:space="0" w:color="auto"/>
                <w:left w:val="none" w:sz="0" w:space="0" w:color="auto"/>
                <w:bottom w:val="none" w:sz="0" w:space="0" w:color="auto"/>
                <w:right w:val="none" w:sz="0" w:space="0" w:color="auto"/>
              </w:divBdr>
              <w:divsChild>
                <w:div w:id="338654322">
                  <w:marLeft w:val="0"/>
                  <w:marRight w:val="0"/>
                  <w:marTop w:val="75"/>
                  <w:marBottom w:val="0"/>
                  <w:divBdr>
                    <w:top w:val="none" w:sz="0" w:space="0" w:color="auto"/>
                    <w:left w:val="none" w:sz="0" w:space="0" w:color="auto"/>
                    <w:bottom w:val="none" w:sz="0" w:space="0" w:color="auto"/>
                    <w:right w:val="none" w:sz="0" w:space="0" w:color="auto"/>
                  </w:divBdr>
                  <w:divsChild>
                    <w:div w:id="41714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183438">
              <w:marLeft w:val="0"/>
              <w:marRight w:val="0"/>
              <w:marTop w:val="0"/>
              <w:marBottom w:val="0"/>
              <w:divBdr>
                <w:top w:val="none" w:sz="0" w:space="0" w:color="auto"/>
                <w:left w:val="none" w:sz="0" w:space="0" w:color="auto"/>
                <w:bottom w:val="none" w:sz="0" w:space="0" w:color="auto"/>
                <w:right w:val="none" w:sz="0" w:space="0" w:color="auto"/>
              </w:divBdr>
              <w:divsChild>
                <w:div w:id="374080768">
                  <w:marLeft w:val="0"/>
                  <w:marRight w:val="0"/>
                  <w:marTop w:val="75"/>
                  <w:marBottom w:val="0"/>
                  <w:divBdr>
                    <w:top w:val="none" w:sz="0" w:space="0" w:color="auto"/>
                    <w:left w:val="none" w:sz="0" w:space="0" w:color="auto"/>
                    <w:bottom w:val="none" w:sz="0" w:space="0" w:color="auto"/>
                    <w:right w:val="none" w:sz="0" w:space="0" w:color="auto"/>
                  </w:divBdr>
                  <w:divsChild>
                    <w:div w:id="164142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370361">
              <w:marLeft w:val="0"/>
              <w:marRight w:val="0"/>
              <w:marTop w:val="0"/>
              <w:marBottom w:val="0"/>
              <w:divBdr>
                <w:top w:val="none" w:sz="0" w:space="0" w:color="auto"/>
                <w:left w:val="none" w:sz="0" w:space="0" w:color="auto"/>
                <w:bottom w:val="none" w:sz="0" w:space="0" w:color="auto"/>
                <w:right w:val="none" w:sz="0" w:space="0" w:color="auto"/>
              </w:divBdr>
              <w:divsChild>
                <w:div w:id="1800999195">
                  <w:marLeft w:val="0"/>
                  <w:marRight w:val="0"/>
                  <w:marTop w:val="75"/>
                  <w:marBottom w:val="0"/>
                  <w:divBdr>
                    <w:top w:val="none" w:sz="0" w:space="0" w:color="auto"/>
                    <w:left w:val="none" w:sz="0" w:space="0" w:color="auto"/>
                    <w:bottom w:val="none" w:sz="0" w:space="0" w:color="auto"/>
                    <w:right w:val="none" w:sz="0" w:space="0" w:color="auto"/>
                  </w:divBdr>
                  <w:divsChild>
                    <w:div w:id="38097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615323">
              <w:marLeft w:val="0"/>
              <w:marRight w:val="0"/>
              <w:marTop w:val="0"/>
              <w:marBottom w:val="0"/>
              <w:divBdr>
                <w:top w:val="none" w:sz="0" w:space="0" w:color="auto"/>
                <w:left w:val="none" w:sz="0" w:space="0" w:color="auto"/>
                <w:bottom w:val="none" w:sz="0" w:space="0" w:color="auto"/>
                <w:right w:val="none" w:sz="0" w:space="0" w:color="auto"/>
              </w:divBdr>
              <w:divsChild>
                <w:div w:id="1254319158">
                  <w:marLeft w:val="0"/>
                  <w:marRight w:val="0"/>
                  <w:marTop w:val="75"/>
                  <w:marBottom w:val="0"/>
                  <w:divBdr>
                    <w:top w:val="none" w:sz="0" w:space="0" w:color="auto"/>
                    <w:left w:val="none" w:sz="0" w:space="0" w:color="auto"/>
                    <w:bottom w:val="none" w:sz="0" w:space="0" w:color="auto"/>
                    <w:right w:val="none" w:sz="0" w:space="0" w:color="auto"/>
                  </w:divBdr>
                  <w:divsChild>
                    <w:div w:id="111301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120605">
              <w:marLeft w:val="0"/>
              <w:marRight w:val="0"/>
              <w:marTop w:val="0"/>
              <w:marBottom w:val="0"/>
              <w:divBdr>
                <w:top w:val="none" w:sz="0" w:space="0" w:color="auto"/>
                <w:left w:val="none" w:sz="0" w:space="0" w:color="auto"/>
                <w:bottom w:val="none" w:sz="0" w:space="0" w:color="auto"/>
                <w:right w:val="none" w:sz="0" w:space="0" w:color="auto"/>
              </w:divBdr>
              <w:divsChild>
                <w:div w:id="56898098">
                  <w:marLeft w:val="0"/>
                  <w:marRight w:val="0"/>
                  <w:marTop w:val="75"/>
                  <w:marBottom w:val="0"/>
                  <w:divBdr>
                    <w:top w:val="none" w:sz="0" w:space="0" w:color="auto"/>
                    <w:left w:val="none" w:sz="0" w:space="0" w:color="auto"/>
                    <w:bottom w:val="none" w:sz="0" w:space="0" w:color="auto"/>
                    <w:right w:val="none" w:sz="0" w:space="0" w:color="auto"/>
                  </w:divBdr>
                  <w:divsChild>
                    <w:div w:id="165008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339796">
              <w:marLeft w:val="0"/>
              <w:marRight w:val="0"/>
              <w:marTop w:val="0"/>
              <w:marBottom w:val="0"/>
              <w:divBdr>
                <w:top w:val="none" w:sz="0" w:space="0" w:color="auto"/>
                <w:left w:val="none" w:sz="0" w:space="0" w:color="auto"/>
                <w:bottom w:val="none" w:sz="0" w:space="0" w:color="auto"/>
                <w:right w:val="none" w:sz="0" w:space="0" w:color="auto"/>
              </w:divBdr>
              <w:divsChild>
                <w:div w:id="895161117">
                  <w:marLeft w:val="0"/>
                  <w:marRight w:val="0"/>
                  <w:marTop w:val="75"/>
                  <w:marBottom w:val="0"/>
                  <w:divBdr>
                    <w:top w:val="none" w:sz="0" w:space="0" w:color="auto"/>
                    <w:left w:val="none" w:sz="0" w:space="0" w:color="auto"/>
                    <w:bottom w:val="none" w:sz="0" w:space="0" w:color="auto"/>
                    <w:right w:val="none" w:sz="0" w:space="0" w:color="auto"/>
                  </w:divBdr>
                  <w:divsChild>
                    <w:div w:id="19761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18494">
              <w:marLeft w:val="0"/>
              <w:marRight w:val="0"/>
              <w:marTop w:val="0"/>
              <w:marBottom w:val="0"/>
              <w:divBdr>
                <w:top w:val="none" w:sz="0" w:space="0" w:color="auto"/>
                <w:left w:val="none" w:sz="0" w:space="0" w:color="auto"/>
                <w:bottom w:val="none" w:sz="0" w:space="0" w:color="auto"/>
                <w:right w:val="none" w:sz="0" w:space="0" w:color="auto"/>
              </w:divBdr>
              <w:divsChild>
                <w:div w:id="396249025">
                  <w:marLeft w:val="0"/>
                  <w:marRight w:val="0"/>
                  <w:marTop w:val="75"/>
                  <w:marBottom w:val="0"/>
                  <w:divBdr>
                    <w:top w:val="none" w:sz="0" w:space="0" w:color="auto"/>
                    <w:left w:val="none" w:sz="0" w:space="0" w:color="auto"/>
                    <w:bottom w:val="none" w:sz="0" w:space="0" w:color="auto"/>
                    <w:right w:val="none" w:sz="0" w:space="0" w:color="auto"/>
                  </w:divBdr>
                  <w:divsChild>
                    <w:div w:id="208695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42208">
              <w:marLeft w:val="0"/>
              <w:marRight w:val="0"/>
              <w:marTop w:val="0"/>
              <w:marBottom w:val="0"/>
              <w:divBdr>
                <w:top w:val="none" w:sz="0" w:space="0" w:color="auto"/>
                <w:left w:val="none" w:sz="0" w:space="0" w:color="auto"/>
                <w:bottom w:val="none" w:sz="0" w:space="0" w:color="auto"/>
                <w:right w:val="none" w:sz="0" w:space="0" w:color="auto"/>
              </w:divBdr>
              <w:divsChild>
                <w:div w:id="1414812748">
                  <w:marLeft w:val="0"/>
                  <w:marRight w:val="0"/>
                  <w:marTop w:val="75"/>
                  <w:marBottom w:val="0"/>
                  <w:divBdr>
                    <w:top w:val="none" w:sz="0" w:space="0" w:color="auto"/>
                    <w:left w:val="none" w:sz="0" w:space="0" w:color="auto"/>
                    <w:bottom w:val="none" w:sz="0" w:space="0" w:color="auto"/>
                    <w:right w:val="none" w:sz="0" w:space="0" w:color="auto"/>
                  </w:divBdr>
                  <w:divsChild>
                    <w:div w:id="14124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573694">
              <w:marLeft w:val="0"/>
              <w:marRight w:val="0"/>
              <w:marTop w:val="0"/>
              <w:marBottom w:val="0"/>
              <w:divBdr>
                <w:top w:val="none" w:sz="0" w:space="0" w:color="auto"/>
                <w:left w:val="none" w:sz="0" w:space="0" w:color="auto"/>
                <w:bottom w:val="none" w:sz="0" w:space="0" w:color="auto"/>
                <w:right w:val="none" w:sz="0" w:space="0" w:color="auto"/>
              </w:divBdr>
              <w:divsChild>
                <w:div w:id="1473207993">
                  <w:marLeft w:val="0"/>
                  <w:marRight w:val="0"/>
                  <w:marTop w:val="75"/>
                  <w:marBottom w:val="0"/>
                  <w:divBdr>
                    <w:top w:val="none" w:sz="0" w:space="0" w:color="auto"/>
                    <w:left w:val="none" w:sz="0" w:space="0" w:color="auto"/>
                    <w:bottom w:val="none" w:sz="0" w:space="0" w:color="auto"/>
                    <w:right w:val="none" w:sz="0" w:space="0" w:color="auto"/>
                  </w:divBdr>
                  <w:divsChild>
                    <w:div w:id="1824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301622">
              <w:marLeft w:val="0"/>
              <w:marRight w:val="0"/>
              <w:marTop w:val="0"/>
              <w:marBottom w:val="0"/>
              <w:divBdr>
                <w:top w:val="none" w:sz="0" w:space="0" w:color="auto"/>
                <w:left w:val="none" w:sz="0" w:space="0" w:color="auto"/>
                <w:bottom w:val="none" w:sz="0" w:space="0" w:color="auto"/>
                <w:right w:val="none" w:sz="0" w:space="0" w:color="auto"/>
              </w:divBdr>
              <w:divsChild>
                <w:div w:id="1868129959">
                  <w:marLeft w:val="0"/>
                  <w:marRight w:val="0"/>
                  <w:marTop w:val="75"/>
                  <w:marBottom w:val="0"/>
                  <w:divBdr>
                    <w:top w:val="none" w:sz="0" w:space="0" w:color="auto"/>
                    <w:left w:val="none" w:sz="0" w:space="0" w:color="auto"/>
                    <w:bottom w:val="none" w:sz="0" w:space="0" w:color="auto"/>
                    <w:right w:val="none" w:sz="0" w:space="0" w:color="auto"/>
                  </w:divBdr>
                  <w:divsChild>
                    <w:div w:id="97375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380942">
              <w:marLeft w:val="0"/>
              <w:marRight w:val="0"/>
              <w:marTop w:val="0"/>
              <w:marBottom w:val="0"/>
              <w:divBdr>
                <w:top w:val="none" w:sz="0" w:space="0" w:color="auto"/>
                <w:left w:val="none" w:sz="0" w:space="0" w:color="auto"/>
                <w:bottom w:val="none" w:sz="0" w:space="0" w:color="auto"/>
                <w:right w:val="none" w:sz="0" w:space="0" w:color="auto"/>
              </w:divBdr>
              <w:divsChild>
                <w:div w:id="1068041978">
                  <w:marLeft w:val="0"/>
                  <w:marRight w:val="0"/>
                  <w:marTop w:val="75"/>
                  <w:marBottom w:val="0"/>
                  <w:divBdr>
                    <w:top w:val="none" w:sz="0" w:space="0" w:color="auto"/>
                    <w:left w:val="none" w:sz="0" w:space="0" w:color="auto"/>
                    <w:bottom w:val="none" w:sz="0" w:space="0" w:color="auto"/>
                    <w:right w:val="none" w:sz="0" w:space="0" w:color="auto"/>
                  </w:divBdr>
                  <w:divsChild>
                    <w:div w:id="42881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732237">
              <w:marLeft w:val="0"/>
              <w:marRight w:val="0"/>
              <w:marTop w:val="0"/>
              <w:marBottom w:val="0"/>
              <w:divBdr>
                <w:top w:val="none" w:sz="0" w:space="0" w:color="auto"/>
                <w:left w:val="none" w:sz="0" w:space="0" w:color="auto"/>
                <w:bottom w:val="none" w:sz="0" w:space="0" w:color="auto"/>
                <w:right w:val="none" w:sz="0" w:space="0" w:color="auto"/>
              </w:divBdr>
              <w:divsChild>
                <w:div w:id="477067910">
                  <w:marLeft w:val="0"/>
                  <w:marRight w:val="0"/>
                  <w:marTop w:val="75"/>
                  <w:marBottom w:val="0"/>
                  <w:divBdr>
                    <w:top w:val="none" w:sz="0" w:space="0" w:color="auto"/>
                    <w:left w:val="none" w:sz="0" w:space="0" w:color="auto"/>
                    <w:bottom w:val="none" w:sz="0" w:space="0" w:color="auto"/>
                    <w:right w:val="none" w:sz="0" w:space="0" w:color="auto"/>
                  </w:divBdr>
                  <w:divsChild>
                    <w:div w:id="137824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080584">
              <w:marLeft w:val="0"/>
              <w:marRight w:val="0"/>
              <w:marTop w:val="0"/>
              <w:marBottom w:val="0"/>
              <w:divBdr>
                <w:top w:val="none" w:sz="0" w:space="0" w:color="auto"/>
                <w:left w:val="none" w:sz="0" w:space="0" w:color="auto"/>
                <w:bottom w:val="none" w:sz="0" w:space="0" w:color="auto"/>
                <w:right w:val="none" w:sz="0" w:space="0" w:color="auto"/>
              </w:divBdr>
              <w:divsChild>
                <w:div w:id="236474309">
                  <w:marLeft w:val="0"/>
                  <w:marRight w:val="0"/>
                  <w:marTop w:val="75"/>
                  <w:marBottom w:val="0"/>
                  <w:divBdr>
                    <w:top w:val="none" w:sz="0" w:space="0" w:color="auto"/>
                    <w:left w:val="none" w:sz="0" w:space="0" w:color="auto"/>
                    <w:bottom w:val="none" w:sz="0" w:space="0" w:color="auto"/>
                    <w:right w:val="none" w:sz="0" w:space="0" w:color="auto"/>
                  </w:divBdr>
                  <w:divsChild>
                    <w:div w:id="100224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252067">
              <w:marLeft w:val="0"/>
              <w:marRight w:val="0"/>
              <w:marTop w:val="0"/>
              <w:marBottom w:val="0"/>
              <w:divBdr>
                <w:top w:val="none" w:sz="0" w:space="0" w:color="auto"/>
                <w:left w:val="none" w:sz="0" w:space="0" w:color="auto"/>
                <w:bottom w:val="none" w:sz="0" w:space="0" w:color="auto"/>
                <w:right w:val="none" w:sz="0" w:space="0" w:color="auto"/>
              </w:divBdr>
              <w:divsChild>
                <w:div w:id="963727887">
                  <w:marLeft w:val="0"/>
                  <w:marRight w:val="0"/>
                  <w:marTop w:val="75"/>
                  <w:marBottom w:val="0"/>
                  <w:divBdr>
                    <w:top w:val="none" w:sz="0" w:space="0" w:color="auto"/>
                    <w:left w:val="none" w:sz="0" w:space="0" w:color="auto"/>
                    <w:bottom w:val="none" w:sz="0" w:space="0" w:color="auto"/>
                    <w:right w:val="none" w:sz="0" w:space="0" w:color="auto"/>
                  </w:divBdr>
                  <w:divsChild>
                    <w:div w:id="189014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98098">
              <w:marLeft w:val="0"/>
              <w:marRight w:val="0"/>
              <w:marTop w:val="0"/>
              <w:marBottom w:val="0"/>
              <w:divBdr>
                <w:top w:val="none" w:sz="0" w:space="0" w:color="auto"/>
                <w:left w:val="none" w:sz="0" w:space="0" w:color="auto"/>
                <w:bottom w:val="none" w:sz="0" w:space="0" w:color="auto"/>
                <w:right w:val="none" w:sz="0" w:space="0" w:color="auto"/>
              </w:divBdr>
              <w:divsChild>
                <w:div w:id="136146718">
                  <w:marLeft w:val="0"/>
                  <w:marRight w:val="0"/>
                  <w:marTop w:val="75"/>
                  <w:marBottom w:val="0"/>
                  <w:divBdr>
                    <w:top w:val="none" w:sz="0" w:space="0" w:color="auto"/>
                    <w:left w:val="none" w:sz="0" w:space="0" w:color="auto"/>
                    <w:bottom w:val="none" w:sz="0" w:space="0" w:color="auto"/>
                    <w:right w:val="none" w:sz="0" w:space="0" w:color="auto"/>
                  </w:divBdr>
                  <w:divsChild>
                    <w:div w:id="118640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13709">
              <w:marLeft w:val="0"/>
              <w:marRight w:val="0"/>
              <w:marTop w:val="0"/>
              <w:marBottom w:val="0"/>
              <w:divBdr>
                <w:top w:val="none" w:sz="0" w:space="0" w:color="auto"/>
                <w:left w:val="none" w:sz="0" w:space="0" w:color="auto"/>
                <w:bottom w:val="none" w:sz="0" w:space="0" w:color="auto"/>
                <w:right w:val="none" w:sz="0" w:space="0" w:color="auto"/>
              </w:divBdr>
              <w:divsChild>
                <w:div w:id="1747607192">
                  <w:marLeft w:val="0"/>
                  <w:marRight w:val="0"/>
                  <w:marTop w:val="75"/>
                  <w:marBottom w:val="0"/>
                  <w:divBdr>
                    <w:top w:val="none" w:sz="0" w:space="0" w:color="auto"/>
                    <w:left w:val="none" w:sz="0" w:space="0" w:color="auto"/>
                    <w:bottom w:val="none" w:sz="0" w:space="0" w:color="auto"/>
                    <w:right w:val="none" w:sz="0" w:space="0" w:color="auto"/>
                  </w:divBdr>
                  <w:divsChild>
                    <w:div w:id="563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36081">
              <w:marLeft w:val="0"/>
              <w:marRight w:val="0"/>
              <w:marTop w:val="0"/>
              <w:marBottom w:val="0"/>
              <w:divBdr>
                <w:top w:val="none" w:sz="0" w:space="0" w:color="auto"/>
                <w:left w:val="none" w:sz="0" w:space="0" w:color="auto"/>
                <w:bottom w:val="none" w:sz="0" w:space="0" w:color="auto"/>
                <w:right w:val="none" w:sz="0" w:space="0" w:color="auto"/>
              </w:divBdr>
              <w:divsChild>
                <w:div w:id="1764301786">
                  <w:marLeft w:val="0"/>
                  <w:marRight w:val="0"/>
                  <w:marTop w:val="75"/>
                  <w:marBottom w:val="0"/>
                  <w:divBdr>
                    <w:top w:val="none" w:sz="0" w:space="0" w:color="auto"/>
                    <w:left w:val="none" w:sz="0" w:space="0" w:color="auto"/>
                    <w:bottom w:val="none" w:sz="0" w:space="0" w:color="auto"/>
                    <w:right w:val="none" w:sz="0" w:space="0" w:color="auto"/>
                  </w:divBdr>
                  <w:divsChild>
                    <w:div w:id="102173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508869">
              <w:marLeft w:val="0"/>
              <w:marRight w:val="0"/>
              <w:marTop w:val="0"/>
              <w:marBottom w:val="0"/>
              <w:divBdr>
                <w:top w:val="none" w:sz="0" w:space="0" w:color="auto"/>
                <w:left w:val="none" w:sz="0" w:space="0" w:color="auto"/>
                <w:bottom w:val="none" w:sz="0" w:space="0" w:color="auto"/>
                <w:right w:val="none" w:sz="0" w:space="0" w:color="auto"/>
              </w:divBdr>
              <w:divsChild>
                <w:div w:id="1605379047">
                  <w:marLeft w:val="0"/>
                  <w:marRight w:val="0"/>
                  <w:marTop w:val="75"/>
                  <w:marBottom w:val="0"/>
                  <w:divBdr>
                    <w:top w:val="none" w:sz="0" w:space="0" w:color="auto"/>
                    <w:left w:val="none" w:sz="0" w:space="0" w:color="auto"/>
                    <w:bottom w:val="none" w:sz="0" w:space="0" w:color="auto"/>
                    <w:right w:val="none" w:sz="0" w:space="0" w:color="auto"/>
                  </w:divBdr>
                  <w:divsChild>
                    <w:div w:id="135823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397245">
              <w:marLeft w:val="0"/>
              <w:marRight w:val="0"/>
              <w:marTop w:val="0"/>
              <w:marBottom w:val="0"/>
              <w:divBdr>
                <w:top w:val="none" w:sz="0" w:space="0" w:color="auto"/>
                <w:left w:val="none" w:sz="0" w:space="0" w:color="auto"/>
                <w:bottom w:val="none" w:sz="0" w:space="0" w:color="auto"/>
                <w:right w:val="none" w:sz="0" w:space="0" w:color="auto"/>
              </w:divBdr>
              <w:divsChild>
                <w:div w:id="1999529954">
                  <w:marLeft w:val="0"/>
                  <w:marRight w:val="0"/>
                  <w:marTop w:val="75"/>
                  <w:marBottom w:val="0"/>
                  <w:divBdr>
                    <w:top w:val="none" w:sz="0" w:space="0" w:color="auto"/>
                    <w:left w:val="none" w:sz="0" w:space="0" w:color="auto"/>
                    <w:bottom w:val="none" w:sz="0" w:space="0" w:color="auto"/>
                    <w:right w:val="none" w:sz="0" w:space="0" w:color="auto"/>
                  </w:divBdr>
                  <w:divsChild>
                    <w:div w:id="190822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21/bi952264h" TargetMode="External"/><Relationship Id="rId13" Type="http://schemas.openxmlformats.org/officeDocument/2006/relationships/image" Target="media/image4.gi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image" Target="media/image6.gif"/><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EABACA76-8F60-4BAB-A5C6-4FF550D290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DCD585-894F-48E6-BBA4-4E9EB052855A}">
  <ds:schemaRefs>
    <ds:schemaRef ds:uri="http://schemas.microsoft.com/sharepoint/v3/contenttype/forms"/>
  </ds:schemaRefs>
</ds:datastoreItem>
</file>

<file path=customXml/itemProps3.xml><?xml version="1.0" encoding="utf-8"?>
<ds:datastoreItem xmlns:ds="http://schemas.openxmlformats.org/officeDocument/2006/customXml" ds:itemID="{A632078A-FDE9-48AE-AE26-C1605876D9A7}">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11</Pages>
  <Words>3520</Words>
  <Characters>20064</Characters>
  <Application>Microsoft Office Word</Application>
  <DocSecurity>8</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32</cp:revision>
  <dcterms:created xsi:type="dcterms:W3CDTF">2022-09-07T16:18:00Z</dcterms:created>
  <dcterms:modified xsi:type="dcterms:W3CDTF">2022-10-07T14:25:00Z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