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48A2A25D" w:rsidR="00A765A5" w:rsidRPr="00A765A5" w:rsidRDefault="00BD477A"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Biomedical </w:t>
      </w:r>
      <w:r w:rsidR="001777F2">
        <w:rPr>
          <w:rFonts w:ascii="Calibri" w:eastAsia="MS Mincho" w:hAnsi="Calibri" w:cs="Calibri"/>
          <w:b/>
          <w:bCs/>
          <w:i/>
          <w:iCs/>
          <w:sz w:val="32"/>
          <w:szCs w:val="32"/>
        </w:rPr>
        <w:t xml:space="preserve">Sciences </w:t>
      </w:r>
      <w:r w:rsidR="00A765A5" w:rsidRPr="00A765A5">
        <w:rPr>
          <w:rFonts w:ascii="Calibri" w:eastAsia="MS Mincho" w:hAnsi="Calibri" w:cs="Calibri"/>
          <w:b/>
          <w:bCs/>
          <w:i/>
          <w:iCs/>
          <w:sz w:val="32"/>
          <w:szCs w:val="32"/>
        </w:rPr>
        <w:t xml:space="preserve">Faculty Research and Publications/College of </w:t>
      </w:r>
      <w:r w:rsidR="001777F2">
        <w:rPr>
          <w:rFonts w:ascii="Calibri" w:eastAsia="MS Mincho" w:hAnsi="Calibri" w:cs="Calibri"/>
          <w:b/>
          <w:bCs/>
          <w:i/>
          <w:iCs/>
          <w:sz w:val="32"/>
          <w:szCs w:val="32"/>
        </w:rPr>
        <w:t>Health Sciences</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7C1E8F1A" w:rsidR="00A765A5" w:rsidRPr="00A765A5" w:rsidRDefault="00A765A5" w:rsidP="00A765A5">
      <w:pPr>
        <w:rPr>
          <w:rFonts w:ascii="Calibri" w:eastAsia="MS Mincho" w:hAnsi="Calibri" w:cs="Calibri"/>
          <w:b/>
          <w:bCs/>
          <w:sz w:val="24"/>
          <w:szCs w:val="24"/>
        </w:rPr>
      </w:pPr>
      <w:r w:rsidRPr="00A765A5">
        <w:rPr>
          <w:rFonts w:ascii="Calibri" w:eastAsia="MS Mincho" w:hAnsi="Calibri" w:cs="Calibri"/>
          <w:i/>
          <w:sz w:val="24"/>
          <w:szCs w:val="24"/>
          <w:lang w:val="fr-FR"/>
        </w:rPr>
        <w:t>Journal</w:t>
      </w:r>
      <w:r w:rsidR="00EE4E22">
        <w:rPr>
          <w:rFonts w:ascii="Calibri" w:eastAsia="MS Mincho" w:hAnsi="Calibri" w:cs="Calibri"/>
          <w:i/>
          <w:sz w:val="24"/>
          <w:szCs w:val="24"/>
          <w:lang w:val="fr-FR"/>
        </w:rPr>
        <w:t xml:space="preserve"> of </w:t>
      </w:r>
      <w:proofErr w:type="spellStart"/>
      <w:r w:rsidR="00EE4E22">
        <w:rPr>
          <w:rFonts w:ascii="Calibri" w:eastAsia="MS Mincho" w:hAnsi="Calibri" w:cs="Calibri"/>
          <w:i/>
          <w:sz w:val="24"/>
          <w:szCs w:val="24"/>
          <w:lang w:val="fr-FR"/>
        </w:rPr>
        <w:t>Biological</w:t>
      </w:r>
      <w:proofErr w:type="spellEnd"/>
      <w:r w:rsidR="00EE4E22">
        <w:rPr>
          <w:rFonts w:ascii="Calibri" w:eastAsia="MS Mincho" w:hAnsi="Calibri" w:cs="Calibri"/>
          <w:i/>
          <w:sz w:val="24"/>
          <w:szCs w:val="24"/>
          <w:lang w:val="fr-FR"/>
        </w:rPr>
        <w:t xml:space="preserve"> </w:t>
      </w:r>
      <w:r w:rsidR="00A91B8A">
        <w:rPr>
          <w:rFonts w:ascii="Calibri" w:eastAsia="MS Mincho" w:hAnsi="Calibri" w:cs="Calibri"/>
          <w:i/>
          <w:sz w:val="24"/>
          <w:szCs w:val="24"/>
          <w:lang w:val="fr-FR"/>
        </w:rPr>
        <w:t>Chemistry</w:t>
      </w:r>
      <w:r w:rsidRPr="00A765A5">
        <w:rPr>
          <w:rFonts w:ascii="Calibri" w:eastAsia="MS Mincho" w:hAnsi="Calibri" w:cs="Calibri"/>
          <w:sz w:val="24"/>
          <w:szCs w:val="24"/>
          <w:lang w:val="fr-FR"/>
        </w:rPr>
        <w:t xml:space="preserve">, Vol. </w:t>
      </w:r>
      <w:r w:rsidR="00A91B8A">
        <w:rPr>
          <w:rFonts w:ascii="Calibri" w:eastAsia="MS Mincho" w:hAnsi="Calibri" w:cs="Calibri"/>
          <w:sz w:val="24"/>
          <w:szCs w:val="24"/>
          <w:lang w:val="fr-FR"/>
        </w:rPr>
        <w:t>271</w:t>
      </w:r>
      <w:r w:rsidRPr="00A765A5">
        <w:rPr>
          <w:rFonts w:ascii="Calibri" w:eastAsia="MS Mincho" w:hAnsi="Calibri" w:cs="Calibri"/>
          <w:sz w:val="24"/>
          <w:szCs w:val="24"/>
          <w:lang w:val="fr-FR"/>
        </w:rPr>
        <w:t xml:space="preserve">, No. </w:t>
      </w:r>
      <w:r w:rsidR="00A91B8A">
        <w:rPr>
          <w:rFonts w:ascii="Calibri" w:eastAsia="MS Mincho" w:hAnsi="Calibri" w:cs="Calibri"/>
          <w:sz w:val="24"/>
          <w:szCs w:val="24"/>
          <w:lang w:val="fr-FR"/>
        </w:rPr>
        <w:t>38</w:t>
      </w:r>
      <w:r w:rsidRPr="00A765A5">
        <w:rPr>
          <w:rFonts w:ascii="Calibri" w:eastAsia="MS Mincho" w:hAnsi="Calibri" w:cs="Calibri"/>
          <w:sz w:val="24"/>
          <w:szCs w:val="24"/>
          <w:lang w:val="fr-FR"/>
        </w:rPr>
        <w:t xml:space="preserve"> (</w:t>
      </w:r>
      <w:proofErr w:type="spellStart"/>
      <w:r w:rsidR="00A91B8A">
        <w:rPr>
          <w:rFonts w:ascii="Calibri" w:eastAsia="MS Mincho" w:hAnsi="Calibri" w:cs="Calibri"/>
          <w:sz w:val="24"/>
          <w:szCs w:val="24"/>
          <w:lang w:val="fr-FR"/>
        </w:rPr>
        <w:t>September</w:t>
      </w:r>
      <w:proofErr w:type="spellEnd"/>
      <w:r w:rsidR="00A91B8A">
        <w:rPr>
          <w:rFonts w:ascii="Calibri" w:eastAsia="MS Mincho" w:hAnsi="Calibri" w:cs="Calibri"/>
          <w:sz w:val="24"/>
          <w:szCs w:val="24"/>
          <w:lang w:val="fr-FR"/>
        </w:rPr>
        <w:t xml:space="preserve"> 1996</w:t>
      </w:r>
      <w:proofErr w:type="gramStart"/>
      <w:r w:rsidRPr="00A765A5">
        <w:rPr>
          <w:rFonts w:ascii="Calibri" w:eastAsia="MS Mincho" w:hAnsi="Calibri" w:cs="Calibri"/>
          <w:sz w:val="24"/>
          <w:szCs w:val="24"/>
          <w:lang w:val="fr-FR"/>
        </w:rPr>
        <w:t>):</w:t>
      </w:r>
      <w:proofErr w:type="gramEnd"/>
      <w:r w:rsidRPr="00A765A5">
        <w:rPr>
          <w:rFonts w:ascii="Calibri" w:eastAsia="MS Mincho" w:hAnsi="Calibri" w:cs="Calibri"/>
          <w:sz w:val="24"/>
          <w:szCs w:val="24"/>
          <w:lang w:val="fr-FR"/>
        </w:rPr>
        <w:t xml:space="preserve"> </w:t>
      </w:r>
      <w:r w:rsidR="00A91B8A">
        <w:rPr>
          <w:rFonts w:ascii="Calibri" w:eastAsia="MS Mincho" w:hAnsi="Calibri" w:cs="Calibri"/>
          <w:sz w:val="24"/>
          <w:szCs w:val="24"/>
          <w:lang w:val="fr-FR"/>
        </w:rPr>
        <w:t>23121-23125</w:t>
      </w:r>
      <w:r w:rsidRPr="00A765A5">
        <w:rPr>
          <w:rFonts w:ascii="Calibri" w:eastAsia="MS Mincho" w:hAnsi="Calibri" w:cs="Calibri"/>
          <w:sz w:val="24"/>
          <w:szCs w:val="24"/>
          <w:lang w:val="fr-FR"/>
        </w:rPr>
        <w:t xml:space="preserve">. </w:t>
      </w:r>
      <w:hyperlink r:id="rId8" w:history="1">
        <w:r w:rsidRPr="00A765A5">
          <w:rPr>
            <w:rFonts w:ascii="Calibri" w:eastAsia="MS Mincho" w:hAnsi="Calibri" w:cs="Calibri"/>
            <w:color w:val="0563C1"/>
            <w:sz w:val="24"/>
            <w:szCs w:val="24"/>
            <w:u w:val="single"/>
            <w:lang w:val="fr-FR"/>
          </w:rPr>
          <w:t>DOI</w:t>
        </w:r>
      </w:hyperlink>
      <w:r w:rsidRPr="00A765A5">
        <w:rPr>
          <w:rFonts w:ascii="Calibri" w:eastAsia="MS Mincho" w:hAnsi="Calibri" w:cs="Calibri"/>
          <w:sz w:val="24"/>
          <w:szCs w:val="24"/>
          <w:lang w:val="fr-FR"/>
        </w:rPr>
        <w:t xml:space="preserve">. </w:t>
      </w:r>
      <w:r w:rsidRPr="00A765A5">
        <w:rPr>
          <w:rFonts w:ascii="Calibri" w:eastAsia="MS Mincho" w:hAnsi="Calibri" w:cs="Calibri"/>
          <w:sz w:val="24"/>
          <w:szCs w:val="24"/>
        </w:rPr>
        <w:t xml:space="preserve">This article is © </w:t>
      </w:r>
      <w:r w:rsidR="00EB4F39">
        <w:rPr>
          <w:rFonts w:ascii="Calibri" w:eastAsia="MS Mincho" w:hAnsi="Calibri" w:cs="Calibri"/>
          <w:sz w:val="24"/>
          <w:szCs w:val="24"/>
        </w:rPr>
        <w:t>American Society for Biochemistry and Molecular Biology</w:t>
      </w:r>
      <w:r w:rsidRPr="00A765A5">
        <w:rPr>
          <w:rFonts w:ascii="Calibri" w:eastAsia="MS Mincho" w:hAnsi="Calibri" w:cs="Calibri"/>
          <w:sz w:val="24"/>
          <w:szCs w:val="24"/>
        </w:rPr>
        <w:t xml:space="preserve"> and permission has been granted for this version to appear in </w:t>
      </w:r>
      <w:hyperlink r:id="rId9" w:history="1">
        <w:r w:rsidRPr="00A765A5">
          <w:rPr>
            <w:rFonts w:ascii="Calibri" w:eastAsia="MS Mincho" w:hAnsi="Calibri" w:cs="Calibri"/>
            <w:color w:val="0563C1"/>
            <w:sz w:val="24"/>
            <w:szCs w:val="24"/>
            <w:u w:val="single"/>
          </w:rPr>
          <w:t>e-Publications@Marquette</w:t>
        </w:r>
      </w:hyperlink>
      <w:r w:rsidRPr="00A765A5">
        <w:rPr>
          <w:rFonts w:ascii="Calibri" w:eastAsia="MS Mincho" w:hAnsi="Calibri" w:cs="Calibri"/>
          <w:sz w:val="24"/>
          <w:szCs w:val="24"/>
        </w:rPr>
        <w:t xml:space="preserve">. </w:t>
      </w:r>
      <w:r w:rsidR="00EB4F39">
        <w:rPr>
          <w:rFonts w:ascii="Calibri" w:eastAsia="MS Mincho" w:hAnsi="Calibri" w:cs="Calibri"/>
          <w:sz w:val="24"/>
          <w:szCs w:val="24"/>
        </w:rPr>
        <w:t>American Society for Biochemistry and Molecular Biology</w:t>
      </w:r>
      <w:r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EB4F39">
        <w:rPr>
          <w:rFonts w:ascii="Calibri" w:eastAsia="MS Mincho" w:hAnsi="Calibri" w:cs="Calibri"/>
          <w:sz w:val="24"/>
          <w:szCs w:val="24"/>
        </w:rPr>
        <w:t>American Society for Biochemistry and Molecular Biology</w:t>
      </w:r>
      <w:r w:rsidRPr="00A765A5">
        <w:rPr>
          <w:rFonts w:ascii="Calibri" w:eastAsia="MS Mincho" w:hAnsi="Calibri" w:cs="Calibri"/>
          <w:sz w:val="24"/>
          <w:szCs w:val="24"/>
        </w:rPr>
        <w:t>.</w:t>
      </w:r>
      <w:r w:rsidRPr="00A765A5">
        <w:rPr>
          <w:rFonts w:ascii="Calibri" w:eastAsia="MS Mincho" w:hAnsi="Calibri" w:cs="Calibri"/>
          <w:b/>
          <w:bCs/>
          <w:sz w:val="24"/>
          <w:szCs w:val="24"/>
        </w:rPr>
        <w:t xml:space="preserve"> </w:t>
      </w:r>
      <w:bookmarkEnd w:id="1"/>
    </w:p>
    <w:p w14:paraId="38A35A34" w14:textId="77777777" w:rsidR="00D31B2F" w:rsidRDefault="00D31B2F" w:rsidP="001777F2">
      <w:pPr>
        <w:pStyle w:val="Title"/>
      </w:pPr>
      <w:r>
        <w:t>Identification and Characterization of the Thrombin Binding Sites on Fibrin*</w:t>
      </w:r>
    </w:p>
    <w:p w14:paraId="6261094B" w14:textId="77777777" w:rsidR="001777F2" w:rsidRDefault="001777F2" w:rsidP="00D31B2F"/>
    <w:p w14:paraId="6F62653B" w14:textId="759C0061" w:rsidR="004B4302" w:rsidRPr="003D2611" w:rsidRDefault="00D31B2F" w:rsidP="003D2611">
      <w:pPr>
        <w:pStyle w:val="NoSpacing"/>
        <w:rPr>
          <w:sz w:val="32"/>
          <w:szCs w:val="32"/>
        </w:rPr>
      </w:pPr>
      <w:r w:rsidRPr="003D2611">
        <w:rPr>
          <w:sz w:val="32"/>
          <w:szCs w:val="32"/>
        </w:rPr>
        <w:t>David A.</w:t>
      </w:r>
      <w:r w:rsidR="004B4302" w:rsidRPr="003D2611">
        <w:rPr>
          <w:sz w:val="32"/>
          <w:szCs w:val="32"/>
        </w:rPr>
        <w:t xml:space="preserve"> </w:t>
      </w:r>
      <w:r w:rsidRPr="003D2611">
        <w:rPr>
          <w:sz w:val="32"/>
          <w:szCs w:val="32"/>
        </w:rPr>
        <w:t>Meh</w:t>
      </w:r>
    </w:p>
    <w:p w14:paraId="22B6F3A3" w14:textId="29759523" w:rsidR="004B4302" w:rsidRPr="003D2611" w:rsidRDefault="004B4302" w:rsidP="003D2611">
      <w:pPr>
        <w:pStyle w:val="NoSpacing"/>
        <w:rPr>
          <w:sz w:val="24"/>
          <w:szCs w:val="24"/>
        </w:rPr>
      </w:pPr>
      <w:r w:rsidRPr="003D2611">
        <w:rPr>
          <w:sz w:val="24"/>
          <w:szCs w:val="24"/>
        </w:rPr>
        <w:t>University of Wisconsin Medical School, Sinai Samaritan Medical Center</w:t>
      </w:r>
      <w:r w:rsidRPr="003D2611">
        <w:rPr>
          <w:sz w:val="24"/>
          <w:szCs w:val="24"/>
        </w:rPr>
        <w:t>, Milwaukee, WI</w:t>
      </w:r>
    </w:p>
    <w:p w14:paraId="14C94ED1" w14:textId="0DE50651" w:rsidR="004B4302" w:rsidRPr="003D2611" w:rsidRDefault="00D31B2F" w:rsidP="003D2611">
      <w:pPr>
        <w:pStyle w:val="NoSpacing"/>
        <w:rPr>
          <w:sz w:val="32"/>
          <w:szCs w:val="32"/>
        </w:rPr>
      </w:pPr>
      <w:r w:rsidRPr="003D2611">
        <w:rPr>
          <w:sz w:val="32"/>
          <w:szCs w:val="32"/>
        </w:rPr>
        <w:t>Kevin R.</w:t>
      </w:r>
      <w:r w:rsidR="004B4302" w:rsidRPr="003D2611">
        <w:rPr>
          <w:sz w:val="32"/>
          <w:szCs w:val="32"/>
        </w:rPr>
        <w:t xml:space="preserve"> </w:t>
      </w:r>
      <w:r w:rsidRPr="003D2611">
        <w:rPr>
          <w:sz w:val="32"/>
          <w:szCs w:val="32"/>
        </w:rPr>
        <w:t>Siebenlist</w:t>
      </w:r>
    </w:p>
    <w:p w14:paraId="268A83EF" w14:textId="4602BA7D" w:rsidR="004B4302" w:rsidRPr="003D2611" w:rsidRDefault="003D2611" w:rsidP="003D2611">
      <w:pPr>
        <w:pStyle w:val="NoSpacing"/>
        <w:rPr>
          <w:sz w:val="24"/>
          <w:szCs w:val="24"/>
        </w:rPr>
      </w:pPr>
      <w:r w:rsidRPr="003D2611">
        <w:rPr>
          <w:sz w:val="24"/>
          <w:szCs w:val="24"/>
        </w:rPr>
        <w:t>University of Wisconsin Medical School, Sinai Samaritan Medical Center, Milwaukee, WI</w:t>
      </w:r>
    </w:p>
    <w:p w14:paraId="0CF06B44" w14:textId="41E6044F" w:rsidR="003D2611" w:rsidRPr="003D2611" w:rsidRDefault="003D2611" w:rsidP="003D2611">
      <w:pPr>
        <w:pStyle w:val="NoSpacing"/>
        <w:rPr>
          <w:sz w:val="24"/>
          <w:szCs w:val="24"/>
        </w:rPr>
      </w:pPr>
      <w:r w:rsidRPr="003D2611">
        <w:rPr>
          <w:sz w:val="24"/>
          <w:szCs w:val="24"/>
        </w:rPr>
        <w:t>Department of Basic Health Sciences, School of Dentistry, Marquette University, Milwaukee, Wisconsin</w:t>
      </w:r>
    </w:p>
    <w:p w14:paraId="04B94A49" w14:textId="26301BFB" w:rsidR="001F6EC3" w:rsidRPr="003D2611" w:rsidRDefault="00D31B2F" w:rsidP="003D2611">
      <w:pPr>
        <w:pStyle w:val="NoSpacing"/>
        <w:rPr>
          <w:sz w:val="32"/>
          <w:szCs w:val="32"/>
        </w:rPr>
      </w:pPr>
      <w:r w:rsidRPr="003D2611">
        <w:rPr>
          <w:sz w:val="32"/>
          <w:szCs w:val="32"/>
        </w:rPr>
        <w:t>Michael W.</w:t>
      </w:r>
      <w:r w:rsidR="004B4302" w:rsidRPr="003D2611">
        <w:rPr>
          <w:sz w:val="32"/>
          <w:szCs w:val="32"/>
        </w:rPr>
        <w:t xml:space="preserve"> </w:t>
      </w:r>
      <w:proofErr w:type="spellStart"/>
      <w:r w:rsidRPr="003D2611">
        <w:rPr>
          <w:sz w:val="32"/>
          <w:szCs w:val="32"/>
        </w:rPr>
        <w:t>Mosesson</w:t>
      </w:r>
      <w:proofErr w:type="spellEnd"/>
    </w:p>
    <w:p w14:paraId="3C7A6D54" w14:textId="77777777" w:rsidR="004B4302" w:rsidRPr="003D2611" w:rsidRDefault="004B4302" w:rsidP="003D2611">
      <w:pPr>
        <w:pStyle w:val="NoSpacing"/>
        <w:rPr>
          <w:sz w:val="24"/>
          <w:szCs w:val="24"/>
        </w:rPr>
      </w:pPr>
      <w:r w:rsidRPr="003D2611">
        <w:rPr>
          <w:sz w:val="24"/>
          <w:szCs w:val="24"/>
        </w:rPr>
        <w:t>University of Wisconsin Medical School, Sinai Samaritan Medical Center, Milwaukee, WI</w:t>
      </w:r>
    </w:p>
    <w:p w14:paraId="5EABC8A4" w14:textId="77777777" w:rsidR="004B4302" w:rsidRDefault="004B4302" w:rsidP="00D31B2F"/>
    <w:p w14:paraId="015FD251" w14:textId="77777777" w:rsidR="00E2138F" w:rsidRDefault="00E2138F" w:rsidP="00E2138F">
      <w:pPr>
        <w:pStyle w:val="Heading1"/>
      </w:pPr>
      <w:r>
        <w:t>Abstract</w:t>
      </w:r>
    </w:p>
    <w:p w14:paraId="14D794D7" w14:textId="0ACD4F17" w:rsidR="005E1167" w:rsidRPr="005E1167" w:rsidRDefault="005E1167" w:rsidP="005E1167">
      <w:r w:rsidRPr="005E1167">
        <w:t>Thrombin binds to fibrin at two classes of non-substrate sites, one of high affinity and the other of low affinity. We investigated the location of these thrombin binding sites by assessing the binding of thrombin to fibrin lacking or containing γ′ chains, which are fibrinogen γ chain variants that contain a highly anionic carboxyl-terminal sequence. We found the high affinity thrombin binding site to be located exclusively in D domains on γ′ chains (</w:t>
      </w:r>
      <w:r w:rsidRPr="005E1167">
        <w:rPr>
          <w:i/>
          <w:iCs/>
        </w:rPr>
        <w:t>K</w:t>
      </w:r>
      <w:r w:rsidRPr="005E1167">
        <w:rPr>
          <w:i/>
          <w:iCs/>
          <w:vertAlign w:val="subscript"/>
        </w:rPr>
        <w:t>a</w:t>
      </w:r>
      <w:r w:rsidRPr="005E1167">
        <w:t>, 4.9 × 10</w:t>
      </w:r>
      <w:r w:rsidRPr="005E1167">
        <w:rPr>
          <w:vertAlign w:val="superscript"/>
        </w:rPr>
        <w:t>6−1</w:t>
      </w:r>
      <w:r w:rsidRPr="005E1167">
        <w:t>; </w:t>
      </w:r>
      <w:r w:rsidRPr="005E1167">
        <w:rPr>
          <w:i/>
          <w:iCs/>
        </w:rPr>
        <w:t>n</w:t>
      </w:r>
      <w:r w:rsidRPr="005E1167">
        <w:t>, 1.05 per γ′ chain), whereas the low affinity thrombin binding site was in the fibrin E domain (</w:t>
      </w:r>
      <w:r w:rsidRPr="005E1167">
        <w:rPr>
          <w:i/>
          <w:iCs/>
        </w:rPr>
        <w:t>K</w:t>
      </w:r>
      <w:r w:rsidRPr="005E1167">
        <w:rPr>
          <w:i/>
          <w:iCs/>
          <w:vertAlign w:val="subscript"/>
        </w:rPr>
        <w:t>a</w:t>
      </w:r>
      <w:r w:rsidRPr="005E1167">
        <w:t>, 0.29 × 10</w:t>
      </w:r>
      <w:r w:rsidRPr="005E1167">
        <w:rPr>
          <w:vertAlign w:val="superscript"/>
        </w:rPr>
        <w:t>6−1</w:t>
      </w:r>
      <w:r w:rsidRPr="005E1167">
        <w:t>; </w:t>
      </w:r>
      <w:r w:rsidRPr="005E1167">
        <w:rPr>
          <w:i/>
          <w:iCs/>
        </w:rPr>
        <w:t>n</w:t>
      </w:r>
      <w:r w:rsidRPr="005E1167">
        <w:t xml:space="preserve">, 1.69 per molecule). The amino-terminal β15-42 fibrin sequence is an important constituent of low affinity binding, since thrombin binding at this site is greatly diminished in fibrin molecules lacking this sequence. The tyrosine-sulfated, thrombin </w:t>
      </w:r>
      <w:proofErr w:type="spellStart"/>
      <w:r w:rsidRPr="005E1167">
        <w:t>exosite</w:t>
      </w:r>
      <w:proofErr w:type="spellEnd"/>
      <w:r w:rsidRPr="005E1167">
        <w:t>-binding hirudin peptide, S-Hir</w:t>
      </w:r>
      <w:r w:rsidRPr="005E1167">
        <w:rPr>
          <w:vertAlign w:val="superscript"/>
        </w:rPr>
        <w:t>53-64</w:t>
      </w:r>
      <w:r w:rsidRPr="005E1167">
        <w:t> (</w:t>
      </w:r>
      <w:proofErr w:type="spellStart"/>
      <w:r w:rsidRPr="005E1167">
        <w:t>hirugen</w:t>
      </w:r>
      <w:proofErr w:type="spellEnd"/>
      <w:r w:rsidRPr="005E1167">
        <w:t>), inhibited both low and high affinity thrombin binding to fibrin (IC</w:t>
      </w:r>
      <w:r w:rsidRPr="005E1167">
        <w:rPr>
          <w:vertAlign w:val="subscript"/>
        </w:rPr>
        <w:t>50</w:t>
      </w:r>
      <w:r w:rsidRPr="005E1167">
        <w:t xml:space="preserve"> 1.4 and 3.0 μ, respectively). The presence of the high affinity γ′ chain site on fibrinogen molecules did not inhibit fibrinogen conversion to fibrin as assessed by thrombin time measurements, and thrombin </w:t>
      </w:r>
      <w:proofErr w:type="spellStart"/>
      <w:r w:rsidRPr="005E1167">
        <w:t>exosite</w:t>
      </w:r>
      <w:proofErr w:type="spellEnd"/>
      <w:r w:rsidRPr="005E1167">
        <w:t xml:space="preserve"> binding to fibrin at either site did not inhibit its catalytic activity toward a small thrombin substrate, S-2238. We infer from these findings that there are two low affinity non-substrate thrombin binding sites, one in each half of the dimeric fibrin E domain, and that they may represent a residual aspect of thrombin binding and cleavage of its substrate fibrinogen. The high affinity thrombin binding site on γ′ chains is a constitutive feature of fibrin as well as fibrinogen.</w:t>
      </w:r>
    </w:p>
    <w:p w14:paraId="72113C6A" w14:textId="77777777" w:rsidR="005E1167" w:rsidRPr="005E1167" w:rsidRDefault="005E1167" w:rsidP="00E2138F">
      <w:pPr>
        <w:pStyle w:val="Heading1"/>
      </w:pPr>
      <w:r w:rsidRPr="005E1167">
        <w:t>INTRODUCTION</w:t>
      </w:r>
    </w:p>
    <w:p w14:paraId="1A47B468" w14:textId="244050F1" w:rsidR="005E1167" w:rsidRPr="005E1167" w:rsidRDefault="005E1167" w:rsidP="005E1167">
      <w:r w:rsidRPr="005E1167">
        <w:t xml:space="preserve">Thrombin binds to its substrate fibrinogen in the central amino-terminal region and cleaves fibrinopeptides A and B from the Aα and Bβ chains, respectively, converting fibrinogen to fibrin. The </w:t>
      </w:r>
      <w:r w:rsidRPr="005E1167">
        <w:lastRenderedPageBreak/>
        <w:t xml:space="preserve">thrombin-fibrinogen binding interaction is mediated through an anion-binding fibrinogen recognition </w:t>
      </w:r>
      <w:proofErr w:type="spellStart"/>
      <w:r w:rsidRPr="005E1167">
        <w:t>exosite</w:t>
      </w:r>
      <w:proofErr w:type="spellEnd"/>
      <w:r w:rsidRPr="005E1167">
        <w:t xml:space="preserve"> in thrombin (</w:t>
      </w:r>
      <w:bookmarkStart w:id="2" w:name="bbib1"/>
      <w:r w:rsidRPr="004D2723">
        <w:t>1</w:t>
      </w:r>
      <w:r w:rsidRPr="005E1167">
        <w:t>, </w:t>
      </w:r>
      <w:bookmarkStart w:id="3" w:name="bbib2"/>
      <w:r w:rsidRPr="004D2723">
        <w:t>2</w:t>
      </w:r>
      <w:r w:rsidRPr="005E1167">
        <w:t>, </w:t>
      </w:r>
      <w:bookmarkStart w:id="4" w:name="bbib3"/>
      <w:r w:rsidRPr="004D2723">
        <w:t>3</w:t>
      </w:r>
      <w:bookmarkEnd w:id="4"/>
      <w:r w:rsidRPr="005E1167">
        <w:t>) that is situated in an extended patch of positively charged residues in the region of the thrombin loop segment centered around Lys</w:t>
      </w:r>
      <w:r w:rsidRPr="005E1167">
        <w:rPr>
          <w:vertAlign w:val="superscript"/>
        </w:rPr>
        <w:t>70</w:t>
      </w:r>
      <w:r w:rsidRPr="005E1167">
        <w:t>-Glu</w:t>
      </w:r>
      <w:r w:rsidRPr="005E1167">
        <w:rPr>
          <w:vertAlign w:val="superscript"/>
        </w:rPr>
        <w:t>80</w:t>
      </w:r>
      <w:r w:rsidRPr="005E1167">
        <w:t> (</w:t>
      </w:r>
      <w:bookmarkStart w:id="5" w:name="bbib4"/>
      <w:r w:rsidRPr="004D2723">
        <w:t>4</w:t>
      </w:r>
      <w:bookmarkEnd w:id="5"/>
      <w:r w:rsidRPr="005E1167">
        <w:t xml:space="preserve">). The </w:t>
      </w:r>
      <w:proofErr w:type="spellStart"/>
      <w:r w:rsidRPr="005E1167">
        <w:t>exosite</w:t>
      </w:r>
      <w:proofErr w:type="spellEnd"/>
      <w:r w:rsidRPr="005E1167">
        <w:t xml:space="preserve"> also binds to heparin cofactor II (</w:t>
      </w:r>
      <w:bookmarkStart w:id="6" w:name="bbib5"/>
      <w:r w:rsidRPr="004D2723">
        <w:t>5</w:t>
      </w:r>
      <w:bookmarkEnd w:id="6"/>
      <w:r w:rsidRPr="005E1167">
        <w:t>), the platelet or endothelial cell thrombin receptor (</w:t>
      </w:r>
      <w:bookmarkStart w:id="7" w:name="bbib6"/>
      <w:r w:rsidRPr="004D2723">
        <w:t>6</w:t>
      </w:r>
      <w:bookmarkEnd w:id="7"/>
      <w:r w:rsidRPr="005E1167">
        <w:t>), thrombomodulin (</w:t>
      </w:r>
      <w:bookmarkStart w:id="8" w:name="bbib7"/>
      <w:r w:rsidRPr="004D2723">
        <w:t>7</w:t>
      </w:r>
      <w:bookmarkEnd w:id="8"/>
      <w:r w:rsidRPr="005E1167">
        <w:t>, </w:t>
      </w:r>
      <w:bookmarkStart w:id="9" w:name="bbib8"/>
      <w:r w:rsidRPr="004D2723">
        <w:t>8</w:t>
      </w:r>
      <w:bookmarkEnd w:id="9"/>
      <w:r w:rsidRPr="005E1167">
        <w:t xml:space="preserve">), </w:t>
      </w:r>
      <w:proofErr w:type="spellStart"/>
      <w:r w:rsidRPr="005E1167">
        <w:t>GPIb</w:t>
      </w:r>
      <w:proofErr w:type="spellEnd"/>
      <w:r w:rsidRPr="005E1167">
        <w:t>α</w:t>
      </w:r>
      <w:bookmarkStart w:id="10" w:name="bFN5"/>
      <w:r w:rsidRPr="004D2723">
        <w:rPr>
          <w:vertAlign w:val="superscript"/>
        </w:rPr>
        <w:t>1</w:t>
      </w:r>
      <w:bookmarkEnd w:id="10"/>
      <w:r w:rsidRPr="005E1167">
        <w:t> (</w:t>
      </w:r>
      <w:bookmarkStart w:id="11" w:name="bbib9"/>
      <w:r w:rsidRPr="004D2723">
        <w:t>9</w:t>
      </w:r>
      <w:bookmarkEnd w:id="11"/>
      <w:r w:rsidRPr="005E1167">
        <w:t>), as well as to a strongly anionic sequence in the carboxyl-terminal region of the leech thrombin inhibitor, hirudin (</w:t>
      </w:r>
      <w:bookmarkStart w:id="12" w:name="bbib10"/>
      <w:r w:rsidRPr="004D2723">
        <w:t>10</w:t>
      </w:r>
      <w:bookmarkEnd w:id="12"/>
      <w:r w:rsidRPr="005E1167">
        <w:t>, </w:t>
      </w:r>
      <w:bookmarkStart w:id="13" w:name="bbib11"/>
      <w:r w:rsidRPr="004D2723">
        <w:t>11</w:t>
      </w:r>
      <w:bookmarkEnd w:id="13"/>
      <w:r w:rsidRPr="005E1167">
        <w:t>, </w:t>
      </w:r>
      <w:bookmarkStart w:id="14" w:name="bbib12"/>
      <w:r w:rsidRPr="004D2723">
        <w:t>12</w:t>
      </w:r>
      <w:bookmarkEnd w:id="14"/>
      <w:r w:rsidRPr="005E1167">
        <w:t>, </w:t>
      </w:r>
      <w:bookmarkStart w:id="15" w:name="bbib13"/>
      <w:r w:rsidRPr="004D2723">
        <w:t>13</w:t>
      </w:r>
      <w:bookmarkEnd w:id="15"/>
      <w:r w:rsidRPr="005E1167">
        <w:t>, </w:t>
      </w:r>
      <w:bookmarkStart w:id="16" w:name="bbib14"/>
      <w:r w:rsidRPr="004D2723">
        <w:t>14</w:t>
      </w:r>
      <w:bookmarkEnd w:id="16"/>
      <w:r w:rsidRPr="005E1167">
        <w:t>, </w:t>
      </w:r>
      <w:bookmarkStart w:id="17" w:name="bbib15"/>
      <w:r w:rsidRPr="004D2723">
        <w:t>15</w:t>
      </w:r>
      <w:bookmarkEnd w:id="17"/>
      <w:r w:rsidRPr="005E1167">
        <w:t>).</w:t>
      </w:r>
    </w:p>
    <w:p w14:paraId="4BE0C409" w14:textId="17CBF2E4" w:rsidR="005E1167" w:rsidRPr="005E1167" w:rsidRDefault="005E1167" w:rsidP="005E1167">
      <w:r w:rsidRPr="005E1167">
        <w:t>In addition to binding to fibrinogen at its substrate site, thrombin binds to fibrin at a “non-substrate” site(s) (</w:t>
      </w:r>
      <w:r w:rsidRPr="004D2723">
        <w:t>1</w:t>
      </w:r>
      <w:r w:rsidRPr="005E1167">
        <w:t>, </w:t>
      </w:r>
      <w:r w:rsidRPr="004D2723">
        <w:t>2</w:t>
      </w:r>
      <w:r w:rsidRPr="005E1167">
        <w:t>, </w:t>
      </w:r>
      <w:bookmarkStart w:id="18" w:name="bbib16"/>
      <w:r w:rsidRPr="004D2723">
        <w:t>16</w:t>
      </w:r>
      <w:r w:rsidRPr="005E1167">
        <w:t>, </w:t>
      </w:r>
      <w:bookmarkStart w:id="19" w:name="bbib17"/>
      <w:r w:rsidRPr="004D2723">
        <w:t>17</w:t>
      </w:r>
      <w:r w:rsidRPr="005E1167">
        <w:t>, </w:t>
      </w:r>
      <w:bookmarkStart w:id="20" w:name="bbib18"/>
      <w:r w:rsidRPr="004D2723">
        <w:t>18</w:t>
      </w:r>
      <w:r w:rsidRPr="005E1167">
        <w:t>). It is commonly believed that non-substrate binding takes place at the same location as fibrinogen substrate binding, namely the central E domain. As determined from binding experiments with </w:t>
      </w:r>
      <w:r w:rsidRPr="005E1167">
        <w:rPr>
          <w:vertAlign w:val="superscript"/>
        </w:rPr>
        <w:t>125</w:t>
      </w:r>
      <w:r w:rsidRPr="005E1167">
        <w:t>I-thrombin by Liu </w:t>
      </w:r>
      <w:r w:rsidRPr="005E1167">
        <w:rPr>
          <w:i/>
          <w:iCs/>
        </w:rPr>
        <w:t>et al.</w:t>
      </w:r>
      <w:r w:rsidRPr="005E1167">
        <w:t> (</w:t>
      </w:r>
      <w:bookmarkStart w:id="21" w:name="bbib19"/>
      <w:r w:rsidRPr="004D2723">
        <w:t>19</w:t>
      </w:r>
      <w:r w:rsidRPr="005E1167">
        <w:t>), two classes of non-substrate sites exist in fibrin, one of “high” affinity (</w:t>
      </w:r>
      <w:r w:rsidRPr="005E1167">
        <w:rPr>
          <w:i/>
          <w:iCs/>
        </w:rPr>
        <w:t>K</w:t>
      </w:r>
      <w:r w:rsidRPr="005E1167">
        <w:rPr>
          <w:i/>
          <w:iCs/>
          <w:vertAlign w:val="subscript"/>
        </w:rPr>
        <w:t>a</w:t>
      </w:r>
      <w:r w:rsidRPr="005E1167">
        <w:t xml:space="preserve">, </w:t>
      </w:r>
      <w:r w:rsidRPr="005E1167">
        <w:rPr>
          <w:rFonts w:ascii="Cambria Math" w:hAnsi="Cambria Math" w:cs="Cambria Math"/>
        </w:rPr>
        <w:t>∼</w:t>
      </w:r>
      <w:r w:rsidRPr="005E1167">
        <w:t xml:space="preserve">6 </w:t>
      </w:r>
      <w:r w:rsidRPr="005E1167">
        <w:rPr>
          <w:rFonts w:ascii="Calibri" w:hAnsi="Calibri" w:cs="Calibri"/>
        </w:rPr>
        <w:t>×</w:t>
      </w:r>
      <w:r w:rsidRPr="005E1167">
        <w:t xml:space="preserve"> 10</w:t>
      </w:r>
      <w:r w:rsidRPr="005E1167">
        <w:rPr>
          <w:vertAlign w:val="superscript"/>
        </w:rPr>
        <w:t>5−1</w:t>
      </w:r>
      <w:r w:rsidRPr="005E1167">
        <w:t>) and the other of “low” affinity (</w:t>
      </w:r>
      <w:r w:rsidRPr="005E1167">
        <w:rPr>
          <w:i/>
          <w:iCs/>
        </w:rPr>
        <w:t>K</w:t>
      </w:r>
      <w:r w:rsidRPr="005E1167">
        <w:rPr>
          <w:i/>
          <w:iCs/>
          <w:vertAlign w:val="subscript"/>
        </w:rPr>
        <w:t>a</w:t>
      </w:r>
      <w:r w:rsidRPr="005E1167">
        <w:t xml:space="preserve">, </w:t>
      </w:r>
      <w:r w:rsidRPr="005E1167">
        <w:rPr>
          <w:rFonts w:ascii="Cambria Math" w:hAnsi="Cambria Math" w:cs="Cambria Math"/>
        </w:rPr>
        <w:t>∼</w:t>
      </w:r>
      <w:r w:rsidRPr="005E1167">
        <w:t xml:space="preserve">7 </w:t>
      </w:r>
      <w:r w:rsidRPr="005E1167">
        <w:rPr>
          <w:rFonts w:ascii="Calibri" w:hAnsi="Calibri" w:cs="Calibri"/>
        </w:rPr>
        <w:t>×</w:t>
      </w:r>
      <w:r w:rsidRPr="005E1167">
        <w:t xml:space="preserve"> 10</w:t>
      </w:r>
      <w:r w:rsidRPr="005E1167">
        <w:rPr>
          <w:vertAlign w:val="superscript"/>
        </w:rPr>
        <w:t>4−1</w:t>
      </w:r>
      <w:r w:rsidRPr="005E1167">
        <w:t>). Hogg and Jackson (</w:t>
      </w:r>
      <w:bookmarkStart w:id="22" w:name="bbib20"/>
      <w:r w:rsidRPr="004D2723">
        <w:t>20</w:t>
      </w:r>
      <w:r w:rsidRPr="005E1167">
        <w:t>) also found two classes of sites in fibrin with affinity constants of 3.3 × 10</w:t>
      </w:r>
      <w:r w:rsidRPr="005E1167">
        <w:rPr>
          <w:vertAlign w:val="superscript"/>
        </w:rPr>
        <w:t>6</w:t>
      </w:r>
      <w:r w:rsidRPr="005E1167">
        <w:t> and 3.0 × 10</w:t>
      </w:r>
      <w:r w:rsidRPr="005E1167">
        <w:rPr>
          <w:vertAlign w:val="superscript"/>
        </w:rPr>
        <w:t>4</w:t>
      </w:r>
      <w:r w:rsidRPr="005E1167">
        <w:t>, respectively. It has been inferred from available information that all non-substrate thrombin binding, especially that of high affinity, is in the E domain (</w:t>
      </w:r>
      <w:r w:rsidRPr="004D2723">
        <w:t>2</w:t>
      </w:r>
      <w:bookmarkEnd w:id="3"/>
      <w:r w:rsidRPr="005E1167">
        <w:t>), although to our knowledge this subject has not been specifically addressed.</w:t>
      </w:r>
    </w:p>
    <w:p w14:paraId="08CD6756" w14:textId="767BF4CF" w:rsidR="005E1167" w:rsidRPr="005E1167" w:rsidRDefault="005E1167" w:rsidP="005E1167">
      <w:r w:rsidRPr="005E1167">
        <w:t>Human fibrinogen is chromatographically separable into two major components (“peak 1” and “peak 2”), which differ with respect to the structure of their γ chains (</w:t>
      </w:r>
      <w:bookmarkStart w:id="23" w:name="bbib21"/>
      <w:r w:rsidRPr="004D2723">
        <w:t>21</w:t>
      </w:r>
      <w:r w:rsidRPr="005E1167">
        <w:t xml:space="preserve">). Dimeric peak 1 fibrinogen molecules each contain two </w:t>
      </w:r>
      <w:proofErr w:type="spellStart"/>
      <w:r w:rsidRPr="005E1167">
        <w:t>γ</w:t>
      </w:r>
      <w:r w:rsidRPr="005E1167">
        <w:rPr>
          <w:vertAlign w:val="subscript"/>
        </w:rPr>
        <w:t>A</w:t>
      </w:r>
      <w:proofErr w:type="spellEnd"/>
      <w:r w:rsidRPr="005E1167">
        <w:t xml:space="preserve"> chains (γ1-411V), whereas peak 2 fibrinogen molecules, which amount to </w:t>
      </w:r>
      <w:r w:rsidRPr="005E1167">
        <w:rPr>
          <w:rFonts w:ascii="Cambria Math" w:hAnsi="Cambria Math" w:cs="Cambria Math"/>
        </w:rPr>
        <w:t>∼</w:t>
      </w:r>
      <w:r w:rsidRPr="005E1167">
        <w:t>15% of the total fibrinogen population (</w:t>
      </w:r>
      <w:bookmarkStart w:id="24" w:name="bbib22"/>
      <w:r w:rsidRPr="004D2723">
        <w:t>22</w:t>
      </w:r>
      <w:r w:rsidRPr="005E1167">
        <w:t xml:space="preserve">), have one </w:t>
      </w:r>
      <w:proofErr w:type="spellStart"/>
      <w:r w:rsidRPr="005E1167">
        <w:t>γ</w:t>
      </w:r>
      <w:r w:rsidRPr="005E1167">
        <w:rPr>
          <w:vertAlign w:val="subscript"/>
        </w:rPr>
        <w:t>A</w:t>
      </w:r>
      <w:proofErr w:type="spellEnd"/>
      <w:r w:rsidRPr="005E1167">
        <w:t> and one γ′ chain (γ1-427L) (</w:t>
      </w:r>
      <w:bookmarkStart w:id="25" w:name="bbib23"/>
      <w:r w:rsidRPr="004D2723">
        <w:t>23</w:t>
      </w:r>
      <w:r w:rsidRPr="005E1167">
        <w:t>, </w:t>
      </w:r>
      <w:bookmarkStart w:id="26" w:name="bbib24"/>
      <w:r w:rsidRPr="004D2723">
        <w:t>24</w:t>
      </w:r>
      <w:r w:rsidRPr="005E1167">
        <w:t>). Similar γ chain variants have been identified in rodent (</w:t>
      </w:r>
      <w:bookmarkStart w:id="27" w:name="bbib25"/>
      <w:r w:rsidRPr="004D2723">
        <w:t>25</w:t>
      </w:r>
      <w:r w:rsidRPr="005E1167">
        <w:t>, </w:t>
      </w:r>
      <w:bookmarkStart w:id="28" w:name="bbib26"/>
      <w:r w:rsidRPr="004D2723">
        <w:t>26</w:t>
      </w:r>
      <w:bookmarkEnd w:id="28"/>
      <w:r w:rsidRPr="005E1167">
        <w:t>) and bovine</w:t>
      </w:r>
      <w:bookmarkStart w:id="29" w:name="bFN6"/>
      <w:r w:rsidRPr="004D2723">
        <w:rPr>
          <w:vertAlign w:val="superscript"/>
        </w:rPr>
        <w:t>2</w:t>
      </w:r>
      <w:bookmarkEnd w:id="29"/>
      <w:r w:rsidRPr="005E1167">
        <w:t> fibrinogens and may exist in other animal species as well (</w:t>
      </w:r>
      <w:bookmarkStart w:id="30" w:name="bbib27"/>
      <w:r w:rsidRPr="004D2723">
        <w:t>27</w:t>
      </w:r>
      <w:bookmarkEnd w:id="30"/>
      <w:r w:rsidRPr="005E1167">
        <w:t>). In humans, γ′ chains arise through alternative processing of the primary mRNA transcript (</w:t>
      </w:r>
      <w:bookmarkStart w:id="31" w:name="bbib28"/>
      <w:r w:rsidRPr="004D2723">
        <w:t>28</w:t>
      </w:r>
      <w:bookmarkEnd w:id="31"/>
      <w:r w:rsidRPr="005E1167">
        <w:t xml:space="preserve">) and differ structurally in their COOH-terminal sequences in that </w:t>
      </w:r>
      <w:proofErr w:type="spellStart"/>
      <w:r w:rsidRPr="005E1167">
        <w:t>γ</w:t>
      </w:r>
      <w:r w:rsidRPr="005E1167">
        <w:rPr>
          <w:vertAlign w:val="subscript"/>
        </w:rPr>
        <w:t>A</w:t>
      </w:r>
      <w:proofErr w:type="spellEnd"/>
      <w:r w:rsidRPr="005E1167">
        <w:t> chain residues 408-411 are replaced in γ′ chains by an anionic 20 amino acid sequence (</w:t>
      </w:r>
      <w:r w:rsidRPr="004D2723">
        <w:t>24</w:t>
      </w:r>
      <w:bookmarkEnd w:id="26"/>
      <w:r w:rsidRPr="005E1167">
        <w:t>, </w:t>
      </w:r>
      <w:bookmarkStart w:id="32" w:name="bbib29"/>
      <w:r w:rsidRPr="004D2723">
        <w:t>29</w:t>
      </w:r>
      <w:bookmarkEnd w:id="32"/>
      <w:r w:rsidRPr="005E1167">
        <w:t>). In rats (</w:t>
      </w:r>
      <w:r w:rsidRPr="004D2723">
        <w:t>25</w:t>
      </w:r>
      <w:bookmarkEnd w:id="27"/>
      <w:r w:rsidRPr="005E1167">
        <w:t>, </w:t>
      </w:r>
      <w:bookmarkStart w:id="33" w:name="bbib30"/>
      <w:r w:rsidRPr="004D2723">
        <w:t>30</w:t>
      </w:r>
      <w:bookmarkEnd w:id="33"/>
      <w:r w:rsidRPr="005E1167">
        <w:t>) and cows</w:t>
      </w:r>
      <w:r w:rsidRPr="005E1167">
        <w:rPr>
          <w:vertAlign w:val="superscript"/>
        </w:rPr>
        <w:t>2</w:t>
      </w:r>
      <w:r w:rsidRPr="005E1167">
        <w:t>γ</w:t>
      </w:r>
      <w:r w:rsidRPr="005E1167">
        <w:rPr>
          <w:vertAlign w:val="subscript"/>
        </w:rPr>
        <w:t>A</w:t>
      </w:r>
      <w:r w:rsidRPr="005E1167">
        <w:t>408-411 is replaced by a shorter but homologous sequence (</w:t>
      </w:r>
      <w:bookmarkStart w:id="34" w:name="btblI"/>
      <w:r w:rsidRPr="004D2723">
        <w:t>Table I</w:t>
      </w:r>
      <w:bookmarkEnd w:id="34"/>
      <w:r w:rsidRPr="005E1167">
        <w:t>). The rat and human γ′ chains are tyrosine-sulfated at γ′418 (</w:t>
      </w:r>
      <w:bookmarkStart w:id="35" w:name="bbib31"/>
      <w:r w:rsidRPr="004D2723">
        <w:t>31</w:t>
      </w:r>
      <w:bookmarkEnd w:id="35"/>
      <w:r w:rsidRPr="005E1167">
        <w:t>, </w:t>
      </w:r>
      <w:bookmarkStart w:id="36" w:name="bbib32"/>
      <w:r w:rsidRPr="004D2723">
        <w:t>32</w:t>
      </w:r>
      <w:bookmarkEnd w:id="36"/>
      <w:r w:rsidRPr="005E1167">
        <w:t xml:space="preserve">) </w:t>
      </w:r>
      <w:proofErr w:type="gramStart"/>
      <w:r w:rsidRPr="005E1167">
        <w:t>and also</w:t>
      </w:r>
      <w:proofErr w:type="gramEnd"/>
      <w:r w:rsidRPr="005E1167">
        <w:t xml:space="preserve"> at γ′422 in humans.</w:t>
      </w:r>
      <w:r w:rsidRPr="005E1167">
        <w:rPr>
          <w:vertAlign w:val="superscript"/>
        </w:rPr>
        <w:t>2</w:t>
      </w:r>
    </w:p>
    <w:p w14:paraId="4B020E75" w14:textId="77777777" w:rsidR="005E1167" w:rsidRPr="005E1167" w:rsidRDefault="005E1167" w:rsidP="00585D6B">
      <w:pPr>
        <w:pStyle w:val="NoSpacing"/>
      </w:pPr>
      <w:r w:rsidRPr="005E1167">
        <w:t>Table I. Carboxyl-terminal sequences of γ chains and hirudin</w:t>
      </w:r>
    </w:p>
    <w:p w14:paraId="28F16B88" w14:textId="11EDD147" w:rsidR="005E1167" w:rsidRPr="005E1167" w:rsidRDefault="005E1167" w:rsidP="00585D6B">
      <w:pPr>
        <w:pStyle w:val="NoSpacing"/>
      </w:pPr>
      <w:r w:rsidRPr="005E1167">
        <w:t xml:space="preserve">Homologous positions are </w:t>
      </w:r>
      <w:r w:rsidR="00737BA9">
        <w:t>bolded</w:t>
      </w:r>
      <w:r w:rsidRPr="005E1167">
        <w:t>.</w:t>
      </w:r>
    </w:p>
    <w:tbl>
      <w:tblPr>
        <w:tblStyle w:val="TableGrid"/>
        <w:tblW w:w="0" w:type="auto"/>
        <w:tblLook w:val="04A0" w:firstRow="1" w:lastRow="0" w:firstColumn="1" w:lastColumn="0" w:noHBand="0" w:noVBand="1"/>
      </w:tblPr>
      <w:tblGrid>
        <w:gridCol w:w="2725"/>
        <w:gridCol w:w="5365"/>
      </w:tblGrid>
      <w:tr w:rsidR="005E1167" w:rsidRPr="00737BA9" w14:paraId="6577C2A5" w14:textId="77777777" w:rsidTr="00585D6B">
        <w:tc>
          <w:tcPr>
            <w:tcW w:w="0" w:type="auto"/>
            <w:hideMark/>
          </w:tcPr>
          <w:p w14:paraId="50B70FC1" w14:textId="77777777" w:rsidR="005E1167" w:rsidRPr="00737BA9" w:rsidRDefault="005E1167" w:rsidP="005E1167">
            <w:pPr>
              <w:rPr>
                <w:rFonts w:ascii="Courier New" w:hAnsi="Courier New" w:cs="Courier New"/>
                <w:b/>
                <w:bCs/>
              </w:rPr>
            </w:pPr>
            <w:r w:rsidRPr="00737BA9">
              <w:rPr>
                <w:rFonts w:ascii="Courier New" w:hAnsi="Courier New" w:cs="Courier New"/>
                <w:b/>
                <w:bCs/>
              </w:rPr>
              <w:t>Chain (position)</w:t>
            </w:r>
          </w:p>
        </w:tc>
        <w:tc>
          <w:tcPr>
            <w:tcW w:w="0" w:type="auto"/>
            <w:hideMark/>
          </w:tcPr>
          <w:p w14:paraId="19E446AB" w14:textId="77777777" w:rsidR="005E1167" w:rsidRPr="00737BA9" w:rsidRDefault="005E1167" w:rsidP="005E1167">
            <w:pPr>
              <w:rPr>
                <w:rFonts w:ascii="Courier New" w:hAnsi="Courier New" w:cs="Courier New"/>
                <w:b/>
                <w:bCs/>
              </w:rPr>
            </w:pPr>
            <w:r w:rsidRPr="00737BA9">
              <w:rPr>
                <w:rFonts w:ascii="Courier New" w:hAnsi="Courier New" w:cs="Courier New"/>
                <w:b/>
                <w:bCs/>
              </w:rPr>
              <w:t>Amino acid sequence</w:t>
            </w:r>
          </w:p>
        </w:tc>
      </w:tr>
      <w:tr w:rsidR="005E1167" w:rsidRPr="00737BA9" w14:paraId="4C0AEE6D" w14:textId="77777777" w:rsidTr="00585D6B">
        <w:tc>
          <w:tcPr>
            <w:tcW w:w="0" w:type="auto"/>
            <w:hideMark/>
          </w:tcPr>
          <w:p w14:paraId="3E731A72" w14:textId="77777777" w:rsidR="005E1167" w:rsidRPr="00737BA9" w:rsidRDefault="005E1167" w:rsidP="005E1167">
            <w:pPr>
              <w:rPr>
                <w:rFonts w:ascii="Courier New" w:hAnsi="Courier New" w:cs="Courier New"/>
              </w:rPr>
            </w:pPr>
            <w:r w:rsidRPr="00737BA9">
              <w:rPr>
                <w:rFonts w:ascii="Courier New" w:hAnsi="Courier New" w:cs="Courier New"/>
              </w:rPr>
              <w:t xml:space="preserve">Human </w:t>
            </w:r>
            <w:proofErr w:type="spellStart"/>
            <w:r w:rsidRPr="00737BA9">
              <w:rPr>
                <w:rFonts w:ascii="Courier New" w:hAnsi="Courier New" w:cs="Courier New"/>
              </w:rPr>
              <w:t>γ</w:t>
            </w:r>
            <w:r w:rsidRPr="00737BA9">
              <w:rPr>
                <w:rFonts w:ascii="Courier New" w:hAnsi="Courier New" w:cs="Courier New"/>
                <w:vertAlign w:val="subscript"/>
              </w:rPr>
              <w:t>A</w:t>
            </w:r>
            <w:proofErr w:type="spellEnd"/>
            <w:r w:rsidRPr="00737BA9">
              <w:rPr>
                <w:rFonts w:ascii="Courier New" w:hAnsi="Courier New" w:cs="Courier New"/>
              </w:rPr>
              <w:t> (408-411)</w:t>
            </w:r>
          </w:p>
        </w:tc>
        <w:tc>
          <w:tcPr>
            <w:tcW w:w="0" w:type="auto"/>
            <w:hideMark/>
          </w:tcPr>
          <w:p w14:paraId="60CA4D78" w14:textId="77777777" w:rsidR="005E1167" w:rsidRPr="00737BA9" w:rsidRDefault="005E1167" w:rsidP="005E1167">
            <w:pPr>
              <w:rPr>
                <w:rFonts w:ascii="Courier New" w:hAnsi="Courier New" w:cs="Courier New"/>
              </w:rPr>
            </w:pPr>
            <w:r w:rsidRPr="00737BA9">
              <w:rPr>
                <w:rFonts w:ascii="Courier New" w:hAnsi="Courier New" w:cs="Courier New"/>
              </w:rPr>
              <w:t>A G D V</w:t>
            </w:r>
          </w:p>
        </w:tc>
      </w:tr>
      <w:tr w:rsidR="005E1167" w:rsidRPr="00737BA9" w14:paraId="1D70C25A" w14:textId="77777777" w:rsidTr="00585D6B">
        <w:tc>
          <w:tcPr>
            <w:tcW w:w="0" w:type="auto"/>
            <w:hideMark/>
          </w:tcPr>
          <w:p w14:paraId="5A69B2C6" w14:textId="77777777" w:rsidR="005E1167" w:rsidRPr="00737BA9" w:rsidRDefault="005E1167" w:rsidP="005E1167">
            <w:pPr>
              <w:rPr>
                <w:rFonts w:ascii="Courier New" w:hAnsi="Courier New" w:cs="Courier New"/>
              </w:rPr>
            </w:pPr>
            <w:r w:rsidRPr="00737BA9">
              <w:rPr>
                <w:rFonts w:ascii="Courier New" w:hAnsi="Courier New" w:cs="Courier New"/>
              </w:rPr>
              <w:t>Human γ′ (408-427)</w:t>
            </w:r>
          </w:p>
        </w:tc>
        <w:tc>
          <w:tcPr>
            <w:tcW w:w="0" w:type="auto"/>
            <w:hideMark/>
          </w:tcPr>
          <w:p w14:paraId="23FC3457" w14:textId="77777777" w:rsidR="005E1167" w:rsidRPr="00737BA9" w:rsidRDefault="005E1167" w:rsidP="005E1167">
            <w:pPr>
              <w:rPr>
                <w:rFonts w:ascii="Courier New" w:hAnsi="Courier New" w:cs="Courier New"/>
              </w:rPr>
            </w:pPr>
            <w:r w:rsidRPr="00737BA9">
              <w:rPr>
                <w:rFonts w:ascii="Courier New" w:hAnsi="Courier New" w:cs="Courier New"/>
                <w:b/>
                <w:bCs/>
              </w:rPr>
              <w:t>V</w:t>
            </w:r>
            <w:r w:rsidRPr="00737BA9">
              <w:rPr>
                <w:rFonts w:ascii="Courier New" w:hAnsi="Courier New" w:cs="Courier New"/>
              </w:rPr>
              <w:t xml:space="preserve"> R P </w:t>
            </w:r>
            <w:r w:rsidRPr="00737BA9">
              <w:rPr>
                <w:rFonts w:ascii="Courier New" w:hAnsi="Courier New" w:cs="Courier New"/>
                <w:b/>
                <w:bCs/>
              </w:rPr>
              <w:t>E</w:t>
            </w:r>
            <w:r w:rsidRPr="00737BA9">
              <w:rPr>
                <w:rFonts w:ascii="Courier New" w:hAnsi="Courier New" w:cs="Courier New"/>
              </w:rPr>
              <w:t xml:space="preserve"> </w:t>
            </w:r>
            <w:r w:rsidRPr="00737BA9">
              <w:rPr>
                <w:rFonts w:ascii="Courier New" w:hAnsi="Courier New" w:cs="Courier New"/>
                <w:b/>
                <w:bCs/>
              </w:rPr>
              <w:t>H</w:t>
            </w:r>
            <w:r w:rsidRPr="00737BA9">
              <w:rPr>
                <w:rFonts w:ascii="Courier New" w:hAnsi="Courier New" w:cs="Courier New"/>
              </w:rPr>
              <w:t xml:space="preserve"> P A </w:t>
            </w:r>
            <w:r w:rsidRPr="00737BA9">
              <w:rPr>
                <w:rFonts w:ascii="Courier New" w:hAnsi="Courier New" w:cs="Courier New"/>
                <w:b/>
                <w:bCs/>
              </w:rPr>
              <w:t>E</w:t>
            </w:r>
            <w:r w:rsidRPr="00737BA9">
              <w:rPr>
                <w:rFonts w:ascii="Courier New" w:hAnsi="Courier New" w:cs="Courier New"/>
              </w:rPr>
              <w:t xml:space="preserve"> T </w:t>
            </w:r>
            <w:r w:rsidRPr="00737BA9">
              <w:rPr>
                <w:rFonts w:ascii="Courier New" w:hAnsi="Courier New" w:cs="Courier New"/>
                <w:b/>
                <w:bCs/>
              </w:rPr>
              <w:t>E</w:t>
            </w:r>
            <w:r w:rsidRPr="00737BA9">
              <w:rPr>
                <w:rFonts w:ascii="Courier New" w:hAnsi="Courier New" w:cs="Courier New"/>
              </w:rPr>
              <w:t xml:space="preserve"> </w:t>
            </w:r>
            <w:r w:rsidRPr="00737BA9">
              <w:rPr>
                <w:rFonts w:ascii="Courier New" w:hAnsi="Courier New" w:cs="Courier New"/>
                <w:b/>
                <w:bCs/>
              </w:rPr>
              <w:t>Y</w:t>
            </w:r>
            <w:r w:rsidRPr="00737BA9">
              <w:rPr>
                <w:rFonts w:ascii="Courier New" w:hAnsi="Courier New" w:cs="Courier New"/>
              </w:rPr>
              <w:t xml:space="preserve"> E S L Y P E D </w:t>
            </w:r>
            <w:proofErr w:type="spellStart"/>
            <w:r w:rsidRPr="00737BA9">
              <w:rPr>
                <w:rFonts w:ascii="Courier New" w:hAnsi="Courier New" w:cs="Courier New"/>
              </w:rPr>
              <w:t>D</w:t>
            </w:r>
            <w:proofErr w:type="spellEnd"/>
            <w:r w:rsidRPr="00737BA9">
              <w:rPr>
                <w:rFonts w:ascii="Courier New" w:hAnsi="Courier New" w:cs="Courier New"/>
              </w:rPr>
              <w:t xml:space="preserve"> L</w:t>
            </w:r>
          </w:p>
        </w:tc>
      </w:tr>
      <w:tr w:rsidR="005E1167" w:rsidRPr="00737BA9" w14:paraId="5FE2E309" w14:textId="77777777" w:rsidTr="00585D6B">
        <w:tc>
          <w:tcPr>
            <w:tcW w:w="0" w:type="auto"/>
            <w:hideMark/>
          </w:tcPr>
          <w:p w14:paraId="09DCBAE2" w14:textId="77777777" w:rsidR="005E1167" w:rsidRPr="00737BA9" w:rsidRDefault="005E1167" w:rsidP="005E1167">
            <w:pPr>
              <w:rPr>
                <w:rFonts w:ascii="Courier New" w:hAnsi="Courier New" w:cs="Courier New"/>
              </w:rPr>
            </w:pPr>
            <w:r w:rsidRPr="00737BA9">
              <w:rPr>
                <w:rFonts w:ascii="Courier New" w:hAnsi="Courier New" w:cs="Courier New"/>
              </w:rPr>
              <w:t>Rat γ′ (408-419)</w:t>
            </w:r>
          </w:p>
        </w:tc>
        <w:tc>
          <w:tcPr>
            <w:tcW w:w="0" w:type="auto"/>
            <w:hideMark/>
          </w:tcPr>
          <w:p w14:paraId="73FA2ED0" w14:textId="77777777" w:rsidR="005E1167" w:rsidRPr="00737BA9" w:rsidRDefault="005E1167" w:rsidP="005E1167">
            <w:pPr>
              <w:rPr>
                <w:rFonts w:ascii="Courier New" w:hAnsi="Courier New" w:cs="Courier New"/>
              </w:rPr>
            </w:pPr>
            <w:r w:rsidRPr="00737BA9">
              <w:rPr>
                <w:rFonts w:ascii="Courier New" w:hAnsi="Courier New" w:cs="Courier New"/>
                <w:b/>
                <w:bCs/>
              </w:rPr>
              <w:t>V</w:t>
            </w:r>
            <w:r w:rsidRPr="00737BA9">
              <w:rPr>
                <w:rFonts w:ascii="Courier New" w:hAnsi="Courier New" w:cs="Courier New"/>
              </w:rPr>
              <w:t xml:space="preserve"> S V </w:t>
            </w:r>
            <w:r w:rsidRPr="00737BA9">
              <w:rPr>
                <w:rFonts w:ascii="Courier New" w:hAnsi="Courier New" w:cs="Courier New"/>
                <w:b/>
                <w:bCs/>
              </w:rPr>
              <w:t>E</w:t>
            </w:r>
            <w:r w:rsidRPr="00737BA9">
              <w:rPr>
                <w:rFonts w:ascii="Courier New" w:hAnsi="Courier New" w:cs="Courier New"/>
              </w:rPr>
              <w:t xml:space="preserve"> </w:t>
            </w:r>
            <w:r w:rsidRPr="00737BA9">
              <w:rPr>
                <w:rFonts w:ascii="Courier New" w:hAnsi="Courier New" w:cs="Courier New"/>
                <w:b/>
                <w:bCs/>
              </w:rPr>
              <w:t>H</w:t>
            </w:r>
            <w:r w:rsidRPr="00737BA9">
              <w:rPr>
                <w:rFonts w:ascii="Courier New" w:hAnsi="Courier New" w:cs="Courier New"/>
              </w:rPr>
              <w:t xml:space="preserve"> E V </w:t>
            </w:r>
            <w:r w:rsidRPr="00737BA9">
              <w:rPr>
                <w:rFonts w:ascii="Courier New" w:hAnsi="Courier New" w:cs="Courier New"/>
                <w:b/>
                <w:bCs/>
              </w:rPr>
              <w:t>D</w:t>
            </w:r>
            <w:r w:rsidRPr="00737BA9">
              <w:rPr>
                <w:rFonts w:ascii="Courier New" w:hAnsi="Courier New" w:cs="Courier New"/>
              </w:rPr>
              <w:t xml:space="preserve"> V </w:t>
            </w:r>
            <w:r w:rsidRPr="00737BA9">
              <w:rPr>
                <w:rFonts w:ascii="Courier New" w:hAnsi="Courier New" w:cs="Courier New"/>
                <w:b/>
                <w:bCs/>
              </w:rPr>
              <w:t xml:space="preserve">E Y </w:t>
            </w:r>
            <w:r w:rsidRPr="00737BA9">
              <w:rPr>
                <w:rFonts w:ascii="Courier New" w:hAnsi="Courier New" w:cs="Courier New"/>
              </w:rPr>
              <w:t>P</w:t>
            </w:r>
          </w:p>
        </w:tc>
      </w:tr>
      <w:tr w:rsidR="005E1167" w:rsidRPr="00737BA9" w14:paraId="729A17DF" w14:textId="77777777" w:rsidTr="00585D6B">
        <w:tc>
          <w:tcPr>
            <w:tcW w:w="0" w:type="auto"/>
            <w:hideMark/>
          </w:tcPr>
          <w:p w14:paraId="1E2CCBAE" w14:textId="77777777" w:rsidR="005E1167" w:rsidRPr="00737BA9" w:rsidRDefault="005E1167" w:rsidP="005E1167">
            <w:pPr>
              <w:rPr>
                <w:rFonts w:ascii="Courier New" w:hAnsi="Courier New" w:cs="Courier New"/>
              </w:rPr>
            </w:pPr>
            <w:r w:rsidRPr="00737BA9">
              <w:rPr>
                <w:rFonts w:ascii="Courier New" w:hAnsi="Courier New" w:cs="Courier New"/>
              </w:rPr>
              <w:t>Bovine γ′ (408-419)</w:t>
            </w:r>
          </w:p>
        </w:tc>
        <w:tc>
          <w:tcPr>
            <w:tcW w:w="0" w:type="auto"/>
            <w:hideMark/>
          </w:tcPr>
          <w:p w14:paraId="378E8BE8" w14:textId="77777777" w:rsidR="005E1167" w:rsidRPr="00737BA9" w:rsidRDefault="005E1167" w:rsidP="005E1167">
            <w:pPr>
              <w:rPr>
                <w:rFonts w:ascii="Courier New" w:hAnsi="Courier New" w:cs="Courier New"/>
              </w:rPr>
            </w:pPr>
            <w:r w:rsidRPr="00737BA9">
              <w:rPr>
                <w:rFonts w:ascii="Courier New" w:hAnsi="Courier New" w:cs="Courier New"/>
                <w:b/>
                <w:bCs/>
              </w:rPr>
              <w:t>V</w:t>
            </w:r>
            <w:r w:rsidRPr="00737BA9">
              <w:rPr>
                <w:rFonts w:ascii="Courier New" w:hAnsi="Courier New" w:cs="Courier New"/>
              </w:rPr>
              <w:t xml:space="preserve"> R V </w:t>
            </w:r>
            <w:r w:rsidRPr="00737BA9">
              <w:rPr>
                <w:rFonts w:ascii="Courier New" w:hAnsi="Courier New" w:cs="Courier New"/>
                <w:b/>
                <w:bCs/>
              </w:rPr>
              <w:t>E</w:t>
            </w:r>
            <w:r w:rsidRPr="00737BA9">
              <w:rPr>
                <w:rFonts w:ascii="Courier New" w:hAnsi="Courier New" w:cs="Courier New"/>
              </w:rPr>
              <w:t xml:space="preserve"> </w:t>
            </w:r>
            <w:r w:rsidRPr="00737BA9">
              <w:rPr>
                <w:rFonts w:ascii="Courier New" w:hAnsi="Courier New" w:cs="Courier New"/>
                <w:b/>
                <w:bCs/>
              </w:rPr>
              <w:t>H</w:t>
            </w:r>
            <w:r w:rsidRPr="00737BA9">
              <w:rPr>
                <w:rFonts w:ascii="Courier New" w:hAnsi="Courier New" w:cs="Courier New"/>
              </w:rPr>
              <w:t xml:space="preserve"> </w:t>
            </w:r>
            <w:proofErr w:type="spellStart"/>
            <w:r w:rsidRPr="00737BA9">
              <w:rPr>
                <w:rFonts w:ascii="Courier New" w:hAnsi="Courier New" w:cs="Courier New"/>
              </w:rPr>
              <w:t>H</w:t>
            </w:r>
            <w:proofErr w:type="spellEnd"/>
            <w:r w:rsidRPr="00737BA9">
              <w:rPr>
                <w:rFonts w:ascii="Courier New" w:hAnsi="Courier New" w:cs="Courier New"/>
              </w:rPr>
              <w:t xml:space="preserve"> V </w:t>
            </w:r>
            <w:r w:rsidRPr="00737BA9">
              <w:rPr>
                <w:rFonts w:ascii="Courier New" w:hAnsi="Courier New" w:cs="Courier New"/>
                <w:b/>
                <w:bCs/>
              </w:rPr>
              <w:t>E</w:t>
            </w:r>
            <w:r w:rsidRPr="00737BA9">
              <w:rPr>
                <w:rFonts w:ascii="Courier New" w:hAnsi="Courier New" w:cs="Courier New"/>
              </w:rPr>
              <w:t xml:space="preserve"> I </w:t>
            </w:r>
            <w:r w:rsidRPr="00737BA9">
              <w:rPr>
                <w:rFonts w:ascii="Courier New" w:hAnsi="Courier New" w:cs="Courier New"/>
                <w:b/>
                <w:bCs/>
              </w:rPr>
              <w:t xml:space="preserve">E Y </w:t>
            </w:r>
            <w:r w:rsidRPr="00737BA9">
              <w:rPr>
                <w:rFonts w:ascii="Courier New" w:hAnsi="Courier New" w:cs="Courier New"/>
              </w:rPr>
              <w:t>D</w:t>
            </w:r>
          </w:p>
        </w:tc>
      </w:tr>
      <w:tr w:rsidR="005E1167" w:rsidRPr="00737BA9" w14:paraId="079F1704" w14:textId="77777777" w:rsidTr="00585D6B">
        <w:tc>
          <w:tcPr>
            <w:tcW w:w="0" w:type="auto"/>
            <w:hideMark/>
          </w:tcPr>
          <w:p w14:paraId="1C92C8FD" w14:textId="77777777" w:rsidR="005E1167" w:rsidRPr="00737BA9" w:rsidRDefault="005E1167" w:rsidP="005E1167">
            <w:pPr>
              <w:rPr>
                <w:rFonts w:ascii="Courier New" w:hAnsi="Courier New" w:cs="Courier New"/>
              </w:rPr>
            </w:pPr>
            <w:r w:rsidRPr="00737BA9">
              <w:rPr>
                <w:rFonts w:ascii="Courier New" w:hAnsi="Courier New" w:cs="Courier New"/>
              </w:rPr>
              <w:t>Hirudin (53-65)</w:t>
            </w:r>
          </w:p>
        </w:tc>
        <w:tc>
          <w:tcPr>
            <w:tcW w:w="0" w:type="auto"/>
            <w:hideMark/>
          </w:tcPr>
          <w:p w14:paraId="463558DE" w14:textId="77777777" w:rsidR="005E1167" w:rsidRPr="00737BA9" w:rsidRDefault="005E1167" w:rsidP="005E1167">
            <w:pPr>
              <w:rPr>
                <w:rFonts w:ascii="Courier New" w:hAnsi="Courier New" w:cs="Courier New"/>
              </w:rPr>
            </w:pPr>
            <w:r w:rsidRPr="00737BA9">
              <w:rPr>
                <w:rFonts w:ascii="Courier New" w:hAnsi="Courier New" w:cs="Courier New"/>
              </w:rPr>
              <w:t xml:space="preserve">N G D F E </w:t>
            </w:r>
            <w:proofErr w:type="spellStart"/>
            <w:r w:rsidRPr="00737BA9">
              <w:rPr>
                <w:rFonts w:ascii="Courier New" w:hAnsi="Courier New" w:cs="Courier New"/>
              </w:rPr>
              <w:t>E</w:t>
            </w:r>
            <w:proofErr w:type="spellEnd"/>
            <w:r w:rsidRPr="00737BA9">
              <w:rPr>
                <w:rFonts w:ascii="Courier New" w:hAnsi="Courier New" w:cs="Courier New"/>
              </w:rPr>
              <w:t xml:space="preserve"> I P E </w:t>
            </w:r>
            <w:proofErr w:type="spellStart"/>
            <w:r w:rsidRPr="00737BA9">
              <w:rPr>
                <w:rFonts w:ascii="Courier New" w:hAnsi="Courier New" w:cs="Courier New"/>
                <w:b/>
                <w:bCs/>
              </w:rPr>
              <w:t>E</w:t>
            </w:r>
            <w:proofErr w:type="spellEnd"/>
            <w:r w:rsidRPr="00737BA9">
              <w:rPr>
                <w:rFonts w:ascii="Courier New" w:hAnsi="Courier New" w:cs="Courier New"/>
                <w:b/>
                <w:bCs/>
              </w:rPr>
              <w:t xml:space="preserve"> Y </w:t>
            </w:r>
            <w:r w:rsidRPr="00737BA9">
              <w:rPr>
                <w:rFonts w:ascii="Courier New" w:hAnsi="Courier New" w:cs="Courier New"/>
              </w:rPr>
              <w:t>L Q</w:t>
            </w:r>
          </w:p>
        </w:tc>
      </w:tr>
    </w:tbl>
    <w:p w14:paraId="17490796" w14:textId="77777777" w:rsidR="009B340D" w:rsidRDefault="009B340D" w:rsidP="005E1167"/>
    <w:p w14:paraId="7D42AA2C" w14:textId="457BB8DF" w:rsidR="005E1167" w:rsidRPr="005E1167" w:rsidRDefault="005E1167" w:rsidP="005E1167">
      <w:proofErr w:type="spellStart"/>
      <w:r w:rsidRPr="005E1167">
        <w:t>γ</w:t>
      </w:r>
      <w:r w:rsidRPr="005E1167">
        <w:rPr>
          <w:vertAlign w:val="subscript"/>
        </w:rPr>
        <w:t>A</w:t>
      </w:r>
      <w:proofErr w:type="spellEnd"/>
      <w:r w:rsidRPr="005E1167">
        <w:t xml:space="preserve"> and γ′ chains are functionally equivalent with respect to factor </w:t>
      </w:r>
      <w:proofErr w:type="spellStart"/>
      <w:r w:rsidRPr="005E1167">
        <w:t>XIIIa</w:t>
      </w:r>
      <w:proofErr w:type="spellEnd"/>
      <w:r w:rsidRPr="005E1167">
        <w:t>-catalyzed cross-linking (</w:t>
      </w:r>
      <w:r w:rsidRPr="004D2723">
        <w:t>23</w:t>
      </w:r>
      <w:r w:rsidRPr="005E1167">
        <w:t xml:space="preserve">), but unlike the </w:t>
      </w:r>
      <w:proofErr w:type="spellStart"/>
      <w:r w:rsidRPr="005E1167">
        <w:t>γ</w:t>
      </w:r>
      <w:r w:rsidRPr="005E1167">
        <w:rPr>
          <w:vertAlign w:val="subscript"/>
        </w:rPr>
        <w:t>A</w:t>
      </w:r>
      <w:proofErr w:type="spellEnd"/>
      <w:r w:rsidRPr="005E1167">
        <w:t> chain, γ′ chains lack the complete platelet binding sequence, γ</w:t>
      </w:r>
      <w:r w:rsidRPr="005E1167">
        <w:rPr>
          <w:vertAlign w:val="subscript"/>
        </w:rPr>
        <w:t>A</w:t>
      </w:r>
      <w:r w:rsidRPr="005E1167">
        <w:t>400-411, and therefore do not support ADP-induced fibrinogen binding or platelet aggregation (</w:t>
      </w:r>
      <w:bookmarkStart w:id="37" w:name="bbib33"/>
      <w:r w:rsidRPr="004D2723">
        <w:t>33</w:t>
      </w:r>
      <w:bookmarkEnd w:id="37"/>
      <w:r w:rsidRPr="005E1167">
        <w:t>, </w:t>
      </w:r>
      <w:bookmarkStart w:id="38" w:name="bbib34"/>
      <w:r w:rsidRPr="004D2723">
        <w:t>34</w:t>
      </w:r>
      <w:bookmarkEnd w:id="38"/>
      <w:r w:rsidRPr="005E1167">
        <w:t>, </w:t>
      </w:r>
      <w:bookmarkStart w:id="39" w:name="bbib35"/>
      <w:r w:rsidRPr="004D2723">
        <w:t>35</w:t>
      </w:r>
      <w:bookmarkEnd w:id="39"/>
      <w:r w:rsidRPr="005E1167">
        <w:t>). Our group has recently presented evidence that plasma factor XIII binds specifically to γ′ chains (</w:t>
      </w:r>
      <w:bookmarkStart w:id="40" w:name="bbib36"/>
      <w:r w:rsidRPr="004D2723">
        <w:t>36</w:t>
      </w:r>
      <w:r w:rsidRPr="005E1167">
        <w:t>), but little else is known about its functions. In this report we present compelling evidence that the anionic carboxyl-terminal γ′ chain sequence situated in the fibrin D domain constitutes the high affinity thrombin binding site, which is itself separate and distinct from the low affinity thrombin binding sites that reside in the central E domain.</w:t>
      </w:r>
    </w:p>
    <w:p w14:paraId="01876342" w14:textId="77777777" w:rsidR="005E1167" w:rsidRPr="005E1167" w:rsidRDefault="005E1167" w:rsidP="00737BA9">
      <w:pPr>
        <w:pStyle w:val="Heading1"/>
      </w:pPr>
      <w:r w:rsidRPr="005E1167">
        <w:t>MATERIALS AND METHODS</w:t>
      </w:r>
    </w:p>
    <w:p w14:paraId="41F78576" w14:textId="7D68AE6D" w:rsidR="005E1167" w:rsidRPr="005E1167" w:rsidRDefault="005E1167" w:rsidP="005E1167">
      <w:r w:rsidRPr="005E1167">
        <w:t xml:space="preserve">Human </w:t>
      </w:r>
      <w:proofErr w:type="gramStart"/>
      <w:r w:rsidRPr="005E1167">
        <w:t>fibrinogen</w:t>
      </w:r>
      <w:proofErr w:type="gramEnd"/>
      <w:r w:rsidRPr="005E1167">
        <w:t xml:space="preserve"> fraction I-2 was isolated from normal citrated plasma by glycine precipitation (</w:t>
      </w:r>
      <w:bookmarkStart w:id="41" w:name="bbib37"/>
      <w:r w:rsidRPr="004D2723">
        <w:t>37</w:t>
      </w:r>
      <w:bookmarkEnd w:id="41"/>
      <w:r w:rsidRPr="005E1167">
        <w:t>) and separated into peaks 1 and 2 fibrinogen by anion exchange chromatography on DEAE-cellulose (</w:t>
      </w:r>
      <w:r w:rsidRPr="004D2723">
        <w:t>36</w:t>
      </w:r>
      <w:bookmarkEnd w:id="40"/>
      <w:r w:rsidRPr="005E1167">
        <w:t>). Des-Bβ1-42 fibrinogen was produced from peak 1 or peak 2 fibrinogen by digestion with </w:t>
      </w:r>
      <w:r w:rsidRPr="005E1167">
        <w:rPr>
          <w:i/>
          <w:iCs/>
        </w:rPr>
        <w:t xml:space="preserve">Crotalus </w:t>
      </w:r>
      <w:proofErr w:type="spellStart"/>
      <w:r w:rsidRPr="005E1167">
        <w:rPr>
          <w:i/>
          <w:iCs/>
        </w:rPr>
        <w:t>atrox</w:t>
      </w:r>
      <w:proofErr w:type="spellEnd"/>
      <w:r w:rsidRPr="005E1167">
        <w:t> protease III (</w:t>
      </w:r>
      <w:bookmarkStart w:id="42" w:name="bbib38"/>
      <w:r w:rsidRPr="004D2723">
        <w:t>38</w:t>
      </w:r>
      <w:r w:rsidRPr="005E1167">
        <w:t>). Fibrinogen concentrations were determined spectrophotometrically at 280 nm using an absorbance coefficient of 1.51 ml mg</w:t>
      </w:r>
      <w:r w:rsidRPr="005E1167">
        <w:rPr>
          <w:vertAlign w:val="superscript"/>
        </w:rPr>
        <w:t>−1</w:t>
      </w:r>
      <w:r w:rsidRPr="005E1167">
        <w:t> cm</w:t>
      </w:r>
      <w:r w:rsidRPr="005E1167">
        <w:rPr>
          <w:vertAlign w:val="superscript"/>
        </w:rPr>
        <w:t>−1</w:t>
      </w:r>
      <w:r w:rsidRPr="005E1167">
        <w:t> (</w:t>
      </w:r>
      <w:r w:rsidRPr="004D2723">
        <w:t>22</w:t>
      </w:r>
      <w:r w:rsidRPr="005E1167">
        <w:t>). Molecular weights of 340,000 and 325,000 were used for fibrinogen and des Bβ1-42 fibrinogen, respectively (</w:t>
      </w:r>
      <w:r w:rsidRPr="004D2723">
        <w:t>38</w:t>
      </w:r>
      <w:bookmarkEnd w:id="42"/>
      <w:r w:rsidRPr="005E1167">
        <w:t>, </w:t>
      </w:r>
      <w:bookmarkStart w:id="43" w:name="bbib39"/>
      <w:r w:rsidRPr="004D2723">
        <w:t>39</w:t>
      </w:r>
      <w:bookmarkEnd w:id="43"/>
      <w:r w:rsidRPr="005E1167">
        <w:t>).</w:t>
      </w:r>
    </w:p>
    <w:p w14:paraId="4FC7D955" w14:textId="02B04DDB" w:rsidR="005E1167" w:rsidRPr="005E1167" w:rsidRDefault="005E1167" w:rsidP="005E1167">
      <w:r w:rsidRPr="005E1167">
        <w:t xml:space="preserve">Fibrin-Sepharose was prepared by coupling </w:t>
      </w:r>
      <w:proofErr w:type="spellStart"/>
      <w:r w:rsidRPr="005E1167">
        <w:t>CNBr</w:t>
      </w:r>
      <w:proofErr w:type="spellEnd"/>
      <w:r w:rsidRPr="005E1167">
        <w:t>-activated Sepharose with peak 2 fibrinogen and then converting the resin-bound fibrinogen to fibrin in the presence of thrombin (2 units/ml) for 16 h at 4°C as described by Heene and Mathias (</w:t>
      </w:r>
      <w:bookmarkStart w:id="44" w:name="bbib40"/>
      <w:r w:rsidRPr="004D2723">
        <w:t>40</w:t>
      </w:r>
      <w:bookmarkEnd w:id="44"/>
      <w:r w:rsidRPr="005E1167">
        <w:t>). The fibrin-Sepharose was washed with 1.0 NaCl, 50 m HEPES pH 7.4 buffer, followed by 100 m NaCl, 50 m HEPES pH 7.4 buffer containing 50 m CaCl</w:t>
      </w:r>
      <w:r w:rsidRPr="005E1167">
        <w:rPr>
          <w:vertAlign w:val="subscript"/>
        </w:rPr>
        <w:t>2</w:t>
      </w:r>
      <w:r w:rsidRPr="005E1167">
        <w:t xml:space="preserve"> and 2 m </w:t>
      </w:r>
      <w:proofErr w:type="spellStart"/>
      <w:r w:rsidRPr="005E1167">
        <w:t>phenylmethylsulfonyl</w:t>
      </w:r>
      <w:proofErr w:type="spellEnd"/>
      <w:r w:rsidRPr="005E1167">
        <w:t xml:space="preserve"> fluoride.</w:t>
      </w:r>
    </w:p>
    <w:p w14:paraId="40E97289" w14:textId="788C9345" w:rsidR="005E1167" w:rsidRPr="005E1167" w:rsidRDefault="005E1167" w:rsidP="005E1167">
      <w:r w:rsidRPr="005E1167">
        <w:t>Human α-thrombin (specific activity, 3.04 units/</w:t>
      </w:r>
      <w:proofErr w:type="spellStart"/>
      <w:r w:rsidRPr="005E1167">
        <w:t>μg</w:t>
      </w:r>
      <w:proofErr w:type="spellEnd"/>
      <w:r w:rsidRPr="005E1167">
        <w:t>) was obtained from Enzyme Research Laboratories, Inc., South Bend, IN. A molecular weight of 36,500 and an absorbance coefficient of 1.83 ml mg</w:t>
      </w:r>
      <w:r w:rsidRPr="005E1167">
        <w:rPr>
          <w:vertAlign w:val="superscript"/>
        </w:rPr>
        <w:t>−1</w:t>
      </w:r>
      <w:r w:rsidRPr="005E1167">
        <w:t> cm</w:t>
      </w:r>
      <w:r w:rsidRPr="005E1167">
        <w:rPr>
          <w:vertAlign w:val="superscript"/>
        </w:rPr>
        <w:t>−1</w:t>
      </w:r>
      <w:r w:rsidRPr="005E1167">
        <w:t> were used for calculating thrombin concentrations (</w:t>
      </w:r>
      <w:bookmarkStart w:id="45" w:name="bbib41"/>
      <w:r w:rsidRPr="004D2723">
        <w:t>41</w:t>
      </w:r>
      <w:bookmarkEnd w:id="45"/>
      <w:r w:rsidRPr="005E1167">
        <w:t>). PPACK-thrombin was prepared by adding a 5-fold molar excess of PPACK (</w:t>
      </w:r>
      <w:proofErr w:type="spellStart"/>
      <w:r w:rsidRPr="005E1167">
        <w:t>Calbiochem</w:t>
      </w:r>
      <w:proofErr w:type="spellEnd"/>
      <w:r w:rsidRPr="005E1167">
        <w:t>) to α-thrombin and after dialysis the mixture was labeled with </w:t>
      </w:r>
      <w:r w:rsidRPr="005E1167">
        <w:rPr>
          <w:vertAlign w:val="superscript"/>
        </w:rPr>
        <w:t>125</w:t>
      </w:r>
      <w:r w:rsidRPr="005E1167">
        <w:t>I (</w:t>
      </w:r>
      <w:bookmarkStart w:id="46" w:name="bbib42"/>
      <w:r w:rsidRPr="004D2723">
        <w:t>42</w:t>
      </w:r>
      <w:bookmarkEnd w:id="46"/>
      <w:r w:rsidRPr="005E1167">
        <w:t>). The labeled protein was separated from free iodine by affinity chromatography on peak 2 fibrin-Sepharose CL-4B that had been equilibrated with 50 m HEPES, 100 m NaCl, pH 7.4, buffer containing 0.01% (w/v) PEG 8000. Elution of thrombin was achieved with HEPES buffer, pH 7.4, containing either 500 m NaCl or 40 m CaCl</w:t>
      </w:r>
      <w:r w:rsidRPr="005E1167">
        <w:rPr>
          <w:vertAlign w:val="subscript"/>
        </w:rPr>
        <w:t>2</w:t>
      </w:r>
      <w:r w:rsidRPr="005E1167">
        <w:t>.</w:t>
      </w:r>
    </w:p>
    <w:p w14:paraId="56DBD7BF" w14:textId="4194C7EA" w:rsidR="005E1167" w:rsidRPr="005E1167" w:rsidRDefault="005E1167" w:rsidP="005E1167">
      <w:r w:rsidRPr="005E1167">
        <w:t>Factor XIII (1.95 units/</w:t>
      </w:r>
      <w:proofErr w:type="spellStart"/>
      <w:r w:rsidRPr="005E1167">
        <w:t>μg</w:t>
      </w:r>
      <w:proofErr w:type="spellEnd"/>
      <w:r w:rsidRPr="005E1167">
        <w:t>) was prepared from pooled human plasma (</w:t>
      </w:r>
      <w:bookmarkStart w:id="47" w:name="bbib43"/>
      <w:r w:rsidRPr="004D2723">
        <w:t>43</w:t>
      </w:r>
      <w:bookmarkEnd w:id="47"/>
      <w:r w:rsidRPr="005E1167">
        <w:t>) and the activity assayed by the method of Loewy </w:t>
      </w:r>
      <w:r w:rsidRPr="005E1167">
        <w:rPr>
          <w:i/>
          <w:iCs/>
        </w:rPr>
        <w:t>et al.</w:t>
      </w:r>
      <w:r w:rsidRPr="005E1167">
        <w:t> (</w:t>
      </w:r>
      <w:bookmarkStart w:id="48" w:name="bbib44"/>
      <w:r w:rsidRPr="004D2723">
        <w:t>44</w:t>
      </w:r>
      <w:bookmarkEnd w:id="48"/>
      <w:r w:rsidRPr="005E1167">
        <w:t xml:space="preserve">). Factor XIII (500 units/ml) in 100 m NaCl, 50 m HEPES, pH 7.4, was activated to </w:t>
      </w:r>
      <w:proofErr w:type="spellStart"/>
      <w:r w:rsidRPr="005E1167">
        <w:t>XIIIa</w:t>
      </w:r>
      <w:proofErr w:type="spellEnd"/>
      <w:r w:rsidRPr="005E1167">
        <w:t xml:space="preserve"> in the presence of 500 μ dithiothreitol and 10 m CaCl</w:t>
      </w:r>
      <w:r w:rsidRPr="005E1167">
        <w:rPr>
          <w:vertAlign w:val="subscript"/>
        </w:rPr>
        <w:t>2</w:t>
      </w:r>
      <w:r w:rsidRPr="005E1167">
        <w:t> by incubation with thrombin (10 units/ml, final) for 30 min at 37°C (</w:t>
      </w:r>
      <w:bookmarkStart w:id="49" w:name="bbib45"/>
      <w:r w:rsidRPr="004D2723">
        <w:t>45</w:t>
      </w:r>
      <w:bookmarkEnd w:id="49"/>
      <w:r w:rsidRPr="005E1167">
        <w:t>).</w:t>
      </w:r>
    </w:p>
    <w:p w14:paraId="4AF09C65" w14:textId="155C031C" w:rsidR="005E1167" w:rsidRPr="005E1167" w:rsidRDefault="005E1167" w:rsidP="005E1167">
      <w:r w:rsidRPr="005E1167">
        <w:t>Thrombin-fibrin binding experiments were performed using a modification of the method reported by Liu </w:t>
      </w:r>
      <w:r w:rsidRPr="005E1167">
        <w:rPr>
          <w:i/>
          <w:iCs/>
        </w:rPr>
        <w:t>et al.</w:t>
      </w:r>
      <w:r w:rsidRPr="005E1167">
        <w:t> (</w:t>
      </w:r>
      <w:r w:rsidRPr="004D2723">
        <w:t>19</w:t>
      </w:r>
      <w:r w:rsidRPr="005E1167">
        <w:t>). Fibrin monomer solutions were prepared from fibrinogen clotted at 1 mg/ml in 60 m NaH</w:t>
      </w:r>
      <w:r w:rsidRPr="005E1167">
        <w:rPr>
          <w:vertAlign w:val="subscript"/>
        </w:rPr>
        <w:t>2</w:t>
      </w:r>
      <w:r w:rsidRPr="005E1167">
        <w:t>PO</w:t>
      </w:r>
      <w:r w:rsidRPr="005E1167">
        <w:rPr>
          <w:vertAlign w:val="subscript"/>
        </w:rPr>
        <w:t>4</w:t>
      </w:r>
      <w:r w:rsidRPr="005E1167">
        <w:t xml:space="preserve"> buffer, pH 6.4, with thrombin (1 unit/ml, final) for 2 h at room temperature. The clots were </w:t>
      </w:r>
      <w:proofErr w:type="spellStart"/>
      <w:r w:rsidRPr="005E1167">
        <w:t>synerized</w:t>
      </w:r>
      <w:proofErr w:type="spellEnd"/>
      <w:r w:rsidRPr="005E1167">
        <w:t xml:space="preserve"> and dissolved in 20 m acetic acid to &gt;10 mg/ml fibrin and repolymerized in a 10-fold excess of 100 m NaCl, 50 m Tris, pH 7.4, buffer containing 40 m CaCl</w:t>
      </w:r>
      <w:r w:rsidRPr="005E1167">
        <w:rPr>
          <w:vertAlign w:val="subscript"/>
        </w:rPr>
        <w:t>2</w:t>
      </w:r>
      <w:r w:rsidRPr="005E1167">
        <w:t> and 2 m </w:t>
      </w:r>
      <w:r w:rsidRPr="005E1167">
        <w:rPr>
          <w:i/>
          <w:iCs/>
        </w:rPr>
        <w:t>N</w:t>
      </w:r>
      <w:r w:rsidRPr="005E1167">
        <w:t xml:space="preserve">-ethylmaleimide. These clots were </w:t>
      </w:r>
      <w:proofErr w:type="spellStart"/>
      <w:r w:rsidRPr="005E1167">
        <w:t>synerized</w:t>
      </w:r>
      <w:proofErr w:type="spellEnd"/>
      <w:r w:rsidRPr="005E1167">
        <w:t xml:space="preserve"> and dissolved in 20 m acetic acid to a 10 mg/ml stock solution. Clots containing 0.5 or 1 nmol of fibrin were formed by adding a fibrin monomer solution to a 100 m NaCl, 50 m HEPES, 0.01% (w/v) PEG 8000, pH 7.4, buffer containing varying amounts of </w:t>
      </w:r>
      <w:r w:rsidRPr="005E1167">
        <w:rPr>
          <w:vertAlign w:val="superscript"/>
        </w:rPr>
        <w:t>125</w:t>
      </w:r>
      <w:r w:rsidRPr="005E1167">
        <w:t>I-labeled PPACK-thrombin and incubated for 2 h at room temperature. Clot-bound thrombin was separated from free thrombin by syneresis of the clot. The final concentration of reactants in the clotting mixture were fibrin, 2.5 μ, </w:t>
      </w:r>
      <w:r w:rsidRPr="005E1167">
        <w:rPr>
          <w:vertAlign w:val="superscript"/>
        </w:rPr>
        <w:t>125</w:t>
      </w:r>
      <w:r w:rsidRPr="005E1167">
        <w:t xml:space="preserve">I-PPACK-thrombin, 0-37.5 μ, in a final volume of 200 or 400 </w:t>
      </w:r>
      <w:proofErr w:type="spellStart"/>
      <w:r w:rsidRPr="005E1167">
        <w:t>μl</w:t>
      </w:r>
      <w:proofErr w:type="spellEnd"/>
      <w:r w:rsidRPr="005E1167">
        <w:t xml:space="preserve">. For clotting mixtures containing des-Bβ1-42 fibrin, which polymerizes slowly and incompletely, full clot recovery (&gt;95%) was assured by cross-linking the fibrin with factor </w:t>
      </w:r>
      <w:proofErr w:type="spellStart"/>
      <w:r w:rsidRPr="005E1167">
        <w:t>XIIIa</w:t>
      </w:r>
      <w:proofErr w:type="spellEnd"/>
      <w:r w:rsidRPr="005E1167">
        <w:t xml:space="preserve"> (25 units/ml) for 2 h at room temperature. After the incubation period, tubes were </w:t>
      </w:r>
      <w:proofErr w:type="gramStart"/>
      <w:r w:rsidRPr="005E1167">
        <w:t>centrifuged</w:t>
      </w:r>
      <w:proofErr w:type="gramEnd"/>
      <w:r w:rsidRPr="005E1167">
        <w:t xml:space="preserve"> and thrombin-bound clots separated from free thrombin by syneresis. The distribution of thrombin bound to the clot and free in solution was determined by radioactivity counting in a Packard Multi-</w:t>
      </w:r>
      <w:proofErr w:type="spellStart"/>
      <w:r w:rsidRPr="005E1167">
        <w:t>prias</w:t>
      </w:r>
      <w:proofErr w:type="spellEnd"/>
      <w:r w:rsidRPr="005E1167">
        <w:t xml:space="preserve"> 4 γ counter. The amount of thrombin trapped in the clot was estimated from the radioactive counts that were retained in cross-linked clots of peak 1 or des-Bβ1-42 peak 1 fibrin in the presence of 25 μ S-Hir</w:t>
      </w:r>
      <w:r w:rsidRPr="005E1167">
        <w:rPr>
          <w:vertAlign w:val="superscript"/>
        </w:rPr>
        <w:t>53-64</w:t>
      </w:r>
      <w:r w:rsidRPr="005E1167">
        <w:t xml:space="preserve">, which had been added to block thrombin </w:t>
      </w:r>
      <w:proofErr w:type="spellStart"/>
      <w:r w:rsidRPr="005E1167">
        <w:t>exosite</w:t>
      </w:r>
      <w:proofErr w:type="spellEnd"/>
      <w:r w:rsidRPr="005E1167">
        <w:t xml:space="preserve"> binding to fibrin.</w:t>
      </w:r>
    </w:p>
    <w:p w14:paraId="0BAC98A6" w14:textId="319E9902" w:rsidR="005E1167" w:rsidRPr="005E1167" w:rsidRDefault="005E1167" w:rsidP="005E1167">
      <w:r w:rsidRPr="005E1167">
        <w:t xml:space="preserve">The binding data were graphed as </w:t>
      </w:r>
      <w:proofErr w:type="spellStart"/>
      <w:r w:rsidRPr="005E1167">
        <w:t>Scatchard</w:t>
      </w:r>
      <w:proofErr w:type="spellEnd"/>
      <w:r w:rsidRPr="005E1167">
        <w:t xml:space="preserve"> plots (</w:t>
      </w:r>
      <w:bookmarkStart w:id="50" w:name="bbib46"/>
      <w:r w:rsidRPr="004D2723">
        <w:t>46</w:t>
      </w:r>
      <w:bookmarkEnd w:id="50"/>
      <w:r w:rsidRPr="005E1167">
        <w:t>). Data indicating a two-component system were deconvoluted by the method of Klotz and Hunston (</w:t>
      </w:r>
      <w:bookmarkStart w:id="51" w:name="bbib47"/>
      <w:r w:rsidRPr="004D2723">
        <w:t>47</w:t>
      </w:r>
      <w:r w:rsidRPr="005E1167">
        <w:t>). It was not technically feasible to reach thrombin concentrations which saturated the low affinity site in samples of peak 2 fibrin that contained high levels of the high affinity component. In these experiments, the low affinity component was defined by peak 1 (</w:t>
      </w:r>
      <w:proofErr w:type="spellStart"/>
      <w:r w:rsidRPr="005E1167">
        <w:t>γ</w:t>
      </w:r>
      <w:proofErr w:type="gramStart"/>
      <w:r w:rsidRPr="005E1167">
        <w:rPr>
          <w:vertAlign w:val="subscript"/>
        </w:rPr>
        <w:t>A</w:t>
      </w:r>
      <w:r w:rsidRPr="005E1167">
        <w:t>,γ</w:t>
      </w:r>
      <w:proofErr w:type="gramEnd"/>
      <w:r w:rsidRPr="005E1167">
        <w:rPr>
          <w:vertAlign w:val="subscript"/>
        </w:rPr>
        <w:t>A</w:t>
      </w:r>
      <w:proofErr w:type="spellEnd"/>
      <w:r w:rsidRPr="005E1167">
        <w:t>) fibrin values and was used for correcting high affinity values (</w:t>
      </w:r>
      <w:r w:rsidRPr="004D2723">
        <w:t>47</w:t>
      </w:r>
      <w:bookmarkEnd w:id="51"/>
      <w:r w:rsidRPr="005E1167">
        <w:t xml:space="preserve">). High affinity thrombin binding to des Bβ1-42 peak 2 fibrin was not significantly affected by a low affinity binding component, and these data were therefore not corrected. The level of thrombin entrapment in the clots (≤4% of total counts) did not significantly </w:t>
      </w:r>
      <w:proofErr w:type="gramStart"/>
      <w:r w:rsidRPr="005E1167">
        <w:t>effect</w:t>
      </w:r>
      <w:proofErr w:type="gramEnd"/>
      <w:r w:rsidRPr="005E1167">
        <w:t xml:space="preserve"> binding parameters, and therefore no corrections were applied to the data.</w:t>
      </w:r>
    </w:p>
    <w:p w14:paraId="7768D67E" w14:textId="2C3974F7" w:rsidR="005E1167" w:rsidRPr="005E1167" w:rsidRDefault="005E1167" w:rsidP="005E1167">
      <w:r w:rsidRPr="005E1167">
        <w:t xml:space="preserve">Competitive binding experiments involving thrombin anionic </w:t>
      </w:r>
      <w:proofErr w:type="spellStart"/>
      <w:r w:rsidRPr="005E1167">
        <w:t>exosite</w:t>
      </w:r>
      <w:proofErr w:type="spellEnd"/>
      <w:r w:rsidRPr="005E1167">
        <w:t xml:space="preserve"> binding were performed with the sulfated hirudin peptide, S-Hir </w:t>
      </w:r>
      <w:r w:rsidRPr="005E1167">
        <w:rPr>
          <w:vertAlign w:val="superscript"/>
        </w:rPr>
        <w:t>53-64</w:t>
      </w:r>
      <w:r w:rsidRPr="005E1167">
        <w:t xml:space="preserve">, which was a generous gift from Dr. John </w:t>
      </w:r>
      <w:proofErr w:type="spellStart"/>
      <w:r w:rsidRPr="005E1167">
        <w:t>Maraganore</w:t>
      </w:r>
      <w:proofErr w:type="spellEnd"/>
      <w:r w:rsidRPr="005E1167">
        <w:t xml:space="preserve"> of Biogen Inc., Cambridge, MA. </w:t>
      </w:r>
      <w:proofErr w:type="spellStart"/>
      <w:r w:rsidRPr="005E1167">
        <w:t>Hirugen</w:t>
      </w:r>
      <w:proofErr w:type="spellEnd"/>
      <w:r w:rsidRPr="005E1167">
        <w:t xml:space="preserve"> at concentrations up to 40 μ was added to </w:t>
      </w:r>
      <w:r w:rsidRPr="005E1167">
        <w:rPr>
          <w:vertAlign w:val="superscript"/>
        </w:rPr>
        <w:t>125</w:t>
      </w:r>
      <w:r w:rsidRPr="005E1167">
        <w:t xml:space="preserve">I-PPACK-thrombin (1 μ) and 0.5 nmol of fibrin at a final volume of 200 </w:t>
      </w:r>
      <w:proofErr w:type="spellStart"/>
      <w:r w:rsidRPr="005E1167">
        <w:t>μl</w:t>
      </w:r>
      <w:proofErr w:type="spellEnd"/>
      <w:r w:rsidRPr="005E1167">
        <w:t xml:space="preserve"> as described above for thrombin binding measurements. Peptide concentrations were estimated spectrophotometrically at 215 nm using an absorbance coefficient of 15.0 ml mg</w:t>
      </w:r>
      <w:r w:rsidRPr="005E1167">
        <w:rPr>
          <w:vertAlign w:val="superscript"/>
        </w:rPr>
        <w:t>−1</w:t>
      </w:r>
      <w:r w:rsidRPr="005E1167">
        <w:t> cm</w:t>
      </w:r>
      <w:r w:rsidRPr="005E1167">
        <w:rPr>
          <w:vertAlign w:val="superscript"/>
        </w:rPr>
        <w:t>−1</w:t>
      </w:r>
      <w:r w:rsidRPr="005E1167">
        <w:t> (</w:t>
      </w:r>
      <w:bookmarkStart w:id="52" w:name="bbib48"/>
      <w:r w:rsidRPr="004D2723">
        <w:t>48</w:t>
      </w:r>
      <w:bookmarkEnd w:id="52"/>
      <w:r w:rsidRPr="005E1167">
        <w:t>).</w:t>
      </w:r>
    </w:p>
    <w:p w14:paraId="0BF996D7" w14:textId="77777777" w:rsidR="005E1167" w:rsidRPr="005E1167" w:rsidRDefault="005E1167" w:rsidP="005E1167">
      <w:r w:rsidRPr="005E1167">
        <w:t xml:space="preserve">A </w:t>
      </w:r>
      <w:proofErr w:type="spellStart"/>
      <w:r w:rsidRPr="005E1167">
        <w:t>Fibrometer</w:t>
      </w:r>
      <w:proofErr w:type="spellEnd"/>
      <w:r w:rsidRPr="005E1167">
        <w:t xml:space="preserve"> Precision Coagulation Timer (BBL Microbiology Systems) was used to determine the thrombin time for the conversion of fibrinogen (1 mg/ml final) to fibrin in 50 m Tris, 100 m NaCl, pH 7.4 at 37°C at a thrombin level of 0.6 unit/ml. Hydrolysis of S-2238 (H–phenylalanyl–</w:t>
      </w:r>
      <w:proofErr w:type="spellStart"/>
      <w:r w:rsidRPr="005E1167">
        <w:t>pipecolyl</w:t>
      </w:r>
      <w:proofErr w:type="spellEnd"/>
      <w:r w:rsidRPr="005E1167">
        <w:t>–arginine-</w:t>
      </w:r>
      <w:r w:rsidRPr="005E1167">
        <w:rPr>
          <w:i/>
          <w:iCs/>
        </w:rPr>
        <w:t>p</w:t>
      </w:r>
      <w:r w:rsidRPr="005E1167">
        <w:t xml:space="preserve">-nitroanilide dihydrochloride; </w:t>
      </w:r>
      <w:proofErr w:type="spellStart"/>
      <w:r w:rsidRPr="005E1167">
        <w:t>Chromogenix</w:t>
      </w:r>
      <w:proofErr w:type="spellEnd"/>
      <w:r w:rsidRPr="005E1167">
        <w:t xml:space="preserve">, </w:t>
      </w:r>
      <w:proofErr w:type="spellStart"/>
      <w:r w:rsidRPr="005E1167">
        <w:t>Mölndal</w:t>
      </w:r>
      <w:proofErr w:type="spellEnd"/>
      <w:r w:rsidRPr="005E1167">
        <w:t>, Sweden) by thrombin (3.2 n) in 0.10 NaCl, 0.05 Tris, pH 7.5 buffer, was monitored at 405 nm at room temperature. Samples contained S-2238 (50 μ), with or without peak 1 fibrin (1 μ), or peak 2 fibrin (1 μ). The hydrolysis rate was estimated from the increase in absorbance at 405 nm during the first 3 min of the reaction.</w:t>
      </w:r>
    </w:p>
    <w:p w14:paraId="011C5B59" w14:textId="77777777" w:rsidR="005E1167" w:rsidRPr="005E1167" w:rsidRDefault="005E1167" w:rsidP="00737BA9">
      <w:pPr>
        <w:pStyle w:val="Heading1"/>
      </w:pPr>
      <w:r w:rsidRPr="005E1167">
        <w:t>RESULTS</w:t>
      </w:r>
    </w:p>
    <w:p w14:paraId="37E92360" w14:textId="77777777" w:rsidR="005E1167" w:rsidRPr="005E1167" w:rsidRDefault="005E1167" w:rsidP="00737BA9">
      <w:pPr>
        <w:pStyle w:val="Heading2"/>
      </w:pPr>
      <w:r w:rsidRPr="005E1167">
        <w:t>Thrombin Binding to Fibrin</w:t>
      </w:r>
    </w:p>
    <w:p w14:paraId="05FEDCA4" w14:textId="7B0BDB02" w:rsidR="005E1167" w:rsidRPr="005E1167" w:rsidRDefault="005E1167" w:rsidP="005E1167">
      <w:r w:rsidRPr="005E1167">
        <w:t xml:space="preserve">In our studies of thrombin binding to fibrin we found it useful as a general condition to covalently cross-link the fibrin polymer in the presence of factor </w:t>
      </w:r>
      <w:proofErr w:type="spellStart"/>
      <w:r w:rsidRPr="005E1167">
        <w:t>XIIIa</w:t>
      </w:r>
      <w:proofErr w:type="spellEnd"/>
      <w:r w:rsidRPr="005E1167">
        <w:t xml:space="preserve"> during the binding experiment </w:t>
      </w:r>
      <w:proofErr w:type="gramStart"/>
      <w:r w:rsidRPr="005E1167">
        <w:t>in order to</w:t>
      </w:r>
      <w:proofErr w:type="gramEnd"/>
      <w:r w:rsidRPr="005E1167">
        <w:t xml:space="preserve"> assure complete fibrin recovery (&gt;95%). This procedure was particularly useful for recovering des Bβ1-42 fibrin clots, which polymerize slowly and incompletely in the absence of cross-linking (</w:t>
      </w:r>
      <w:bookmarkStart w:id="53" w:name="bbib49"/>
      <w:r w:rsidRPr="004D2723">
        <w:t>49</w:t>
      </w:r>
      <w:r w:rsidRPr="005E1167">
        <w:t>). There were no significant differences in thrombin binding behavior to cross-linked and non-cross-linked fibrin (</w:t>
      </w:r>
      <w:bookmarkStart w:id="54" w:name="bfig1"/>
      <w:r w:rsidRPr="004D2723">
        <w:t>Fig. 1</w:t>
      </w:r>
      <w:bookmarkEnd w:id="54"/>
      <w:r w:rsidRPr="005E1167">
        <w:t>), confirming the findings of Liu </w:t>
      </w:r>
      <w:r w:rsidRPr="005E1167">
        <w:rPr>
          <w:i/>
          <w:iCs/>
        </w:rPr>
        <w:t>et al.</w:t>
      </w:r>
      <w:r w:rsidRPr="005E1167">
        <w:t> (</w:t>
      </w:r>
      <w:bookmarkStart w:id="55" w:name="bbib50"/>
      <w:r w:rsidRPr="004D2723">
        <w:t>50</w:t>
      </w:r>
      <w:bookmarkEnd w:id="55"/>
      <w:r w:rsidRPr="005E1167">
        <w:t>). Thrombin entrapment in the clot, as assessed in the presence of 25 μ S-Hir</w:t>
      </w:r>
      <w:r w:rsidRPr="005E1167">
        <w:rPr>
          <w:vertAlign w:val="superscript"/>
        </w:rPr>
        <w:t>53-64</w:t>
      </w:r>
      <w:r w:rsidRPr="005E1167">
        <w:t>, was ≤4% of the total counts and did not significantly change any of the calculated binding parameters.</w:t>
      </w:r>
    </w:p>
    <w:p w14:paraId="1D633873" w14:textId="33DF85A5" w:rsidR="005E1167" w:rsidRPr="005E1167" w:rsidRDefault="005E1167" w:rsidP="00737BA9">
      <w:pPr>
        <w:pStyle w:val="NoSpacing"/>
      </w:pPr>
      <w:r w:rsidRPr="005E1167">
        <w:rPr>
          <w:noProof/>
        </w:rPr>
        <w:drawing>
          <wp:inline distT="0" distB="0" distL="0" distR="0" wp14:anchorId="4BA77CD9" wp14:editId="06FEF7FA">
            <wp:extent cx="1828800" cy="1481328"/>
            <wp:effectExtent l="0" t="0" r="0" b="508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0" cy="1481328"/>
                    </a:xfrm>
                    <a:prstGeom prst="rect">
                      <a:avLst/>
                    </a:prstGeom>
                    <a:noFill/>
                    <a:ln>
                      <a:noFill/>
                    </a:ln>
                  </pic:spPr>
                </pic:pic>
              </a:graphicData>
            </a:graphic>
          </wp:inline>
        </w:drawing>
      </w:r>
    </w:p>
    <w:p w14:paraId="06A8C0FF" w14:textId="77777777" w:rsidR="005E1167" w:rsidRDefault="005E1167" w:rsidP="00737BA9">
      <w:pPr>
        <w:pStyle w:val="NoSpacing"/>
      </w:pPr>
      <w:r w:rsidRPr="005E1167">
        <w:t>Fig. 1. </w:t>
      </w:r>
      <w:r w:rsidRPr="005E1167">
        <w:rPr>
          <w:b/>
          <w:bCs/>
          <w:vertAlign w:val="superscript"/>
        </w:rPr>
        <w:t>125</w:t>
      </w:r>
      <w:r w:rsidRPr="005E1167">
        <w:rPr>
          <w:b/>
          <w:bCs/>
        </w:rPr>
        <w:t xml:space="preserve">I-PPACK-thrombin binding to factor </w:t>
      </w:r>
      <w:proofErr w:type="spellStart"/>
      <w:r w:rsidRPr="005E1167">
        <w:rPr>
          <w:b/>
          <w:bCs/>
        </w:rPr>
        <w:t>XIIIa</w:t>
      </w:r>
      <w:proofErr w:type="spellEnd"/>
      <w:r w:rsidRPr="005E1167">
        <w:rPr>
          <w:b/>
          <w:bCs/>
        </w:rPr>
        <w:t>-cross-linked (•; –) and non-cross-linked (</w:t>
      </w:r>
      <w:r w:rsidRPr="005E1167">
        <w:rPr>
          <w:rFonts w:ascii="Cambria Math" w:hAnsi="Cambria Math" w:cs="Cambria Math"/>
          <w:b/>
          <w:bCs/>
        </w:rPr>
        <w:t>∘</w:t>
      </w:r>
      <w:r w:rsidRPr="005E1167">
        <w:rPr>
          <w:b/>
          <w:bCs/>
        </w:rPr>
        <w:t>; - - - -) peak 1 or peak 2 fibrin.</w:t>
      </w:r>
      <w:r w:rsidRPr="005E1167">
        <w:t> The curves represent the mean values of three to six separate experiments for each condition. The regression coefficients for the curves ranged from 0.91-0.98.</w:t>
      </w:r>
    </w:p>
    <w:p w14:paraId="15000A4E" w14:textId="77777777" w:rsidR="00737BA9" w:rsidRPr="005E1167" w:rsidRDefault="00737BA9" w:rsidP="005E1167"/>
    <w:p w14:paraId="1300B97A" w14:textId="77777777" w:rsidR="005E1167" w:rsidRPr="005E1167" w:rsidRDefault="005E1167" w:rsidP="00737BA9">
      <w:pPr>
        <w:pStyle w:val="Heading2"/>
      </w:pPr>
      <w:r w:rsidRPr="005E1167">
        <w:t>Low and High Affinity Binding Sites</w:t>
      </w:r>
    </w:p>
    <w:p w14:paraId="1DD848B1" w14:textId="7BBBBA94" w:rsidR="005E1167" w:rsidRPr="005E1167" w:rsidRDefault="005E1167" w:rsidP="005E1167">
      <w:r w:rsidRPr="005E1167">
        <w:t>Our previous study with des-Bβ1-42 fibrin had indicated that the β15-42 sequence was a component of the non-substrate thrombin binding site in the fibrin E domain (</w:t>
      </w:r>
      <w:r w:rsidRPr="004D2723">
        <w:t>49</w:t>
      </w:r>
      <w:r w:rsidRPr="005E1167">
        <w:t xml:space="preserve">). To extend those observations we carried out a systematic study of non-substrate thrombin binding to several fibrin preparations that differed with respect to their γ chain composition, their Bβ1-42 content, or both. Fraction I-2 fibrin, which has </w:t>
      </w:r>
      <w:r w:rsidRPr="005E1167">
        <w:rPr>
          <w:rFonts w:ascii="Cambria Math" w:hAnsi="Cambria Math" w:cs="Cambria Math"/>
        </w:rPr>
        <w:t>∼</w:t>
      </w:r>
      <w:r w:rsidRPr="005E1167">
        <w:t>15%</w:t>
      </w:r>
      <w:r w:rsidRPr="005E1167">
        <w:rPr>
          <w:rFonts w:ascii="Calibri" w:hAnsi="Calibri" w:cs="Calibri"/>
        </w:rPr>
        <w:t>γ′</w:t>
      </w:r>
      <w:r w:rsidRPr="005E1167">
        <w:t>-containing molecules (</w:t>
      </w:r>
      <w:r w:rsidRPr="004D2723">
        <w:t>22</w:t>
      </w:r>
      <w:r w:rsidRPr="005E1167">
        <w:t>), was studied first (</w:t>
      </w:r>
      <w:bookmarkStart w:id="56" w:name="bfig2"/>
      <w:r w:rsidRPr="004D2723">
        <w:t>Fig. 2</w:t>
      </w:r>
      <w:r w:rsidRPr="005E1167">
        <w:t xml:space="preserve">). As assessed from the </w:t>
      </w:r>
      <w:proofErr w:type="spellStart"/>
      <w:r w:rsidRPr="005E1167">
        <w:t>Scatchard</w:t>
      </w:r>
      <w:proofErr w:type="spellEnd"/>
      <w:r w:rsidRPr="005E1167">
        <w:t xml:space="preserve"> plot, our results correspond to those reported by Liu </w:t>
      </w:r>
      <w:r w:rsidRPr="005E1167">
        <w:rPr>
          <w:i/>
          <w:iCs/>
        </w:rPr>
        <w:t>et al.</w:t>
      </w:r>
      <w:r w:rsidRPr="005E1167">
        <w:t> (</w:t>
      </w:r>
      <w:r w:rsidRPr="004D2723">
        <w:t>19</w:t>
      </w:r>
      <w:r w:rsidRPr="005E1167">
        <w:t>), who studied a similar fibrinogen subfraction. The data indicate two classes of binding sites, one of high affinity (</w:t>
      </w:r>
      <w:r w:rsidRPr="005E1167">
        <w:rPr>
          <w:i/>
          <w:iCs/>
        </w:rPr>
        <w:t>K</w:t>
      </w:r>
      <w:r w:rsidRPr="005E1167">
        <w:rPr>
          <w:i/>
          <w:iCs/>
          <w:vertAlign w:val="subscript"/>
        </w:rPr>
        <w:t>a</w:t>
      </w:r>
      <w:r w:rsidRPr="005E1167">
        <w:t>, 5.5 × 10</w:t>
      </w:r>
      <w:r w:rsidRPr="005E1167">
        <w:rPr>
          <w:vertAlign w:val="superscript"/>
        </w:rPr>
        <w:t>6−1</w:t>
      </w:r>
      <w:r w:rsidRPr="005E1167">
        <w:t>) and the other of low affinity (</w:t>
      </w:r>
      <w:r w:rsidRPr="005E1167">
        <w:rPr>
          <w:i/>
          <w:iCs/>
        </w:rPr>
        <w:t>K</w:t>
      </w:r>
      <w:r w:rsidRPr="005E1167">
        <w:rPr>
          <w:i/>
          <w:iCs/>
          <w:vertAlign w:val="subscript"/>
        </w:rPr>
        <w:t>a</w:t>
      </w:r>
      <w:r w:rsidRPr="005E1167">
        <w:t>, 0.45 × 10</w:t>
      </w:r>
      <w:r w:rsidRPr="005E1167">
        <w:rPr>
          <w:vertAlign w:val="superscript"/>
        </w:rPr>
        <w:t>6−1</w:t>
      </w:r>
      <w:r w:rsidRPr="005E1167">
        <w:t>) (</w:t>
      </w:r>
      <w:bookmarkStart w:id="57" w:name="btblII"/>
      <w:r w:rsidRPr="004D2723">
        <w:t>Table II</w:t>
      </w:r>
      <w:r w:rsidRPr="005E1167">
        <w:t>).</w:t>
      </w:r>
    </w:p>
    <w:p w14:paraId="0D696E8E" w14:textId="3FE164BB" w:rsidR="005E1167" w:rsidRPr="005E1167" w:rsidRDefault="005E1167" w:rsidP="00737BA9">
      <w:pPr>
        <w:pStyle w:val="NoSpacing"/>
      </w:pPr>
      <w:r w:rsidRPr="005E1167">
        <w:rPr>
          <w:noProof/>
        </w:rPr>
        <w:drawing>
          <wp:inline distT="0" distB="0" distL="0" distR="0" wp14:anchorId="736D61E7" wp14:editId="7E7BF793">
            <wp:extent cx="1828800" cy="1508760"/>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8800" cy="1508760"/>
                    </a:xfrm>
                    <a:prstGeom prst="rect">
                      <a:avLst/>
                    </a:prstGeom>
                    <a:noFill/>
                    <a:ln>
                      <a:noFill/>
                    </a:ln>
                  </pic:spPr>
                </pic:pic>
              </a:graphicData>
            </a:graphic>
          </wp:inline>
        </w:drawing>
      </w:r>
    </w:p>
    <w:p w14:paraId="7320C37A" w14:textId="77777777" w:rsidR="005E1167" w:rsidRDefault="005E1167" w:rsidP="00737BA9">
      <w:pPr>
        <w:pStyle w:val="NoSpacing"/>
      </w:pPr>
      <w:r w:rsidRPr="005E1167">
        <w:t>Fig. 2. </w:t>
      </w:r>
      <w:proofErr w:type="spellStart"/>
      <w:r w:rsidRPr="005E1167">
        <w:rPr>
          <w:b/>
          <w:bCs/>
        </w:rPr>
        <w:t>Scatchard</w:t>
      </w:r>
      <w:proofErr w:type="spellEnd"/>
      <w:r w:rsidRPr="005E1167">
        <w:rPr>
          <w:b/>
          <w:bCs/>
        </w:rPr>
        <w:t xml:space="preserve"> analysis of the binding of</w:t>
      </w:r>
      <w:r w:rsidRPr="005E1167">
        <w:t> </w:t>
      </w:r>
      <w:r w:rsidRPr="005E1167">
        <w:rPr>
          <w:b/>
          <w:bCs/>
          <w:vertAlign w:val="superscript"/>
        </w:rPr>
        <w:t>125</w:t>
      </w:r>
      <w:r w:rsidRPr="005E1167">
        <w:rPr>
          <w:b/>
          <w:bCs/>
        </w:rPr>
        <w:t>I-PPACK-thrombin to fraction.</w:t>
      </w:r>
      <w:r w:rsidRPr="005E1167">
        <w:t> I-2 fibrin (•) peak 1 fibrin (</w:t>
      </w:r>
      <w:r w:rsidRPr="005E1167">
        <w:rPr>
          <w:rFonts w:ascii="Cambria Math" w:hAnsi="Cambria Math" w:cs="Cambria Math"/>
        </w:rPr>
        <w:t>∘</w:t>
      </w:r>
      <w:r w:rsidRPr="005E1167">
        <w:t>). The</w:t>
      </w:r>
      <w:r w:rsidRPr="005E1167">
        <w:rPr>
          <w:rFonts w:ascii="Calibri" w:hAnsi="Calibri" w:cs="Calibri"/>
        </w:rPr>
        <w:t> </w:t>
      </w:r>
      <w:r w:rsidRPr="005E1167">
        <w:rPr>
          <w:i/>
          <w:iCs/>
        </w:rPr>
        <w:t>dashed line</w:t>
      </w:r>
      <w:r w:rsidRPr="005E1167">
        <w:t> represents the slope of the high affinity binding component in fraction I-2 fibrin. The </w:t>
      </w:r>
      <w:r w:rsidRPr="005E1167">
        <w:rPr>
          <w:i/>
          <w:iCs/>
        </w:rPr>
        <w:t>broken line</w:t>
      </w:r>
      <w:r w:rsidRPr="005E1167">
        <w:t> represents the slope of the low affinity component in peak 1 fibrin.</w:t>
      </w:r>
    </w:p>
    <w:p w14:paraId="284026A3" w14:textId="77777777" w:rsidR="00737BA9" w:rsidRPr="005E1167" w:rsidRDefault="00737BA9" w:rsidP="005E1167"/>
    <w:p w14:paraId="4AF8070F" w14:textId="77777777" w:rsidR="005E1167" w:rsidRPr="005E1167" w:rsidRDefault="005E1167" w:rsidP="005E1167">
      <w:r w:rsidRPr="005E1167">
        <w:t xml:space="preserve">Table </w:t>
      </w:r>
      <w:proofErr w:type="gramStart"/>
      <w:r w:rsidRPr="005E1167">
        <w:t>II..</w:t>
      </w:r>
      <w:proofErr w:type="gramEnd"/>
    </w:p>
    <w:tbl>
      <w:tblPr>
        <w:tblStyle w:val="TableGrid"/>
        <w:tblW w:w="0" w:type="auto"/>
        <w:tblLook w:val="04A0" w:firstRow="1" w:lastRow="0" w:firstColumn="1" w:lastColumn="0" w:noHBand="0" w:noVBand="1"/>
      </w:tblPr>
      <w:tblGrid>
        <w:gridCol w:w="1716"/>
        <w:gridCol w:w="333"/>
        <w:gridCol w:w="1573"/>
        <w:gridCol w:w="1802"/>
        <w:gridCol w:w="333"/>
        <w:gridCol w:w="1693"/>
        <w:gridCol w:w="1900"/>
      </w:tblGrid>
      <w:tr w:rsidR="00737BA9" w:rsidRPr="005E1167" w14:paraId="32EB4E43" w14:textId="77777777" w:rsidTr="00B93B06">
        <w:tc>
          <w:tcPr>
            <w:tcW w:w="0" w:type="auto"/>
            <w:hideMark/>
          </w:tcPr>
          <w:p w14:paraId="2833A3B1" w14:textId="77777777" w:rsidR="00737BA9" w:rsidRPr="005E1167" w:rsidRDefault="00737BA9" w:rsidP="005E1167">
            <w:pPr>
              <w:rPr>
                <w:b/>
                <w:bCs/>
              </w:rPr>
            </w:pPr>
            <w:r w:rsidRPr="005E1167">
              <w:rPr>
                <w:b/>
                <w:bCs/>
              </w:rPr>
              <w:t>Fibrin fraction</w:t>
            </w:r>
          </w:p>
        </w:tc>
        <w:tc>
          <w:tcPr>
            <w:tcW w:w="0" w:type="auto"/>
            <w:hideMark/>
          </w:tcPr>
          <w:p w14:paraId="601B7D96" w14:textId="77777777" w:rsidR="00737BA9" w:rsidRPr="005E1167" w:rsidRDefault="00737BA9" w:rsidP="005E1167">
            <w:pPr>
              <w:rPr>
                <w:b/>
                <w:bCs/>
              </w:rPr>
            </w:pPr>
            <w:r w:rsidRPr="005E1167">
              <w:rPr>
                <w:b/>
                <w:bCs/>
                <w:i/>
                <w:iCs/>
              </w:rPr>
              <w:t>n</w:t>
            </w:r>
          </w:p>
        </w:tc>
        <w:tc>
          <w:tcPr>
            <w:tcW w:w="0" w:type="auto"/>
            <w:hideMark/>
          </w:tcPr>
          <w:p w14:paraId="3A21505F" w14:textId="720A97BC" w:rsidR="00737BA9" w:rsidRPr="005E1167" w:rsidRDefault="00737BA9" w:rsidP="005E1167">
            <w:pPr>
              <w:rPr>
                <w:b/>
                <w:bCs/>
              </w:rPr>
            </w:pPr>
            <w:r w:rsidRPr="005E1167">
              <w:rPr>
                <w:b/>
                <w:bCs/>
              </w:rPr>
              <w:t xml:space="preserve">High affinity </w:t>
            </w:r>
            <w:proofErr w:type="spellStart"/>
            <w:r w:rsidRPr="005E1167">
              <w:rPr>
                <w:b/>
                <w:bCs/>
              </w:rPr>
              <w:t>site</w:t>
            </w:r>
            <w:bookmarkStart w:id="58" w:name="btblIIfn1"/>
            <w:r w:rsidRPr="004D2723">
              <w:rPr>
                <w:b/>
                <w:bCs/>
                <w:vertAlign w:val="superscript"/>
              </w:rPr>
              <w:t>a</w:t>
            </w:r>
            <w:proofErr w:type="spellEnd"/>
          </w:p>
        </w:tc>
        <w:bookmarkEnd w:id="58"/>
        <w:tc>
          <w:tcPr>
            <w:tcW w:w="0" w:type="auto"/>
          </w:tcPr>
          <w:p w14:paraId="19ADDDDA" w14:textId="0E42F799" w:rsidR="00737BA9" w:rsidRPr="005E1167" w:rsidRDefault="00737BA9" w:rsidP="005E1167">
            <w:pPr>
              <w:rPr>
                <w:b/>
                <w:bCs/>
              </w:rPr>
            </w:pPr>
          </w:p>
        </w:tc>
        <w:tc>
          <w:tcPr>
            <w:tcW w:w="0" w:type="auto"/>
            <w:hideMark/>
          </w:tcPr>
          <w:p w14:paraId="3E24BF6C" w14:textId="77777777" w:rsidR="00737BA9" w:rsidRPr="005E1167" w:rsidRDefault="00737BA9" w:rsidP="005E1167">
            <w:pPr>
              <w:rPr>
                <w:b/>
                <w:bCs/>
              </w:rPr>
            </w:pPr>
            <w:r w:rsidRPr="005E1167">
              <w:rPr>
                <w:b/>
                <w:bCs/>
                <w:i/>
                <w:iCs/>
              </w:rPr>
              <w:t>n</w:t>
            </w:r>
          </w:p>
        </w:tc>
        <w:tc>
          <w:tcPr>
            <w:tcW w:w="0" w:type="auto"/>
            <w:hideMark/>
          </w:tcPr>
          <w:p w14:paraId="1C502945" w14:textId="2AC83DD0" w:rsidR="00737BA9" w:rsidRPr="005E1167" w:rsidRDefault="00737BA9" w:rsidP="005E1167">
            <w:pPr>
              <w:rPr>
                <w:b/>
                <w:bCs/>
              </w:rPr>
            </w:pPr>
            <w:r w:rsidRPr="005E1167">
              <w:rPr>
                <w:b/>
                <w:bCs/>
              </w:rPr>
              <w:t xml:space="preserve">Low affinity </w:t>
            </w:r>
            <w:proofErr w:type="spellStart"/>
            <w:r w:rsidRPr="005E1167">
              <w:rPr>
                <w:b/>
                <w:bCs/>
              </w:rPr>
              <w:t>site</w:t>
            </w:r>
            <w:bookmarkStart w:id="59" w:name="btblIIfn2"/>
            <w:r w:rsidRPr="004D2723">
              <w:rPr>
                <w:b/>
                <w:bCs/>
                <w:vertAlign w:val="superscript"/>
              </w:rPr>
              <w:t>b</w:t>
            </w:r>
            <w:proofErr w:type="spellEnd"/>
          </w:p>
        </w:tc>
        <w:bookmarkEnd w:id="59"/>
        <w:tc>
          <w:tcPr>
            <w:tcW w:w="0" w:type="auto"/>
          </w:tcPr>
          <w:p w14:paraId="22D07A29" w14:textId="1B07FBB6" w:rsidR="00737BA9" w:rsidRPr="005E1167" w:rsidRDefault="00737BA9" w:rsidP="005E1167">
            <w:pPr>
              <w:rPr>
                <w:b/>
                <w:bCs/>
              </w:rPr>
            </w:pPr>
          </w:p>
        </w:tc>
      </w:tr>
      <w:tr w:rsidR="005E1167" w:rsidRPr="005E1167" w14:paraId="31898B55" w14:textId="77777777" w:rsidTr="00737BA9">
        <w:tc>
          <w:tcPr>
            <w:tcW w:w="0" w:type="auto"/>
            <w:hideMark/>
          </w:tcPr>
          <w:p w14:paraId="0826323D" w14:textId="77777777" w:rsidR="005E1167" w:rsidRPr="005E1167" w:rsidRDefault="005E1167" w:rsidP="005E1167">
            <w:pPr>
              <w:rPr>
                <w:b/>
                <w:bCs/>
              </w:rPr>
            </w:pPr>
          </w:p>
        </w:tc>
        <w:tc>
          <w:tcPr>
            <w:tcW w:w="0" w:type="auto"/>
            <w:hideMark/>
          </w:tcPr>
          <w:p w14:paraId="3C621618" w14:textId="77777777" w:rsidR="005E1167" w:rsidRPr="005E1167" w:rsidRDefault="005E1167" w:rsidP="005E1167">
            <w:pPr>
              <w:rPr>
                <w:b/>
                <w:bCs/>
              </w:rPr>
            </w:pPr>
          </w:p>
        </w:tc>
        <w:tc>
          <w:tcPr>
            <w:tcW w:w="0" w:type="auto"/>
            <w:hideMark/>
          </w:tcPr>
          <w:p w14:paraId="19F65895" w14:textId="77777777" w:rsidR="005E1167" w:rsidRPr="005E1167" w:rsidRDefault="005E1167" w:rsidP="005E1167">
            <w:pPr>
              <w:rPr>
                <w:b/>
                <w:bCs/>
              </w:rPr>
            </w:pPr>
            <w:r w:rsidRPr="005E1167">
              <w:rPr>
                <w:b/>
                <w:bCs/>
                <w:i/>
                <w:iCs/>
              </w:rPr>
              <w:t>K</w:t>
            </w:r>
            <w:r w:rsidRPr="005E1167">
              <w:rPr>
                <w:b/>
                <w:bCs/>
                <w:i/>
                <w:iCs/>
                <w:vertAlign w:val="subscript"/>
              </w:rPr>
              <w:t>a</w:t>
            </w:r>
            <w:r w:rsidRPr="005E1167">
              <w:rPr>
                <w:b/>
                <w:bCs/>
              </w:rPr>
              <w:t>× 10</w:t>
            </w:r>
            <w:r w:rsidRPr="005E1167">
              <w:rPr>
                <w:b/>
                <w:bCs/>
                <w:vertAlign w:val="superscript"/>
              </w:rPr>
              <w:t>−6</w:t>
            </w:r>
            <w:r w:rsidRPr="005E1167">
              <w:rPr>
                <w:b/>
                <w:bCs/>
              </w:rPr>
              <w:t>± S.D.</w:t>
            </w:r>
          </w:p>
        </w:tc>
        <w:tc>
          <w:tcPr>
            <w:tcW w:w="0" w:type="auto"/>
            <w:hideMark/>
          </w:tcPr>
          <w:p w14:paraId="1AB11902" w14:textId="77777777" w:rsidR="005E1167" w:rsidRPr="005E1167" w:rsidRDefault="005E1167" w:rsidP="005E1167">
            <w:pPr>
              <w:rPr>
                <w:b/>
                <w:bCs/>
              </w:rPr>
            </w:pPr>
            <w:r w:rsidRPr="005E1167">
              <w:rPr>
                <w:b/>
                <w:bCs/>
              </w:rPr>
              <w:t>No. sites/mol ± S.D.</w:t>
            </w:r>
          </w:p>
        </w:tc>
        <w:tc>
          <w:tcPr>
            <w:tcW w:w="0" w:type="auto"/>
            <w:hideMark/>
          </w:tcPr>
          <w:p w14:paraId="17192324" w14:textId="77777777" w:rsidR="005E1167" w:rsidRPr="005E1167" w:rsidRDefault="005E1167" w:rsidP="005E1167">
            <w:pPr>
              <w:rPr>
                <w:b/>
                <w:bCs/>
              </w:rPr>
            </w:pPr>
          </w:p>
        </w:tc>
        <w:tc>
          <w:tcPr>
            <w:tcW w:w="0" w:type="auto"/>
            <w:hideMark/>
          </w:tcPr>
          <w:p w14:paraId="3A65E582" w14:textId="77777777" w:rsidR="005E1167" w:rsidRPr="005E1167" w:rsidRDefault="005E1167" w:rsidP="005E1167">
            <w:pPr>
              <w:rPr>
                <w:b/>
                <w:bCs/>
              </w:rPr>
            </w:pPr>
            <w:r w:rsidRPr="005E1167">
              <w:rPr>
                <w:b/>
                <w:bCs/>
                <w:i/>
                <w:iCs/>
              </w:rPr>
              <w:t>K</w:t>
            </w:r>
            <w:r w:rsidRPr="005E1167">
              <w:rPr>
                <w:b/>
                <w:bCs/>
                <w:i/>
                <w:iCs/>
                <w:vertAlign w:val="subscript"/>
              </w:rPr>
              <w:t>a</w:t>
            </w:r>
            <w:r w:rsidRPr="005E1167">
              <w:rPr>
                <w:b/>
                <w:bCs/>
              </w:rPr>
              <w:t>× 10</w:t>
            </w:r>
            <w:r w:rsidRPr="005E1167">
              <w:rPr>
                <w:b/>
                <w:bCs/>
                <w:vertAlign w:val="superscript"/>
              </w:rPr>
              <w:t>−6</w:t>
            </w:r>
            <w:r w:rsidRPr="005E1167">
              <w:rPr>
                <w:b/>
                <w:bCs/>
              </w:rPr>
              <w:t>± S.D.</w:t>
            </w:r>
          </w:p>
        </w:tc>
        <w:tc>
          <w:tcPr>
            <w:tcW w:w="0" w:type="auto"/>
            <w:hideMark/>
          </w:tcPr>
          <w:p w14:paraId="7222865D" w14:textId="77777777" w:rsidR="005E1167" w:rsidRPr="005E1167" w:rsidRDefault="005E1167" w:rsidP="005E1167">
            <w:pPr>
              <w:rPr>
                <w:b/>
                <w:bCs/>
              </w:rPr>
            </w:pPr>
            <w:r w:rsidRPr="005E1167">
              <w:rPr>
                <w:b/>
                <w:bCs/>
              </w:rPr>
              <w:t>No. sites/mol ± S.D.</w:t>
            </w:r>
          </w:p>
        </w:tc>
      </w:tr>
      <w:tr w:rsidR="005E1167" w:rsidRPr="005E1167" w14:paraId="14E3D89E" w14:textId="77777777" w:rsidTr="00737BA9">
        <w:tc>
          <w:tcPr>
            <w:tcW w:w="0" w:type="auto"/>
            <w:hideMark/>
          </w:tcPr>
          <w:p w14:paraId="04B304F0" w14:textId="77777777" w:rsidR="005E1167" w:rsidRPr="005E1167" w:rsidRDefault="005E1167" w:rsidP="005E1167">
            <w:pPr>
              <w:rPr>
                <w:b/>
                <w:bCs/>
              </w:rPr>
            </w:pPr>
          </w:p>
        </w:tc>
        <w:tc>
          <w:tcPr>
            <w:tcW w:w="0" w:type="auto"/>
            <w:hideMark/>
          </w:tcPr>
          <w:p w14:paraId="62D1227C" w14:textId="77777777" w:rsidR="005E1167" w:rsidRPr="005E1167" w:rsidRDefault="005E1167" w:rsidP="005E1167"/>
        </w:tc>
        <w:tc>
          <w:tcPr>
            <w:tcW w:w="0" w:type="auto"/>
            <w:hideMark/>
          </w:tcPr>
          <w:p w14:paraId="0C24CAD6" w14:textId="77777777" w:rsidR="005E1167" w:rsidRPr="005E1167" w:rsidRDefault="005E1167" w:rsidP="005E1167">
            <w:r w:rsidRPr="005E1167">
              <w:rPr>
                <w:i/>
                <w:iCs/>
              </w:rPr>
              <w:t>m</w:t>
            </w:r>
            <w:r w:rsidRPr="005E1167">
              <w:rPr>
                <w:i/>
                <w:iCs/>
                <w:vertAlign w:val="superscript"/>
              </w:rPr>
              <w:t>−1</w:t>
            </w:r>
          </w:p>
        </w:tc>
        <w:tc>
          <w:tcPr>
            <w:tcW w:w="0" w:type="auto"/>
            <w:hideMark/>
          </w:tcPr>
          <w:p w14:paraId="7A863AC5" w14:textId="77777777" w:rsidR="005E1167" w:rsidRPr="005E1167" w:rsidRDefault="005E1167" w:rsidP="005E1167"/>
        </w:tc>
        <w:tc>
          <w:tcPr>
            <w:tcW w:w="0" w:type="auto"/>
            <w:hideMark/>
          </w:tcPr>
          <w:p w14:paraId="0A899F44" w14:textId="77777777" w:rsidR="005E1167" w:rsidRPr="005E1167" w:rsidRDefault="005E1167" w:rsidP="005E1167"/>
        </w:tc>
        <w:tc>
          <w:tcPr>
            <w:tcW w:w="0" w:type="auto"/>
            <w:hideMark/>
          </w:tcPr>
          <w:p w14:paraId="5CAFA561" w14:textId="77777777" w:rsidR="005E1167" w:rsidRPr="005E1167" w:rsidRDefault="005E1167" w:rsidP="005E1167">
            <w:r w:rsidRPr="005E1167">
              <w:rPr>
                <w:i/>
                <w:iCs/>
              </w:rPr>
              <w:t>m</w:t>
            </w:r>
            <w:r w:rsidRPr="005E1167">
              <w:rPr>
                <w:i/>
                <w:iCs/>
                <w:vertAlign w:val="superscript"/>
              </w:rPr>
              <w:t>−1</w:t>
            </w:r>
          </w:p>
        </w:tc>
        <w:tc>
          <w:tcPr>
            <w:tcW w:w="0" w:type="auto"/>
            <w:hideMark/>
          </w:tcPr>
          <w:p w14:paraId="5968647C" w14:textId="77777777" w:rsidR="005E1167" w:rsidRPr="005E1167" w:rsidRDefault="005E1167" w:rsidP="005E1167"/>
        </w:tc>
      </w:tr>
      <w:tr w:rsidR="005E1167" w:rsidRPr="005E1167" w14:paraId="14DF2E8F" w14:textId="77777777" w:rsidTr="00737BA9">
        <w:tc>
          <w:tcPr>
            <w:tcW w:w="0" w:type="auto"/>
            <w:hideMark/>
          </w:tcPr>
          <w:p w14:paraId="03F9EAA3" w14:textId="77777777" w:rsidR="005E1167" w:rsidRPr="005E1167" w:rsidRDefault="005E1167" w:rsidP="005E1167">
            <w:r w:rsidRPr="005E1167">
              <w:t>Fraction I-2</w:t>
            </w:r>
          </w:p>
        </w:tc>
        <w:tc>
          <w:tcPr>
            <w:tcW w:w="0" w:type="auto"/>
            <w:hideMark/>
          </w:tcPr>
          <w:p w14:paraId="25AB1C66" w14:textId="77777777" w:rsidR="005E1167" w:rsidRPr="005E1167" w:rsidRDefault="005E1167" w:rsidP="005E1167">
            <w:r w:rsidRPr="005E1167">
              <w:t>4</w:t>
            </w:r>
          </w:p>
        </w:tc>
        <w:tc>
          <w:tcPr>
            <w:tcW w:w="0" w:type="auto"/>
            <w:hideMark/>
          </w:tcPr>
          <w:p w14:paraId="306D3CD6" w14:textId="77777777" w:rsidR="005E1167" w:rsidRPr="005E1167" w:rsidRDefault="005E1167" w:rsidP="005E1167">
            <w:r w:rsidRPr="005E1167">
              <w:t>5.5 ± 1.3</w:t>
            </w:r>
          </w:p>
        </w:tc>
        <w:tc>
          <w:tcPr>
            <w:tcW w:w="0" w:type="auto"/>
            <w:hideMark/>
          </w:tcPr>
          <w:p w14:paraId="69C3B807" w14:textId="77777777" w:rsidR="005E1167" w:rsidRPr="005E1167" w:rsidRDefault="005E1167" w:rsidP="005E1167">
            <w:r w:rsidRPr="005E1167">
              <w:t>0.22 ± 0.02</w:t>
            </w:r>
          </w:p>
        </w:tc>
        <w:tc>
          <w:tcPr>
            <w:tcW w:w="0" w:type="auto"/>
            <w:hideMark/>
          </w:tcPr>
          <w:p w14:paraId="1477E007" w14:textId="77777777" w:rsidR="005E1167" w:rsidRPr="005E1167" w:rsidRDefault="005E1167" w:rsidP="005E1167">
            <w:r w:rsidRPr="005E1167">
              <w:t>4</w:t>
            </w:r>
          </w:p>
        </w:tc>
        <w:tc>
          <w:tcPr>
            <w:tcW w:w="0" w:type="auto"/>
            <w:hideMark/>
          </w:tcPr>
          <w:p w14:paraId="55DA2D35" w14:textId="77777777" w:rsidR="005E1167" w:rsidRPr="005E1167" w:rsidRDefault="005E1167" w:rsidP="005E1167">
            <w:r w:rsidRPr="005E1167">
              <w:t>0.45 ± 0.06</w:t>
            </w:r>
          </w:p>
        </w:tc>
        <w:tc>
          <w:tcPr>
            <w:tcW w:w="0" w:type="auto"/>
            <w:hideMark/>
          </w:tcPr>
          <w:p w14:paraId="2E051ABA" w14:textId="77777777" w:rsidR="005E1167" w:rsidRPr="005E1167" w:rsidRDefault="005E1167" w:rsidP="005E1167">
            <w:r w:rsidRPr="005E1167">
              <w:t>1.60 ± 0.20</w:t>
            </w:r>
          </w:p>
        </w:tc>
      </w:tr>
      <w:tr w:rsidR="005E1167" w:rsidRPr="005E1167" w14:paraId="28C45D1F" w14:textId="77777777" w:rsidTr="00737BA9">
        <w:tc>
          <w:tcPr>
            <w:tcW w:w="0" w:type="auto"/>
            <w:hideMark/>
          </w:tcPr>
          <w:p w14:paraId="5109E762" w14:textId="77777777" w:rsidR="005E1167" w:rsidRPr="005E1167" w:rsidRDefault="005E1167" w:rsidP="005E1167">
            <w:r w:rsidRPr="005E1167">
              <w:t>Peak 1</w:t>
            </w:r>
          </w:p>
        </w:tc>
        <w:tc>
          <w:tcPr>
            <w:tcW w:w="0" w:type="auto"/>
            <w:hideMark/>
          </w:tcPr>
          <w:p w14:paraId="03FE86BA" w14:textId="77777777" w:rsidR="005E1167" w:rsidRPr="005E1167" w:rsidRDefault="005E1167" w:rsidP="005E1167">
            <w:r w:rsidRPr="005E1167">
              <w:t>8</w:t>
            </w:r>
          </w:p>
        </w:tc>
        <w:tc>
          <w:tcPr>
            <w:tcW w:w="0" w:type="auto"/>
            <w:hideMark/>
          </w:tcPr>
          <w:p w14:paraId="5683452B" w14:textId="77777777" w:rsidR="005E1167" w:rsidRPr="005E1167" w:rsidRDefault="005E1167" w:rsidP="005E1167">
            <w:r w:rsidRPr="005E1167">
              <w:t>0</w:t>
            </w:r>
          </w:p>
        </w:tc>
        <w:tc>
          <w:tcPr>
            <w:tcW w:w="0" w:type="auto"/>
            <w:hideMark/>
          </w:tcPr>
          <w:p w14:paraId="050153EC" w14:textId="77777777" w:rsidR="005E1167" w:rsidRPr="005E1167" w:rsidRDefault="005E1167" w:rsidP="005E1167">
            <w:r w:rsidRPr="005E1167">
              <w:t>0</w:t>
            </w:r>
          </w:p>
        </w:tc>
        <w:tc>
          <w:tcPr>
            <w:tcW w:w="0" w:type="auto"/>
            <w:hideMark/>
          </w:tcPr>
          <w:p w14:paraId="1EFD3B49" w14:textId="77777777" w:rsidR="005E1167" w:rsidRPr="005E1167" w:rsidRDefault="005E1167" w:rsidP="005E1167">
            <w:r w:rsidRPr="005E1167">
              <w:t>8</w:t>
            </w:r>
          </w:p>
        </w:tc>
        <w:tc>
          <w:tcPr>
            <w:tcW w:w="0" w:type="auto"/>
            <w:hideMark/>
          </w:tcPr>
          <w:p w14:paraId="73D81BFC" w14:textId="77777777" w:rsidR="005E1167" w:rsidRPr="005E1167" w:rsidRDefault="005E1167" w:rsidP="005E1167">
            <w:r w:rsidRPr="005E1167">
              <w:t>0.21 ± 0.05</w:t>
            </w:r>
          </w:p>
        </w:tc>
        <w:tc>
          <w:tcPr>
            <w:tcW w:w="0" w:type="auto"/>
            <w:hideMark/>
          </w:tcPr>
          <w:p w14:paraId="44B682CA" w14:textId="77777777" w:rsidR="005E1167" w:rsidRPr="005E1167" w:rsidRDefault="005E1167" w:rsidP="005E1167">
            <w:r w:rsidRPr="005E1167">
              <w:t>1.80 ± 0.23</w:t>
            </w:r>
          </w:p>
        </w:tc>
      </w:tr>
      <w:tr w:rsidR="005E1167" w:rsidRPr="005E1167" w14:paraId="1B7EA6C3" w14:textId="77777777" w:rsidTr="00737BA9">
        <w:tc>
          <w:tcPr>
            <w:tcW w:w="0" w:type="auto"/>
            <w:hideMark/>
          </w:tcPr>
          <w:p w14:paraId="10352AA8" w14:textId="77777777" w:rsidR="005E1167" w:rsidRPr="005E1167" w:rsidRDefault="005E1167" w:rsidP="005E1167">
            <w:r w:rsidRPr="005E1167">
              <w:t>Peak 2</w:t>
            </w:r>
          </w:p>
        </w:tc>
        <w:tc>
          <w:tcPr>
            <w:tcW w:w="0" w:type="auto"/>
            <w:hideMark/>
          </w:tcPr>
          <w:p w14:paraId="62B231F1" w14:textId="77777777" w:rsidR="005E1167" w:rsidRPr="005E1167" w:rsidRDefault="005E1167" w:rsidP="005E1167">
            <w:r w:rsidRPr="005E1167">
              <w:t>6</w:t>
            </w:r>
          </w:p>
        </w:tc>
        <w:tc>
          <w:tcPr>
            <w:tcW w:w="0" w:type="auto"/>
            <w:hideMark/>
          </w:tcPr>
          <w:p w14:paraId="6932CC41" w14:textId="77777777" w:rsidR="005E1167" w:rsidRPr="005E1167" w:rsidRDefault="005E1167" w:rsidP="005E1167">
            <w:r w:rsidRPr="005E1167">
              <w:t>5.6 ± 0.8</w:t>
            </w:r>
          </w:p>
        </w:tc>
        <w:tc>
          <w:tcPr>
            <w:tcW w:w="0" w:type="auto"/>
            <w:hideMark/>
          </w:tcPr>
          <w:p w14:paraId="5CD2D46B" w14:textId="77777777" w:rsidR="005E1167" w:rsidRPr="005E1167" w:rsidRDefault="005E1167" w:rsidP="005E1167">
            <w:r w:rsidRPr="005E1167">
              <w:t>0.83 ± 0.12</w:t>
            </w:r>
          </w:p>
        </w:tc>
        <w:tc>
          <w:tcPr>
            <w:tcW w:w="0" w:type="auto"/>
            <w:hideMark/>
          </w:tcPr>
          <w:p w14:paraId="1F2C01E9" w14:textId="77777777" w:rsidR="005E1167" w:rsidRPr="005E1167" w:rsidRDefault="005E1167" w:rsidP="005E1167">
            <w:r w:rsidRPr="005E1167">
              <w:t>3</w:t>
            </w:r>
          </w:p>
        </w:tc>
        <w:tc>
          <w:tcPr>
            <w:tcW w:w="0" w:type="auto"/>
            <w:hideMark/>
          </w:tcPr>
          <w:p w14:paraId="765216D7" w14:textId="77777777" w:rsidR="005E1167" w:rsidRPr="005E1167" w:rsidRDefault="005E1167" w:rsidP="005E1167">
            <w:r w:rsidRPr="005E1167">
              <w:t>Indeterminate</w:t>
            </w:r>
          </w:p>
        </w:tc>
        <w:tc>
          <w:tcPr>
            <w:tcW w:w="0" w:type="auto"/>
            <w:hideMark/>
          </w:tcPr>
          <w:p w14:paraId="46433615" w14:textId="77777777" w:rsidR="005E1167" w:rsidRPr="005E1167" w:rsidRDefault="005E1167" w:rsidP="005E1167">
            <w:r w:rsidRPr="005E1167">
              <w:t>Indeterminate</w:t>
            </w:r>
          </w:p>
        </w:tc>
      </w:tr>
      <w:tr w:rsidR="005E1167" w:rsidRPr="005E1167" w14:paraId="21405BD3" w14:textId="77777777" w:rsidTr="00737BA9">
        <w:tc>
          <w:tcPr>
            <w:tcW w:w="0" w:type="auto"/>
            <w:hideMark/>
          </w:tcPr>
          <w:p w14:paraId="64D0463A" w14:textId="77777777" w:rsidR="005E1167" w:rsidRPr="005E1167" w:rsidRDefault="005E1167" w:rsidP="005E1167">
            <w:r w:rsidRPr="005E1167">
              <w:t>Des-Bβ1-42, Peak 1</w:t>
            </w:r>
          </w:p>
        </w:tc>
        <w:tc>
          <w:tcPr>
            <w:tcW w:w="0" w:type="auto"/>
            <w:hideMark/>
          </w:tcPr>
          <w:p w14:paraId="25231289" w14:textId="77777777" w:rsidR="005E1167" w:rsidRPr="005E1167" w:rsidRDefault="005E1167" w:rsidP="005E1167">
            <w:r w:rsidRPr="005E1167">
              <w:t>4</w:t>
            </w:r>
          </w:p>
        </w:tc>
        <w:tc>
          <w:tcPr>
            <w:tcW w:w="0" w:type="auto"/>
            <w:hideMark/>
          </w:tcPr>
          <w:p w14:paraId="4D8AE816" w14:textId="77777777" w:rsidR="005E1167" w:rsidRPr="005E1167" w:rsidRDefault="005E1167" w:rsidP="005E1167">
            <w:r w:rsidRPr="005E1167">
              <w:t>0</w:t>
            </w:r>
          </w:p>
        </w:tc>
        <w:tc>
          <w:tcPr>
            <w:tcW w:w="0" w:type="auto"/>
            <w:hideMark/>
          </w:tcPr>
          <w:p w14:paraId="64F6776C" w14:textId="77777777" w:rsidR="005E1167" w:rsidRPr="005E1167" w:rsidRDefault="005E1167" w:rsidP="005E1167">
            <w:r w:rsidRPr="005E1167">
              <w:t>0</w:t>
            </w:r>
          </w:p>
        </w:tc>
        <w:tc>
          <w:tcPr>
            <w:tcW w:w="0" w:type="auto"/>
            <w:hideMark/>
          </w:tcPr>
          <w:p w14:paraId="5E50457F" w14:textId="77777777" w:rsidR="005E1167" w:rsidRPr="005E1167" w:rsidRDefault="005E1167" w:rsidP="005E1167">
            <w:r w:rsidRPr="005E1167">
              <w:t>4</w:t>
            </w:r>
          </w:p>
        </w:tc>
        <w:tc>
          <w:tcPr>
            <w:tcW w:w="0" w:type="auto"/>
            <w:hideMark/>
          </w:tcPr>
          <w:p w14:paraId="4886FC1E" w14:textId="77777777" w:rsidR="005E1167" w:rsidRPr="005E1167" w:rsidRDefault="005E1167" w:rsidP="005E1167">
            <w:r w:rsidRPr="005E1167">
              <w:t>0.11 ± 0.03</w:t>
            </w:r>
          </w:p>
        </w:tc>
        <w:tc>
          <w:tcPr>
            <w:tcW w:w="0" w:type="auto"/>
            <w:hideMark/>
          </w:tcPr>
          <w:p w14:paraId="7D82E2B6" w14:textId="77777777" w:rsidR="005E1167" w:rsidRPr="005E1167" w:rsidRDefault="005E1167" w:rsidP="005E1167">
            <w:r w:rsidRPr="005E1167">
              <w:t>1.66 ± 0.34</w:t>
            </w:r>
          </w:p>
        </w:tc>
      </w:tr>
      <w:tr w:rsidR="005E1167" w:rsidRPr="005E1167" w14:paraId="2898590D" w14:textId="77777777" w:rsidTr="00737BA9">
        <w:tc>
          <w:tcPr>
            <w:tcW w:w="0" w:type="auto"/>
            <w:hideMark/>
          </w:tcPr>
          <w:p w14:paraId="3D0F834C" w14:textId="77777777" w:rsidR="005E1167" w:rsidRPr="005E1167" w:rsidRDefault="005E1167" w:rsidP="005E1167">
            <w:r w:rsidRPr="005E1167">
              <w:t>Des-Bβ1-42, Peak 2</w:t>
            </w:r>
          </w:p>
        </w:tc>
        <w:tc>
          <w:tcPr>
            <w:tcW w:w="0" w:type="auto"/>
            <w:hideMark/>
          </w:tcPr>
          <w:p w14:paraId="172CC5B1" w14:textId="77777777" w:rsidR="005E1167" w:rsidRPr="005E1167" w:rsidRDefault="005E1167" w:rsidP="005E1167">
            <w:r w:rsidRPr="005E1167">
              <w:t>6</w:t>
            </w:r>
          </w:p>
        </w:tc>
        <w:tc>
          <w:tcPr>
            <w:tcW w:w="0" w:type="auto"/>
            <w:hideMark/>
          </w:tcPr>
          <w:p w14:paraId="2BA8CAEE" w14:textId="77777777" w:rsidR="005E1167" w:rsidRPr="005E1167" w:rsidRDefault="005E1167" w:rsidP="005E1167">
            <w:r w:rsidRPr="005E1167">
              <w:t>4.2 ± 0.8</w:t>
            </w:r>
          </w:p>
        </w:tc>
        <w:tc>
          <w:tcPr>
            <w:tcW w:w="0" w:type="auto"/>
            <w:hideMark/>
          </w:tcPr>
          <w:p w14:paraId="057DC5B6" w14:textId="77777777" w:rsidR="005E1167" w:rsidRPr="005E1167" w:rsidRDefault="005E1167" w:rsidP="005E1167">
            <w:r w:rsidRPr="005E1167">
              <w:t>0.78 ± 0.11</w:t>
            </w:r>
          </w:p>
        </w:tc>
        <w:tc>
          <w:tcPr>
            <w:tcW w:w="0" w:type="auto"/>
            <w:hideMark/>
          </w:tcPr>
          <w:p w14:paraId="451681E7" w14:textId="77777777" w:rsidR="005E1167" w:rsidRPr="005E1167" w:rsidRDefault="005E1167" w:rsidP="005E1167">
            <w:r w:rsidRPr="005E1167">
              <w:t>6</w:t>
            </w:r>
          </w:p>
        </w:tc>
        <w:tc>
          <w:tcPr>
            <w:tcW w:w="0" w:type="auto"/>
            <w:hideMark/>
          </w:tcPr>
          <w:p w14:paraId="0B8249E5" w14:textId="77777777" w:rsidR="005E1167" w:rsidRPr="005E1167" w:rsidRDefault="005E1167" w:rsidP="005E1167">
            <w:r w:rsidRPr="005E1167">
              <w:t>Indeterminate</w:t>
            </w:r>
          </w:p>
        </w:tc>
        <w:tc>
          <w:tcPr>
            <w:tcW w:w="0" w:type="auto"/>
            <w:hideMark/>
          </w:tcPr>
          <w:p w14:paraId="20599AE7" w14:textId="77777777" w:rsidR="005E1167" w:rsidRPr="005E1167" w:rsidRDefault="005E1167" w:rsidP="005E1167">
            <w:r w:rsidRPr="005E1167">
              <w:t>Indeterminate</w:t>
            </w:r>
          </w:p>
        </w:tc>
      </w:tr>
    </w:tbl>
    <w:p w14:paraId="5DFB9293" w14:textId="30977E2F" w:rsidR="005E1167" w:rsidRPr="005E1167" w:rsidRDefault="005E1167" w:rsidP="00737BA9">
      <w:pPr>
        <w:pStyle w:val="NoSpacing"/>
      </w:pPr>
      <w:proofErr w:type="spellStart"/>
      <w:r w:rsidRPr="005E1167">
        <w:rPr>
          <w:vertAlign w:val="superscript"/>
        </w:rPr>
        <w:t>a</w:t>
      </w:r>
      <w:r w:rsidRPr="005E1167">
        <w:t>The</w:t>
      </w:r>
      <w:proofErr w:type="spellEnd"/>
      <w:r w:rsidRPr="005E1167">
        <w:t xml:space="preserve"> mean </w:t>
      </w:r>
      <w:r w:rsidRPr="005E1167">
        <w:rPr>
          <w:i/>
          <w:iCs/>
        </w:rPr>
        <w:t>K</w:t>
      </w:r>
      <w:r w:rsidRPr="005E1167">
        <w:rPr>
          <w:i/>
          <w:iCs/>
          <w:vertAlign w:val="subscript"/>
        </w:rPr>
        <w:t>a</w:t>
      </w:r>
      <w:r w:rsidRPr="005E1167">
        <w:t> for the high affinity site based on all determinations (</w:t>
      </w:r>
      <w:r w:rsidRPr="005E1167">
        <w:rPr>
          <w:i/>
          <w:iCs/>
        </w:rPr>
        <w:t>n</w:t>
      </w:r>
      <w:r w:rsidRPr="005E1167">
        <w:t> = 16) is 4.9 ± 1.2 × 10</w:t>
      </w:r>
      <w:r w:rsidRPr="005E1167">
        <w:rPr>
          <w:vertAlign w:val="superscript"/>
        </w:rPr>
        <w:t>6−1</w:t>
      </w:r>
      <w:r w:rsidRPr="005E1167">
        <w:t>, with 1.05 ± 0.27 thrombin binding sites per γ′ chain.</w:t>
      </w:r>
    </w:p>
    <w:p w14:paraId="1A79D88A" w14:textId="331A5A3D" w:rsidR="005E1167" w:rsidRPr="005E1167" w:rsidRDefault="005E1167" w:rsidP="00737BA9">
      <w:pPr>
        <w:pStyle w:val="NoSpacing"/>
      </w:pPr>
      <w:proofErr w:type="spellStart"/>
      <w:r w:rsidRPr="005E1167">
        <w:rPr>
          <w:vertAlign w:val="superscript"/>
        </w:rPr>
        <w:t>b</w:t>
      </w:r>
      <w:r w:rsidRPr="005E1167">
        <w:t>The</w:t>
      </w:r>
      <w:proofErr w:type="spellEnd"/>
      <w:r w:rsidRPr="005E1167">
        <w:t xml:space="preserve"> mean </w:t>
      </w:r>
      <w:r w:rsidRPr="005E1167">
        <w:rPr>
          <w:i/>
          <w:iCs/>
        </w:rPr>
        <w:t>K</w:t>
      </w:r>
      <w:r w:rsidRPr="005E1167">
        <w:rPr>
          <w:i/>
          <w:iCs/>
          <w:vertAlign w:val="subscript"/>
        </w:rPr>
        <w:t>a</w:t>
      </w:r>
      <w:r w:rsidRPr="005E1167">
        <w:t> for the low affinity site based on all determinations (</w:t>
      </w:r>
      <w:r w:rsidRPr="005E1167">
        <w:rPr>
          <w:i/>
          <w:iCs/>
        </w:rPr>
        <w:t>n</w:t>
      </w:r>
      <w:r w:rsidRPr="005E1167">
        <w:t> = 12) is 0.29 ± 0.14 × 10</w:t>
      </w:r>
      <w:r w:rsidRPr="005E1167">
        <w:rPr>
          <w:vertAlign w:val="superscript"/>
        </w:rPr>
        <w:t>6−1</w:t>
      </w:r>
      <w:r w:rsidRPr="005E1167">
        <w:t>, with 1.69 ± 0.25 thrombin binding sites per fibrin molecule.</w:t>
      </w:r>
    </w:p>
    <w:p w14:paraId="6BDBAFF8" w14:textId="77777777" w:rsidR="00737BA9" w:rsidRDefault="00737BA9" w:rsidP="005E1167"/>
    <w:p w14:paraId="4F74E140" w14:textId="7DD6D3C7" w:rsidR="005E1167" w:rsidRPr="005E1167" w:rsidRDefault="005E1167" w:rsidP="005E1167">
      <w:r w:rsidRPr="005E1167">
        <w:t xml:space="preserve">Studies of thrombin binding to peak 1 fibrin, which contains only </w:t>
      </w:r>
      <w:proofErr w:type="spellStart"/>
      <w:r w:rsidRPr="005E1167">
        <w:t>γ</w:t>
      </w:r>
      <w:r w:rsidRPr="005E1167">
        <w:rPr>
          <w:vertAlign w:val="subscript"/>
        </w:rPr>
        <w:t>A</w:t>
      </w:r>
      <w:proofErr w:type="spellEnd"/>
      <w:r w:rsidRPr="005E1167">
        <w:t> chains, indicated a single class of binding site with a </w:t>
      </w:r>
      <w:r w:rsidRPr="005E1167">
        <w:rPr>
          <w:i/>
          <w:iCs/>
        </w:rPr>
        <w:t>K</w:t>
      </w:r>
      <w:r w:rsidRPr="005E1167">
        <w:rPr>
          <w:i/>
          <w:iCs/>
          <w:vertAlign w:val="subscript"/>
        </w:rPr>
        <w:t>a</w:t>
      </w:r>
      <w:r w:rsidRPr="005E1167">
        <w:t> of 0.21 × 10</w:t>
      </w:r>
      <w:r w:rsidRPr="005E1167">
        <w:rPr>
          <w:vertAlign w:val="superscript"/>
        </w:rPr>
        <w:t>6−1</w:t>
      </w:r>
      <w:r w:rsidRPr="005E1167">
        <w:t>, corresponding to the low affinity site in fraction I-2 fibrin, and having a binding stoichiometry of 1.80 per molecule of fibrin (</w:t>
      </w:r>
      <w:r w:rsidRPr="004D2723">
        <w:t>Fig. 2</w:t>
      </w:r>
      <w:bookmarkEnd w:id="56"/>
      <w:r w:rsidRPr="005E1167">
        <w:t xml:space="preserve">). Parallel analysis of thrombin binding to peak 2 fibrin demonstrated that high affinity binding dominated the </w:t>
      </w:r>
      <w:proofErr w:type="spellStart"/>
      <w:r w:rsidRPr="005E1167">
        <w:t>Scatchard</w:t>
      </w:r>
      <w:proofErr w:type="spellEnd"/>
      <w:r w:rsidRPr="005E1167">
        <w:t xml:space="preserve"> plot and that there were 0.83 high affinity sites per fibrin molecule (</w:t>
      </w:r>
      <w:bookmarkStart w:id="60" w:name="bfig3"/>
      <w:r w:rsidRPr="004D2723">
        <w:t>Fig. 3</w:t>
      </w:r>
      <w:bookmarkEnd w:id="60"/>
      <w:r w:rsidRPr="005E1167">
        <w:t>), a stoichiometry that corresponds well to the γ′ chain content in peak 2 fibrinogen preparations (48%γ′, 52%γ</w:t>
      </w:r>
      <w:r w:rsidRPr="005E1167">
        <w:rPr>
          <w:vertAlign w:val="subscript"/>
        </w:rPr>
        <w:t>A</w:t>
      </w:r>
      <w:r w:rsidRPr="005E1167">
        <w:t>) (</w:t>
      </w:r>
      <w:bookmarkStart w:id="61" w:name="bbib51"/>
      <w:r w:rsidRPr="004D2723">
        <w:t>51</w:t>
      </w:r>
      <w:r w:rsidRPr="005E1167">
        <w:t xml:space="preserve">). Low affinity binding in peak 2 fibrin was too low for accurate </w:t>
      </w:r>
      <w:proofErr w:type="gramStart"/>
      <w:r w:rsidRPr="005E1167">
        <w:t>quantitation, but</w:t>
      </w:r>
      <w:proofErr w:type="gramEnd"/>
      <w:r w:rsidRPr="005E1167">
        <w:t xml:space="preserve"> was in the same range as was found for peak 1 or fraction I-2 fibrin.</w:t>
      </w:r>
    </w:p>
    <w:p w14:paraId="51F23A27" w14:textId="222E075D" w:rsidR="005E1167" w:rsidRPr="005E1167" w:rsidRDefault="005E1167" w:rsidP="00737BA9">
      <w:pPr>
        <w:pStyle w:val="NoSpacing"/>
      </w:pPr>
      <w:r w:rsidRPr="005E1167">
        <w:rPr>
          <w:noProof/>
        </w:rPr>
        <w:drawing>
          <wp:inline distT="0" distB="0" distL="0" distR="0" wp14:anchorId="4651C94A" wp14:editId="74D5C6B9">
            <wp:extent cx="1828800" cy="150876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8800" cy="1508760"/>
                    </a:xfrm>
                    <a:prstGeom prst="rect">
                      <a:avLst/>
                    </a:prstGeom>
                    <a:noFill/>
                    <a:ln>
                      <a:noFill/>
                    </a:ln>
                  </pic:spPr>
                </pic:pic>
              </a:graphicData>
            </a:graphic>
          </wp:inline>
        </w:drawing>
      </w:r>
    </w:p>
    <w:p w14:paraId="29735055" w14:textId="77777777" w:rsidR="005E1167" w:rsidRPr="005E1167" w:rsidRDefault="005E1167" w:rsidP="00737BA9">
      <w:pPr>
        <w:pStyle w:val="NoSpacing"/>
      </w:pPr>
      <w:r w:rsidRPr="005E1167">
        <w:t>Fig. 3. </w:t>
      </w:r>
      <w:proofErr w:type="spellStart"/>
      <w:r w:rsidRPr="005E1167">
        <w:rPr>
          <w:b/>
          <w:bCs/>
        </w:rPr>
        <w:t>Scatchard</w:t>
      </w:r>
      <w:proofErr w:type="spellEnd"/>
      <w:r w:rsidRPr="005E1167">
        <w:rPr>
          <w:b/>
          <w:bCs/>
        </w:rPr>
        <w:t xml:space="preserve"> analysis of the binding of</w:t>
      </w:r>
      <w:r w:rsidRPr="005E1167">
        <w:t> </w:t>
      </w:r>
      <w:r w:rsidRPr="005E1167">
        <w:rPr>
          <w:b/>
          <w:bCs/>
          <w:vertAlign w:val="superscript"/>
        </w:rPr>
        <w:t>125</w:t>
      </w:r>
      <w:r w:rsidRPr="005E1167">
        <w:rPr>
          <w:b/>
          <w:bCs/>
        </w:rPr>
        <w:t xml:space="preserve">I-PPACK-thrombin to peak 2 </w:t>
      </w:r>
      <w:proofErr w:type="gramStart"/>
      <w:r w:rsidRPr="005E1167">
        <w:rPr>
          <w:b/>
          <w:bCs/>
        </w:rPr>
        <w:t>fibrin</w:t>
      </w:r>
      <w:proofErr w:type="gramEnd"/>
      <w:r w:rsidRPr="005E1167">
        <w:rPr>
          <w:b/>
          <w:bCs/>
        </w:rPr>
        <w:t>.</w:t>
      </w:r>
      <w:r w:rsidRPr="005E1167">
        <w:t> The </w:t>
      </w:r>
      <w:r w:rsidRPr="005E1167">
        <w:rPr>
          <w:i/>
          <w:iCs/>
        </w:rPr>
        <w:t>dashed line</w:t>
      </w:r>
      <w:r w:rsidRPr="005E1167">
        <w:t> represents the slope of the high affinity component in peak 2 fibrin. The low affinity component, determined from the low affinity binding component of peak 1 fibrin, is represented by the </w:t>
      </w:r>
      <w:r w:rsidRPr="005E1167">
        <w:rPr>
          <w:i/>
          <w:iCs/>
        </w:rPr>
        <w:t>broken line</w:t>
      </w:r>
      <w:r w:rsidRPr="005E1167">
        <w:t>.</w:t>
      </w:r>
    </w:p>
    <w:p w14:paraId="47EB5E5F" w14:textId="77777777" w:rsidR="00737BA9" w:rsidRDefault="00737BA9" w:rsidP="005E1167"/>
    <w:p w14:paraId="47DD8AB2" w14:textId="4780E283" w:rsidR="005E1167" w:rsidRPr="005E1167" w:rsidRDefault="005E1167" w:rsidP="005E1167">
      <w:r w:rsidRPr="005E1167">
        <w:t>There was a marked reduction of low affinity binding to des-Bβ1-42 peak 2 fibrin (</w:t>
      </w:r>
      <w:bookmarkStart w:id="62" w:name="bfig4"/>
      <w:r w:rsidRPr="004D2723">
        <w:t>Fig. 4</w:t>
      </w:r>
      <w:r w:rsidRPr="005E1167">
        <w:t>), and therefore no corrections to the high affinity values were applied for the presence of a low affinity component. In the case of des-Bβ1-42 peak 1 fibrin, which lacks a high affinity binding site, reduced levels of low affinity thrombin binding were found (</w:t>
      </w:r>
      <w:r w:rsidRPr="004D2723">
        <w:t>Fig. 4</w:t>
      </w:r>
      <w:bookmarkEnd w:id="62"/>
      <w:r w:rsidRPr="005E1167">
        <w:t>) and exceeded the amount that could be attributed to entrapment alone. The estimated </w:t>
      </w:r>
      <w:r w:rsidRPr="005E1167">
        <w:rPr>
          <w:i/>
          <w:iCs/>
        </w:rPr>
        <w:t>K</w:t>
      </w:r>
      <w:r w:rsidRPr="005E1167">
        <w:rPr>
          <w:i/>
          <w:iCs/>
          <w:vertAlign w:val="subscript"/>
        </w:rPr>
        <w:t>a</w:t>
      </w:r>
      <w:r w:rsidRPr="005E1167">
        <w:t> (0.11 × 10</w:t>
      </w:r>
      <w:r w:rsidRPr="005E1167">
        <w:rPr>
          <w:vertAlign w:val="superscript"/>
        </w:rPr>
        <w:t>6−1</w:t>
      </w:r>
      <w:r w:rsidRPr="005E1167">
        <w:t>) was 38% of that found for peak 1 or fraction I-2 fibrin, but the stoichiometry was the same (</w:t>
      </w:r>
      <w:proofErr w:type="gramStart"/>
      <w:r w:rsidRPr="005E1167">
        <w:rPr>
          <w:i/>
          <w:iCs/>
        </w:rPr>
        <w:t>i.e.</w:t>
      </w:r>
      <w:proofErr w:type="gramEnd"/>
      <w:r w:rsidRPr="005E1167">
        <w:t> 1.66 sites per molecule).</w:t>
      </w:r>
    </w:p>
    <w:p w14:paraId="191EA2E3" w14:textId="4C002738" w:rsidR="005E1167" w:rsidRPr="005E1167" w:rsidRDefault="005E1167" w:rsidP="00737BA9">
      <w:pPr>
        <w:pStyle w:val="NoSpacing"/>
      </w:pPr>
      <w:r w:rsidRPr="005E1167">
        <w:rPr>
          <w:noProof/>
        </w:rPr>
        <w:drawing>
          <wp:inline distT="0" distB="0" distL="0" distR="0" wp14:anchorId="4AA3E4CA" wp14:editId="48359F04">
            <wp:extent cx="1828800" cy="1709928"/>
            <wp:effectExtent l="0" t="0" r="0" b="508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28800" cy="1709928"/>
                    </a:xfrm>
                    <a:prstGeom prst="rect">
                      <a:avLst/>
                    </a:prstGeom>
                    <a:noFill/>
                    <a:ln>
                      <a:noFill/>
                    </a:ln>
                  </pic:spPr>
                </pic:pic>
              </a:graphicData>
            </a:graphic>
          </wp:inline>
        </w:drawing>
      </w:r>
    </w:p>
    <w:p w14:paraId="1FEC115D" w14:textId="77777777" w:rsidR="005E1167" w:rsidRDefault="005E1167" w:rsidP="00737BA9">
      <w:pPr>
        <w:pStyle w:val="NoSpacing"/>
      </w:pPr>
      <w:r w:rsidRPr="005E1167">
        <w:t>Fig. 4. </w:t>
      </w:r>
      <w:proofErr w:type="spellStart"/>
      <w:r w:rsidRPr="005E1167">
        <w:rPr>
          <w:b/>
          <w:bCs/>
        </w:rPr>
        <w:t>Scatchard</w:t>
      </w:r>
      <w:proofErr w:type="spellEnd"/>
      <w:r w:rsidRPr="005E1167">
        <w:rPr>
          <w:b/>
          <w:bCs/>
        </w:rPr>
        <w:t xml:space="preserve"> analysis of the binding of</w:t>
      </w:r>
      <w:r w:rsidRPr="005E1167">
        <w:t> </w:t>
      </w:r>
      <w:r w:rsidRPr="005E1167">
        <w:rPr>
          <w:b/>
          <w:bCs/>
          <w:vertAlign w:val="superscript"/>
        </w:rPr>
        <w:t>125</w:t>
      </w:r>
      <w:r w:rsidRPr="005E1167">
        <w:rPr>
          <w:b/>
          <w:bCs/>
        </w:rPr>
        <w:t>I-PPACK-thrombin to des-Bβ1-42 peak 2 fibrin (•) or des-Bβ1-42 peak 1 fibrin (</w:t>
      </w:r>
      <w:r w:rsidRPr="005E1167">
        <w:rPr>
          <w:rFonts w:ascii="Cambria Math" w:hAnsi="Cambria Math" w:cs="Cambria Math"/>
          <w:b/>
          <w:bCs/>
        </w:rPr>
        <w:t>∘</w:t>
      </w:r>
      <w:r w:rsidRPr="005E1167">
        <w:rPr>
          <w:b/>
          <w:bCs/>
        </w:rPr>
        <w:t>).</w:t>
      </w:r>
      <w:r w:rsidRPr="005E1167">
        <w:t> The </w:t>
      </w:r>
      <w:r w:rsidRPr="005E1167">
        <w:rPr>
          <w:i/>
          <w:iCs/>
        </w:rPr>
        <w:t>solid line</w:t>
      </w:r>
      <w:r w:rsidRPr="005E1167">
        <w:t> represents the high affinity component. The low affinity component is represented by the </w:t>
      </w:r>
      <w:r w:rsidRPr="005E1167">
        <w:rPr>
          <w:i/>
          <w:iCs/>
        </w:rPr>
        <w:t>broken line</w:t>
      </w:r>
      <w:r w:rsidRPr="005E1167">
        <w:t>.</w:t>
      </w:r>
    </w:p>
    <w:p w14:paraId="612703E6" w14:textId="77777777" w:rsidR="00737BA9" w:rsidRPr="005E1167" w:rsidRDefault="00737BA9" w:rsidP="005E1167"/>
    <w:p w14:paraId="3E62CEEA" w14:textId="77777777" w:rsidR="005E1167" w:rsidRPr="005E1167" w:rsidRDefault="005E1167" w:rsidP="00737BA9">
      <w:pPr>
        <w:pStyle w:val="Heading2"/>
      </w:pPr>
      <w:r w:rsidRPr="005E1167">
        <w:t xml:space="preserve">Thrombin </w:t>
      </w:r>
      <w:proofErr w:type="spellStart"/>
      <w:r w:rsidRPr="005E1167">
        <w:t>Exosite</w:t>
      </w:r>
      <w:proofErr w:type="spellEnd"/>
      <w:r w:rsidRPr="005E1167">
        <w:t>-binding Peptide</w:t>
      </w:r>
    </w:p>
    <w:p w14:paraId="6FA8AE56" w14:textId="61A5F223" w:rsidR="005E1167" w:rsidRPr="005E1167" w:rsidRDefault="005E1167" w:rsidP="005E1167">
      <w:r w:rsidRPr="005E1167">
        <w:t xml:space="preserve">To provide additional evidence that the γ′ sequence contains the high affinity site for thrombin </w:t>
      </w:r>
      <w:proofErr w:type="spellStart"/>
      <w:r w:rsidRPr="005E1167">
        <w:t>exosite</w:t>
      </w:r>
      <w:proofErr w:type="spellEnd"/>
      <w:r w:rsidRPr="005E1167">
        <w:t xml:space="preserve"> binding, we evaluated thrombin binding in the presence of S-Hir</w:t>
      </w:r>
      <w:r w:rsidRPr="005E1167">
        <w:rPr>
          <w:vertAlign w:val="superscript"/>
        </w:rPr>
        <w:t>53-64</w:t>
      </w:r>
      <w:r w:rsidRPr="005E1167">
        <w:t xml:space="preserve">, a well characterized thrombin </w:t>
      </w:r>
      <w:proofErr w:type="spellStart"/>
      <w:r w:rsidRPr="005E1167">
        <w:t>exosite</w:t>
      </w:r>
      <w:proofErr w:type="spellEnd"/>
      <w:r w:rsidRPr="005E1167">
        <w:t xml:space="preserve"> binding peptide, to des-Bβ1-42 peak 2 (high affinity) or peak 1 (low affinity) fibrin. S-Hir</w:t>
      </w:r>
      <w:r w:rsidRPr="005E1167">
        <w:rPr>
          <w:vertAlign w:val="superscript"/>
        </w:rPr>
        <w:t>53-64</w:t>
      </w:r>
      <w:r w:rsidRPr="005E1167">
        <w:t> was an effective competitive inhibitor of thrombin binding to fibrin with an IC</w:t>
      </w:r>
      <w:r w:rsidRPr="005E1167">
        <w:rPr>
          <w:vertAlign w:val="subscript"/>
        </w:rPr>
        <w:t>50</w:t>
      </w:r>
      <w:r w:rsidRPr="005E1167">
        <w:t> of 3.0 μ for high affinity thrombin binding and 1.4 μ for low affinity binding (</w:t>
      </w:r>
      <w:bookmarkStart w:id="63" w:name="bfig5"/>
      <w:r w:rsidRPr="004D2723">
        <w:t>Fig. 5</w:t>
      </w:r>
      <w:bookmarkEnd w:id="63"/>
      <w:r w:rsidRPr="005E1167">
        <w:t xml:space="preserve">), thus indicating that both classes of sites bind thrombin through its </w:t>
      </w:r>
      <w:proofErr w:type="spellStart"/>
      <w:r w:rsidRPr="005E1167">
        <w:t>exosite</w:t>
      </w:r>
      <w:proofErr w:type="spellEnd"/>
      <w:r w:rsidRPr="005E1167">
        <w:t>.</w:t>
      </w:r>
    </w:p>
    <w:p w14:paraId="35351673" w14:textId="020ABEFD" w:rsidR="005E1167" w:rsidRPr="005E1167" w:rsidRDefault="005E1167" w:rsidP="00737BA9">
      <w:pPr>
        <w:pStyle w:val="NoSpacing"/>
      </w:pPr>
      <w:r w:rsidRPr="005E1167">
        <w:rPr>
          <w:noProof/>
        </w:rPr>
        <w:drawing>
          <wp:inline distT="0" distB="0" distL="0" distR="0" wp14:anchorId="0C8CE91C" wp14:editId="4C224760">
            <wp:extent cx="1828800" cy="160020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0" cy="1600200"/>
                    </a:xfrm>
                    <a:prstGeom prst="rect">
                      <a:avLst/>
                    </a:prstGeom>
                    <a:noFill/>
                    <a:ln>
                      <a:noFill/>
                    </a:ln>
                  </pic:spPr>
                </pic:pic>
              </a:graphicData>
            </a:graphic>
          </wp:inline>
        </w:drawing>
      </w:r>
    </w:p>
    <w:p w14:paraId="4B5F05A0" w14:textId="77777777" w:rsidR="005E1167" w:rsidRDefault="005E1167" w:rsidP="00737BA9">
      <w:pPr>
        <w:pStyle w:val="NoSpacing"/>
      </w:pPr>
      <w:r w:rsidRPr="005E1167">
        <w:t>Fig. 5. </w:t>
      </w:r>
      <w:r w:rsidRPr="005E1167">
        <w:rPr>
          <w:b/>
          <w:bCs/>
        </w:rPr>
        <w:t>S-Hir</w:t>
      </w:r>
      <w:r w:rsidRPr="005E1167">
        <w:rPr>
          <w:b/>
          <w:bCs/>
          <w:vertAlign w:val="superscript"/>
        </w:rPr>
        <w:t>53-64</w:t>
      </w:r>
      <w:r w:rsidRPr="005E1167">
        <w:t> </w:t>
      </w:r>
      <w:r w:rsidRPr="005E1167">
        <w:rPr>
          <w:b/>
          <w:bCs/>
        </w:rPr>
        <w:t>(</w:t>
      </w:r>
      <w:proofErr w:type="spellStart"/>
      <w:r w:rsidRPr="005E1167">
        <w:rPr>
          <w:b/>
          <w:bCs/>
        </w:rPr>
        <w:t>hirugen</w:t>
      </w:r>
      <w:proofErr w:type="spellEnd"/>
      <w:r w:rsidRPr="005E1167">
        <w:rPr>
          <w:b/>
          <w:bCs/>
        </w:rPr>
        <w:t>) inhibition of</w:t>
      </w:r>
      <w:r w:rsidRPr="005E1167">
        <w:t> </w:t>
      </w:r>
      <w:r w:rsidRPr="005E1167">
        <w:rPr>
          <w:b/>
          <w:bCs/>
          <w:vertAlign w:val="superscript"/>
        </w:rPr>
        <w:t>125</w:t>
      </w:r>
      <w:r w:rsidRPr="005E1167">
        <w:rPr>
          <w:b/>
          <w:bCs/>
        </w:rPr>
        <w:t>I-PPACK-thrombin binding to des-Bβ1-42 peak 2 fibrin (•) or peak 1 fibrin (</w:t>
      </w:r>
      <w:r w:rsidRPr="005E1167">
        <w:rPr>
          <w:rFonts w:ascii="Cambria Math" w:hAnsi="Cambria Math" w:cs="Cambria Math"/>
          <w:b/>
          <w:bCs/>
        </w:rPr>
        <w:t>∘</w:t>
      </w:r>
      <w:r w:rsidRPr="005E1167">
        <w:rPr>
          <w:b/>
          <w:bCs/>
        </w:rPr>
        <w:t>).</w:t>
      </w:r>
      <w:r w:rsidRPr="005E1167">
        <w:t> The calculated IC</w:t>
      </w:r>
      <w:r w:rsidRPr="005E1167">
        <w:rPr>
          <w:vertAlign w:val="subscript"/>
        </w:rPr>
        <w:t>50</w:t>
      </w:r>
      <w:r w:rsidRPr="005E1167">
        <w:t> for each curve is indicated.</w:t>
      </w:r>
    </w:p>
    <w:p w14:paraId="52667F9B" w14:textId="77777777" w:rsidR="00737BA9" w:rsidRPr="005E1167" w:rsidRDefault="00737BA9" w:rsidP="005E1167"/>
    <w:p w14:paraId="1767AC9C" w14:textId="77777777" w:rsidR="005E1167" w:rsidRPr="005E1167" w:rsidRDefault="005E1167" w:rsidP="00737BA9">
      <w:pPr>
        <w:pStyle w:val="Heading2"/>
      </w:pPr>
      <w:r w:rsidRPr="005E1167">
        <w:t>Fibrinogen to Fibrin Conversion and S-2238 Hydrolysis</w:t>
      </w:r>
    </w:p>
    <w:p w14:paraId="7F559C35" w14:textId="04D8E85A" w:rsidR="005E1167" w:rsidRPr="005E1167" w:rsidRDefault="005E1167" w:rsidP="005E1167">
      <w:r w:rsidRPr="005E1167">
        <w:t>The mean thrombin times for peak 1 and peak 2 fibrinogens were 20.5 ± 0.5 and 20.4 ± 0.5 s (</w:t>
      </w:r>
      <w:r w:rsidRPr="005E1167">
        <w:rPr>
          <w:i/>
          <w:iCs/>
        </w:rPr>
        <w:t>n</w:t>
      </w:r>
      <w:r w:rsidRPr="005E1167">
        <w:t> = 5), respectively, indicating that the presence of the γ′ sequence had no measurable effect on thrombin substrate cleavage of fibrinogen. Hydrolysis of S-2238 was not inhibited by the presence of peak 1 fibrin or peak 2 fibrin in the hydrolysis mixture (</w:t>
      </w:r>
      <w:bookmarkStart w:id="64" w:name="btblIII"/>
      <w:r w:rsidRPr="004D2723">
        <w:t>Table III</w:t>
      </w:r>
      <w:bookmarkEnd w:id="64"/>
      <w:r w:rsidRPr="005E1167">
        <w:t>).</w:t>
      </w:r>
    </w:p>
    <w:p w14:paraId="12569EA8" w14:textId="77777777" w:rsidR="005E1167" w:rsidRPr="005E1167" w:rsidRDefault="005E1167" w:rsidP="00737BA9">
      <w:pPr>
        <w:spacing w:after="0"/>
      </w:pPr>
      <w:r w:rsidRPr="005E1167">
        <w:t>Table III. Thrombin Hydrolysis of S-2238</w:t>
      </w:r>
    </w:p>
    <w:tbl>
      <w:tblPr>
        <w:tblStyle w:val="TableGrid"/>
        <w:tblW w:w="0" w:type="auto"/>
        <w:tblLook w:val="04A0" w:firstRow="1" w:lastRow="0" w:firstColumn="1" w:lastColumn="0" w:noHBand="0" w:noVBand="1"/>
      </w:tblPr>
      <w:tblGrid>
        <w:gridCol w:w="2157"/>
        <w:gridCol w:w="333"/>
        <w:gridCol w:w="2410"/>
      </w:tblGrid>
      <w:tr w:rsidR="005E1167" w:rsidRPr="005E1167" w14:paraId="40DEB453" w14:textId="77777777" w:rsidTr="00737BA9">
        <w:tc>
          <w:tcPr>
            <w:tcW w:w="0" w:type="auto"/>
            <w:hideMark/>
          </w:tcPr>
          <w:p w14:paraId="2011612F" w14:textId="77777777" w:rsidR="005E1167" w:rsidRPr="005E1167" w:rsidRDefault="005E1167" w:rsidP="005E1167">
            <w:pPr>
              <w:rPr>
                <w:b/>
                <w:bCs/>
              </w:rPr>
            </w:pPr>
            <w:r w:rsidRPr="005E1167">
              <w:rPr>
                <w:b/>
                <w:bCs/>
              </w:rPr>
              <w:t>Substrate</w:t>
            </w:r>
          </w:p>
        </w:tc>
        <w:tc>
          <w:tcPr>
            <w:tcW w:w="0" w:type="auto"/>
            <w:hideMark/>
          </w:tcPr>
          <w:p w14:paraId="55CA0CDB" w14:textId="77777777" w:rsidR="005E1167" w:rsidRPr="005E1167" w:rsidRDefault="005E1167" w:rsidP="005E1167">
            <w:pPr>
              <w:rPr>
                <w:b/>
                <w:bCs/>
              </w:rPr>
            </w:pPr>
            <w:r w:rsidRPr="005E1167">
              <w:rPr>
                <w:b/>
                <w:bCs/>
                <w:i/>
                <w:iCs/>
              </w:rPr>
              <w:t>n</w:t>
            </w:r>
          </w:p>
        </w:tc>
        <w:tc>
          <w:tcPr>
            <w:tcW w:w="0" w:type="auto"/>
            <w:hideMark/>
          </w:tcPr>
          <w:p w14:paraId="435C2405" w14:textId="77777777" w:rsidR="005E1167" w:rsidRPr="005E1167" w:rsidRDefault="005E1167" w:rsidP="005E1167">
            <w:pPr>
              <w:rPr>
                <w:b/>
                <w:bCs/>
              </w:rPr>
            </w:pPr>
            <w:r w:rsidRPr="005E1167">
              <w:rPr>
                <w:b/>
                <w:bCs/>
              </w:rPr>
              <w:t>Initial rate, Δ</w:t>
            </w:r>
            <w:r w:rsidRPr="005E1167">
              <w:rPr>
                <w:b/>
                <w:bCs/>
                <w:i/>
                <w:iCs/>
              </w:rPr>
              <w:t>A</w:t>
            </w:r>
            <w:r w:rsidRPr="005E1167">
              <w:rPr>
                <w:b/>
                <w:bCs/>
                <w:vertAlign w:val="subscript"/>
              </w:rPr>
              <w:t>405 nm</w:t>
            </w:r>
            <w:r w:rsidRPr="005E1167">
              <w:rPr>
                <w:b/>
                <w:bCs/>
              </w:rPr>
              <w:t>/min</w:t>
            </w:r>
          </w:p>
        </w:tc>
      </w:tr>
      <w:tr w:rsidR="005E1167" w:rsidRPr="005E1167" w14:paraId="44E98CB2" w14:textId="77777777" w:rsidTr="00737BA9">
        <w:tc>
          <w:tcPr>
            <w:tcW w:w="0" w:type="auto"/>
            <w:hideMark/>
          </w:tcPr>
          <w:p w14:paraId="3AB8AC32" w14:textId="77777777" w:rsidR="005E1167" w:rsidRPr="005E1167" w:rsidRDefault="005E1167" w:rsidP="005E1167">
            <w:r w:rsidRPr="005E1167">
              <w:t>S-2238 alone</w:t>
            </w:r>
          </w:p>
        </w:tc>
        <w:tc>
          <w:tcPr>
            <w:tcW w:w="0" w:type="auto"/>
            <w:hideMark/>
          </w:tcPr>
          <w:p w14:paraId="59B2BE0C" w14:textId="77777777" w:rsidR="005E1167" w:rsidRPr="005E1167" w:rsidRDefault="005E1167" w:rsidP="005E1167">
            <w:r w:rsidRPr="005E1167">
              <w:t>8</w:t>
            </w:r>
          </w:p>
        </w:tc>
        <w:tc>
          <w:tcPr>
            <w:tcW w:w="0" w:type="auto"/>
            <w:hideMark/>
          </w:tcPr>
          <w:p w14:paraId="3931C1EE" w14:textId="77777777" w:rsidR="005E1167" w:rsidRPr="005E1167" w:rsidRDefault="005E1167" w:rsidP="005E1167">
            <w:r w:rsidRPr="005E1167">
              <w:t>0.12 ± 0.01</w:t>
            </w:r>
          </w:p>
        </w:tc>
      </w:tr>
      <w:tr w:rsidR="005E1167" w:rsidRPr="005E1167" w14:paraId="4C4F9F16" w14:textId="77777777" w:rsidTr="00737BA9">
        <w:tc>
          <w:tcPr>
            <w:tcW w:w="0" w:type="auto"/>
            <w:hideMark/>
          </w:tcPr>
          <w:p w14:paraId="4EC75C35" w14:textId="77777777" w:rsidR="005E1167" w:rsidRPr="005E1167" w:rsidRDefault="005E1167" w:rsidP="005E1167">
            <w:r w:rsidRPr="005E1167">
              <w:t>S-2238 + peak 1 fibrin</w:t>
            </w:r>
          </w:p>
        </w:tc>
        <w:tc>
          <w:tcPr>
            <w:tcW w:w="0" w:type="auto"/>
            <w:hideMark/>
          </w:tcPr>
          <w:p w14:paraId="51294B66" w14:textId="77777777" w:rsidR="005E1167" w:rsidRPr="005E1167" w:rsidRDefault="005E1167" w:rsidP="005E1167">
            <w:r w:rsidRPr="005E1167">
              <w:t>8</w:t>
            </w:r>
          </w:p>
        </w:tc>
        <w:tc>
          <w:tcPr>
            <w:tcW w:w="0" w:type="auto"/>
            <w:hideMark/>
          </w:tcPr>
          <w:p w14:paraId="383E6258" w14:textId="77777777" w:rsidR="005E1167" w:rsidRPr="005E1167" w:rsidRDefault="005E1167" w:rsidP="005E1167">
            <w:r w:rsidRPr="005E1167">
              <w:t>0.13 ± 0.02</w:t>
            </w:r>
          </w:p>
        </w:tc>
      </w:tr>
      <w:tr w:rsidR="005E1167" w:rsidRPr="005E1167" w14:paraId="200C5373" w14:textId="77777777" w:rsidTr="00737BA9">
        <w:tc>
          <w:tcPr>
            <w:tcW w:w="0" w:type="auto"/>
            <w:hideMark/>
          </w:tcPr>
          <w:p w14:paraId="2596F605" w14:textId="77777777" w:rsidR="005E1167" w:rsidRPr="005E1167" w:rsidRDefault="005E1167" w:rsidP="005E1167">
            <w:r w:rsidRPr="005E1167">
              <w:t>S-2238 + peak 2 fibrin</w:t>
            </w:r>
          </w:p>
        </w:tc>
        <w:tc>
          <w:tcPr>
            <w:tcW w:w="0" w:type="auto"/>
            <w:hideMark/>
          </w:tcPr>
          <w:p w14:paraId="2B68EE4A" w14:textId="77777777" w:rsidR="005E1167" w:rsidRPr="005E1167" w:rsidRDefault="005E1167" w:rsidP="005E1167">
            <w:r w:rsidRPr="005E1167">
              <w:t>9</w:t>
            </w:r>
          </w:p>
        </w:tc>
        <w:tc>
          <w:tcPr>
            <w:tcW w:w="0" w:type="auto"/>
            <w:hideMark/>
          </w:tcPr>
          <w:p w14:paraId="738A69DE" w14:textId="77777777" w:rsidR="005E1167" w:rsidRPr="005E1167" w:rsidRDefault="005E1167" w:rsidP="005E1167">
            <w:r w:rsidRPr="005E1167">
              <w:t>0.11 ± 0.01</w:t>
            </w:r>
          </w:p>
        </w:tc>
      </w:tr>
    </w:tbl>
    <w:p w14:paraId="13EA288A" w14:textId="77777777" w:rsidR="005E1167" w:rsidRPr="005E1167" w:rsidRDefault="005E1167" w:rsidP="00737BA9">
      <w:pPr>
        <w:pStyle w:val="Heading1"/>
      </w:pPr>
      <w:r w:rsidRPr="005E1167">
        <w:t>DISCUSSION</w:t>
      </w:r>
    </w:p>
    <w:p w14:paraId="1921EDBB" w14:textId="499DBE34" w:rsidR="005E1167" w:rsidRPr="005E1167" w:rsidRDefault="005E1167" w:rsidP="005E1167">
      <w:r w:rsidRPr="005E1167">
        <w:t>These present experiments show that there is a unique high affinity non-substrate binding site for thrombin in the carboxyl-terminal region of the γ′ chain and a low affinity class of binding site in the amino-terminal region of fibrin, the latter contained in part within the Bβ1-42 sequence. In studies of fraction I-2 fibrinogen, which contains approximately 8%γ′ chains, we detected the same two classes of binding sites that were identified by Liu </w:t>
      </w:r>
      <w:r w:rsidRPr="005E1167">
        <w:rPr>
          <w:i/>
          <w:iCs/>
        </w:rPr>
        <w:t>et al.</w:t>
      </w:r>
      <w:r w:rsidRPr="005E1167">
        <w:t> (</w:t>
      </w:r>
      <w:r w:rsidRPr="004D2723">
        <w:t>19</w:t>
      </w:r>
      <w:r w:rsidRPr="005E1167">
        <w:t>). The binding affinities we determined were about 10-fold higher for high affinity binding and 4-fold higher for low affinity binding (</w:t>
      </w:r>
      <w:r w:rsidRPr="004D2723">
        <w:t>Table II</w:t>
      </w:r>
      <w:bookmarkEnd w:id="57"/>
      <w:r w:rsidRPr="005E1167">
        <w:t>). In peak 1 fibrin (</w:t>
      </w:r>
      <w:proofErr w:type="spellStart"/>
      <w:r w:rsidRPr="005E1167">
        <w:t>γ</w:t>
      </w:r>
      <w:proofErr w:type="gramStart"/>
      <w:r w:rsidRPr="005E1167">
        <w:rPr>
          <w:vertAlign w:val="subscript"/>
        </w:rPr>
        <w:t>A</w:t>
      </w:r>
      <w:r w:rsidRPr="005E1167">
        <w:t>,γ</w:t>
      </w:r>
      <w:proofErr w:type="gramEnd"/>
      <w:r w:rsidRPr="005E1167">
        <w:rPr>
          <w:vertAlign w:val="subscript"/>
        </w:rPr>
        <w:t>A</w:t>
      </w:r>
      <w:proofErr w:type="spellEnd"/>
      <w:r w:rsidRPr="005E1167">
        <w:t>) only the low affinity binding component was observed, whereas with peak 2 fibrin (γ′,</w:t>
      </w:r>
      <w:proofErr w:type="spellStart"/>
      <w:r w:rsidRPr="005E1167">
        <w:t>γ</w:t>
      </w:r>
      <w:r w:rsidRPr="005E1167">
        <w:rPr>
          <w:vertAlign w:val="subscript"/>
        </w:rPr>
        <w:t>A</w:t>
      </w:r>
      <w:proofErr w:type="spellEnd"/>
      <w:r w:rsidRPr="005E1167">
        <w:t>), there was increased high affinity thrombin binding corresponding to the increased content of γ′ chains. Overall, high affinity binding stoichiometry corresponds well to the content of γ′ chains, with one thrombin per γ′ chain.</w:t>
      </w:r>
    </w:p>
    <w:p w14:paraId="45A9F03B" w14:textId="0A7D1E74" w:rsidR="005E1167" w:rsidRPr="005E1167" w:rsidRDefault="005E1167" w:rsidP="005E1167">
      <w:r w:rsidRPr="005E1167">
        <w:t>Although the existence and structure of the γ′ chain has been known for many years (</w:t>
      </w:r>
      <w:r w:rsidRPr="004D2723">
        <w:t>21</w:t>
      </w:r>
      <w:bookmarkEnd w:id="23"/>
      <w:r w:rsidRPr="005E1167">
        <w:t>, </w:t>
      </w:r>
      <w:r w:rsidRPr="004D2723">
        <w:t>23</w:t>
      </w:r>
      <w:bookmarkEnd w:id="25"/>
      <w:r w:rsidRPr="005E1167">
        <w:t>, </w:t>
      </w:r>
      <w:r w:rsidRPr="004D2723">
        <w:t>51</w:t>
      </w:r>
      <w:bookmarkEnd w:id="61"/>
      <w:r w:rsidRPr="005E1167">
        <w:t>), its role as the high affinity non-substrate thrombin binding site in fibrin has been overlooked for several reasons. First, it has been generally assumed that the entire thrombin binding site in fibrin was a residual of the substrate recognition site in fibrinogen. Thus, knowledge that there were two classes of binding sites in fibrin, coupled with the observation that high affinity thrombin binding was only a minor component of the total binding reaction in fraction I-2 fibrin (</w:t>
      </w:r>
      <w:r w:rsidRPr="004D2723">
        <w:t>19</w:t>
      </w:r>
      <w:r w:rsidRPr="005E1167">
        <w:t>, </w:t>
      </w:r>
      <w:r w:rsidRPr="004D2723">
        <w:t>20</w:t>
      </w:r>
      <w:bookmarkEnd w:id="22"/>
      <w:r w:rsidRPr="005E1167">
        <w:t>), evidently did not raise suspicion of another possible thrombin-binding location. Second, most investigations on this subject have involved only central E domain structures (</w:t>
      </w:r>
      <w:r w:rsidRPr="004D2723">
        <w:t>17</w:t>
      </w:r>
      <w:r w:rsidRPr="005E1167">
        <w:t>, </w:t>
      </w:r>
      <w:r w:rsidRPr="004D2723">
        <w:t>18</w:t>
      </w:r>
      <w:r w:rsidRPr="005E1167">
        <w:t>, </w:t>
      </w:r>
      <w:bookmarkStart w:id="65" w:name="bbib52"/>
      <w:r w:rsidRPr="004D2723">
        <w:t>52</w:t>
      </w:r>
      <w:bookmarkEnd w:id="65"/>
      <w:r w:rsidRPr="005E1167">
        <w:t>, </w:t>
      </w:r>
      <w:bookmarkStart w:id="66" w:name="bbib53"/>
      <w:r w:rsidRPr="004D2723">
        <w:t>53</w:t>
      </w:r>
      <w:r w:rsidRPr="005E1167">
        <w:t xml:space="preserve">) or in addition, </w:t>
      </w:r>
      <w:proofErr w:type="spellStart"/>
      <w:r w:rsidRPr="005E1167">
        <w:t>plasmic</w:t>
      </w:r>
      <w:proofErr w:type="spellEnd"/>
      <w:r w:rsidRPr="005E1167">
        <w:t xml:space="preserve"> D fragments (</w:t>
      </w:r>
      <w:r w:rsidRPr="004D2723">
        <w:t>17</w:t>
      </w:r>
      <w:r w:rsidRPr="005E1167">
        <w:t>, </w:t>
      </w:r>
      <w:r w:rsidRPr="004D2723">
        <w:t>18</w:t>
      </w:r>
      <w:r w:rsidRPr="005E1167">
        <w:t>) from which the γ′ sequence had most likely been cleaved (</w:t>
      </w:r>
      <w:bookmarkStart w:id="67" w:name="bbib54"/>
      <w:r w:rsidRPr="004D2723">
        <w:t>54</w:t>
      </w:r>
      <w:bookmarkEnd w:id="67"/>
      <w:r w:rsidRPr="005E1167">
        <w:t>) or which had a low content of γ′-containing molecules to begin with (</w:t>
      </w:r>
      <w:proofErr w:type="gramStart"/>
      <w:r w:rsidRPr="005E1167">
        <w:rPr>
          <w:i/>
          <w:iCs/>
        </w:rPr>
        <w:t>i.e.</w:t>
      </w:r>
      <w:proofErr w:type="gramEnd"/>
      <w:r w:rsidRPr="005E1167">
        <w:t> fraction I-2) (</w:t>
      </w:r>
      <w:r w:rsidRPr="004D2723">
        <w:t>19</w:t>
      </w:r>
      <w:bookmarkEnd w:id="21"/>
      <w:r w:rsidRPr="005E1167">
        <w:t>, </w:t>
      </w:r>
      <w:bookmarkStart w:id="68" w:name="bbib55"/>
      <w:r w:rsidRPr="004D2723">
        <w:t>55</w:t>
      </w:r>
      <w:bookmarkEnd w:id="68"/>
      <w:r w:rsidRPr="005E1167">
        <w:t>). Studies of thrombin binding to immobilized fibrin (</w:t>
      </w:r>
      <w:r w:rsidRPr="004D2723">
        <w:t>1</w:t>
      </w:r>
      <w:bookmarkEnd w:id="2"/>
      <w:r w:rsidRPr="005E1167">
        <w:t>, </w:t>
      </w:r>
      <w:r w:rsidRPr="004D2723">
        <w:t>16</w:t>
      </w:r>
      <w:bookmarkEnd w:id="18"/>
      <w:r w:rsidRPr="005E1167">
        <w:t>, </w:t>
      </w:r>
      <w:bookmarkStart w:id="69" w:name="bbib56"/>
      <w:r w:rsidRPr="004D2723">
        <w:t>56</w:t>
      </w:r>
      <w:bookmarkEnd w:id="69"/>
      <w:r w:rsidRPr="005E1167">
        <w:t>) or to a modified fibrin clot (des-Bβ1-42 fibrin) (</w:t>
      </w:r>
      <w:r w:rsidRPr="004D2723">
        <w:t>49</w:t>
      </w:r>
      <w:r w:rsidRPr="005E1167">
        <w:t>) could not have distinguished the specific location of any binding site.</w:t>
      </w:r>
    </w:p>
    <w:p w14:paraId="2371E459" w14:textId="77777777" w:rsidR="005E1167" w:rsidRPr="005E1167" w:rsidRDefault="005E1167" w:rsidP="005E1167">
      <w:r w:rsidRPr="005E1167">
        <w:t xml:space="preserve">We would therefore revise the current belief that all non-substrate thrombin binding takes place in the fibrin E domain, to stipulate that only low affinity thrombin binding takes place in this region. We would concur, however, with the notion that thrombin binding in the E domain is likely to represent a residual aspect of the site that participated in fibrinogen substrate recognition. </w:t>
      </w:r>
      <w:proofErr w:type="spellStart"/>
      <w:r w:rsidRPr="005E1167">
        <w:t>Scatchard</w:t>
      </w:r>
      <w:proofErr w:type="spellEnd"/>
      <w:r w:rsidRPr="005E1167">
        <w:t xml:space="preserve"> analyses indicated a stoichiometry of 1.69 thrombin molecules per fibrin molecule, suggesting that there are two low affinity sites in each dimeric fibrin molecule, corresponding to a fibrinogen substrate recognition site for each pair of fibrinopeptides (FPA, FPB). Whether recognition site binding is the same for FPA and FPB cleavage has yet to be determined.</w:t>
      </w:r>
    </w:p>
    <w:p w14:paraId="6351E6CC" w14:textId="598298E2" w:rsidR="005E1167" w:rsidRPr="005E1167" w:rsidRDefault="005E1167" w:rsidP="005E1167">
      <w:r w:rsidRPr="005E1167">
        <w:t>Unlike the high affinity binding site in the γ′ chain, formation of the low affinity site in the E domain is not restricted to a single peptide sequence. Consistent with a previous report (</w:t>
      </w:r>
      <w:r w:rsidRPr="004D2723">
        <w:t>49</w:t>
      </w:r>
      <w:bookmarkEnd w:id="53"/>
      <w:r w:rsidRPr="005E1167">
        <w:t xml:space="preserve">), our current data suggest that the β15-42 sequence contributes significantly to non-substrate binding and that </w:t>
      </w:r>
      <w:r w:rsidRPr="005E1167">
        <w:rPr>
          <w:rFonts w:ascii="Cambria Math" w:hAnsi="Cambria Math" w:cs="Cambria Math"/>
        </w:rPr>
        <w:t>∼</w:t>
      </w:r>
      <w:r w:rsidRPr="005E1167">
        <w:t>60% of low affinity binding is lost by removal of this sequence. Other evidence suggests that the fibrin A</w:t>
      </w:r>
      <w:r w:rsidRPr="005E1167">
        <w:rPr>
          <w:rFonts w:ascii="Calibri" w:hAnsi="Calibri" w:cs="Calibri"/>
        </w:rPr>
        <w:t>α</w:t>
      </w:r>
      <w:r w:rsidRPr="005E1167">
        <w:t>27-50 sequence contributes as well to low affinity thrombin binding (</w:t>
      </w:r>
      <w:r w:rsidRPr="004D2723">
        <w:t>18</w:t>
      </w:r>
      <w:r w:rsidRPr="005E1167">
        <w:t>, </w:t>
      </w:r>
      <w:r w:rsidRPr="004D2723">
        <w:t>53</w:t>
      </w:r>
      <w:bookmarkEnd w:id="66"/>
      <w:r w:rsidRPr="005E1167">
        <w:t>). The γ chains in the E domain have also been proposed as contributors to the thrombin binding site (</w:t>
      </w:r>
      <w:r w:rsidRPr="004D2723">
        <w:t>17</w:t>
      </w:r>
      <w:bookmarkEnd w:id="19"/>
      <w:r w:rsidRPr="005E1167">
        <w:t>, </w:t>
      </w:r>
      <w:r w:rsidRPr="004D2723">
        <w:t>18</w:t>
      </w:r>
      <w:bookmarkEnd w:id="20"/>
      <w:r w:rsidRPr="005E1167">
        <w:t>), but the evidence for this is not well substantiated.</w:t>
      </w:r>
    </w:p>
    <w:p w14:paraId="5810105A" w14:textId="12D4F7CA" w:rsidR="005E1167" w:rsidRPr="005E1167" w:rsidRDefault="005E1167" w:rsidP="005E1167">
      <w:r w:rsidRPr="005E1167">
        <w:t xml:space="preserve">Fibrinogens New York I (des-Bβ9-72) and Naples I (Bβ A68 T) are </w:t>
      </w:r>
      <w:proofErr w:type="spellStart"/>
      <w:r w:rsidRPr="005E1167">
        <w:t>dysfibrinogenemias</w:t>
      </w:r>
      <w:proofErr w:type="spellEnd"/>
      <w:r w:rsidRPr="005E1167">
        <w:t>, which have been characterized as having impaired thrombin binding (</w:t>
      </w:r>
      <w:bookmarkStart w:id="70" w:name="bbib57"/>
      <w:r w:rsidRPr="004D2723">
        <w:t>57</w:t>
      </w:r>
      <w:r w:rsidRPr="005E1167">
        <w:t>, </w:t>
      </w:r>
      <w:bookmarkStart w:id="71" w:name="bbib58"/>
      <w:r w:rsidRPr="004D2723">
        <w:t>58</w:t>
      </w:r>
      <w:r w:rsidRPr="005E1167">
        <w:t xml:space="preserve">), presumably related to a defective amino-terminal substrate or non-substrate binding site. A recent study of recombinant </w:t>
      </w:r>
      <w:proofErr w:type="spellStart"/>
      <w:r w:rsidRPr="005E1167">
        <w:t>γ</w:t>
      </w:r>
      <w:r w:rsidRPr="005E1167">
        <w:rPr>
          <w:vertAlign w:val="subscript"/>
        </w:rPr>
        <w:t>A</w:t>
      </w:r>
      <w:proofErr w:type="spellEnd"/>
      <w:r w:rsidRPr="005E1167">
        <w:t>-type Bβ A68 T fibrinogen has reaffirmed the importance of Bβ68 alanine in thrombin-mediated cleavage of Naples I fibrinogen (</w:t>
      </w:r>
      <w:bookmarkStart w:id="72" w:name="bbib59"/>
      <w:r w:rsidRPr="004D2723">
        <w:t>59</w:t>
      </w:r>
      <w:bookmarkEnd w:id="72"/>
      <w:r w:rsidRPr="005E1167">
        <w:t>). In the case of New York I, which is heterozygotic, thrombin binding to fibrin was 50% of normal, but there was no evidence to suggest a high affinity thrombin binding component (</w:t>
      </w:r>
      <w:r w:rsidRPr="004D2723">
        <w:t>57</w:t>
      </w:r>
      <w:bookmarkEnd w:id="70"/>
      <w:r w:rsidRPr="005E1167">
        <w:t>). Similarly, thrombin binding to homozygous Naples I fibrin was reported to be absent (</w:t>
      </w:r>
      <w:r w:rsidRPr="004D2723">
        <w:t>58</w:t>
      </w:r>
      <w:bookmarkEnd w:id="71"/>
      <w:r w:rsidRPr="005E1167">
        <w:t>), and thus there was also no collateral evidence for high affinity thrombin binding to the presumably normal Naples I γ′ chain. However, in another report on this same family, thrombin binding to fibrin from a homozygous proband was reduced to only one-third of normal (</w:t>
      </w:r>
      <w:bookmarkStart w:id="73" w:name="bbib60"/>
      <w:r w:rsidRPr="004D2723">
        <w:t>60</w:t>
      </w:r>
      <w:bookmarkEnd w:id="73"/>
      <w:r w:rsidRPr="005E1167">
        <w:t>). The available data derived from studies on Naples I fibrin do not permit an unambiguous distinction to be made as to the presence or absence of a high affinity binding component, although we would have expected only low affinity binding to have been affected.</w:t>
      </w:r>
    </w:p>
    <w:p w14:paraId="7B502A47" w14:textId="537A27F6" w:rsidR="005E1167" w:rsidRPr="005E1167" w:rsidRDefault="005E1167" w:rsidP="005E1167">
      <w:r w:rsidRPr="005E1167">
        <w:t xml:space="preserve">Direct measurements of thrombin binding to substrate fibrinogen molecules have not been reported, </w:t>
      </w:r>
      <w:proofErr w:type="gramStart"/>
      <w:r w:rsidRPr="005E1167">
        <w:t>owing to the fact that</w:t>
      </w:r>
      <w:proofErr w:type="gramEnd"/>
      <w:r w:rsidRPr="005E1167">
        <w:t xml:space="preserve"> thrombin binding to its substrate is accompanied by concomitant conversion of fibrinogen to fibrin. Instead, estimation of substrate binding affinities </w:t>
      </w:r>
      <w:proofErr w:type="gramStart"/>
      <w:r w:rsidRPr="005E1167">
        <w:t>have</w:t>
      </w:r>
      <w:proofErr w:type="gramEnd"/>
      <w:r w:rsidRPr="005E1167">
        <w:t xml:space="preserve"> been made from kinetic experiments involving peptide A release from fibrinogen peptides or fibrinogen itself. The </w:t>
      </w:r>
      <w:r w:rsidRPr="005E1167">
        <w:rPr>
          <w:i/>
          <w:iCs/>
        </w:rPr>
        <w:t>K</w:t>
      </w:r>
      <w:r w:rsidRPr="005E1167">
        <w:rPr>
          <w:i/>
          <w:iCs/>
          <w:vertAlign w:val="subscript"/>
        </w:rPr>
        <w:t>m</w:t>
      </w:r>
      <w:r w:rsidRPr="005E1167">
        <w:t> estimated from such studies is 6-11 μ (</w:t>
      </w:r>
      <w:bookmarkStart w:id="74" w:name="bbib61"/>
      <w:r w:rsidRPr="004D2723">
        <w:t>61</w:t>
      </w:r>
      <w:r w:rsidRPr="005E1167">
        <w:t>, </w:t>
      </w:r>
      <w:bookmarkStart w:id="75" w:name="bbib62"/>
      <w:r w:rsidRPr="004D2723">
        <w:t>62</w:t>
      </w:r>
      <w:r w:rsidRPr="005E1167">
        <w:t>, </w:t>
      </w:r>
      <w:bookmarkStart w:id="76" w:name="bbib63"/>
      <w:r w:rsidRPr="004D2723">
        <w:t>63</w:t>
      </w:r>
      <w:r w:rsidRPr="005E1167">
        <w:t>, </w:t>
      </w:r>
      <w:bookmarkStart w:id="77" w:name="bbib64"/>
      <w:r w:rsidRPr="004D2723">
        <w:t>64</w:t>
      </w:r>
      <w:r w:rsidRPr="005E1167">
        <w:t>), and the </w:t>
      </w:r>
      <w:proofErr w:type="spellStart"/>
      <w:r w:rsidRPr="005E1167">
        <w:rPr>
          <w:i/>
          <w:iCs/>
        </w:rPr>
        <w:t>K</w:t>
      </w:r>
      <w:r w:rsidRPr="005E1167">
        <w:rPr>
          <w:i/>
          <w:iCs/>
          <w:vertAlign w:val="subscript"/>
        </w:rPr>
        <w:t>d</w:t>
      </w:r>
      <w:proofErr w:type="spellEnd"/>
      <w:r w:rsidRPr="005E1167">
        <w:t> derived from similar kinetic studies was 1.3-2.6 μ (</w:t>
      </w:r>
      <w:bookmarkStart w:id="78" w:name="bbib65"/>
      <w:r w:rsidRPr="004D2723">
        <w:t>65</w:t>
      </w:r>
      <w:r w:rsidRPr="005E1167">
        <w:t>, </w:t>
      </w:r>
      <w:bookmarkStart w:id="79" w:name="bbib66"/>
      <w:r w:rsidRPr="004D2723">
        <w:t>66</w:t>
      </w:r>
      <w:r w:rsidRPr="005E1167">
        <w:t xml:space="preserve">). Our results suggest that the high affinity non-substrate site has a significantly higher affinity for thrombin </w:t>
      </w:r>
      <w:proofErr w:type="spellStart"/>
      <w:r w:rsidRPr="005E1167">
        <w:t>exosite</w:t>
      </w:r>
      <w:proofErr w:type="spellEnd"/>
      <w:r w:rsidRPr="005E1167">
        <w:t xml:space="preserve"> binding (</w:t>
      </w:r>
      <w:proofErr w:type="spellStart"/>
      <w:r w:rsidRPr="005E1167">
        <w:rPr>
          <w:i/>
          <w:iCs/>
        </w:rPr>
        <w:t>K</w:t>
      </w:r>
      <w:r w:rsidRPr="005E1167">
        <w:rPr>
          <w:i/>
          <w:iCs/>
          <w:vertAlign w:val="subscript"/>
        </w:rPr>
        <w:t>d</w:t>
      </w:r>
      <w:proofErr w:type="spellEnd"/>
      <w:r w:rsidRPr="005E1167">
        <w:t>, 0.26 μ) than that estimated from the </w:t>
      </w:r>
      <w:proofErr w:type="gramStart"/>
      <w:r w:rsidRPr="005E1167">
        <w:rPr>
          <w:i/>
          <w:iCs/>
        </w:rPr>
        <w:t>K</w:t>
      </w:r>
      <w:r w:rsidRPr="005E1167">
        <w:rPr>
          <w:i/>
          <w:iCs/>
          <w:vertAlign w:val="subscript"/>
        </w:rPr>
        <w:t>m</w:t>
      </w:r>
      <w:proofErr w:type="gramEnd"/>
      <w:r w:rsidRPr="005E1167">
        <w:t> or the </w:t>
      </w:r>
      <w:proofErr w:type="spellStart"/>
      <w:r w:rsidRPr="005E1167">
        <w:rPr>
          <w:i/>
          <w:iCs/>
        </w:rPr>
        <w:t>K</w:t>
      </w:r>
      <w:r w:rsidRPr="005E1167">
        <w:rPr>
          <w:i/>
          <w:iCs/>
          <w:vertAlign w:val="subscript"/>
        </w:rPr>
        <w:t>d</w:t>
      </w:r>
      <w:proofErr w:type="spellEnd"/>
      <w:r w:rsidRPr="005E1167">
        <w:t> derived for the substrate site (</w:t>
      </w:r>
      <w:r w:rsidRPr="004D2723">
        <w:t>61</w:t>
      </w:r>
      <w:bookmarkEnd w:id="74"/>
      <w:r w:rsidRPr="005E1167">
        <w:t>, </w:t>
      </w:r>
      <w:r w:rsidRPr="004D2723">
        <w:t>62</w:t>
      </w:r>
      <w:bookmarkEnd w:id="75"/>
      <w:r w:rsidRPr="005E1167">
        <w:t>, </w:t>
      </w:r>
      <w:r w:rsidRPr="004D2723">
        <w:t>63</w:t>
      </w:r>
      <w:bookmarkEnd w:id="76"/>
      <w:r w:rsidRPr="005E1167">
        <w:t>, </w:t>
      </w:r>
      <w:r w:rsidRPr="004D2723">
        <w:t>64</w:t>
      </w:r>
      <w:bookmarkEnd w:id="77"/>
      <w:r w:rsidRPr="005E1167">
        <w:t>, </w:t>
      </w:r>
      <w:r w:rsidRPr="004D2723">
        <w:t>65</w:t>
      </w:r>
      <w:bookmarkEnd w:id="78"/>
      <w:r w:rsidRPr="005E1167">
        <w:t>, </w:t>
      </w:r>
      <w:r w:rsidRPr="004D2723">
        <w:t>66</w:t>
      </w:r>
      <w:bookmarkEnd w:id="79"/>
      <w:r w:rsidRPr="005E1167">
        <w:t>). Nevertheless, the γ′ site itself in fibrinogen is not an effective competitor for thrombin binding and cleavage at the fibrinogen substrate site, as assessed by our thrombin time measurements in this study and in another (</w:t>
      </w:r>
      <w:r w:rsidRPr="004D2723">
        <w:t>22</w:t>
      </w:r>
      <w:bookmarkEnd w:id="24"/>
      <w:r w:rsidRPr="005E1167">
        <w:t>). It therefore seems likely that the substrate binding site itself will prove to have a higher binding affinity for thrombin than has been estimated previously from </w:t>
      </w:r>
      <w:r w:rsidRPr="005E1167">
        <w:rPr>
          <w:i/>
          <w:iCs/>
        </w:rPr>
        <w:t>K</w:t>
      </w:r>
      <w:r w:rsidRPr="005E1167">
        <w:rPr>
          <w:i/>
          <w:iCs/>
          <w:vertAlign w:val="subscript"/>
        </w:rPr>
        <w:t>m</w:t>
      </w:r>
      <w:r w:rsidRPr="005E1167">
        <w:t xml:space="preserve"> measurements, by analogy with hirudin, which has a higher binding affinity for thrombin as a bivalent molecule than does its COOH-terminal </w:t>
      </w:r>
      <w:proofErr w:type="spellStart"/>
      <w:r w:rsidRPr="005E1167">
        <w:t>exosite</w:t>
      </w:r>
      <w:proofErr w:type="spellEnd"/>
      <w:r w:rsidRPr="005E1167">
        <w:t xml:space="preserve"> binding sequence alone.</w:t>
      </w:r>
    </w:p>
    <w:p w14:paraId="4D72E0F9" w14:textId="35CF9722" w:rsidR="005E1167" w:rsidRPr="005E1167" w:rsidRDefault="005E1167" w:rsidP="005E1167">
      <w:r w:rsidRPr="005E1167">
        <w:t xml:space="preserve">The physiological role that the γ′ sequence plays in modulating thrombin function </w:t>
      </w:r>
      <w:proofErr w:type="gramStart"/>
      <w:r w:rsidRPr="005E1167">
        <w:t>still remains</w:t>
      </w:r>
      <w:proofErr w:type="gramEnd"/>
      <w:r w:rsidRPr="005E1167">
        <w:t xml:space="preserve"> to be determined. It is very likely that the measurable thrombin clotting activity found in fibrin and fibrin degradation products (</w:t>
      </w:r>
      <w:bookmarkStart w:id="80" w:name="bbib67"/>
      <w:r w:rsidRPr="004D2723">
        <w:t>67</w:t>
      </w:r>
      <w:bookmarkEnd w:id="80"/>
      <w:r w:rsidRPr="005E1167">
        <w:t>, </w:t>
      </w:r>
      <w:bookmarkStart w:id="81" w:name="bbib68"/>
      <w:r w:rsidRPr="004D2723">
        <w:t>68</w:t>
      </w:r>
      <w:bookmarkEnd w:id="81"/>
      <w:r w:rsidRPr="005E1167">
        <w:t>, </w:t>
      </w:r>
      <w:bookmarkStart w:id="82" w:name="bbib69"/>
      <w:r w:rsidRPr="004D2723">
        <w:t>69</w:t>
      </w:r>
      <w:bookmarkEnd w:id="82"/>
      <w:r w:rsidRPr="005E1167">
        <w:t>, </w:t>
      </w:r>
      <w:bookmarkStart w:id="83" w:name="bbib70"/>
      <w:r w:rsidRPr="004D2723">
        <w:t>70</w:t>
      </w:r>
      <w:bookmarkEnd w:id="83"/>
      <w:r w:rsidRPr="005E1167">
        <w:t xml:space="preserve">) is attributable to non-substrate binding at the γ′ site, or the low affinity site, or at both sites. </w:t>
      </w:r>
      <w:proofErr w:type="gramStart"/>
      <w:r w:rsidRPr="005E1167">
        <w:t>In light of</w:t>
      </w:r>
      <w:proofErr w:type="gramEnd"/>
      <w:r w:rsidRPr="005E1167">
        <w:t xml:space="preserve"> our present findings, it will be important to study the relationship between thrombin binding to γ′-containing fibrin and thrombin activation of coagulation factors such as factors V, VIII, or XIII or cellular receptors such as those on platelets and endothelial cells.</w:t>
      </w:r>
    </w:p>
    <w:p w14:paraId="4B2DA1F9" w14:textId="77777777" w:rsidR="005E1167" w:rsidRPr="005E1167" w:rsidRDefault="005E1167" w:rsidP="00737BA9">
      <w:pPr>
        <w:pStyle w:val="Heading1"/>
      </w:pPr>
      <w:r w:rsidRPr="005E1167">
        <w:t>Acknowledgments</w:t>
      </w:r>
    </w:p>
    <w:p w14:paraId="30ABAE6A" w14:textId="77777777" w:rsidR="005E1167" w:rsidRPr="005E1167" w:rsidRDefault="005E1167" w:rsidP="005E1167">
      <w:r w:rsidRPr="005E1167">
        <w:t xml:space="preserve">We are grateful to Karen Mickey Higgins for her skilled assistance with graphic illustrations and to Diane Bartley and Pamela </w:t>
      </w:r>
      <w:proofErr w:type="spellStart"/>
      <w:r w:rsidRPr="005E1167">
        <w:t>Ried</w:t>
      </w:r>
      <w:proofErr w:type="spellEnd"/>
      <w:r w:rsidRPr="005E1167">
        <w:t xml:space="preserve"> for their skilled technical assistance.</w:t>
      </w:r>
    </w:p>
    <w:p w14:paraId="454EF3FF" w14:textId="77777777" w:rsidR="005E1167" w:rsidRPr="005E1167" w:rsidRDefault="005E1167" w:rsidP="00737BA9">
      <w:pPr>
        <w:pStyle w:val="Heading1"/>
      </w:pPr>
      <w:r w:rsidRPr="005E1167">
        <w:t>REFERENCES</w:t>
      </w:r>
    </w:p>
    <w:p w14:paraId="11F763CE" w14:textId="2D5116D0" w:rsidR="005E1167" w:rsidRPr="005E1167" w:rsidRDefault="005E1167" w:rsidP="00C36723">
      <w:pPr>
        <w:pStyle w:val="NoSpacing"/>
        <w:ind w:left="720" w:hanging="720"/>
      </w:pPr>
      <w:r w:rsidRPr="00C36723">
        <w:t>1</w:t>
      </w:r>
      <w:r w:rsidR="00C36723">
        <w:t xml:space="preserve"> </w:t>
      </w:r>
      <w:r w:rsidRPr="005E1167">
        <w:t>J.W. Fenton II, T.A. Olson, M.P. </w:t>
      </w:r>
      <w:proofErr w:type="spellStart"/>
      <w:r w:rsidRPr="005E1167">
        <w:t>Zabinski</w:t>
      </w:r>
      <w:proofErr w:type="spellEnd"/>
      <w:r w:rsidRPr="005E1167">
        <w:t>, G.D. </w:t>
      </w:r>
      <w:proofErr w:type="spellStart"/>
      <w:r w:rsidRPr="005E1167">
        <w:t>Wilner</w:t>
      </w:r>
      <w:proofErr w:type="spellEnd"/>
      <w:r w:rsidR="00C36723">
        <w:t xml:space="preserve">. </w:t>
      </w:r>
      <w:r w:rsidRPr="001F7CDA">
        <w:rPr>
          <w:i/>
          <w:iCs/>
        </w:rPr>
        <w:t>Biochemistry</w:t>
      </w:r>
      <w:r w:rsidRPr="005E1167">
        <w:t>, 27 (1988), pp. 7106-7112</w:t>
      </w:r>
    </w:p>
    <w:p w14:paraId="0366F426" w14:textId="6043C841" w:rsidR="005E1167" w:rsidRPr="005E1167" w:rsidRDefault="005E1167" w:rsidP="00C36723">
      <w:pPr>
        <w:pStyle w:val="NoSpacing"/>
        <w:ind w:left="720" w:hanging="720"/>
      </w:pPr>
      <w:r w:rsidRPr="00C36723">
        <w:t>2</w:t>
      </w:r>
      <w:r w:rsidR="00C36723">
        <w:t xml:space="preserve"> </w:t>
      </w:r>
      <w:r w:rsidRPr="005E1167">
        <w:t>C.G. Binnie, S.T. Lord</w:t>
      </w:r>
      <w:r w:rsidR="00C36723">
        <w:t xml:space="preserve">. </w:t>
      </w:r>
      <w:r w:rsidRPr="001F7CDA">
        <w:rPr>
          <w:i/>
          <w:iCs/>
        </w:rPr>
        <w:t>Blood</w:t>
      </w:r>
      <w:r w:rsidRPr="005E1167">
        <w:t>, 81 (1993), pp. 3186-3192</w:t>
      </w:r>
    </w:p>
    <w:p w14:paraId="1DEBDB52" w14:textId="4981013B" w:rsidR="005E1167" w:rsidRPr="005E1167" w:rsidRDefault="005E1167" w:rsidP="00C36723">
      <w:pPr>
        <w:pStyle w:val="NoSpacing"/>
        <w:ind w:left="720" w:hanging="720"/>
      </w:pPr>
      <w:r w:rsidRPr="00C36723">
        <w:t>3</w:t>
      </w:r>
      <w:r w:rsidR="00C36723">
        <w:t xml:space="preserve"> </w:t>
      </w:r>
      <w:r w:rsidRPr="005E1167">
        <w:t>M.T. Stubbs, W. Bode</w:t>
      </w:r>
      <w:r w:rsidR="00C36723">
        <w:t xml:space="preserve">. </w:t>
      </w:r>
      <w:proofErr w:type="spellStart"/>
      <w:r w:rsidRPr="001F7CDA">
        <w:rPr>
          <w:i/>
          <w:iCs/>
        </w:rPr>
        <w:t>Thromb</w:t>
      </w:r>
      <w:proofErr w:type="spellEnd"/>
      <w:r w:rsidRPr="001F7CDA">
        <w:rPr>
          <w:i/>
          <w:iCs/>
        </w:rPr>
        <w:t>. Res</w:t>
      </w:r>
      <w:r w:rsidRPr="005E1167">
        <w:t>., 69 (1993), pp. 1-58</w:t>
      </w:r>
    </w:p>
    <w:p w14:paraId="71DE5812" w14:textId="19732DA8" w:rsidR="005E1167" w:rsidRPr="005E1167" w:rsidRDefault="005E1167" w:rsidP="00C36723">
      <w:pPr>
        <w:pStyle w:val="NoSpacing"/>
        <w:ind w:left="720" w:hanging="720"/>
      </w:pPr>
      <w:r w:rsidRPr="00C36723">
        <w:t>4</w:t>
      </w:r>
      <w:r w:rsidR="00C36723">
        <w:t xml:space="preserve"> </w:t>
      </w:r>
      <w:r w:rsidRPr="005E1167">
        <w:t>G. </w:t>
      </w:r>
      <w:proofErr w:type="spellStart"/>
      <w:r w:rsidRPr="005E1167">
        <w:t>Noé</w:t>
      </w:r>
      <w:proofErr w:type="spellEnd"/>
      <w:r w:rsidRPr="005E1167">
        <w:t>, J. </w:t>
      </w:r>
      <w:proofErr w:type="spellStart"/>
      <w:r w:rsidRPr="005E1167">
        <w:t>Hofsteenge</w:t>
      </w:r>
      <w:proofErr w:type="spellEnd"/>
      <w:r w:rsidRPr="005E1167">
        <w:t>, G. </w:t>
      </w:r>
      <w:proofErr w:type="spellStart"/>
      <w:r w:rsidRPr="005E1167">
        <w:t>Rovelli</w:t>
      </w:r>
      <w:proofErr w:type="spellEnd"/>
      <w:r w:rsidRPr="005E1167">
        <w:t>, S.R. Stone</w:t>
      </w:r>
      <w:r w:rsidR="00C36723">
        <w:t xml:space="preserve">. </w:t>
      </w:r>
      <w:r w:rsidRPr="001F7CDA">
        <w:rPr>
          <w:i/>
          <w:iCs/>
        </w:rPr>
        <w:t>J. Biol. Chem</w:t>
      </w:r>
      <w:r w:rsidRPr="005E1167">
        <w:t>., 263 (1988), pp. 11729-11735</w:t>
      </w:r>
    </w:p>
    <w:p w14:paraId="2FAF1C12" w14:textId="4DD0E135" w:rsidR="005E1167" w:rsidRPr="005E1167" w:rsidRDefault="005E1167" w:rsidP="00C36723">
      <w:pPr>
        <w:pStyle w:val="NoSpacing"/>
        <w:ind w:left="720" w:hanging="720"/>
      </w:pPr>
      <w:r w:rsidRPr="00C36723">
        <w:t>5</w:t>
      </w:r>
      <w:r w:rsidR="00C36723">
        <w:t xml:space="preserve"> </w:t>
      </w:r>
      <w:r w:rsidRPr="005E1167">
        <w:t>F.C. Church, C.W. Pratt, C.M. Noyes, T. Kalayanamit, G.B. Sherrill, R.B. Tobin, J.B. Meade</w:t>
      </w:r>
      <w:r w:rsidR="00C36723">
        <w:t xml:space="preserve">. </w:t>
      </w:r>
      <w:r w:rsidRPr="001F7CDA">
        <w:rPr>
          <w:i/>
          <w:iCs/>
        </w:rPr>
        <w:t>J. Biol. Chem</w:t>
      </w:r>
      <w:r w:rsidRPr="005E1167">
        <w:t>., 264 (1989), pp. 18419-18425</w:t>
      </w:r>
    </w:p>
    <w:p w14:paraId="76B51B47" w14:textId="7A36F848" w:rsidR="005E1167" w:rsidRPr="005E1167" w:rsidRDefault="005E1167" w:rsidP="00C36723">
      <w:pPr>
        <w:pStyle w:val="NoSpacing"/>
        <w:ind w:left="720" w:hanging="720"/>
      </w:pPr>
      <w:r w:rsidRPr="00C36723">
        <w:t>6</w:t>
      </w:r>
      <w:r w:rsidR="00C36723">
        <w:t xml:space="preserve"> </w:t>
      </w:r>
      <w:r w:rsidRPr="005E1167">
        <w:t>J.-M. Herbert, E. Dupuy, M.-C. Laplace, J.-M. </w:t>
      </w:r>
      <w:proofErr w:type="spellStart"/>
      <w:r w:rsidRPr="005E1167">
        <w:t>Zini</w:t>
      </w:r>
      <w:proofErr w:type="spellEnd"/>
      <w:r w:rsidRPr="005E1167">
        <w:t>, R. Bar Shavit, G. </w:t>
      </w:r>
      <w:proofErr w:type="spellStart"/>
      <w:r w:rsidRPr="005E1167">
        <w:t>Tobelem</w:t>
      </w:r>
      <w:proofErr w:type="spellEnd"/>
      <w:r w:rsidR="00C36723">
        <w:t xml:space="preserve">. </w:t>
      </w:r>
      <w:proofErr w:type="spellStart"/>
      <w:r w:rsidRPr="001F7CDA">
        <w:rPr>
          <w:i/>
          <w:iCs/>
        </w:rPr>
        <w:t>Biochem</w:t>
      </w:r>
      <w:proofErr w:type="spellEnd"/>
      <w:r w:rsidRPr="001F7CDA">
        <w:rPr>
          <w:i/>
          <w:iCs/>
        </w:rPr>
        <w:t>. J.,</w:t>
      </w:r>
      <w:r w:rsidRPr="005E1167">
        <w:t> 303 (1994), pp. 227-231</w:t>
      </w:r>
    </w:p>
    <w:p w14:paraId="0FDCE9BA" w14:textId="1356668A" w:rsidR="005E1167" w:rsidRPr="005E1167" w:rsidRDefault="005E1167" w:rsidP="00C36723">
      <w:pPr>
        <w:pStyle w:val="NoSpacing"/>
        <w:ind w:left="720" w:hanging="720"/>
      </w:pPr>
      <w:r w:rsidRPr="00C36723">
        <w:t>7</w:t>
      </w:r>
      <w:r w:rsidR="00C36723">
        <w:t xml:space="preserve"> </w:t>
      </w:r>
      <w:r w:rsidRPr="005E1167">
        <w:t>M. Tsiang, S.R. Lentz, W.A. Dittman, D. Wen, E.M. Scarpati, J.E. Sadler</w:t>
      </w:r>
      <w:r w:rsidR="00C36723">
        <w:t xml:space="preserve">. </w:t>
      </w:r>
      <w:r w:rsidRPr="001F7CDA">
        <w:rPr>
          <w:i/>
          <w:iCs/>
        </w:rPr>
        <w:t>Biochemistry</w:t>
      </w:r>
      <w:r w:rsidRPr="005E1167">
        <w:t>, 29 (1990), pp. 10602-10612</w:t>
      </w:r>
    </w:p>
    <w:p w14:paraId="471741A1" w14:textId="5CB5838C" w:rsidR="005E1167" w:rsidRPr="005E1167" w:rsidRDefault="005E1167" w:rsidP="00C36723">
      <w:pPr>
        <w:pStyle w:val="NoSpacing"/>
        <w:ind w:left="720" w:hanging="720"/>
      </w:pPr>
      <w:r w:rsidRPr="00C36723">
        <w:t>8</w:t>
      </w:r>
      <w:r w:rsidR="00C36723">
        <w:t xml:space="preserve"> </w:t>
      </w:r>
      <w:r w:rsidRPr="005E1167">
        <w:t>K. Suzuki, J. </w:t>
      </w:r>
      <w:proofErr w:type="spellStart"/>
      <w:r w:rsidRPr="005E1167">
        <w:t>Nishioka</w:t>
      </w:r>
      <w:proofErr w:type="spellEnd"/>
      <w:r w:rsidR="00C36723">
        <w:t xml:space="preserve">. </w:t>
      </w:r>
      <w:r w:rsidRPr="001F7CDA">
        <w:rPr>
          <w:i/>
          <w:iCs/>
        </w:rPr>
        <w:t>J. Biol. Chem</w:t>
      </w:r>
      <w:r w:rsidRPr="005E1167">
        <w:t>., 266 (1991), pp. 18498-18501</w:t>
      </w:r>
    </w:p>
    <w:p w14:paraId="6EFF4F5F" w14:textId="23D3D723" w:rsidR="005E1167" w:rsidRPr="005E1167" w:rsidRDefault="005E1167" w:rsidP="00C36723">
      <w:pPr>
        <w:pStyle w:val="NoSpacing"/>
        <w:ind w:left="720" w:hanging="720"/>
      </w:pPr>
      <w:r w:rsidRPr="00C36723">
        <w:t>9</w:t>
      </w:r>
      <w:r w:rsidR="00C36723">
        <w:t xml:space="preserve"> </w:t>
      </w:r>
      <w:r w:rsidRPr="005E1167">
        <w:t>L. De Marco, M. </w:t>
      </w:r>
      <w:proofErr w:type="spellStart"/>
      <w:r w:rsidRPr="005E1167">
        <w:t>Mazzucato</w:t>
      </w:r>
      <w:proofErr w:type="spellEnd"/>
      <w:r w:rsidRPr="005E1167">
        <w:t>, A. </w:t>
      </w:r>
      <w:proofErr w:type="spellStart"/>
      <w:r w:rsidRPr="005E1167">
        <w:t>Masotti</w:t>
      </w:r>
      <w:proofErr w:type="spellEnd"/>
      <w:r w:rsidRPr="005E1167">
        <w:t>, Z.M. Ruggeri</w:t>
      </w:r>
      <w:r w:rsidR="00C36723">
        <w:t xml:space="preserve">. </w:t>
      </w:r>
      <w:r w:rsidRPr="001F7CDA">
        <w:rPr>
          <w:i/>
          <w:iCs/>
        </w:rPr>
        <w:t>J. Biol. Chem</w:t>
      </w:r>
      <w:r w:rsidRPr="005E1167">
        <w:t>., 269 (1994), pp. 6478-6484</w:t>
      </w:r>
    </w:p>
    <w:p w14:paraId="3B7B8C9C" w14:textId="400DE7B7" w:rsidR="005E1167" w:rsidRPr="005E1167" w:rsidRDefault="005E1167" w:rsidP="00C36723">
      <w:pPr>
        <w:pStyle w:val="NoSpacing"/>
        <w:ind w:left="720" w:hanging="720"/>
      </w:pPr>
      <w:r w:rsidRPr="00C36723">
        <w:t>10</w:t>
      </w:r>
      <w:r w:rsidR="00C36723">
        <w:t xml:space="preserve"> </w:t>
      </w:r>
      <w:r w:rsidRPr="005E1167">
        <w:t>J. </w:t>
      </w:r>
      <w:proofErr w:type="spellStart"/>
      <w:r w:rsidRPr="005E1167">
        <w:t>Dodt</w:t>
      </w:r>
      <w:proofErr w:type="spellEnd"/>
      <w:r w:rsidRPr="005E1167">
        <w:t>, H-P. Müller, U. </w:t>
      </w:r>
      <w:proofErr w:type="spellStart"/>
      <w:r w:rsidRPr="005E1167">
        <w:t>Seemüller</w:t>
      </w:r>
      <w:proofErr w:type="spellEnd"/>
      <w:r w:rsidRPr="005E1167">
        <w:t>, J.Y. Chang</w:t>
      </w:r>
      <w:r w:rsidR="00C36723">
        <w:t xml:space="preserve">. </w:t>
      </w:r>
      <w:r w:rsidRPr="001F7CDA">
        <w:rPr>
          <w:i/>
          <w:iCs/>
        </w:rPr>
        <w:t>FEBS Lett</w:t>
      </w:r>
      <w:r w:rsidRPr="005E1167">
        <w:t>., 165 (1984), pp. 180-184</w:t>
      </w:r>
    </w:p>
    <w:p w14:paraId="286FB18B" w14:textId="79AB51CE" w:rsidR="005E1167" w:rsidRPr="005E1167" w:rsidRDefault="005E1167" w:rsidP="00C36723">
      <w:pPr>
        <w:pStyle w:val="NoSpacing"/>
        <w:ind w:left="720" w:hanging="720"/>
      </w:pPr>
      <w:r w:rsidRPr="00C36723">
        <w:t>11</w:t>
      </w:r>
      <w:r w:rsidR="00C36723">
        <w:t xml:space="preserve"> </w:t>
      </w:r>
      <w:r w:rsidRPr="005E1167">
        <w:t>J.M. Maraganore, B. Chao, M.L. Joseph, J. Jablonski, K.L. Ramachandran</w:t>
      </w:r>
      <w:r w:rsidR="00C36723">
        <w:t xml:space="preserve">. </w:t>
      </w:r>
      <w:r w:rsidRPr="001F7CDA">
        <w:rPr>
          <w:i/>
          <w:iCs/>
        </w:rPr>
        <w:t>J. Biol. Chem</w:t>
      </w:r>
      <w:r w:rsidRPr="005E1167">
        <w:t>., 264 (1989), pp. 8692-8698</w:t>
      </w:r>
    </w:p>
    <w:p w14:paraId="2B550814" w14:textId="5207E7EE" w:rsidR="005E1167" w:rsidRPr="005E1167" w:rsidRDefault="005E1167" w:rsidP="00C36723">
      <w:pPr>
        <w:pStyle w:val="NoSpacing"/>
        <w:ind w:left="720" w:hanging="720"/>
      </w:pPr>
      <w:r w:rsidRPr="00C36723">
        <w:t>12</w:t>
      </w:r>
      <w:r w:rsidR="00C36723">
        <w:t xml:space="preserve"> </w:t>
      </w:r>
      <w:r w:rsidRPr="005E1167">
        <w:t>P. Bourdon, J.W. Fenton II, J.M. </w:t>
      </w:r>
      <w:proofErr w:type="spellStart"/>
      <w:r w:rsidRPr="005E1167">
        <w:t>Maraganore</w:t>
      </w:r>
      <w:proofErr w:type="spellEnd"/>
      <w:r w:rsidR="00C36723">
        <w:t xml:space="preserve">. </w:t>
      </w:r>
      <w:r w:rsidRPr="001F7CDA">
        <w:rPr>
          <w:i/>
          <w:iCs/>
        </w:rPr>
        <w:t>Biochemistry</w:t>
      </w:r>
      <w:r w:rsidRPr="005E1167">
        <w:t>, 29 (1990), pp. 6379-6384</w:t>
      </w:r>
    </w:p>
    <w:p w14:paraId="1ABDB596" w14:textId="7CAFD37D" w:rsidR="005E1167" w:rsidRPr="005E1167" w:rsidRDefault="005E1167" w:rsidP="00C36723">
      <w:pPr>
        <w:pStyle w:val="NoSpacing"/>
        <w:ind w:left="720" w:hanging="720"/>
      </w:pPr>
      <w:r w:rsidRPr="00C36723">
        <w:t>13</w:t>
      </w:r>
      <w:r w:rsidR="00C36723">
        <w:t xml:space="preserve"> </w:t>
      </w:r>
      <w:r w:rsidRPr="005E1167">
        <w:t>T.J. Rydel, K.G. Ravichandran, A. Tulinsky, W. Bode, R. Huber, C. Roitsch, J.W. Fenton II</w:t>
      </w:r>
      <w:r w:rsidR="00C36723">
        <w:t xml:space="preserve">. </w:t>
      </w:r>
      <w:r w:rsidRPr="001F7CDA">
        <w:rPr>
          <w:i/>
          <w:iCs/>
        </w:rPr>
        <w:t>Science</w:t>
      </w:r>
      <w:r w:rsidRPr="005E1167">
        <w:t>, 249 (1990), pp. 277-280</w:t>
      </w:r>
    </w:p>
    <w:p w14:paraId="25A7B23A" w14:textId="3F476500" w:rsidR="005E1167" w:rsidRPr="005E1167" w:rsidRDefault="005E1167" w:rsidP="00C36723">
      <w:pPr>
        <w:pStyle w:val="NoSpacing"/>
        <w:ind w:left="720" w:hanging="720"/>
      </w:pPr>
      <w:r w:rsidRPr="00C36723">
        <w:t>14</w:t>
      </w:r>
      <w:r w:rsidR="00C36723">
        <w:t xml:space="preserve"> </w:t>
      </w:r>
      <w:r w:rsidRPr="005E1167">
        <w:t>M.C. Naski, J.W. Fenton II, J.M. Maraganore, S.T. Olson, J.A. Shafer</w:t>
      </w:r>
      <w:r w:rsidR="00C36723">
        <w:t xml:space="preserve">. </w:t>
      </w:r>
      <w:r w:rsidRPr="001F7CDA">
        <w:rPr>
          <w:i/>
          <w:iCs/>
        </w:rPr>
        <w:t>J. Biol. Chem</w:t>
      </w:r>
      <w:r w:rsidRPr="005E1167">
        <w:t>, 265 (1990), pp. 13484-13489</w:t>
      </w:r>
    </w:p>
    <w:p w14:paraId="064A7BEA" w14:textId="11AEA2CC" w:rsidR="005E1167" w:rsidRPr="005E1167" w:rsidRDefault="005E1167" w:rsidP="00C36723">
      <w:pPr>
        <w:pStyle w:val="NoSpacing"/>
        <w:ind w:left="720" w:hanging="720"/>
      </w:pPr>
      <w:r w:rsidRPr="00C36723">
        <w:t>15</w:t>
      </w:r>
      <w:r w:rsidR="00C36723">
        <w:t xml:space="preserve"> </w:t>
      </w:r>
      <w:r w:rsidRPr="005E1167">
        <w:t>M.A.A. Parry, J.M. </w:t>
      </w:r>
      <w:proofErr w:type="spellStart"/>
      <w:r w:rsidRPr="005E1167">
        <w:t>Maraganore</w:t>
      </w:r>
      <w:proofErr w:type="spellEnd"/>
      <w:r w:rsidRPr="005E1167">
        <w:t>, S.R. Stone</w:t>
      </w:r>
      <w:r w:rsidR="00C36723">
        <w:t xml:space="preserve">. </w:t>
      </w:r>
      <w:r w:rsidRPr="001F7CDA">
        <w:rPr>
          <w:i/>
          <w:iCs/>
        </w:rPr>
        <w:t>Biochemistry</w:t>
      </w:r>
      <w:r w:rsidRPr="005E1167">
        <w:t>, 33 (1994), pp. 14807-14814</w:t>
      </w:r>
    </w:p>
    <w:p w14:paraId="0CF25300" w14:textId="758440CE" w:rsidR="005E1167" w:rsidRPr="005E1167" w:rsidRDefault="005E1167" w:rsidP="00C36723">
      <w:pPr>
        <w:pStyle w:val="NoSpacing"/>
        <w:ind w:left="720" w:hanging="720"/>
      </w:pPr>
      <w:r w:rsidRPr="00C36723">
        <w:t>16</w:t>
      </w:r>
      <w:r w:rsidR="00C36723">
        <w:t xml:space="preserve"> </w:t>
      </w:r>
      <w:r w:rsidRPr="005E1167">
        <w:t>L.J. Berliner, Y. Sugawara, J.W. Fenton II</w:t>
      </w:r>
      <w:r w:rsidR="00C36723">
        <w:t xml:space="preserve">. </w:t>
      </w:r>
      <w:r w:rsidRPr="001F7CDA">
        <w:rPr>
          <w:i/>
          <w:iCs/>
        </w:rPr>
        <w:t>Biochemistry</w:t>
      </w:r>
      <w:r w:rsidRPr="005E1167">
        <w:t>, 24 (1985), pp. 7005-7009</w:t>
      </w:r>
    </w:p>
    <w:p w14:paraId="3FE15024" w14:textId="1424176C" w:rsidR="005E1167" w:rsidRPr="005E1167" w:rsidRDefault="005E1167" w:rsidP="00C36723">
      <w:pPr>
        <w:pStyle w:val="NoSpacing"/>
        <w:ind w:left="720" w:hanging="720"/>
      </w:pPr>
      <w:r w:rsidRPr="00C36723">
        <w:t>17</w:t>
      </w:r>
      <w:r w:rsidR="00C36723">
        <w:t xml:space="preserve"> </w:t>
      </w:r>
      <w:r w:rsidRPr="005E1167">
        <w:t>E. Kaczmarek, J. McDonagh</w:t>
      </w:r>
      <w:r w:rsidR="00C36723">
        <w:t xml:space="preserve">. </w:t>
      </w:r>
      <w:r w:rsidRPr="001F7CDA">
        <w:rPr>
          <w:i/>
          <w:iCs/>
        </w:rPr>
        <w:t>J. Biol. Chem</w:t>
      </w:r>
      <w:r w:rsidRPr="005E1167">
        <w:t>., 263 (1988), pp. 13896-13900</w:t>
      </w:r>
    </w:p>
    <w:p w14:paraId="080A0526" w14:textId="1F134C8B" w:rsidR="005E1167" w:rsidRPr="005E1167" w:rsidRDefault="005E1167" w:rsidP="00C36723">
      <w:pPr>
        <w:pStyle w:val="NoSpacing"/>
        <w:ind w:left="720" w:hanging="720"/>
      </w:pPr>
      <w:r w:rsidRPr="00C36723">
        <w:t>18</w:t>
      </w:r>
      <w:r w:rsidR="00C36723">
        <w:t xml:space="preserve"> </w:t>
      </w:r>
      <w:r w:rsidRPr="005E1167">
        <w:t>Z. Vali, H.A. </w:t>
      </w:r>
      <w:proofErr w:type="spellStart"/>
      <w:r w:rsidRPr="005E1167">
        <w:t>Scheraga</w:t>
      </w:r>
      <w:proofErr w:type="spellEnd"/>
      <w:r w:rsidR="004707D7">
        <w:t xml:space="preserve">. </w:t>
      </w:r>
      <w:r w:rsidRPr="001F7CDA">
        <w:rPr>
          <w:i/>
          <w:iCs/>
        </w:rPr>
        <w:t>Biochemistry</w:t>
      </w:r>
      <w:r w:rsidRPr="005E1167">
        <w:t>, 27 (1988), pp. 1956-1963</w:t>
      </w:r>
    </w:p>
    <w:p w14:paraId="7E5C9AB9" w14:textId="65F1E0D0" w:rsidR="005E1167" w:rsidRPr="005E1167" w:rsidRDefault="005E1167" w:rsidP="00C36723">
      <w:pPr>
        <w:pStyle w:val="NoSpacing"/>
        <w:ind w:left="720" w:hanging="720"/>
      </w:pPr>
      <w:r w:rsidRPr="00C36723">
        <w:t>19</w:t>
      </w:r>
      <w:r w:rsidR="004707D7">
        <w:t xml:space="preserve"> </w:t>
      </w:r>
      <w:r w:rsidRPr="005E1167">
        <w:t>C.Y. Liu, H.Y. </w:t>
      </w:r>
      <w:proofErr w:type="spellStart"/>
      <w:r w:rsidRPr="005E1167">
        <w:t>Nossel</w:t>
      </w:r>
      <w:proofErr w:type="spellEnd"/>
      <w:r w:rsidRPr="005E1167">
        <w:t>, K.L. Kaplan</w:t>
      </w:r>
      <w:r w:rsidR="004707D7">
        <w:t xml:space="preserve">. </w:t>
      </w:r>
      <w:r w:rsidRPr="001F7CDA">
        <w:rPr>
          <w:i/>
          <w:iCs/>
        </w:rPr>
        <w:t>J. Biol. Chem</w:t>
      </w:r>
      <w:r w:rsidRPr="005E1167">
        <w:t>., 254 (1979), pp. 10421-10425</w:t>
      </w:r>
    </w:p>
    <w:p w14:paraId="5007C58A" w14:textId="35615129" w:rsidR="005E1167" w:rsidRPr="005E1167" w:rsidRDefault="005E1167" w:rsidP="00C36723">
      <w:pPr>
        <w:pStyle w:val="NoSpacing"/>
        <w:ind w:left="720" w:hanging="720"/>
      </w:pPr>
      <w:r w:rsidRPr="00C36723">
        <w:t>20</w:t>
      </w:r>
      <w:r w:rsidR="004707D7">
        <w:t xml:space="preserve"> </w:t>
      </w:r>
      <w:r w:rsidRPr="005E1167">
        <w:t>P.J. Hogg, C.M. Jackson</w:t>
      </w:r>
      <w:r w:rsidR="004707D7">
        <w:t xml:space="preserve">. </w:t>
      </w:r>
      <w:r w:rsidRPr="001F7CDA">
        <w:rPr>
          <w:i/>
          <w:iCs/>
        </w:rPr>
        <w:t>J. Biol. Chem</w:t>
      </w:r>
      <w:r w:rsidRPr="005E1167">
        <w:t>., 265 (1990), pp. 241-247</w:t>
      </w:r>
    </w:p>
    <w:p w14:paraId="70A8A382" w14:textId="7801C8E6" w:rsidR="005E1167" w:rsidRPr="005E1167" w:rsidRDefault="005E1167" w:rsidP="00C36723">
      <w:pPr>
        <w:pStyle w:val="NoSpacing"/>
        <w:ind w:left="720" w:hanging="720"/>
      </w:pPr>
      <w:r w:rsidRPr="00C36723">
        <w:t>21</w:t>
      </w:r>
      <w:r w:rsidR="004707D7">
        <w:t xml:space="preserve"> </w:t>
      </w:r>
      <w:r w:rsidRPr="005E1167">
        <w:t>M.W. </w:t>
      </w:r>
      <w:proofErr w:type="spellStart"/>
      <w:r w:rsidRPr="005E1167">
        <w:t>Mosesson</w:t>
      </w:r>
      <w:proofErr w:type="spellEnd"/>
      <w:r w:rsidRPr="005E1167">
        <w:t>, J.S. Finlayson, R.A. </w:t>
      </w:r>
      <w:proofErr w:type="spellStart"/>
      <w:r w:rsidRPr="005E1167">
        <w:t>Umfleet</w:t>
      </w:r>
      <w:proofErr w:type="spellEnd"/>
      <w:r w:rsidR="004707D7">
        <w:t xml:space="preserve">. </w:t>
      </w:r>
      <w:r w:rsidRPr="001F7CDA">
        <w:rPr>
          <w:i/>
          <w:iCs/>
        </w:rPr>
        <w:t>J. Biol. Chem</w:t>
      </w:r>
      <w:r w:rsidRPr="005E1167">
        <w:t>., 247 (1972), pp. 5223-5227</w:t>
      </w:r>
    </w:p>
    <w:p w14:paraId="37A60E96" w14:textId="148D62FE" w:rsidR="005E1167" w:rsidRPr="005E1167" w:rsidRDefault="005E1167" w:rsidP="00C36723">
      <w:pPr>
        <w:pStyle w:val="NoSpacing"/>
        <w:ind w:left="720" w:hanging="720"/>
      </w:pPr>
      <w:r w:rsidRPr="00C36723">
        <w:t>22</w:t>
      </w:r>
      <w:r w:rsidR="004707D7">
        <w:t xml:space="preserve"> </w:t>
      </w:r>
      <w:r w:rsidRPr="005E1167">
        <w:t>M.W. </w:t>
      </w:r>
      <w:proofErr w:type="spellStart"/>
      <w:r w:rsidRPr="005E1167">
        <w:t>Mosesson</w:t>
      </w:r>
      <w:proofErr w:type="spellEnd"/>
      <w:r w:rsidRPr="005E1167">
        <w:t>, J.S. Finlayson</w:t>
      </w:r>
      <w:r w:rsidR="004707D7">
        <w:t xml:space="preserve">. </w:t>
      </w:r>
      <w:r w:rsidRPr="001F7CDA">
        <w:rPr>
          <w:i/>
          <w:iCs/>
        </w:rPr>
        <w:t>J. Lab. Clin. Med</w:t>
      </w:r>
      <w:r w:rsidRPr="005E1167">
        <w:t>., 62 (1963), pp. 663-674</w:t>
      </w:r>
    </w:p>
    <w:p w14:paraId="37DC82FC" w14:textId="1B191462" w:rsidR="005E1167" w:rsidRPr="005E1167" w:rsidRDefault="005E1167" w:rsidP="00C36723">
      <w:pPr>
        <w:pStyle w:val="NoSpacing"/>
        <w:ind w:left="720" w:hanging="720"/>
      </w:pPr>
      <w:r w:rsidRPr="00C36723">
        <w:t>23</w:t>
      </w:r>
      <w:r w:rsidR="004707D7">
        <w:t xml:space="preserve"> </w:t>
      </w:r>
      <w:r w:rsidRPr="005E1167">
        <w:t>C. Wolfenstein-</w:t>
      </w:r>
      <w:proofErr w:type="spellStart"/>
      <w:r w:rsidRPr="005E1167">
        <w:t>Todel</w:t>
      </w:r>
      <w:proofErr w:type="spellEnd"/>
      <w:r w:rsidRPr="005E1167">
        <w:t>, M.W. </w:t>
      </w:r>
      <w:proofErr w:type="spellStart"/>
      <w:r w:rsidRPr="005E1167">
        <w:t>Mosesson</w:t>
      </w:r>
      <w:proofErr w:type="spellEnd"/>
      <w:r w:rsidR="004707D7">
        <w:t xml:space="preserve">. </w:t>
      </w:r>
      <w:r w:rsidRPr="001F7CDA">
        <w:rPr>
          <w:i/>
          <w:iCs/>
        </w:rPr>
        <w:t>Proc. Natl. Acad. Sci. U. S. A.,</w:t>
      </w:r>
      <w:r w:rsidRPr="005E1167">
        <w:t> 77 (1980), pp. 5069-5073</w:t>
      </w:r>
    </w:p>
    <w:p w14:paraId="168E593F" w14:textId="206BD017" w:rsidR="005E1167" w:rsidRPr="005E1167" w:rsidRDefault="005E1167" w:rsidP="00C36723">
      <w:pPr>
        <w:pStyle w:val="NoSpacing"/>
        <w:ind w:left="720" w:hanging="720"/>
      </w:pPr>
      <w:r w:rsidRPr="00C36723">
        <w:t>24</w:t>
      </w:r>
      <w:r w:rsidR="004707D7">
        <w:t xml:space="preserve"> </w:t>
      </w:r>
      <w:r w:rsidRPr="005E1167">
        <w:t>M.W. </w:t>
      </w:r>
      <w:proofErr w:type="spellStart"/>
      <w:r w:rsidRPr="005E1167">
        <w:t>Mosesson</w:t>
      </w:r>
      <w:proofErr w:type="spellEnd"/>
      <w:r w:rsidR="004707D7">
        <w:t xml:space="preserve">. </w:t>
      </w:r>
      <w:r w:rsidRPr="001F7CDA">
        <w:rPr>
          <w:i/>
          <w:iCs/>
        </w:rPr>
        <w:t>Ann. N. Y. Acad. Sci.,</w:t>
      </w:r>
      <w:r w:rsidRPr="005E1167">
        <w:t> 408 (1983), pp. 97-113</w:t>
      </w:r>
    </w:p>
    <w:p w14:paraId="2729ABBE" w14:textId="332A5170" w:rsidR="005E1167" w:rsidRPr="005E1167" w:rsidRDefault="005E1167" w:rsidP="00C36723">
      <w:pPr>
        <w:pStyle w:val="NoSpacing"/>
        <w:ind w:left="720" w:hanging="720"/>
      </w:pPr>
      <w:r w:rsidRPr="00C36723">
        <w:t>25</w:t>
      </w:r>
      <w:r w:rsidR="004707D7">
        <w:t xml:space="preserve"> </w:t>
      </w:r>
      <w:r w:rsidRPr="005E1167">
        <w:t>G.R. Crabtree, J.A. Kant</w:t>
      </w:r>
      <w:r w:rsidR="004707D7">
        <w:t xml:space="preserve">. </w:t>
      </w:r>
      <w:r w:rsidRPr="001F7CDA">
        <w:rPr>
          <w:i/>
          <w:iCs/>
        </w:rPr>
        <w:t>Cell</w:t>
      </w:r>
      <w:r w:rsidRPr="005E1167">
        <w:t>, 31 (1982), pp. 159-166</w:t>
      </w:r>
    </w:p>
    <w:p w14:paraId="39EEA34B" w14:textId="3B640F7B" w:rsidR="005E1167" w:rsidRPr="005E1167" w:rsidRDefault="005E1167" w:rsidP="00C36723">
      <w:pPr>
        <w:pStyle w:val="NoSpacing"/>
        <w:ind w:left="720" w:hanging="720"/>
      </w:pPr>
      <w:r w:rsidRPr="00C36723">
        <w:t>26</w:t>
      </w:r>
      <w:r w:rsidR="004707D7">
        <w:t xml:space="preserve"> </w:t>
      </w:r>
      <w:r w:rsidRPr="005E1167">
        <w:t>C.D. </w:t>
      </w:r>
      <w:proofErr w:type="spellStart"/>
      <w:r w:rsidRPr="005E1167">
        <w:t>Legrele</w:t>
      </w:r>
      <w:proofErr w:type="spellEnd"/>
      <w:r w:rsidRPr="005E1167">
        <w:t>, C. Wolfenstein-</w:t>
      </w:r>
      <w:proofErr w:type="spellStart"/>
      <w:r w:rsidRPr="005E1167">
        <w:t>Todel</w:t>
      </w:r>
      <w:proofErr w:type="spellEnd"/>
      <w:r w:rsidRPr="005E1167">
        <w:t>, Y. </w:t>
      </w:r>
      <w:proofErr w:type="spellStart"/>
      <w:r w:rsidRPr="005E1167">
        <w:t>Hurbourg</w:t>
      </w:r>
      <w:proofErr w:type="spellEnd"/>
      <w:r w:rsidRPr="005E1167">
        <w:t>, M.W. </w:t>
      </w:r>
      <w:proofErr w:type="spellStart"/>
      <w:r w:rsidRPr="005E1167">
        <w:t>Mosesson</w:t>
      </w:r>
      <w:proofErr w:type="spellEnd"/>
      <w:r w:rsidR="004707D7">
        <w:t xml:space="preserve">. </w:t>
      </w:r>
      <w:proofErr w:type="spellStart"/>
      <w:r w:rsidRPr="001F7CDA">
        <w:rPr>
          <w:i/>
          <w:iCs/>
        </w:rPr>
        <w:t>Biochem</w:t>
      </w:r>
      <w:proofErr w:type="spellEnd"/>
      <w:r w:rsidRPr="001F7CDA">
        <w:rPr>
          <w:i/>
          <w:iCs/>
        </w:rPr>
        <w:t xml:space="preserve">. </w:t>
      </w:r>
      <w:proofErr w:type="spellStart"/>
      <w:r w:rsidRPr="001F7CDA">
        <w:rPr>
          <w:i/>
          <w:iCs/>
        </w:rPr>
        <w:t>Biophys</w:t>
      </w:r>
      <w:proofErr w:type="spellEnd"/>
      <w:r w:rsidRPr="001F7CDA">
        <w:rPr>
          <w:i/>
          <w:iCs/>
        </w:rPr>
        <w:t xml:space="preserve">. Res. </w:t>
      </w:r>
      <w:proofErr w:type="spellStart"/>
      <w:r w:rsidRPr="001F7CDA">
        <w:rPr>
          <w:i/>
          <w:iCs/>
        </w:rPr>
        <w:t>Commun</w:t>
      </w:r>
      <w:proofErr w:type="spellEnd"/>
      <w:r w:rsidRPr="005E1167">
        <w:t>., 105 (1982), pp. 521-529</w:t>
      </w:r>
    </w:p>
    <w:p w14:paraId="4BD22786" w14:textId="0DB33AAB" w:rsidR="005E1167" w:rsidRPr="005E1167" w:rsidRDefault="005E1167" w:rsidP="00C36723">
      <w:pPr>
        <w:pStyle w:val="NoSpacing"/>
        <w:ind w:left="720" w:hanging="720"/>
      </w:pPr>
      <w:r w:rsidRPr="00C36723">
        <w:t>27</w:t>
      </w:r>
      <w:r w:rsidR="004707D7">
        <w:t xml:space="preserve"> </w:t>
      </w:r>
      <w:r w:rsidRPr="005E1167">
        <w:t>J.S. Finlayson, M.W. </w:t>
      </w:r>
      <w:proofErr w:type="spellStart"/>
      <w:r w:rsidRPr="005E1167">
        <w:t>Mosesson</w:t>
      </w:r>
      <w:proofErr w:type="spellEnd"/>
      <w:r w:rsidR="004707D7">
        <w:t xml:space="preserve">. </w:t>
      </w:r>
      <w:proofErr w:type="spellStart"/>
      <w:r w:rsidRPr="001F7CDA">
        <w:rPr>
          <w:i/>
          <w:iCs/>
        </w:rPr>
        <w:t>Biochim</w:t>
      </w:r>
      <w:proofErr w:type="spellEnd"/>
      <w:r w:rsidRPr="001F7CDA">
        <w:rPr>
          <w:i/>
          <w:iCs/>
        </w:rPr>
        <w:t xml:space="preserve">. </w:t>
      </w:r>
      <w:proofErr w:type="spellStart"/>
      <w:r w:rsidRPr="001F7CDA">
        <w:rPr>
          <w:i/>
          <w:iCs/>
        </w:rPr>
        <w:t>Biophys</w:t>
      </w:r>
      <w:proofErr w:type="spellEnd"/>
      <w:r w:rsidRPr="001F7CDA">
        <w:rPr>
          <w:i/>
          <w:iCs/>
        </w:rPr>
        <w:t>. Acta</w:t>
      </w:r>
      <w:r w:rsidRPr="005E1167">
        <w:t>, 82 (1964), pp. 415-417</w:t>
      </w:r>
    </w:p>
    <w:p w14:paraId="1B23F910" w14:textId="0B5A38F1" w:rsidR="005E1167" w:rsidRPr="005E1167" w:rsidRDefault="005E1167" w:rsidP="00C36723">
      <w:pPr>
        <w:pStyle w:val="NoSpacing"/>
        <w:ind w:left="720" w:hanging="720"/>
      </w:pPr>
      <w:r w:rsidRPr="00C36723">
        <w:t>28</w:t>
      </w:r>
      <w:r w:rsidR="004707D7">
        <w:t xml:space="preserve"> </w:t>
      </w:r>
      <w:r w:rsidRPr="005E1167">
        <w:t>D.W. Chung, E.W. Davie</w:t>
      </w:r>
      <w:r w:rsidR="004707D7">
        <w:t xml:space="preserve">. </w:t>
      </w:r>
      <w:r w:rsidRPr="001F7CDA">
        <w:rPr>
          <w:i/>
          <w:iCs/>
        </w:rPr>
        <w:t>Biochemistry</w:t>
      </w:r>
      <w:r w:rsidRPr="005E1167">
        <w:t>, 23 (1984), pp. 4232-4236</w:t>
      </w:r>
    </w:p>
    <w:p w14:paraId="45DE272E" w14:textId="0D76A284" w:rsidR="005E1167" w:rsidRPr="005E1167" w:rsidRDefault="005E1167" w:rsidP="00C36723">
      <w:pPr>
        <w:pStyle w:val="NoSpacing"/>
        <w:ind w:left="720" w:hanging="720"/>
      </w:pPr>
      <w:r w:rsidRPr="00C36723">
        <w:t>29</w:t>
      </w:r>
      <w:r w:rsidR="004707D7">
        <w:t xml:space="preserve"> </w:t>
      </w:r>
      <w:r w:rsidRPr="005E1167">
        <w:t>C. Wolfenstein-</w:t>
      </w:r>
      <w:proofErr w:type="spellStart"/>
      <w:r w:rsidRPr="005E1167">
        <w:t>Todel</w:t>
      </w:r>
      <w:proofErr w:type="spellEnd"/>
      <w:r w:rsidRPr="005E1167">
        <w:t>, M.W. </w:t>
      </w:r>
      <w:proofErr w:type="spellStart"/>
      <w:r w:rsidRPr="005E1167">
        <w:t>Mosesson</w:t>
      </w:r>
      <w:proofErr w:type="spellEnd"/>
      <w:r w:rsidR="004707D7">
        <w:t xml:space="preserve">. </w:t>
      </w:r>
      <w:r w:rsidRPr="001F7CDA">
        <w:rPr>
          <w:i/>
          <w:iCs/>
        </w:rPr>
        <w:t>Biochemistry</w:t>
      </w:r>
      <w:r w:rsidRPr="005E1167">
        <w:t>, 20 (1981), pp. 6146-6149</w:t>
      </w:r>
    </w:p>
    <w:p w14:paraId="499BE711" w14:textId="5CDF7CFC" w:rsidR="005E1167" w:rsidRPr="005E1167" w:rsidRDefault="005E1167" w:rsidP="00C36723">
      <w:pPr>
        <w:pStyle w:val="NoSpacing"/>
        <w:ind w:left="720" w:hanging="720"/>
      </w:pPr>
      <w:r w:rsidRPr="00C36723">
        <w:t>30</w:t>
      </w:r>
      <w:r w:rsidR="004707D7">
        <w:t xml:space="preserve"> </w:t>
      </w:r>
      <w:r w:rsidRPr="005E1167">
        <w:t>G.A. </w:t>
      </w:r>
      <w:proofErr w:type="spellStart"/>
      <w:r w:rsidRPr="005E1167">
        <w:t>Homandberg</w:t>
      </w:r>
      <w:proofErr w:type="spellEnd"/>
      <w:r w:rsidRPr="005E1167">
        <w:t>, D.B. Evans, C.M. Kane, M.W. </w:t>
      </w:r>
      <w:proofErr w:type="spellStart"/>
      <w:r w:rsidRPr="005E1167">
        <w:t>Mosesson</w:t>
      </w:r>
      <w:proofErr w:type="spellEnd"/>
      <w:r w:rsidR="004707D7">
        <w:t xml:space="preserve">. </w:t>
      </w:r>
      <w:proofErr w:type="spellStart"/>
      <w:r w:rsidRPr="001F7CDA">
        <w:rPr>
          <w:i/>
          <w:iCs/>
        </w:rPr>
        <w:t>Thromb</w:t>
      </w:r>
      <w:proofErr w:type="spellEnd"/>
      <w:r w:rsidRPr="001F7CDA">
        <w:rPr>
          <w:i/>
          <w:iCs/>
        </w:rPr>
        <w:t>. Res</w:t>
      </w:r>
      <w:r w:rsidRPr="005E1167">
        <w:t>., 39 (1985), pp. 263-269</w:t>
      </w:r>
    </w:p>
    <w:p w14:paraId="3982958C" w14:textId="026F0ADC" w:rsidR="005E1167" w:rsidRPr="005E1167" w:rsidRDefault="005E1167" w:rsidP="00C36723">
      <w:pPr>
        <w:pStyle w:val="NoSpacing"/>
        <w:ind w:left="720" w:hanging="720"/>
      </w:pPr>
      <w:r w:rsidRPr="00C36723">
        <w:t>31</w:t>
      </w:r>
      <w:r w:rsidR="004707D7">
        <w:t xml:space="preserve"> </w:t>
      </w:r>
      <w:r w:rsidRPr="005E1167">
        <w:t>G.L. </w:t>
      </w:r>
      <w:proofErr w:type="spellStart"/>
      <w:r w:rsidRPr="005E1167">
        <w:t>Hortin</w:t>
      </w:r>
      <w:proofErr w:type="spellEnd"/>
      <w:r w:rsidR="004707D7">
        <w:t xml:space="preserve">. </w:t>
      </w:r>
      <w:proofErr w:type="spellStart"/>
      <w:r w:rsidRPr="001F7CDA">
        <w:rPr>
          <w:i/>
          <w:iCs/>
        </w:rPr>
        <w:t>Biochem</w:t>
      </w:r>
      <w:proofErr w:type="spellEnd"/>
      <w:r w:rsidRPr="001F7CDA">
        <w:rPr>
          <w:i/>
          <w:iCs/>
        </w:rPr>
        <w:t>. Int.,</w:t>
      </w:r>
      <w:r w:rsidRPr="005E1167">
        <w:t> 19 (1989), pp. 1355-1362</w:t>
      </w:r>
    </w:p>
    <w:p w14:paraId="73A575F0" w14:textId="10D28054" w:rsidR="005E1167" w:rsidRPr="005E1167" w:rsidRDefault="005E1167" w:rsidP="00C36723">
      <w:pPr>
        <w:pStyle w:val="NoSpacing"/>
        <w:ind w:left="720" w:hanging="720"/>
      </w:pPr>
      <w:r w:rsidRPr="00C36723">
        <w:t>32</w:t>
      </w:r>
      <w:r w:rsidR="004707D7">
        <w:t xml:space="preserve"> </w:t>
      </w:r>
      <w:r w:rsidRPr="005E1167">
        <w:t>S. Hirose, K. Oda, Y. </w:t>
      </w:r>
      <w:proofErr w:type="spellStart"/>
      <w:r w:rsidRPr="005E1167">
        <w:t>Ikehara</w:t>
      </w:r>
      <w:proofErr w:type="spellEnd"/>
      <w:r w:rsidR="004707D7">
        <w:t xml:space="preserve">. </w:t>
      </w:r>
      <w:r w:rsidRPr="001F7CDA">
        <w:rPr>
          <w:i/>
          <w:iCs/>
        </w:rPr>
        <w:t>J. Biol. Chem</w:t>
      </w:r>
      <w:r w:rsidRPr="005E1167">
        <w:t>., 263 (1988), pp. 7426-7430</w:t>
      </w:r>
    </w:p>
    <w:p w14:paraId="385842F1" w14:textId="45F1813A" w:rsidR="005E1167" w:rsidRPr="005E1167" w:rsidRDefault="005E1167" w:rsidP="00C36723">
      <w:pPr>
        <w:pStyle w:val="NoSpacing"/>
        <w:ind w:left="720" w:hanging="720"/>
      </w:pPr>
      <w:r w:rsidRPr="00C36723">
        <w:t>33</w:t>
      </w:r>
      <w:r w:rsidR="004707D7">
        <w:t xml:space="preserve"> </w:t>
      </w:r>
      <w:r w:rsidRPr="005E1167">
        <w:t>E.J. </w:t>
      </w:r>
      <w:proofErr w:type="spellStart"/>
      <w:r w:rsidRPr="005E1167">
        <w:t>Harfenist</w:t>
      </w:r>
      <w:proofErr w:type="spellEnd"/>
      <w:r w:rsidRPr="005E1167">
        <w:t>, M.A. Packham, J.F. Mustard</w:t>
      </w:r>
      <w:r w:rsidR="004707D7">
        <w:t xml:space="preserve">. </w:t>
      </w:r>
      <w:r w:rsidRPr="001F7CDA">
        <w:rPr>
          <w:i/>
          <w:iCs/>
        </w:rPr>
        <w:t>Blood</w:t>
      </w:r>
      <w:r w:rsidRPr="005E1167">
        <w:t>, 64 (1984), pp. 1163-1168</w:t>
      </w:r>
    </w:p>
    <w:p w14:paraId="1151B48C" w14:textId="1755A77B" w:rsidR="005E1167" w:rsidRPr="005E1167" w:rsidRDefault="005E1167" w:rsidP="00C36723">
      <w:pPr>
        <w:pStyle w:val="NoSpacing"/>
        <w:ind w:left="720" w:hanging="720"/>
      </w:pPr>
      <w:r w:rsidRPr="00C36723">
        <w:t>34</w:t>
      </w:r>
      <w:r w:rsidR="004707D7">
        <w:t xml:space="preserve"> </w:t>
      </w:r>
      <w:r w:rsidRPr="005E1167">
        <w:t>N.E. </w:t>
      </w:r>
      <w:proofErr w:type="spellStart"/>
      <w:r w:rsidRPr="005E1167">
        <w:t>Kirschbaum</w:t>
      </w:r>
      <w:proofErr w:type="spellEnd"/>
      <w:r w:rsidRPr="005E1167">
        <w:t>, M.W. </w:t>
      </w:r>
      <w:proofErr w:type="spellStart"/>
      <w:r w:rsidRPr="005E1167">
        <w:t>Mosesson</w:t>
      </w:r>
      <w:proofErr w:type="spellEnd"/>
      <w:r w:rsidRPr="005E1167">
        <w:t>, D.L. </w:t>
      </w:r>
      <w:proofErr w:type="spellStart"/>
      <w:r w:rsidRPr="005E1167">
        <w:t>Amrani</w:t>
      </w:r>
      <w:proofErr w:type="spellEnd"/>
      <w:r w:rsidR="004707D7">
        <w:t xml:space="preserve">. </w:t>
      </w:r>
      <w:r w:rsidRPr="001F7CDA">
        <w:rPr>
          <w:i/>
          <w:iCs/>
        </w:rPr>
        <w:t>Blood</w:t>
      </w:r>
      <w:r w:rsidRPr="005E1167">
        <w:t>, 79 (1992), pp. 2643-2648</w:t>
      </w:r>
    </w:p>
    <w:p w14:paraId="20EA1A3D" w14:textId="622913D0" w:rsidR="005E1167" w:rsidRPr="005E1167" w:rsidRDefault="005E1167" w:rsidP="00C36723">
      <w:pPr>
        <w:pStyle w:val="NoSpacing"/>
        <w:ind w:left="720" w:hanging="720"/>
      </w:pPr>
      <w:r w:rsidRPr="00C36723">
        <w:t>35</w:t>
      </w:r>
      <w:r w:rsidR="004707D7">
        <w:t xml:space="preserve"> </w:t>
      </w:r>
      <w:r w:rsidRPr="005E1167">
        <w:t>D.H. Farrell, P. Thiagarajan</w:t>
      </w:r>
      <w:r w:rsidR="004707D7">
        <w:t xml:space="preserve">. </w:t>
      </w:r>
      <w:r w:rsidRPr="001F7CDA">
        <w:rPr>
          <w:i/>
          <w:iCs/>
        </w:rPr>
        <w:t>J. Biol. Chem</w:t>
      </w:r>
      <w:r w:rsidRPr="005E1167">
        <w:t>., 269 (1994), pp. 226-231</w:t>
      </w:r>
    </w:p>
    <w:p w14:paraId="4BA165DE" w14:textId="31AE3B83" w:rsidR="005E1167" w:rsidRPr="005E1167" w:rsidRDefault="005E1167" w:rsidP="00C36723">
      <w:pPr>
        <w:pStyle w:val="NoSpacing"/>
        <w:ind w:left="720" w:hanging="720"/>
      </w:pPr>
      <w:r w:rsidRPr="00C36723">
        <w:t>36</w:t>
      </w:r>
      <w:r w:rsidR="004707D7">
        <w:t xml:space="preserve"> </w:t>
      </w:r>
      <w:r w:rsidRPr="005E1167">
        <w:t>K.R. Siebenlist, D.A. Meh, M.W. </w:t>
      </w:r>
      <w:proofErr w:type="spellStart"/>
      <w:r w:rsidRPr="005E1167">
        <w:t>Mosesson</w:t>
      </w:r>
      <w:proofErr w:type="spellEnd"/>
      <w:r w:rsidR="004707D7">
        <w:t xml:space="preserve">. </w:t>
      </w:r>
      <w:r w:rsidRPr="001F7CDA">
        <w:rPr>
          <w:i/>
          <w:iCs/>
        </w:rPr>
        <w:t>Biochemistry</w:t>
      </w:r>
      <w:r w:rsidRPr="005E1167">
        <w:t>, 35 (1996), pp. 10448-10453</w:t>
      </w:r>
    </w:p>
    <w:p w14:paraId="4AC45400" w14:textId="1DE46EE0" w:rsidR="005E1167" w:rsidRPr="005E1167" w:rsidRDefault="005E1167" w:rsidP="00C36723">
      <w:pPr>
        <w:pStyle w:val="NoSpacing"/>
        <w:ind w:left="720" w:hanging="720"/>
      </w:pPr>
      <w:r w:rsidRPr="00C36723">
        <w:t>37</w:t>
      </w:r>
      <w:r w:rsidR="004707D7">
        <w:t xml:space="preserve"> </w:t>
      </w:r>
      <w:r w:rsidRPr="005E1167">
        <w:t>M.W. </w:t>
      </w:r>
      <w:proofErr w:type="spellStart"/>
      <w:r w:rsidRPr="005E1167">
        <w:t>Mosesson</w:t>
      </w:r>
      <w:proofErr w:type="spellEnd"/>
      <w:r w:rsidRPr="005E1167">
        <w:t>, S. Sherry</w:t>
      </w:r>
      <w:r w:rsidR="004707D7">
        <w:t xml:space="preserve">. </w:t>
      </w:r>
      <w:r w:rsidRPr="001F7CDA">
        <w:rPr>
          <w:i/>
          <w:iCs/>
        </w:rPr>
        <w:t>Biochemistry</w:t>
      </w:r>
      <w:r w:rsidRPr="005E1167">
        <w:t>, 5 (1966), pp. 2829-2835</w:t>
      </w:r>
    </w:p>
    <w:p w14:paraId="2427C578" w14:textId="5CA4E253" w:rsidR="005E1167" w:rsidRPr="005E1167" w:rsidRDefault="005E1167" w:rsidP="00C36723">
      <w:pPr>
        <w:pStyle w:val="NoSpacing"/>
        <w:ind w:left="720" w:hanging="720"/>
      </w:pPr>
      <w:r w:rsidRPr="00C36723">
        <w:t>38</w:t>
      </w:r>
      <w:r w:rsidR="004707D7">
        <w:t xml:space="preserve"> </w:t>
      </w:r>
      <w:r w:rsidRPr="005E1167">
        <w:t>B.V. Pandya, J.L. Gabriel, J. O'Brien, A.Z. </w:t>
      </w:r>
      <w:proofErr w:type="spellStart"/>
      <w:r w:rsidRPr="005E1167">
        <w:t>Budzynski</w:t>
      </w:r>
      <w:proofErr w:type="spellEnd"/>
      <w:r w:rsidR="004707D7">
        <w:t xml:space="preserve">. </w:t>
      </w:r>
      <w:r w:rsidRPr="001F7CDA">
        <w:rPr>
          <w:i/>
          <w:iCs/>
        </w:rPr>
        <w:t>Biochemistry</w:t>
      </w:r>
      <w:r w:rsidRPr="005E1167">
        <w:t>, 30 (1991), pp. 162-168</w:t>
      </w:r>
    </w:p>
    <w:p w14:paraId="6D23DBA3" w14:textId="6788B75D" w:rsidR="005E1167" w:rsidRPr="005E1167" w:rsidRDefault="005E1167" w:rsidP="00C36723">
      <w:pPr>
        <w:pStyle w:val="NoSpacing"/>
        <w:ind w:left="720" w:hanging="720"/>
      </w:pPr>
      <w:r w:rsidRPr="00C36723">
        <w:t>39</w:t>
      </w:r>
      <w:r w:rsidR="004707D7">
        <w:t xml:space="preserve"> </w:t>
      </w:r>
      <w:r w:rsidRPr="005E1167">
        <w:t>A. </w:t>
      </w:r>
      <w:proofErr w:type="spellStart"/>
      <w:r w:rsidRPr="005E1167">
        <w:t>Henschen</w:t>
      </w:r>
      <w:proofErr w:type="spellEnd"/>
      <w:r w:rsidRPr="005E1167">
        <w:t>, F. </w:t>
      </w:r>
      <w:proofErr w:type="spellStart"/>
      <w:r w:rsidRPr="005E1167">
        <w:t>Lottspeich</w:t>
      </w:r>
      <w:proofErr w:type="spellEnd"/>
      <w:r w:rsidRPr="005E1167">
        <w:t>, M. </w:t>
      </w:r>
      <w:proofErr w:type="spellStart"/>
      <w:r w:rsidRPr="005E1167">
        <w:t>Kehl</w:t>
      </w:r>
      <w:proofErr w:type="spellEnd"/>
      <w:r w:rsidRPr="005E1167">
        <w:t>, C. </w:t>
      </w:r>
      <w:proofErr w:type="spellStart"/>
      <w:r w:rsidRPr="005E1167">
        <w:t>Southan</w:t>
      </w:r>
      <w:proofErr w:type="spellEnd"/>
      <w:r w:rsidR="004707D7">
        <w:t xml:space="preserve">. </w:t>
      </w:r>
      <w:r w:rsidRPr="001F7CDA">
        <w:rPr>
          <w:i/>
          <w:iCs/>
        </w:rPr>
        <w:t>Ann. N. Y. Acad. Sci.,</w:t>
      </w:r>
      <w:r w:rsidRPr="005E1167">
        <w:t> 408 (1983), pp. 28-43</w:t>
      </w:r>
    </w:p>
    <w:p w14:paraId="69469E5B" w14:textId="6558CC1C" w:rsidR="005E1167" w:rsidRPr="005E1167" w:rsidRDefault="005E1167" w:rsidP="00C36723">
      <w:pPr>
        <w:pStyle w:val="NoSpacing"/>
        <w:ind w:left="720" w:hanging="720"/>
      </w:pPr>
      <w:r w:rsidRPr="00C36723">
        <w:t>40</w:t>
      </w:r>
      <w:r w:rsidR="004707D7">
        <w:t xml:space="preserve"> </w:t>
      </w:r>
      <w:r w:rsidRPr="005E1167">
        <w:t>D.L. Heene, F.R. Matthias</w:t>
      </w:r>
      <w:r w:rsidR="004707D7">
        <w:t xml:space="preserve">. </w:t>
      </w:r>
      <w:proofErr w:type="spellStart"/>
      <w:r w:rsidRPr="001F7CDA">
        <w:rPr>
          <w:i/>
          <w:iCs/>
        </w:rPr>
        <w:t>Thromb</w:t>
      </w:r>
      <w:proofErr w:type="spellEnd"/>
      <w:r w:rsidRPr="001F7CDA">
        <w:rPr>
          <w:i/>
          <w:iCs/>
        </w:rPr>
        <w:t>. Res</w:t>
      </w:r>
      <w:r w:rsidRPr="005E1167">
        <w:t>., 2 (1973), pp. 137-154</w:t>
      </w:r>
    </w:p>
    <w:p w14:paraId="1869B4DC" w14:textId="619ED7A1" w:rsidR="005E1167" w:rsidRPr="005E1167" w:rsidRDefault="005E1167" w:rsidP="00C36723">
      <w:pPr>
        <w:pStyle w:val="NoSpacing"/>
        <w:ind w:left="720" w:hanging="720"/>
      </w:pPr>
      <w:r w:rsidRPr="00C36723">
        <w:t>41</w:t>
      </w:r>
      <w:r w:rsidR="004707D7">
        <w:t xml:space="preserve"> </w:t>
      </w:r>
      <w:r w:rsidRPr="005E1167">
        <w:t>J.W. Fenton II, M.J. Fasco, A.B. Stackrow, D.L. Aronson, A.M. Young, J.S. Finlayson</w:t>
      </w:r>
      <w:r w:rsidR="004707D7">
        <w:t xml:space="preserve">. </w:t>
      </w:r>
      <w:r w:rsidRPr="001F7CDA">
        <w:rPr>
          <w:i/>
          <w:iCs/>
        </w:rPr>
        <w:t>J. Biol. Chem</w:t>
      </w:r>
      <w:r w:rsidRPr="005E1167">
        <w:t>., 252 (1977), pp. 3587-3598</w:t>
      </w:r>
    </w:p>
    <w:p w14:paraId="7575EE1F" w14:textId="17F19ABA" w:rsidR="005E1167" w:rsidRPr="005E1167" w:rsidRDefault="005E1167" w:rsidP="00C36723">
      <w:pPr>
        <w:pStyle w:val="NoSpacing"/>
        <w:ind w:left="720" w:hanging="720"/>
      </w:pPr>
      <w:r w:rsidRPr="00C36723">
        <w:t>42</w:t>
      </w:r>
      <w:r w:rsidR="00B07871">
        <w:t xml:space="preserve"> </w:t>
      </w:r>
      <w:r w:rsidRPr="005E1167">
        <w:t>B.E. Martin, W.W. </w:t>
      </w:r>
      <w:proofErr w:type="spellStart"/>
      <w:r w:rsidRPr="005E1167">
        <w:t>Wasiewski</w:t>
      </w:r>
      <w:proofErr w:type="spellEnd"/>
      <w:r w:rsidRPr="005E1167">
        <w:t>, J.W. Fenton II, T.C. Detwiler</w:t>
      </w:r>
      <w:r w:rsidR="00B07871">
        <w:t xml:space="preserve">. </w:t>
      </w:r>
      <w:r w:rsidRPr="001F7CDA">
        <w:rPr>
          <w:i/>
          <w:iCs/>
        </w:rPr>
        <w:t>Biochemistry</w:t>
      </w:r>
      <w:r w:rsidRPr="005E1167">
        <w:t>, 15 (1976), pp. 4886-4893</w:t>
      </w:r>
    </w:p>
    <w:p w14:paraId="0C6DCE68" w14:textId="30A0612C" w:rsidR="005E1167" w:rsidRPr="005E1167" w:rsidRDefault="005E1167" w:rsidP="00C36723">
      <w:pPr>
        <w:pStyle w:val="NoSpacing"/>
        <w:ind w:left="720" w:hanging="720"/>
      </w:pPr>
      <w:r w:rsidRPr="00C36723">
        <w:t>43</w:t>
      </w:r>
      <w:r w:rsidR="00B07871">
        <w:t xml:space="preserve"> </w:t>
      </w:r>
      <w:r w:rsidRPr="005E1167">
        <w:t>L. </w:t>
      </w:r>
      <w:proofErr w:type="spellStart"/>
      <w:r w:rsidRPr="005E1167">
        <w:t>Lorand</w:t>
      </w:r>
      <w:proofErr w:type="spellEnd"/>
      <w:r w:rsidRPr="005E1167">
        <w:t>, T. </w:t>
      </w:r>
      <w:proofErr w:type="spellStart"/>
      <w:r w:rsidRPr="005E1167">
        <w:t>Gotoh</w:t>
      </w:r>
      <w:proofErr w:type="spellEnd"/>
      <w:r w:rsidR="00B07871">
        <w:t xml:space="preserve">. </w:t>
      </w:r>
      <w:r w:rsidRPr="001F7CDA">
        <w:rPr>
          <w:i/>
          <w:iCs/>
        </w:rPr>
        <w:t xml:space="preserve">Methods </w:t>
      </w:r>
      <w:proofErr w:type="spellStart"/>
      <w:r w:rsidRPr="001F7CDA">
        <w:rPr>
          <w:i/>
          <w:iCs/>
        </w:rPr>
        <w:t>Enzymol</w:t>
      </w:r>
      <w:proofErr w:type="spellEnd"/>
      <w:r w:rsidRPr="005E1167">
        <w:t>., 19 (1970), pp. 770-782</w:t>
      </w:r>
    </w:p>
    <w:p w14:paraId="5C556532" w14:textId="41AC7756" w:rsidR="005E1167" w:rsidRPr="005E1167" w:rsidRDefault="005E1167" w:rsidP="00C36723">
      <w:pPr>
        <w:pStyle w:val="NoSpacing"/>
        <w:ind w:left="720" w:hanging="720"/>
      </w:pPr>
      <w:r w:rsidRPr="00C36723">
        <w:t>44</w:t>
      </w:r>
      <w:r w:rsidR="00B07871">
        <w:t xml:space="preserve"> </w:t>
      </w:r>
      <w:r w:rsidRPr="005E1167">
        <w:t>A.G. Loewy, K. </w:t>
      </w:r>
      <w:proofErr w:type="spellStart"/>
      <w:r w:rsidRPr="005E1167">
        <w:t>Dunathan</w:t>
      </w:r>
      <w:proofErr w:type="spellEnd"/>
      <w:r w:rsidRPr="005E1167">
        <w:t>, R. Kriel, H.L. </w:t>
      </w:r>
      <w:proofErr w:type="spellStart"/>
      <w:r w:rsidRPr="005E1167">
        <w:t>Wolfinger</w:t>
      </w:r>
      <w:proofErr w:type="spellEnd"/>
      <w:r w:rsidRPr="005E1167">
        <w:t> Jr.</w:t>
      </w:r>
      <w:r w:rsidR="00B07871">
        <w:t xml:space="preserve"> </w:t>
      </w:r>
      <w:r w:rsidRPr="001F7CDA">
        <w:rPr>
          <w:i/>
          <w:iCs/>
        </w:rPr>
        <w:t>J. Biol. Chem</w:t>
      </w:r>
      <w:r w:rsidRPr="005E1167">
        <w:t>., 236 (1961), pp. 2625-2633</w:t>
      </w:r>
    </w:p>
    <w:p w14:paraId="21CC868F" w14:textId="3EAABC62" w:rsidR="005E1167" w:rsidRPr="005E1167" w:rsidRDefault="005E1167" w:rsidP="00C36723">
      <w:pPr>
        <w:pStyle w:val="NoSpacing"/>
        <w:ind w:left="720" w:hanging="720"/>
      </w:pPr>
      <w:r w:rsidRPr="00C36723">
        <w:t>45</w:t>
      </w:r>
      <w:r w:rsidR="00B07871">
        <w:t xml:space="preserve"> </w:t>
      </w:r>
      <w:r w:rsidRPr="005E1167">
        <w:t>H. </w:t>
      </w:r>
      <w:proofErr w:type="spellStart"/>
      <w:r w:rsidRPr="005E1167">
        <w:t>Kanaide</w:t>
      </w:r>
      <w:proofErr w:type="spellEnd"/>
      <w:r w:rsidRPr="005E1167">
        <w:t>, J.R. </w:t>
      </w:r>
      <w:proofErr w:type="spellStart"/>
      <w:r w:rsidRPr="005E1167">
        <w:t>Shainoff</w:t>
      </w:r>
      <w:proofErr w:type="spellEnd"/>
      <w:r w:rsidR="00B07871">
        <w:t xml:space="preserve">. </w:t>
      </w:r>
      <w:r w:rsidRPr="001F7CDA">
        <w:rPr>
          <w:i/>
          <w:iCs/>
        </w:rPr>
        <w:t>J.</w:t>
      </w:r>
      <w:r w:rsidRPr="005E1167">
        <w:t xml:space="preserve"> Lab. Clin. Med., 85 (1975), pp. 574-597</w:t>
      </w:r>
    </w:p>
    <w:p w14:paraId="08A10C48" w14:textId="31448470" w:rsidR="005E1167" w:rsidRPr="005E1167" w:rsidRDefault="005E1167" w:rsidP="00C36723">
      <w:pPr>
        <w:pStyle w:val="NoSpacing"/>
        <w:ind w:left="720" w:hanging="720"/>
      </w:pPr>
      <w:r w:rsidRPr="00C36723">
        <w:t>46</w:t>
      </w:r>
      <w:r w:rsidR="00B07871">
        <w:t xml:space="preserve"> </w:t>
      </w:r>
      <w:r w:rsidRPr="005E1167">
        <w:t>G. </w:t>
      </w:r>
      <w:proofErr w:type="spellStart"/>
      <w:r w:rsidRPr="005E1167">
        <w:t>Scatchard</w:t>
      </w:r>
      <w:proofErr w:type="spellEnd"/>
      <w:r w:rsidR="00B07871">
        <w:t xml:space="preserve">. </w:t>
      </w:r>
      <w:r w:rsidRPr="001F7CDA">
        <w:rPr>
          <w:i/>
          <w:iCs/>
        </w:rPr>
        <w:t>Ann. N. Y. Acad. Sci</w:t>
      </w:r>
      <w:r w:rsidRPr="005E1167">
        <w:t>., 51 (1949), pp. 660-672</w:t>
      </w:r>
    </w:p>
    <w:p w14:paraId="70973144" w14:textId="3CD10C66" w:rsidR="005E1167" w:rsidRPr="005E1167" w:rsidRDefault="005E1167" w:rsidP="00C36723">
      <w:pPr>
        <w:pStyle w:val="NoSpacing"/>
        <w:ind w:left="720" w:hanging="720"/>
      </w:pPr>
      <w:r w:rsidRPr="00C36723">
        <w:t>47</w:t>
      </w:r>
      <w:r w:rsidR="00B07871">
        <w:t xml:space="preserve"> </w:t>
      </w:r>
      <w:r w:rsidRPr="005E1167">
        <w:t>I.M. Klotz, D.L. Hunston</w:t>
      </w:r>
      <w:r w:rsidR="00B07871">
        <w:t xml:space="preserve">. </w:t>
      </w:r>
      <w:r w:rsidRPr="001F7CDA">
        <w:rPr>
          <w:i/>
          <w:iCs/>
        </w:rPr>
        <w:t>Biochemistry</w:t>
      </w:r>
      <w:r w:rsidRPr="005E1167">
        <w:t>, 10 (1971), pp. 3065-3069</w:t>
      </w:r>
    </w:p>
    <w:p w14:paraId="7FE00586" w14:textId="3D0F7D4E" w:rsidR="005E1167" w:rsidRPr="005E1167" w:rsidRDefault="005E1167" w:rsidP="00C36723">
      <w:pPr>
        <w:pStyle w:val="NoSpacing"/>
        <w:ind w:left="720" w:hanging="720"/>
      </w:pPr>
      <w:r w:rsidRPr="00C36723">
        <w:t>48</w:t>
      </w:r>
      <w:r w:rsidR="00B07871">
        <w:t xml:space="preserve"> </w:t>
      </w:r>
      <w:r w:rsidRPr="005E1167">
        <w:t>R.K. Scopes</w:t>
      </w:r>
      <w:r w:rsidR="00B07871">
        <w:t xml:space="preserve">. </w:t>
      </w:r>
      <w:r w:rsidRPr="001F7CDA">
        <w:rPr>
          <w:i/>
          <w:iCs/>
        </w:rPr>
        <w:t>Protein Purification</w:t>
      </w:r>
      <w:r w:rsidRPr="005E1167">
        <w:t>, Springer-Verlag, New York (1982), p. 241</w:t>
      </w:r>
    </w:p>
    <w:p w14:paraId="75AF08C3" w14:textId="58FF247B" w:rsidR="005E1167" w:rsidRPr="005E1167" w:rsidRDefault="005E1167" w:rsidP="00C36723">
      <w:pPr>
        <w:pStyle w:val="NoSpacing"/>
        <w:ind w:left="720" w:hanging="720"/>
      </w:pPr>
      <w:r w:rsidRPr="00C36723">
        <w:t>49</w:t>
      </w:r>
      <w:r w:rsidR="00B07871">
        <w:t xml:space="preserve"> </w:t>
      </w:r>
      <w:r w:rsidRPr="005E1167">
        <w:t>K.R. Siebenlist, J.P. DiOrio, A.Z. </w:t>
      </w:r>
      <w:proofErr w:type="spellStart"/>
      <w:r w:rsidRPr="005E1167">
        <w:t>Budzynski</w:t>
      </w:r>
      <w:proofErr w:type="spellEnd"/>
      <w:r w:rsidRPr="005E1167">
        <w:t>, M.W. </w:t>
      </w:r>
      <w:proofErr w:type="spellStart"/>
      <w:r w:rsidRPr="005E1167">
        <w:t>Mosesson</w:t>
      </w:r>
      <w:proofErr w:type="spellEnd"/>
      <w:r w:rsidR="00B07871">
        <w:t xml:space="preserve">. </w:t>
      </w:r>
      <w:r w:rsidRPr="001F7CDA">
        <w:rPr>
          <w:i/>
          <w:iCs/>
        </w:rPr>
        <w:t>J. Biol. Chem</w:t>
      </w:r>
      <w:r w:rsidRPr="005E1167">
        <w:t>., 265 (1990), pp. 18650-18655</w:t>
      </w:r>
    </w:p>
    <w:p w14:paraId="47C594BA" w14:textId="27CD926B" w:rsidR="005E1167" w:rsidRPr="005E1167" w:rsidRDefault="005E1167" w:rsidP="00C36723">
      <w:pPr>
        <w:pStyle w:val="NoSpacing"/>
        <w:ind w:left="720" w:hanging="720"/>
      </w:pPr>
      <w:r w:rsidRPr="00C36723">
        <w:t>50</w:t>
      </w:r>
      <w:r w:rsidR="00B07871">
        <w:t xml:space="preserve"> </w:t>
      </w:r>
      <w:r w:rsidRPr="005E1167">
        <w:t>C.Y. Liu, K.L. Kaplan, A.H. Markowitz, H.L. </w:t>
      </w:r>
      <w:proofErr w:type="spellStart"/>
      <w:r w:rsidRPr="005E1167">
        <w:t>Nossel</w:t>
      </w:r>
      <w:proofErr w:type="spellEnd"/>
      <w:r w:rsidR="00B07871">
        <w:t xml:space="preserve">. </w:t>
      </w:r>
      <w:r w:rsidRPr="001F7CDA">
        <w:rPr>
          <w:i/>
          <w:iCs/>
        </w:rPr>
        <w:t>J. Biol. Chem</w:t>
      </w:r>
      <w:r w:rsidRPr="005E1167">
        <w:t>., 255 (1980), pp. 7627-7630</w:t>
      </w:r>
    </w:p>
    <w:p w14:paraId="77393DE6" w14:textId="38B6A4A6" w:rsidR="005E1167" w:rsidRPr="005E1167" w:rsidRDefault="005E1167" w:rsidP="00C36723">
      <w:pPr>
        <w:pStyle w:val="NoSpacing"/>
        <w:ind w:left="720" w:hanging="720"/>
      </w:pPr>
      <w:r w:rsidRPr="00C36723">
        <w:t>51</w:t>
      </w:r>
      <w:r w:rsidR="00B07871">
        <w:t xml:space="preserve"> </w:t>
      </w:r>
      <w:r w:rsidRPr="005E1167">
        <w:t>N.E. Stathakis, M.W. </w:t>
      </w:r>
      <w:proofErr w:type="spellStart"/>
      <w:r w:rsidRPr="005E1167">
        <w:t>Mosesson</w:t>
      </w:r>
      <w:proofErr w:type="spellEnd"/>
      <w:r w:rsidRPr="005E1167">
        <w:t>, D.K. </w:t>
      </w:r>
      <w:proofErr w:type="spellStart"/>
      <w:r w:rsidRPr="005E1167">
        <w:t>Galanakis</w:t>
      </w:r>
      <w:proofErr w:type="spellEnd"/>
      <w:r w:rsidRPr="005E1167">
        <w:t>, D. </w:t>
      </w:r>
      <w:proofErr w:type="spellStart"/>
      <w:r w:rsidRPr="005E1167">
        <w:t>Menache</w:t>
      </w:r>
      <w:proofErr w:type="spellEnd"/>
      <w:r w:rsidR="00B07871">
        <w:t xml:space="preserve">. </w:t>
      </w:r>
      <w:proofErr w:type="spellStart"/>
      <w:r w:rsidRPr="001F7CDA">
        <w:rPr>
          <w:i/>
          <w:iCs/>
        </w:rPr>
        <w:t>Thromb</w:t>
      </w:r>
      <w:proofErr w:type="spellEnd"/>
      <w:r w:rsidRPr="001F7CDA">
        <w:rPr>
          <w:i/>
          <w:iCs/>
        </w:rPr>
        <w:t>. Res</w:t>
      </w:r>
      <w:r w:rsidRPr="005E1167">
        <w:t>., 13 (1978), pp. 467-475</w:t>
      </w:r>
    </w:p>
    <w:p w14:paraId="33F56981" w14:textId="4686C541" w:rsidR="005E1167" w:rsidRPr="005E1167" w:rsidRDefault="005E1167" w:rsidP="00C36723">
      <w:pPr>
        <w:pStyle w:val="NoSpacing"/>
        <w:ind w:left="720" w:hanging="720"/>
      </w:pPr>
      <w:r w:rsidRPr="00C36723">
        <w:t>52</w:t>
      </w:r>
      <w:r w:rsidR="00B07871">
        <w:t xml:space="preserve"> </w:t>
      </w:r>
      <w:r w:rsidRPr="005E1167">
        <w:t>D.H. Hogg, B. </w:t>
      </w:r>
      <w:proofErr w:type="spellStart"/>
      <w:r w:rsidRPr="005E1167">
        <w:t>Blombäck</w:t>
      </w:r>
      <w:proofErr w:type="spellEnd"/>
      <w:r w:rsidR="00B07871">
        <w:t xml:space="preserve">. </w:t>
      </w:r>
      <w:proofErr w:type="spellStart"/>
      <w:r w:rsidRPr="001F7CDA">
        <w:rPr>
          <w:i/>
          <w:iCs/>
        </w:rPr>
        <w:t>Thromb</w:t>
      </w:r>
      <w:proofErr w:type="spellEnd"/>
      <w:r w:rsidRPr="001F7CDA">
        <w:rPr>
          <w:i/>
          <w:iCs/>
        </w:rPr>
        <w:t>. Res.,</w:t>
      </w:r>
      <w:r w:rsidRPr="005E1167">
        <w:t> 12 (1978), pp. 953-964</w:t>
      </w:r>
    </w:p>
    <w:p w14:paraId="193C0553" w14:textId="0129070C" w:rsidR="005E1167" w:rsidRPr="005E1167" w:rsidRDefault="005E1167" w:rsidP="00C36723">
      <w:pPr>
        <w:pStyle w:val="NoSpacing"/>
        <w:ind w:left="720" w:hanging="720"/>
      </w:pPr>
      <w:r w:rsidRPr="00C36723">
        <w:t>53</w:t>
      </w:r>
      <w:r w:rsidR="00B07871">
        <w:t xml:space="preserve"> </w:t>
      </w:r>
      <w:r w:rsidRPr="005E1167">
        <w:t>C.G. Binnie, S.T. Lord</w:t>
      </w:r>
      <w:r w:rsidR="00B07871">
        <w:t xml:space="preserve">. </w:t>
      </w:r>
      <w:proofErr w:type="spellStart"/>
      <w:r w:rsidRPr="001F7CDA">
        <w:rPr>
          <w:i/>
          <w:iCs/>
        </w:rPr>
        <w:t>Thromb</w:t>
      </w:r>
      <w:proofErr w:type="spellEnd"/>
      <w:r w:rsidRPr="001F7CDA">
        <w:rPr>
          <w:i/>
          <w:iCs/>
        </w:rPr>
        <w:t xml:space="preserve">. </w:t>
      </w:r>
      <w:proofErr w:type="spellStart"/>
      <w:r w:rsidRPr="001F7CDA">
        <w:rPr>
          <w:i/>
          <w:iCs/>
        </w:rPr>
        <w:t>Haemostasis</w:t>
      </w:r>
      <w:proofErr w:type="spellEnd"/>
      <w:r w:rsidRPr="005E1167">
        <w:t>, 65 (1991), pp. 165-168</w:t>
      </w:r>
    </w:p>
    <w:p w14:paraId="2BF117C7" w14:textId="19F10794" w:rsidR="005E1167" w:rsidRPr="005E1167" w:rsidRDefault="005E1167" w:rsidP="00C36723">
      <w:pPr>
        <w:pStyle w:val="NoSpacing"/>
        <w:ind w:left="720" w:hanging="720"/>
      </w:pPr>
      <w:r w:rsidRPr="00C36723">
        <w:t>54</w:t>
      </w:r>
      <w:r w:rsidR="00B07871">
        <w:t xml:space="preserve"> </w:t>
      </w:r>
      <w:r w:rsidRPr="005E1167">
        <w:t>P.J. </w:t>
      </w:r>
      <w:proofErr w:type="spellStart"/>
      <w:r w:rsidRPr="005E1167">
        <w:t>Haidaris</w:t>
      </w:r>
      <w:proofErr w:type="spellEnd"/>
      <w:r w:rsidRPr="005E1167">
        <w:t>, E.I.B. </w:t>
      </w:r>
      <w:proofErr w:type="spellStart"/>
      <w:r w:rsidRPr="005E1167">
        <w:t>Peerschke</w:t>
      </w:r>
      <w:proofErr w:type="spellEnd"/>
      <w:r w:rsidRPr="005E1167">
        <w:t>, V.J. Marder, C.W. Francis</w:t>
      </w:r>
      <w:r w:rsidR="00B07871">
        <w:t xml:space="preserve">. </w:t>
      </w:r>
      <w:r w:rsidRPr="001F7CDA">
        <w:rPr>
          <w:i/>
          <w:iCs/>
        </w:rPr>
        <w:t>Blood</w:t>
      </w:r>
      <w:r w:rsidRPr="005E1167">
        <w:t>, 74 (1989), pp. 2437-2444</w:t>
      </w:r>
    </w:p>
    <w:p w14:paraId="6FE43F9D" w14:textId="73A30B19" w:rsidR="005E1167" w:rsidRPr="005E1167" w:rsidRDefault="005E1167" w:rsidP="00C36723">
      <w:pPr>
        <w:pStyle w:val="NoSpacing"/>
        <w:ind w:left="720" w:hanging="720"/>
      </w:pPr>
      <w:r w:rsidRPr="00C36723">
        <w:t>55</w:t>
      </w:r>
      <w:r w:rsidR="00B07871">
        <w:t xml:space="preserve"> </w:t>
      </w:r>
      <w:r w:rsidRPr="005E1167">
        <w:t>M. Kaminski, J. McDonagh</w:t>
      </w:r>
      <w:r w:rsidR="00B07871">
        <w:t xml:space="preserve">. </w:t>
      </w:r>
      <w:proofErr w:type="spellStart"/>
      <w:r w:rsidRPr="001F7CDA">
        <w:rPr>
          <w:i/>
          <w:iCs/>
        </w:rPr>
        <w:t>Biochem</w:t>
      </w:r>
      <w:proofErr w:type="spellEnd"/>
      <w:r w:rsidRPr="001F7CDA">
        <w:rPr>
          <w:i/>
          <w:iCs/>
        </w:rPr>
        <w:t>. J.,</w:t>
      </w:r>
      <w:r w:rsidRPr="005E1167">
        <w:t> 242 (1987), pp. 881-887</w:t>
      </w:r>
    </w:p>
    <w:p w14:paraId="0211FCD4" w14:textId="2779BADF" w:rsidR="005E1167" w:rsidRPr="005E1167" w:rsidRDefault="005E1167" w:rsidP="00C36723">
      <w:pPr>
        <w:pStyle w:val="NoSpacing"/>
        <w:ind w:left="720" w:hanging="720"/>
      </w:pPr>
      <w:r w:rsidRPr="00C36723">
        <w:t>56</w:t>
      </w:r>
      <w:r w:rsidR="00B07871">
        <w:t xml:space="preserve"> </w:t>
      </w:r>
      <w:r w:rsidRPr="005E1167">
        <w:t>M. Kaminski, J. McDonagh</w:t>
      </w:r>
      <w:r w:rsidR="00B07871">
        <w:t xml:space="preserve">. </w:t>
      </w:r>
      <w:r w:rsidRPr="001F7CDA">
        <w:rPr>
          <w:i/>
          <w:iCs/>
        </w:rPr>
        <w:t>J. Biol. Chem</w:t>
      </w:r>
      <w:r w:rsidRPr="005E1167">
        <w:t>., 258 (1983), pp. 10530-10535</w:t>
      </w:r>
    </w:p>
    <w:p w14:paraId="45F886FA" w14:textId="7DBD9D89" w:rsidR="005E1167" w:rsidRPr="005E1167" w:rsidRDefault="005E1167" w:rsidP="00C36723">
      <w:pPr>
        <w:pStyle w:val="NoSpacing"/>
        <w:ind w:left="720" w:hanging="720"/>
      </w:pPr>
      <w:r w:rsidRPr="00C36723">
        <w:t>57</w:t>
      </w:r>
      <w:r w:rsidR="00B07871">
        <w:t xml:space="preserve"> </w:t>
      </w:r>
      <w:r w:rsidRPr="005E1167">
        <w:t>C.Y. Liu, P. Wallen, D.A. Handley</w:t>
      </w:r>
      <w:r w:rsidR="00B07871">
        <w:t xml:space="preserve">. </w:t>
      </w:r>
      <w:r w:rsidRPr="005E1167">
        <w:t>D.A. Lane, A. </w:t>
      </w:r>
      <w:proofErr w:type="spellStart"/>
      <w:r w:rsidRPr="005E1167">
        <w:t>Henschen</w:t>
      </w:r>
      <w:proofErr w:type="spellEnd"/>
      <w:r w:rsidRPr="005E1167">
        <w:t>, M.K. </w:t>
      </w:r>
      <w:proofErr w:type="spellStart"/>
      <w:r w:rsidRPr="005E1167">
        <w:t>Jasani</w:t>
      </w:r>
      <w:proofErr w:type="spellEnd"/>
      <w:r w:rsidRPr="005E1167">
        <w:t> (Eds.), </w:t>
      </w:r>
      <w:r w:rsidRPr="001F7CDA">
        <w:rPr>
          <w:i/>
          <w:iCs/>
        </w:rPr>
        <w:t>Fibrinogen, Fibrin Formation and Fibrinolysis</w:t>
      </w:r>
      <w:r w:rsidRPr="005E1167">
        <w:t>, Walter de Gruyter, Berlin Germany (1986), p. 79</w:t>
      </w:r>
    </w:p>
    <w:p w14:paraId="0AF0CB3E" w14:textId="538388F8" w:rsidR="005E1167" w:rsidRPr="005E1167" w:rsidRDefault="005E1167" w:rsidP="00C36723">
      <w:pPr>
        <w:pStyle w:val="NoSpacing"/>
        <w:ind w:left="720" w:hanging="720"/>
      </w:pPr>
      <w:r w:rsidRPr="00C36723">
        <w:t>58</w:t>
      </w:r>
      <w:r w:rsidR="00B07871">
        <w:t xml:space="preserve"> </w:t>
      </w:r>
      <w:r w:rsidRPr="005E1167">
        <w:t>J. Koopman, F. Haverkate, J. Grimbergen, L. Engesser, I. Nováková, A.F.J.A. Kerst, S.T. Lord</w:t>
      </w:r>
      <w:r w:rsidR="00B07871">
        <w:t xml:space="preserve">. </w:t>
      </w:r>
      <w:r w:rsidRPr="001F7CDA">
        <w:rPr>
          <w:i/>
          <w:iCs/>
        </w:rPr>
        <w:t>Proc. Natl. Acad. Sci. U. S. A</w:t>
      </w:r>
      <w:r w:rsidRPr="005E1167">
        <w:t>., 89 (1992), pp. 3478-3482</w:t>
      </w:r>
    </w:p>
    <w:p w14:paraId="36DC1297" w14:textId="492DFB54" w:rsidR="005E1167" w:rsidRPr="005E1167" w:rsidRDefault="005E1167" w:rsidP="00C36723">
      <w:pPr>
        <w:pStyle w:val="NoSpacing"/>
        <w:ind w:left="720" w:hanging="720"/>
      </w:pPr>
      <w:r w:rsidRPr="00C36723">
        <w:t>59</w:t>
      </w:r>
      <w:r w:rsidR="00B07871">
        <w:t xml:space="preserve"> </w:t>
      </w:r>
      <w:r w:rsidRPr="005E1167">
        <w:t>S.T. Lord, E. Strickland, E. </w:t>
      </w:r>
      <w:proofErr w:type="spellStart"/>
      <w:r w:rsidRPr="005E1167">
        <w:t>Jayjock</w:t>
      </w:r>
      <w:proofErr w:type="spellEnd"/>
      <w:r w:rsidR="00B07871">
        <w:t xml:space="preserve">. </w:t>
      </w:r>
      <w:r w:rsidRPr="001F7CDA">
        <w:rPr>
          <w:i/>
          <w:iCs/>
        </w:rPr>
        <w:t>Biochemistry</w:t>
      </w:r>
      <w:r w:rsidRPr="005E1167">
        <w:t>, 35 (1996), pp. 2342-2348</w:t>
      </w:r>
    </w:p>
    <w:p w14:paraId="4580A1EC" w14:textId="77777777" w:rsidR="004D2723" w:rsidRDefault="005E1167" w:rsidP="00C36723">
      <w:pPr>
        <w:pStyle w:val="NoSpacing"/>
        <w:ind w:left="720" w:hanging="720"/>
      </w:pPr>
      <w:r w:rsidRPr="00C36723">
        <w:t>60</w:t>
      </w:r>
      <w:r w:rsidR="00B07871">
        <w:t xml:space="preserve"> </w:t>
      </w:r>
      <w:r w:rsidRPr="005E1167">
        <w:t>G. Di Minno, J. Martinez, F. Cirillo, A.M. Cerbone, M.J. Silver, M. Colucci, M. Margaglione, </w:t>
      </w:r>
    </w:p>
    <w:p w14:paraId="1D8B333F" w14:textId="2FFAD9C2" w:rsidR="005E1167" w:rsidRPr="005E1167" w:rsidRDefault="005E1167" w:rsidP="004D2723">
      <w:pPr>
        <w:pStyle w:val="NoSpacing"/>
        <w:ind w:left="720"/>
      </w:pPr>
      <w:r w:rsidRPr="005E1167">
        <w:t>R. </w:t>
      </w:r>
      <w:proofErr w:type="spellStart"/>
      <w:r w:rsidRPr="005E1167">
        <w:t>Tauro</w:t>
      </w:r>
      <w:proofErr w:type="spellEnd"/>
      <w:r w:rsidRPr="005E1167">
        <w:t>, N. Semeraro, A. </w:t>
      </w:r>
      <w:proofErr w:type="spellStart"/>
      <w:r w:rsidRPr="005E1167">
        <w:t>Quattrone</w:t>
      </w:r>
      <w:proofErr w:type="spellEnd"/>
      <w:r w:rsidRPr="005E1167">
        <w:t>, M. Mancini</w:t>
      </w:r>
      <w:r w:rsidR="004D2723">
        <w:t xml:space="preserve">. </w:t>
      </w:r>
      <w:proofErr w:type="spellStart"/>
      <w:r w:rsidRPr="001F7CDA">
        <w:rPr>
          <w:i/>
          <w:iCs/>
        </w:rPr>
        <w:t>Arterioscler</w:t>
      </w:r>
      <w:proofErr w:type="spellEnd"/>
      <w:r w:rsidRPr="001F7CDA">
        <w:rPr>
          <w:i/>
          <w:iCs/>
        </w:rPr>
        <w:t xml:space="preserve">. </w:t>
      </w:r>
      <w:proofErr w:type="spellStart"/>
      <w:r w:rsidRPr="001F7CDA">
        <w:rPr>
          <w:i/>
          <w:iCs/>
        </w:rPr>
        <w:t>Thromb</w:t>
      </w:r>
      <w:proofErr w:type="spellEnd"/>
      <w:r w:rsidRPr="005E1167">
        <w:t>., 11 (1991), pp. 785-796</w:t>
      </w:r>
    </w:p>
    <w:p w14:paraId="7016E147" w14:textId="2A69A657" w:rsidR="005E1167" w:rsidRPr="005E1167" w:rsidRDefault="005E1167" w:rsidP="00C36723">
      <w:pPr>
        <w:pStyle w:val="NoSpacing"/>
        <w:ind w:left="720" w:hanging="720"/>
      </w:pPr>
      <w:r w:rsidRPr="00C36723">
        <w:t>61</w:t>
      </w:r>
      <w:r w:rsidR="004D2723">
        <w:t xml:space="preserve"> </w:t>
      </w:r>
      <w:r w:rsidRPr="005E1167">
        <w:t>R.A. Martinelli, H.A. </w:t>
      </w:r>
      <w:proofErr w:type="spellStart"/>
      <w:r w:rsidRPr="005E1167">
        <w:t>Scheraga</w:t>
      </w:r>
      <w:proofErr w:type="spellEnd"/>
      <w:r w:rsidR="004D2723">
        <w:t xml:space="preserve">. </w:t>
      </w:r>
      <w:r w:rsidRPr="001F7CDA">
        <w:rPr>
          <w:i/>
          <w:iCs/>
        </w:rPr>
        <w:t>Biochemistry</w:t>
      </w:r>
      <w:r w:rsidRPr="005E1167">
        <w:t>, 19 (1980), pp. 2343-2350</w:t>
      </w:r>
    </w:p>
    <w:p w14:paraId="2B6105F5" w14:textId="7D451F33" w:rsidR="005E1167" w:rsidRPr="005E1167" w:rsidRDefault="005E1167" w:rsidP="00C36723">
      <w:pPr>
        <w:pStyle w:val="NoSpacing"/>
        <w:ind w:left="720" w:hanging="720"/>
      </w:pPr>
      <w:r w:rsidRPr="00C36723">
        <w:t>62</w:t>
      </w:r>
      <w:r w:rsidR="004D2723">
        <w:t xml:space="preserve"> </w:t>
      </w:r>
      <w:r w:rsidRPr="005E1167">
        <w:t>D.L. Higgins, S.D. Lewis, J.A. Shafer</w:t>
      </w:r>
      <w:r w:rsidR="004D2723">
        <w:t xml:space="preserve">. </w:t>
      </w:r>
      <w:r w:rsidRPr="001F7CDA">
        <w:rPr>
          <w:i/>
          <w:iCs/>
        </w:rPr>
        <w:t>J. Biol. Chem</w:t>
      </w:r>
      <w:r w:rsidRPr="005E1167">
        <w:t>., 258 (1983), pp. 9276-9282</w:t>
      </w:r>
    </w:p>
    <w:p w14:paraId="508B9078" w14:textId="525B56F3" w:rsidR="005E1167" w:rsidRPr="005E1167" w:rsidRDefault="005E1167" w:rsidP="00C36723">
      <w:pPr>
        <w:pStyle w:val="NoSpacing"/>
        <w:ind w:left="720" w:hanging="720"/>
      </w:pPr>
      <w:r w:rsidRPr="00C36723">
        <w:t>63</w:t>
      </w:r>
      <w:r w:rsidR="004D2723">
        <w:t xml:space="preserve"> </w:t>
      </w:r>
      <w:r w:rsidRPr="005E1167">
        <w:t>L.S. Hanna, H.A. </w:t>
      </w:r>
      <w:proofErr w:type="spellStart"/>
      <w:r w:rsidRPr="005E1167">
        <w:t>Scheraga</w:t>
      </w:r>
      <w:proofErr w:type="spellEnd"/>
      <w:r w:rsidRPr="005E1167">
        <w:t>, C.W. Francis, V.J. Marder</w:t>
      </w:r>
      <w:r w:rsidR="004D2723">
        <w:t xml:space="preserve">. </w:t>
      </w:r>
      <w:r w:rsidRPr="001F7CDA">
        <w:rPr>
          <w:i/>
          <w:iCs/>
        </w:rPr>
        <w:t>Biochemistry</w:t>
      </w:r>
      <w:r w:rsidRPr="005E1167">
        <w:t>, 23 (1984), pp. 4681-4687</w:t>
      </w:r>
    </w:p>
    <w:p w14:paraId="06E72160" w14:textId="271741D4" w:rsidR="005E1167" w:rsidRPr="005E1167" w:rsidRDefault="005E1167" w:rsidP="00C36723">
      <w:pPr>
        <w:pStyle w:val="NoSpacing"/>
        <w:ind w:left="720" w:hanging="720"/>
      </w:pPr>
      <w:r w:rsidRPr="00C36723">
        <w:t>64</w:t>
      </w:r>
      <w:r w:rsidR="004D2723">
        <w:t xml:space="preserve"> </w:t>
      </w:r>
      <w:r w:rsidRPr="005E1167">
        <w:t>E. </w:t>
      </w:r>
      <w:proofErr w:type="spellStart"/>
      <w:r w:rsidRPr="005E1167">
        <w:t>Mihalyi</w:t>
      </w:r>
      <w:proofErr w:type="spellEnd"/>
      <w:r w:rsidR="004D2723">
        <w:t xml:space="preserve">. </w:t>
      </w:r>
      <w:r w:rsidRPr="001F7CDA">
        <w:rPr>
          <w:i/>
          <w:iCs/>
        </w:rPr>
        <w:t>Biochemistry</w:t>
      </w:r>
      <w:r w:rsidRPr="005E1167">
        <w:t>, 27 (1988), pp. 976-982</w:t>
      </w:r>
    </w:p>
    <w:p w14:paraId="3F227207" w14:textId="02220AF4" w:rsidR="005E1167" w:rsidRPr="005E1167" w:rsidRDefault="005E1167" w:rsidP="00C36723">
      <w:pPr>
        <w:pStyle w:val="NoSpacing"/>
        <w:ind w:left="720" w:hanging="720"/>
      </w:pPr>
      <w:r w:rsidRPr="00C36723">
        <w:t>65</w:t>
      </w:r>
      <w:r w:rsidR="004D2723">
        <w:t xml:space="preserve"> </w:t>
      </w:r>
      <w:r w:rsidRPr="005E1167">
        <w:t>A. Mathur, W.A. </w:t>
      </w:r>
      <w:proofErr w:type="spellStart"/>
      <w:r w:rsidRPr="005E1167">
        <w:t>Schlapkohl</w:t>
      </w:r>
      <w:proofErr w:type="spellEnd"/>
      <w:r w:rsidRPr="005E1167">
        <w:t xml:space="preserve">, E. Di </w:t>
      </w:r>
      <w:proofErr w:type="spellStart"/>
      <w:r w:rsidRPr="005E1167">
        <w:t>Cera</w:t>
      </w:r>
      <w:proofErr w:type="spellEnd"/>
      <w:r w:rsidR="004D2723">
        <w:t xml:space="preserve">. </w:t>
      </w:r>
      <w:r w:rsidRPr="001F7CDA">
        <w:rPr>
          <w:i/>
          <w:iCs/>
        </w:rPr>
        <w:t>Biochemistry</w:t>
      </w:r>
      <w:r w:rsidRPr="005E1167">
        <w:t>, 32 (1993), pp. 7568-7573</w:t>
      </w:r>
    </w:p>
    <w:p w14:paraId="27597562" w14:textId="565C8D62" w:rsidR="005E1167" w:rsidRPr="005E1167" w:rsidRDefault="005E1167" w:rsidP="00C36723">
      <w:pPr>
        <w:pStyle w:val="NoSpacing"/>
        <w:ind w:left="720" w:hanging="720"/>
      </w:pPr>
      <w:r w:rsidRPr="00C36723">
        <w:t>66</w:t>
      </w:r>
      <w:r w:rsidR="004D2723">
        <w:t xml:space="preserve"> </w:t>
      </w:r>
      <w:r w:rsidRPr="005E1167">
        <w:t xml:space="preserve">S.T. Lord, M.M. Rooney, K.-P. Hopfner, E. Di </w:t>
      </w:r>
      <w:proofErr w:type="spellStart"/>
      <w:r w:rsidRPr="005E1167">
        <w:t>Cera</w:t>
      </w:r>
      <w:proofErr w:type="spellEnd"/>
      <w:r w:rsidR="004D2723">
        <w:t xml:space="preserve">. </w:t>
      </w:r>
      <w:r w:rsidRPr="001F7CDA">
        <w:rPr>
          <w:i/>
          <w:iCs/>
        </w:rPr>
        <w:t>J. Biol. Chem</w:t>
      </w:r>
      <w:r w:rsidRPr="005E1167">
        <w:t>., 270 (1995), pp. 24790-24793</w:t>
      </w:r>
    </w:p>
    <w:p w14:paraId="72F654E4" w14:textId="15730190" w:rsidR="005E1167" w:rsidRPr="005E1167" w:rsidRDefault="005E1167" w:rsidP="00C36723">
      <w:pPr>
        <w:pStyle w:val="NoSpacing"/>
        <w:ind w:left="720" w:hanging="720"/>
      </w:pPr>
      <w:r w:rsidRPr="00C36723">
        <w:t>67</w:t>
      </w:r>
      <w:r w:rsidR="004D2723">
        <w:t xml:space="preserve"> </w:t>
      </w:r>
      <w:r w:rsidRPr="005E1167">
        <w:t>W.C. Francis, E.R. Markham, H.G. Barlow, M.T. Florack, M.D. Dobrzynski, V.J. Marder</w:t>
      </w:r>
      <w:r w:rsidR="004D2723">
        <w:t xml:space="preserve">. </w:t>
      </w:r>
      <w:r w:rsidRPr="001F7CDA">
        <w:rPr>
          <w:i/>
          <w:iCs/>
        </w:rPr>
        <w:t>J. Lab. Clin. Med</w:t>
      </w:r>
      <w:r w:rsidRPr="005E1167">
        <w:t>., 102 (1983), pp. 220-230</w:t>
      </w:r>
    </w:p>
    <w:p w14:paraId="772B48CF" w14:textId="61A9C6A4" w:rsidR="005E1167" w:rsidRPr="005E1167" w:rsidRDefault="005E1167" w:rsidP="00C36723">
      <w:pPr>
        <w:pStyle w:val="NoSpacing"/>
        <w:ind w:left="720" w:hanging="720"/>
      </w:pPr>
      <w:r w:rsidRPr="00C36723">
        <w:t>68</w:t>
      </w:r>
      <w:r w:rsidR="004D2723">
        <w:t xml:space="preserve"> </w:t>
      </w:r>
      <w:r w:rsidRPr="005E1167">
        <w:t>J.I. Weitz, M. Hudoba, D. </w:t>
      </w:r>
      <w:proofErr w:type="spellStart"/>
      <w:r w:rsidRPr="005E1167">
        <w:t>Massel</w:t>
      </w:r>
      <w:proofErr w:type="spellEnd"/>
      <w:r w:rsidRPr="005E1167">
        <w:t>, J. </w:t>
      </w:r>
      <w:proofErr w:type="spellStart"/>
      <w:r w:rsidRPr="005E1167">
        <w:t>Maraganore</w:t>
      </w:r>
      <w:proofErr w:type="spellEnd"/>
      <w:r w:rsidRPr="005E1167">
        <w:t>, J. Hirsh</w:t>
      </w:r>
      <w:r w:rsidR="004D2723">
        <w:t xml:space="preserve">. </w:t>
      </w:r>
      <w:r w:rsidRPr="001F7CDA">
        <w:rPr>
          <w:i/>
          <w:iCs/>
        </w:rPr>
        <w:t>J. Clin. Invest</w:t>
      </w:r>
      <w:r w:rsidRPr="005E1167">
        <w:t>., 86 (1990), pp. 385-391</w:t>
      </w:r>
    </w:p>
    <w:p w14:paraId="6C99396A" w14:textId="41834296" w:rsidR="005E1167" w:rsidRPr="005E1167" w:rsidRDefault="005E1167" w:rsidP="00C36723">
      <w:pPr>
        <w:pStyle w:val="NoSpacing"/>
        <w:ind w:left="720" w:hanging="720"/>
      </w:pPr>
      <w:r w:rsidRPr="00C36723">
        <w:t>69</w:t>
      </w:r>
      <w:r w:rsidR="004D2723">
        <w:t xml:space="preserve"> </w:t>
      </w:r>
      <w:r w:rsidRPr="005E1167">
        <w:t>R. Kumar, S. </w:t>
      </w:r>
      <w:proofErr w:type="spellStart"/>
      <w:r w:rsidRPr="005E1167">
        <w:t>Béguin</w:t>
      </w:r>
      <w:proofErr w:type="spellEnd"/>
      <w:r w:rsidRPr="005E1167">
        <w:t>, C. </w:t>
      </w:r>
      <w:proofErr w:type="spellStart"/>
      <w:r w:rsidRPr="005E1167">
        <w:t>Hemker</w:t>
      </w:r>
      <w:proofErr w:type="spellEnd"/>
      <w:r w:rsidR="004D2723">
        <w:t xml:space="preserve">. </w:t>
      </w:r>
      <w:proofErr w:type="spellStart"/>
      <w:r w:rsidRPr="001F7CDA">
        <w:rPr>
          <w:i/>
          <w:iCs/>
        </w:rPr>
        <w:t>Thromb</w:t>
      </w:r>
      <w:proofErr w:type="spellEnd"/>
      <w:r w:rsidRPr="001F7CDA">
        <w:rPr>
          <w:i/>
          <w:iCs/>
        </w:rPr>
        <w:t xml:space="preserve">. </w:t>
      </w:r>
      <w:proofErr w:type="spellStart"/>
      <w:r w:rsidRPr="001F7CDA">
        <w:rPr>
          <w:i/>
          <w:iCs/>
        </w:rPr>
        <w:t>Haemostasis</w:t>
      </w:r>
      <w:proofErr w:type="spellEnd"/>
      <w:r w:rsidRPr="005E1167">
        <w:t>, 72 (1994), pp. 713-721</w:t>
      </w:r>
    </w:p>
    <w:p w14:paraId="5BAB1697" w14:textId="4906DED3" w:rsidR="005E1167" w:rsidRPr="005E1167" w:rsidRDefault="005E1167" w:rsidP="00C36723">
      <w:pPr>
        <w:pStyle w:val="NoSpacing"/>
        <w:ind w:left="720" w:hanging="720"/>
      </w:pPr>
      <w:r w:rsidRPr="00C36723">
        <w:t>70</w:t>
      </w:r>
      <w:r w:rsidR="004D2723">
        <w:t xml:space="preserve"> </w:t>
      </w:r>
      <w:r w:rsidRPr="005E1167">
        <w:t>R. Kumar, S. </w:t>
      </w:r>
      <w:proofErr w:type="spellStart"/>
      <w:r w:rsidRPr="005E1167">
        <w:t>Béguin</w:t>
      </w:r>
      <w:proofErr w:type="spellEnd"/>
      <w:r w:rsidRPr="005E1167">
        <w:t>, C. </w:t>
      </w:r>
      <w:proofErr w:type="spellStart"/>
      <w:r w:rsidRPr="005E1167">
        <w:t>Hemker</w:t>
      </w:r>
      <w:proofErr w:type="spellEnd"/>
      <w:r w:rsidR="004D2723">
        <w:t xml:space="preserve">. </w:t>
      </w:r>
      <w:proofErr w:type="spellStart"/>
      <w:r w:rsidRPr="001F7CDA">
        <w:rPr>
          <w:i/>
          <w:iCs/>
        </w:rPr>
        <w:t>Thromb</w:t>
      </w:r>
      <w:proofErr w:type="spellEnd"/>
      <w:r w:rsidRPr="001F7CDA">
        <w:rPr>
          <w:i/>
          <w:iCs/>
        </w:rPr>
        <w:t xml:space="preserve">. </w:t>
      </w:r>
      <w:proofErr w:type="spellStart"/>
      <w:r w:rsidRPr="001F7CDA">
        <w:rPr>
          <w:i/>
          <w:iCs/>
        </w:rPr>
        <w:t>Haemostasis</w:t>
      </w:r>
      <w:proofErr w:type="spellEnd"/>
      <w:r w:rsidRPr="005E1167">
        <w:t>, 74 (1995), pp. 962-968</w:t>
      </w:r>
    </w:p>
    <w:p w14:paraId="03FD2978" w14:textId="77777777" w:rsidR="00D31B2F" w:rsidRDefault="00D31B2F" w:rsidP="00D31B2F"/>
    <w:sectPr w:rsidR="00D31B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37B10"/>
    <w:multiLevelType w:val="multilevel"/>
    <w:tmpl w:val="B42CA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1D0E19"/>
    <w:multiLevelType w:val="multilevel"/>
    <w:tmpl w:val="00E0D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0A7CB2"/>
    <w:multiLevelType w:val="multilevel"/>
    <w:tmpl w:val="134A53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1D05F2A"/>
    <w:multiLevelType w:val="multilevel"/>
    <w:tmpl w:val="187CB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2EC6D3C"/>
    <w:multiLevelType w:val="multilevel"/>
    <w:tmpl w:val="BC4C2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4B4F31"/>
    <w:multiLevelType w:val="multilevel"/>
    <w:tmpl w:val="A3BCE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28131884">
    <w:abstractNumId w:val="4"/>
  </w:num>
  <w:num w:numId="2" w16cid:durableId="503129953">
    <w:abstractNumId w:val="3"/>
  </w:num>
  <w:num w:numId="3" w16cid:durableId="1873304945">
    <w:abstractNumId w:val="2"/>
  </w:num>
  <w:num w:numId="4" w16cid:durableId="1896160985">
    <w:abstractNumId w:val="0"/>
  </w:num>
  <w:num w:numId="5" w16cid:durableId="253830152">
    <w:abstractNumId w:val="1"/>
  </w:num>
  <w:num w:numId="6" w16cid:durableId="20054676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05AoQ4lZ0VFZ3YRcFc7a/v2Op83cGMK0chr+t+bKSpKBDLfS/Qs+4V7HYM1YVZybuRRVUkxVgtxXZNWJ8tzdOg==" w:salt="WWZobRaibLbMMllIgUDB4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97A93"/>
    <w:rsid w:val="001777F2"/>
    <w:rsid w:val="001F7CDA"/>
    <w:rsid w:val="002B77E0"/>
    <w:rsid w:val="003D2611"/>
    <w:rsid w:val="004707D7"/>
    <w:rsid w:val="004B4302"/>
    <w:rsid w:val="004D2723"/>
    <w:rsid w:val="00585D6B"/>
    <w:rsid w:val="005E1167"/>
    <w:rsid w:val="00737BA9"/>
    <w:rsid w:val="007A5170"/>
    <w:rsid w:val="00834794"/>
    <w:rsid w:val="009B340D"/>
    <w:rsid w:val="00A765A5"/>
    <w:rsid w:val="00A91B8A"/>
    <w:rsid w:val="00B07871"/>
    <w:rsid w:val="00BD477A"/>
    <w:rsid w:val="00C36723"/>
    <w:rsid w:val="00D31B2F"/>
    <w:rsid w:val="00E2138F"/>
    <w:rsid w:val="00EB4F39"/>
    <w:rsid w:val="00EE4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77F2"/>
  </w:style>
  <w:style w:type="paragraph" w:styleId="Heading1">
    <w:name w:val="heading 1"/>
    <w:basedOn w:val="Normal"/>
    <w:next w:val="Normal"/>
    <w:link w:val="Heading1Char"/>
    <w:uiPriority w:val="9"/>
    <w:qFormat/>
    <w:rsid w:val="001777F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777F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777F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1777F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1777F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1777F2"/>
    <w:pPr>
      <w:keepNext/>
      <w:keepLines/>
      <w:spacing w:before="40" w:after="0"/>
      <w:outlineLvl w:val="5"/>
    </w:pPr>
  </w:style>
  <w:style w:type="paragraph" w:styleId="Heading7">
    <w:name w:val="heading 7"/>
    <w:basedOn w:val="Normal"/>
    <w:next w:val="Normal"/>
    <w:link w:val="Heading7Char"/>
    <w:uiPriority w:val="9"/>
    <w:semiHidden/>
    <w:unhideWhenUsed/>
    <w:qFormat/>
    <w:rsid w:val="001777F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777F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1777F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777F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777F2"/>
    <w:rPr>
      <w:rFonts w:asciiTheme="majorHAnsi" w:eastAsiaTheme="majorEastAsia" w:hAnsiTheme="majorHAnsi" w:cstheme="majorBidi"/>
      <w:color w:val="0D0D0D" w:themeColor="text1" w:themeTint="F2"/>
      <w:sz w:val="24"/>
      <w:szCs w:val="24"/>
    </w:rPr>
  </w:style>
  <w:style w:type="paragraph" w:customStyle="1" w:styleId="msonormal0">
    <w:name w:val="msonormal"/>
    <w:basedOn w:val="Normal"/>
    <w:rsid w:val="005E116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E116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777F2"/>
    <w:rPr>
      <w:i/>
      <w:iCs/>
      <w:color w:val="auto"/>
    </w:rPr>
  </w:style>
  <w:style w:type="paragraph" w:customStyle="1" w:styleId="previous">
    <w:name w:val="previous"/>
    <w:basedOn w:val="Normal"/>
    <w:rsid w:val="005E116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E1167"/>
    <w:rPr>
      <w:color w:val="0000FF"/>
      <w:u w:val="single"/>
    </w:rPr>
  </w:style>
  <w:style w:type="character" w:styleId="FollowedHyperlink">
    <w:name w:val="FollowedHyperlink"/>
    <w:basedOn w:val="DefaultParagraphFont"/>
    <w:uiPriority w:val="99"/>
    <w:semiHidden/>
    <w:unhideWhenUsed/>
    <w:rsid w:val="005E1167"/>
    <w:rPr>
      <w:color w:val="800080"/>
      <w:u w:val="single"/>
    </w:rPr>
  </w:style>
  <w:style w:type="character" w:customStyle="1" w:styleId="button-alternative-text">
    <w:name w:val="button-alternative-text"/>
    <w:basedOn w:val="DefaultParagraphFont"/>
    <w:rsid w:val="005E1167"/>
  </w:style>
  <w:style w:type="character" w:styleId="Strong">
    <w:name w:val="Strong"/>
    <w:basedOn w:val="DefaultParagraphFont"/>
    <w:uiPriority w:val="22"/>
    <w:qFormat/>
    <w:rsid w:val="001777F2"/>
    <w:rPr>
      <w:b/>
      <w:bCs/>
      <w:color w:val="auto"/>
    </w:rPr>
  </w:style>
  <w:style w:type="character" w:customStyle="1" w:styleId="extra-detail-1">
    <w:name w:val="extra-detail-1"/>
    <w:basedOn w:val="DefaultParagraphFont"/>
    <w:rsid w:val="005E1167"/>
  </w:style>
  <w:style w:type="character" w:customStyle="1" w:styleId="extra-detail-2">
    <w:name w:val="extra-detail-2"/>
    <w:basedOn w:val="DefaultParagraphFont"/>
    <w:rsid w:val="005E1167"/>
  </w:style>
  <w:style w:type="paragraph" w:customStyle="1" w:styleId="next">
    <w:name w:val="next"/>
    <w:basedOn w:val="Normal"/>
    <w:rsid w:val="005E11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5E1167"/>
  </w:style>
  <w:style w:type="character" w:customStyle="1" w:styleId="label">
    <w:name w:val="label"/>
    <w:basedOn w:val="DefaultParagraphFont"/>
    <w:rsid w:val="005E1167"/>
  </w:style>
  <w:style w:type="character" w:customStyle="1" w:styleId="anchor-text">
    <w:name w:val="anchor-text"/>
    <w:basedOn w:val="DefaultParagraphFont"/>
    <w:rsid w:val="005E1167"/>
  </w:style>
  <w:style w:type="character" w:customStyle="1" w:styleId="download-link-title">
    <w:name w:val="download-link-title"/>
    <w:basedOn w:val="DefaultParagraphFont"/>
    <w:rsid w:val="005E1167"/>
  </w:style>
  <w:style w:type="character" w:customStyle="1" w:styleId="text">
    <w:name w:val="text"/>
    <w:basedOn w:val="DefaultParagraphFont"/>
    <w:rsid w:val="005E1167"/>
  </w:style>
  <w:style w:type="character" w:styleId="UnresolvedMention">
    <w:name w:val="Unresolved Mention"/>
    <w:basedOn w:val="DefaultParagraphFont"/>
    <w:uiPriority w:val="99"/>
    <w:semiHidden/>
    <w:unhideWhenUsed/>
    <w:rsid w:val="005E1167"/>
    <w:rPr>
      <w:color w:val="605E5C"/>
      <w:shd w:val="clear" w:color="auto" w:fill="E1DFDD"/>
    </w:rPr>
  </w:style>
  <w:style w:type="character" w:customStyle="1" w:styleId="Heading1Char">
    <w:name w:val="Heading 1 Char"/>
    <w:basedOn w:val="DefaultParagraphFont"/>
    <w:link w:val="Heading1"/>
    <w:uiPriority w:val="9"/>
    <w:rsid w:val="001777F2"/>
    <w:rPr>
      <w:rFonts w:asciiTheme="majorHAnsi" w:eastAsiaTheme="majorEastAsia" w:hAnsiTheme="majorHAnsi" w:cstheme="majorBidi"/>
      <w:color w:val="262626" w:themeColor="text1" w:themeTint="D9"/>
      <w:sz w:val="32"/>
      <w:szCs w:val="32"/>
    </w:rPr>
  </w:style>
  <w:style w:type="character" w:customStyle="1" w:styleId="Heading4Char">
    <w:name w:val="Heading 4 Char"/>
    <w:basedOn w:val="DefaultParagraphFont"/>
    <w:link w:val="Heading4"/>
    <w:uiPriority w:val="9"/>
    <w:semiHidden/>
    <w:rsid w:val="001777F2"/>
    <w:rPr>
      <w:i/>
      <w:iCs/>
    </w:rPr>
  </w:style>
  <w:style w:type="character" w:customStyle="1" w:styleId="Heading5Char">
    <w:name w:val="Heading 5 Char"/>
    <w:basedOn w:val="DefaultParagraphFont"/>
    <w:link w:val="Heading5"/>
    <w:uiPriority w:val="9"/>
    <w:semiHidden/>
    <w:rsid w:val="001777F2"/>
    <w:rPr>
      <w:color w:val="404040" w:themeColor="text1" w:themeTint="BF"/>
    </w:rPr>
  </w:style>
  <w:style w:type="character" w:customStyle="1" w:styleId="Heading6Char">
    <w:name w:val="Heading 6 Char"/>
    <w:basedOn w:val="DefaultParagraphFont"/>
    <w:link w:val="Heading6"/>
    <w:uiPriority w:val="9"/>
    <w:semiHidden/>
    <w:rsid w:val="001777F2"/>
  </w:style>
  <w:style w:type="character" w:customStyle="1" w:styleId="Heading7Char">
    <w:name w:val="Heading 7 Char"/>
    <w:basedOn w:val="DefaultParagraphFont"/>
    <w:link w:val="Heading7"/>
    <w:uiPriority w:val="9"/>
    <w:semiHidden/>
    <w:rsid w:val="001777F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777F2"/>
    <w:rPr>
      <w:color w:val="262626" w:themeColor="text1" w:themeTint="D9"/>
      <w:sz w:val="21"/>
      <w:szCs w:val="21"/>
    </w:rPr>
  </w:style>
  <w:style w:type="character" w:customStyle="1" w:styleId="Heading9Char">
    <w:name w:val="Heading 9 Char"/>
    <w:basedOn w:val="DefaultParagraphFont"/>
    <w:link w:val="Heading9"/>
    <w:uiPriority w:val="9"/>
    <w:semiHidden/>
    <w:rsid w:val="001777F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777F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777F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777F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777F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777F2"/>
    <w:rPr>
      <w:color w:val="5A5A5A" w:themeColor="text1" w:themeTint="A5"/>
      <w:spacing w:val="15"/>
    </w:rPr>
  </w:style>
  <w:style w:type="paragraph" w:styleId="NoSpacing">
    <w:name w:val="No Spacing"/>
    <w:uiPriority w:val="1"/>
    <w:qFormat/>
    <w:rsid w:val="001777F2"/>
    <w:pPr>
      <w:spacing w:after="0" w:line="240" w:lineRule="auto"/>
    </w:pPr>
  </w:style>
  <w:style w:type="paragraph" w:styleId="Quote">
    <w:name w:val="Quote"/>
    <w:basedOn w:val="Normal"/>
    <w:next w:val="Normal"/>
    <w:link w:val="QuoteChar"/>
    <w:uiPriority w:val="29"/>
    <w:qFormat/>
    <w:rsid w:val="001777F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777F2"/>
    <w:rPr>
      <w:i/>
      <w:iCs/>
      <w:color w:val="404040" w:themeColor="text1" w:themeTint="BF"/>
    </w:rPr>
  </w:style>
  <w:style w:type="paragraph" w:styleId="IntenseQuote">
    <w:name w:val="Intense Quote"/>
    <w:basedOn w:val="Normal"/>
    <w:next w:val="Normal"/>
    <w:link w:val="IntenseQuoteChar"/>
    <w:uiPriority w:val="30"/>
    <w:qFormat/>
    <w:rsid w:val="001777F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777F2"/>
    <w:rPr>
      <w:i/>
      <w:iCs/>
      <w:color w:val="404040" w:themeColor="text1" w:themeTint="BF"/>
    </w:rPr>
  </w:style>
  <w:style w:type="character" w:styleId="SubtleEmphasis">
    <w:name w:val="Subtle Emphasis"/>
    <w:basedOn w:val="DefaultParagraphFont"/>
    <w:uiPriority w:val="19"/>
    <w:qFormat/>
    <w:rsid w:val="001777F2"/>
    <w:rPr>
      <w:i/>
      <w:iCs/>
      <w:color w:val="404040" w:themeColor="text1" w:themeTint="BF"/>
    </w:rPr>
  </w:style>
  <w:style w:type="character" w:styleId="IntenseEmphasis">
    <w:name w:val="Intense Emphasis"/>
    <w:basedOn w:val="DefaultParagraphFont"/>
    <w:uiPriority w:val="21"/>
    <w:qFormat/>
    <w:rsid w:val="001777F2"/>
    <w:rPr>
      <w:b/>
      <w:bCs/>
      <w:i/>
      <w:iCs/>
      <w:color w:val="auto"/>
    </w:rPr>
  </w:style>
  <w:style w:type="character" w:styleId="SubtleReference">
    <w:name w:val="Subtle Reference"/>
    <w:basedOn w:val="DefaultParagraphFont"/>
    <w:uiPriority w:val="31"/>
    <w:qFormat/>
    <w:rsid w:val="001777F2"/>
    <w:rPr>
      <w:smallCaps/>
      <w:color w:val="404040" w:themeColor="text1" w:themeTint="BF"/>
    </w:rPr>
  </w:style>
  <w:style w:type="character" w:styleId="IntenseReference">
    <w:name w:val="Intense Reference"/>
    <w:basedOn w:val="DefaultParagraphFont"/>
    <w:uiPriority w:val="32"/>
    <w:qFormat/>
    <w:rsid w:val="001777F2"/>
    <w:rPr>
      <w:b/>
      <w:bCs/>
      <w:smallCaps/>
      <w:color w:val="404040" w:themeColor="text1" w:themeTint="BF"/>
      <w:spacing w:val="5"/>
    </w:rPr>
  </w:style>
  <w:style w:type="character" w:styleId="BookTitle">
    <w:name w:val="Book Title"/>
    <w:basedOn w:val="DefaultParagraphFont"/>
    <w:uiPriority w:val="33"/>
    <w:qFormat/>
    <w:rsid w:val="001777F2"/>
    <w:rPr>
      <w:b/>
      <w:bCs/>
      <w:i/>
      <w:iCs/>
      <w:spacing w:val="5"/>
    </w:rPr>
  </w:style>
  <w:style w:type="paragraph" w:styleId="TOCHeading">
    <w:name w:val="TOC Heading"/>
    <w:basedOn w:val="Heading1"/>
    <w:next w:val="Normal"/>
    <w:uiPriority w:val="39"/>
    <w:semiHidden/>
    <w:unhideWhenUsed/>
    <w:qFormat/>
    <w:rsid w:val="001777F2"/>
    <w:pPr>
      <w:outlineLvl w:val="9"/>
    </w:pPr>
  </w:style>
  <w:style w:type="table" w:styleId="TableGrid">
    <w:name w:val="Table Grid"/>
    <w:basedOn w:val="TableNormal"/>
    <w:uiPriority w:val="39"/>
    <w:rsid w:val="00585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294659">
      <w:bodyDiv w:val="1"/>
      <w:marLeft w:val="0"/>
      <w:marRight w:val="0"/>
      <w:marTop w:val="0"/>
      <w:marBottom w:val="0"/>
      <w:divBdr>
        <w:top w:val="none" w:sz="0" w:space="0" w:color="auto"/>
        <w:left w:val="none" w:sz="0" w:space="0" w:color="auto"/>
        <w:bottom w:val="none" w:sz="0" w:space="0" w:color="auto"/>
        <w:right w:val="none" w:sz="0" w:space="0" w:color="auto"/>
      </w:divBdr>
      <w:divsChild>
        <w:div w:id="139419210">
          <w:marLeft w:val="0"/>
          <w:marRight w:val="0"/>
          <w:marTop w:val="0"/>
          <w:marBottom w:val="0"/>
          <w:divBdr>
            <w:top w:val="none" w:sz="0" w:space="0" w:color="auto"/>
            <w:left w:val="none" w:sz="0" w:space="0" w:color="auto"/>
            <w:bottom w:val="none" w:sz="0" w:space="0" w:color="auto"/>
            <w:right w:val="none" w:sz="0" w:space="0" w:color="auto"/>
          </w:divBdr>
          <w:divsChild>
            <w:div w:id="1239096485">
              <w:marLeft w:val="0"/>
              <w:marRight w:val="0"/>
              <w:marTop w:val="0"/>
              <w:marBottom w:val="120"/>
              <w:divBdr>
                <w:top w:val="none" w:sz="0" w:space="0" w:color="auto"/>
                <w:left w:val="none" w:sz="0" w:space="0" w:color="auto"/>
                <w:bottom w:val="none" w:sz="0" w:space="0" w:color="auto"/>
                <w:right w:val="none" w:sz="0" w:space="0" w:color="auto"/>
              </w:divBdr>
              <w:divsChild>
                <w:div w:id="83932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962384">
          <w:marLeft w:val="0"/>
          <w:marRight w:val="0"/>
          <w:marTop w:val="0"/>
          <w:marBottom w:val="0"/>
          <w:divBdr>
            <w:top w:val="none" w:sz="0" w:space="0" w:color="auto"/>
            <w:left w:val="none" w:sz="0" w:space="0" w:color="auto"/>
            <w:bottom w:val="none" w:sz="0" w:space="0" w:color="auto"/>
            <w:right w:val="none" w:sz="0" w:space="0" w:color="auto"/>
          </w:divBdr>
          <w:divsChild>
            <w:div w:id="795684546">
              <w:marLeft w:val="0"/>
              <w:marRight w:val="0"/>
              <w:marTop w:val="0"/>
              <w:marBottom w:val="0"/>
              <w:divBdr>
                <w:top w:val="none" w:sz="0" w:space="0" w:color="auto"/>
                <w:left w:val="none" w:sz="0" w:space="0" w:color="auto"/>
                <w:bottom w:val="none" w:sz="0" w:space="0" w:color="auto"/>
                <w:right w:val="none" w:sz="0" w:space="0" w:color="auto"/>
              </w:divBdr>
              <w:divsChild>
                <w:div w:id="289240394">
                  <w:marLeft w:val="0"/>
                  <w:marRight w:val="0"/>
                  <w:marTop w:val="0"/>
                  <w:marBottom w:val="0"/>
                  <w:divBdr>
                    <w:top w:val="none" w:sz="0" w:space="0" w:color="auto"/>
                    <w:left w:val="none" w:sz="0" w:space="0" w:color="auto"/>
                    <w:bottom w:val="none" w:sz="0" w:space="0" w:color="auto"/>
                    <w:right w:val="none" w:sz="0" w:space="0" w:color="auto"/>
                  </w:divBdr>
                  <w:divsChild>
                    <w:div w:id="2010978870">
                      <w:marLeft w:val="0"/>
                      <w:marRight w:val="0"/>
                      <w:marTop w:val="240"/>
                      <w:marBottom w:val="240"/>
                      <w:divBdr>
                        <w:top w:val="single" w:sz="12" w:space="0" w:color="EBEBEB"/>
                        <w:left w:val="none" w:sz="0" w:space="0" w:color="auto"/>
                        <w:bottom w:val="single" w:sz="12" w:space="0" w:color="EBEBEB"/>
                        <w:right w:val="none" w:sz="0" w:space="0" w:color="auto"/>
                      </w:divBdr>
                      <w:divsChild>
                        <w:div w:id="120012778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1698072">
                  <w:marLeft w:val="0"/>
                  <w:marRight w:val="0"/>
                  <w:marTop w:val="0"/>
                  <w:marBottom w:val="0"/>
                  <w:divBdr>
                    <w:top w:val="none" w:sz="0" w:space="0" w:color="auto"/>
                    <w:left w:val="none" w:sz="0" w:space="0" w:color="auto"/>
                    <w:bottom w:val="none" w:sz="0" w:space="0" w:color="auto"/>
                    <w:right w:val="none" w:sz="0" w:space="0" w:color="auto"/>
                  </w:divBdr>
                </w:div>
                <w:div w:id="282424078">
                  <w:marLeft w:val="0"/>
                  <w:marRight w:val="0"/>
                  <w:marTop w:val="0"/>
                  <w:marBottom w:val="0"/>
                  <w:divBdr>
                    <w:top w:val="none" w:sz="0" w:space="0" w:color="auto"/>
                    <w:left w:val="none" w:sz="0" w:space="0" w:color="auto"/>
                    <w:bottom w:val="none" w:sz="0" w:space="0" w:color="auto"/>
                    <w:right w:val="none" w:sz="0" w:space="0" w:color="auto"/>
                  </w:divBdr>
                  <w:divsChild>
                    <w:div w:id="1091004374">
                      <w:marLeft w:val="0"/>
                      <w:marRight w:val="0"/>
                      <w:marTop w:val="240"/>
                      <w:marBottom w:val="240"/>
                      <w:divBdr>
                        <w:top w:val="single" w:sz="12" w:space="0" w:color="EBEBEB"/>
                        <w:left w:val="none" w:sz="0" w:space="0" w:color="auto"/>
                        <w:bottom w:val="single" w:sz="12" w:space="0" w:color="EBEBEB"/>
                        <w:right w:val="none" w:sz="0" w:space="0" w:color="auto"/>
                      </w:divBdr>
                      <w:divsChild>
                        <w:div w:id="17127983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7951683">
                  <w:marLeft w:val="0"/>
                  <w:marRight w:val="0"/>
                  <w:marTop w:val="0"/>
                  <w:marBottom w:val="0"/>
                  <w:divBdr>
                    <w:top w:val="none" w:sz="0" w:space="0" w:color="auto"/>
                    <w:left w:val="none" w:sz="0" w:space="0" w:color="auto"/>
                    <w:bottom w:val="none" w:sz="0" w:space="0" w:color="auto"/>
                    <w:right w:val="none" w:sz="0" w:space="0" w:color="auto"/>
                  </w:divBdr>
                </w:div>
                <w:div w:id="448671951">
                  <w:marLeft w:val="0"/>
                  <w:marRight w:val="0"/>
                  <w:marTop w:val="0"/>
                  <w:marBottom w:val="0"/>
                  <w:divBdr>
                    <w:top w:val="none" w:sz="0" w:space="0" w:color="auto"/>
                    <w:left w:val="none" w:sz="0" w:space="0" w:color="auto"/>
                    <w:bottom w:val="none" w:sz="0" w:space="0" w:color="auto"/>
                    <w:right w:val="none" w:sz="0" w:space="0" w:color="auto"/>
                  </w:divBdr>
                </w:div>
                <w:div w:id="2012757627">
                  <w:marLeft w:val="0"/>
                  <w:marRight w:val="0"/>
                  <w:marTop w:val="0"/>
                  <w:marBottom w:val="0"/>
                  <w:divBdr>
                    <w:top w:val="none" w:sz="0" w:space="0" w:color="auto"/>
                    <w:left w:val="none" w:sz="0" w:space="0" w:color="auto"/>
                    <w:bottom w:val="none" w:sz="0" w:space="0" w:color="auto"/>
                    <w:right w:val="none" w:sz="0" w:space="0" w:color="auto"/>
                  </w:divBdr>
                </w:div>
                <w:div w:id="1044908527">
                  <w:marLeft w:val="0"/>
                  <w:marRight w:val="0"/>
                  <w:marTop w:val="0"/>
                  <w:marBottom w:val="0"/>
                  <w:divBdr>
                    <w:top w:val="none" w:sz="0" w:space="0" w:color="auto"/>
                    <w:left w:val="none" w:sz="0" w:space="0" w:color="auto"/>
                    <w:bottom w:val="none" w:sz="0" w:space="0" w:color="auto"/>
                    <w:right w:val="none" w:sz="0" w:space="0" w:color="auto"/>
                  </w:divBdr>
                  <w:divsChild>
                    <w:div w:id="451479164">
                      <w:marLeft w:val="0"/>
                      <w:marRight w:val="0"/>
                      <w:marTop w:val="240"/>
                      <w:marBottom w:val="240"/>
                      <w:divBdr>
                        <w:top w:val="single" w:sz="12" w:space="0" w:color="EBEBEB"/>
                        <w:left w:val="none" w:sz="0" w:space="0" w:color="auto"/>
                        <w:bottom w:val="single" w:sz="12" w:space="0" w:color="EBEBEB"/>
                        <w:right w:val="none" w:sz="0" w:space="0" w:color="auto"/>
                      </w:divBdr>
                      <w:divsChild>
                        <w:div w:id="14613387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5415262">
          <w:marLeft w:val="0"/>
          <w:marRight w:val="0"/>
          <w:marTop w:val="0"/>
          <w:marBottom w:val="0"/>
          <w:divBdr>
            <w:top w:val="none" w:sz="0" w:space="0" w:color="auto"/>
            <w:left w:val="none" w:sz="0" w:space="0" w:color="auto"/>
            <w:bottom w:val="none" w:sz="0" w:space="0" w:color="auto"/>
            <w:right w:val="none" w:sz="0" w:space="0" w:color="auto"/>
          </w:divBdr>
        </w:div>
        <w:div w:id="1239096911">
          <w:marLeft w:val="0"/>
          <w:marRight w:val="0"/>
          <w:marTop w:val="0"/>
          <w:marBottom w:val="0"/>
          <w:divBdr>
            <w:top w:val="none" w:sz="0" w:space="0" w:color="auto"/>
            <w:left w:val="none" w:sz="0" w:space="0" w:color="auto"/>
            <w:bottom w:val="none" w:sz="0" w:space="0" w:color="auto"/>
            <w:right w:val="none" w:sz="0" w:space="0" w:color="auto"/>
          </w:divBdr>
        </w:div>
        <w:div w:id="39130239">
          <w:marLeft w:val="0"/>
          <w:marRight w:val="0"/>
          <w:marTop w:val="0"/>
          <w:marBottom w:val="0"/>
          <w:divBdr>
            <w:top w:val="none" w:sz="0" w:space="0" w:color="auto"/>
            <w:left w:val="none" w:sz="0" w:space="0" w:color="auto"/>
            <w:bottom w:val="none" w:sz="0" w:space="0" w:color="auto"/>
            <w:right w:val="none" w:sz="0" w:space="0" w:color="auto"/>
          </w:divBdr>
          <w:divsChild>
            <w:div w:id="1361707545">
              <w:marLeft w:val="0"/>
              <w:marRight w:val="360"/>
              <w:marTop w:val="0"/>
              <w:marBottom w:val="0"/>
              <w:divBdr>
                <w:top w:val="none" w:sz="0" w:space="0" w:color="auto"/>
                <w:left w:val="none" w:sz="0" w:space="0" w:color="auto"/>
                <w:bottom w:val="none" w:sz="0" w:space="0" w:color="auto"/>
                <w:right w:val="none" w:sz="0" w:space="0" w:color="auto"/>
              </w:divBdr>
            </w:div>
          </w:divsChild>
        </w:div>
        <w:div w:id="1478953205">
          <w:marLeft w:val="0"/>
          <w:marRight w:val="0"/>
          <w:marTop w:val="0"/>
          <w:marBottom w:val="0"/>
          <w:divBdr>
            <w:top w:val="none" w:sz="0" w:space="0" w:color="auto"/>
            <w:left w:val="none" w:sz="0" w:space="0" w:color="auto"/>
            <w:bottom w:val="none" w:sz="0" w:space="0" w:color="auto"/>
            <w:right w:val="none" w:sz="0" w:space="0" w:color="auto"/>
          </w:divBdr>
        </w:div>
        <w:div w:id="701250264">
          <w:marLeft w:val="0"/>
          <w:marRight w:val="0"/>
          <w:marTop w:val="0"/>
          <w:marBottom w:val="0"/>
          <w:divBdr>
            <w:top w:val="none" w:sz="0" w:space="0" w:color="auto"/>
            <w:left w:val="none" w:sz="0" w:space="0" w:color="auto"/>
            <w:bottom w:val="none" w:sz="0" w:space="0" w:color="auto"/>
            <w:right w:val="none" w:sz="0" w:space="0" w:color="auto"/>
          </w:divBdr>
        </w:div>
        <w:div w:id="273710203">
          <w:marLeft w:val="0"/>
          <w:marRight w:val="0"/>
          <w:marTop w:val="0"/>
          <w:marBottom w:val="0"/>
          <w:divBdr>
            <w:top w:val="none" w:sz="0" w:space="0" w:color="auto"/>
            <w:left w:val="none" w:sz="0" w:space="0" w:color="auto"/>
            <w:bottom w:val="none" w:sz="0" w:space="0" w:color="auto"/>
            <w:right w:val="none" w:sz="0" w:space="0" w:color="auto"/>
          </w:divBdr>
        </w:div>
        <w:div w:id="622228271">
          <w:marLeft w:val="0"/>
          <w:marRight w:val="0"/>
          <w:marTop w:val="0"/>
          <w:marBottom w:val="0"/>
          <w:divBdr>
            <w:top w:val="none" w:sz="0" w:space="0" w:color="auto"/>
            <w:left w:val="none" w:sz="0" w:space="0" w:color="auto"/>
            <w:bottom w:val="none" w:sz="0" w:space="0" w:color="auto"/>
            <w:right w:val="none" w:sz="0" w:space="0" w:color="auto"/>
          </w:divBdr>
        </w:div>
        <w:div w:id="2139951577">
          <w:marLeft w:val="0"/>
          <w:marRight w:val="0"/>
          <w:marTop w:val="0"/>
          <w:marBottom w:val="0"/>
          <w:divBdr>
            <w:top w:val="none" w:sz="0" w:space="0" w:color="auto"/>
            <w:left w:val="none" w:sz="0" w:space="0" w:color="auto"/>
            <w:bottom w:val="none" w:sz="0" w:space="0" w:color="auto"/>
            <w:right w:val="none" w:sz="0" w:space="0" w:color="auto"/>
          </w:divBdr>
        </w:div>
        <w:div w:id="770246347">
          <w:marLeft w:val="0"/>
          <w:marRight w:val="0"/>
          <w:marTop w:val="0"/>
          <w:marBottom w:val="0"/>
          <w:divBdr>
            <w:top w:val="none" w:sz="0" w:space="0" w:color="auto"/>
            <w:left w:val="none" w:sz="0" w:space="0" w:color="auto"/>
            <w:bottom w:val="none" w:sz="0" w:space="0" w:color="auto"/>
            <w:right w:val="none" w:sz="0" w:space="0" w:color="auto"/>
          </w:divBdr>
        </w:div>
        <w:div w:id="387530250">
          <w:marLeft w:val="0"/>
          <w:marRight w:val="0"/>
          <w:marTop w:val="0"/>
          <w:marBottom w:val="0"/>
          <w:divBdr>
            <w:top w:val="none" w:sz="0" w:space="0" w:color="auto"/>
            <w:left w:val="none" w:sz="0" w:space="0" w:color="auto"/>
            <w:bottom w:val="none" w:sz="0" w:space="0" w:color="auto"/>
            <w:right w:val="none" w:sz="0" w:space="0" w:color="auto"/>
          </w:divBdr>
        </w:div>
        <w:div w:id="358236546">
          <w:marLeft w:val="0"/>
          <w:marRight w:val="0"/>
          <w:marTop w:val="0"/>
          <w:marBottom w:val="0"/>
          <w:divBdr>
            <w:top w:val="none" w:sz="0" w:space="0" w:color="auto"/>
            <w:left w:val="none" w:sz="0" w:space="0" w:color="auto"/>
            <w:bottom w:val="none" w:sz="0" w:space="0" w:color="auto"/>
            <w:right w:val="none" w:sz="0" w:space="0" w:color="auto"/>
          </w:divBdr>
        </w:div>
        <w:div w:id="751583492">
          <w:marLeft w:val="0"/>
          <w:marRight w:val="0"/>
          <w:marTop w:val="0"/>
          <w:marBottom w:val="0"/>
          <w:divBdr>
            <w:top w:val="none" w:sz="0" w:space="0" w:color="auto"/>
            <w:left w:val="none" w:sz="0" w:space="0" w:color="auto"/>
            <w:bottom w:val="none" w:sz="0" w:space="0" w:color="auto"/>
            <w:right w:val="none" w:sz="0" w:space="0" w:color="auto"/>
          </w:divBdr>
        </w:div>
        <w:div w:id="1506245230">
          <w:marLeft w:val="0"/>
          <w:marRight w:val="0"/>
          <w:marTop w:val="0"/>
          <w:marBottom w:val="0"/>
          <w:divBdr>
            <w:top w:val="none" w:sz="0" w:space="0" w:color="auto"/>
            <w:left w:val="none" w:sz="0" w:space="0" w:color="auto"/>
            <w:bottom w:val="none" w:sz="0" w:space="0" w:color="auto"/>
            <w:right w:val="none" w:sz="0" w:space="0" w:color="auto"/>
          </w:divBdr>
        </w:div>
        <w:div w:id="2039355145">
          <w:marLeft w:val="0"/>
          <w:marRight w:val="0"/>
          <w:marTop w:val="0"/>
          <w:marBottom w:val="0"/>
          <w:divBdr>
            <w:top w:val="none" w:sz="0" w:space="0" w:color="auto"/>
            <w:left w:val="none" w:sz="0" w:space="0" w:color="auto"/>
            <w:bottom w:val="none" w:sz="0" w:space="0" w:color="auto"/>
            <w:right w:val="none" w:sz="0" w:space="0" w:color="auto"/>
          </w:divBdr>
        </w:div>
        <w:div w:id="1279680136">
          <w:marLeft w:val="0"/>
          <w:marRight w:val="0"/>
          <w:marTop w:val="0"/>
          <w:marBottom w:val="0"/>
          <w:divBdr>
            <w:top w:val="none" w:sz="0" w:space="0" w:color="auto"/>
            <w:left w:val="none" w:sz="0" w:space="0" w:color="auto"/>
            <w:bottom w:val="none" w:sz="0" w:space="0" w:color="auto"/>
            <w:right w:val="none" w:sz="0" w:space="0" w:color="auto"/>
          </w:divBdr>
        </w:div>
        <w:div w:id="415446397">
          <w:marLeft w:val="0"/>
          <w:marRight w:val="0"/>
          <w:marTop w:val="0"/>
          <w:marBottom w:val="0"/>
          <w:divBdr>
            <w:top w:val="none" w:sz="0" w:space="0" w:color="auto"/>
            <w:left w:val="none" w:sz="0" w:space="0" w:color="auto"/>
            <w:bottom w:val="none" w:sz="0" w:space="0" w:color="auto"/>
            <w:right w:val="none" w:sz="0" w:space="0" w:color="auto"/>
          </w:divBdr>
        </w:div>
        <w:div w:id="497691302">
          <w:marLeft w:val="0"/>
          <w:marRight w:val="0"/>
          <w:marTop w:val="0"/>
          <w:marBottom w:val="0"/>
          <w:divBdr>
            <w:top w:val="none" w:sz="0" w:space="0" w:color="auto"/>
            <w:left w:val="none" w:sz="0" w:space="0" w:color="auto"/>
            <w:bottom w:val="none" w:sz="0" w:space="0" w:color="auto"/>
            <w:right w:val="none" w:sz="0" w:space="0" w:color="auto"/>
          </w:divBdr>
        </w:div>
        <w:div w:id="144392923">
          <w:marLeft w:val="0"/>
          <w:marRight w:val="0"/>
          <w:marTop w:val="0"/>
          <w:marBottom w:val="0"/>
          <w:divBdr>
            <w:top w:val="none" w:sz="0" w:space="0" w:color="auto"/>
            <w:left w:val="none" w:sz="0" w:space="0" w:color="auto"/>
            <w:bottom w:val="none" w:sz="0" w:space="0" w:color="auto"/>
            <w:right w:val="none" w:sz="0" w:space="0" w:color="auto"/>
          </w:divBdr>
          <w:divsChild>
            <w:div w:id="646208982">
              <w:marLeft w:val="0"/>
              <w:marRight w:val="360"/>
              <w:marTop w:val="0"/>
              <w:marBottom w:val="0"/>
              <w:divBdr>
                <w:top w:val="none" w:sz="0" w:space="0" w:color="auto"/>
                <w:left w:val="none" w:sz="0" w:space="0" w:color="auto"/>
                <w:bottom w:val="none" w:sz="0" w:space="0" w:color="auto"/>
                <w:right w:val="none" w:sz="0" w:space="0" w:color="auto"/>
              </w:divBdr>
            </w:div>
          </w:divsChild>
        </w:div>
        <w:div w:id="1542666850">
          <w:marLeft w:val="0"/>
          <w:marRight w:val="0"/>
          <w:marTop w:val="0"/>
          <w:marBottom w:val="0"/>
          <w:divBdr>
            <w:top w:val="none" w:sz="0" w:space="0" w:color="auto"/>
            <w:left w:val="none" w:sz="0" w:space="0" w:color="auto"/>
            <w:bottom w:val="none" w:sz="0" w:space="0" w:color="auto"/>
            <w:right w:val="none" w:sz="0" w:space="0" w:color="auto"/>
          </w:divBdr>
        </w:div>
        <w:div w:id="1324041122">
          <w:marLeft w:val="0"/>
          <w:marRight w:val="0"/>
          <w:marTop w:val="0"/>
          <w:marBottom w:val="0"/>
          <w:divBdr>
            <w:top w:val="none" w:sz="0" w:space="0" w:color="auto"/>
            <w:left w:val="none" w:sz="0" w:space="0" w:color="auto"/>
            <w:bottom w:val="none" w:sz="0" w:space="0" w:color="auto"/>
            <w:right w:val="none" w:sz="0" w:space="0" w:color="auto"/>
          </w:divBdr>
        </w:div>
        <w:div w:id="717360570">
          <w:marLeft w:val="0"/>
          <w:marRight w:val="0"/>
          <w:marTop w:val="0"/>
          <w:marBottom w:val="0"/>
          <w:divBdr>
            <w:top w:val="none" w:sz="0" w:space="0" w:color="auto"/>
            <w:left w:val="none" w:sz="0" w:space="0" w:color="auto"/>
            <w:bottom w:val="none" w:sz="0" w:space="0" w:color="auto"/>
            <w:right w:val="none" w:sz="0" w:space="0" w:color="auto"/>
          </w:divBdr>
          <w:divsChild>
            <w:div w:id="1107889347">
              <w:marLeft w:val="0"/>
              <w:marRight w:val="360"/>
              <w:marTop w:val="0"/>
              <w:marBottom w:val="0"/>
              <w:divBdr>
                <w:top w:val="none" w:sz="0" w:space="0" w:color="auto"/>
                <w:left w:val="none" w:sz="0" w:space="0" w:color="auto"/>
                <w:bottom w:val="none" w:sz="0" w:space="0" w:color="auto"/>
                <w:right w:val="none" w:sz="0" w:space="0" w:color="auto"/>
              </w:divBdr>
            </w:div>
          </w:divsChild>
        </w:div>
        <w:div w:id="841555719">
          <w:marLeft w:val="0"/>
          <w:marRight w:val="0"/>
          <w:marTop w:val="0"/>
          <w:marBottom w:val="0"/>
          <w:divBdr>
            <w:top w:val="none" w:sz="0" w:space="0" w:color="auto"/>
            <w:left w:val="none" w:sz="0" w:space="0" w:color="auto"/>
            <w:bottom w:val="none" w:sz="0" w:space="0" w:color="auto"/>
            <w:right w:val="none" w:sz="0" w:space="0" w:color="auto"/>
          </w:divBdr>
        </w:div>
        <w:div w:id="1303660158">
          <w:marLeft w:val="0"/>
          <w:marRight w:val="0"/>
          <w:marTop w:val="0"/>
          <w:marBottom w:val="0"/>
          <w:divBdr>
            <w:top w:val="none" w:sz="0" w:space="0" w:color="auto"/>
            <w:left w:val="none" w:sz="0" w:space="0" w:color="auto"/>
            <w:bottom w:val="none" w:sz="0" w:space="0" w:color="auto"/>
            <w:right w:val="none" w:sz="0" w:space="0" w:color="auto"/>
          </w:divBdr>
        </w:div>
        <w:div w:id="1636066032">
          <w:marLeft w:val="0"/>
          <w:marRight w:val="0"/>
          <w:marTop w:val="0"/>
          <w:marBottom w:val="0"/>
          <w:divBdr>
            <w:top w:val="none" w:sz="0" w:space="0" w:color="auto"/>
            <w:left w:val="none" w:sz="0" w:space="0" w:color="auto"/>
            <w:bottom w:val="none" w:sz="0" w:space="0" w:color="auto"/>
            <w:right w:val="none" w:sz="0" w:space="0" w:color="auto"/>
          </w:divBdr>
        </w:div>
        <w:div w:id="1159347999">
          <w:marLeft w:val="0"/>
          <w:marRight w:val="0"/>
          <w:marTop w:val="0"/>
          <w:marBottom w:val="0"/>
          <w:divBdr>
            <w:top w:val="none" w:sz="0" w:space="0" w:color="auto"/>
            <w:left w:val="none" w:sz="0" w:space="0" w:color="auto"/>
            <w:bottom w:val="none" w:sz="0" w:space="0" w:color="auto"/>
            <w:right w:val="none" w:sz="0" w:space="0" w:color="auto"/>
          </w:divBdr>
        </w:div>
        <w:div w:id="817648755">
          <w:marLeft w:val="0"/>
          <w:marRight w:val="0"/>
          <w:marTop w:val="0"/>
          <w:marBottom w:val="0"/>
          <w:divBdr>
            <w:top w:val="none" w:sz="0" w:space="0" w:color="auto"/>
            <w:left w:val="none" w:sz="0" w:space="0" w:color="auto"/>
            <w:bottom w:val="none" w:sz="0" w:space="0" w:color="auto"/>
            <w:right w:val="none" w:sz="0" w:space="0" w:color="auto"/>
          </w:divBdr>
        </w:div>
        <w:div w:id="1706295854">
          <w:marLeft w:val="0"/>
          <w:marRight w:val="0"/>
          <w:marTop w:val="0"/>
          <w:marBottom w:val="0"/>
          <w:divBdr>
            <w:top w:val="none" w:sz="0" w:space="0" w:color="auto"/>
            <w:left w:val="none" w:sz="0" w:space="0" w:color="auto"/>
            <w:bottom w:val="none" w:sz="0" w:space="0" w:color="auto"/>
            <w:right w:val="none" w:sz="0" w:space="0" w:color="auto"/>
          </w:divBdr>
        </w:div>
        <w:div w:id="942807492">
          <w:marLeft w:val="0"/>
          <w:marRight w:val="0"/>
          <w:marTop w:val="0"/>
          <w:marBottom w:val="0"/>
          <w:divBdr>
            <w:top w:val="none" w:sz="0" w:space="0" w:color="auto"/>
            <w:left w:val="none" w:sz="0" w:space="0" w:color="auto"/>
            <w:bottom w:val="none" w:sz="0" w:space="0" w:color="auto"/>
            <w:right w:val="none" w:sz="0" w:space="0" w:color="auto"/>
          </w:divBdr>
        </w:div>
        <w:div w:id="199636210">
          <w:marLeft w:val="0"/>
          <w:marRight w:val="0"/>
          <w:marTop w:val="0"/>
          <w:marBottom w:val="0"/>
          <w:divBdr>
            <w:top w:val="none" w:sz="0" w:space="0" w:color="auto"/>
            <w:left w:val="none" w:sz="0" w:space="0" w:color="auto"/>
            <w:bottom w:val="none" w:sz="0" w:space="0" w:color="auto"/>
            <w:right w:val="none" w:sz="0" w:space="0" w:color="auto"/>
          </w:divBdr>
        </w:div>
        <w:div w:id="1141385152">
          <w:marLeft w:val="0"/>
          <w:marRight w:val="0"/>
          <w:marTop w:val="0"/>
          <w:marBottom w:val="0"/>
          <w:divBdr>
            <w:top w:val="none" w:sz="0" w:space="0" w:color="auto"/>
            <w:left w:val="none" w:sz="0" w:space="0" w:color="auto"/>
            <w:bottom w:val="none" w:sz="0" w:space="0" w:color="auto"/>
            <w:right w:val="none" w:sz="0" w:space="0" w:color="auto"/>
          </w:divBdr>
        </w:div>
        <w:div w:id="95559120">
          <w:marLeft w:val="0"/>
          <w:marRight w:val="0"/>
          <w:marTop w:val="0"/>
          <w:marBottom w:val="0"/>
          <w:divBdr>
            <w:top w:val="none" w:sz="0" w:space="0" w:color="auto"/>
            <w:left w:val="none" w:sz="0" w:space="0" w:color="auto"/>
            <w:bottom w:val="none" w:sz="0" w:space="0" w:color="auto"/>
            <w:right w:val="none" w:sz="0" w:space="0" w:color="auto"/>
          </w:divBdr>
        </w:div>
        <w:div w:id="1328708234">
          <w:marLeft w:val="0"/>
          <w:marRight w:val="0"/>
          <w:marTop w:val="0"/>
          <w:marBottom w:val="0"/>
          <w:divBdr>
            <w:top w:val="none" w:sz="0" w:space="0" w:color="auto"/>
            <w:left w:val="none" w:sz="0" w:space="0" w:color="auto"/>
            <w:bottom w:val="none" w:sz="0" w:space="0" w:color="auto"/>
            <w:right w:val="none" w:sz="0" w:space="0" w:color="auto"/>
          </w:divBdr>
        </w:div>
        <w:div w:id="993491854">
          <w:marLeft w:val="0"/>
          <w:marRight w:val="0"/>
          <w:marTop w:val="0"/>
          <w:marBottom w:val="0"/>
          <w:divBdr>
            <w:top w:val="none" w:sz="0" w:space="0" w:color="auto"/>
            <w:left w:val="none" w:sz="0" w:space="0" w:color="auto"/>
            <w:bottom w:val="none" w:sz="0" w:space="0" w:color="auto"/>
            <w:right w:val="none" w:sz="0" w:space="0" w:color="auto"/>
          </w:divBdr>
        </w:div>
        <w:div w:id="622922691">
          <w:marLeft w:val="0"/>
          <w:marRight w:val="0"/>
          <w:marTop w:val="0"/>
          <w:marBottom w:val="0"/>
          <w:divBdr>
            <w:top w:val="none" w:sz="0" w:space="0" w:color="auto"/>
            <w:left w:val="none" w:sz="0" w:space="0" w:color="auto"/>
            <w:bottom w:val="none" w:sz="0" w:space="0" w:color="auto"/>
            <w:right w:val="none" w:sz="0" w:space="0" w:color="auto"/>
          </w:divBdr>
        </w:div>
        <w:div w:id="1007369169">
          <w:marLeft w:val="0"/>
          <w:marRight w:val="0"/>
          <w:marTop w:val="0"/>
          <w:marBottom w:val="0"/>
          <w:divBdr>
            <w:top w:val="none" w:sz="0" w:space="0" w:color="auto"/>
            <w:left w:val="none" w:sz="0" w:space="0" w:color="auto"/>
            <w:bottom w:val="none" w:sz="0" w:space="0" w:color="auto"/>
            <w:right w:val="none" w:sz="0" w:space="0" w:color="auto"/>
          </w:divBdr>
        </w:div>
        <w:div w:id="415791467">
          <w:marLeft w:val="0"/>
          <w:marRight w:val="0"/>
          <w:marTop w:val="0"/>
          <w:marBottom w:val="0"/>
          <w:divBdr>
            <w:top w:val="none" w:sz="0" w:space="0" w:color="auto"/>
            <w:left w:val="none" w:sz="0" w:space="0" w:color="auto"/>
            <w:bottom w:val="none" w:sz="0" w:space="0" w:color="auto"/>
            <w:right w:val="none" w:sz="0" w:space="0" w:color="auto"/>
          </w:divBdr>
          <w:divsChild>
            <w:div w:id="1208640997">
              <w:marLeft w:val="0"/>
              <w:marRight w:val="360"/>
              <w:marTop w:val="0"/>
              <w:marBottom w:val="0"/>
              <w:divBdr>
                <w:top w:val="none" w:sz="0" w:space="0" w:color="auto"/>
                <w:left w:val="none" w:sz="0" w:space="0" w:color="auto"/>
                <w:bottom w:val="none" w:sz="0" w:space="0" w:color="auto"/>
                <w:right w:val="none" w:sz="0" w:space="0" w:color="auto"/>
              </w:divBdr>
            </w:div>
          </w:divsChild>
        </w:div>
        <w:div w:id="912277505">
          <w:marLeft w:val="0"/>
          <w:marRight w:val="0"/>
          <w:marTop w:val="0"/>
          <w:marBottom w:val="0"/>
          <w:divBdr>
            <w:top w:val="none" w:sz="0" w:space="0" w:color="auto"/>
            <w:left w:val="none" w:sz="0" w:space="0" w:color="auto"/>
            <w:bottom w:val="none" w:sz="0" w:space="0" w:color="auto"/>
            <w:right w:val="none" w:sz="0" w:space="0" w:color="auto"/>
          </w:divBdr>
        </w:div>
        <w:div w:id="2081055384">
          <w:marLeft w:val="0"/>
          <w:marRight w:val="0"/>
          <w:marTop w:val="0"/>
          <w:marBottom w:val="0"/>
          <w:divBdr>
            <w:top w:val="none" w:sz="0" w:space="0" w:color="auto"/>
            <w:left w:val="none" w:sz="0" w:space="0" w:color="auto"/>
            <w:bottom w:val="none" w:sz="0" w:space="0" w:color="auto"/>
            <w:right w:val="none" w:sz="0" w:space="0" w:color="auto"/>
          </w:divBdr>
        </w:div>
        <w:div w:id="395512560">
          <w:marLeft w:val="0"/>
          <w:marRight w:val="0"/>
          <w:marTop w:val="0"/>
          <w:marBottom w:val="0"/>
          <w:divBdr>
            <w:top w:val="none" w:sz="0" w:space="0" w:color="auto"/>
            <w:left w:val="none" w:sz="0" w:space="0" w:color="auto"/>
            <w:bottom w:val="none" w:sz="0" w:space="0" w:color="auto"/>
            <w:right w:val="none" w:sz="0" w:space="0" w:color="auto"/>
          </w:divBdr>
          <w:divsChild>
            <w:div w:id="266892403">
              <w:marLeft w:val="0"/>
              <w:marRight w:val="360"/>
              <w:marTop w:val="0"/>
              <w:marBottom w:val="0"/>
              <w:divBdr>
                <w:top w:val="none" w:sz="0" w:space="0" w:color="auto"/>
                <w:left w:val="none" w:sz="0" w:space="0" w:color="auto"/>
                <w:bottom w:val="none" w:sz="0" w:space="0" w:color="auto"/>
                <w:right w:val="none" w:sz="0" w:space="0" w:color="auto"/>
              </w:divBdr>
            </w:div>
          </w:divsChild>
        </w:div>
        <w:div w:id="494732760">
          <w:marLeft w:val="0"/>
          <w:marRight w:val="0"/>
          <w:marTop w:val="0"/>
          <w:marBottom w:val="0"/>
          <w:divBdr>
            <w:top w:val="none" w:sz="0" w:space="0" w:color="auto"/>
            <w:left w:val="none" w:sz="0" w:space="0" w:color="auto"/>
            <w:bottom w:val="none" w:sz="0" w:space="0" w:color="auto"/>
            <w:right w:val="none" w:sz="0" w:space="0" w:color="auto"/>
          </w:divBdr>
        </w:div>
        <w:div w:id="740368400">
          <w:marLeft w:val="0"/>
          <w:marRight w:val="0"/>
          <w:marTop w:val="0"/>
          <w:marBottom w:val="0"/>
          <w:divBdr>
            <w:top w:val="none" w:sz="0" w:space="0" w:color="auto"/>
            <w:left w:val="none" w:sz="0" w:space="0" w:color="auto"/>
            <w:bottom w:val="none" w:sz="0" w:space="0" w:color="auto"/>
            <w:right w:val="none" w:sz="0" w:space="0" w:color="auto"/>
          </w:divBdr>
        </w:div>
        <w:div w:id="355430953">
          <w:marLeft w:val="0"/>
          <w:marRight w:val="0"/>
          <w:marTop w:val="0"/>
          <w:marBottom w:val="0"/>
          <w:divBdr>
            <w:top w:val="none" w:sz="0" w:space="0" w:color="auto"/>
            <w:left w:val="none" w:sz="0" w:space="0" w:color="auto"/>
            <w:bottom w:val="none" w:sz="0" w:space="0" w:color="auto"/>
            <w:right w:val="none" w:sz="0" w:space="0" w:color="auto"/>
          </w:divBdr>
        </w:div>
        <w:div w:id="721487802">
          <w:marLeft w:val="0"/>
          <w:marRight w:val="0"/>
          <w:marTop w:val="0"/>
          <w:marBottom w:val="0"/>
          <w:divBdr>
            <w:top w:val="none" w:sz="0" w:space="0" w:color="auto"/>
            <w:left w:val="none" w:sz="0" w:space="0" w:color="auto"/>
            <w:bottom w:val="none" w:sz="0" w:space="0" w:color="auto"/>
            <w:right w:val="none" w:sz="0" w:space="0" w:color="auto"/>
          </w:divBdr>
        </w:div>
        <w:div w:id="1903521292">
          <w:marLeft w:val="0"/>
          <w:marRight w:val="0"/>
          <w:marTop w:val="0"/>
          <w:marBottom w:val="0"/>
          <w:divBdr>
            <w:top w:val="none" w:sz="0" w:space="0" w:color="auto"/>
            <w:left w:val="none" w:sz="0" w:space="0" w:color="auto"/>
            <w:bottom w:val="none" w:sz="0" w:space="0" w:color="auto"/>
            <w:right w:val="none" w:sz="0" w:space="0" w:color="auto"/>
          </w:divBdr>
        </w:div>
        <w:div w:id="1528327320">
          <w:marLeft w:val="0"/>
          <w:marRight w:val="0"/>
          <w:marTop w:val="0"/>
          <w:marBottom w:val="0"/>
          <w:divBdr>
            <w:top w:val="none" w:sz="0" w:space="0" w:color="auto"/>
            <w:left w:val="none" w:sz="0" w:space="0" w:color="auto"/>
            <w:bottom w:val="none" w:sz="0" w:space="0" w:color="auto"/>
            <w:right w:val="none" w:sz="0" w:space="0" w:color="auto"/>
          </w:divBdr>
          <w:divsChild>
            <w:div w:id="1926914394">
              <w:marLeft w:val="0"/>
              <w:marRight w:val="360"/>
              <w:marTop w:val="0"/>
              <w:marBottom w:val="0"/>
              <w:divBdr>
                <w:top w:val="none" w:sz="0" w:space="0" w:color="auto"/>
                <w:left w:val="none" w:sz="0" w:space="0" w:color="auto"/>
                <w:bottom w:val="none" w:sz="0" w:space="0" w:color="auto"/>
                <w:right w:val="none" w:sz="0" w:space="0" w:color="auto"/>
              </w:divBdr>
            </w:div>
          </w:divsChild>
        </w:div>
        <w:div w:id="983267792">
          <w:marLeft w:val="0"/>
          <w:marRight w:val="0"/>
          <w:marTop w:val="0"/>
          <w:marBottom w:val="0"/>
          <w:divBdr>
            <w:top w:val="none" w:sz="0" w:space="0" w:color="auto"/>
            <w:left w:val="none" w:sz="0" w:space="0" w:color="auto"/>
            <w:bottom w:val="none" w:sz="0" w:space="0" w:color="auto"/>
            <w:right w:val="none" w:sz="0" w:space="0" w:color="auto"/>
          </w:divBdr>
        </w:div>
        <w:div w:id="1587573311">
          <w:marLeft w:val="0"/>
          <w:marRight w:val="0"/>
          <w:marTop w:val="0"/>
          <w:marBottom w:val="0"/>
          <w:divBdr>
            <w:top w:val="none" w:sz="0" w:space="0" w:color="auto"/>
            <w:left w:val="none" w:sz="0" w:space="0" w:color="auto"/>
            <w:bottom w:val="none" w:sz="0" w:space="0" w:color="auto"/>
            <w:right w:val="none" w:sz="0" w:space="0" w:color="auto"/>
          </w:divBdr>
        </w:div>
        <w:div w:id="2065251248">
          <w:marLeft w:val="0"/>
          <w:marRight w:val="0"/>
          <w:marTop w:val="0"/>
          <w:marBottom w:val="0"/>
          <w:divBdr>
            <w:top w:val="none" w:sz="0" w:space="0" w:color="auto"/>
            <w:left w:val="none" w:sz="0" w:space="0" w:color="auto"/>
            <w:bottom w:val="none" w:sz="0" w:space="0" w:color="auto"/>
            <w:right w:val="none" w:sz="0" w:space="0" w:color="auto"/>
          </w:divBdr>
          <w:divsChild>
            <w:div w:id="258953798">
              <w:marLeft w:val="0"/>
              <w:marRight w:val="360"/>
              <w:marTop w:val="0"/>
              <w:marBottom w:val="0"/>
              <w:divBdr>
                <w:top w:val="none" w:sz="0" w:space="0" w:color="auto"/>
                <w:left w:val="none" w:sz="0" w:space="0" w:color="auto"/>
                <w:bottom w:val="none" w:sz="0" w:space="0" w:color="auto"/>
                <w:right w:val="none" w:sz="0" w:space="0" w:color="auto"/>
              </w:divBdr>
            </w:div>
          </w:divsChild>
        </w:div>
        <w:div w:id="1611427062">
          <w:marLeft w:val="0"/>
          <w:marRight w:val="0"/>
          <w:marTop w:val="0"/>
          <w:marBottom w:val="0"/>
          <w:divBdr>
            <w:top w:val="none" w:sz="0" w:space="0" w:color="auto"/>
            <w:left w:val="none" w:sz="0" w:space="0" w:color="auto"/>
            <w:bottom w:val="none" w:sz="0" w:space="0" w:color="auto"/>
            <w:right w:val="none" w:sz="0" w:space="0" w:color="auto"/>
          </w:divBdr>
        </w:div>
        <w:div w:id="1414471274">
          <w:marLeft w:val="0"/>
          <w:marRight w:val="0"/>
          <w:marTop w:val="0"/>
          <w:marBottom w:val="0"/>
          <w:divBdr>
            <w:top w:val="none" w:sz="0" w:space="0" w:color="auto"/>
            <w:left w:val="none" w:sz="0" w:space="0" w:color="auto"/>
            <w:bottom w:val="none" w:sz="0" w:space="0" w:color="auto"/>
            <w:right w:val="none" w:sz="0" w:space="0" w:color="auto"/>
          </w:divBdr>
        </w:div>
        <w:div w:id="1514489700">
          <w:marLeft w:val="0"/>
          <w:marRight w:val="0"/>
          <w:marTop w:val="0"/>
          <w:marBottom w:val="0"/>
          <w:divBdr>
            <w:top w:val="none" w:sz="0" w:space="0" w:color="auto"/>
            <w:left w:val="none" w:sz="0" w:space="0" w:color="auto"/>
            <w:bottom w:val="none" w:sz="0" w:space="0" w:color="auto"/>
            <w:right w:val="none" w:sz="0" w:space="0" w:color="auto"/>
          </w:divBdr>
        </w:div>
        <w:div w:id="1372339092">
          <w:marLeft w:val="0"/>
          <w:marRight w:val="0"/>
          <w:marTop w:val="0"/>
          <w:marBottom w:val="0"/>
          <w:divBdr>
            <w:top w:val="none" w:sz="0" w:space="0" w:color="auto"/>
            <w:left w:val="none" w:sz="0" w:space="0" w:color="auto"/>
            <w:bottom w:val="none" w:sz="0" w:space="0" w:color="auto"/>
            <w:right w:val="none" w:sz="0" w:space="0" w:color="auto"/>
          </w:divBdr>
        </w:div>
        <w:div w:id="829907961">
          <w:marLeft w:val="0"/>
          <w:marRight w:val="0"/>
          <w:marTop w:val="0"/>
          <w:marBottom w:val="0"/>
          <w:divBdr>
            <w:top w:val="none" w:sz="0" w:space="0" w:color="auto"/>
            <w:left w:val="none" w:sz="0" w:space="0" w:color="auto"/>
            <w:bottom w:val="none" w:sz="0" w:space="0" w:color="auto"/>
            <w:right w:val="none" w:sz="0" w:space="0" w:color="auto"/>
          </w:divBdr>
        </w:div>
        <w:div w:id="641009822">
          <w:marLeft w:val="0"/>
          <w:marRight w:val="0"/>
          <w:marTop w:val="0"/>
          <w:marBottom w:val="0"/>
          <w:divBdr>
            <w:top w:val="none" w:sz="0" w:space="0" w:color="auto"/>
            <w:left w:val="none" w:sz="0" w:space="0" w:color="auto"/>
            <w:bottom w:val="none" w:sz="0" w:space="0" w:color="auto"/>
            <w:right w:val="none" w:sz="0" w:space="0" w:color="auto"/>
          </w:divBdr>
          <w:divsChild>
            <w:div w:id="1630434293">
              <w:marLeft w:val="0"/>
              <w:marRight w:val="360"/>
              <w:marTop w:val="0"/>
              <w:marBottom w:val="0"/>
              <w:divBdr>
                <w:top w:val="none" w:sz="0" w:space="0" w:color="auto"/>
                <w:left w:val="none" w:sz="0" w:space="0" w:color="auto"/>
                <w:bottom w:val="none" w:sz="0" w:space="0" w:color="auto"/>
                <w:right w:val="none" w:sz="0" w:space="0" w:color="auto"/>
              </w:divBdr>
            </w:div>
          </w:divsChild>
        </w:div>
        <w:div w:id="316420564">
          <w:marLeft w:val="0"/>
          <w:marRight w:val="0"/>
          <w:marTop w:val="0"/>
          <w:marBottom w:val="0"/>
          <w:divBdr>
            <w:top w:val="none" w:sz="0" w:space="0" w:color="auto"/>
            <w:left w:val="none" w:sz="0" w:space="0" w:color="auto"/>
            <w:bottom w:val="none" w:sz="0" w:space="0" w:color="auto"/>
            <w:right w:val="none" w:sz="0" w:space="0" w:color="auto"/>
          </w:divBdr>
        </w:div>
        <w:div w:id="572084625">
          <w:marLeft w:val="0"/>
          <w:marRight w:val="0"/>
          <w:marTop w:val="0"/>
          <w:marBottom w:val="0"/>
          <w:divBdr>
            <w:top w:val="none" w:sz="0" w:space="0" w:color="auto"/>
            <w:left w:val="none" w:sz="0" w:space="0" w:color="auto"/>
            <w:bottom w:val="none" w:sz="0" w:space="0" w:color="auto"/>
            <w:right w:val="none" w:sz="0" w:space="0" w:color="auto"/>
          </w:divBdr>
        </w:div>
        <w:div w:id="1285772757">
          <w:marLeft w:val="0"/>
          <w:marRight w:val="0"/>
          <w:marTop w:val="0"/>
          <w:marBottom w:val="0"/>
          <w:divBdr>
            <w:top w:val="none" w:sz="0" w:space="0" w:color="auto"/>
            <w:left w:val="none" w:sz="0" w:space="0" w:color="auto"/>
            <w:bottom w:val="none" w:sz="0" w:space="0" w:color="auto"/>
            <w:right w:val="none" w:sz="0" w:space="0" w:color="auto"/>
          </w:divBdr>
        </w:div>
        <w:div w:id="11034131">
          <w:marLeft w:val="0"/>
          <w:marRight w:val="0"/>
          <w:marTop w:val="0"/>
          <w:marBottom w:val="0"/>
          <w:divBdr>
            <w:top w:val="none" w:sz="0" w:space="0" w:color="auto"/>
            <w:left w:val="none" w:sz="0" w:space="0" w:color="auto"/>
            <w:bottom w:val="none" w:sz="0" w:space="0" w:color="auto"/>
            <w:right w:val="none" w:sz="0" w:space="0" w:color="auto"/>
          </w:divBdr>
        </w:div>
        <w:div w:id="448738564">
          <w:marLeft w:val="0"/>
          <w:marRight w:val="0"/>
          <w:marTop w:val="0"/>
          <w:marBottom w:val="0"/>
          <w:divBdr>
            <w:top w:val="none" w:sz="0" w:space="0" w:color="auto"/>
            <w:left w:val="none" w:sz="0" w:space="0" w:color="auto"/>
            <w:bottom w:val="none" w:sz="0" w:space="0" w:color="auto"/>
            <w:right w:val="none" w:sz="0" w:space="0" w:color="auto"/>
          </w:divBdr>
        </w:div>
        <w:div w:id="1662267208">
          <w:marLeft w:val="0"/>
          <w:marRight w:val="0"/>
          <w:marTop w:val="0"/>
          <w:marBottom w:val="0"/>
          <w:divBdr>
            <w:top w:val="none" w:sz="0" w:space="0" w:color="auto"/>
            <w:left w:val="none" w:sz="0" w:space="0" w:color="auto"/>
            <w:bottom w:val="none" w:sz="0" w:space="0" w:color="auto"/>
            <w:right w:val="none" w:sz="0" w:space="0" w:color="auto"/>
          </w:divBdr>
        </w:div>
        <w:div w:id="1717200442">
          <w:marLeft w:val="0"/>
          <w:marRight w:val="0"/>
          <w:marTop w:val="0"/>
          <w:marBottom w:val="0"/>
          <w:divBdr>
            <w:top w:val="none" w:sz="0" w:space="0" w:color="auto"/>
            <w:left w:val="none" w:sz="0" w:space="0" w:color="auto"/>
            <w:bottom w:val="none" w:sz="0" w:space="0" w:color="auto"/>
            <w:right w:val="none" w:sz="0" w:space="0" w:color="auto"/>
          </w:divBdr>
        </w:div>
        <w:div w:id="1985814768">
          <w:marLeft w:val="0"/>
          <w:marRight w:val="0"/>
          <w:marTop w:val="0"/>
          <w:marBottom w:val="0"/>
          <w:divBdr>
            <w:top w:val="none" w:sz="0" w:space="0" w:color="auto"/>
            <w:left w:val="none" w:sz="0" w:space="0" w:color="auto"/>
            <w:bottom w:val="none" w:sz="0" w:space="0" w:color="auto"/>
            <w:right w:val="none" w:sz="0" w:space="0" w:color="auto"/>
          </w:divBdr>
        </w:div>
        <w:div w:id="452020468">
          <w:marLeft w:val="0"/>
          <w:marRight w:val="0"/>
          <w:marTop w:val="0"/>
          <w:marBottom w:val="0"/>
          <w:divBdr>
            <w:top w:val="none" w:sz="0" w:space="0" w:color="auto"/>
            <w:left w:val="none" w:sz="0" w:space="0" w:color="auto"/>
            <w:bottom w:val="none" w:sz="0" w:space="0" w:color="auto"/>
            <w:right w:val="none" w:sz="0" w:space="0" w:color="auto"/>
          </w:divBdr>
        </w:div>
        <w:div w:id="1457719325">
          <w:marLeft w:val="0"/>
          <w:marRight w:val="0"/>
          <w:marTop w:val="0"/>
          <w:marBottom w:val="0"/>
          <w:divBdr>
            <w:top w:val="none" w:sz="0" w:space="0" w:color="auto"/>
            <w:left w:val="none" w:sz="0" w:space="0" w:color="auto"/>
            <w:bottom w:val="none" w:sz="0" w:space="0" w:color="auto"/>
            <w:right w:val="none" w:sz="0" w:space="0" w:color="auto"/>
          </w:divBdr>
        </w:div>
        <w:div w:id="1267688448">
          <w:marLeft w:val="0"/>
          <w:marRight w:val="0"/>
          <w:marTop w:val="0"/>
          <w:marBottom w:val="0"/>
          <w:divBdr>
            <w:top w:val="none" w:sz="0" w:space="0" w:color="auto"/>
            <w:left w:val="none" w:sz="0" w:space="0" w:color="auto"/>
            <w:bottom w:val="none" w:sz="0" w:space="0" w:color="auto"/>
            <w:right w:val="none" w:sz="0" w:space="0" w:color="auto"/>
          </w:divBdr>
        </w:div>
        <w:div w:id="109401099">
          <w:marLeft w:val="0"/>
          <w:marRight w:val="0"/>
          <w:marTop w:val="0"/>
          <w:marBottom w:val="0"/>
          <w:divBdr>
            <w:top w:val="none" w:sz="0" w:space="0" w:color="auto"/>
            <w:left w:val="none" w:sz="0" w:space="0" w:color="auto"/>
            <w:bottom w:val="none" w:sz="0" w:space="0" w:color="auto"/>
            <w:right w:val="none" w:sz="0" w:space="0" w:color="auto"/>
          </w:divBdr>
        </w:div>
        <w:div w:id="1025062280">
          <w:marLeft w:val="0"/>
          <w:marRight w:val="0"/>
          <w:marTop w:val="0"/>
          <w:marBottom w:val="0"/>
          <w:divBdr>
            <w:top w:val="none" w:sz="0" w:space="0" w:color="auto"/>
            <w:left w:val="none" w:sz="0" w:space="0" w:color="auto"/>
            <w:bottom w:val="none" w:sz="0" w:space="0" w:color="auto"/>
            <w:right w:val="none" w:sz="0" w:space="0" w:color="auto"/>
          </w:divBdr>
        </w:div>
        <w:div w:id="867525568">
          <w:marLeft w:val="0"/>
          <w:marRight w:val="0"/>
          <w:marTop w:val="0"/>
          <w:marBottom w:val="0"/>
          <w:divBdr>
            <w:top w:val="none" w:sz="0" w:space="0" w:color="auto"/>
            <w:left w:val="none" w:sz="0" w:space="0" w:color="auto"/>
            <w:bottom w:val="none" w:sz="0" w:space="0" w:color="auto"/>
            <w:right w:val="none" w:sz="0" w:space="0" w:color="auto"/>
          </w:divBdr>
        </w:div>
        <w:div w:id="349575555">
          <w:marLeft w:val="0"/>
          <w:marRight w:val="0"/>
          <w:marTop w:val="0"/>
          <w:marBottom w:val="0"/>
          <w:divBdr>
            <w:top w:val="none" w:sz="0" w:space="0" w:color="auto"/>
            <w:left w:val="none" w:sz="0" w:space="0" w:color="auto"/>
            <w:bottom w:val="none" w:sz="0" w:space="0" w:color="auto"/>
            <w:right w:val="none" w:sz="0" w:space="0" w:color="auto"/>
          </w:divBdr>
          <w:divsChild>
            <w:div w:id="1421487534">
              <w:marLeft w:val="0"/>
              <w:marRight w:val="360"/>
              <w:marTop w:val="0"/>
              <w:marBottom w:val="0"/>
              <w:divBdr>
                <w:top w:val="none" w:sz="0" w:space="0" w:color="auto"/>
                <w:left w:val="none" w:sz="0" w:space="0" w:color="auto"/>
                <w:bottom w:val="none" w:sz="0" w:space="0" w:color="auto"/>
                <w:right w:val="none" w:sz="0" w:space="0" w:color="auto"/>
              </w:divBdr>
            </w:div>
          </w:divsChild>
        </w:div>
        <w:div w:id="1496533306">
          <w:marLeft w:val="0"/>
          <w:marRight w:val="0"/>
          <w:marTop w:val="0"/>
          <w:marBottom w:val="0"/>
          <w:divBdr>
            <w:top w:val="none" w:sz="0" w:space="0" w:color="auto"/>
            <w:left w:val="none" w:sz="0" w:space="0" w:color="auto"/>
            <w:bottom w:val="none" w:sz="0" w:space="0" w:color="auto"/>
            <w:right w:val="none" w:sz="0" w:space="0" w:color="auto"/>
          </w:divBdr>
        </w:div>
        <w:div w:id="1646161358">
          <w:marLeft w:val="0"/>
          <w:marRight w:val="0"/>
          <w:marTop w:val="0"/>
          <w:marBottom w:val="0"/>
          <w:divBdr>
            <w:top w:val="none" w:sz="0" w:space="0" w:color="auto"/>
            <w:left w:val="none" w:sz="0" w:space="0" w:color="auto"/>
            <w:bottom w:val="none" w:sz="0" w:space="0" w:color="auto"/>
            <w:right w:val="none" w:sz="0" w:space="0" w:color="auto"/>
          </w:divBdr>
        </w:div>
        <w:div w:id="836727342">
          <w:marLeft w:val="0"/>
          <w:marRight w:val="0"/>
          <w:marTop w:val="0"/>
          <w:marBottom w:val="0"/>
          <w:divBdr>
            <w:top w:val="none" w:sz="0" w:space="0" w:color="auto"/>
            <w:left w:val="none" w:sz="0" w:space="0" w:color="auto"/>
            <w:bottom w:val="none" w:sz="0" w:space="0" w:color="auto"/>
            <w:right w:val="none" w:sz="0" w:space="0" w:color="auto"/>
          </w:divBdr>
          <w:divsChild>
            <w:div w:id="287469013">
              <w:marLeft w:val="0"/>
              <w:marRight w:val="360"/>
              <w:marTop w:val="0"/>
              <w:marBottom w:val="0"/>
              <w:divBdr>
                <w:top w:val="none" w:sz="0" w:space="0" w:color="auto"/>
                <w:left w:val="none" w:sz="0" w:space="0" w:color="auto"/>
                <w:bottom w:val="none" w:sz="0" w:space="0" w:color="auto"/>
                <w:right w:val="none" w:sz="0" w:space="0" w:color="auto"/>
              </w:divBdr>
            </w:div>
          </w:divsChild>
        </w:div>
        <w:div w:id="2041122397">
          <w:marLeft w:val="0"/>
          <w:marRight w:val="0"/>
          <w:marTop w:val="0"/>
          <w:marBottom w:val="0"/>
          <w:divBdr>
            <w:top w:val="none" w:sz="0" w:space="0" w:color="auto"/>
            <w:left w:val="none" w:sz="0" w:space="0" w:color="auto"/>
            <w:bottom w:val="none" w:sz="0" w:space="0" w:color="auto"/>
            <w:right w:val="none" w:sz="0" w:space="0" w:color="auto"/>
          </w:divBdr>
        </w:div>
        <w:div w:id="555093480">
          <w:marLeft w:val="0"/>
          <w:marRight w:val="0"/>
          <w:marTop w:val="0"/>
          <w:marBottom w:val="0"/>
          <w:divBdr>
            <w:top w:val="none" w:sz="0" w:space="0" w:color="auto"/>
            <w:left w:val="none" w:sz="0" w:space="0" w:color="auto"/>
            <w:bottom w:val="none" w:sz="0" w:space="0" w:color="auto"/>
            <w:right w:val="none" w:sz="0" w:space="0" w:color="auto"/>
          </w:divBdr>
        </w:div>
        <w:div w:id="257447672">
          <w:marLeft w:val="0"/>
          <w:marRight w:val="0"/>
          <w:marTop w:val="0"/>
          <w:marBottom w:val="0"/>
          <w:divBdr>
            <w:top w:val="none" w:sz="0" w:space="0" w:color="auto"/>
            <w:left w:val="none" w:sz="0" w:space="0" w:color="auto"/>
            <w:bottom w:val="none" w:sz="0" w:space="0" w:color="auto"/>
            <w:right w:val="none" w:sz="0" w:space="0" w:color="auto"/>
          </w:divBdr>
        </w:div>
        <w:div w:id="217277882">
          <w:marLeft w:val="0"/>
          <w:marRight w:val="0"/>
          <w:marTop w:val="0"/>
          <w:marBottom w:val="0"/>
          <w:divBdr>
            <w:top w:val="none" w:sz="0" w:space="0" w:color="auto"/>
            <w:left w:val="none" w:sz="0" w:space="0" w:color="auto"/>
            <w:bottom w:val="none" w:sz="0" w:space="0" w:color="auto"/>
            <w:right w:val="none" w:sz="0" w:space="0" w:color="auto"/>
          </w:divBdr>
        </w:div>
        <w:div w:id="839151845">
          <w:marLeft w:val="0"/>
          <w:marRight w:val="0"/>
          <w:marTop w:val="0"/>
          <w:marBottom w:val="0"/>
          <w:divBdr>
            <w:top w:val="none" w:sz="0" w:space="0" w:color="auto"/>
            <w:left w:val="none" w:sz="0" w:space="0" w:color="auto"/>
            <w:bottom w:val="none" w:sz="0" w:space="0" w:color="auto"/>
            <w:right w:val="none" w:sz="0" w:space="0" w:color="auto"/>
          </w:divBdr>
        </w:div>
        <w:div w:id="526023631">
          <w:marLeft w:val="0"/>
          <w:marRight w:val="0"/>
          <w:marTop w:val="0"/>
          <w:marBottom w:val="0"/>
          <w:divBdr>
            <w:top w:val="none" w:sz="0" w:space="0" w:color="auto"/>
            <w:left w:val="none" w:sz="0" w:space="0" w:color="auto"/>
            <w:bottom w:val="none" w:sz="0" w:space="0" w:color="auto"/>
            <w:right w:val="none" w:sz="0" w:space="0" w:color="auto"/>
          </w:divBdr>
        </w:div>
        <w:div w:id="1801459546">
          <w:marLeft w:val="0"/>
          <w:marRight w:val="0"/>
          <w:marTop w:val="0"/>
          <w:marBottom w:val="0"/>
          <w:divBdr>
            <w:top w:val="none" w:sz="0" w:space="0" w:color="auto"/>
            <w:left w:val="none" w:sz="0" w:space="0" w:color="auto"/>
            <w:bottom w:val="none" w:sz="0" w:space="0" w:color="auto"/>
            <w:right w:val="none" w:sz="0" w:space="0" w:color="auto"/>
          </w:divBdr>
        </w:div>
        <w:div w:id="1566990678">
          <w:marLeft w:val="0"/>
          <w:marRight w:val="0"/>
          <w:marTop w:val="0"/>
          <w:marBottom w:val="0"/>
          <w:divBdr>
            <w:top w:val="none" w:sz="0" w:space="0" w:color="auto"/>
            <w:left w:val="none" w:sz="0" w:space="0" w:color="auto"/>
            <w:bottom w:val="none" w:sz="0" w:space="0" w:color="auto"/>
            <w:right w:val="none" w:sz="0" w:space="0" w:color="auto"/>
          </w:divBdr>
        </w:div>
        <w:div w:id="883642167">
          <w:marLeft w:val="0"/>
          <w:marRight w:val="0"/>
          <w:marTop w:val="0"/>
          <w:marBottom w:val="0"/>
          <w:divBdr>
            <w:top w:val="none" w:sz="0" w:space="0" w:color="auto"/>
            <w:left w:val="none" w:sz="0" w:space="0" w:color="auto"/>
            <w:bottom w:val="none" w:sz="0" w:space="0" w:color="auto"/>
            <w:right w:val="none" w:sz="0" w:space="0" w:color="auto"/>
          </w:divBdr>
        </w:div>
        <w:div w:id="516777152">
          <w:marLeft w:val="0"/>
          <w:marRight w:val="0"/>
          <w:marTop w:val="0"/>
          <w:marBottom w:val="0"/>
          <w:divBdr>
            <w:top w:val="none" w:sz="0" w:space="0" w:color="auto"/>
            <w:left w:val="none" w:sz="0" w:space="0" w:color="auto"/>
            <w:bottom w:val="none" w:sz="0" w:space="0" w:color="auto"/>
            <w:right w:val="none" w:sz="0" w:space="0" w:color="auto"/>
          </w:divBdr>
        </w:div>
        <w:div w:id="1375235593">
          <w:marLeft w:val="0"/>
          <w:marRight w:val="0"/>
          <w:marTop w:val="0"/>
          <w:marBottom w:val="0"/>
          <w:divBdr>
            <w:top w:val="none" w:sz="0" w:space="0" w:color="auto"/>
            <w:left w:val="none" w:sz="0" w:space="0" w:color="auto"/>
            <w:bottom w:val="none" w:sz="0" w:space="0" w:color="auto"/>
            <w:right w:val="none" w:sz="0" w:space="0" w:color="auto"/>
          </w:divBdr>
        </w:div>
        <w:div w:id="236091278">
          <w:marLeft w:val="0"/>
          <w:marRight w:val="0"/>
          <w:marTop w:val="0"/>
          <w:marBottom w:val="0"/>
          <w:divBdr>
            <w:top w:val="none" w:sz="0" w:space="0" w:color="auto"/>
            <w:left w:val="none" w:sz="0" w:space="0" w:color="auto"/>
            <w:bottom w:val="none" w:sz="0" w:space="0" w:color="auto"/>
            <w:right w:val="none" w:sz="0" w:space="0" w:color="auto"/>
          </w:divBdr>
          <w:divsChild>
            <w:div w:id="1887522775">
              <w:marLeft w:val="0"/>
              <w:marRight w:val="360"/>
              <w:marTop w:val="0"/>
              <w:marBottom w:val="0"/>
              <w:divBdr>
                <w:top w:val="none" w:sz="0" w:space="0" w:color="auto"/>
                <w:left w:val="none" w:sz="0" w:space="0" w:color="auto"/>
                <w:bottom w:val="none" w:sz="0" w:space="0" w:color="auto"/>
                <w:right w:val="none" w:sz="0" w:space="0" w:color="auto"/>
              </w:divBdr>
            </w:div>
          </w:divsChild>
        </w:div>
        <w:div w:id="1042946768">
          <w:marLeft w:val="0"/>
          <w:marRight w:val="0"/>
          <w:marTop w:val="0"/>
          <w:marBottom w:val="0"/>
          <w:divBdr>
            <w:top w:val="none" w:sz="0" w:space="0" w:color="auto"/>
            <w:left w:val="none" w:sz="0" w:space="0" w:color="auto"/>
            <w:bottom w:val="none" w:sz="0" w:space="0" w:color="auto"/>
            <w:right w:val="none" w:sz="0" w:space="0" w:color="auto"/>
          </w:divBdr>
        </w:div>
        <w:div w:id="890504065">
          <w:marLeft w:val="0"/>
          <w:marRight w:val="0"/>
          <w:marTop w:val="0"/>
          <w:marBottom w:val="0"/>
          <w:divBdr>
            <w:top w:val="none" w:sz="0" w:space="0" w:color="auto"/>
            <w:left w:val="none" w:sz="0" w:space="0" w:color="auto"/>
            <w:bottom w:val="none" w:sz="0" w:space="0" w:color="auto"/>
            <w:right w:val="none" w:sz="0" w:space="0" w:color="auto"/>
          </w:divBdr>
        </w:div>
        <w:div w:id="1027409941">
          <w:marLeft w:val="0"/>
          <w:marRight w:val="0"/>
          <w:marTop w:val="0"/>
          <w:marBottom w:val="0"/>
          <w:divBdr>
            <w:top w:val="none" w:sz="0" w:space="0" w:color="auto"/>
            <w:left w:val="none" w:sz="0" w:space="0" w:color="auto"/>
            <w:bottom w:val="none" w:sz="0" w:space="0" w:color="auto"/>
            <w:right w:val="none" w:sz="0" w:space="0" w:color="auto"/>
          </w:divBdr>
          <w:divsChild>
            <w:div w:id="2073960685">
              <w:marLeft w:val="0"/>
              <w:marRight w:val="360"/>
              <w:marTop w:val="0"/>
              <w:marBottom w:val="0"/>
              <w:divBdr>
                <w:top w:val="none" w:sz="0" w:space="0" w:color="auto"/>
                <w:left w:val="none" w:sz="0" w:space="0" w:color="auto"/>
                <w:bottom w:val="none" w:sz="0" w:space="0" w:color="auto"/>
                <w:right w:val="none" w:sz="0" w:space="0" w:color="auto"/>
              </w:divBdr>
            </w:div>
          </w:divsChild>
        </w:div>
        <w:div w:id="322516306">
          <w:marLeft w:val="0"/>
          <w:marRight w:val="0"/>
          <w:marTop w:val="0"/>
          <w:marBottom w:val="0"/>
          <w:divBdr>
            <w:top w:val="none" w:sz="0" w:space="0" w:color="auto"/>
            <w:left w:val="none" w:sz="0" w:space="0" w:color="auto"/>
            <w:bottom w:val="none" w:sz="0" w:space="0" w:color="auto"/>
            <w:right w:val="none" w:sz="0" w:space="0" w:color="auto"/>
          </w:divBdr>
        </w:div>
        <w:div w:id="429013386">
          <w:marLeft w:val="0"/>
          <w:marRight w:val="0"/>
          <w:marTop w:val="0"/>
          <w:marBottom w:val="0"/>
          <w:divBdr>
            <w:top w:val="none" w:sz="0" w:space="0" w:color="auto"/>
            <w:left w:val="none" w:sz="0" w:space="0" w:color="auto"/>
            <w:bottom w:val="none" w:sz="0" w:space="0" w:color="auto"/>
            <w:right w:val="none" w:sz="0" w:space="0" w:color="auto"/>
          </w:divBdr>
        </w:div>
        <w:div w:id="2048946633">
          <w:marLeft w:val="0"/>
          <w:marRight w:val="0"/>
          <w:marTop w:val="0"/>
          <w:marBottom w:val="0"/>
          <w:divBdr>
            <w:top w:val="none" w:sz="0" w:space="0" w:color="auto"/>
            <w:left w:val="none" w:sz="0" w:space="0" w:color="auto"/>
            <w:bottom w:val="none" w:sz="0" w:space="0" w:color="auto"/>
            <w:right w:val="none" w:sz="0" w:space="0" w:color="auto"/>
          </w:divBdr>
        </w:div>
        <w:div w:id="1740978752">
          <w:marLeft w:val="0"/>
          <w:marRight w:val="0"/>
          <w:marTop w:val="0"/>
          <w:marBottom w:val="0"/>
          <w:divBdr>
            <w:top w:val="none" w:sz="0" w:space="0" w:color="auto"/>
            <w:left w:val="none" w:sz="0" w:space="0" w:color="auto"/>
            <w:bottom w:val="none" w:sz="0" w:space="0" w:color="auto"/>
            <w:right w:val="none" w:sz="0" w:space="0" w:color="auto"/>
          </w:divBdr>
        </w:div>
        <w:div w:id="1279946096">
          <w:marLeft w:val="0"/>
          <w:marRight w:val="0"/>
          <w:marTop w:val="0"/>
          <w:marBottom w:val="0"/>
          <w:divBdr>
            <w:top w:val="none" w:sz="0" w:space="0" w:color="auto"/>
            <w:left w:val="none" w:sz="0" w:space="0" w:color="auto"/>
            <w:bottom w:val="none" w:sz="0" w:space="0" w:color="auto"/>
            <w:right w:val="none" w:sz="0" w:space="0" w:color="auto"/>
          </w:divBdr>
        </w:div>
        <w:div w:id="370034704">
          <w:marLeft w:val="0"/>
          <w:marRight w:val="0"/>
          <w:marTop w:val="0"/>
          <w:marBottom w:val="0"/>
          <w:divBdr>
            <w:top w:val="none" w:sz="0" w:space="0" w:color="auto"/>
            <w:left w:val="none" w:sz="0" w:space="0" w:color="auto"/>
            <w:bottom w:val="none" w:sz="0" w:space="0" w:color="auto"/>
            <w:right w:val="none" w:sz="0" w:space="0" w:color="auto"/>
          </w:divBdr>
        </w:div>
        <w:div w:id="895166200">
          <w:marLeft w:val="0"/>
          <w:marRight w:val="0"/>
          <w:marTop w:val="0"/>
          <w:marBottom w:val="0"/>
          <w:divBdr>
            <w:top w:val="none" w:sz="0" w:space="0" w:color="auto"/>
            <w:left w:val="none" w:sz="0" w:space="0" w:color="auto"/>
            <w:bottom w:val="none" w:sz="0" w:space="0" w:color="auto"/>
            <w:right w:val="none" w:sz="0" w:space="0" w:color="auto"/>
          </w:divBdr>
        </w:div>
        <w:div w:id="135536942">
          <w:marLeft w:val="0"/>
          <w:marRight w:val="0"/>
          <w:marTop w:val="0"/>
          <w:marBottom w:val="0"/>
          <w:divBdr>
            <w:top w:val="none" w:sz="0" w:space="0" w:color="auto"/>
            <w:left w:val="none" w:sz="0" w:space="0" w:color="auto"/>
            <w:bottom w:val="none" w:sz="0" w:space="0" w:color="auto"/>
            <w:right w:val="none" w:sz="0" w:space="0" w:color="auto"/>
          </w:divBdr>
        </w:div>
        <w:div w:id="1670982650">
          <w:marLeft w:val="0"/>
          <w:marRight w:val="0"/>
          <w:marTop w:val="0"/>
          <w:marBottom w:val="0"/>
          <w:divBdr>
            <w:top w:val="none" w:sz="0" w:space="0" w:color="auto"/>
            <w:left w:val="none" w:sz="0" w:space="0" w:color="auto"/>
            <w:bottom w:val="none" w:sz="0" w:space="0" w:color="auto"/>
            <w:right w:val="none" w:sz="0" w:space="0" w:color="auto"/>
          </w:divBdr>
        </w:div>
        <w:div w:id="565459349">
          <w:marLeft w:val="0"/>
          <w:marRight w:val="0"/>
          <w:marTop w:val="0"/>
          <w:marBottom w:val="0"/>
          <w:divBdr>
            <w:top w:val="none" w:sz="0" w:space="0" w:color="auto"/>
            <w:left w:val="none" w:sz="0" w:space="0" w:color="auto"/>
            <w:bottom w:val="none" w:sz="0" w:space="0" w:color="auto"/>
            <w:right w:val="none" w:sz="0" w:space="0" w:color="auto"/>
          </w:divBdr>
        </w:div>
        <w:div w:id="427893317">
          <w:marLeft w:val="0"/>
          <w:marRight w:val="0"/>
          <w:marTop w:val="0"/>
          <w:marBottom w:val="0"/>
          <w:divBdr>
            <w:top w:val="none" w:sz="0" w:space="0" w:color="auto"/>
            <w:left w:val="none" w:sz="0" w:space="0" w:color="auto"/>
            <w:bottom w:val="none" w:sz="0" w:space="0" w:color="auto"/>
            <w:right w:val="none" w:sz="0" w:space="0" w:color="auto"/>
          </w:divBdr>
        </w:div>
        <w:div w:id="1317108644">
          <w:marLeft w:val="0"/>
          <w:marRight w:val="0"/>
          <w:marTop w:val="0"/>
          <w:marBottom w:val="0"/>
          <w:divBdr>
            <w:top w:val="none" w:sz="0" w:space="0" w:color="auto"/>
            <w:left w:val="none" w:sz="0" w:space="0" w:color="auto"/>
            <w:bottom w:val="none" w:sz="0" w:space="0" w:color="auto"/>
            <w:right w:val="none" w:sz="0" w:space="0" w:color="auto"/>
          </w:divBdr>
        </w:div>
        <w:div w:id="1562784857">
          <w:marLeft w:val="0"/>
          <w:marRight w:val="0"/>
          <w:marTop w:val="0"/>
          <w:marBottom w:val="0"/>
          <w:divBdr>
            <w:top w:val="none" w:sz="0" w:space="0" w:color="auto"/>
            <w:left w:val="none" w:sz="0" w:space="0" w:color="auto"/>
            <w:bottom w:val="none" w:sz="0" w:space="0" w:color="auto"/>
            <w:right w:val="none" w:sz="0" w:space="0" w:color="auto"/>
          </w:divBdr>
        </w:div>
        <w:div w:id="1216237055">
          <w:marLeft w:val="0"/>
          <w:marRight w:val="0"/>
          <w:marTop w:val="0"/>
          <w:marBottom w:val="0"/>
          <w:divBdr>
            <w:top w:val="none" w:sz="0" w:space="0" w:color="auto"/>
            <w:left w:val="none" w:sz="0" w:space="0" w:color="auto"/>
            <w:bottom w:val="none" w:sz="0" w:space="0" w:color="auto"/>
            <w:right w:val="none" w:sz="0" w:space="0" w:color="auto"/>
          </w:divBdr>
        </w:div>
        <w:div w:id="1708870167">
          <w:marLeft w:val="0"/>
          <w:marRight w:val="0"/>
          <w:marTop w:val="0"/>
          <w:marBottom w:val="0"/>
          <w:divBdr>
            <w:top w:val="none" w:sz="0" w:space="0" w:color="auto"/>
            <w:left w:val="none" w:sz="0" w:space="0" w:color="auto"/>
            <w:bottom w:val="none" w:sz="0" w:space="0" w:color="auto"/>
            <w:right w:val="none" w:sz="0" w:space="0" w:color="auto"/>
          </w:divBdr>
          <w:divsChild>
            <w:div w:id="1362436785">
              <w:marLeft w:val="0"/>
              <w:marRight w:val="360"/>
              <w:marTop w:val="0"/>
              <w:marBottom w:val="0"/>
              <w:divBdr>
                <w:top w:val="none" w:sz="0" w:space="0" w:color="auto"/>
                <w:left w:val="none" w:sz="0" w:space="0" w:color="auto"/>
                <w:bottom w:val="none" w:sz="0" w:space="0" w:color="auto"/>
                <w:right w:val="none" w:sz="0" w:space="0" w:color="auto"/>
              </w:divBdr>
            </w:div>
          </w:divsChild>
        </w:div>
        <w:div w:id="1797524248">
          <w:marLeft w:val="0"/>
          <w:marRight w:val="0"/>
          <w:marTop w:val="0"/>
          <w:marBottom w:val="0"/>
          <w:divBdr>
            <w:top w:val="none" w:sz="0" w:space="0" w:color="auto"/>
            <w:left w:val="none" w:sz="0" w:space="0" w:color="auto"/>
            <w:bottom w:val="none" w:sz="0" w:space="0" w:color="auto"/>
            <w:right w:val="none" w:sz="0" w:space="0" w:color="auto"/>
          </w:divBdr>
        </w:div>
        <w:div w:id="399212172">
          <w:marLeft w:val="0"/>
          <w:marRight w:val="0"/>
          <w:marTop w:val="0"/>
          <w:marBottom w:val="0"/>
          <w:divBdr>
            <w:top w:val="none" w:sz="0" w:space="0" w:color="auto"/>
            <w:left w:val="none" w:sz="0" w:space="0" w:color="auto"/>
            <w:bottom w:val="none" w:sz="0" w:space="0" w:color="auto"/>
            <w:right w:val="none" w:sz="0" w:space="0" w:color="auto"/>
          </w:divBdr>
        </w:div>
        <w:div w:id="1891381233">
          <w:marLeft w:val="0"/>
          <w:marRight w:val="0"/>
          <w:marTop w:val="0"/>
          <w:marBottom w:val="0"/>
          <w:divBdr>
            <w:top w:val="none" w:sz="0" w:space="0" w:color="auto"/>
            <w:left w:val="none" w:sz="0" w:space="0" w:color="auto"/>
            <w:bottom w:val="none" w:sz="0" w:space="0" w:color="auto"/>
            <w:right w:val="none" w:sz="0" w:space="0" w:color="auto"/>
          </w:divBdr>
        </w:div>
        <w:div w:id="1291474775">
          <w:marLeft w:val="0"/>
          <w:marRight w:val="0"/>
          <w:marTop w:val="0"/>
          <w:marBottom w:val="0"/>
          <w:divBdr>
            <w:top w:val="none" w:sz="0" w:space="0" w:color="auto"/>
            <w:left w:val="none" w:sz="0" w:space="0" w:color="auto"/>
            <w:bottom w:val="none" w:sz="0" w:space="0" w:color="auto"/>
            <w:right w:val="none" w:sz="0" w:space="0" w:color="auto"/>
          </w:divBdr>
        </w:div>
        <w:div w:id="1355426795">
          <w:marLeft w:val="0"/>
          <w:marRight w:val="0"/>
          <w:marTop w:val="0"/>
          <w:marBottom w:val="0"/>
          <w:divBdr>
            <w:top w:val="none" w:sz="0" w:space="0" w:color="auto"/>
            <w:left w:val="none" w:sz="0" w:space="0" w:color="auto"/>
            <w:bottom w:val="none" w:sz="0" w:space="0" w:color="auto"/>
            <w:right w:val="none" w:sz="0" w:space="0" w:color="auto"/>
          </w:divBdr>
        </w:div>
        <w:div w:id="2028484172">
          <w:marLeft w:val="0"/>
          <w:marRight w:val="0"/>
          <w:marTop w:val="0"/>
          <w:marBottom w:val="0"/>
          <w:divBdr>
            <w:top w:val="none" w:sz="0" w:space="0" w:color="auto"/>
            <w:left w:val="none" w:sz="0" w:space="0" w:color="auto"/>
            <w:bottom w:val="none" w:sz="0" w:space="0" w:color="auto"/>
            <w:right w:val="none" w:sz="0" w:space="0" w:color="auto"/>
          </w:divBdr>
          <w:divsChild>
            <w:div w:id="1723404976">
              <w:marLeft w:val="0"/>
              <w:marRight w:val="360"/>
              <w:marTop w:val="0"/>
              <w:marBottom w:val="0"/>
              <w:divBdr>
                <w:top w:val="none" w:sz="0" w:space="0" w:color="auto"/>
                <w:left w:val="none" w:sz="0" w:space="0" w:color="auto"/>
                <w:bottom w:val="none" w:sz="0" w:space="0" w:color="auto"/>
                <w:right w:val="none" w:sz="0" w:space="0" w:color="auto"/>
              </w:divBdr>
            </w:div>
          </w:divsChild>
        </w:div>
        <w:div w:id="341516429">
          <w:marLeft w:val="0"/>
          <w:marRight w:val="0"/>
          <w:marTop w:val="0"/>
          <w:marBottom w:val="0"/>
          <w:divBdr>
            <w:top w:val="none" w:sz="0" w:space="0" w:color="auto"/>
            <w:left w:val="none" w:sz="0" w:space="0" w:color="auto"/>
            <w:bottom w:val="none" w:sz="0" w:space="0" w:color="auto"/>
            <w:right w:val="none" w:sz="0" w:space="0" w:color="auto"/>
          </w:divBdr>
        </w:div>
        <w:div w:id="1361008102">
          <w:marLeft w:val="0"/>
          <w:marRight w:val="0"/>
          <w:marTop w:val="0"/>
          <w:marBottom w:val="0"/>
          <w:divBdr>
            <w:top w:val="none" w:sz="0" w:space="0" w:color="auto"/>
            <w:left w:val="none" w:sz="0" w:space="0" w:color="auto"/>
            <w:bottom w:val="none" w:sz="0" w:space="0" w:color="auto"/>
            <w:right w:val="none" w:sz="0" w:space="0" w:color="auto"/>
          </w:divBdr>
        </w:div>
        <w:div w:id="1637491147">
          <w:marLeft w:val="0"/>
          <w:marRight w:val="0"/>
          <w:marTop w:val="0"/>
          <w:marBottom w:val="0"/>
          <w:divBdr>
            <w:top w:val="none" w:sz="0" w:space="0" w:color="auto"/>
            <w:left w:val="none" w:sz="0" w:space="0" w:color="auto"/>
            <w:bottom w:val="none" w:sz="0" w:space="0" w:color="auto"/>
            <w:right w:val="none" w:sz="0" w:space="0" w:color="auto"/>
          </w:divBdr>
          <w:divsChild>
            <w:div w:id="2102602797">
              <w:marLeft w:val="0"/>
              <w:marRight w:val="360"/>
              <w:marTop w:val="0"/>
              <w:marBottom w:val="0"/>
              <w:divBdr>
                <w:top w:val="none" w:sz="0" w:space="0" w:color="auto"/>
                <w:left w:val="none" w:sz="0" w:space="0" w:color="auto"/>
                <w:bottom w:val="none" w:sz="0" w:space="0" w:color="auto"/>
                <w:right w:val="none" w:sz="0" w:space="0" w:color="auto"/>
              </w:divBdr>
            </w:div>
          </w:divsChild>
        </w:div>
        <w:div w:id="181553426">
          <w:marLeft w:val="0"/>
          <w:marRight w:val="0"/>
          <w:marTop w:val="0"/>
          <w:marBottom w:val="0"/>
          <w:divBdr>
            <w:top w:val="none" w:sz="0" w:space="0" w:color="auto"/>
            <w:left w:val="none" w:sz="0" w:space="0" w:color="auto"/>
            <w:bottom w:val="none" w:sz="0" w:space="0" w:color="auto"/>
            <w:right w:val="none" w:sz="0" w:space="0" w:color="auto"/>
          </w:divBdr>
        </w:div>
        <w:div w:id="1472862276">
          <w:marLeft w:val="0"/>
          <w:marRight w:val="0"/>
          <w:marTop w:val="0"/>
          <w:marBottom w:val="0"/>
          <w:divBdr>
            <w:top w:val="none" w:sz="0" w:space="0" w:color="auto"/>
            <w:left w:val="none" w:sz="0" w:space="0" w:color="auto"/>
            <w:bottom w:val="none" w:sz="0" w:space="0" w:color="auto"/>
            <w:right w:val="none" w:sz="0" w:space="0" w:color="auto"/>
          </w:divBdr>
        </w:div>
        <w:div w:id="1265190498">
          <w:marLeft w:val="0"/>
          <w:marRight w:val="0"/>
          <w:marTop w:val="0"/>
          <w:marBottom w:val="0"/>
          <w:divBdr>
            <w:top w:val="none" w:sz="0" w:space="0" w:color="auto"/>
            <w:left w:val="none" w:sz="0" w:space="0" w:color="auto"/>
            <w:bottom w:val="none" w:sz="0" w:space="0" w:color="auto"/>
            <w:right w:val="none" w:sz="0" w:space="0" w:color="auto"/>
          </w:divBdr>
          <w:divsChild>
            <w:div w:id="1898928526">
              <w:marLeft w:val="0"/>
              <w:marRight w:val="360"/>
              <w:marTop w:val="0"/>
              <w:marBottom w:val="0"/>
              <w:divBdr>
                <w:top w:val="none" w:sz="0" w:space="0" w:color="auto"/>
                <w:left w:val="none" w:sz="0" w:space="0" w:color="auto"/>
                <w:bottom w:val="none" w:sz="0" w:space="0" w:color="auto"/>
                <w:right w:val="none" w:sz="0" w:space="0" w:color="auto"/>
              </w:divBdr>
            </w:div>
          </w:divsChild>
        </w:div>
        <w:div w:id="1244225086">
          <w:marLeft w:val="0"/>
          <w:marRight w:val="0"/>
          <w:marTop w:val="0"/>
          <w:marBottom w:val="0"/>
          <w:divBdr>
            <w:top w:val="none" w:sz="0" w:space="0" w:color="auto"/>
            <w:left w:val="none" w:sz="0" w:space="0" w:color="auto"/>
            <w:bottom w:val="none" w:sz="0" w:space="0" w:color="auto"/>
            <w:right w:val="none" w:sz="0" w:space="0" w:color="auto"/>
          </w:divBdr>
        </w:div>
        <w:div w:id="26227135">
          <w:marLeft w:val="0"/>
          <w:marRight w:val="0"/>
          <w:marTop w:val="0"/>
          <w:marBottom w:val="0"/>
          <w:divBdr>
            <w:top w:val="none" w:sz="0" w:space="0" w:color="auto"/>
            <w:left w:val="none" w:sz="0" w:space="0" w:color="auto"/>
            <w:bottom w:val="none" w:sz="0" w:space="0" w:color="auto"/>
            <w:right w:val="none" w:sz="0" w:space="0" w:color="auto"/>
          </w:divBdr>
        </w:div>
        <w:div w:id="1829399530">
          <w:marLeft w:val="0"/>
          <w:marRight w:val="0"/>
          <w:marTop w:val="0"/>
          <w:marBottom w:val="0"/>
          <w:divBdr>
            <w:top w:val="none" w:sz="0" w:space="0" w:color="auto"/>
            <w:left w:val="none" w:sz="0" w:space="0" w:color="auto"/>
            <w:bottom w:val="none" w:sz="0" w:space="0" w:color="auto"/>
            <w:right w:val="none" w:sz="0" w:space="0" w:color="auto"/>
          </w:divBdr>
          <w:divsChild>
            <w:div w:id="225802008">
              <w:marLeft w:val="0"/>
              <w:marRight w:val="360"/>
              <w:marTop w:val="0"/>
              <w:marBottom w:val="0"/>
              <w:divBdr>
                <w:top w:val="none" w:sz="0" w:space="0" w:color="auto"/>
                <w:left w:val="none" w:sz="0" w:space="0" w:color="auto"/>
                <w:bottom w:val="none" w:sz="0" w:space="0" w:color="auto"/>
                <w:right w:val="none" w:sz="0" w:space="0" w:color="auto"/>
              </w:divBdr>
            </w:div>
          </w:divsChild>
        </w:div>
        <w:div w:id="675838585">
          <w:marLeft w:val="0"/>
          <w:marRight w:val="0"/>
          <w:marTop w:val="0"/>
          <w:marBottom w:val="0"/>
          <w:divBdr>
            <w:top w:val="none" w:sz="0" w:space="0" w:color="auto"/>
            <w:left w:val="none" w:sz="0" w:space="0" w:color="auto"/>
            <w:bottom w:val="none" w:sz="0" w:space="0" w:color="auto"/>
            <w:right w:val="none" w:sz="0" w:space="0" w:color="auto"/>
          </w:divBdr>
        </w:div>
        <w:div w:id="313145948">
          <w:marLeft w:val="0"/>
          <w:marRight w:val="0"/>
          <w:marTop w:val="0"/>
          <w:marBottom w:val="0"/>
          <w:divBdr>
            <w:top w:val="none" w:sz="0" w:space="0" w:color="auto"/>
            <w:left w:val="none" w:sz="0" w:space="0" w:color="auto"/>
            <w:bottom w:val="none" w:sz="0" w:space="0" w:color="auto"/>
            <w:right w:val="none" w:sz="0" w:space="0" w:color="auto"/>
          </w:divBdr>
        </w:div>
        <w:div w:id="2127039321">
          <w:marLeft w:val="0"/>
          <w:marRight w:val="0"/>
          <w:marTop w:val="0"/>
          <w:marBottom w:val="0"/>
          <w:divBdr>
            <w:top w:val="none" w:sz="0" w:space="0" w:color="auto"/>
            <w:left w:val="none" w:sz="0" w:space="0" w:color="auto"/>
            <w:bottom w:val="none" w:sz="0" w:space="0" w:color="auto"/>
            <w:right w:val="none" w:sz="0" w:space="0" w:color="auto"/>
          </w:divBdr>
        </w:div>
        <w:div w:id="1442992133">
          <w:marLeft w:val="0"/>
          <w:marRight w:val="0"/>
          <w:marTop w:val="0"/>
          <w:marBottom w:val="0"/>
          <w:divBdr>
            <w:top w:val="none" w:sz="0" w:space="0" w:color="auto"/>
            <w:left w:val="none" w:sz="0" w:space="0" w:color="auto"/>
            <w:bottom w:val="none" w:sz="0" w:space="0" w:color="auto"/>
            <w:right w:val="none" w:sz="0" w:space="0" w:color="auto"/>
          </w:divBdr>
        </w:div>
        <w:div w:id="2039159499">
          <w:marLeft w:val="0"/>
          <w:marRight w:val="0"/>
          <w:marTop w:val="0"/>
          <w:marBottom w:val="0"/>
          <w:divBdr>
            <w:top w:val="none" w:sz="0" w:space="0" w:color="auto"/>
            <w:left w:val="none" w:sz="0" w:space="0" w:color="auto"/>
            <w:bottom w:val="none" w:sz="0" w:space="0" w:color="auto"/>
            <w:right w:val="none" w:sz="0" w:space="0" w:color="auto"/>
          </w:divBdr>
        </w:div>
        <w:div w:id="2095976708">
          <w:marLeft w:val="0"/>
          <w:marRight w:val="0"/>
          <w:marTop w:val="0"/>
          <w:marBottom w:val="0"/>
          <w:divBdr>
            <w:top w:val="none" w:sz="0" w:space="0" w:color="auto"/>
            <w:left w:val="none" w:sz="0" w:space="0" w:color="auto"/>
            <w:bottom w:val="none" w:sz="0" w:space="0" w:color="auto"/>
            <w:right w:val="none" w:sz="0" w:space="0" w:color="auto"/>
          </w:divBdr>
        </w:div>
        <w:div w:id="1412314843">
          <w:marLeft w:val="0"/>
          <w:marRight w:val="0"/>
          <w:marTop w:val="0"/>
          <w:marBottom w:val="0"/>
          <w:divBdr>
            <w:top w:val="none" w:sz="0" w:space="0" w:color="auto"/>
            <w:left w:val="none" w:sz="0" w:space="0" w:color="auto"/>
            <w:bottom w:val="none" w:sz="0" w:space="0" w:color="auto"/>
            <w:right w:val="none" w:sz="0" w:space="0" w:color="auto"/>
          </w:divBdr>
        </w:div>
        <w:div w:id="296492527">
          <w:marLeft w:val="0"/>
          <w:marRight w:val="0"/>
          <w:marTop w:val="0"/>
          <w:marBottom w:val="0"/>
          <w:divBdr>
            <w:top w:val="none" w:sz="0" w:space="0" w:color="auto"/>
            <w:left w:val="none" w:sz="0" w:space="0" w:color="auto"/>
            <w:bottom w:val="none" w:sz="0" w:space="0" w:color="auto"/>
            <w:right w:val="none" w:sz="0" w:space="0" w:color="auto"/>
          </w:divBdr>
        </w:div>
        <w:div w:id="1350647251">
          <w:marLeft w:val="0"/>
          <w:marRight w:val="0"/>
          <w:marTop w:val="0"/>
          <w:marBottom w:val="0"/>
          <w:divBdr>
            <w:top w:val="none" w:sz="0" w:space="0" w:color="auto"/>
            <w:left w:val="none" w:sz="0" w:space="0" w:color="auto"/>
            <w:bottom w:val="none" w:sz="0" w:space="0" w:color="auto"/>
            <w:right w:val="none" w:sz="0" w:space="0" w:color="auto"/>
          </w:divBdr>
          <w:divsChild>
            <w:div w:id="1684433946">
              <w:marLeft w:val="0"/>
              <w:marRight w:val="360"/>
              <w:marTop w:val="0"/>
              <w:marBottom w:val="0"/>
              <w:divBdr>
                <w:top w:val="none" w:sz="0" w:space="0" w:color="auto"/>
                <w:left w:val="none" w:sz="0" w:space="0" w:color="auto"/>
                <w:bottom w:val="none" w:sz="0" w:space="0" w:color="auto"/>
                <w:right w:val="none" w:sz="0" w:space="0" w:color="auto"/>
              </w:divBdr>
            </w:div>
          </w:divsChild>
        </w:div>
        <w:div w:id="1675035687">
          <w:marLeft w:val="0"/>
          <w:marRight w:val="0"/>
          <w:marTop w:val="0"/>
          <w:marBottom w:val="0"/>
          <w:divBdr>
            <w:top w:val="none" w:sz="0" w:space="0" w:color="auto"/>
            <w:left w:val="none" w:sz="0" w:space="0" w:color="auto"/>
            <w:bottom w:val="none" w:sz="0" w:space="0" w:color="auto"/>
            <w:right w:val="none" w:sz="0" w:space="0" w:color="auto"/>
          </w:divBdr>
        </w:div>
        <w:div w:id="1483235216">
          <w:marLeft w:val="0"/>
          <w:marRight w:val="0"/>
          <w:marTop w:val="0"/>
          <w:marBottom w:val="0"/>
          <w:divBdr>
            <w:top w:val="none" w:sz="0" w:space="0" w:color="auto"/>
            <w:left w:val="none" w:sz="0" w:space="0" w:color="auto"/>
            <w:bottom w:val="none" w:sz="0" w:space="0" w:color="auto"/>
            <w:right w:val="none" w:sz="0" w:space="0" w:color="auto"/>
          </w:divBdr>
        </w:div>
        <w:div w:id="683900270">
          <w:marLeft w:val="0"/>
          <w:marRight w:val="0"/>
          <w:marTop w:val="0"/>
          <w:marBottom w:val="0"/>
          <w:divBdr>
            <w:top w:val="none" w:sz="0" w:space="0" w:color="auto"/>
            <w:left w:val="none" w:sz="0" w:space="0" w:color="auto"/>
            <w:bottom w:val="none" w:sz="0" w:space="0" w:color="auto"/>
            <w:right w:val="none" w:sz="0" w:space="0" w:color="auto"/>
          </w:divBdr>
        </w:div>
        <w:div w:id="627860210">
          <w:marLeft w:val="0"/>
          <w:marRight w:val="0"/>
          <w:marTop w:val="0"/>
          <w:marBottom w:val="0"/>
          <w:divBdr>
            <w:top w:val="none" w:sz="0" w:space="0" w:color="auto"/>
            <w:left w:val="none" w:sz="0" w:space="0" w:color="auto"/>
            <w:bottom w:val="none" w:sz="0" w:space="0" w:color="auto"/>
            <w:right w:val="none" w:sz="0" w:space="0" w:color="auto"/>
          </w:divBdr>
        </w:div>
        <w:div w:id="2091806860">
          <w:marLeft w:val="0"/>
          <w:marRight w:val="0"/>
          <w:marTop w:val="0"/>
          <w:marBottom w:val="0"/>
          <w:divBdr>
            <w:top w:val="none" w:sz="0" w:space="0" w:color="auto"/>
            <w:left w:val="none" w:sz="0" w:space="0" w:color="auto"/>
            <w:bottom w:val="none" w:sz="0" w:space="0" w:color="auto"/>
            <w:right w:val="none" w:sz="0" w:space="0" w:color="auto"/>
          </w:divBdr>
        </w:div>
        <w:div w:id="1413509678">
          <w:marLeft w:val="0"/>
          <w:marRight w:val="0"/>
          <w:marTop w:val="0"/>
          <w:marBottom w:val="0"/>
          <w:divBdr>
            <w:top w:val="none" w:sz="0" w:space="0" w:color="auto"/>
            <w:left w:val="none" w:sz="0" w:space="0" w:color="auto"/>
            <w:bottom w:val="none" w:sz="0" w:space="0" w:color="auto"/>
            <w:right w:val="none" w:sz="0" w:space="0" w:color="auto"/>
          </w:divBdr>
        </w:div>
        <w:div w:id="1800299610">
          <w:marLeft w:val="0"/>
          <w:marRight w:val="0"/>
          <w:marTop w:val="0"/>
          <w:marBottom w:val="0"/>
          <w:divBdr>
            <w:top w:val="none" w:sz="0" w:space="0" w:color="auto"/>
            <w:left w:val="none" w:sz="0" w:space="0" w:color="auto"/>
            <w:bottom w:val="none" w:sz="0" w:space="0" w:color="auto"/>
            <w:right w:val="none" w:sz="0" w:space="0" w:color="auto"/>
          </w:divBdr>
        </w:div>
        <w:div w:id="53899397">
          <w:marLeft w:val="0"/>
          <w:marRight w:val="0"/>
          <w:marTop w:val="0"/>
          <w:marBottom w:val="0"/>
          <w:divBdr>
            <w:top w:val="none" w:sz="0" w:space="0" w:color="auto"/>
            <w:left w:val="none" w:sz="0" w:space="0" w:color="auto"/>
            <w:bottom w:val="none" w:sz="0" w:space="0" w:color="auto"/>
            <w:right w:val="none" w:sz="0" w:space="0" w:color="auto"/>
          </w:divBdr>
        </w:div>
        <w:div w:id="628781143">
          <w:marLeft w:val="0"/>
          <w:marRight w:val="0"/>
          <w:marTop w:val="0"/>
          <w:marBottom w:val="0"/>
          <w:divBdr>
            <w:top w:val="none" w:sz="0" w:space="0" w:color="auto"/>
            <w:left w:val="none" w:sz="0" w:space="0" w:color="auto"/>
            <w:bottom w:val="none" w:sz="0" w:space="0" w:color="auto"/>
            <w:right w:val="none" w:sz="0" w:space="0" w:color="auto"/>
          </w:divBdr>
          <w:divsChild>
            <w:div w:id="1484349127">
              <w:marLeft w:val="0"/>
              <w:marRight w:val="360"/>
              <w:marTop w:val="0"/>
              <w:marBottom w:val="0"/>
              <w:divBdr>
                <w:top w:val="none" w:sz="0" w:space="0" w:color="auto"/>
                <w:left w:val="none" w:sz="0" w:space="0" w:color="auto"/>
                <w:bottom w:val="none" w:sz="0" w:space="0" w:color="auto"/>
                <w:right w:val="none" w:sz="0" w:space="0" w:color="auto"/>
              </w:divBdr>
            </w:div>
          </w:divsChild>
        </w:div>
        <w:div w:id="1361859961">
          <w:marLeft w:val="0"/>
          <w:marRight w:val="0"/>
          <w:marTop w:val="0"/>
          <w:marBottom w:val="0"/>
          <w:divBdr>
            <w:top w:val="none" w:sz="0" w:space="0" w:color="auto"/>
            <w:left w:val="none" w:sz="0" w:space="0" w:color="auto"/>
            <w:bottom w:val="none" w:sz="0" w:space="0" w:color="auto"/>
            <w:right w:val="none" w:sz="0" w:space="0" w:color="auto"/>
          </w:divBdr>
        </w:div>
        <w:div w:id="613757249">
          <w:marLeft w:val="0"/>
          <w:marRight w:val="0"/>
          <w:marTop w:val="0"/>
          <w:marBottom w:val="0"/>
          <w:divBdr>
            <w:top w:val="none" w:sz="0" w:space="0" w:color="auto"/>
            <w:left w:val="none" w:sz="0" w:space="0" w:color="auto"/>
            <w:bottom w:val="none" w:sz="0" w:space="0" w:color="auto"/>
            <w:right w:val="none" w:sz="0" w:space="0" w:color="auto"/>
          </w:divBdr>
        </w:div>
        <w:div w:id="904298463">
          <w:marLeft w:val="0"/>
          <w:marRight w:val="0"/>
          <w:marTop w:val="0"/>
          <w:marBottom w:val="0"/>
          <w:divBdr>
            <w:top w:val="none" w:sz="0" w:space="0" w:color="auto"/>
            <w:left w:val="none" w:sz="0" w:space="0" w:color="auto"/>
            <w:bottom w:val="none" w:sz="0" w:space="0" w:color="auto"/>
            <w:right w:val="none" w:sz="0" w:space="0" w:color="auto"/>
          </w:divBdr>
          <w:divsChild>
            <w:div w:id="512694262">
              <w:marLeft w:val="0"/>
              <w:marRight w:val="360"/>
              <w:marTop w:val="0"/>
              <w:marBottom w:val="0"/>
              <w:divBdr>
                <w:top w:val="none" w:sz="0" w:space="0" w:color="auto"/>
                <w:left w:val="none" w:sz="0" w:space="0" w:color="auto"/>
                <w:bottom w:val="none" w:sz="0" w:space="0" w:color="auto"/>
                <w:right w:val="none" w:sz="0" w:space="0" w:color="auto"/>
              </w:divBdr>
            </w:div>
          </w:divsChild>
        </w:div>
        <w:div w:id="1070426809">
          <w:marLeft w:val="0"/>
          <w:marRight w:val="0"/>
          <w:marTop w:val="0"/>
          <w:marBottom w:val="0"/>
          <w:divBdr>
            <w:top w:val="none" w:sz="0" w:space="0" w:color="auto"/>
            <w:left w:val="none" w:sz="0" w:space="0" w:color="auto"/>
            <w:bottom w:val="none" w:sz="0" w:space="0" w:color="auto"/>
            <w:right w:val="none" w:sz="0" w:space="0" w:color="auto"/>
          </w:divBdr>
        </w:div>
        <w:div w:id="1846480024">
          <w:marLeft w:val="0"/>
          <w:marRight w:val="0"/>
          <w:marTop w:val="0"/>
          <w:marBottom w:val="0"/>
          <w:divBdr>
            <w:top w:val="none" w:sz="0" w:space="0" w:color="auto"/>
            <w:left w:val="none" w:sz="0" w:space="0" w:color="auto"/>
            <w:bottom w:val="none" w:sz="0" w:space="0" w:color="auto"/>
            <w:right w:val="none" w:sz="0" w:space="0" w:color="auto"/>
          </w:divBdr>
        </w:div>
        <w:div w:id="1752198122">
          <w:marLeft w:val="0"/>
          <w:marRight w:val="0"/>
          <w:marTop w:val="0"/>
          <w:marBottom w:val="0"/>
          <w:divBdr>
            <w:top w:val="none" w:sz="0" w:space="0" w:color="auto"/>
            <w:left w:val="none" w:sz="0" w:space="0" w:color="auto"/>
            <w:bottom w:val="none" w:sz="0" w:space="0" w:color="auto"/>
            <w:right w:val="none" w:sz="0" w:space="0" w:color="auto"/>
          </w:divBdr>
          <w:divsChild>
            <w:div w:id="751704532">
              <w:marLeft w:val="0"/>
              <w:marRight w:val="360"/>
              <w:marTop w:val="0"/>
              <w:marBottom w:val="0"/>
              <w:divBdr>
                <w:top w:val="none" w:sz="0" w:space="0" w:color="auto"/>
                <w:left w:val="none" w:sz="0" w:space="0" w:color="auto"/>
                <w:bottom w:val="none" w:sz="0" w:space="0" w:color="auto"/>
                <w:right w:val="none" w:sz="0" w:space="0" w:color="auto"/>
              </w:divBdr>
            </w:div>
          </w:divsChild>
        </w:div>
        <w:div w:id="422608205">
          <w:marLeft w:val="0"/>
          <w:marRight w:val="0"/>
          <w:marTop w:val="0"/>
          <w:marBottom w:val="0"/>
          <w:divBdr>
            <w:top w:val="none" w:sz="0" w:space="0" w:color="auto"/>
            <w:left w:val="none" w:sz="0" w:space="0" w:color="auto"/>
            <w:bottom w:val="none" w:sz="0" w:space="0" w:color="auto"/>
            <w:right w:val="none" w:sz="0" w:space="0" w:color="auto"/>
          </w:divBdr>
        </w:div>
        <w:div w:id="677199025">
          <w:marLeft w:val="0"/>
          <w:marRight w:val="0"/>
          <w:marTop w:val="0"/>
          <w:marBottom w:val="0"/>
          <w:divBdr>
            <w:top w:val="none" w:sz="0" w:space="0" w:color="auto"/>
            <w:left w:val="none" w:sz="0" w:space="0" w:color="auto"/>
            <w:bottom w:val="none" w:sz="0" w:space="0" w:color="auto"/>
            <w:right w:val="none" w:sz="0" w:space="0" w:color="auto"/>
          </w:divBdr>
        </w:div>
        <w:div w:id="1653294428">
          <w:marLeft w:val="0"/>
          <w:marRight w:val="0"/>
          <w:marTop w:val="0"/>
          <w:marBottom w:val="0"/>
          <w:divBdr>
            <w:top w:val="none" w:sz="0" w:space="0" w:color="auto"/>
            <w:left w:val="none" w:sz="0" w:space="0" w:color="auto"/>
            <w:bottom w:val="none" w:sz="0" w:space="0" w:color="auto"/>
            <w:right w:val="none" w:sz="0" w:space="0" w:color="auto"/>
          </w:divBdr>
        </w:div>
        <w:div w:id="1890920857">
          <w:marLeft w:val="0"/>
          <w:marRight w:val="0"/>
          <w:marTop w:val="0"/>
          <w:marBottom w:val="0"/>
          <w:divBdr>
            <w:top w:val="none" w:sz="0" w:space="0" w:color="auto"/>
            <w:left w:val="none" w:sz="0" w:space="0" w:color="auto"/>
            <w:bottom w:val="none" w:sz="0" w:space="0" w:color="auto"/>
            <w:right w:val="none" w:sz="0" w:space="0" w:color="auto"/>
          </w:divBdr>
        </w:div>
        <w:div w:id="1438407356">
          <w:marLeft w:val="0"/>
          <w:marRight w:val="0"/>
          <w:marTop w:val="0"/>
          <w:marBottom w:val="0"/>
          <w:divBdr>
            <w:top w:val="none" w:sz="0" w:space="0" w:color="auto"/>
            <w:left w:val="none" w:sz="0" w:space="0" w:color="auto"/>
            <w:bottom w:val="none" w:sz="0" w:space="0" w:color="auto"/>
            <w:right w:val="none" w:sz="0" w:space="0" w:color="auto"/>
          </w:divBdr>
        </w:div>
        <w:div w:id="200671852">
          <w:marLeft w:val="0"/>
          <w:marRight w:val="0"/>
          <w:marTop w:val="0"/>
          <w:marBottom w:val="0"/>
          <w:divBdr>
            <w:top w:val="none" w:sz="0" w:space="0" w:color="auto"/>
            <w:left w:val="none" w:sz="0" w:space="0" w:color="auto"/>
            <w:bottom w:val="none" w:sz="0" w:space="0" w:color="auto"/>
            <w:right w:val="none" w:sz="0" w:space="0" w:color="auto"/>
          </w:divBdr>
        </w:div>
        <w:div w:id="71971763">
          <w:marLeft w:val="0"/>
          <w:marRight w:val="0"/>
          <w:marTop w:val="0"/>
          <w:marBottom w:val="0"/>
          <w:divBdr>
            <w:top w:val="none" w:sz="0" w:space="0" w:color="auto"/>
            <w:left w:val="none" w:sz="0" w:space="0" w:color="auto"/>
            <w:bottom w:val="none" w:sz="0" w:space="0" w:color="auto"/>
            <w:right w:val="none" w:sz="0" w:space="0" w:color="auto"/>
          </w:divBdr>
        </w:div>
        <w:div w:id="2136365374">
          <w:marLeft w:val="0"/>
          <w:marRight w:val="0"/>
          <w:marTop w:val="0"/>
          <w:marBottom w:val="0"/>
          <w:divBdr>
            <w:top w:val="none" w:sz="0" w:space="0" w:color="auto"/>
            <w:left w:val="none" w:sz="0" w:space="0" w:color="auto"/>
            <w:bottom w:val="none" w:sz="0" w:space="0" w:color="auto"/>
            <w:right w:val="none" w:sz="0" w:space="0" w:color="auto"/>
          </w:divBdr>
        </w:div>
        <w:div w:id="1399404497">
          <w:marLeft w:val="0"/>
          <w:marRight w:val="0"/>
          <w:marTop w:val="0"/>
          <w:marBottom w:val="0"/>
          <w:divBdr>
            <w:top w:val="none" w:sz="0" w:space="0" w:color="auto"/>
            <w:left w:val="none" w:sz="0" w:space="0" w:color="auto"/>
            <w:bottom w:val="none" w:sz="0" w:space="0" w:color="auto"/>
            <w:right w:val="none" w:sz="0" w:space="0" w:color="auto"/>
          </w:divBdr>
        </w:div>
        <w:div w:id="1675063595">
          <w:marLeft w:val="0"/>
          <w:marRight w:val="0"/>
          <w:marTop w:val="0"/>
          <w:marBottom w:val="0"/>
          <w:divBdr>
            <w:top w:val="none" w:sz="0" w:space="0" w:color="auto"/>
            <w:left w:val="none" w:sz="0" w:space="0" w:color="auto"/>
            <w:bottom w:val="none" w:sz="0" w:space="0" w:color="auto"/>
            <w:right w:val="none" w:sz="0" w:space="0" w:color="auto"/>
          </w:divBdr>
        </w:div>
        <w:div w:id="550848760">
          <w:marLeft w:val="0"/>
          <w:marRight w:val="0"/>
          <w:marTop w:val="0"/>
          <w:marBottom w:val="0"/>
          <w:divBdr>
            <w:top w:val="none" w:sz="0" w:space="0" w:color="auto"/>
            <w:left w:val="none" w:sz="0" w:space="0" w:color="auto"/>
            <w:bottom w:val="none" w:sz="0" w:space="0" w:color="auto"/>
            <w:right w:val="none" w:sz="0" w:space="0" w:color="auto"/>
          </w:divBdr>
        </w:div>
        <w:div w:id="43911183">
          <w:marLeft w:val="0"/>
          <w:marRight w:val="0"/>
          <w:marTop w:val="0"/>
          <w:marBottom w:val="0"/>
          <w:divBdr>
            <w:top w:val="none" w:sz="0" w:space="0" w:color="auto"/>
            <w:left w:val="none" w:sz="0" w:space="0" w:color="auto"/>
            <w:bottom w:val="none" w:sz="0" w:space="0" w:color="auto"/>
            <w:right w:val="none" w:sz="0" w:space="0" w:color="auto"/>
          </w:divBdr>
        </w:div>
        <w:div w:id="1076586261">
          <w:marLeft w:val="0"/>
          <w:marRight w:val="0"/>
          <w:marTop w:val="0"/>
          <w:marBottom w:val="0"/>
          <w:divBdr>
            <w:top w:val="none" w:sz="0" w:space="0" w:color="auto"/>
            <w:left w:val="none" w:sz="0" w:space="0" w:color="auto"/>
            <w:bottom w:val="none" w:sz="0" w:space="0" w:color="auto"/>
            <w:right w:val="none" w:sz="0" w:space="0" w:color="auto"/>
          </w:divBdr>
        </w:div>
        <w:div w:id="770585724">
          <w:marLeft w:val="0"/>
          <w:marRight w:val="0"/>
          <w:marTop w:val="0"/>
          <w:marBottom w:val="0"/>
          <w:divBdr>
            <w:top w:val="none" w:sz="0" w:space="0" w:color="auto"/>
            <w:left w:val="none" w:sz="0" w:space="0" w:color="auto"/>
            <w:bottom w:val="none" w:sz="0" w:space="0" w:color="auto"/>
            <w:right w:val="none" w:sz="0" w:space="0" w:color="auto"/>
          </w:divBdr>
        </w:div>
        <w:div w:id="305597743">
          <w:marLeft w:val="0"/>
          <w:marRight w:val="0"/>
          <w:marTop w:val="0"/>
          <w:marBottom w:val="0"/>
          <w:divBdr>
            <w:top w:val="none" w:sz="0" w:space="0" w:color="auto"/>
            <w:left w:val="none" w:sz="0" w:space="0" w:color="auto"/>
            <w:bottom w:val="none" w:sz="0" w:space="0" w:color="auto"/>
            <w:right w:val="none" w:sz="0" w:space="0" w:color="auto"/>
          </w:divBdr>
        </w:div>
        <w:div w:id="1529028725">
          <w:marLeft w:val="0"/>
          <w:marRight w:val="0"/>
          <w:marTop w:val="0"/>
          <w:marBottom w:val="0"/>
          <w:divBdr>
            <w:top w:val="none" w:sz="0" w:space="0" w:color="auto"/>
            <w:left w:val="none" w:sz="0" w:space="0" w:color="auto"/>
            <w:bottom w:val="none" w:sz="0" w:space="0" w:color="auto"/>
            <w:right w:val="none" w:sz="0" w:space="0" w:color="auto"/>
          </w:divBdr>
        </w:div>
        <w:div w:id="714084827">
          <w:marLeft w:val="0"/>
          <w:marRight w:val="0"/>
          <w:marTop w:val="0"/>
          <w:marBottom w:val="0"/>
          <w:divBdr>
            <w:top w:val="none" w:sz="0" w:space="0" w:color="auto"/>
            <w:left w:val="none" w:sz="0" w:space="0" w:color="auto"/>
            <w:bottom w:val="none" w:sz="0" w:space="0" w:color="auto"/>
            <w:right w:val="none" w:sz="0" w:space="0" w:color="auto"/>
          </w:divBdr>
        </w:div>
        <w:div w:id="313218878">
          <w:marLeft w:val="0"/>
          <w:marRight w:val="0"/>
          <w:marTop w:val="0"/>
          <w:marBottom w:val="0"/>
          <w:divBdr>
            <w:top w:val="none" w:sz="0" w:space="0" w:color="auto"/>
            <w:left w:val="none" w:sz="0" w:space="0" w:color="auto"/>
            <w:bottom w:val="none" w:sz="0" w:space="0" w:color="auto"/>
            <w:right w:val="none" w:sz="0" w:space="0" w:color="auto"/>
          </w:divBdr>
        </w:div>
        <w:div w:id="262882652">
          <w:marLeft w:val="0"/>
          <w:marRight w:val="0"/>
          <w:marTop w:val="0"/>
          <w:marBottom w:val="0"/>
          <w:divBdr>
            <w:top w:val="none" w:sz="0" w:space="0" w:color="auto"/>
            <w:left w:val="none" w:sz="0" w:space="0" w:color="auto"/>
            <w:bottom w:val="none" w:sz="0" w:space="0" w:color="auto"/>
            <w:right w:val="none" w:sz="0" w:space="0" w:color="auto"/>
          </w:divBdr>
        </w:div>
        <w:div w:id="1696468161">
          <w:marLeft w:val="0"/>
          <w:marRight w:val="0"/>
          <w:marTop w:val="0"/>
          <w:marBottom w:val="0"/>
          <w:divBdr>
            <w:top w:val="none" w:sz="0" w:space="0" w:color="auto"/>
            <w:left w:val="none" w:sz="0" w:space="0" w:color="auto"/>
            <w:bottom w:val="none" w:sz="0" w:space="0" w:color="auto"/>
            <w:right w:val="none" w:sz="0" w:space="0" w:color="auto"/>
          </w:divBdr>
        </w:div>
        <w:div w:id="1274094672">
          <w:marLeft w:val="0"/>
          <w:marRight w:val="0"/>
          <w:marTop w:val="0"/>
          <w:marBottom w:val="0"/>
          <w:divBdr>
            <w:top w:val="none" w:sz="0" w:space="0" w:color="auto"/>
            <w:left w:val="none" w:sz="0" w:space="0" w:color="auto"/>
            <w:bottom w:val="none" w:sz="0" w:space="0" w:color="auto"/>
            <w:right w:val="none" w:sz="0" w:space="0" w:color="auto"/>
          </w:divBdr>
        </w:div>
        <w:div w:id="349794071">
          <w:marLeft w:val="0"/>
          <w:marRight w:val="0"/>
          <w:marTop w:val="0"/>
          <w:marBottom w:val="0"/>
          <w:divBdr>
            <w:top w:val="none" w:sz="0" w:space="0" w:color="auto"/>
            <w:left w:val="none" w:sz="0" w:space="0" w:color="auto"/>
            <w:bottom w:val="none" w:sz="0" w:space="0" w:color="auto"/>
            <w:right w:val="none" w:sz="0" w:space="0" w:color="auto"/>
          </w:divBdr>
        </w:div>
        <w:div w:id="2027099434">
          <w:marLeft w:val="0"/>
          <w:marRight w:val="0"/>
          <w:marTop w:val="0"/>
          <w:marBottom w:val="0"/>
          <w:divBdr>
            <w:top w:val="none" w:sz="0" w:space="0" w:color="auto"/>
            <w:left w:val="none" w:sz="0" w:space="0" w:color="auto"/>
            <w:bottom w:val="none" w:sz="0" w:space="0" w:color="auto"/>
            <w:right w:val="none" w:sz="0" w:space="0" w:color="auto"/>
          </w:divBdr>
        </w:div>
        <w:div w:id="1884050075">
          <w:marLeft w:val="0"/>
          <w:marRight w:val="0"/>
          <w:marTop w:val="0"/>
          <w:marBottom w:val="0"/>
          <w:divBdr>
            <w:top w:val="none" w:sz="0" w:space="0" w:color="auto"/>
            <w:left w:val="none" w:sz="0" w:space="0" w:color="auto"/>
            <w:bottom w:val="none" w:sz="0" w:space="0" w:color="auto"/>
            <w:right w:val="none" w:sz="0" w:space="0" w:color="auto"/>
          </w:divBdr>
          <w:divsChild>
            <w:div w:id="2032796668">
              <w:marLeft w:val="0"/>
              <w:marRight w:val="360"/>
              <w:marTop w:val="0"/>
              <w:marBottom w:val="0"/>
              <w:divBdr>
                <w:top w:val="none" w:sz="0" w:space="0" w:color="auto"/>
                <w:left w:val="none" w:sz="0" w:space="0" w:color="auto"/>
                <w:bottom w:val="none" w:sz="0" w:space="0" w:color="auto"/>
                <w:right w:val="none" w:sz="0" w:space="0" w:color="auto"/>
              </w:divBdr>
            </w:div>
          </w:divsChild>
        </w:div>
        <w:div w:id="636371794">
          <w:marLeft w:val="0"/>
          <w:marRight w:val="0"/>
          <w:marTop w:val="0"/>
          <w:marBottom w:val="0"/>
          <w:divBdr>
            <w:top w:val="none" w:sz="0" w:space="0" w:color="auto"/>
            <w:left w:val="none" w:sz="0" w:space="0" w:color="auto"/>
            <w:bottom w:val="none" w:sz="0" w:space="0" w:color="auto"/>
            <w:right w:val="none" w:sz="0" w:space="0" w:color="auto"/>
          </w:divBdr>
        </w:div>
        <w:div w:id="1269317669">
          <w:marLeft w:val="0"/>
          <w:marRight w:val="0"/>
          <w:marTop w:val="0"/>
          <w:marBottom w:val="0"/>
          <w:divBdr>
            <w:top w:val="none" w:sz="0" w:space="0" w:color="auto"/>
            <w:left w:val="none" w:sz="0" w:space="0" w:color="auto"/>
            <w:bottom w:val="none" w:sz="0" w:space="0" w:color="auto"/>
            <w:right w:val="none" w:sz="0" w:space="0" w:color="auto"/>
          </w:divBdr>
        </w:div>
        <w:div w:id="1552501772">
          <w:marLeft w:val="0"/>
          <w:marRight w:val="0"/>
          <w:marTop w:val="0"/>
          <w:marBottom w:val="0"/>
          <w:divBdr>
            <w:top w:val="none" w:sz="0" w:space="0" w:color="auto"/>
            <w:left w:val="none" w:sz="0" w:space="0" w:color="auto"/>
            <w:bottom w:val="none" w:sz="0" w:space="0" w:color="auto"/>
            <w:right w:val="none" w:sz="0" w:space="0" w:color="auto"/>
          </w:divBdr>
        </w:div>
        <w:div w:id="327708033">
          <w:marLeft w:val="0"/>
          <w:marRight w:val="0"/>
          <w:marTop w:val="0"/>
          <w:marBottom w:val="0"/>
          <w:divBdr>
            <w:top w:val="none" w:sz="0" w:space="0" w:color="auto"/>
            <w:left w:val="none" w:sz="0" w:space="0" w:color="auto"/>
            <w:bottom w:val="none" w:sz="0" w:space="0" w:color="auto"/>
            <w:right w:val="none" w:sz="0" w:space="0" w:color="auto"/>
          </w:divBdr>
        </w:div>
        <w:div w:id="618143642">
          <w:marLeft w:val="0"/>
          <w:marRight w:val="0"/>
          <w:marTop w:val="0"/>
          <w:marBottom w:val="0"/>
          <w:divBdr>
            <w:top w:val="none" w:sz="0" w:space="0" w:color="auto"/>
            <w:left w:val="none" w:sz="0" w:space="0" w:color="auto"/>
            <w:bottom w:val="none" w:sz="0" w:space="0" w:color="auto"/>
            <w:right w:val="none" w:sz="0" w:space="0" w:color="auto"/>
          </w:divBdr>
        </w:div>
        <w:div w:id="525294832">
          <w:marLeft w:val="0"/>
          <w:marRight w:val="0"/>
          <w:marTop w:val="0"/>
          <w:marBottom w:val="0"/>
          <w:divBdr>
            <w:top w:val="none" w:sz="0" w:space="0" w:color="auto"/>
            <w:left w:val="none" w:sz="0" w:space="0" w:color="auto"/>
            <w:bottom w:val="none" w:sz="0" w:space="0" w:color="auto"/>
            <w:right w:val="none" w:sz="0" w:space="0" w:color="auto"/>
          </w:divBdr>
          <w:divsChild>
            <w:div w:id="1547715349">
              <w:marLeft w:val="0"/>
              <w:marRight w:val="360"/>
              <w:marTop w:val="0"/>
              <w:marBottom w:val="0"/>
              <w:divBdr>
                <w:top w:val="none" w:sz="0" w:space="0" w:color="auto"/>
                <w:left w:val="none" w:sz="0" w:space="0" w:color="auto"/>
                <w:bottom w:val="none" w:sz="0" w:space="0" w:color="auto"/>
                <w:right w:val="none" w:sz="0" w:space="0" w:color="auto"/>
              </w:divBdr>
            </w:div>
          </w:divsChild>
        </w:div>
        <w:div w:id="170532068">
          <w:marLeft w:val="0"/>
          <w:marRight w:val="0"/>
          <w:marTop w:val="0"/>
          <w:marBottom w:val="0"/>
          <w:divBdr>
            <w:top w:val="none" w:sz="0" w:space="0" w:color="auto"/>
            <w:left w:val="none" w:sz="0" w:space="0" w:color="auto"/>
            <w:bottom w:val="none" w:sz="0" w:space="0" w:color="auto"/>
            <w:right w:val="none" w:sz="0" w:space="0" w:color="auto"/>
          </w:divBdr>
        </w:div>
        <w:div w:id="1491091452">
          <w:marLeft w:val="0"/>
          <w:marRight w:val="0"/>
          <w:marTop w:val="0"/>
          <w:marBottom w:val="0"/>
          <w:divBdr>
            <w:top w:val="none" w:sz="0" w:space="0" w:color="auto"/>
            <w:left w:val="none" w:sz="0" w:space="0" w:color="auto"/>
            <w:bottom w:val="none" w:sz="0" w:space="0" w:color="auto"/>
            <w:right w:val="none" w:sz="0" w:space="0" w:color="auto"/>
          </w:divBdr>
        </w:div>
        <w:div w:id="78521955">
          <w:marLeft w:val="0"/>
          <w:marRight w:val="0"/>
          <w:marTop w:val="0"/>
          <w:marBottom w:val="0"/>
          <w:divBdr>
            <w:top w:val="none" w:sz="0" w:space="0" w:color="auto"/>
            <w:left w:val="none" w:sz="0" w:space="0" w:color="auto"/>
            <w:bottom w:val="none" w:sz="0" w:space="0" w:color="auto"/>
            <w:right w:val="none" w:sz="0" w:space="0" w:color="auto"/>
          </w:divBdr>
          <w:divsChild>
            <w:div w:id="1321886076">
              <w:marLeft w:val="0"/>
              <w:marRight w:val="360"/>
              <w:marTop w:val="0"/>
              <w:marBottom w:val="0"/>
              <w:divBdr>
                <w:top w:val="none" w:sz="0" w:space="0" w:color="auto"/>
                <w:left w:val="none" w:sz="0" w:space="0" w:color="auto"/>
                <w:bottom w:val="none" w:sz="0" w:space="0" w:color="auto"/>
                <w:right w:val="none" w:sz="0" w:space="0" w:color="auto"/>
              </w:divBdr>
            </w:div>
          </w:divsChild>
        </w:div>
        <w:div w:id="1036999948">
          <w:marLeft w:val="0"/>
          <w:marRight w:val="0"/>
          <w:marTop w:val="0"/>
          <w:marBottom w:val="0"/>
          <w:divBdr>
            <w:top w:val="none" w:sz="0" w:space="0" w:color="auto"/>
            <w:left w:val="none" w:sz="0" w:space="0" w:color="auto"/>
            <w:bottom w:val="none" w:sz="0" w:space="0" w:color="auto"/>
            <w:right w:val="none" w:sz="0" w:space="0" w:color="auto"/>
          </w:divBdr>
        </w:div>
        <w:div w:id="927813218">
          <w:marLeft w:val="0"/>
          <w:marRight w:val="0"/>
          <w:marTop w:val="0"/>
          <w:marBottom w:val="0"/>
          <w:divBdr>
            <w:top w:val="none" w:sz="0" w:space="0" w:color="auto"/>
            <w:left w:val="none" w:sz="0" w:space="0" w:color="auto"/>
            <w:bottom w:val="none" w:sz="0" w:space="0" w:color="auto"/>
            <w:right w:val="none" w:sz="0" w:space="0" w:color="auto"/>
          </w:divBdr>
        </w:div>
        <w:div w:id="384572102">
          <w:marLeft w:val="0"/>
          <w:marRight w:val="0"/>
          <w:marTop w:val="0"/>
          <w:marBottom w:val="0"/>
          <w:divBdr>
            <w:top w:val="none" w:sz="0" w:space="0" w:color="auto"/>
            <w:left w:val="none" w:sz="0" w:space="0" w:color="auto"/>
            <w:bottom w:val="none" w:sz="0" w:space="0" w:color="auto"/>
            <w:right w:val="none" w:sz="0" w:space="0" w:color="auto"/>
          </w:divBdr>
        </w:div>
        <w:div w:id="1002969942">
          <w:marLeft w:val="0"/>
          <w:marRight w:val="0"/>
          <w:marTop w:val="0"/>
          <w:marBottom w:val="0"/>
          <w:divBdr>
            <w:top w:val="none" w:sz="0" w:space="0" w:color="auto"/>
            <w:left w:val="none" w:sz="0" w:space="0" w:color="auto"/>
            <w:bottom w:val="none" w:sz="0" w:space="0" w:color="auto"/>
            <w:right w:val="none" w:sz="0" w:space="0" w:color="auto"/>
          </w:divBdr>
        </w:div>
        <w:div w:id="872767347">
          <w:marLeft w:val="0"/>
          <w:marRight w:val="0"/>
          <w:marTop w:val="0"/>
          <w:marBottom w:val="0"/>
          <w:divBdr>
            <w:top w:val="none" w:sz="0" w:space="0" w:color="auto"/>
            <w:left w:val="none" w:sz="0" w:space="0" w:color="auto"/>
            <w:bottom w:val="none" w:sz="0" w:space="0" w:color="auto"/>
            <w:right w:val="none" w:sz="0" w:space="0" w:color="auto"/>
          </w:divBdr>
        </w:div>
        <w:div w:id="95905732">
          <w:marLeft w:val="0"/>
          <w:marRight w:val="0"/>
          <w:marTop w:val="0"/>
          <w:marBottom w:val="0"/>
          <w:divBdr>
            <w:top w:val="none" w:sz="0" w:space="0" w:color="auto"/>
            <w:left w:val="none" w:sz="0" w:space="0" w:color="auto"/>
            <w:bottom w:val="none" w:sz="0" w:space="0" w:color="auto"/>
            <w:right w:val="none" w:sz="0" w:space="0" w:color="auto"/>
          </w:divBdr>
          <w:divsChild>
            <w:div w:id="1804080770">
              <w:marLeft w:val="0"/>
              <w:marRight w:val="360"/>
              <w:marTop w:val="0"/>
              <w:marBottom w:val="0"/>
              <w:divBdr>
                <w:top w:val="none" w:sz="0" w:space="0" w:color="auto"/>
                <w:left w:val="none" w:sz="0" w:space="0" w:color="auto"/>
                <w:bottom w:val="none" w:sz="0" w:space="0" w:color="auto"/>
                <w:right w:val="none" w:sz="0" w:space="0" w:color="auto"/>
              </w:divBdr>
            </w:div>
          </w:divsChild>
        </w:div>
        <w:div w:id="1658804273">
          <w:marLeft w:val="0"/>
          <w:marRight w:val="0"/>
          <w:marTop w:val="0"/>
          <w:marBottom w:val="0"/>
          <w:divBdr>
            <w:top w:val="none" w:sz="0" w:space="0" w:color="auto"/>
            <w:left w:val="none" w:sz="0" w:space="0" w:color="auto"/>
            <w:bottom w:val="none" w:sz="0" w:space="0" w:color="auto"/>
            <w:right w:val="none" w:sz="0" w:space="0" w:color="auto"/>
          </w:divBdr>
        </w:div>
        <w:div w:id="1917934416">
          <w:marLeft w:val="0"/>
          <w:marRight w:val="0"/>
          <w:marTop w:val="0"/>
          <w:marBottom w:val="0"/>
          <w:divBdr>
            <w:top w:val="none" w:sz="0" w:space="0" w:color="auto"/>
            <w:left w:val="none" w:sz="0" w:space="0" w:color="auto"/>
            <w:bottom w:val="none" w:sz="0" w:space="0" w:color="auto"/>
            <w:right w:val="none" w:sz="0" w:space="0" w:color="auto"/>
          </w:divBdr>
        </w:div>
        <w:div w:id="2026127339">
          <w:marLeft w:val="0"/>
          <w:marRight w:val="0"/>
          <w:marTop w:val="0"/>
          <w:marBottom w:val="0"/>
          <w:divBdr>
            <w:top w:val="none" w:sz="0" w:space="0" w:color="auto"/>
            <w:left w:val="none" w:sz="0" w:space="0" w:color="auto"/>
            <w:bottom w:val="none" w:sz="0" w:space="0" w:color="auto"/>
            <w:right w:val="none" w:sz="0" w:space="0" w:color="auto"/>
          </w:divBdr>
          <w:divsChild>
            <w:div w:id="623124502">
              <w:marLeft w:val="0"/>
              <w:marRight w:val="360"/>
              <w:marTop w:val="0"/>
              <w:marBottom w:val="0"/>
              <w:divBdr>
                <w:top w:val="none" w:sz="0" w:space="0" w:color="auto"/>
                <w:left w:val="none" w:sz="0" w:space="0" w:color="auto"/>
                <w:bottom w:val="none" w:sz="0" w:space="0" w:color="auto"/>
                <w:right w:val="none" w:sz="0" w:space="0" w:color="auto"/>
              </w:divBdr>
            </w:div>
          </w:divsChild>
        </w:div>
        <w:div w:id="1102993737">
          <w:marLeft w:val="0"/>
          <w:marRight w:val="0"/>
          <w:marTop w:val="0"/>
          <w:marBottom w:val="0"/>
          <w:divBdr>
            <w:top w:val="none" w:sz="0" w:space="0" w:color="auto"/>
            <w:left w:val="none" w:sz="0" w:space="0" w:color="auto"/>
            <w:bottom w:val="none" w:sz="0" w:space="0" w:color="auto"/>
            <w:right w:val="none" w:sz="0" w:space="0" w:color="auto"/>
          </w:divBdr>
        </w:div>
        <w:div w:id="1629504261">
          <w:marLeft w:val="0"/>
          <w:marRight w:val="0"/>
          <w:marTop w:val="0"/>
          <w:marBottom w:val="0"/>
          <w:divBdr>
            <w:top w:val="none" w:sz="0" w:space="0" w:color="auto"/>
            <w:left w:val="none" w:sz="0" w:space="0" w:color="auto"/>
            <w:bottom w:val="none" w:sz="0" w:space="0" w:color="auto"/>
            <w:right w:val="none" w:sz="0" w:space="0" w:color="auto"/>
          </w:divBdr>
        </w:div>
        <w:div w:id="747385386">
          <w:marLeft w:val="0"/>
          <w:marRight w:val="0"/>
          <w:marTop w:val="0"/>
          <w:marBottom w:val="0"/>
          <w:divBdr>
            <w:top w:val="none" w:sz="0" w:space="0" w:color="auto"/>
            <w:left w:val="none" w:sz="0" w:space="0" w:color="auto"/>
            <w:bottom w:val="none" w:sz="0" w:space="0" w:color="auto"/>
            <w:right w:val="none" w:sz="0" w:space="0" w:color="auto"/>
          </w:divBdr>
        </w:div>
        <w:div w:id="2078279207">
          <w:marLeft w:val="0"/>
          <w:marRight w:val="0"/>
          <w:marTop w:val="0"/>
          <w:marBottom w:val="0"/>
          <w:divBdr>
            <w:top w:val="none" w:sz="0" w:space="0" w:color="auto"/>
            <w:left w:val="none" w:sz="0" w:space="0" w:color="auto"/>
            <w:bottom w:val="none" w:sz="0" w:space="0" w:color="auto"/>
            <w:right w:val="none" w:sz="0" w:space="0" w:color="auto"/>
          </w:divBdr>
        </w:div>
        <w:div w:id="314140174">
          <w:marLeft w:val="0"/>
          <w:marRight w:val="0"/>
          <w:marTop w:val="0"/>
          <w:marBottom w:val="0"/>
          <w:divBdr>
            <w:top w:val="none" w:sz="0" w:space="0" w:color="auto"/>
            <w:left w:val="none" w:sz="0" w:space="0" w:color="auto"/>
            <w:bottom w:val="none" w:sz="0" w:space="0" w:color="auto"/>
            <w:right w:val="none" w:sz="0" w:space="0" w:color="auto"/>
          </w:divBdr>
        </w:div>
        <w:div w:id="776293204">
          <w:marLeft w:val="0"/>
          <w:marRight w:val="0"/>
          <w:marTop w:val="0"/>
          <w:marBottom w:val="0"/>
          <w:divBdr>
            <w:top w:val="none" w:sz="0" w:space="0" w:color="auto"/>
            <w:left w:val="none" w:sz="0" w:space="0" w:color="auto"/>
            <w:bottom w:val="none" w:sz="0" w:space="0" w:color="auto"/>
            <w:right w:val="none" w:sz="0" w:space="0" w:color="auto"/>
          </w:divBdr>
          <w:divsChild>
            <w:div w:id="1386684860">
              <w:marLeft w:val="0"/>
              <w:marRight w:val="360"/>
              <w:marTop w:val="0"/>
              <w:marBottom w:val="0"/>
              <w:divBdr>
                <w:top w:val="none" w:sz="0" w:space="0" w:color="auto"/>
                <w:left w:val="none" w:sz="0" w:space="0" w:color="auto"/>
                <w:bottom w:val="none" w:sz="0" w:space="0" w:color="auto"/>
                <w:right w:val="none" w:sz="0" w:space="0" w:color="auto"/>
              </w:divBdr>
            </w:div>
          </w:divsChild>
        </w:div>
        <w:div w:id="1794707147">
          <w:marLeft w:val="0"/>
          <w:marRight w:val="0"/>
          <w:marTop w:val="0"/>
          <w:marBottom w:val="0"/>
          <w:divBdr>
            <w:top w:val="none" w:sz="0" w:space="0" w:color="auto"/>
            <w:left w:val="none" w:sz="0" w:space="0" w:color="auto"/>
            <w:bottom w:val="none" w:sz="0" w:space="0" w:color="auto"/>
            <w:right w:val="none" w:sz="0" w:space="0" w:color="auto"/>
          </w:divBdr>
        </w:div>
        <w:div w:id="477109035">
          <w:marLeft w:val="0"/>
          <w:marRight w:val="0"/>
          <w:marTop w:val="0"/>
          <w:marBottom w:val="0"/>
          <w:divBdr>
            <w:top w:val="none" w:sz="0" w:space="0" w:color="auto"/>
            <w:left w:val="none" w:sz="0" w:space="0" w:color="auto"/>
            <w:bottom w:val="none" w:sz="0" w:space="0" w:color="auto"/>
            <w:right w:val="none" w:sz="0" w:space="0" w:color="auto"/>
          </w:divBdr>
        </w:div>
        <w:div w:id="97798809">
          <w:marLeft w:val="0"/>
          <w:marRight w:val="0"/>
          <w:marTop w:val="0"/>
          <w:marBottom w:val="0"/>
          <w:divBdr>
            <w:top w:val="none" w:sz="0" w:space="0" w:color="auto"/>
            <w:left w:val="none" w:sz="0" w:space="0" w:color="auto"/>
            <w:bottom w:val="none" w:sz="0" w:space="0" w:color="auto"/>
            <w:right w:val="none" w:sz="0" w:space="0" w:color="auto"/>
          </w:divBdr>
          <w:divsChild>
            <w:div w:id="1467312959">
              <w:marLeft w:val="0"/>
              <w:marRight w:val="360"/>
              <w:marTop w:val="0"/>
              <w:marBottom w:val="0"/>
              <w:divBdr>
                <w:top w:val="none" w:sz="0" w:space="0" w:color="auto"/>
                <w:left w:val="none" w:sz="0" w:space="0" w:color="auto"/>
                <w:bottom w:val="none" w:sz="0" w:space="0" w:color="auto"/>
                <w:right w:val="none" w:sz="0" w:space="0" w:color="auto"/>
              </w:divBdr>
            </w:div>
          </w:divsChild>
        </w:div>
        <w:div w:id="1925871150">
          <w:marLeft w:val="0"/>
          <w:marRight w:val="0"/>
          <w:marTop w:val="0"/>
          <w:marBottom w:val="0"/>
          <w:divBdr>
            <w:top w:val="none" w:sz="0" w:space="0" w:color="auto"/>
            <w:left w:val="none" w:sz="0" w:space="0" w:color="auto"/>
            <w:bottom w:val="none" w:sz="0" w:space="0" w:color="auto"/>
            <w:right w:val="none" w:sz="0" w:space="0" w:color="auto"/>
          </w:divBdr>
        </w:div>
        <w:div w:id="1824928653">
          <w:marLeft w:val="0"/>
          <w:marRight w:val="0"/>
          <w:marTop w:val="0"/>
          <w:marBottom w:val="0"/>
          <w:divBdr>
            <w:top w:val="none" w:sz="0" w:space="0" w:color="auto"/>
            <w:left w:val="none" w:sz="0" w:space="0" w:color="auto"/>
            <w:bottom w:val="none" w:sz="0" w:space="0" w:color="auto"/>
            <w:right w:val="none" w:sz="0" w:space="0" w:color="auto"/>
          </w:divBdr>
        </w:div>
        <w:div w:id="2002273820">
          <w:marLeft w:val="0"/>
          <w:marRight w:val="0"/>
          <w:marTop w:val="0"/>
          <w:marBottom w:val="0"/>
          <w:divBdr>
            <w:top w:val="none" w:sz="0" w:space="0" w:color="auto"/>
            <w:left w:val="none" w:sz="0" w:space="0" w:color="auto"/>
            <w:bottom w:val="none" w:sz="0" w:space="0" w:color="auto"/>
            <w:right w:val="none" w:sz="0" w:space="0" w:color="auto"/>
          </w:divBdr>
          <w:divsChild>
            <w:div w:id="921375408">
              <w:marLeft w:val="0"/>
              <w:marRight w:val="360"/>
              <w:marTop w:val="0"/>
              <w:marBottom w:val="0"/>
              <w:divBdr>
                <w:top w:val="none" w:sz="0" w:space="0" w:color="auto"/>
                <w:left w:val="none" w:sz="0" w:space="0" w:color="auto"/>
                <w:bottom w:val="none" w:sz="0" w:space="0" w:color="auto"/>
                <w:right w:val="none" w:sz="0" w:space="0" w:color="auto"/>
              </w:divBdr>
            </w:div>
          </w:divsChild>
        </w:div>
        <w:div w:id="756168863">
          <w:marLeft w:val="0"/>
          <w:marRight w:val="0"/>
          <w:marTop w:val="0"/>
          <w:marBottom w:val="0"/>
          <w:divBdr>
            <w:top w:val="none" w:sz="0" w:space="0" w:color="auto"/>
            <w:left w:val="none" w:sz="0" w:space="0" w:color="auto"/>
            <w:bottom w:val="none" w:sz="0" w:space="0" w:color="auto"/>
            <w:right w:val="none" w:sz="0" w:space="0" w:color="auto"/>
          </w:divBdr>
        </w:div>
        <w:div w:id="919413249">
          <w:marLeft w:val="0"/>
          <w:marRight w:val="0"/>
          <w:marTop w:val="0"/>
          <w:marBottom w:val="0"/>
          <w:divBdr>
            <w:top w:val="none" w:sz="0" w:space="0" w:color="auto"/>
            <w:left w:val="none" w:sz="0" w:space="0" w:color="auto"/>
            <w:bottom w:val="none" w:sz="0" w:space="0" w:color="auto"/>
            <w:right w:val="none" w:sz="0" w:space="0" w:color="auto"/>
          </w:divBdr>
        </w:div>
        <w:div w:id="161631162">
          <w:marLeft w:val="0"/>
          <w:marRight w:val="0"/>
          <w:marTop w:val="0"/>
          <w:marBottom w:val="0"/>
          <w:divBdr>
            <w:top w:val="none" w:sz="0" w:space="0" w:color="auto"/>
            <w:left w:val="none" w:sz="0" w:space="0" w:color="auto"/>
            <w:bottom w:val="none" w:sz="0" w:space="0" w:color="auto"/>
            <w:right w:val="none" w:sz="0" w:space="0" w:color="auto"/>
          </w:divBdr>
        </w:div>
        <w:div w:id="765152726">
          <w:marLeft w:val="0"/>
          <w:marRight w:val="0"/>
          <w:marTop w:val="0"/>
          <w:marBottom w:val="0"/>
          <w:divBdr>
            <w:top w:val="none" w:sz="0" w:space="0" w:color="auto"/>
            <w:left w:val="none" w:sz="0" w:space="0" w:color="auto"/>
            <w:bottom w:val="none" w:sz="0" w:space="0" w:color="auto"/>
            <w:right w:val="none" w:sz="0" w:space="0" w:color="auto"/>
          </w:divBdr>
        </w:div>
        <w:div w:id="703750143">
          <w:marLeft w:val="0"/>
          <w:marRight w:val="0"/>
          <w:marTop w:val="0"/>
          <w:marBottom w:val="0"/>
          <w:divBdr>
            <w:top w:val="none" w:sz="0" w:space="0" w:color="auto"/>
            <w:left w:val="none" w:sz="0" w:space="0" w:color="auto"/>
            <w:bottom w:val="none" w:sz="0" w:space="0" w:color="auto"/>
            <w:right w:val="none" w:sz="0" w:space="0" w:color="auto"/>
          </w:divBdr>
        </w:div>
        <w:div w:id="1497182859">
          <w:marLeft w:val="0"/>
          <w:marRight w:val="0"/>
          <w:marTop w:val="0"/>
          <w:marBottom w:val="0"/>
          <w:divBdr>
            <w:top w:val="none" w:sz="0" w:space="0" w:color="auto"/>
            <w:left w:val="none" w:sz="0" w:space="0" w:color="auto"/>
            <w:bottom w:val="none" w:sz="0" w:space="0" w:color="auto"/>
            <w:right w:val="none" w:sz="0" w:space="0" w:color="auto"/>
          </w:divBdr>
        </w:div>
        <w:div w:id="244342136">
          <w:marLeft w:val="0"/>
          <w:marRight w:val="0"/>
          <w:marTop w:val="0"/>
          <w:marBottom w:val="0"/>
          <w:divBdr>
            <w:top w:val="none" w:sz="0" w:space="0" w:color="auto"/>
            <w:left w:val="none" w:sz="0" w:space="0" w:color="auto"/>
            <w:bottom w:val="none" w:sz="0" w:space="0" w:color="auto"/>
            <w:right w:val="none" w:sz="0" w:space="0" w:color="auto"/>
          </w:divBdr>
        </w:div>
        <w:div w:id="1622105554">
          <w:marLeft w:val="0"/>
          <w:marRight w:val="0"/>
          <w:marTop w:val="0"/>
          <w:marBottom w:val="0"/>
          <w:divBdr>
            <w:top w:val="none" w:sz="0" w:space="0" w:color="auto"/>
            <w:left w:val="none" w:sz="0" w:space="0" w:color="auto"/>
            <w:bottom w:val="none" w:sz="0" w:space="0" w:color="auto"/>
            <w:right w:val="none" w:sz="0" w:space="0" w:color="auto"/>
          </w:divBdr>
        </w:div>
        <w:div w:id="1502039869">
          <w:marLeft w:val="0"/>
          <w:marRight w:val="0"/>
          <w:marTop w:val="0"/>
          <w:marBottom w:val="0"/>
          <w:divBdr>
            <w:top w:val="none" w:sz="0" w:space="0" w:color="auto"/>
            <w:left w:val="none" w:sz="0" w:space="0" w:color="auto"/>
            <w:bottom w:val="none" w:sz="0" w:space="0" w:color="auto"/>
            <w:right w:val="none" w:sz="0" w:space="0" w:color="auto"/>
          </w:divBdr>
          <w:divsChild>
            <w:div w:id="1803183924">
              <w:marLeft w:val="0"/>
              <w:marRight w:val="360"/>
              <w:marTop w:val="0"/>
              <w:marBottom w:val="0"/>
              <w:divBdr>
                <w:top w:val="none" w:sz="0" w:space="0" w:color="auto"/>
                <w:left w:val="none" w:sz="0" w:space="0" w:color="auto"/>
                <w:bottom w:val="none" w:sz="0" w:space="0" w:color="auto"/>
                <w:right w:val="none" w:sz="0" w:space="0" w:color="auto"/>
              </w:divBdr>
            </w:div>
          </w:divsChild>
        </w:div>
        <w:div w:id="2076313996">
          <w:marLeft w:val="0"/>
          <w:marRight w:val="0"/>
          <w:marTop w:val="0"/>
          <w:marBottom w:val="0"/>
          <w:divBdr>
            <w:top w:val="none" w:sz="0" w:space="0" w:color="auto"/>
            <w:left w:val="none" w:sz="0" w:space="0" w:color="auto"/>
            <w:bottom w:val="none" w:sz="0" w:space="0" w:color="auto"/>
            <w:right w:val="none" w:sz="0" w:space="0" w:color="auto"/>
          </w:divBdr>
        </w:div>
        <w:div w:id="1528325289">
          <w:marLeft w:val="0"/>
          <w:marRight w:val="0"/>
          <w:marTop w:val="0"/>
          <w:marBottom w:val="0"/>
          <w:divBdr>
            <w:top w:val="none" w:sz="0" w:space="0" w:color="auto"/>
            <w:left w:val="none" w:sz="0" w:space="0" w:color="auto"/>
            <w:bottom w:val="none" w:sz="0" w:space="0" w:color="auto"/>
            <w:right w:val="none" w:sz="0" w:space="0" w:color="auto"/>
          </w:divBdr>
        </w:div>
        <w:div w:id="1414816644">
          <w:marLeft w:val="0"/>
          <w:marRight w:val="0"/>
          <w:marTop w:val="0"/>
          <w:marBottom w:val="0"/>
          <w:divBdr>
            <w:top w:val="none" w:sz="0" w:space="0" w:color="auto"/>
            <w:left w:val="none" w:sz="0" w:space="0" w:color="auto"/>
            <w:bottom w:val="none" w:sz="0" w:space="0" w:color="auto"/>
            <w:right w:val="none" w:sz="0" w:space="0" w:color="auto"/>
          </w:divBdr>
        </w:div>
        <w:div w:id="1631592540">
          <w:marLeft w:val="0"/>
          <w:marRight w:val="0"/>
          <w:marTop w:val="0"/>
          <w:marBottom w:val="0"/>
          <w:divBdr>
            <w:top w:val="none" w:sz="0" w:space="0" w:color="auto"/>
            <w:left w:val="none" w:sz="0" w:space="0" w:color="auto"/>
            <w:bottom w:val="none" w:sz="0" w:space="0" w:color="auto"/>
            <w:right w:val="none" w:sz="0" w:space="0" w:color="auto"/>
          </w:divBdr>
        </w:div>
        <w:div w:id="2019379579">
          <w:marLeft w:val="0"/>
          <w:marRight w:val="0"/>
          <w:marTop w:val="0"/>
          <w:marBottom w:val="0"/>
          <w:divBdr>
            <w:top w:val="none" w:sz="0" w:space="0" w:color="auto"/>
            <w:left w:val="none" w:sz="0" w:space="0" w:color="auto"/>
            <w:bottom w:val="none" w:sz="0" w:space="0" w:color="auto"/>
            <w:right w:val="none" w:sz="0" w:space="0" w:color="auto"/>
          </w:divBdr>
        </w:div>
        <w:div w:id="3821713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74/jbc.271.38.23121"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6771E1-8B39-48A6-A6C5-25B83501A42F}">
  <ds:schemaRefs>
    <ds:schemaRef ds:uri="http://schemas.microsoft.com/sharepoint/v3/contenttype/forms"/>
  </ds:schemaRefs>
</ds:datastoreItem>
</file>

<file path=customXml/itemProps2.xml><?xml version="1.0" encoding="utf-8"?>
<ds:datastoreItem xmlns:ds="http://schemas.openxmlformats.org/officeDocument/2006/customXml" ds:itemID="{8876E6CC-BA0C-4918-B114-56141D05A1FE}">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236B43CC-FA00-404B-92CC-C09843E341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4787</Words>
  <Characters>27287</Characters>
  <Application>Microsoft Office Word</Application>
  <DocSecurity>8</DocSecurity>
  <Lines>227</Lines>
  <Paragraphs>64</Paragraphs>
  <ScaleCrop>false</ScaleCrop>
  <Company/>
  <LinksUpToDate>false</LinksUpToDate>
  <CharactersWithSpaces>32010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21</cp:revision>
  <dcterms:created xsi:type="dcterms:W3CDTF">2022-09-07T16:34:00Z</dcterms:created>
  <dcterms:modified xsi:type="dcterms:W3CDTF">2022-10-05T19:24:00Z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