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900D37">
      <w:pPr>
        <w:pStyle w:val="Default"/>
        <w:spacing w:line="240" w:lineRule="auto"/>
        <w:rPr>
          <w:rFonts w:asciiTheme="minorHAnsi" w:hAnsiTheme="minorHAnsi" w:cstheme="minorHAnsi"/>
          <w:sz w:val="22"/>
          <w:szCs w:val="22"/>
        </w:rPr>
      </w:pPr>
    </w:p>
    <w:p w14:paraId="2538F7F5" w14:textId="77777777" w:rsidR="000A7622" w:rsidRPr="00C04F25" w:rsidRDefault="000A7622" w:rsidP="00900D37">
      <w:pPr>
        <w:autoSpaceDE w:val="0"/>
        <w:autoSpaceDN w:val="0"/>
        <w:adjustRightInd w:val="0"/>
        <w:spacing w:line="240" w:lineRule="auto"/>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900D37">
      <w:pPr>
        <w:autoSpaceDE w:val="0"/>
        <w:autoSpaceDN w:val="0"/>
        <w:adjustRightInd w:val="0"/>
        <w:spacing w:line="240" w:lineRule="auto"/>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900D37">
      <w:pPr>
        <w:autoSpaceDE w:val="0"/>
        <w:autoSpaceDN w:val="0"/>
        <w:adjustRightInd w:val="0"/>
        <w:spacing w:line="240" w:lineRule="auto"/>
        <w:rPr>
          <w:rFonts w:cstheme="minorHAnsi"/>
          <w:b/>
          <w:bCs/>
          <w:i/>
          <w:iCs/>
        </w:rPr>
      </w:pPr>
    </w:p>
    <w:p w14:paraId="161853CC" w14:textId="38531BEF" w:rsidR="000A7622" w:rsidRPr="00C04F25" w:rsidRDefault="00195D7A" w:rsidP="00900D37">
      <w:pPr>
        <w:autoSpaceDE w:val="0"/>
        <w:autoSpaceDN w:val="0"/>
        <w:adjustRightInd w:val="0"/>
        <w:spacing w:line="240" w:lineRule="auto"/>
        <w:rPr>
          <w:rFonts w:cstheme="minorHAnsi"/>
          <w:b/>
          <w:bCs/>
          <w:i/>
          <w:iCs/>
          <w:sz w:val="32"/>
          <w:szCs w:val="32"/>
        </w:rPr>
      </w:pPr>
      <w:r>
        <w:rPr>
          <w:rFonts w:cstheme="minorHAnsi"/>
          <w:b/>
          <w:bCs/>
          <w:i/>
          <w:iCs/>
          <w:sz w:val="32"/>
          <w:szCs w:val="32"/>
        </w:rPr>
        <w:t xml:space="preserve">Sociology </w:t>
      </w:r>
      <w:r w:rsidR="000A7622" w:rsidRPr="00C04F25">
        <w:rPr>
          <w:rFonts w:cstheme="minorHAnsi"/>
          <w:b/>
          <w:bCs/>
          <w:i/>
          <w:iCs/>
          <w:sz w:val="32"/>
          <w:szCs w:val="32"/>
        </w:rPr>
        <w:t>Faculty Research and Publications/</w:t>
      </w:r>
      <w:r w:rsidR="00735C37">
        <w:rPr>
          <w:rFonts w:cstheme="minorHAnsi"/>
          <w:b/>
          <w:bCs/>
          <w:i/>
          <w:iCs/>
          <w:sz w:val="32"/>
          <w:szCs w:val="32"/>
        </w:rPr>
        <w:t>College of</w:t>
      </w:r>
      <w:r>
        <w:rPr>
          <w:rFonts w:cstheme="minorHAnsi"/>
          <w:b/>
          <w:bCs/>
          <w:i/>
          <w:iCs/>
          <w:sz w:val="32"/>
          <w:szCs w:val="32"/>
        </w:rPr>
        <w:t xml:space="preserve"> Arts and Sciences</w:t>
      </w:r>
    </w:p>
    <w:bookmarkEnd w:id="0"/>
    <w:p w14:paraId="3E538636" w14:textId="77777777" w:rsidR="000A7622" w:rsidRPr="006F33A4" w:rsidRDefault="000A7622" w:rsidP="00900D37">
      <w:pPr>
        <w:spacing w:line="240" w:lineRule="auto"/>
        <w:jc w:val="center"/>
        <w:rPr>
          <w:rFonts w:cstheme="minorHAnsi"/>
          <w:b/>
          <w:bCs/>
          <w:i/>
          <w:iCs/>
        </w:rPr>
      </w:pPr>
    </w:p>
    <w:p w14:paraId="25509BF0" w14:textId="03C4F5A6" w:rsidR="000A7622" w:rsidRPr="00C04F25" w:rsidRDefault="000A7622" w:rsidP="00900D37">
      <w:pPr>
        <w:spacing w:line="240" w:lineRule="auto"/>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4349B9">
        <w:rPr>
          <w:rFonts w:cstheme="minorHAnsi"/>
          <w:sz w:val="24"/>
          <w:szCs w:val="24"/>
        </w:rPr>
        <w:t>e</w:t>
      </w:r>
      <w:r w:rsidRPr="00C04F25">
        <w:rPr>
          <w:rFonts w:cstheme="minorHAnsi"/>
          <w:sz w:val="24"/>
          <w:szCs w:val="24"/>
        </w:rPr>
        <w:t xml:space="preserve"> citation below.</w:t>
      </w:r>
    </w:p>
    <w:p w14:paraId="567B939A" w14:textId="77777777" w:rsidR="0094725C" w:rsidRDefault="0094725C" w:rsidP="00900D37">
      <w:pPr>
        <w:spacing w:line="240" w:lineRule="auto"/>
        <w:rPr>
          <w:rFonts w:cstheme="minorHAnsi"/>
          <w:sz w:val="24"/>
          <w:szCs w:val="24"/>
        </w:rPr>
      </w:pPr>
    </w:p>
    <w:p w14:paraId="5FB233DC" w14:textId="77777777" w:rsidR="0011747E" w:rsidRDefault="00195D7A" w:rsidP="00900D37">
      <w:pPr>
        <w:spacing w:line="240" w:lineRule="auto"/>
        <w:rPr>
          <w:rFonts w:cstheme="minorHAnsi"/>
          <w:sz w:val="24"/>
          <w:szCs w:val="24"/>
        </w:rPr>
      </w:pPr>
      <w:r>
        <w:rPr>
          <w:rFonts w:cstheme="minorHAnsi"/>
          <w:i/>
          <w:iCs/>
          <w:sz w:val="24"/>
          <w:szCs w:val="24"/>
        </w:rPr>
        <w:t>Journal of Drug Issues</w:t>
      </w:r>
      <w:r w:rsidR="000A7622" w:rsidRPr="00C04F25">
        <w:rPr>
          <w:rFonts w:cstheme="minorHAnsi"/>
          <w:sz w:val="24"/>
          <w:szCs w:val="24"/>
          <w:lang w:val="fr-FR"/>
        </w:rPr>
        <w:t>,</w:t>
      </w:r>
      <w:r w:rsidR="002D6202">
        <w:rPr>
          <w:rFonts w:cstheme="minorHAnsi"/>
          <w:sz w:val="24"/>
          <w:szCs w:val="24"/>
          <w:lang w:val="fr-FR"/>
        </w:rPr>
        <w:t xml:space="preserve"> Vol. </w:t>
      </w:r>
      <w:r w:rsidR="0011747E">
        <w:rPr>
          <w:rFonts w:cstheme="minorHAnsi"/>
          <w:sz w:val="24"/>
          <w:szCs w:val="24"/>
          <w:lang w:val="fr-FR"/>
        </w:rPr>
        <w:t>49,</w:t>
      </w:r>
      <w:r w:rsidR="002D6202">
        <w:rPr>
          <w:rFonts w:cstheme="minorHAnsi"/>
          <w:sz w:val="24"/>
          <w:szCs w:val="24"/>
          <w:lang w:val="fr-FR"/>
        </w:rPr>
        <w:t xml:space="preserve"> No. </w:t>
      </w:r>
      <w:r w:rsidR="0011747E">
        <w:rPr>
          <w:rFonts w:cstheme="minorHAnsi"/>
          <w:sz w:val="24"/>
          <w:szCs w:val="24"/>
          <w:lang w:val="fr-FR"/>
        </w:rPr>
        <w:t>1</w:t>
      </w:r>
      <w:r w:rsidR="00F90084">
        <w:rPr>
          <w:rFonts w:cstheme="minorHAnsi"/>
          <w:sz w:val="24"/>
          <w:szCs w:val="24"/>
          <w:lang w:val="fr-FR"/>
        </w:rPr>
        <w:t xml:space="preserve"> </w:t>
      </w:r>
      <w:r w:rsidR="000A7622" w:rsidRPr="00C04F25">
        <w:rPr>
          <w:rFonts w:cstheme="minorHAnsi"/>
          <w:sz w:val="24"/>
          <w:szCs w:val="24"/>
          <w:lang w:val="fr-FR"/>
        </w:rPr>
        <w:t>(</w:t>
      </w:r>
      <w:r w:rsidR="0011747E">
        <w:rPr>
          <w:rFonts w:cstheme="minorHAnsi"/>
          <w:sz w:val="24"/>
          <w:szCs w:val="24"/>
          <w:lang w:val="fr-FR"/>
        </w:rPr>
        <w:t>2019</w:t>
      </w:r>
      <w:r w:rsidR="000A7622" w:rsidRPr="00C04F25">
        <w:rPr>
          <w:rFonts w:cstheme="minorHAnsi"/>
          <w:sz w:val="24"/>
          <w:szCs w:val="24"/>
          <w:lang w:val="fr-FR"/>
        </w:rPr>
        <w:t xml:space="preserve">): </w:t>
      </w:r>
      <w:r w:rsidR="0011747E">
        <w:rPr>
          <w:rFonts w:cstheme="minorHAnsi"/>
          <w:sz w:val="24"/>
          <w:szCs w:val="24"/>
          <w:lang w:val="fr-FR"/>
        </w:rPr>
        <w:t>183-200</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This article is ©</w:t>
      </w:r>
      <w:r w:rsidR="0011747E">
        <w:rPr>
          <w:rFonts w:cstheme="minorHAnsi"/>
          <w:sz w:val="24"/>
          <w:szCs w:val="24"/>
        </w:rPr>
        <w:t>SAGE Publications</w:t>
      </w:r>
      <w:r w:rsidR="00765C79">
        <w:rPr>
          <w:rFonts w:cstheme="minorHAnsi"/>
          <w:sz w:val="24"/>
          <w:szCs w:val="24"/>
        </w:rPr>
        <w:t xml:space="preserve"> </w:t>
      </w:r>
      <w:r w:rsidR="000A7622" w:rsidRPr="00C04F25">
        <w:rPr>
          <w:rFonts w:cstheme="minorHAnsi"/>
          <w:sz w:val="24"/>
          <w:szCs w:val="24"/>
        </w:rPr>
        <w:t xml:space="preserve">and permission has been granted for this version to appear in </w:t>
      </w:r>
      <w:hyperlink r:id="rId9"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11747E">
        <w:rPr>
          <w:rFonts w:cstheme="minorHAnsi"/>
          <w:sz w:val="24"/>
          <w:szCs w:val="24"/>
        </w:rPr>
        <w:t>SAGE Publications</w:t>
      </w:r>
      <w:r w:rsidR="00ED6537">
        <w:rPr>
          <w:rFonts w:cstheme="minorHAnsi"/>
          <w:sz w:val="24"/>
          <w:szCs w:val="24"/>
        </w:rPr>
        <w:t xml:space="preserve"> </w:t>
      </w:r>
      <w:r w:rsidR="000A7622" w:rsidRPr="00C04F25">
        <w:rPr>
          <w:rFonts w:cstheme="minorHAnsi"/>
          <w:sz w:val="24"/>
          <w:szCs w:val="24"/>
        </w:rPr>
        <w:t>does not grant per</w:t>
      </w:r>
      <w:bookmarkStart w:id="2" w:name="_GoBack"/>
      <w:bookmarkEnd w:id="2"/>
      <w:r w:rsidR="000A7622" w:rsidRPr="00C04F25">
        <w:rPr>
          <w:rFonts w:cstheme="minorHAnsi"/>
          <w:sz w:val="24"/>
          <w:szCs w:val="24"/>
        </w:rPr>
        <w:t xml:space="preserve">mission for this article to be further copied/distributed or hosted elsewhere without the express permission from </w:t>
      </w:r>
      <w:bookmarkEnd w:id="1"/>
      <w:r w:rsidR="0011747E">
        <w:rPr>
          <w:rFonts w:cstheme="minorHAnsi"/>
          <w:sz w:val="24"/>
          <w:szCs w:val="24"/>
        </w:rPr>
        <w:t>SAGE Publications</w:t>
      </w:r>
      <w:r w:rsidR="00765C79">
        <w:rPr>
          <w:rFonts w:cstheme="minorHAnsi"/>
          <w:sz w:val="24"/>
          <w:szCs w:val="24"/>
        </w:rPr>
        <w:t>.</w:t>
      </w:r>
    </w:p>
    <w:p w14:paraId="06F027D1" w14:textId="77777777" w:rsidR="0011747E" w:rsidRDefault="0011747E" w:rsidP="0011747E">
      <w:pPr>
        <w:pStyle w:val="NoSpacing"/>
      </w:pPr>
    </w:p>
    <w:p w14:paraId="5D737718" w14:textId="77777777" w:rsidR="0011747E" w:rsidRDefault="0011747E" w:rsidP="0011747E">
      <w:pPr>
        <w:pStyle w:val="NoSpacing"/>
      </w:pPr>
    </w:p>
    <w:p w14:paraId="7FCB0607" w14:textId="77777777" w:rsidR="00A205A3" w:rsidRPr="00A205A3" w:rsidRDefault="00A205A3" w:rsidP="00A205A3">
      <w:pPr>
        <w:pStyle w:val="Title"/>
      </w:pPr>
      <w:r w:rsidRPr="00A205A3">
        <w:t xml:space="preserve">The Relationship Between Alcohol Beverage Types and Violence </w:t>
      </w:r>
    </w:p>
    <w:p w14:paraId="4AD29E5E" w14:textId="77777777" w:rsidR="0011747E" w:rsidRDefault="0011747E" w:rsidP="0011747E">
      <w:pPr>
        <w:pStyle w:val="NoSpacing"/>
      </w:pPr>
    </w:p>
    <w:p w14:paraId="1484F08F" w14:textId="6DBDA0FF" w:rsidR="0011747E" w:rsidRPr="006F4263" w:rsidRDefault="00A205A3" w:rsidP="006F4263">
      <w:pPr>
        <w:pStyle w:val="NoSpacing"/>
        <w:rPr>
          <w:sz w:val="28"/>
          <w:szCs w:val="28"/>
        </w:rPr>
      </w:pPr>
      <w:r w:rsidRPr="006F4263">
        <w:rPr>
          <w:sz w:val="28"/>
          <w:szCs w:val="28"/>
        </w:rPr>
        <w:t>Aleksandra J. Snowden</w:t>
      </w:r>
    </w:p>
    <w:p w14:paraId="1ED65784" w14:textId="1E79F7D5" w:rsidR="00A205A3" w:rsidRPr="006F4263" w:rsidRDefault="00A205A3" w:rsidP="006F4263">
      <w:pPr>
        <w:pStyle w:val="NoSpacing"/>
      </w:pPr>
      <w:r w:rsidRPr="006F4263">
        <w:t>Marquette University, Milwaukee, WI</w:t>
      </w:r>
    </w:p>
    <w:p w14:paraId="4825726E" w14:textId="5FA3CDCF" w:rsidR="00A205A3" w:rsidRDefault="00A205A3" w:rsidP="0011747E">
      <w:pPr>
        <w:pStyle w:val="NoSpacing"/>
      </w:pPr>
    </w:p>
    <w:p w14:paraId="2A1B74F6" w14:textId="5B7A4A9B" w:rsidR="00A205A3" w:rsidRDefault="00A205A3" w:rsidP="00A205A3">
      <w:pPr>
        <w:pStyle w:val="Heading1"/>
      </w:pPr>
      <w:r>
        <w:t>Abstract</w:t>
      </w:r>
    </w:p>
    <w:p w14:paraId="7D8D02A8" w14:textId="717E231E" w:rsidR="006F4263" w:rsidRPr="006F4263" w:rsidRDefault="006F4263" w:rsidP="006F4263">
      <w:pPr>
        <w:pStyle w:val="NoSpacing"/>
      </w:pPr>
      <w:r>
        <w:t>There is substantial evidence of an ecological association between off-premise alcohol outlets and violence. We know less, however, about how specific beverage types that are sold in the outlets might explain the difference in violence rates across different alcohol outlets. Data on alcohol beverage types were collected for all off-premise alcohol outlets in Milwaukee, Wisconsin, using a systematic social observation instrument. Spatially lagged regression models were estimated to determine whether the variation in alcohol beverage types is related to robbery density net of important neighborhood predictors of crime rates. Availability of all alcohol beverage types (beer, wine, spirits, premixed, single beer, single spirits, single premixed) was positively associated with the density of robberies, net of neighborhood characteristics. Reducing alcohol beverages, regardless of the beverage type, sold at off-premise alcohol outlets may reduce violence in communities.</w:t>
      </w:r>
    </w:p>
    <w:p w14:paraId="024589B9" w14:textId="0F1637FA" w:rsidR="00A205A3" w:rsidRDefault="00A205A3" w:rsidP="00A205A3">
      <w:pPr>
        <w:pStyle w:val="Heading1"/>
      </w:pPr>
      <w:r>
        <w:t>Keywords</w:t>
      </w:r>
    </w:p>
    <w:p w14:paraId="626E31E2" w14:textId="4606F89C" w:rsidR="006F4263" w:rsidRPr="006F4263" w:rsidRDefault="008D7C0C" w:rsidP="008D7C0C">
      <w:pPr>
        <w:pStyle w:val="NoSpacing"/>
      </w:pPr>
      <w:r w:rsidRPr="008D7C0C">
        <w:t>alcohol beverage types</w:t>
      </w:r>
      <w:r>
        <w:t xml:space="preserve">, </w:t>
      </w:r>
      <w:r w:rsidRPr="008D7C0C">
        <w:t>alcohol availability robbery</w:t>
      </w:r>
      <w:r>
        <w:t xml:space="preserve">, </w:t>
      </w:r>
      <w:r w:rsidRPr="008D7C0C">
        <w:t>violence</w:t>
      </w:r>
    </w:p>
    <w:p w14:paraId="74F434BE" w14:textId="147C5776" w:rsidR="00A205A3" w:rsidRDefault="00A205A3" w:rsidP="00A205A3">
      <w:pPr>
        <w:pStyle w:val="Heading1"/>
      </w:pPr>
      <w:r>
        <w:lastRenderedPageBreak/>
        <w:t>Introduction</w:t>
      </w:r>
    </w:p>
    <w:p w14:paraId="14B7A8FC" w14:textId="4C756B0E" w:rsidR="008D7C0C" w:rsidRDefault="008D7C0C" w:rsidP="00BC596D">
      <w:pPr>
        <w:pStyle w:val="NoSpacing"/>
      </w:pPr>
      <w:r>
        <w:t>The prevalence of interpersonal violence is very high in the United States. The U.S. homicide rate of 5/100,000 population and equally troubling U.S. suicide rate of 14.3/100,000 population present a serious public health problem with high social and economic costs (</w:t>
      </w:r>
      <w:hyperlink r:id="rId10" w:history="1">
        <w:r>
          <w:rPr>
            <w:rStyle w:val="Hyperlink"/>
          </w:rPr>
          <w:t>World Health Organization, 2015</w:t>
        </w:r>
      </w:hyperlink>
      <w:r>
        <w:t>). When interpersonal violence patterns are examined across space, it seems that certain areas and cities within the United States experience a disproportionate amount of violence. In other words, the U.S. violent crime rate of 386.3/100,000 population is somewhat deceiving because for some large U.S. cities, the violent crime rate is many times higher. For example, the Detroit, Michigan, crime rate is more than 5 times higher than the national crime rate (2,047/100,000 population) and the crime rate of other U.S. cities is nearly as high (e.g., Memphis, Tennessee, violent crime rate is 1,820/100,000 population; Baltimore, Maryland, violent crime rate is 1,780/100,000 population; and Milwaukee, Wisconsin, violent crime rate is 1,533/100,000 population) (</w:t>
      </w:r>
      <w:hyperlink r:id="rId11" w:history="1">
        <w:r>
          <w:rPr>
            <w:rStyle w:val="Hyperlink"/>
          </w:rPr>
          <w:t>U.S. Department of Justice, 2016</w:t>
        </w:r>
      </w:hyperlink>
      <w:r>
        <w:t>).</w:t>
      </w:r>
    </w:p>
    <w:p w14:paraId="4F98DB84" w14:textId="77777777" w:rsidR="00BC596D" w:rsidRDefault="00BC596D" w:rsidP="00BC596D">
      <w:pPr>
        <w:pStyle w:val="NoSpacing"/>
      </w:pPr>
    </w:p>
    <w:p w14:paraId="64DA9679" w14:textId="0F313FFD" w:rsidR="008D7C0C" w:rsidRDefault="008D7C0C" w:rsidP="00BC596D">
      <w:pPr>
        <w:pStyle w:val="NoSpacing"/>
      </w:pPr>
      <w:r>
        <w:t>Considering area-level violence rates, one could explain the variation in violence based on the neighborhood characteristics of the area, as well as the types of places that are licensed to operate in the area. Drawing from the social disorganization theory framework, it is to be expected that some areas have higher violence rates as a result of poverty, ethnic heterogeneity, and population turnover in the areas (</w:t>
      </w:r>
      <w:hyperlink r:id="rId12" w:history="1">
        <w:r>
          <w:rPr>
            <w:rStyle w:val="Hyperlink"/>
          </w:rPr>
          <w:t>Shaw &amp; McKay, 1942</w:t>
        </w:r>
      </w:hyperlink>
      <w:r>
        <w:t>). These characteristics create reduced collective efficacy and affect the ability of community residents to organize and control undesirable behavior, including crime (</w:t>
      </w:r>
      <w:hyperlink r:id="rId13" w:history="1">
        <w:r>
          <w:rPr>
            <w:rStyle w:val="Hyperlink"/>
          </w:rPr>
          <w:t>Sampson &amp; Groves, 1989</w:t>
        </w:r>
      </w:hyperlink>
      <w:r>
        <w:t xml:space="preserve">; </w:t>
      </w:r>
      <w:hyperlink r:id="rId14" w:history="1">
        <w:r>
          <w:rPr>
            <w:rStyle w:val="Hyperlink"/>
          </w:rPr>
          <w:t xml:space="preserve">Sampson, </w:t>
        </w:r>
        <w:proofErr w:type="spellStart"/>
        <w:r>
          <w:rPr>
            <w:rStyle w:val="Hyperlink"/>
          </w:rPr>
          <w:t>Morenoff</w:t>
        </w:r>
        <w:proofErr w:type="spellEnd"/>
        <w:r>
          <w:rPr>
            <w:rStyle w:val="Hyperlink"/>
          </w:rPr>
          <w:t>, &amp; Gannon-Rowley, 2002</w:t>
        </w:r>
      </w:hyperlink>
      <w:r>
        <w:t xml:space="preserve">; </w:t>
      </w:r>
      <w:hyperlink r:id="rId15" w:history="1">
        <w:r>
          <w:rPr>
            <w:rStyle w:val="Hyperlink"/>
          </w:rPr>
          <w:t xml:space="preserve">Sampson, </w:t>
        </w:r>
        <w:proofErr w:type="spellStart"/>
        <w:r>
          <w:rPr>
            <w:rStyle w:val="Hyperlink"/>
          </w:rPr>
          <w:t>Raudenbush</w:t>
        </w:r>
        <w:proofErr w:type="spellEnd"/>
        <w:r>
          <w:rPr>
            <w:rStyle w:val="Hyperlink"/>
          </w:rPr>
          <w:t>, &amp; Earls, 1997</w:t>
        </w:r>
      </w:hyperlink>
      <w:r>
        <w:t>). Importantly, socially disorganized areas seem to have disproportionately higher availability of alcohol outlets (</w:t>
      </w:r>
      <w:hyperlink r:id="rId16" w:history="1">
        <w:r>
          <w:rPr>
            <w:rStyle w:val="Hyperlink"/>
          </w:rPr>
          <w:t>Snowden, 2016</w:t>
        </w:r>
      </w:hyperlink>
      <w:r>
        <w:t>), and, therefore, any investigation of area-level violence rates warrants including not only neighborhood characteristics but also alcohol availability measures in the analyses. Area-level violence rates may be related to the extent to which the areas also host particular places (such as alcohol outlets) that attract motivated offenders in search of vulnerable victims, and which lack capable guardians (</w:t>
      </w:r>
      <w:hyperlink r:id="rId17" w:history="1">
        <w:r>
          <w:rPr>
            <w:rStyle w:val="Hyperlink"/>
          </w:rPr>
          <w:t>Cohen &amp; Felson, 1979</w:t>
        </w:r>
      </w:hyperlink>
      <w:r>
        <w:t>). For example, on-premise alcohol outlets may serve as crime attractors (</w:t>
      </w:r>
      <w:proofErr w:type="spellStart"/>
      <w:r>
        <w:fldChar w:fldCharType="begin"/>
      </w:r>
      <w:r>
        <w:instrText xml:space="preserve"> HYPERLINK "https://journals.sagepub.com/doi/10.1177/0022042618812406" </w:instrText>
      </w:r>
      <w:r>
        <w:fldChar w:fldCharType="separate"/>
      </w:r>
      <w:r>
        <w:rPr>
          <w:rStyle w:val="Hyperlink"/>
        </w:rPr>
        <w:t>Brantingham</w:t>
      </w:r>
      <w:proofErr w:type="spellEnd"/>
      <w:r>
        <w:rPr>
          <w:rStyle w:val="Hyperlink"/>
        </w:rPr>
        <w:t xml:space="preserve"> &amp; </w:t>
      </w:r>
      <w:proofErr w:type="spellStart"/>
      <w:r>
        <w:rPr>
          <w:rStyle w:val="Hyperlink"/>
        </w:rPr>
        <w:t>Brantingham</w:t>
      </w:r>
      <w:proofErr w:type="spellEnd"/>
      <w:r>
        <w:rPr>
          <w:rStyle w:val="Hyperlink"/>
        </w:rPr>
        <w:t>, 1995</w:t>
      </w:r>
      <w:r>
        <w:fldChar w:fldCharType="end"/>
      </w:r>
      <w:r>
        <w:t>) in late night hours, when motivated offenders look for robbery opportunities at a time when bar or club patrons leave the guarded premises of the outlet, and off-premise outlets may generate crime (</w:t>
      </w:r>
      <w:proofErr w:type="spellStart"/>
      <w:r>
        <w:fldChar w:fldCharType="begin"/>
      </w:r>
      <w:r>
        <w:instrText xml:space="preserve"> HYPERLINK "https://journals.sagepub.com/doi/10.1177/0022042618812406" </w:instrText>
      </w:r>
      <w:r>
        <w:fldChar w:fldCharType="separate"/>
      </w:r>
      <w:r>
        <w:rPr>
          <w:rStyle w:val="Hyperlink"/>
        </w:rPr>
        <w:t>Brantingham</w:t>
      </w:r>
      <w:proofErr w:type="spellEnd"/>
      <w:r>
        <w:rPr>
          <w:rStyle w:val="Hyperlink"/>
        </w:rPr>
        <w:t xml:space="preserve"> &amp; </w:t>
      </w:r>
      <w:proofErr w:type="spellStart"/>
      <w:r>
        <w:rPr>
          <w:rStyle w:val="Hyperlink"/>
        </w:rPr>
        <w:t>Brantingham</w:t>
      </w:r>
      <w:proofErr w:type="spellEnd"/>
      <w:r>
        <w:rPr>
          <w:rStyle w:val="Hyperlink"/>
        </w:rPr>
        <w:t>, 1995</w:t>
      </w:r>
      <w:r>
        <w:fldChar w:fldCharType="end"/>
      </w:r>
      <w:r>
        <w:t>) in early evening hours, when these outlets experience most patron traffic, and provide a suitable time and place for criminal opportunities (</w:t>
      </w:r>
      <w:hyperlink r:id="rId18" w:history="1">
        <w:r>
          <w:rPr>
            <w:rStyle w:val="Hyperlink"/>
          </w:rPr>
          <w:t>Snowden, 2018</w:t>
        </w:r>
      </w:hyperlink>
      <w:r>
        <w:t>).</w:t>
      </w:r>
    </w:p>
    <w:p w14:paraId="6F7090F1" w14:textId="77777777" w:rsidR="00BC596D" w:rsidRDefault="00BC596D" w:rsidP="00BC596D">
      <w:pPr>
        <w:pStyle w:val="NoSpacing"/>
      </w:pPr>
    </w:p>
    <w:p w14:paraId="30CB9260" w14:textId="2DB24F4F" w:rsidR="008D7C0C" w:rsidRDefault="008D7C0C" w:rsidP="00BC596D">
      <w:pPr>
        <w:pStyle w:val="NoSpacing"/>
      </w:pPr>
      <w:r>
        <w:t xml:space="preserve">To be sure, area-level (i.e., zip code, census tract, or block group) examinations of violence suggest that alcohol outlets are the type of places that are important predictors of violence (for a summary of the recent alcohol-violence literature, see </w:t>
      </w:r>
      <w:hyperlink r:id="rId19" w:history="1">
        <w:r>
          <w:rPr>
            <w:rStyle w:val="Hyperlink"/>
          </w:rPr>
          <w:t xml:space="preserve">Snowden &amp; </w:t>
        </w:r>
        <w:proofErr w:type="spellStart"/>
        <w:r>
          <w:rPr>
            <w:rStyle w:val="Hyperlink"/>
          </w:rPr>
          <w:t>Pridemore</w:t>
        </w:r>
        <w:proofErr w:type="spellEnd"/>
        <w:r>
          <w:rPr>
            <w:rStyle w:val="Hyperlink"/>
          </w:rPr>
          <w:t>, 2017</w:t>
        </w:r>
      </w:hyperlink>
      <w:r>
        <w:t>). Examining the relationship between alcohol outlets (both on-premise and off-premise) and violence in zip code areas in California and controlling for neighborhood characteristics, Gruenewald and colleagues found that high assault rates were positively and significantly related to off-premise outlet density (</w:t>
      </w:r>
      <w:hyperlink r:id="rId20" w:history="1">
        <w:r>
          <w:rPr>
            <w:rStyle w:val="Hyperlink"/>
          </w:rPr>
          <w:t xml:space="preserve">Gruenewald, </w:t>
        </w:r>
        <w:proofErr w:type="spellStart"/>
        <w:r>
          <w:rPr>
            <w:rStyle w:val="Hyperlink"/>
          </w:rPr>
          <w:t>Freisthler</w:t>
        </w:r>
        <w:proofErr w:type="spellEnd"/>
        <w:r>
          <w:rPr>
            <w:rStyle w:val="Hyperlink"/>
          </w:rPr>
          <w:t xml:space="preserve">, Remer, </w:t>
        </w:r>
        <w:proofErr w:type="spellStart"/>
        <w:r>
          <w:rPr>
            <w:rStyle w:val="Hyperlink"/>
          </w:rPr>
          <w:t>LaScala</w:t>
        </w:r>
        <w:proofErr w:type="spellEnd"/>
        <w:r>
          <w:rPr>
            <w:rStyle w:val="Hyperlink"/>
          </w:rPr>
          <w:t xml:space="preserve">, &amp; </w:t>
        </w:r>
        <w:proofErr w:type="spellStart"/>
        <w:r>
          <w:rPr>
            <w:rStyle w:val="Hyperlink"/>
          </w:rPr>
          <w:t>Treno</w:t>
        </w:r>
        <w:proofErr w:type="spellEnd"/>
        <w:r>
          <w:rPr>
            <w:rStyle w:val="Hyperlink"/>
          </w:rPr>
          <w:t>, 2006</w:t>
        </w:r>
      </w:hyperlink>
      <w:r>
        <w:t>). In addition, a recent study of small area units in the Canadian region of Waterloo, Ontario, found that both on-premise and off-premise alcohol outlets were positively associated with violence, net of socioeconomic indicators commonly associated with violence (</w:t>
      </w:r>
      <w:hyperlink r:id="rId21" w:history="1">
        <w:r>
          <w:rPr>
            <w:rStyle w:val="Hyperlink"/>
          </w:rPr>
          <w:t>Quick, Law, &amp; Luan, 2017</w:t>
        </w:r>
      </w:hyperlink>
      <w:r>
        <w:t>). This finding was echoed by a study of Cincinnati, Ohio, block groups that found the density of off-premise outlets to be more strongly related to simple and aggravated assaults, relative to on-premise density (</w:t>
      </w:r>
      <w:proofErr w:type="spellStart"/>
      <w:r>
        <w:fldChar w:fldCharType="begin"/>
      </w:r>
      <w:r>
        <w:instrText xml:space="preserve"> HYPERLINK "https://journals.sagepub.com/doi/10.1177/0022042618812406" </w:instrText>
      </w:r>
      <w:r>
        <w:fldChar w:fldCharType="separate"/>
      </w:r>
      <w:r>
        <w:rPr>
          <w:rStyle w:val="Hyperlink"/>
        </w:rPr>
        <w:t>Pridemore</w:t>
      </w:r>
      <w:proofErr w:type="spellEnd"/>
      <w:r>
        <w:rPr>
          <w:rStyle w:val="Hyperlink"/>
        </w:rPr>
        <w:t xml:space="preserve"> &amp; Grubesic, 2013</w:t>
      </w:r>
      <w:r>
        <w:fldChar w:fldCharType="end"/>
      </w:r>
      <w:r>
        <w:t>). Net of neighborhood characteristics, a positive relationship between off-premise alcohol outlets and aggravated assaults was also found in a study of Little Rock, Arkansas, census block groups (</w:t>
      </w:r>
      <w:hyperlink r:id="rId22" w:history="1">
        <w:r>
          <w:rPr>
            <w:rStyle w:val="Hyperlink"/>
          </w:rPr>
          <w:t xml:space="preserve">Berthelot, Brown, &amp; </w:t>
        </w:r>
        <w:proofErr w:type="spellStart"/>
        <w:r>
          <w:rPr>
            <w:rStyle w:val="Hyperlink"/>
          </w:rPr>
          <w:t>Drawve</w:t>
        </w:r>
        <w:proofErr w:type="spellEnd"/>
        <w:r>
          <w:rPr>
            <w:rStyle w:val="Hyperlink"/>
          </w:rPr>
          <w:t>, 2015</w:t>
        </w:r>
      </w:hyperlink>
      <w:r>
        <w:t>). In addition, on-premise outlets were positively associated with both aggravated assault and strong-arm aggravated assault, controlling for neighborhood characteristics (</w:t>
      </w:r>
      <w:hyperlink r:id="rId23" w:history="1">
        <w:r>
          <w:rPr>
            <w:rStyle w:val="Hyperlink"/>
          </w:rPr>
          <w:t xml:space="preserve">Berthelot, Brown, &amp; </w:t>
        </w:r>
        <w:proofErr w:type="spellStart"/>
        <w:r>
          <w:rPr>
            <w:rStyle w:val="Hyperlink"/>
          </w:rPr>
          <w:t>Drawve</w:t>
        </w:r>
        <w:proofErr w:type="spellEnd"/>
        <w:r>
          <w:rPr>
            <w:rStyle w:val="Hyperlink"/>
          </w:rPr>
          <w:t>, 2015</w:t>
        </w:r>
      </w:hyperlink>
      <w:r>
        <w:t>).</w:t>
      </w:r>
    </w:p>
    <w:p w14:paraId="2C994678" w14:textId="77777777" w:rsidR="00BC596D" w:rsidRDefault="00BC596D" w:rsidP="00BC596D">
      <w:pPr>
        <w:pStyle w:val="NoSpacing"/>
      </w:pPr>
    </w:p>
    <w:p w14:paraId="0CBB2E5E" w14:textId="4CB979DA" w:rsidR="008D7C0C" w:rsidRDefault="008D7C0C" w:rsidP="00BC596D">
      <w:pPr>
        <w:pStyle w:val="NoSpacing"/>
      </w:pPr>
      <w:r>
        <w:t xml:space="preserve">When alcohol outlet types are further disaggregated, such as when on-premises are classified as bars or as restaurants and off-premises are classified as convenience, grocery, or liquor stores, it seems that the different subtypes of on- and off-premise alcohol outlets have different associations with violence. First, it seems that </w:t>
      </w:r>
      <w:r>
        <w:lastRenderedPageBreak/>
        <w:t>bars matter more for violence, relative to other on-premise subtypes. For example, a recent study of New Zealand census area units found that both bars/night clubs density and sports clubs density were positively associated with violent incidents, but the effect of bars/night clubs on crime was stronger than that of sports clubs (e.g., each additional bar/night club was associated with 5.3 additional violent crime incidents, whereas each additional sports club was associated with 0.8 additional violent crime incidents) (</w:t>
      </w:r>
      <w:hyperlink r:id="rId24" w:history="1">
        <w:r>
          <w:rPr>
            <w:rStyle w:val="Hyperlink"/>
          </w:rPr>
          <w:t>Cameron, Cochrane, Gordon, &amp; Livingston, 2016</w:t>
        </w:r>
      </w:hyperlink>
      <w:r>
        <w:t>). In addition, although bar density was associated with both simple and aggravated assault density, the density of restaurants was only associated with simple assault density and not with aggravated assault density, suggesting that different on-premise outlets matter in different ways for violence (</w:t>
      </w:r>
      <w:proofErr w:type="spellStart"/>
      <w:r>
        <w:fldChar w:fldCharType="begin"/>
      </w:r>
      <w:r>
        <w:instrText xml:space="preserve"> HYPERLINK "https://journals.sagepub.com/doi/10.1177/0022042618812406" </w:instrText>
      </w:r>
      <w:r>
        <w:fldChar w:fldCharType="separate"/>
      </w:r>
      <w:r>
        <w:rPr>
          <w:rStyle w:val="Hyperlink"/>
        </w:rPr>
        <w:t>Pridemore</w:t>
      </w:r>
      <w:proofErr w:type="spellEnd"/>
      <w:r>
        <w:rPr>
          <w:rStyle w:val="Hyperlink"/>
        </w:rPr>
        <w:t xml:space="preserve"> &amp; Grubesic, 2013</w:t>
      </w:r>
      <w:r>
        <w:fldChar w:fldCharType="end"/>
      </w:r>
      <w:r>
        <w:t>).</w:t>
      </w:r>
    </w:p>
    <w:p w14:paraId="02846F66" w14:textId="77777777" w:rsidR="00BC596D" w:rsidRDefault="00BC596D" w:rsidP="00BC596D">
      <w:pPr>
        <w:pStyle w:val="NoSpacing"/>
      </w:pPr>
    </w:p>
    <w:p w14:paraId="03EE7630" w14:textId="611CA92A" w:rsidR="008D7C0C" w:rsidRDefault="008D7C0C" w:rsidP="00BC596D">
      <w:pPr>
        <w:pStyle w:val="NoSpacing"/>
      </w:pPr>
      <w:r>
        <w:t>Second, off-premise outlet subtypes (such as liquor, convenience, or grocery stores) also have different associations with violence. A study of off-premise alcohol outlets found that liquor stores attract more violent crimes to their vicinity than convenience or corner stores (</w:t>
      </w:r>
      <w:hyperlink r:id="rId25" w:history="1">
        <w:r>
          <w:rPr>
            <w:rStyle w:val="Hyperlink"/>
          </w:rPr>
          <w:t>Furr-Holden et al., 2016</w:t>
        </w:r>
      </w:hyperlink>
      <w:r>
        <w:t>), although in another study, the convenience stores were associated with aggravated assaults, whereas liquor stores were not (</w:t>
      </w:r>
      <w:hyperlink r:id="rId26" w:history="1">
        <w:r>
          <w:rPr>
            <w:rStyle w:val="Hyperlink"/>
          </w:rPr>
          <w:t>Berthelot et al., 2015</w:t>
        </w:r>
      </w:hyperlink>
      <w:r>
        <w:t>). Similarly, a study that used a risk terrain modeling approach to identify specific criminogenic places, including alcohol outlets, within the built environment found that the risk of violent crime was higher for convenience stores, relative to liquor stores (</w:t>
      </w:r>
      <w:proofErr w:type="spellStart"/>
      <w:r>
        <w:fldChar w:fldCharType="begin"/>
      </w:r>
      <w:r>
        <w:instrText xml:space="preserve"> HYPERLINK "https://journals.sagepub.com/doi/10.1177/0022042618812406" </w:instrText>
      </w:r>
      <w:r>
        <w:fldChar w:fldCharType="separate"/>
      </w:r>
      <w:r>
        <w:rPr>
          <w:rStyle w:val="Hyperlink"/>
        </w:rPr>
        <w:t>Drawve</w:t>
      </w:r>
      <w:proofErr w:type="spellEnd"/>
      <w:r>
        <w:rPr>
          <w:rStyle w:val="Hyperlink"/>
        </w:rPr>
        <w:t>, Thomas, &amp; Walker, 2016</w:t>
      </w:r>
      <w:r>
        <w:fldChar w:fldCharType="end"/>
      </w:r>
      <w:r>
        <w:t>). In addition, the study also found that being within 432 feet (equivalent of one city block) of a convenience store and being within 1,712 feet (equivalent of about three city blocks) of a liquor store puts individuals at an increased risk of being a victim of violent crime (</w:t>
      </w:r>
      <w:proofErr w:type="spellStart"/>
      <w:r>
        <w:fldChar w:fldCharType="begin"/>
      </w:r>
      <w:r>
        <w:instrText xml:space="preserve"> HYPERLINK "https://journals.sagepub.com/doi/10.1177/0022042618812406" </w:instrText>
      </w:r>
      <w:r>
        <w:fldChar w:fldCharType="separate"/>
      </w:r>
      <w:r>
        <w:rPr>
          <w:rStyle w:val="Hyperlink"/>
        </w:rPr>
        <w:t>Drawve</w:t>
      </w:r>
      <w:proofErr w:type="spellEnd"/>
      <w:r>
        <w:rPr>
          <w:rStyle w:val="Hyperlink"/>
        </w:rPr>
        <w:t xml:space="preserve"> et al., 2016</w:t>
      </w:r>
      <w:r>
        <w:fldChar w:fldCharType="end"/>
      </w:r>
      <w:r>
        <w:t>), suggesting a spatially close-ranging influence of convenience stores on violence, and a far-ranging influence of liquor stores on violence.</w:t>
      </w:r>
    </w:p>
    <w:p w14:paraId="2392AB11" w14:textId="77777777" w:rsidR="00BC596D" w:rsidRDefault="00BC596D" w:rsidP="00BC596D">
      <w:pPr>
        <w:pStyle w:val="NoSpacing"/>
      </w:pPr>
    </w:p>
    <w:p w14:paraId="6E38BF17" w14:textId="334845DC" w:rsidR="008D7C0C" w:rsidRDefault="008D7C0C" w:rsidP="00BC596D">
      <w:pPr>
        <w:pStyle w:val="NoSpacing"/>
      </w:pPr>
      <w:r>
        <w:t xml:space="preserve">Yet, with some notable exceptions (e.g., </w:t>
      </w:r>
      <w:hyperlink r:id="rId27" w:history="1">
        <w:r>
          <w:rPr>
            <w:rStyle w:val="Hyperlink"/>
          </w:rPr>
          <w:t xml:space="preserve">Morrison, Smith, Gruenewald, </w:t>
        </w:r>
        <w:proofErr w:type="spellStart"/>
        <w:r>
          <w:rPr>
            <w:rStyle w:val="Hyperlink"/>
          </w:rPr>
          <w:t>Ponicki</w:t>
        </w:r>
        <w:proofErr w:type="spellEnd"/>
        <w:r>
          <w:rPr>
            <w:rStyle w:val="Hyperlink"/>
          </w:rPr>
          <w:t>, Lee, &amp; Cameron, 2016</w:t>
        </w:r>
      </w:hyperlink>
      <w:r>
        <w:t xml:space="preserve">; </w:t>
      </w:r>
      <w:hyperlink r:id="rId28" w:history="1">
        <w:r>
          <w:rPr>
            <w:rStyle w:val="Hyperlink"/>
          </w:rPr>
          <w:t xml:space="preserve">Parker, </w:t>
        </w:r>
        <w:proofErr w:type="spellStart"/>
        <w:r>
          <w:rPr>
            <w:rStyle w:val="Hyperlink"/>
          </w:rPr>
          <w:t>McCaffree</w:t>
        </w:r>
        <w:proofErr w:type="spellEnd"/>
        <w:r>
          <w:rPr>
            <w:rStyle w:val="Hyperlink"/>
          </w:rPr>
          <w:t>, &amp; Skiles, 2011</w:t>
        </w:r>
      </w:hyperlink>
      <w:r>
        <w:t xml:space="preserve">; </w:t>
      </w:r>
      <w:hyperlink r:id="rId29" w:history="1">
        <w:r>
          <w:rPr>
            <w:rStyle w:val="Hyperlink"/>
          </w:rPr>
          <w:t xml:space="preserve">Snowden &amp; </w:t>
        </w:r>
        <w:proofErr w:type="spellStart"/>
        <w:r>
          <w:rPr>
            <w:rStyle w:val="Hyperlink"/>
          </w:rPr>
          <w:t>Pridemore</w:t>
        </w:r>
        <w:proofErr w:type="spellEnd"/>
        <w:r>
          <w:rPr>
            <w:rStyle w:val="Hyperlink"/>
          </w:rPr>
          <w:t>, 2014</w:t>
        </w:r>
      </w:hyperlink>
      <w:r>
        <w:t>), we know less about what it is about off-premise alcohol outlets that makes them generators or attractors of crime (</w:t>
      </w:r>
      <w:proofErr w:type="spellStart"/>
      <w:r>
        <w:fldChar w:fldCharType="begin"/>
      </w:r>
      <w:r>
        <w:instrText xml:space="preserve"> HYPERLINK "https://journals.sagepub.com/doi/10.1177/0022042618812406" </w:instrText>
      </w:r>
      <w:r>
        <w:fldChar w:fldCharType="separate"/>
      </w:r>
      <w:r>
        <w:rPr>
          <w:rStyle w:val="Hyperlink"/>
        </w:rPr>
        <w:t>Brantingham</w:t>
      </w:r>
      <w:proofErr w:type="spellEnd"/>
      <w:r>
        <w:rPr>
          <w:rStyle w:val="Hyperlink"/>
        </w:rPr>
        <w:t xml:space="preserve"> &amp; </w:t>
      </w:r>
      <w:proofErr w:type="spellStart"/>
      <w:r>
        <w:rPr>
          <w:rStyle w:val="Hyperlink"/>
        </w:rPr>
        <w:t>Brantingham</w:t>
      </w:r>
      <w:proofErr w:type="spellEnd"/>
      <w:r>
        <w:rPr>
          <w:rStyle w:val="Hyperlink"/>
        </w:rPr>
        <w:t>, 1995</w:t>
      </w:r>
      <w:r>
        <w:fldChar w:fldCharType="end"/>
      </w:r>
      <w:r>
        <w:t xml:space="preserve">), and how their characteristics (such as size of the outlet, pricing, or the selection of alcohol beverages available for purchase) can help explain their influence on violence. For example, </w:t>
      </w:r>
      <w:hyperlink r:id="rId30" w:history="1">
        <w:r>
          <w:rPr>
            <w:rStyle w:val="Hyperlink"/>
          </w:rPr>
          <w:t xml:space="preserve">Morrison, Smith, Gruenewald, </w:t>
        </w:r>
        <w:proofErr w:type="spellStart"/>
        <w:r>
          <w:rPr>
            <w:rStyle w:val="Hyperlink"/>
          </w:rPr>
          <w:t>Ponicki</w:t>
        </w:r>
        <w:proofErr w:type="spellEnd"/>
        <w:r>
          <w:rPr>
            <w:rStyle w:val="Hyperlink"/>
          </w:rPr>
          <w:t>, Lee, and Cameron (2016)</w:t>
        </w:r>
      </w:hyperlink>
      <w:r>
        <w:t xml:space="preserve"> investigated whether intentional and unintentional injuries occur more frequently in areas with higher availability of off-premise outlets, and whether the size and type (i.e., large and chain vs. small and independent outlets) contribute more substantially to the risk of injury. They found that off-premise outlet density was positively associated with both injury types, and that large, chain off-premise outlets contribute more to the risk of injury relative to independent outlets, most likely because chain outlets were both larger in size (providing greater availability of beverages) and sold alcohol at lower prices than independent outlets. This finding confirms that not all off-premise alcohol outlets have an equal contribution to violent outcomes in communities. In addition, </w:t>
      </w:r>
      <w:hyperlink r:id="rId31" w:history="1">
        <w:r>
          <w:rPr>
            <w:rStyle w:val="Hyperlink"/>
          </w:rPr>
          <w:t xml:space="preserve">Parker, </w:t>
        </w:r>
        <w:proofErr w:type="spellStart"/>
        <w:r>
          <w:rPr>
            <w:rStyle w:val="Hyperlink"/>
          </w:rPr>
          <w:t>McCaffree</w:t>
        </w:r>
        <w:proofErr w:type="spellEnd"/>
        <w:r>
          <w:rPr>
            <w:rStyle w:val="Hyperlink"/>
          </w:rPr>
          <w:t>, and Skiles (2011)</w:t>
        </w:r>
      </w:hyperlink>
      <w:r>
        <w:t xml:space="preserve"> systematically measured the relative proportion of shelf space in each liquor outlet in a Californian city, to approximate the amount of retail sales that are attributed to single-serve beverages, and subsequently examined the impact of single-serve alcohol beverage availability on neighborhood violence rates. They found that the average amount of shelf space devoted to single-serve beverages aggregated to census block groups was positively associated with violent crime rate in census block groups. Their finding suggests that off-premise outlets that offer high availability of single-serve beverages are important for any policy consideration that aims to reduce neighborhood crime rates, as these beverages are aimed for immediate consumption, and are often cheaper to purchase than other beverage types.</w:t>
      </w:r>
    </w:p>
    <w:p w14:paraId="76ACE00F" w14:textId="77777777" w:rsidR="00BC596D" w:rsidRDefault="00BC596D" w:rsidP="00BC596D">
      <w:pPr>
        <w:pStyle w:val="NoSpacing"/>
      </w:pPr>
    </w:p>
    <w:p w14:paraId="1207C347" w14:textId="7F6211BD" w:rsidR="008D7C0C" w:rsidRDefault="008D7C0C" w:rsidP="00BC596D">
      <w:pPr>
        <w:pStyle w:val="NoSpacing"/>
      </w:pPr>
      <w:r>
        <w:t xml:space="preserve">Other additional characteristics may help explain how and why off-premise outlets contribute to neighborhood crime rates, so </w:t>
      </w:r>
      <w:hyperlink r:id="rId32" w:history="1">
        <w:r>
          <w:rPr>
            <w:rStyle w:val="Hyperlink"/>
          </w:rPr>
          <w:t xml:space="preserve">Snowden and </w:t>
        </w:r>
        <w:proofErr w:type="spellStart"/>
        <w:r>
          <w:rPr>
            <w:rStyle w:val="Hyperlink"/>
          </w:rPr>
          <w:t>Pridemore</w:t>
        </w:r>
        <w:proofErr w:type="spellEnd"/>
        <w:r>
          <w:rPr>
            <w:rStyle w:val="Hyperlink"/>
          </w:rPr>
          <w:t xml:space="preserve"> (2014)</w:t>
        </w:r>
      </w:hyperlink>
      <w:r>
        <w:t xml:space="preserve"> examined a set of immediate environment characteristics of areas where off-premises are located, the outlet business practices of the outlets, and the staff and patron characteristics of those who work and purchase items at the outlets. They aggregated observable off-premise characteristics to census block </w:t>
      </w:r>
      <w:proofErr w:type="gramStart"/>
      <w:r>
        <w:t>groups, and</w:t>
      </w:r>
      <w:proofErr w:type="gramEnd"/>
      <w:r>
        <w:t xml:space="preserve"> noted a presence or absence of such characteristics and related them to violent crimes in the block groups. They found that the most important predictor of violent crimes in the block groups was off-premise density, rather than the observable characteristics of off-premises that they </w:t>
      </w:r>
      <w:r>
        <w:lastRenderedPageBreak/>
        <w:t>analyzed. The insignificant relationship between off-premise outlet characteristics and neighborhood crimes may be due to their methodological approach, which included off-premise density measure in the models that also included off-premise outlet characteristics, which may have been correlated and resulted in overestimation of the standard error and insignificant findings for the characteristics they analyzed.</w:t>
      </w:r>
    </w:p>
    <w:p w14:paraId="704F74FF" w14:textId="77777777" w:rsidR="00BC596D" w:rsidRDefault="00BC596D" w:rsidP="00BC596D">
      <w:pPr>
        <w:pStyle w:val="NoSpacing"/>
      </w:pPr>
    </w:p>
    <w:p w14:paraId="4EDB4040" w14:textId="1ECFFB8D" w:rsidR="008D7C0C" w:rsidRDefault="008D7C0C" w:rsidP="00BC596D">
      <w:pPr>
        <w:pStyle w:val="NoSpacing"/>
      </w:pPr>
      <w:r>
        <w:t>Taken together, the studies that approached the relationship between alcohol availability and crime from a more nuanced perspective consistently suggest that areas that have higher availability of off-premise alcohol outlets have higher level of crimes, including female and male victimization rates (</w:t>
      </w:r>
      <w:hyperlink r:id="rId33" w:history="1">
        <w:r>
          <w:rPr>
            <w:rStyle w:val="Hyperlink"/>
          </w:rPr>
          <w:t xml:space="preserve">Snowden, </w:t>
        </w:r>
        <w:proofErr w:type="spellStart"/>
        <w:r>
          <w:rPr>
            <w:rStyle w:val="Hyperlink"/>
          </w:rPr>
          <w:t>Hockin</w:t>
        </w:r>
        <w:proofErr w:type="spellEnd"/>
        <w:r>
          <w:rPr>
            <w:rStyle w:val="Hyperlink"/>
          </w:rPr>
          <w:t xml:space="preserve">, &amp; </w:t>
        </w:r>
        <w:proofErr w:type="spellStart"/>
        <w:r>
          <w:rPr>
            <w:rStyle w:val="Hyperlink"/>
          </w:rPr>
          <w:t>Pridemore</w:t>
        </w:r>
        <w:proofErr w:type="spellEnd"/>
        <w:r>
          <w:rPr>
            <w:rStyle w:val="Hyperlink"/>
          </w:rPr>
          <w:t>, 2017</w:t>
        </w:r>
      </w:hyperlink>
      <w:r>
        <w:t>), higher rates of evening and late-night assaults, as well as higher rates of daytime and evening robberies (</w:t>
      </w:r>
      <w:hyperlink r:id="rId34" w:history="1">
        <w:r>
          <w:rPr>
            <w:rStyle w:val="Hyperlink"/>
          </w:rPr>
          <w:t>Snowden, 2018</w:t>
        </w:r>
      </w:hyperlink>
      <w:r>
        <w:t>). The nuances of these relationships are little understood as we continue to learn what it is about off-premise outlets that creates these associations.</w:t>
      </w:r>
    </w:p>
    <w:p w14:paraId="2BF20978" w14:textId="77777777" w:rsidR="00BC596D" w:rsidRDefault="00BC596D" w:rsidP="00BC596D">
      <w:pPr>
        <w:pStyle w:val="NoSpacing"/>
      </w:pPr>
    </w:p>
    <w:p w14:paraId="4C3CBFB3" w14:textId="62FB1D39" w:rsidR="008D7C0C" w:rsidRDefault="008D7C0C" w:rsidP="00BC596D">
      <w:pPr>
        <w:pStyle w:val="NoSpacing"/>
      </w:pPr>
      <w:r>
        <w:t xml:space="preserve">Drawing from a rich body of literature that advances our understanding of the characteristics of bars as a way to understand aggression in drinking settings and prevent barroom violence (e.g., </w:t>
      </w:r>
      <w:hyperlink r:id="rId35" w:history="1">
        <w:r>
          <w:rPr>
            <w:rStyle w:val="Hyperlink"/>
          </w:rPr>
          <w:t xml:space="preserve">Graham, </w:t>
        </w:r>
        <w:proofErr w:type="spellStart"/>
        <w:r>
          <w:rPr>
            <w:rStyle w:val="Hyperlink"/>
          </w:rPr>
          <w:t>Bernards</w:t>
        </w:r>
        <w:proofErr w:type="spellEnd"/>
        <w:r>
          <w:rPr>
            <w:rStyle w:val="Hyperlink"/>
          </w:rPr>
          <w:t>, Abbey, Dumas, &amp; Wells, 2017</w:t>
        </w:r>
      </w:hyperlink>
      <w:r>
        <w:t xml:space="preserve">; </w:t>
      </w:r>
      <w:hyperlink r:id="rId36" w:history="1">
        <w:r>
          <w:rPr>
            <w:rStyle w:val="Hyperlink"/>
          </w:rPr>
          <w:t xml:space="preserve">Graham, </w:t>
        </w:r>
        <w:proofErr w:type="spellStart"/>
        <w:r>
          <w:rPr>
            <w:rStyle w:val="Hyperlink"/>
          </w:rPr>
          <w:t>Bernards</w:t>
        </w:r>
        <w:proofErr w:type="spellEnd"/>
        <w:r>
          <w:rPr>
            <w:rStyle w:val="Hyperlink"/>
          </w:rPr>
          <w:t>, Osgood, &amp; Wells, 2006</w:t>
        </w:r>
      </w:hyperlink>
      <w:r>
        <w:t xml:space="preserve">; </w:t>
      </w:r>
      <w:hyperlink r:id="rId37" w:history="1">
        <w:r>
          <w:rPr>
            <w:rStyle w:val="Hyperlink"/>
          </w:rPr>
          <w:t>Graham et al., 2004</w:t>
        </w:r>
      </w:hyperlink>
      <w:r>
        <w:t xml:space="preserve">; </w:t>
      </w:r>
      <w:hyperlink r:id="rId38" w:history="1">
        <w:r>
          <w:rPr>
            <w:rStyle w:val="Hyperlink"/>
          </w:rPr>
          <w:t>Miller et al., 2016</w:t>
        </w:r>
      </w:hyperlink>
      <w:r>
        <w:t xml:space="preserve">; </w:t>
      </w:r>
      <w:hyperlink r:id="rId39" w:history="1">
        <w:r>
          <w:rPr>
            <w:rStyle w:val="Hyperlink"/>
          </w:rPr>
          <w:t>Wilson, Graham, &amp; Taft, 2014</w:t>
        </w:r>
      </w:hyperlink>
      <w:r>
        <w:t>), this study aims to better understand how the little studied off-premise characteristic—the availability of particular alcohol beverages available for sale in off-premise alcohol outlets—can inform our understanding of violence occurring in the neighborhoods. Prior studies that examined alcohol beverage types focused only on the availability of single-serve beverages (</w:t>
      </w:r>
      <w:hyperlink r:id="rId40" w:history="1">
        <w:r>
          <w:rPr>
            <w:rStyle w:val="Hyperlink"/>
          </w:rPr>
          <w:t>Parker et al., 2011</w:t>
        </w:r>
      </w:hyperlink>
      <w:r>
        <w:t>), but this study examines not only single-serve beverage availability but also availability of other alcohol beverage types, which may also influence violence. This is especially important because violent injuries occur more frequently in areas with higher availability of off-premise alcohol outlets, and there is some indication that some off-premise alcohol outlet characteristics (the size of alcohol outlets or the amount of their sales devoted to single-serve beverages, discussed above) are positively related with the degree of violent injury risk (</w:t>
      </w:r>
      <w:hyperlink r:id="rId41" w:history="1">
        <w:r>
          <w:rPr>
            <w:rStyle w:val="Hyperlink"/>
          </w:rPr>
          <w:t>Morrison et al., 2016</w:t>
        </w:r>
      </w:hyperlink>
      <w:r>
        <w:t xml:space="preserve">; </w:t>
      </w:r>
      <w:hyperlink r:id="rId42" w:history="1">
        <w:r>
          <w:rPr>
            <w:rStyle w:val="Hyperlink"/>
          </w:rPr>
          <w:t>Parker et al., 2011</w:t>
        </w:r>
      </w:hyperlink>
      <w:r>
        <w:t>). Clearly, a better understanding of why off-premise alcohol outlets matter for violence is necessary, and this research examines how different alcohol beverage types available in neighborhoods can inform why these places seem to be crime generators or attractors (</w:t>
      </w:r>
      <w:proofErr w:type="spellStart"/>
      <w:r>
        <w:fldChar w:fldCharType="begin"/>
      </w:r>
      <w:r>
        <w:instrText xml:space="preserve"> HYPERLINK "https://journals.sagepub.com/doi/10.1177/0022042618812406" </w:instrText>
      </w:r>
      <w:r>
        <w:fldChar w:fldCharType="separate"/>
      </w:r>
      <w:r>
        <w:rPr>
          <w:rStyle w:val="Hyperlink"/>
        </w:rPr>
        <w:t>Brantingham</w:t>
      </w:r>
      <w:proofErr w:type="spellEnd"/>
      <w:r>
        <w:rPr>
          <w:rStyle w:val="Hyperlink"/>
        </w:rPr>
        <w:t xml:space="preserve"> &amp; </w:t>
      </w:r>
      <w:proofErr w:type="spellStart"/>
      <w:r>
        <w:rPr>
          <w:rStyle w:val="Hyperlink"/>
        </w:rPr>
        <w:t>Brantingham</w:t>
      </w:r>
      <w:proofErr w:type="spellEnd"/>
      <w:r>
        <w:rPr>
          <w:rStyle w:val="Hyperlink"/>
        </w:rPr>
        <w:t>, 1995</w:t>
      </w:r>
      <w:r>
        <w:fldChar w:fldCharType="end"/>
      </w:r>
      <w:r>
        <w:t>).</w:t>
      </w:r>
    </w:p>
    <w:p w14:paraId="569D02F9" w14:textId="77777777" w:rsidR="00BC596D" w:rsidRDefault="00BC596D" w:rsidP="00BC596D">
      <w:pPr>
        <w:pStyle w:val="NoSpacing"/>
      </w:pPr>
    </w:p>
    <w:p w14:paraId="519317CF" w14:textId="6088008B" w:rsidR="008D7C0C" w:rsidRDefault="008D7C0C" w:rsidP="00BC596D">
      <w:pPr>
        <w:pStyle w:val="NoSpacing"/>
      </w:pPr>
      <w:r>
        <w:t>Given this literature review, this study is designed to fill the current gap in the alcohol–violence studies. It examined whether alcohol beverage types, including beer, wine, spirits, premixed, single beer, single spirits, and single premixed, are associated with robbery density. It controlled for the variables that measure neighborhood characteristics and routine activities theories frameworks, and for spatial autocorrelation of robberies occurring in the nearby areas. It tested the following hypotheses:</w:t>
      </w:r>
    </w:p>
    <w:p w14:paraId="5C89B886" w14:textId="77777777" w:rsidR="00BC596D" w:rsidRDefault="00BC596D" w:rsidP="00BC596D">
      <w:pPr>
        <w:pStyle w:val="NoSpacing"/>
      </w:pPr>
    </w:p>
    <w:p w14:paraId="77CAFA75" w14:textId="77777777" w:rsidR="00BC596D" w:rsidRDefault="00BC596D" w:rsidP="00BC596D">
      <w:pPr>
        <w:pStyle w:val="ListParagraph"/>
        <w:spacing w:after="0"/>
      </w:pPr>
      <w:r>
        <w:rPr>
          <w:b/>
          <w:bCs/>
        </w:rPr>
        <w:t>Hypothesis 1:</w:t>
      </w:r>
      <w:r>
        <w:t xml:space="preserve"> Neighborhood characteristics and population density will be associated with robbery density.</w:t>
      </w:r>
    </w:p>
    <w:p w14:paraId="40F74C65" w14:textId="77777777" w:rsidR="00BC596D" w:rsidRDefault="00BC596D" w:rsidP="00BC596D">
      <w:pPr>
        <w:pStyle w:val="ListParagraph"/>
        <w:spacing w:after="0"/>
      </w:pPr>
      <w:r>
        <w:rPr>
          <w:b/>
          <w:bCs/>
        </w:rPr>
        <w:t>Hypothesis 2:</w:t>
      </w:r>
      <w:r>
        <w:t xml:space="preserve"> Alcohol outlet density will be associated with robbery density.</w:t>
      </w:r>
    </w:p>
    <w:p w14:paraId="6A3A9C20" w14:textId="77777777" w:rsidR="00BC596D" w:rsidRDefault="00BC596D" w:rsidP="00BC596D">
      <w:pPr>
        <w:pStyle w:val="ListParagraph"/>
        <w:spacing w:after="0"/>
      </w:pPr>
      <w:r>
        <w:rPr>
          <w:b/>
          <w:bCs/>
        </w:rPr>
        <w:t>Hypothesis 3:</w:t>
      </w:r>
      <w:r>
        <w:t xml:space="preserve"> Beer, wine, and spirits densities will be associated with robbery density.</w:t>
      </w:r>
    </w:p>
    <w:p w14:paraId="01340BBC" w14:textId="12D12C2A" w:rsidR="008D7C0C" w:rsidRPr="008D7C0C" w:rsidRDefault="00BC596D" w:rsidP="00BC596D">
      <w:pPr>
        <w:pStyle w:val="ListParagraph"/>
        <w:spacing w:after="0"/>
      </w:pPr>
      <w:r>
        <w:rPr>
          <w:b/>
          <w:bCs/>
        </w:rPr>
        <w:t>Hypothesis 4:</w:t>
      </w:r>
      <w:r>
        <w:t xml:space="preserve"> Single-serve beverage densities will be associated with robbery density.</w:t>
      </w:r>
    </w:p>
    <w:p w14:paraId="08F55CDC" w14:textId="474D4581" w:rsidR="00A205A3" w:rsidRDefault="00A205A3" w:rsidP="00A205A3">
      <w:pPr>
        <w:pStyle w:val="Heading1"/>
      </w:pPr>
      <w:r>
        <w:t>Method</w:t>
      </w:r>
    </w:p>
    <w:p w14:paraId="7A703E80" w14:textId="0CE00442" w:rsidR="005E7B3E" w:rsidRDefault="005E7B3E" w:rsidP="005E7B3E">
      <w:pPr>
        <w:pStyle w:val="Heading2"/>
      </w:pPr>
      <w:r>
        <w:t>Research Site and Units of Analysis</w:t>
      </w:r>
    </w:p>
    <w:p w14:paraId="7A07F0D2" w14:textId="09A4940E" w:rsidR="00353AFC" w:rsidRDefault="00353AFC" w:rsidP="00353AFC">
      <w:pPr>
        <w:pStyle w:val="NoSpacing"/>
      </w:pPr>
      <w:r>
        <w:t>Milwaukee, Wisconsin, is the largest city in the state, covering a land area of about 96 square miles with an estimated population of 595,047 individuals (</w:t>
      </w:r>
      <w:hyperlink r:id="rId43" w:history="1">
        <w:r>
          <w:rPr>
            <w:rStyle w:val="Hyperlink"/>
          </w:rPr>
          <w:t>U.S. Census Bureau, 2016</w:t>
        </w:r>
      </w:hyperlink>
      <w:r>
        <w:t>). Relative to the rest of the state, Milwaukee is an exceptionally diverse city, with Whites comprising 46% of the city population, African Americans comprising another 39.2% of the city population, Hispanic or Latino population comprising 18.2% of the city population, and the 9.7% of the population that is foreign born is twice as high as that for the entire state (</w:t>
      </w:r>
      <w:hyperlink r:id="rId44" w:history="1">
        <w:r>
          <w:rPr>
            <w:rStyle w:val="Hyperlink"/>
          </w:rPr>
          <w:t>U.S. Census Bureau, 2016</w:t>
        </w:r>
      </w:hyperlink>
      <w:r>
        <w:t xml:space="preserve">). Like many other urban American cities, Milwaukee also experiences challenging conditions. For example, 41.7% of homes in the city are owner occupied, which is much lower than </w:t>
      </w:r>
      <w:r>
        <w:lastRenderedPageBreak/>
        <w:t>the rate for the state of Wisconsin of 67% (</w:t>
      </w:r>
      <w:hyperlink r:id="rId45" w:history="1">
        <w:r>
          <w:rPr>
            <w:rStyle w:val="Hyperlink"/>
          </w:rPr>
          <w:t>U.S. Census Bureau, 2016</w:t>
        </w:r>
      </w:hyperlink>
      <w:r>
        <w:t>). Perhaps more troubling is the fact that the median value of owner-occupied housing units of US$115,000 is more than two thirds lower than the median value of owner-occupied housing units of US$167,000 for the rest of the state (</w:t>
      </w:r>
      <w:hyperlink r:id="rId46" w:history="1">
        <w:r>
          <w:rPr>
            <w:rStyle w:val="Hyperlink"/>
          </w:rPr>
          <w:t>U.S. Census Bureau, 2016</w:t>
        </w:r>
      </w:hyperlink>
      <w:r>
        <w:t>), suggesting that the city’s owner-occupants are less likely to generate wealth as a result of owning a home. In addition, Milwaukee’s median household income of US$36,801 is much lower than the state median household income of US$54,610.</w:t>
      </w:r>
    </w:p>
    <w:p w14:paraId="09D09C1B" w14:textId="77777777" w:rsidR="00353AFC" w:rsidRDefault="00353AFC" w:rsidP="00353AFC">
      <w:pPr>
        <w:pStyle w:val="NoSpacing"/>
      </w:pPr>
    </w:p>
    <w:p w14:paraId="1DAEADAA" w14:textId="23016212" w:rsidR="00353AFC" w:rsidRDefault="00353AFC" w:rsidP="00353AFC">
      <w:pPr>
        <w:pStyle w:val="NoSpacing"/>
      </w:pPr>
      <w:r>
        <w:t>Finally, a greater percentage of the city’s population lives in poverty, relative to the rest of the state. In fact, almost a third of the city residents live in poverty, whereas the percent of population living in poverty for the state of Wisconsin is about 12% (</w:t>
      </w:r>
      <w:hyperlink r:id="rId47" w:history="1">
        <w:r>
          <w:rPr>
            <w:rStyle w:val="Hyperlink"/>
          </w:rPr>
          <w:t>U.S. Census Bureau, 2016</w:t>
        </w:r>
      </w:hyperlink>
      <w:r>
        <w:t>). These conditions create an important context within which to examine Milwaukee’s violence rate.</w:t>
      </w:r>
    </w:p>
    <w:p w14:paraId="071C111A" w14:textId="77777777" w:rsidR="00353AFC" w:rsidRDefault="00353AFC" w:rsidP="00353AFC">
      <w:pPr>
        <w:pStyle w:val="NoSpacing"/>
      </w:pPr>
    </w:p>
    <w:p w14:paraId="51491285" w14:textId="5AC8CDA3" w:rsidR="00353AFC" w:rsidRDefault="00353AFC" w:rsidP="00353AFC">
      <w:pPr>
        <w:pStyle w:val="NoSpacing"/>
      </w:pPr>
      <w:r>
        <w:t>In addition, the state of Wisconsin and the city of Milwaukee have a long history of alcohol production, owing partly to the state’s and the city’s German heritage. Wisconsin alcohol consumption consistently ranks higher than most of the states in the union, with an estimated 2016 average consumption of 2.98 gallons of ethanol consumed in the form of alcoholic beverages per capita, most of it consumed in the form of beer (1.36 gallons), followed by spirits (1.22 gallons), and wine (0.40 gallons) (</w:t>
      </w:r>
      <w:hyperlink r:id="rId48" w:history="1">
        <w:r>
          <w:rPr>
            <w:rStyle w:val="Hyperlink"/>
          </w:rPr>
          <w:t>Haughwout &amp; Slater, 2018</w:t>
        </w:r>
      </w:hyperlink>
      <w:r>
        <w:t>). As noted earlier, Milwaukee also has high violence rates. The city’s violent crime rate is 1,533/100,000 population, and about 4 times higher than the U.S. national crime rate of 383.6/100,000 population (</w:t>
      </w:r>
      <w:hyperlink r:id="rId49" w:history="1">
        <w:r>
          <w:rPr>
            <w:rStyle w:val="Hyperlink"/>
          </w:rPr>
          <w:t>U.S. Department of Justice, 2016</w:t>
        </w:r>
      </w:hyperlink>
      <w:r>
        <w:t>). Milwaukee’s robbery rate of 547/100,000 population is equally troubling as it is more than 5 times higher than the U.S. national robbery rate of 102.8/100,000 population, and Milwaukee’s aggravated assault rate of 883/100,000 population is more than 4 times higher than the U.S. national aggravated assault rate of 248.5/100,000 population (</w:t>
      </w:r>
      <w:hyperlink r:id="rId50" w:history="1">
        <w:r>
          <w:rPr>
            <w:rStyle w:val="Hyperlink"/>
          </w:rPr>
          <w:t>U.S. Department of Justice, 2016</w:t>
        </w:r>
      </w:hyperlink>
      <w:r>
        <w:t>).</w:t>
      </w:r>
    </w:p>
    <w:p w14:paraId="6485D315" w14:textId="77777777" w:rsidR="00353AFC" w:rsidRDefault="00353AFC" w:rsidP="00353AFC">
      <w:pPr>
        <w:pStyle w:val="NoSpacing"/>
      </w:pPr>
    </w:p>
    <w:p w14:paraId="7B586842" w14:textId="77777777" w:rsidR="00353AFC" w:rsidRDefault="00353AFC" w:rsidP="00353AFC">
      <w:pPr>
        <w:pStyle w:val="NoSpacing"/>
      </w:pPr>
      <w:r>
        <w:t>To approximate Milwaukee neighborhoods, the units of analysis for this study are 572 census block groups that are within the city of Milwaukee boundaries. In criminological literature, census block groups are commonly used for neighborhood boundaries, and are the smallest units of analysis for which socioeconomic data are publicly released.</w:t>
      </w:r>
    </w:p>
    <w:p w14:paraId="09101AAB" w14:textId="77777777" w:rsidR="00353AFC" w:rsidRPr="00353AFC" w:rsidRDefault="00353AFC" w:rsidP="00353AFC">
      <w:pPr>
        <w:pStyle w:val="NoSpacing"/>
      </w:pPr>
    </w:p>
    <w:p w14:paraId="0B74CA6B" w14:textId="7CFFC9E8" w:rsidR="005E7B3E" w:rsidRDefault="005E7B3E" w:rsidP="005E7B3E">
      <w:pPr>
        <w:pStyle w:val="Heading2"/>
      </w:pPr>
      <w:r>
        <w:t>Dependent Variable</w:t>
      </w:r>
    </w:p>
    <w:p w14:paraId="7BF1BE17" w14:textId="76712BE1" w:rsidR="00353AFC" w:rsidRDefault="00353AFC" w:rsidP="00353AFC">
      <w:pPr>
        <w:pStyle w:val="NoSpacing"/>
      </w:pPr>
      <w:r>
        <w:t>Data on robbery incidents were obtained from the City of Milwaukee Community Mapping and Analysis for Safety Strategies public applications website. Data on these incidents were based on those that occurred between January 1, 2016, and December 31, 2016. The data included incident number, date, time, and location of the incident, which were geocoded using ArcMap 10.4 with a 99% successful match. Using these data, robbery density per square mile was calculated for each block group, and the density was calculated per square mile of the area rather than population size of the area to take into account the fact that victims and offenders travel to and from their block groups in the course of their everyday activities.</w:t>
      </w:r>
    </w:p>
    <w:p w14:paraId="6EAD4422" w14:textId="77777777" w:rsidR="00353AFC" w:rsidRPr="00353AFC" w:rsidRDefault="00353AFC" w:rsidP="00353AFC">
      <w:pPr>
        <w:pStyle w:val="NoSpacing"/>
      </w:pPr>
    </w:p>
    <w:p w14:paraId="580197A7" w14:textId="081BADB0" w:rsidR="005E7B3E" w:rsidRDefault="005E7B3E" w:rsidP="005E7B3E">
      <w:pPr>
        <w:pStyle w:val="Heading2"/>
      </w:pPr>
      <w:r>
        <w:t>Main Independent Variables</w:t>
      </w:r>
    </w:p>
    <w:p w14:paraId="5DABA824" w14:textId="48A4CB12" w:rsidR="00353AFC" w:rsidRDefault="00353AFC" w:rsidP="00353AFC">
      <w:pPr>
        <w:pStyle w:val="NoSpacing"/>
      </w:pPr>
      <w:r w:rsidRPr="00353AFC">
        <w:t>Data on all active alcohol outlet licenses for 2015/2016 were obtained from the Wisconsin Department of Revenue. The data included license address, which were geocoded using ArcMap 10.4 with 99.7% successful match, and license type (e.g., on-premise, such as bars and restaurants, or off-premise, such as liquor and convenience stores). Using these data, I disaggregated all alcohol outlets into two broad types (i.e., on premise and off premise), and subsequently calculated on-premise alcohol outlet density based on the number of on-premise outlets per square mile for each block group, and off-premise alcohol outlet density as the number of off-premise outlets per square mile for each block group.</w:t>
      </w:r>
    </w:p>
    <w:p w14:paraId="750F5D35" w14:textId="77777777" w:rsidR="00353AFC" w:rsidRPr="00353AFC" w:rsidRDefault="00353AFC" w:rsidP="00353AFC">
      <w:pPr>
        <w:pStyle w:val="NoSpacing"/>
      </w:pPr>
    </w:p>
    <w:p w14:paraId="1D5E6065" w14:textId="77777777" w:rsidR="00353AFC" w:rsidRPr="00353AFC" w:rsidRDefault="00353AFC" w:rsidP="00353AFC">
      <w:pPr>
        <w:pStyle w:val="NoSpacing"/>
      </w:pPr>
      <w:r w:rsidRPr="00353AFC">
        <w:t xml:space="preserve">Between February and May 2016, eight trained research observers visited and recorded on a systematic social observation instrument the observable off-premise characteristics, including alcohol beverage types. The </w:t>
      </w:r>
      <w:r w:rsidRPr="00353AFC">
        <w:lastRenderedPageBreak/>
        <w:t xml:space="preserve">observers noted availability of the following alcohol beverage types: beer, wine, spirits, premixed drinks, single beer, single spirits, and single premixed drinks. To create beverage type densities, the number of </w:t>
      </w:r>
      <w:proofErr w:type="gramStart"/>
      <w:r w:rsidRPr="00353AFC">
        <w:t>off-premises</w:t>
      </w:r>
      <w:proofErr w:type="gramEnd"/>
      <w:r w:rsidRPr="00353AFC">
        <w:t xml:space="preserve"> that sold a particular beverage type was calculated for each census block group (using ArcGIS software and spatial join function). This process created a raw count of the number of </w:t>
      </w:r>
      <w:proofErr w:type="gramStart"/>
      <w:r w:rsidRPr="00353AFC">
        <w:t>off-premises</w:t>
      </w:r>
      <w:proofErr w:type="gramEnd"/>
      <w:r w:rsidRPr="00353AFC">
        <w:t xml:space="preserve"> with such characteristic for each unit of analysis, and subsequently this number was divided by the size of the census block group to create appropriate beverage type density measures. For example, if a census block group had three off-premises that sold spirits, then the spirits density measure was calculated as three divided by the size of the block group in which the three off-premise outlets that sold spirits were located, to create the density measure and account for the fact that some block groups may have many such characteristics due to their area size. So, using this approach, the availabilities of seven beverage types within each unit of analysis were first identified and then aggregated to the census block group, and standardized per square mile.</w:t>
      </w:r>
    </w:p>
    <w:p w14:paraId="28E2EA9E" w14:textId="77777777" w:rsidR="00353AFC" w:rsidRPr="00353AFC" w:rsidRDefault="00353AFC" w:rsidP="00353AFC">
      <w:pPr>
        <w:pStyle w:val="NoSpacing"/>
      </w:pPr>
    </w:p>
    <w:p w14:paraId="07F6243B" w14:textId="23E02D8A" w:rsidR="005E7B3E" w:rsidRDefault="005E7B3E" w:rsidP="005E7B3E">
      <w:pPr>
        <w:pStyle w:val="Heading2"/>
      </w:pPr>
      <w:r>
        <w:t>Control Variables</w:t>
      </w:r>
    </w:p>
    <w:p w14:paraId="5300AC56" w14:textId="46593103" w:rsidR="0042374C" w:rsidRDefault="0042374C" w:rsidP="0042374C">
      <w:pPr>
        <w:pStyle w:val="NoSpacing"/>
      </w:pPr>
      <w:r>
        <w:t xml:space="preserve">To control for the influence of neighborhood characteristics on robbery rates, the 2011-2015 American Community Survey 5-year estimates data were queried to obtain neighborhood characteristics data. The neighborhood measures included concentrated disadvantage, concentrated immigration, residential stability, ethnic heterogeneity, population density, and proportion Black population. In line with prior studies on neighborhood–violence literature (e.g., </w:t>
      </w:r>
      <w:hyperlink r:id="rId51" w:history="1">
        <w:r>
          <w:rPr>
            <w:rStyle w:val="Hyperlink"/>
          </w:rPr>
          <w:t>Sampson &amp; Groves, 1989</w:t>
        </w:r>
      </w:hyperlink>
      <w:r>
        <w:t xml:space="preserve">; </w:t>
      </w:r>
      <w:hyperlink r:id="rId52" w:history="1">
        <w:r>
          <w:rPr>
            <w:rStyle w:val="Hyperlink"/>
          </w:rPr>
          <w:t>Sampson et al., 2002</w:t>
        </w:r>
      </w:hyperlink>
      <w:r>
        <w:t xml:space="preserve">; </w:t>
      </w:r>
      <w:hyperlink r:id="rId53" w:history="1">
        <w:r>
          <w:rPr>
            <w:rStyle w:val="Hyperlink"/>
          </w:rPr>
          <w:t>Sampson et al., 1997</w:t>
        </w:r>
      </w:hyperlink>
      <w:r>
        <w:t xml:space="preserve">; </w:t>
      </w:r>
      <w:hyperlink r:id="rId54" w:history="1">
        <w:r>
          <w:rPr>
            <w:rStyle w:val="Hyperlink"/>
          </w:rPr>
          <w:t>Snowden, 2018</w:t>
        </w:r>
      </w:hyperlink>
      <w:r>
        <w:t>) and to reduce multicollinearity between control variables, the data were analyzed for underlying latent structures, and principal component analyses were carried out to reduce multicollinearity and identify structural components, such as concentrated disadvantage, concentrated immigration, and residential stability. Concentrated disadvantage measure (Cronbach’s α = .74) included proportions of households receiving Supplemental Security Income, households receiving public assistance income, population that is 16 years and above that is unemployed, households with income below poverty level, and single-parent households that have children below the age of 18 years living in them. Concentrated immigration measure (Cronbach’s α = .73) included proportions of population that is foreign born and population that is of Hispanic or Latino origin. Residential stability measure (Cronbach’s α = .65) included proportions of population that resided in the same house 1 year ago and owner-occupied housing units. Ethnic heterogeneity measure was calculated by using the Herfindahl index (</w:t>
      </w:r>
      <w:hyperlink r:id="rId55" w:history="1">
        <w:r>
          <w:rPr>
            <w:rStyle w:val="Hyperlink"/>
          </w:rPr>
          <w:t>Gibbs &amp; Martin, 1962</w:t>
        </w:r>
      </w:hyperlink>
      <w:r>
        <w:t xml:space="preserve">; </w:t>
      </w:r>
      <w:hyperlink r:id="rId56" w:history="1">
        <w:r>
          <w:rPr>
            <w:rStyle w:val="Hyperlink"/>
          </w:rPr>
          <w:t>Osgood &amp; Chambers, 2000</w:t>
        </w:r>
      </w:hyperlink>
      <w:r>
        <w:t>). For this measure, first the proportions of White, African American, American Indian/Alaska Native, Asian, Hawaiian/Other Pacific Islander, and Other populations were calculated, and subsequently, each proportion was squared, the squared proportions were summed, and then subtracted from 1, with higher scores indicating a greater diversity in the neighborhood (</w:t>
      </w:r>
      <w:hyperlink r:id="rId57" w:history="1">
        <w:r>
          <w:rPr>
            <w:rStyle w:val="Hyperlink"/>
          </w:rPr>
          <w:t>Osgood &amp; Chambers, 2000</w:t>
        </w:r>
      </w:hyperlink>
      <w:r>
        <w:t xml:space="preserve">). Population density was calculated as the number of individuals residing in each block group divided by the block group area size in square miles, to account for the likelihood of robbery rates occurring in areas with higher population numbers. Proportion Black population measure was calculated as the total number of Black or African American population in each block group divided by the block group total population, to account for the likelihood of higher robbery victimization or offending occurring in areas with higher proportion of Black or African American population (see </w:t>
      </w:r>
      <w:hyperlink r:id="rId58" w:history="1">
        <w:proofErr w:type="spellStart"/>
        <w:r>
          <w:rPr>
            <w:rStyle w:val="Hyperlink"/>
          </w:rPr>
          <w:t>Hindelang</w:t>
        </w:r>
        <w:proofErr w:type="spellEnd"/>
        <w:r>
          <w:rPr>
            <w:rStyle w:val="Hyperlink"/>
          </w:rPr>
          <w:t>, 1976</w:t>
        </w:r>
      </w:hyperlink>
      <w:r>
        <w:t xml:space="preserve">, </w:t>
      </w:r>
      <w:hyperlink r:id="rId59" w:history="1">
        <w:r>
          <w:rPr>
            <w:rStyle w:val="Hyperlink"/>
          </w:rPr>
          <w:t>1978</w:t>
        </w:r>
      </w:hyperlink>
      <w:r>
        <w:t xml:space="preserve">; </w:t>
      </w:r>
      <w:hyperlink r:id="rId60" w:history="1">
        <w:r>
          <w:rPr>
            <w:rStyle w:val="Hyperlink"/>
          </w:rPr>
          <w:t>Messner, 1983</w:t>
        </w:r>
      </w:hyperlink>
      <w:r>
        <w:t xml:space="preserve">). </w:t>
      </w:r>
      <w:proofErr w:type="gramStart"/>
      <w:r>
        <w:t>All of</w:t>
      </w:r>
      <w:proofErr w:type="gramEnd"/>
      <w:r>
        <w:t xml:space="preserve"> the neighborhood measures were standardized prior to analyses.</w:t>
      </w:r>
    </w:p>
    <w:p w14:paraId="66BA264A" w14:textId="77777777" w:rsidR="0042374C" w:rsidRDefault="0042374C" w:rsidP="0042374C">
      <w:pPr>
        <w:pStyle w:val="NoSpacing"/>
      </w:pPr>
    </w:p>
    <w:p w14:paraId="5BE048E4" w14:textId="77777777" w:rsidR="0042374C" w:rsidRDefault="0042374C" w:rsidP="0042374C">
      <w:pPr>
        <w:pStyle w:val="NoSpacing"/>
      </w:pPr>
      <w:r>
        <w:t xml:space="preserve">I used ArcMap 10.4 software to clean, geocode, and manage data and employed </w:t>
      </w:r>
      <w:proofErr w:type="spellStart"/>
      <w:r>
        <w:t>GeoDa</w:t>
      </w:r>
      <w:proofErr w:type="spellEnd"/>
      <w:r>
        <w:t xml:space="preserve"> software (</w:t>
      </w:r>
      <w:proofErr w:type="spellStart"/>
      <w:r>
        <w:fldChar w:fldCharType="begin"/>
      </w:r>
      <w:r>
        <w:instrText xml:space="preserve"> HYPERLINK "https://journals.sagepub.com/doi/10.1177/0022042618812406" </w:instrText>
      </w:r>
      <w:r>
        <w:fldChar w:fldCharType="separate"/>
      </w:r>
      <w:r>
        <w:rPr>
          <w:rStyle w:val="Hyperlink"/>
        </w:rPr>
        <w:t>Anselin</w:t>
      </w:r>
      <w:proofErr w:type="spellEnd"/>
      <w:r>
        <w:rPr>
          <w:rStyle w:val="Hyperlink"/>
        </w:rPr>
        <w:t xml:space="preserve">, </w:t>
      </w:r>
      <w:proofErr w:type="spellStart"/>
      <w:r>
        <w:rPr>
          <w:rStyle w:val="Hyperlink"/>
        </w:rPr>
        <w:t>Syabri</w:t>
      </w:r>
      <w:proofErr w:type="spellEnd"/>
      <w:r>
        <w:rPr>
          <w:rStyle w:val="Hyperlink"/>
        </w:rPr>
        <w:t>, &amp; Kho, 2006</w:t>
      </w:r>
      <w:r>
        <w:fldChar w:fldCharType="end"/>
      </w:r>
      <w:r>
        <w:t>) to estimate all models using maximum likelihood estimation of spatial lag function to account for spatial autocorrelation of robberies across neighboring block groups. I conducted nine sets of analyses. The first two sets of analyses examined (a) baseline relationship between neighborhood characteristics and robbery density and (b) the relationship between on- and off-premise alcohol outlet densities and robbery density (Models 1 and 2). The following seven sets of analyses examined separately the relationship between (c) beer density (Model 3), (d) wine density (Model 4), (e) spirits density (Model 5), (f) premixed density (Model 6), (g) single beer density (Model 7), (h) single spirits density (Model 8), and (</w:t>
      </w:r>
      <w:proofErr w:type="spellStart"/>
      <w:r>
        <w:t>i</w:t>
      </w:r>
      <w:proofErr w:type="spellEnd"/>
      <w:r>
        <w:t>) single premixed density (Model 9) and robbery density, net of important neighborhood characteristics.</w:t>
      </w:r>
    </w:p>
    <w:p w14:paraId="6A3FD97A" w14:textId="77777777" w:rsidR="0042374C" w:rsidRPr="0042374C" w:rsidRDefault="0042374C" w:rsidP="0042374C">
      <w:pPr>
        <w:pStyle w:val="NoSpacing"/>
      </w:pPr>
    </w:p>
    <w:p w14:paraId="1FC89BA8" w14:textId="0E5BDBCC" w:rsidR="00A205A3" w:rsidRDefault="00A205A3" w:rsidP="00A205A3">
      <w:pPr>
        <w:pStyle w:val="Heading1"/>
      </w:pPr>
      <w:r>
        <w:lastRenderedPageBreak/>
        <w:t>Results</w:t>
      </w:r>
    </w:p>
    <w:p w14:paraId="750BDEB3" w14:textId="492D5B3C" w:rsidR="0042374C" w:rsidRDefault="0042374C" w:rsidP="0042374C">
      <w:pPr>
        <w:pStyle w:val="NoSpacing"/>
      </w:pPr>
      <w:r>
        <w:t xml:space="preserve">Descriptive statistics for standardized dependent, main independent, and control variables used in regression models are presented in </w:t>
      </w:r>
      <w:hyperlink r:id="rId61" w:history="1">
        <w:r>
          <w:rPr>
            <w:rStyle w:val="Hyperlink"/>
          </w:rPr>
          <w:t>Table 1</w:t>
        </w:r>
      </w:hyperlink>
      <w:r>
        <w:t>.</w:t>
      </w:r>
    </w:p>
    <w:p w14:paraId="6C11F59F" w14:textId="0808B306" w:rsidR="0042374C" w:rsidRDefault="0042374C" w:rsidP="0042374C">
      <w:pPr>
        <w:pStyle w:val="NoSpacing"/>
      </w:pPr>
    </w:p>
    <w:p w14:paraId="50C8B423" w14:textId="5BE4D331" w:rsidR="0042374C" w:rsidRDefault="001D5F1F" w:rsidP="001D5F1F">
      <w:pPr>
        <w:pStyle w:val="NoSpacing"/>
      </w:pPr>
      <w:r w:rsidRPr="001D5F1F">
        <w:rPr>
          <w:b/>
          <w:bCs/>
        </w:rPr>
        <w:t>Table 1.</w:t>
      </w:r>
      <w:r w:rsidRPr="001D5F1F">
        <w:t xml:space="preserve"> Descriptive Statistics for Standardized Variables for Milwaukee Block Groups (N = 572).</w:t>
      </w:r>
    </w:p>
    <w:tbl>
      <w:tblPr>
        <w:tblStyle w:val="TableGridLight"/>
        <w:tblW w:w="0" w:type="auto"/>
        <w:tblLook w:val="0020" w:firstRow="1" w:lastRow="0" w:firstColumn="0" w:lastColumn="0" w:noHBand="0" w:noVBand="0"/>
      </w:tblPr>
      <w:tblGrid>
        <w:gridCol w:w="2673"/>
        <w:gridCol w:w="1111"/>
        <w:gridCol w:w="1148"/>
        <w:gridCol w:w="607"/>
        <w:gridCol w:w="607"/>
      </w:tblGrid>
      <w:tr w:rsidR="00621B70" w:rsidRPr="00621B70" w14:paraId="50C8BF92" w14:textId="77777777" w:rsidTr="001D16F2">
        <w:trPr>
          <w:trHeight w:val="355"/>
        </w:trPr>
        <w:tc>
          <w:tcPr>
            <w:tcW w:w="0" w:type="auto"/>
          </w:tcPr>
          <w:p w14:paraId="17720B30" w14:textId="77777777" w:rsidR="00621B70" w:rsidRPr="00621B70" w:rsidRDefault="00621B70" w:rsidP="00621B70">
            <w:pPr>
              <w:pStyle w:val="NoSpacing"/>
              <w:rPr>
                <w:b/>
                <w:bCs/>
              </w:rPr>
            </w:pPr>
          </w:p>
        </w:tc>
        <w:tc>
          <w:tcPr>
            <w:tcW w:w="0" w:type="auto"/>
          </w:tcPr>
          <w:p w14:paraId="0D23E2DE" w14:textId="77777777" w:rsidR="00621B70" w:rsidRPr="00621B70" w:rsidRDefault="00621B70" w:rsidP="00621B70">
            <w:pPr>
              <w:pStyle w:val="NoSpacing"/>
              <w:rPr>
                <w:b/>
                <w:bCs/>
              </w:rPr>
            </w:pPr>
            <w:r w:rsidRPr="00621B70">
              <w:rPr>
                <w:b/>
                <w:bCs/>
              </w:rPr>
              <w:t>Minimum</w:t>
            </w:r>
          </w:p>
        </w:tc>
        <w:tc>
          <w:tcPr>
            <w:tcW w:w="0" w:type="auto"/>
          </w:tcPr>
          <w:p w14:paraId="34C31B7E" w14:textId="77777777" w:rsidR="00621B70" w:rsidRPr="00621B70" w:rsidRDefault="00621B70" w:rsidP="00621B70">
            <w:pPr>
              <w:pStyle w:val="NoSpacing"/>
              <w:rPr>
                <w:b/>
                <w:bCs/>
              </w:rPr>
            </w:pPr>
            <w:r w:rsidRPr="00621B70">
              <w:rPr>
                <w:b/>
                <w:bCs/>
              </w:rPr>
              <w:t>Maximum</w:t>
            </w:r>
          </w:p>
        </w:tc>
        <w:tc>
          <w:tcPr>
            <w:tcW w:w="0" w:type="auto"/>
          </w:tcPr>
          <w:p w14:paraId="3C027722" w14:textId="77777777" w:rsidR="00621B70" w:rsidRPr="00621B70" w:rsidRDefault="00621B70" w:rsidP="00621B70">
            <w:pPr>
              <w:pStyle w:val="NoSpacing"/>
              <w:rPr>
                <w:b/>
                <w:bCs/>
              </w:rPr>
            </w:pPr>
            <w:r w:rsidRPr="00621B70">
              <w:rPr>
                <w:b/>
                <w:bCs/>
              </w:rPr>
              <w:t>M</w:t>
            </w:r>
          </w:p>
        </w:tc>
        <w:tc>
          <w:tcPr>
            <w:tcW w:w="0" w:type="auto"/>
          </w:tcPr>
          <w:p w14:paraId="45A11C55" w14:textId="77777777" w:rsidR="00621B70" w:rsidRPr="00621B70" w:rsidRDefault="00621B70" w:rsidP="00621B70">
            <w:pPr>
              <w:pStyle w:val="NoSpacing"/>
              <w:rPr>
                <w:b/>
                <w:bCs/>
              </w:rPr>
            </w:pPr>
            <w:r w:rsidRPr="00621B70">
              <w:rPr>
                <w:b/>
                <w:bCs/>
              </w:rPr>
              <w:t>SD</w:t>
            </w:r>
          </w:p>
        </w:tc>
      </w:tr>
      <w:tr w:rsidR="00621B70" w:rsidRPr="00621B70" w14:paraId="45D405BA" w14:textId="77777777" w:rsidTr="001D16F2">
        <w:trPr>
          <w:trHeight w:val="285"/>
        </w:trPr>
        <w:tc>
          <w:tcPr>
            <w:tcW w:w="0" w:type="auto"/>
          </w:tcPr>
          <w:p w14:paraId="406A23F3" w14:textId="77777777" w:rsidR="00621B70" w:rsidRPr="00621B70" w:rsidRDefault="00621B70" w:rsidP="00621B70">
            <w:pPr>
              <w:pStyle w:val="NoSpacing"/>
            </w:pPr>
            <w:r w:rsidRPr="00621B70">
              <w:t>Robbery density</w:t>
            </w:r>
          </w:p>
        </w:tc>
        <w:tc>
          <w:tcPr>
            <w:tcW w:w="0" w:type="auto"/>
          </w:tcPr>
          <w:p w14:paraId="42F1E7EF" w14:textId="77777777" w:rsidR="00621B70" w:rsidRPr="00621B70" w:rsidRDefault="00621B70" w:rsidP="00621B70">
            <w:pPr>
              <w:pStyle w:val="NoSpacing"/>
            </w:pPr>
            <w:r w:rsidRPr="00621B70">
              <w:t>−0.97</w:t>
            </w:r>
          </w:p>
        </w:tc>
        <w:tc>
          <w:tcPr>
            <w:tcW w:w="0" w:type="auto"/>
          </w:tcPr>
          <w:p w14:paraId="555BA0AD" w14:textId="77777777" w:rsidR="00621B70" w:rsidRPr="00621B70" w:rsidRDefault="00621B70" w:rsidP="00621B70">
            <w:pPr>
              <w:pStyle w:val="NoSpacing"/>
            </w:pPr>
            <w:r w:rsidRPr="00621B70">
              <w:t>5.38</w:t>
            </w:r>
          </w:p>
        </w:tc>
        <w:tc>
          <w:tcPr>
            <w:tcW w:w="0" w:type="auto"/>
          </w:tcPr>
          <w:p w14:paraId="372FF96B" w14:textId="77777777" w:rsidR="00621B70" w:rsidRPr="00621B70" w:rsidRDefault="00621B70" w:rsidP="00621B70">
            <w:pPr>
              <w:pStyle w:val="NoSpacing"/>
            </w:pPr>
            <w:r w:rsidRPr="00621B70">
              <w:t>0.00</w:t>
            </w:r>
          </w:p>
        </w:tc>
        <w:tc>
          <w:tcPr>
            <w:tcW w:w="0" w:type="auto"/>
          </w:tcPr>
          <w:p w14:paraId="46805F47" w14:textId="77777777" w:rsidR="00621B70" w:rsidRPr="00621B70" w:rsidRDefault="00621B70" w:rsidP="00621B70">
            <w:pPr>
              <w:pStyle w:val="NoSpacing"/>
            </w:pPr>
            <w:r w:rsidRPr="00621B70">
              <w:t>1.00</w:t>
            </w:r>
          </w:p>
        </w:tc>
      </w:tr>
      <w:tr w:rsidR="00621B70" w:rsidRPr="00621B70" w14:paraId="5F0412C5" w14:textId="77777777" w:rsidTr="001D16F2">
        <w:trPr>
          <w:trHeight w:val="230"/>
        </w:trPr>
        <w:tc>
          <w:tcPr>
            <w:tcW w:w="0" w:type="auto"/>
          </w:tcPr>
          <w:p w14:paraId="71EC8FBA" w14:textId="77777777" w:rsidR="00621B70" w:rsidRPr="00621B70" w:rsidRDefault="00621B70" w:rsidP="00621B70">
            <w:pPr>
              <w:pStyle w:val="NoSpacing"/>
            </w:pPr>
            <w:r w:rsidRPr="00621B70">
              <w:t>Concentrated disadvantage</w:t>
            </w:r>
          </w:p>
        </w:tc>
        <w:tc>
          <w:tcPr>
            <w:tcW w:w="0" w:type="auto"/>
          </w:tcPr>
          <w:p w14:paraId="1B52C6A3" w14:textId="77777777" w:rsidR="00621B70" w:rsidRPr="00621B70" w:rsidRDefault="00621B70" w:rsidP="00621B70">
            <w:pPr>
              <w:pStyle w:val="NoSpacing"/>
            </w:pPr>
            <w:r w:rsidRPr="00621B70">
              <w:t>−2.96</w:t>
            </w:r>
          </w:p>
        </w:tc>
        <w:tc>
          <w:tcPr>
            <w:tcW w:w="0" w:type="auto"/>
          </w:tcPr>
          <w:p w14:paraId="519B1CA0" w14:textId="77777777" w:rsidR="00621B70" w:rsidRPr="00621B70" w:rsidRDefault="00621B70" w:rsidP="00621B70">
            <w:pPr>
              <w:pStyle w:val="NoSpacing"/>
            </w:pPr>
            <w:r w:rsidRPr="00621B70">
              <w:t>3.14</w:t>
            </w:r>
          </w:p>
        </w:tc>
        <w:tc>
          <w:tcPr>
            <w:tcW w:w="0" w:type="auto"/>
          </w:tcPr>
          <w:p w14:paraId="46A615EB" w14:textId="77777777" w:rsidR="00621B70" w:rsidRPr="00621B70" w:rsidRDefault="00621B70" w:rsidP="00621B70">
            <w:pPr>
              <w:pStyle w:val="NoSpacing"/>
            </w:pPr>
            <w:r w:rsidRPr="00621B70">
              <w:t>0.00</w:t>
            </w:r>
          </w:p>
        </w:tc>
        <w:tc>
          <w:tcPr>
            <w:tcW w:w="0" w:type="auto"/>
          </w:tcPr>
          <w:p w14:paraId="6CA3B282" w14:textId="77777777" w:rsidR="00621B70" w:rsidRPr="00621B70" w:rsidRDefault="00621B70" w:rsidP="00621B70">
            <w:pPr>
              <w:pStyle w:val="NoSpacing"/>
            </w:pPr>
            <w:r w:rsidRPr="00621B70">
              <w:t>1.00</w:t>
            </w:r>
          </w:p>
        </w:tc>
      </w:tr>
      <w:tr w:rsidR="00621B70" w:rsidRPr="00621B70" w14:paraId="4567AF57" w14:textId="77777777" w:rsidTr="001D16F2">
        <w:trPr>
          <w:trHeight w:val="230"/>
        </w:trPr>
        <w:tc>
          <w:tcPr>
            <w:tcW w:w="0" w:type="auto"/>
          </w:tcPr>
          <w:p w14:paraId="3A50FEFC" w14:textId="77777777" w:rsidR="00621B70" w:rsidRPr="00621B70" w:rsidRDefault="00621B70" w:rsidP="00621B70">
            <w:pPr>
              <w:pStyle w:val="NoSpacing"/>
            </w:pPr>
            <w:r w:rsidRPr="00621B70">
              <w:t>Concentrated immigration</w:t>
            </w:r>
          </w:p>
        </w:tc>
        <w:tc>
          <w:tcPr>
            <w:tcW w:w="0" w:type="auto"/>
          </w:tcPr>
          <w:p w14:paraId="5052E735" w14:textId="77777777" w:rsidR="00621B70" w:rsidRPr="00621B70" w:rsidRDefault="00621B70" w:rsidP="00621B70">
            <w:pPr>
              <w:pStyle w:val="NoSpacing"/>
            </w:pPr>
            <w:r w:rsidRPr="00621B70">
              <w:t>−1.30</w:t>
            </w:r>
          </w:p>
        </w:tc>
        <w:tc>
          <w:tcPr>
            <w:tcW w:w="0" w:type="auto"/>
          </w:tcPr>
          <w:p w14:paraId="177CB80B" w14:textId="77777777" w:rsidR="00621B70" w:rsidRPr="00621B70" w:rsidRDefault="00621B70" w:rsidP="00621B70">
            <w:pPr>
              <w:pStyle w:val="NoSpacing"/>
            </w:pPr>
            <w:r w:rsidRPr="00621B70">
              <w:t>3.66</w:t>
            </w:r>
          </w:p>
        </w:tc>
        <w:tc>
          <w:tcPr>
            <w:tcW w:w="0" w:type="auto"/>
          </w:tcPr>
          <w:p w14:paraId="26AD4508" w14:textId="77777777" w:rsidR="00621B70" w:rsidRPr="00621B70" w:rsidRDefault="00621B70" w:rsidP="00621B70">
            <w:pPr>
              <w:pStyle w:val="NoSpacing"/>
            </w:pPr>
            <w:r w:rsidRPr="00621B70">
              <w:t>0.00</w:t>
            </w:r>
          </w:p>
        </w:tc>
        <w:tc>
          <w:tcPr>
            <w:tcW w:w="0" w:type="auto"/>
          </w:tcPr>
          <w:p w14:paraId="603DFEE0" w14:textId="77777777" w:rsidR="00621B70" w:rsidRPr="00621B70" w:rsidRDefault="00621B70" w:rsidP="00621B70">
            <w:pPr>
              <w:pStyle w:val="NoSpacing"/>
            </w:pPr>
            <w:r w:rsidRPr="00621B70">
              <w:t>1.00</w:t>
            </w:r>
          </w:p>
        </w:tc>
      </w:tr>
      <w:tr w:rsidR="00621B70" w:rsidRPr="00621B70" w14:paraId="137C42C2" w14:textId="77777777" w:rsidTr="001D16F2">
        <w:trPr>
          <w:trHeight w:val="230"/>
        </w:trPr>
        <w:tc>
          <w:tcPr>
            <w:tcW w:w="0" w:type="auto"/>
          </w:tcPr>
          <w:p w14:paraId="35BE7FE3" w14:textId="77777777" w:rsidR="00621B70" w:rsidRPr="00621B70" w:rsidRDefault="00621B70" w:rsidP="00621B70">
            <w:pPr>
              <w:pStyle w:val="NoSpacing"/>
            </w:pPr>
            <w:r w:rsidRPr="00621B70">
              <w:t>Residential stability</w:t>
            </w:r>
          </w:p>
        </w:tc>
        <w:tc>
          <w:tcPr>
            <w:tcW w:w="0" w:type="auto"/>
          </w:tcPr>
          <w:p w14:paraId="683CF4CA" w14:textId="77777777" w:rsidR="00621B70" w:rsidRPr="00621B70" w:rsidRDefault="00621B70" w:rsidP="00621B70">
            <w:pPr>
              <w:pStyle w:val="NoSpacing"/>
            </w:pPr>
            <w:r w:rsidRPr="00621B70">
              <w:t>−4.72</w:t>
            </w:r>
          </w:p>
        </w:tc>
        <w:tc>
          <w:tcPr>
            <w:tcW w:w="0" w:type="auto"/>
          </w:tcPr>
          <w:p w14:paraId="0587D49C" w14:textId="77777777" w:rsidR="00621B70" w:rsidRPr="00621B70" w:rsidRDefault="00621B70" w:rsidP="00621B70">
            <w:pPr>
              <w:pStyle w:val="NoSpacing"/>
            </w:pPr>
            <w:r w:rsidRPr="00621B70">
              <w:t>1.99</w:t>
            </w:r>
          </w:p>
        </w:tc>
        <w:tc>
          <w:tcPr>
            <w:tcW w:w="0" w:type="auto"/>
          </w:tcPr>
          <w:p w14:paraId="46F41560" w14:textId="77777777" w:rsidR="00621B70" w:rsidRPr="00621B70" w:rsidRDefault="00621B70" w:rsidP="00621B70">
            <w:pPr>
              <w:pStyle w:val="NoSpacing"/>
            </w:pPr>
            <w:r w:rsidRPr="00621B70">
              <w:t>0.00</w:t>
            </w:r>
          </w:p>
        </w:tc>
        <w:tc>
          <w:tcPr>
            <w:tcW w:w="0" w:type="auto"/>
          </w:tcPr>
          <w:p w14:paraId="1CE4E044" w14:textId="77777777" w:rsidR="00621B70" w:rsidRPr="00621B70" w:rsidRDefault="00621B70" w:rsidP="00621B70">
            <w:pPr>
              <w:pStyle w:val="NoSpacing"/>
            </w:pPr>
            <w:r w:rsidRPr="00621B70">
              <w:t>1.00</w:t>
            </w:r>
          </w:p>
        </w:tc>
      </w:tr>
      <w:tr w:rsidR="00621B70" w:rsidRPr="00621B70" w14:paraId="69FD37B1" w14:textId="77777777" w:rsidTr="001D16F2">
        <w:trPr>
          <w:trHeight w:val="230"/>
        </w:trPr>
        <w:tc>
          <w:tcPr>
            <w:tcW w:w="0" w:type="auto"/>
          </w:tcPr>
          <w:p w14:paraId="2119CCD8" w14:textId="77777777" w:rsidR="00621B70" w:rsidRPr="00621B70" w:rsidRDefault="00621B70" w:rsidP="00621B70">
            <w:pPr>
              <w:pStyle w:val="NoSpacing"/>
            </w:pPr>
            <w:r w:rsidRPr="00621B70">
              <w:t>Ethnic heterogeneity</w:t>
            </w:r>
          </w:p>
        </w:tc>
        <w:tc>
          <w:tcPr>
            <w:tcW w:w="0" w:type="auto"/>
          </w:tcPr>
          <w:p w14:paraId="75D42F11" w14:textId="77777777" w:rsidR="00621B70" w:rsidRPr="00621B70" w:rsidRDefault="00621B70" w:rsidP="00621B70">
            <w:pPr>
              <w:pStyle w:val="NoSpacing"/>
            </w:pPr>
            <w:r w:rsidRPr="00621B70">
              <w:t>−1.76</w:t>
            </w:r>
          </w:p>
        </w:tc>
        <w:tc>
          <w:tcPr>
            <w:tcW w:w="0" w:type="auto"/>
          </w:tcPr>
          <w:p w14:paraId="681E8CA5" w14:textId="77777777" w:rsidR="00621B70" w:rsidRPr="00621B70" w:rsidRDefault="00621B70" w:rsidP="00621B70">
            <w:pPr>
              <w:pStyle w:val="NoSpacing"/>
            </w:pPr>
            <w:r w:rsidRPr="00621B70">
              <w:t>2.37</w:t>
            </w:r>
          </w:p>
        </w:tc>
        <w:tc>
          <w:tcPr>
            <w:tcW w:w="0" w:type="auto"/>
          </w:tcPr>
          <w:p w14:paraId="77067E50" w14:textId="77777777" w:rsidR="00621B70" w:rsidRPr="00621B70" w:rsidRDefault="00621B70" w:rsidP="00621B70">
            <w:pPr>
              <w:pStyle w:val="NoSpacing"/>
            </w:pPr>
            <w:r w:rsidRPr="00621B70">
              <w:t>0.00</w:t>
            </w:r>
          </w:p>
        </w:tc>
        <w:tc>
          <w:tcPr>
            <w:tcW w:w="0" w:type="auto"/>
          </w:tcPr>
          <w:p w14:paraId="4F28C43D" w14:textId="77777777" w:rsidR="00621B70" w:rsidRPr="00621B70" w:rsidRDefault="00621B70" w:rsidP="00621B70">
            <w:pPr>
              <w:pStyle w:val="NoSpacing"/>
            </w:pPr>
            <w:r w:rsidRPr="00621B70">
              <w:t>1.00</w:t>
            </w:r>
          </w:p>
        </w:tc>
      </w:tr>
      <w:tr w:rsidR="00621B70" w:rsidRPr="00621B70" w14:paraId="4255F5FC" w14:textId="77777777" w:rsidTr="001D16F2">
        <w:trPr>
          <w:trHeight w:val="230"/>
        </w:trPr>
        <w:tc>
          <w:tcPr>
            <w:tcW w:w="0" w:type="auto"/>
          </w:tcPr>
          <w:p w14:paraId="324E71D8" w14:textId="77777777" w:rsidR="00621B70" w:rsidRPr="00621B70" w:rsidRDefault="00621B70" w:rsidP="00621B70">
            <w:pPr>
              <w:pStyle w:val="NoSpacing"/>
            </w:pPr>
            <w:r w:rsidRPr="00621B70">
              <w:t>Population density</w:t>
            </w:r>
          </w:p>
        </w:tc>
        <w:tc>
          <w:tcPr>
            <w:tcW w:w="0" w:type="auto"/>
          </w:tcPr>
          <w:p w14:paraId="06723E91" w14:textId="77777777" w:rsidR="00621B70" w:rsidRPr="00621B70" w:rsidRDefault="00621B70" w:rsidP="00621B70">
            <w:pPr>
              <w:pStyle w:val="NoSpacing"/>
            </w:pPr>
            <w:r w:rsidRPr="00621B70">
              <w:t>−1.59</w:t>
            </w:r>
          </w:p>
        </w:tc>
        <w:tc>
          <w:tcPr>
            <w:tcW w:w="0" w:type="auto"/>
          </w:tcPr>
          <w:p w14:paraId="67D70502" w14:textId="77777777" w:rsidR="00621B70" w:rsidRPr="00621B70" w:rsidRDefault="00621B70" w:rsidP="00621B70">
            <w:pPr>
              <w:pStyle w:val="NoSpacing"/>
            </w:pPr>
            <w:r w:rsidRPr="00621B70">
              <w:t>5.55</w:t>
            </w:r>
          </w:p>
        </w:tc>
        <w:tc>
          <w:tcPr>
            <w:tcW w:w="0" w:type="auto"/>
          </w:tcPr>
          <w:p w14:paraId="3EE810BE" w14:textId="77777777" w:rsidR="00621B70" w:rsidRPr="00621B70" w:rsidRDefault="00621B70" w:rsidP="00621B70">
            <w:pPr>
              <w:pStyle w:val="NoSpacing"/>
            </w:pPr>
            <w:r w:rsidRPr="00621B70">
              <w:t>0.00</w:t>
            </w:r>
          </w:p>
        </w:tc>
        <w:tc>
          <w:tcPr>
            <w:tcW w:w="0" w:type="auto"/>
          </w:tcPr>
          <w:p w14:paraId="67D71BE4" w14:textId="77777777" w:rsidR="00621B70" w:rsidRPr="00621B70" w:rsidRDefault="00621B70" w:rsidP="00621B70">
            <w:pPr>
              <w:pStyle w:val="NoSpacing"/>
            </w:pPr>
            <w:r w:rsidRPr="00621B70">
              <w:t>1.00</w:t>
            </w:r>
          </w:p>
        </w:tc>
      </w:tr>
      <w:tr w:rsidR="00621B70" w:rsidRPr="00621B70" w14:paraId="5472BAF7" w14:textId="77777777" w:rsidTr="001D16F2">
        <w:trPr>
          <w:trHeight w:val="230"/>
        </w:trPr>
        <w:tc>
          <w:tcPr>
            <w:tcW w:w="0" w:type="auto"/>
          </w:tcPr>
          <w:p w14:paraId="76CA9D8F" w14:textId="77777777" w:rsidR="00621B70" w:rsidRPr="00621B70" w:rsidRDefault="00621B70" w:rsidP="00621B70">
            <w:pPr>
              <w:pStyle w:val="NoSpacing"/>
            </w:pPr>
            <w:r w:rsidRPr="00621B70">
              <w:t>Proportion Black</w:t>
            </w:r>
          </w:p>
        </w:tc>
        <w:tc>
          <w:tcPr>
            <w:tcW w:w="0" w:type="auto"/>
          </w:tcPr>
          <w:p w14:paraId="560B6F0F" w14:textId="77777777" w:rsidR="00621B70" w:rsidRPr="00621B70" w:rsidRDefault="00621B70" w:rsidP="00621B70">
            <w:pPr>
              <w:pStyle w:val="NoSpacing"/>
            </w:pPr>
            <w:r w:rsidRPr="00621B70">
              <w:t>−1.15</w:t>
            </w:r>
          </w:p>
        </w:tc>
        <w:tc>
          <w:tcPr>
            <w:tcW w:w="0" w:type="auto"/>
          </w:tcPr>
          <w:p w14:paraId="0FB072E3" w14:textId="77777777" w:rsidR="00621B70" w:rsidRPr="00621B70" w:rsidRDefault="00621B70" w:rsidP="00621B70">
            <w:pPr>
              <w:pStyle w:val="NoSpacing"/>
            </w:pPr>
            <w:r w:rsidRPr="00621B70">
              <w:t>1.54</w:t>
            </w:r>
          </w:p>
        </w:tc>
        <w:tc>
          <w:tcPr>
            <w:tcW w:w="0" w:type="auto"/>
          </w:tcPr>
          <w:p w14:paraId="7F34192C" w14:textId="77777777" w:rsidR="00621B70" w:rsidRPr="00621B70" w:rsidRDefault="00621B70" w:rsidP="00621B70">
            <w:pPr>
              <w:pStyle w:val="NoSpacing"/>
            </w:pPr>
            <w:r w:rsidRPr="00621B70">
              <w:t>0.00</w:t>
            </w:r>
          </w:p>
        </w:tc>
        <w:tc>
          <w:tcPr>
            <w:tcW w:w="0" w:type="auto"/>
          </w:tcPr>
          <w:p w14:paraId="0CB69B5B" w14:textId="77777777" w:rsidR="00621B70" w:rsidRPr="00621B70" w:rsidRDefault="00621B70" w:rsidP="00621B70">
            <w:pPr>
              <w:pStyle w:val="NoSpacing"/>
            </w:pPr>
            <w:r w:rsidRPr="00621B70">
              <w:t>1.00</w:t>
            </w:r>
          </w:p>
        </w:tc>
      </w:tr>
      <w:tr w:rsidR="00621B70" w:rsidRPr="00621B70" w14:paraId="3EE02ECD" w14:textId="77777777" w:rsidTr="001D16F2">
        <w:trPr>
          <w:trHeight w:val="230"/>
        </w:trPr>
        <w:tc>
          <w:tcPr>
            <w:tcW w:w="0" w:type="auto"/>
          </w:tcPr>
          <w:p w14:paraId="507B6574" w14:textId="77777777" w:rsidR="00621B70" w:rsidRPr="00621B70" w:rsidRDefault="00621B70" w:rsidP="00621B70">
            <w:pPr>
              <w:pStyle w:val="NoSpacing"/>
            </w:pPr>
            <w:r w:rsidRPr="00621B70">
              <w:t>On-premise density</w:t>
            </w:r>
          </w:p>
        </w:tc>
        <w:tc>
          <w:tcPr>
            <w:tcW w:w="0" w:type="auto"/>
          </w:tcPr>
          <w:p w14:paraId="28EFF72C" w14:textId="77777777" w:rsidR="00621B70" w:rsidRPr="00621B70" w:rsidRDefault="00621B70" w:rsidP="00621B70">
            <w:pPr>
              <w:pStyle w:val="NoSpacing"/>
            </w:pPr>
            <w:r w:rsidRPr="00621B70">
              <w:t>−0.44</w:t>
            </w:r>
          </w:p>
        </w:tc>
        <w:tc>
          <w:tcPr>
            <w:tcW w:w="0" w:type="auto"/>
          </w:tcPr>
          <w:p w14:paraId="18EA1945" w14:textId="77777777" w:rsidR="00621B70" w:rsidRPr="00621B70" w:rsidRDefault="00621B70" w:rsidP="00621B70">
            <w:pPr>
              <w:pStyle w:val="NoSpacing"/>
            </w:pPr>
            <w:r w:rsidRPr="00621B70">
              <w:t>9.85</w:t>
            </w:r>
          </w:p>
        </w:tc>
        <w:tc>
          <w:tcPr>
            <w:tcW w:w="0" w:type="auto"/>
          </w:tcPr>
          <w:p w14:paraId="67D82E13" w14:textId="77777777" w:rsidR="00621B70" w:rsidRPr="00621B70" w:rsidRDefault="00621B70" w:rsidP="00621B70">
            <w:pPr>
              <w:pStyle w:val="NoSpacing"/>
            </w:pPr>
            <w:r w:rsidRPr="00621B70">
              <w:t>0.00</w:t>
            </w:r>
          </w:p>
        </w:tc>
        <w:tc>
          <w:tcPr>
            <w:tcW w:w="0" w:type="auto"/>
          </w:tcPr>
          <w:p w14:paraId="6B6C9014" w14:textId="77777777" w:rsidR="00621B70" w:rsidRPr="00621B70" w:rsidRDefault="00621B70" w:rsidP="00621B70">
            <w:pPr>
              <w:pStyle w:val="NoSpacing"/>
            </w:pPr>
            <w:r w:rsidRPr="00621B70">
              <w:t>1.00</w:t>
            </w:r>
          </w:p>
        </w:tc>
      </w:tr>
      <w:tr w:rsidR="00621B70" w:rsidRPr="00621B70" w14:paraId="22B34A88" w14:textId="77777777" w:rsidTr="001D16F2">
        <w:trPr>
          <w:trHeight w:val="230"/>
        </w:trPr>
        <w:tc>
          <w:tcPr>
            <w:tcW w:w="0" w:type="auto"/>
          </w:tcPr>
          <w:p w14:paraId="397038BA" w14:textId="77777777" w:rsidR="00621B70" w:rsidRPr="00621B70" w:rsidRDefault="00621B70" w:rsidP="00621B70">
            <w:pPr>
              <w:pStyle w:val="NoSpacing"/>
            </w:pPr>
            <w:r w:rsidRPr="00621B70">
              <w:t>Off-premise density</w:t>
            </w:r>
          </w:p>
        </w:tc>
        <w:tc>
          <w:tcPr>
            <w:tcW w:w="0" w:type="auto"/>
          </w:tcPr>
          <w:p w14:paraId="213D11A3" w14:textId="77777777" w:rsidR="00621B70" w:rsidRPr="00621B70" w:rsidRDefault="00621B70" w:rsidP="00621B70">
            <w:pPr>
              <w:pStyle w:val="NoSpacing"/>
            </w:pPr>
            <w:r w:rsidRPr="00621B70">
              <w:t>−0.53</w:t>
            </w:r>
          </w:p>
        </w:tc>
        <w:tc>
          <w:tcPr>
            <w:tcW w:w="0" w:type="auto"/>
          </w:tcPr>
          <w:p w14:paraId="3EDA5A6E" w14:textId="77777777" w:rsidR="00621B70" w:rsidRPr="00621B70" w:rsidRDefault="00621B70" w:rsidP="00621B70">
            <w:pPr>
              <w:pStyle w:val="NoSpacing"/>
            </w:pPr>
            <w:r w:rsidRPr="00621B70">
              <w:t>5.53</w:t>
            </w:r>
          </w:p>
        </w:tc>
        <w:tc>
          <w:tcPr>
            <w:tcW w:w="0" w:type="auto"/>
          </w:tcPr>
          <w:p w14:paraId="59CBFAFC" w14:textId="77777777" w:rsidR="00621B70" w:rsidRPr="00621B70" w:rsidRDefault="00621B70" w:rsidP="00621B70">
            <w:pPr>
              <w:pStyle w:val="NoSpacing"/>
            </w:pPr>
            <w:r w:rsidRPr="00621B70">
              <w:t>0.00</w:t>
            </w:r>
          </w:p>
        </w:tc>
        <w:tc>
          <w:tcPr>
            <w:tcW w:w="0" w:type="auto"/>
          </w:tcPr>
          <w:p w14:paraId="01688B43" w14:textId="77777777" w:rsidR="00621B70" w:rsidRPr="00621B70" w:rsidRDefault="00621B70" w:rsidP="00621B70">
            <w:pPr>
              <w:pStyle w:val="NoSpacing"/>
            </w:pPr>
            <w:r w:rsidRPr="00621B70">
              <w:t>1.00</w:t>
            </w:r>
          </w:p>
        </w:tc>
      </w:tr>
      <w:tr w:rsidR="00621B70" w:rsidRPr="00621B70" w14:paraId="08F31FF7" w14:textId="77777777" w:rsidTr="001D16F2">
        <w:trPr>
          <w:trHeight w:val="230"/>
        </w:trPr>
        <w:tc>
          <w:tcPr>
            <w:tcW w:w="0" w:type="auto"/>
          </w:tcPr>
          <w:p w14:paraId="533EF7EE" w14:textId="77777777" w:rsidR="00621B70" w:rsidRPr="00621B70" w:rsidRDefault="00621B70" w:rsidP="00621B70">
            <w:pPr>
              <w:pStyle w:val="NoSpacing"/>
            </w:pPr>
            <w:r w:rsidRPr="00621B70">
              <w:t>Beer density</w:t>
            </w:r>
          </w:p>
        </w:tc>
        <w:tc>
          <w:tcPr>
            <w:tcW w:w="0" w:type="auto"/>
          </w:tcPr>
          <w:p w14:paraId="31BA5777" w14:textId="77777777" w:rsidR="00621B70" w:rsidRPr="00621B70" w:rsidRDefault="00621B70" w:rsidP="00621B70">
            <w:pPr>
              <w:pStyle w:val="NoSpacing"/>
            </w:pPr>
            <w:r w:rsidRPr="00621B70">
              <w:t>−0.52</w:t>
            </w:r>
          </w:p>
        </w:tc>
        <w:tc>
          <w:tcPr>
            <w:tcW w:w="0" w:type="auto"/>
          </w:tcPr>
          <w:p w14:paraId="54BA44E6" w14:textId="77777777" w:rsidR="00621B70" w:rsidRPr="00621B70" w:rsidRDefault="00621B70" w:rsidP="00621B70">
            <w:pPr>
              <w:pStyle w:val="NoSpacing"/>
            </w:pPr>
            <w:r w:rsidRPr="00621B70">
              <w:t>5.76</w:t>
            </w:r>
          </w:p>
        </w:tc>
        <w:tc>
          <w:tcPr>
            <w:tcW w:w="0" w:type="auto"/>
          </w:tcPr>
          <w:p w14:paraId="08F20F23" w14:textId="77777777" w:rsidR="00621B70" w:rsidRPr="00621B70" w:rsidRDefault="00621B70" w:rsidP="00621B70">
            <w:pPr>
              <w:pStyle w:val="NoSpacing"/>
            </w:pPr>
            <w:r w:rsidRPr="00621B70">
              <w:t>0.00</w:t>
            </w:r>
          </w:p>
        </w:tc>
        <w:tc>
          <w:tcPr>
            <w:tcW w:w="0" w:type="auto"/>
          </w:tcPr>
          <w:p w14:paraId="493B748D" w14:textId="77777777" w:rsidR="00621B70" w:rsidRPr="00621B70" w:rsidRDefault="00621B70" w:rsidP="00621B70">
            <w:pPr>
              <w:pStyle w:val="NoSpacing"/>
            </w:pPr>
            <w:r w:rsidRPr="00621B70">
              <w:t>1.00</w:t>
            </w:r>
          </w:p>
        </w:tc>
      </w:tr>
      <w:tr w:rsidR="00621B70" w:rsidRPr="00621B70" w14:paraId="43D8BB1B" w14:textId="77777777" w:rsidTr="001D16F2">
        <w:trPr>
          <w:trHeight w:val="230"/>
        </w:trPr>
        <w:tc>
          <w:tcPr>
            <w:tcW w:w="0" w:type="auto"/>
          </w:tcPr>
          <w:p w14:paraId="721DF8EE" w14:textId="77777777" w:rsidR="00621B70" w:rsidRPr="00621B70" w:rsidRDefault="00621B70" w:rsidP="00621B70">
            <w:pPr>
              <w:pStyle w:val="NoSpacing"/>
            </w:pPr>
            <w:r w:rsidRPr="00621B70">
              <w:t>Wine density</w:t>
            </w:r>
          </w:p>
        </w:tc>
        <w:tc>
          <w:tcPr>
            <w:tcW w:w="0" w:type="auto"/>
          </w:tcPr>
          <w:p w14:paraId="02E3B721" w14:textId="77777777" w:rsidR="00621B70" w:rsidRPr="00621B70" w:rsidRDefault="00621B70" w:rsidP="00621B70">
            <w:pPr>
              <w:pStyle w:val="NoSpacing"/>
            </w:pPr>
            <w:r w:rsidRPr="00621B70">
              <w:t>−0.42</w:t>
            </w:r>
          </w:p>
        </w:tc>
        <w:tc>
          <w:tcPr>
            <w:tcW w:w="0" w:type="auto"/>
          </w:tcPr>
          <w:p w14:paraId="74F5196B" w14:textId="77777777" w:rsidR="00621B70" w:rsidRPr="00621B70" w:rsidRDefault="00621B70" w:rsidP="00621B70">
            <w:pPr>
              <w:pStyle w:val="NoSpacing"/>
            </w:pPr>
            <w:r w:rsidRPr="00621B70">
              <w:t>6.52</w:t>
            </w:r>
          </w:p>
        </w:tc>
        <w:tc>
          <w:tcPr>
            <w:tcW w:w="0" w:type="auto"/>
          </w:tcPr>
          <w:p w14:paraId="79DD130F" w14:textId="77777777" w:rsidR="00621B70" w:rsidRPr="00621B70" w:rsidRDefault="00621B70" w:rsidP="00621B70">
            <w:pPr>
              <w:pStyle w:val="NoSpacing"/>
            </w:pPr>
            <w:r w:rsidRPr="00621B70">
              <w:t>0.00</w:t>
            </w:r>
          </w:p>
        </w:tc>
        <w:tc>
          <w:tcPr>
            <w:tcW w:w="0" w:type="auto"/>
          </w:tcPr>
          <w:p w14:paraId="31311AAA" w14:textId="77777777" w:rsidR="00621B70" w:rsidRPr="00621B70" w:rsidRDefault="00621B70" w:rsidP="00621B70">
            <w:pPr>
              <w:pStyle w:val="NoSpacing"/>
            </w:pPr>
            <w:r w:rsidRPr="00621B70">
              <w:t>1.00</w:t>
            </w:r>
          </w:p>
        </w:tc>
      </w:tr>
      <w:tr w:rsidR="00621B70" w:rsidRPr="00621B70" w14:paraId="34FADED7" w14:textId="77777777" w:rsidTr="001D16F2">
        <w:trPr>
          <w:trHeight w:val="230"/>
        </w:trPr>
        <w:tc>
          <w:tcPr>
            <w:tcW w:w="0" w:type="auto"/>
          </w:tcPr>
          <w:p w14:paraId="6C8EE25B" w14:textId="77777777" w:rsidR="00621B70" w:rsidRPr="00621B70" w:rsidRDefault="00621B70" w:rsidP="00621B70">
            <w:pPr>
              <w:pStyle w:val="NoSpacing"/>
            </w:pPr>
            <w:r w:rsidRPr="00621B70">
              <w:t>Spirits density</w:t>
            </w:r>
          </w:p>
        </w:tc>
        <w:tc>
          <w:tcPr>
            <w:tcW w:w="0" w:type="auto"/>
          </w:tcPr>
          <w:p w14:paraId="408EBE4F" w14:textId="77777777" w:rsidR="00621B70" w:rsidRPr="00621B70" w:rsidRDefault="00621B70" w:rsidP="00621B70">
            <w:pPr>
              <w:pStyle w:val="NoSpacing"/>
            </w:pPr>
            <w:r w:rsidRPr="00621B70">
              <w:t>−0.40</w:t>
            </w:r>
          </w:p>
        </w:tc>
        <w:tc>
          <w:tcPr>
            <w:tcW w:w="0" w:type="auto"/>
          </w:tcPr>
          <w:p w14:paraId="3F27C347" w14:textId="77777777" w:rsidR="00621B70" w:rsidRPr="00621B70" w:rsidRDefault="00621B70" w:rsidP="00621B70">
            <w:pPr>
              <w:pStyle w:val="NoSpacing"/>
            </w:pPr>
            <w:r w:rsidRPr="00621B70">
              <w:t>6.52</w:t>
            </w:r>
          </w:p>
        </w:tc>
        <w:tc>
          <w:tcPr>
            <w:tcW w:w="0" w:type="auto"/>
          </w:tcPr>
          <w:p w14:paraId="737B47D1" w14:textId="77777777" w:rsidR="00621B70" w:rsidRPr="00621B70" w:rsidRDefault="00621B70" w:rsidP="00621B70">
            <w:pPr>
              <w:pStyle w:val="NoSpacing"/>
            </w:pPr>
            <w:r w:rsidRPr="00621B70">
              <w:t>0.00</w:t>
            </w:r>
          </w:p>
        </w:tc>
        <w:tc>
          <w:tcPr>
            <w:tcW w:w="0" w:type="auto"/>
          </w:tcPr>
          <w:p w14:paraId="5B7F12A3" w14:textId="77777777" w:rsidR="00621B70" w:rsidRPr="00621B70" w:rsidRDefault="00621B70" w:rsidP="00621B70">
            <w:pPr>
              <w:pStyle w:val="NoSpacing"/>
            </w:pPr>
            <w:r w:rsidRPr="00621B70">
              <w:t>1.00</w:t>
            </w:r>
          </w:p>
        </w:tc>
      </w:tr>
      <w:tr w:rsidR="00621B70" w:rsidRPr="00621B70" w14:paraId="5D5CEF08" w14:textId="77777777" w:rsidTr="001D16F2">
        <w:trPr>
          <w:trHeight w:val="230"/>
        </w:trPr>
        <w:tc>
          <w:tcPr>
            <w:tcW w:w="0" w:type="auto"/>
          </w:tcPr>
          <w:p w14:paraId="1743BFF7" w14:textId="77777777" w:rsidR="00621B70" w:rsidRPr="00621B70" w:rsidRDefault="00621B70" w:rsidP="00621B70">
            <w:pPr>
              <w:pStyle w:val="NoSpacing"/>
            </w:pPr>
            <w:r w:rsidRPr="00621B70">
              <w:t>Premixed density</w:t>
            </w:r>
          </w:p>
        </w:tc>
        <w:tc>
          <w:tcPr>
            <w:tcW w:w="0" w:type="auto"/>
          </w:tcPr>
          <w:p w14:paraId="1D2822C0" w14:textId="77777777" w:rsidR="00621B70" w:rsidRPr="00621B70" w:rsidRDefault="00621B70" w:rsidP="00621B70">
            <w:pPr>
              <w:pStyle w:val="NoSpacing"/>
            </w:pPr>
            <w:r w:rsidRPr="00621B70">
              <w:t>−0.42</w:t>
            </w:r>
          </w:p>
        </w:tc>
        <w:tc>
          <w:tcPr>
            <w:tcW w:w="0" w:type="auto"/>
          </w:tcPr>
          <w:p w14:paraId="27C9E62F" w14:textId="77777777" w:rsidR="00621B70" w:rsidRPr="00621B70" w:rsidRDefault="00621B70" w:rsidP="00621B70">
            <w:pPr>
              <w:pStyle w:val="NoSpacing"/>
            </w:pPr>
            <w:r w:rsidRPr="00621B70">
              <w:t>7.02</w:t>
            </w:r>
          </w:p>
        </w:tc>
        <w:tc>
          <w:tcPr>
            <w:tcW w:w="0" w:type="auto"/>
          </w:tcPr>
          <w:p w14:paraId="07906907" w14:textId="77777777" w:rsidR="00621B70" w:rsidRPr="00621B70" w:rsidRDefault="00621B70" w:rsidP="00621B70">
            <w:pPr>
              <w:pStyle w:val="NoSpacing"/>
            </w:pPr>
            <w:r w:rsidRPr="00621B70">
              <w:t>0.00</w:t>
            </w:r>
          </w:p>
        </w:tc>
        <w:tc>
          <w:tcPr>
            <w:tcW w:w="0" w:type="auto"/>
          </w:tcPr>
          <w:p w14:paraId="4A19DDC0" w14:textId="77777777" w:rsidR="00621B70" w:rsidRPr="00621B70" w:rsidRDefault="00621B70" w:rsidP="00621B70">
            <w:pPr>
              <w:pStyle w:val="NoSpacing"/>
            </w:pPr>
            <w:r w:rsidRPr="00621B70">
              <w:t>1.00</w:t>
            </w:r>
          </w:p>
        </w:tc>
      </w:tr>
      <w:tr w:rsidR="00621B70" w:rsidRPr="00621B70" w14:paraId="4A4BFC46" w14:textId="77777777" w:rsidTr="001D16F2">
        <w:trPr>
          <w:trHeight w:val="230"/>
        </w:trPr>
        <w:tc>
          <w:tcPr>
            <w:tcW w:w="0" w:type="auto"/>
          </w:tcPr>
          <w:p w14:paraId="514AEF68" w14:textId="77777777" w:rsidR="00621B70" w:rsidRPr="00621B70" w:rsidRDefault="00621B70" w:rsidP="00621B70">
            <w:pPr>
              <w:pStyle w:val="NoSpacing"/>
            </w:pPr>
            <w:r w:rsidRPr="00621B70">
              <w:t>Single beer density</w:t>
            </w:r>
          </w:p>
        </w:tc>
        <w:tc>
          <w:tcPr>
            <w:tcW w:w="0" w:type="auto"/>
          </w:tcPr>
          <w:p w14:paraId="42CF3908" w14:textId="77777777" w:rsidR="00621B70" w:rsidRPr="00621B70" w:rsidRDefault="00621B70" w:rsidP="00621B70">
            <w:pPr>
              <w:pStyle w:val="NoSpacing"/>
            </w:pPr>
            <w:r w:rsidRPr="00621B70">
              <w:t>−0.51</w:t>
            </w:r>
          </w:p>
        </w:tc>
        <w:tc>
          <w:tcPr>
            <w:tcW w:w="0" w:type="auto"/>
          </w:tcPr>
          <w:p w14:paraId="22CBAFFD" w14:textId="77777777" w:rsidR="00621B70" w:rsidRPr="00621B70" w:rsidRDefault="00621B70" w:rsidP="00621B70">
            <w:pPr>
              <w:pStyle w:val="NoSpacing"/>
            </w:pPr>
            <w:r w:rsidRPr="00621B70">
              <w:t>6.02</w:t>
            </w:r>
          </w:p>
        </w:tc>
        <w:tc>
          <w:tcPr>
            <w:tcW w:w="0" w:type="auto"/>
          </w:tcPr>
          <w:p w14:paraId="7B2B4CB5" w14:textId="77777777" w:rsidR="00621B70" w:rsidRPr="00621B70" w:rsidRDefault="00621B70" w:rsidP="00621B70">
            <w:pPr>
              <w:pStyle w:val="NoSpacing"/>
            </w:pPr>
            <w:r w:rsidRPr="00621B70">
              <w:t>0.00</w:t>
            </w:r>
          </w:p>
        </w:tc>
        <w:tc>
          <w:tcPr>
            <w:tcW w:w="0" w:type="auto"/>
          </w:tcPr>
          <w:p w14:paraId="472AA6C0" w14:textId="77777777" w:rsidR="00621B70" w:rsidRPr="00621B70" w:rsidRDefault="00621B70" w:rsidP="00621B70">
            <w:pPr>
              <w:pStyle w:val="NoSpacing"/>
            </w:pPr>
            <w:r w:rsidRPr="00621B70">
              <w:t>1.00</w:t>
            </w:r>
          </w:p>
        </w:tc>
      </w:tr>
      <w:tr w:rsidR="00621B70" w:rsidRPr="00621B70" w14:paraId="1D9E0A45" w14:textId="77777777" w:rsidTr="001D16F2">
        <w:trPr>
          <w:trHeight w:val="230"/>
        </w:trPr>
        <w:tc>
          <w:tcPr>
            <w:tcW w:w="0" w:type="auto"/>
          </w:tcPr>
          <w:p w14:paraId="6019F22E" w14:textId="77777777" w:rsidR="00621B70" w:rsidRPr="00621B70" w:rsidRDefault="00621B70" w:rsidP="00621B70">
            <w:pPr>
              <w:pStyle w:val="NoSpacing"/>
            </w:pPr>
            <w:r w:rsidRPr="00621B70">
              <w:t>Single spirits density</w:t>
            </w:r>
          </w:p>
        </w:tc>
        <w:tc>
          <w:tcPr>
            <w:tcW w:w="0" w:type="auto"/>
          </w:tcPr>
          <w:p w14:paraId="5E6CA600" w14:textId="77777777" w:rsidR="00621B70" w:rsidRPr="00621B70" w:rsidRDefault="00621B70" w:rsidP="00621B70">
            <w:pPr>
              <w:pStyle w:val="NoSpacing"/>
            </w:pPr>
            <w:r w:rsidRPr="00621B70">
              <w:t>−0.40</w:t>
            </w:r>
          </w:p>
        </w:tc>
        <w:tc>
          <w:tcPr>
            <w:tcW w:w="0" w:type="auto"/>
          </w:tcPr>
          <w:p w14:paraId="09293F4C" w14:textId="77777777" w:rsidR="00621B70" w:rsidRPr="00621B70" w:rsidRDefault="00621B70" w:rsidP="00621B70">
            <w:pPr>
              <w:pStyle w:val="NoSpacing"/>
            </w:pPr>
            <w:r w:rsidRPr="00621B70">
              <w:t>6.82</w:t>
            </w:r>
          </w:p>
        </w:tc>
        <w:tc>
          <w:tcPr>
            <w:tcW w:w="0" w:type="auto"/>
          </w:tcPr>
          <w:p w14:paraId="0E6DEC4D" w14:textId="77777777" w:rsidR="00621B70" w:rsidRPr="00621B70" w:rsidRDefault="00621B70" w:rsidP="00621B70">
            <w:pPr>
              <w:pStyle w:val="NoSpacing"/>
            </w:pPr>
            <w:r w:rsidRPr="00621B70">
              <w:t>0.00</w:t>
            </w:r>
          </w:p>
        </w:tc>
        <w:tc>
          <w:tcPr>
            <w:tcW w:w="0" w:type="auto"/>
          </w:tcPr>
          <w:p w14:paraId="2A0F0776" w14:textId="77777777" w:rsidR="00621B70" w:rsidRPr="00621B70" w:rsidRDefault="00621B70" w:rsidP="00621B70">
            <w:pPr>
              <w:pStyle w:val="NoSpacing"/>
            </w:pPr>
            <w:r w:rsidRPr="00621B70">
              <w:t>1.00</w:t>
            </w:r>
          </w:p>
        </w:tc>
      </w:tr>
      <w:tr w:rsidR="00621B70" w:rsidRPr="00621B70" w14:paraId="65187175" w14:textId="77777777" w:rsidTr="001D16F2">
        <w:trPr>
          <w:trHeight w:val="288"/>
        </w:trPr>
        <w:tc>
          <w:tcPr>
            <w:tcW w:w="0" w:type="auto"/>
          </w:tcPr>
          <w:p w14:paraId="52FCA8B8" w14:textId="77777777" w:rsidR="00621B70" w:rsidRPr="00621B70" w:rsidRDefault="00621B70" w:rsidP="00621B70">
            <w:pPr>
              <w:pStyle w:val="NoSpacing"/>
            </w:pPr>
            <w:r w:rsidRPr="00621B70">
              <w:t>Single premixed density</w:t>
            </w:r>
          </w:p>
        </w:tc>
        <w:tc>
          <w:tcPr>
            <w:tcW w:w="0" w:type="auto"/>
          </w:tcPr>
          <w:p w14:paraId="41E188C4" w14:textId="77777777" w:rsidR="00621B70" w:rsidRPr="00621B70" w:rsidRDefault="00621B70" w:rsidP="00621B70">
            <w:pPr>
              <w:pStyle w:val="NoSpacing"/>
            </w:pPr>
            <w:r w:rsidRPr="00621B70">
              <w:t>−0.40</w:t>
            </w:r>
          </w:p>
        </w:tc>
        <w:tc>
          <w:tcPr>
            <w:tcW w:w="0" w:type="auto"/>
          </w:tcPr>
          <w:p w14:paraId="04488C97" w14:textId="77777777" w:rsidR="00621B70" w:rsidRPr="00621B70" w:rsidRDefault="00621B70" w:rsidP="00621B70">
            <w:pPr>
              <w:pStyle w:val="NoSpacing"/>
            </w:pPr>
            <w:r w:rsidRPr="00621B70">
              <w:t>7.23</w:t>
            </w:r>
          </w:p>
        </w:tc>
        <w:tc>
          <w:tcPr>
            <w:tcW w:w="0" w:type="auto"/>
          </w:tcPr>
          <w:p w14:paraId="6E4637F9" w14:textId="77777777" w:rsidR="00621B70" w:rsidRPr="00621B70" w:rsidRDefault="00621B70" w:rsidP="00621B70">
            <w:pPr>
              <w:pStyle w:val="NoSpacing"/>
            </w:pPr>
            <w:r w:rsidRPr="00621B70">
              <w:t>0.00</w:t>
            </w:r>
          </w:p>
        </w:tc>
        <w:tc>
          <w:tcPr>
            <w:tcW w:w="0" w:type="auto"/>
          </w:tcPr>
          <w:p w14:paraId="16DE315D" w14:textId="77777777" w:rsidR="00621B70" w:rsidRPr="00621B70" w:rsidRDefault="00621B70" w:rsidP="00621B70">
            <w:pPr>
              <w:pStyle w:val="NoSpacing"/>
            </w:pPr>
            <w:r w:rsidRPr="00621B70">
              <w:t>1.00</w:t>
            </w:r>
          </w:p>
        </w:tc>
      </w:tr>
    </w:tbl>
    <w:p w14:paraId="7486F183" w14:textId="1DC23DF1" w:rsidR="001D5F1F" w:rsidRDefault="001D5F1F" w:rsidP="001D5F1F">
      <w:pPr>
        <w:pStyle w:val="NoSpacing"/>
      </w:pPr>
    </w:p>
    <w:p w14:paraId="3FCEFFCC" w14:textId="1FCE0A63" w:rsidR="00621B70" w:rsidRDefault="002F2BA2" w:rsidP="00621B70">
      <w:pPr>
        <w:pStyle w:val="NoSpacing"/>
      </w:pPr>
      <w:hyperlink r:id="rId62" w:history="1">
        <w:r w:rsidR="00621B70">
          <w:rPr>
            <w:rStyle w:val="Hyperlink"/>
          </w:rPr>
          <w:t>Table 2</w:t>
        </w:r>
      </w:hyperlink>
      <w:r w:rsidR="00621B70">
        <w:t xml:space="preserve"> shows the correlation matrix for Milwaukee block groups. As expected, robbery density was positively and significantly associated with the neighborhood characteristics variables of concentrated disadvantage (</w:t>
      </w:r>
      <w:r w:rsidR="00621B70">
        <w:rPr>
          <w:i/>
          <w:iCs/>
        </w:rPr>
        <w:t>r</w:t>
      </w:r>
      <w:r w:rsidR="00621B70">
        <w:t xml:space="preserve"> = .348), concentrated immigration (</w:t>
      </w:r>
      <w:r w:rsidR="00621B70">
        <w:rPr>
          <w:i/>
          <w:iCs/>
        </w:rPr>
        <w:t>r</w:t>
      </w:r>
      <w:r w:rsidR="00621B70">
        <w:t xml:space="preserve"> = .282), ethnic heterogeneity (</w:t>
      </w:r>
      <w:r w:rsidR="00621B70">
        <w:rPr>
          <w:i/>
          <w:iCs/>
        </w:rPr>
        <w:t>r</w:t>
      </w:r>
      <w:r w:rsidR="00621B70">
        <w:t xml:space="preserve"> = .143), population density (</w:t>
      </w:r>
      <w:r w:rsidR="00621B70">
        <w:rPr>
          <w:i/>
          <w:iCs/>
        </w:rPr>
        <w:t>r</w:t>
      </w:r>
      <w:r w:rsidR="00621B70">
        <w:t xml:space="preserve"> = .531), and proportion Black (</w:t>
      </w:r>
      <w:r w:rsidR="00621B70">
        <w:rPr>
          <w:i/>
          <w:iCs/>
        </w:rPr>
        <w:t>r</w:t>
      </w:r>
      <w:r w:rsidR="00621B70">
        <w:t xml:space="preserve"> = .149). The only exception to this pattern was residential stability (</w:t>
      </w:r>
      <w:r w:rsidR="00621B70">
        <w:rPr>
          <w:i/>
          <w:iCs/>
        </w:rPr>
        <w:t>r</w:t>
      </w:r>
      <w:r w:rsidR="00621B70">
        <w:t xml:space="preserve"> = −.311), which was negatively but significantly associated with robbery density. In addition, also as expected, robbery density was positively and significantly associated with alcohol availability measures and alcohol beverage types. That is, robbery density was associated with on-premise density (</w:t>
      </w:r>
      <w:r w:rsidR="00621B70">
        <w:rPr>
          <w:i/>
          <w:iCs/>
        </w:rPr>
        <w:t>r</w:t>
      </w:r>
      <w:r w:rsidR="00621B70">
        <w:t xml:space="preserve"> = .184), off-premise density (</w:t>
      </w:r>
      <w:r w:rsidR="00621B70">
        <w:rPr>
          <w:i/>
          <w:iCs/>
        </w:rPr>
        <w:t>r</w:t>
      </w:r>
      <w:r w:rsidR="00621B70">
        <w:t xml:space="preserve"> = .415), beer density (</w:t>
      </w:r>
      <w:r w:rsidR="00621B70">
        <w:rPr>
          <w:i/>
          <w:iCs/>
        </w:rPr>
        <w:t>r</w:t>
      </w:r>
      <w:r w:rsidR="00621B70">
        <w:t xml:space="preserve"> = .389), wine density (</w:t>
      </w:r>
      <w:r w:rsidR="00621B70">
        <w:rPr>
          <w:i/>
          <w:iCs/>
        </w:rPr>
        <w:t>r</w:t>
      </w:r>
      <w:r w:rsidR="00621B70">
        <w:t xml:space="preserve"> = .330), spirits density (</w:t>
      </w:r>
      <w:r w:rsidR="00621B70">
        <w:rPr>
          <w:i/>
          <w:iCs/>
        </w:rPr>
        <w:t>r</w:t>
      </w:r>
      <w:r w:rsidR="00621B70">
        <w:t xml:space="preserve"> = .272), premixed density (</w:t>
      </w:r>
      <w:r w:rsidR="00621B70">
        <w:rPr>
          <w:i/>
          <w:iCs/>
        </w:rPr>
        <w:t>r</w:t>
      </w:r>
      <w:r w:rsidR="00621B70">
        <w:t xml:space="preserve"> = .350), single beer density (</w:t>
      </w:r>
      <w:r w:rsidR="00621B70">
        <w:rPr>
          <w:i/>
          <w:iCs/>
        </w:rPr>
        <w:t>r</w:t>
      </w:r>
      <w:r w:rsidR="00621B70">
        <w:t xml:space="preserve"> = .381), single spirits density (</w:t>
      </w:r>
      <w:r w:rsidR="00621B70">
        <w:rPr>
          <w:i/>
          <w:iCs/>
        </w:rPr>
        <w:t>r</w:t>
      </w:r>
      <w:r w:rsidR="00621B70">
        <w:t xml:space="preserve"> = .254), and single premixed density (</w:t>
      </w:r>
      <w:r w:rsidR="00621B70">
        <w:rPr>
          <w:i/>
          <w:iCs/>
        </w:rPr>
        <w:t>r</w:t>
      </w:r>
      <w:r w:rsidR="00621B70">
        <w:t xml:space="preserve"> = .326).</w:t>
      </w:r>
    </w:p>
    <w:p w14:paraId="3E712F6A" w14:textId="4E8C1AC9" w:rsidR="0030546B" w:rsidRDefault="0030546B">
      <w:r>
        <w:br w:type="page"/>
      </w:r>
    </w:p>
    <w:p w14:paraId="66A5CF45" w14:textId="77777777" w:rsidR="0030546B" w:rsidRDefault="0030546B" w:rsidP="00621B70">
      <w:pPr>
        <w:pStyle w:val="NoSpacing"/>
        <w:sectPr w:rsidR="0030546B" w:rsidSect="00FE3038">
          <w:pgSz w:w="12240" w:h="15840"/>
          <w:pgMar w:top="1080" w:right="1080" w:bottom="1080" w:left="1080" w:header="720" w:footer="720" w:gutter="0"/>
          <w:cols w:space="720"/>
          <w:docGrid w:linePitch="360"/>
        </w:sectPr>
      </w:pPr>
    </w:p>
    <w:p w14:paraId="5CA501CD" w14:textId="41D4CBD4" w:rsidR="00621B70" w:rsidRDefault="002C415E" w:rsidP="002C415E">
      <w:pPr>
        <w:pStyle w:val="NoSpacing"/>
      </w:pPr>
      <w:r w:rsidRPr="002C415E">
        <w:rPr>
          <w:b/>
          <w:bCs/>
        </w:rPr>
        <w:lastRenderedPageBreak/>
        <w:t>Table 2.</w:t>
      </w:r>
      <w:r w:rsidRPr="002C415E">
        <w:t xml:space="preserve"> Correlation Matrix for Milwaukee Block Groups (N = 572).</w:t>
      </w:r>
    </w:p>
    <w:tbl>
      <w:tblPr>
        <w:tblStyle w:val="TableGridLight"/>
        <w:tblW w:w="0" w:type="auto"/>
        <w:tblLook w:val="04A0" w:firstRow="1" w:lastRow="0" w:firstColumn="1" w:lastColumn="0" w:noHBand="0" w:noVBand="1"/>
      </w:tblPr>
      <w:tblGrid>
        <w:gridCol w:w="2279"/>
        <w:gridCol w:w="750"/>
        <w:gridCol w:w="751"/>
        <w:gridCol w:w="767"/>
        <w:gridCol w:w="751"/>
        <w:gridCol w:w="751"/>
        <w:gridCol w:w="751"/>
        <w:gridCol w:w="751"/>
        <w:gridCol w:w="715"/>
        <w:gridCol w:w="715"/>
        <w:gridCol w:w="715"/>
        <w:gridCol w:w="715"/>
        <w:gridCol w:w="715"/>
        <w:gridCol w:w="715"/>
        <w:gridCol w:w="715"/>
        <w:gridCol w:w="715"/>
        <w:gridCol w:w="399"/>
      </w:tblGrid>
      <w:tr w:rsidR="00401588" w:rsidRPr="00401588" w14:paraId="4E7128E8" w14:textId="0A6518C2" w:rsidTr="00401588">
        <w:tc>
          <w:tcPr>
            <w:tcW w:w="0" w:type="auto"/>
          </w:tcPr>
          <w:p w14:paraId="41F47333" w14:textId="77777777" w:rsidR="00577151" w:rsidRPr="00401588" w:rsidRDefault="00577151" w:rsidP="002C415E">
            <w:pPr>
              <w:pStyle w:val="NoSpacing"/>
              <w:rPr>
                <w:sz w:val="18"/>
                <w:szCs w:val="18"/>
              </w:rPr>
            </w:pPr>
          </w:p>
        </w:tc>
        <w:tc>
          <w:tcPr>
            <w:tcW w:w="0" w:type="auto"/>
          </w:tcPr>
          <w:p w14:paraId="59F431BC" w14:textId="5B866F32" w:rsidR="00577151" w:rsidRPr="00401588" w:rsidRDefault="00577151" w:rsidP="002C415E">
            <w:pPr>
              <w:pStyle w:val="NoSpacing"/>
              <w:rPr>
                <w:sz w:val="18"/>
                <w:szCs w:val="18"/>
              </w:rPr>
            </w:pPr>
            <w:r w:rsidRPr="00401588">
              <w:rPr>
                <w:sz w:val="18"/>
                <w:szCs w:val="18"/>
              </w:rPr>
              <w:t>1</w:t>
            </w:r>
          </w:p>
        </w:tc>
        <w:tc>
          <w:tcPr>
            <w:tcW w:w="0" w:type="auto"/>
          </w:tcPr>
          <w:p w14:paraId="0824DAB5" w14:textId="4F64BE7C" w:rsidR="00577151" w:rsidRPr="00401588" w:rsidRDefault="00577151" w:rsidP="002C415E">
            <w:pPr>
              <w:pStyle w:val="NoSpacing"/>
              <w:rPr>
                <w:sz w:val="18"/>
                <w:szCs w:val="18"/>
              </w:rPr>
            </w:pPr>
            <w:r w:rsidRPr="00401588">
              <w:rPr>
                <w:sz w:val="18"/>
                <w:szCs w:val="18"/>
              </w:rPr>
              <w:t>2</w:t>
            </w:r>
          </w:p>
        </w:tc>
        <w:tc>
          <w:tcPr>
            <w:tcW w:w="0" w:type="auto"/>
          </w:tcPr>
          <w:p w14:paraId="08E70A54" w14:textId="66EC7569" w:rsidR="00577151" w:rsidRPr="00401588" w:rsidRDefault="00577151" w:rsidP="002C415E">
            <w:pPr>
              <w:pStyle w:val="NoSpacing"/>
              <w:rPr>
                <w:sz w:val="18"/>
                <w:szCs w:val="18"/>
              </w:rPr>
            </w:pPr>
            <w:r w:rsidRPr="00401588">
              <w:rPr>
                <w:sz w:val="18"/>
                <w:szCs w:val="18"/>
              </w:rPr>
              <w:t>3</w:t>
            </w:r>
          </w:p>
        </w:tc>
        <w:tc>
          <w:tcPr>
            <w:tcW w:w="0" w:type="auto"/>
          </w:tcPr>
          <w:p w14:paraId="2283F150" w14:textId="1861193C" w:rsidR="00577151" w:rsidRPr="00401588" w:rsidRDefault="00577151" w:rsidP="002C415E">
            <w:pPr>
              <w:pStyle w:val="NoSpacing"/>
              <w:rPr>
                <w:sz w:val="18"/>
                <w:szCs w:val="18"/>
              </w:rPr>
            </w:pPr>
            <w:r w:rsidRPr="00401588">
              <w:rPr>
                <w:sz w:val="18"/>
                <w:szCs w:val="18"/>
              </w:rPr>
              <w:t>4</w:t>
            </w:r>
          </w:p>
        </w:tc>
        <w:tc>
          <w:tcPr>
            <w:tcW w:w="0" w:type="auto"/>
          </w:tcPr>
          <w:p w14:paraId="3ACD57C4" w14:textId="6011CF56" w:rsidR="00577151" w:rsidRPr="00401588" w:rsidRDefault="00577151" w:rsidP="002C415E">
            <w:pPr>
              <w:pStyle w:val="NoSpacing"/>
              <w:rPr>
                <w:sz w:val="18"/>
                <w:szCs w:val="18"/>
              </w:rPr>
            </w:pPr>
            <w:r w:rsidRPr="00401588">
              <w:rPr>
                <w:sz w:val="18"/>
                <w:szCs w:val="18"/>
              </w:rPr>
              <w:t>5</w:t>
            </w:r>
          </w:p>
        </w:tc>
        <w:tc>
          <w:tcPr>
            <w:tcW w:w="0" w:type="auto"/>
          </w:tcPr>
          <w:p w14:paraId="72ACBB8A" w14:textId="264C0D74" w:rsidR="00577151" w:rsidRPr="00401588" w:rsidRDefault="00577151" w:rsidP="002C415E">
            <w:pPr>
              <w:pStyle w:val="NoSpacing"/>
              <w:rPr>
                <w:sz w:val="18"/>
                <w:szCs w:val="18"/>
              </w:rPr>
            </w:pPr>
            <w:r w:rsidRPr="00401588">
              <w:rPr>
                <w:sz w:val="18"/>
                <w:szCs w:val="18"/>
              </w:rPr>
              <w:t>6</w:t>
            </w:r>
          </w:p>
        </w:tc>
        <w:tc>
          <w:tcPr>
            <w:tcW w:w="0" w:type="auto"/>
          </w:tcPr>
          <w:p w14:paraId="67A385F5" w14:textId="4EACF49B" w:rsidR="00577151" w:rsidRPr="00401588" w:rsidRDefault="00577151" w:rsidP="002C415E">
            <w:pPr>
              <w:pStyle w:val="NoSpacing"/>
              <w:rPr>
                <w:sz w:val="18"/>
                <w:szCs w:val="18"/>
              </w:rPr>
            </w:pPr>
            <w:r w:rsidRPr="00401588">
              <w:rPr>
                <w:sz w:val="18"/>
                <w:szCs w:val="18"/>
              </w:rPr>
              <w:t>7</w:t>
            </w:r>
          </w:p>
        </w:tc>
        <w:tc>
          <w:tcPr>
            <w:tcW w:w="0" w:type="auto"/>
          </w:tcPr>
          <w:p w14:paraId="0756E658" w14:textId="5C30B380" w:rsidR="00577151" w:rsidRPr="00401588" w:rsidRDefault="00577151" w:rsidP="002C415E">
            <w:pPr>
              <w:pStyle w:val="NoSpacing"/>
              <w:rPr>
                <w:sz w:val="18"/>
                <w:szCs w:val="18"/>
              </w:rPr>
            </w:pPr>
            <w:r w:rsidRPr="00401588">
              <w:rPr>
                <w:sz w:val="18"/>
                <w:szCs w:val="18"/>
              </w:rPr>
              <w:t>8</w:t>
            </w:r>
          </w:p>
        </w:tc>
        <w:tc>
          <w:tcPr>
            <w:tcW w:w="0" w:type="auto"/>
          </w:tcPr>
          <w:p w14:paraId="2BCF6562" w14:textId="5363237E" w:rsidR="00577151" w:rsidRPr="00401588" w:rsidRDefault="00577151" w:rsidP="002C415E">
            <w:pPr>
              <w:pStyle w:val="NoSpacing"/>
              <w:rPr>
                <w:sz w:val="18"/>
                <w:szCs w:val="18"/>
              </w:rPr>
            </w:pPr>
            <w:r w:rsidRPr="00401588">
              <w:rPr>
                <w:sz w:val="18"/>
                <w:szCs w:val="18"/>
              </w:rPr>
              <w:t>9</w:t>
            </w:r>
          </w:p>
        </w:tc>
        <w:tc>
          <w:tcPr>
            <w:tcW w:w="0" w:type="auto"/>
          </w:tcPr>
          <w:p w14:paraId="7F355AF9" w14:textId="75D517C5" w:rsidR="00577151" w:rsidRPr="00401588" w:rsidRDefault="00577151" w:rsidP="002C415E">
            <w:pPr>
              <w:pStyle w:val="NoSpacing"/>
              <w:rPr>
                <w:sz w:val="18"/>
                <w:szCs w:val="18"/>
              </w:rPr>
            </w:pPr>
            <w:r w:rsidRPr="00401588">
              <w:rPr>
                <w:sz w:val="18"/>
                <w:szCs w:val="18"/>
              </w:rPr>
              <w:t>10</w:t>
            </w:r>
          </w:p>
        </w:tc>
        <w:tc>
          <w:tcPr>
            <w:tcW w:w="0" w:type="auto"/>
          </w:tcPr>
          <w:p w14:paraId="1CCDED89" w14:textId="44C2240F" w:rsidR="00577151" w:rsidRPr="00401588" w:rsidRDefault="00577151" w:rsidP="002C415E">
            <w:pPr>
              <w:pStyle w:val="NoSpacing"/>
              <w:rPr>
                <w:sz w:val="18"/>
                <w:szCs w:val="18"/>
              </w:rPr>
            </w:pPr>
            <w:r w:rsidRPr="00401588">
              <w:rPr>
                <w:sz w:val="18"/>
                <w:szCs w:val="18"/>
              </w:rPr>
              <w:t>11</w:t>
            </w:r>
          </w:p>
        </w:tc>
        <w:tc>
          <w:tcPr>
            <w:tcW w:w="0" w:type="auto"/>
          </w:tcPr>
          <w:p w14:paraId="1472DA4E" w14:textId="5C3D8B2E" w:rsidR="00577151" w:rsidRPr="00401588" w:rsidRDefault="00577151" w:rsidP="002C415E">
            <w:pPr>
              <w:pStyle w:val="NoSpacing"/>
              <w:rPr>
                <w:sz w:val="18"/>
                <w:szCs w:val="18"/>
              </w:rPr>
            </w:pPr>
            <w:r w:rsidRPr="00401588">
              <w:rPr>
                <w:sz w:val="18"/>
                <w:szCs w:val="18"/>
              </w:rPr>
              <w:t>12</w:t>
            </w:r>
          </w:p>
        </w:tc>
        <w:tc>
          <w:tcPr>
            <w:tcW w:w="0" w:type="auto"/>
          </w:tcPr>
          <w:p w14:paraId="7A7109AD" w14:textId="72C6211F" w:rsidR="00577151" w:rsidRPr="00401588" w:rsidRDefault="00577151" w:rsidP="002C415E">
            <w:pPr>
              <w:pStyle w:val="NoSpacing"/>
              <w:rPr>
                <w:sz w:val="18"/>
                <w:szCs w:val="18"/>
              </w:rPr>
            </w:pPr>
            <w:r w:rsidRPr="00401588">
              <w:rPr>
                <w:sz w:val="18"/>
                <w:szCs w:val="18"/>
              </w:rPr>
              <w:t>13</w:t>
            </w:r>
          </w:p>
        </w:tc>
        <w:tc>
          <w:tcPr>
            <w:tcW w:w="0" w:type="auto"/>
          </w:tcPr>
          <w:p w14:paraId="73D6CCF6" w14:textId="10857154" w:rsidR="00577151" w:rsidRPr="00401588" w:rsidRDefault="00577151" w:rsidP="002C415E">
            <w:pPr>
              <w:pStyle w:val="NoSpacing"/>
              <w:rPr>
                <w:sz w:val="18"/>
                <w:szCs w:val="18"/>
              </w:rPr>
            </w:pPr>
            <w:r w:rsidRPr="00401588">
              <w:rPr>
                <w:sz w:val="18"/>
                <w:szCs w:val="18"/>
              </w:rPr>
              <w:t>14</w:t>
            </w:r>
          </w:p>
        </w:tc>
        <w:tc>
          <w:tcPr>
            <w:tcW w:w="0" w:type="auto"/>
          </w:tcPr>
          <w:p w14:paraId="16C606BC" w14:textId="040B962D" w:rsidR="00577151" w:rsidRPr="00401588" w:rsidRDefault="00577151" w:rsidP="002C415E">
            <w:pPr>
              <w:pStyle w:val="NoSpacing"/>
              <w:rPr>
                <w:sz w:val="18"/>
                <w:szCs w:val="18"/>
              </w:rPr>
            </w:pPr>
            <w:r w:rsidRPr="00401588">
              <w:rPr>
                <w:sz w:val="18"/>
                <w:szCs w:val="18"/>
              </w:rPr>
              <w:t>15</w:t>
            </w:r>
          </w:p>
        </w:tc>
        <w:tc>
          <w:tcPr>
            <w:tcW w:w="0" w:type="auto"/>
          </w:tcPr>
          <w:p w14:paraId="6373940E" w14:textId="0AAB353C" w:rsidR="00577151" w:rsidRPr="00401588" w:rsidRDefault="00577151" w:rsidP="002C415E">
            <w:pPr>
              <w:pStyle w:val="NoSpacing"/>
              <w:rPr>
                <w:sz w:val="18"/>
                <w:szCs w:val="18"/>
              </w:rPr>
            </w:pPr>
            <w:r w:rsidRPr="00401588">
              <w:rPr>
                <w:sz w:val="18"/>
                <w:szCs w:val="18"/>
              </w:rPr>
              <w:t>16</w:t>
            </w:r>
          </w:p>
        </w:tc>
      </w:tr>
      <w:tr w:rsidR="00401588" w:rsidRPr="00401588" w14:paraId="5DD92E55" w14:textId="0EE1BD2F" w:rsidTr="00401588">
        <w:tc>
          <w:tcPr>
            <w:tcW w:w="0" w:type="auto"/>
          </w:tcPr>
          <w:p w14:paraId="663B30FC" w14:textId="4DE8B74D" w:rsidR="00577151" w:rsidRPr="00401588" w:rsidRDefault="00197E1D" w:rsidP="00BC63C5">
            <w:pPr>
              <w:pStyle w:val="NoSpacing"/>
              <w:numPr>
                <w:ilvl w:val="0"/>
                <w:numId w:val="37"/>
              </w:numPr>
              <w:ind w:left="338"/>
              <w:rPr>
                <w:sz w:val="18"/>
                <w:szCs w:val="18"/>
              </w:rPr>
            </w:pPr>
            <w:r w:rsidRPr="00401588">
              <w:rPr>
                <w:sz w:val="18"/>
                <w:szCs w:val="18"/>
              </w:rPr>
              <w:t>Robbery density</w:t>
            </w:r>
          </w:p>
        </w:tc>
        <w:tc>
          <w:tcPr>
            <w:tcW w:w="0" w:type="auto"/>
          </w:tcPr>
          <w:p w14:paraId="07D3122F" w14:textId="10D536FE" w:rsidR="00577151" w:rsidRPr="00401588" w:rsidRDefault="005B12D4" w:rsidP="002C415E">
            <w:pPr>
              <w:pStyle w:val="NoSpacing"/>
              <w:rPr>
                <w:sz w:val="18"/>
                <w:szCs w:val="18"/>
              </w:rPr>
            </w:pPr>
            <w:r w:rsidRPr="00401588">
              <w:rPr>
                <w:sz w:val="18"/>
                <w:szCs w:val="18"/>
              </w:rPr>
              <w:t>|</w:t>
            </w:r>
          </w:p>
        </w:tc>
        <w:tc>
          <w:tcPr>
            <w:tcW w:w="0" w:type="auto"/>
          </w:tcPr>
          <w:p w14:paraId="476D585C" w14:textId="77777777" w:rsidR="00577151" w:rsidRPr="00401588" w:rsidRDefault="00577151" w:rsidP="002C415E">
            <w:pPr>
              <w:pStyle w:val="NoSpacing"/>
              <w:rPr>
                <w:sz w:val="18"/>
                <w:szCs w:val="18"/>
              </w:rPr>
            </w:pPr>
          </w:p>
        </w:tc>
        <w:tc>
          <w:tcPr>
            <w:tcW w:w="0" w:type="auto"/>
          </w:tcPr>
          <w:p w14:paraId="48E39F9B" w14:textId="77777777" w:rsidR="00577151" w:rsidRPr="00401588" w:rsidRDefault="00577151" w:rsidP="002C415E">
            <w:pPr>
              <w:pStyle w:val="NoSpacing"/>
              <w:rPr>
                <w:sz w:val="18"/>
                <w:szCs w:val="18"/>
              </w:rPr>
            </w:pPr>
          </w:p>
        </w:tc>
        <w:tc>
          <w:tcPr>
            <w:tcW w:w="0" w:type="auto"/>
          </w:tcPr>
          <w:p w14:paraId="5F6EE382" w14:textId="77777777" w:rsidR="00577151" w:rsidRPr="00401588" w:rsidRDefault="00577151" w:rsidP="002C415E">
            <w:pPr>
              <w:pStyle w:val="NoSpacing"/>
              <w:rPr>
                <w:sz w:val="18"/>
                <w:szCs w:val="18"/>
              </w:rPr>
            </w:pPr>
          </w:p>
        </w:tc>
        <w:tc>
          <w:tcPr>
            <w:tcW w:w="0" w:type="auto"/>
          </w:tcPr>
          <w:p w14:paraId="3C1AE923" w14:textId="77777777" w:rsidR="00577151" w:rsidRPr="00401588" w:rsidRDefault="00577151" w:rsidP="002C415E">
            <w:pPr>
              <w:pStyle w:val="NoSpacing"/>
              <w:rPr>
                <w:sz w:val="18"/>
                <w:szCs w:val="18"/>
              </w:rPr>
            </w:pPr>
          </w:p>
        </w:tc>
        <w:tc>
          <w:tcPr>
            <w:tcW w:w="0" w:type="auto"/>
          </w:tcPr>
          <w:p w14:paraId="6F6EC7AB" w14:textId="77777777" w:rsidR="00577151" w:rsidRPr="00401588" w:rsidRDefault="00577151" w:rsidP="002C415E">
            <w:pPr>
              <w:pStyle w:val="NoSpacing"/>
              <w:rPr>
                <w:sz w:val="18"/>
                <w:szCs w:val="18"/>
              </w:rPr>
            </w:pPr>
          </w:p>
        </w:tc>
        <w:tc>
          <w:tcPr>
            <w:tcW w:w="0" w:type="auto"/>
          </w:tcPr>
          <w:p w14:paraId="07EED0CD" w14:textId="77777777" w:rsidR="00577151" w:rsidRPr="00401588" w:rsidRDefault="00577151" w:rsidP="002C415E">
            <w:pPr>
              <w:pStyle w:val="NoSpacing"/>
              <w:rPr>
                <w:sz w:val="18"/>
                <w:szCs w:val="18"/>
              </w:rPr>
            </w:pPr>
          </w:p>
        </w:tc>
        <w:tc>
          <w:tcPr>
            <w:tcW w:w="0" w:type="auto"/>
          </w:tcPr>
          <w:p w14:paraId="6FCD0EAE" w14:textId="77777777" w:rsidR="00577151" w:rsidRPr="00401588" w:rsidRDefault="00577151" w:rsidP="002C415E">
            <w:pPr>
              <w:pStyle w:val="NoSpacing"/>
              <w:rPr>
                <w:sz w:val="18"/>
                <w:szCs w:val="18"/>
              </w:rPr>
            </w:pPr>
          </w:p>
        </w:tc>
        <w:tc>
          <w:tcPr>
            <w:tcW w:w="0" w:type="auto"/>
          </w:tcPr>
          <w:p w14:paraId="28B90A9F" w14:textId="77777777" w:rsidR="00577151" w:rsidRPr="00401588" w:rsidRDefault="00577151" w:rsidP="002C415E">
            <w:pPr>
              <w:pStyle w:val="NoSpacing"/>
              <w:rPr>
                <w:sz w:val="18"/>
                <w:szCs w:val="18"/>
              </w:rPr>
            </w:pPr>
          </w:p>
        </w:tc>
        <w:tc>
          <w:tcPr>
            <w:tcW w:w="0" w:type="auto"/>
          </w:tcPr>
          <w:p w14:paraId="64051BB4" w14:textId="77777777" w:rsidR="00577151" w:rsidRPr="00401588" w:rsidRDefault="00577151" w:rsidP="002C415E">
            <w:pPr>
              <w:pStyle w:val="NoSpacing"/>
              <w:rPr>
                <w:sz w:val="18"/>
                <w:szCs w:val="18"/>
              </w:rPr>
            </w:pPr>
          </w:p>
        </w:tc>
        <w:tc>
          <w:tcPr>
            <w:tcW w:w="0" w:type="auto"/>
          </w:tcPr>
          <w:p w14:paraId="4EDC7398" w14:textId="77777777" w:rsidR="00577151" w:rsidRPr="00401588" w:rsidRDefault="00577151" w:rsidP="002C415E">
            <w:pPr>
              <w:pStyle w:val="NoSpacing"/>
              <w:rPr>
                <w:sz w:val="18"/>
                <w:szCs w:val="18"/>
              </w:rPr>
            </w:pPr>
          </w:p>
        </w:tc>
        <w:tc>
          <w:tcPr>
            <w:tcW w:w="0" w:type="auto"/>
          </w:tcPr>
          <w:p w14:paraId="1800A7E9" w14:textId="77777777" w:rsidR="00577151" w:rsidRPr="00401588" w:rsidRDefault="00577151" w:rsidP="002C415E">
            <w:pPr>
              <w:pStyle w:val="NoSpacing"/>
              <w:rPr>
                <w:sz w:val="18"/>
                <w:szCs w:val="18"/>
              </w:rPr>
            </w:pPr>
          </w:p>
        </w:tc>
        <w:tc>
          <w:tcPr>
            <w:tcW w:w="0" w:type="auto"/>
          </w:tcPr>
          <w:p w14:paraId="5E69495E" w14:textId="77777777" w:rsidR="00577151" w:rsidRPr="00401588" w:rsidRDefault="00577151" w:rsidP="002C415E">
            <w:pPr>
              <w:pStyle w:val="NoSpacing"/>
              <w:rPr>
                <w:sz w:val="18"/>
                <w:szCs w:val="18"/>
              </w:rPr>
            </w:pPr>
          </w:p>
        </w:tc>
        <w:tc>
          <w:tcPr>
            <w:tcW w:w="0" w:type="auto"/>
          </w:tcPr>
          <w:p w14:paraId="698D4E3C" w14:textId="77777777" w:rsidR="00577151" w:rsidRPr="00401588" w:rsidRDefault="00577151" w:rsidP="002C415E">
            <w:pPr>
              <w:pStyle w:val="NoSpacing"/>
              <w:rPr>
                <w:sz w:val="18"/>
                <w:szCs w:val="18"/>
              </w:rPr>
            </w:pPr>
          </w:p>
        </w:tc>
        <w:tc>
          <w:tcPr>
            <w:tcW w:w="0" w:type="auto"/>
          </w:tcPr>
          <w:p w14:paraId="013A2040" w14:textId="77777777" w:rsidR="00577151" w:rsidRPr="00401588" w:rsidRDefault="00577151" w:rsidP="002C415E">
            <w:pPr>
              <w:pStyle w:val="NoSpacing"/>
              <w:rPr>
                <w:sz w:val="18"/>
                <w:szCs w:val="18"/>
              </w:rPr>
            </w:pPr>
          </w:p>
        </w:tc>
        <w:tc>
          <w:tcPr>
            <w:tcW w:w="0" w:type="auto"/>
          </w:tcPr>
          <w:p w14:paraId="05237CD5" w14:textId="77777777" w:rsidR="00577151" w:rsidRPr="00401588" w:rsidRDefault="00577151" w:rsidP="002C415E">
            <w:pPr>
              <w:pStyle w:val="NoSpacing"/>
              <w:rPr>
                <w:sz w:val="18"/>
                <w:szCs w:val="18"/>
              </w:rPr>
            </w:pPr>
          </w:p>
        </w:tc>
      </w:tr>
      <w:tr w:rsidR="00401588" w:rsidRPr="00401588" w14:paraId="58FAFF8A" w14:textId="36A462F1" w:rsidTr="00401588">
        <w:tc>
          <w:tcPr>
            <w:tcW w:w="0" w:type="auto"/>
          </w:tcPr>
          <w:p w14:paraId="6FD35209" w14:textId="5CAF4AC8" w:rsidR="00577151" w:rsidRPr="00401588" w:rsidRDefault="00197E1D" w:rsidP="00BC63C5">
            <w:pPr>
              <w:pStyle w:val="NoSpacing"/>
              <w:numPr>
                <w:ilvl w:val="0"/>
                <w:numId w:val="37"/>
              </w:numPr>
              <w:ind w:left="338"/>
              <w:rPr>
                <w:sz w:val="18"/>
                <w:szCs w:val="18"/>
              </w:rPr>
            </w:pPr>
            <w:r w:rsidRPr="00401588">
              <w:rPr>
                <w:sz w:val="18"/>
                <w:szCs w:val="18"/>
              </w:rPr>
              <w:t>Concentrated disadvantage</w:t>
            </w:r>
          </w:p>
        </w:tc>
        <w:tc>
          <w:tcPr>
            <w:tcW w:w="0" w:type="auto"/>
          </w:tcPr>
          <w:p w14:paraId="18FF1756" w14:textId="430F3B1E" w:rsidR="00577151" w:rsidRPr="00401588" w:rsidRDefault="005B12D4" w:rsidP="002C415E">
            <w:pPr>
              <w:pStyle w:val="NoSpacing"/>
              <w:rPr>
                <w:sz w:val="18"/>
                <w:szCs w:val="18"/>
              </w:rPr>
            </w:pPr>
            <w:r w:rsidRPr="00401588">
              <w:rPr>
                <w:sz w:val="18"/>
                <w:szCs w:val="18"/>
              </w:rPr>
              <w:t>.348**</w:t>
            </w:r>
          </w:p>
        </w:tc>
        <w:tc>
          <w:tcPr>
            <w:tcW w:w="0" w:type="auto"/>
          </w:tcPr>
          <w:p w14:paraId="0D2EFFA8" w14:textId="3A5BCDF5" w:rsidR="00577151" w:rsidRPr="00401588" w:rsidRDefault="005B12D4" w:rsidP="002C415E">
            <w:pPr>
              <w:pStyle w:val="NoSpacing"/>
              <w:rPr>
                <w:sz w:val="18"/>
                <w:szCs w:val="18"/>
              </w:rPr>
            </w:pPr>
            <w:r w:rsidRPr="00401588">
              <w:rPr>
                <w:sz w:val="18"/>
                <w:szCs w:val="18"/>
              </w:rPr>
              <w:t>|</w:t>
            </w:r>
          </w:p>
        </w:tc>
        <w:tc>
          <w:tcPr>
            <w:tcW w:w="0" w:type="auto"/>
          </w:tcPr>
          <w:p w14:paraId="5F129976" w14:textId="77777777" w:rsidR="00577151" w:rsidRPr="00401588" w:rsidRDefault="00577151" w:rsidP="002C415E">
            <w:pPr>
              <w:pStyle w:val="NoSpacing"/>
              <w:rPr>
                <w:sz w:val="18"/>
                <w:szCs w:val="18"/>
              </w:rPr>
            </w:pPr>
          </w:p>
        </w:tc>
        <w:tc>
          <w:tcPr>
            <w:tcW w:w="0" w:type="auto"/>
          </w:tcPr>
          <w:p w14:paraId="67961E01" w14:textId="77777777" w:rsidR="00577151" w:rsidRPr="00401588" w:rsidRDefault="00577151" w:rsidP="002C415E">
            <w:pPr>
              <w:pStyle w:val="NoSpacing"/>
              <w:rPr>
                <w:sz w:val="18"/>
                <w:szCs w:val="18"/>
              </w:rPr>
            </w:pPr>
          </w:p>
        </w:tc>
        <w:tc>
          <w:tcPr>
            <w:tcW w:w="0" w:type="auto"/>
          </w:tcPr>
          <w:p w14:paraId="0509F9EA" w14:textId="77777777" w:rsidR="00577151" w:rsidRPr="00401588" w:rsidRDefault="00577151" w:rsidP="002C415E">
            <w:pPr>
              <w:pStyle w:val="NoSpacing"/>
              <w:rPr>
                <w:sz w:val="18"/>
                <w:szCs w:val="18"/>
              </w:rPr>
            </w:pPr>
          </w:p>
        </w:tc>
        <w:tc>
          <w:tcPr>
            <w:tcW w:w="0" w:type="auto"/>
          </w:tcPr>
          <w:p w14:paraId="6AC5288C" w14:textId="77777777" w:rsidR="00577151" w:rsidRPr="00401588" w:rsidRDefault="00577151" w:rsidP="002C415E">
            <w:pPr>
              <w:pStyle w:val="NoSpacing"/>
              <w:rPr>
                <w:sz w:val="18"/>
                <w:szCs w:val="18"/>
              </w:rPr>
            </w:pPr>
          </w:p>
        </w:tc>
        <w:tc>
          <w:tcPr>
            <w:tcW w:w="0" w:type="auto"/>
          </w:tcPr>
          <w:p w14:paraId="28B178F3" w14:textId="77777777" w:rsidR="00577151" w:rsidRPr="00401588" w:rsidRDefault="00577151" w:rsidP="002C415E">
            <w:pPr>
              <w:pStyle w:val="NoSpacing"/>
              <w:rPr>
                <w:sz w:val="18"/>
                <w:szCs w:val="18"/>
              </w:rPr>
            </w:pPr>
          </w:p>
        </w:tc>
        <w:tc>
          <w:tcPr>
            <w:tcW w:w="0" w:type="auto"/>
          </w:tcPr>
          <w:p w14:paraId="3B79BFF2" w14:textId="77777777" w:rsidR="00577151" w:rsidRPr="00401588" w:rsidRDefault="00577151" w:rsidP="002C415E">
            <w:pPr>
              <w:pStyle w:val="NoSpacing"/>
              <w:rPr>
                <w:sz w:val="18"/>
                <w:szCs w:val="18"/>
              </w:rPr>
            </w:pPr>
          </w:p>
        </w:tc>
        <w:tc>
          <w:tcPr>
            <w:tcW w:w="0" w:type="auto"/>
          </w:tcPr>
          <w:p w14:paraId="48C56D32" w14:textId="77777777" w:rsidR="00577151" w:rsidRPr="00401588" w:rsidRDefault="00577151" w:rsidP="002C415E">
            <w:pPr>
              <w:pStyle w:val="NoSpacing"/>
              <w:rPr>
                <w:sz w:val="18"/>
                <w:szCs w:val="18"/>
              </w:rPr>
            </w:pPr>
          </w:p>
        </w:tc>
        <w:tc>
          <w:tcPr>
            <w:tcW w:w="0" w:type="auto"/>
          </w:tcPr>
          <w:p w14:paraId="61E73D2F" w14:textId="77777777" w:rsidR="00577151" w:rsidRPr="00401588" w:rsidRDefault="00577151" w:rsidP="002C415E">
            <w:pPr>
              <w:pStyle w:val="NoSpacing"/>
              <w:rPr>
                <w:sz w:val="18"/>
                <w:szCs w:val="18"/>
              </w:rPr>
            </w:pPr>
          </w:p>
        </w:tc>
        <w:tc>
          <w:tcPr>
            <w:tcW w:w="0" w:type="auto"/>
          </w:tcPr>
          <w:p w14:paraId="0207712B" w14:textId="77777777" w:rsidR="00577151" w:rsidRPr="00401588" w:rsidRDefault="00577151" w:rsidP="002C415E">
            <w:pPr>
              <w:pStyle w:val="NoSpacing"/>
              <w:rPr>
                <w:sz w:val="18"/>
                <w:szCs w:val="18"/>
              </w:rPr>
            </w:pPr>
          </w:p>
        </w:tc>
        <w:tc>
          <w:tcPr>
            <w:tcW w:w="0" w:type="auto"/>
          </w:tcPr>
          <w:p w14:paraId="312FEA80" w14:textId="77777777" w:rsidR="00577151" w:rsidRPr="00401588" w:rsidRDefault="00577151" w:rsidP="002C415E">
            <w:pPr>
              <w:pStyle w:val="NoSpacing"/>
              <w:rPr>
                <w:sz w:val="18"/>
                <w:szCs w:val="18"/>
              </w:rPr>
            </w:pPr>
          </w:p>
        </w:tc>
        <w:tc>
          <w:tcPr>
            <w:tcW w:w="0" w:type="auto"/>
          </w:tcPr>
          <w:p w14:paraId="08097304" w14:textId="77777777" w:rsidR="00577151" w:rsidRPr="00401588" w:rsidRDefault="00577151" w:rsidP="002C415E">
            <w:pPr>
              <w:pStyle w:val="NoSpacing"/>
              <w:rPr>
                <w:sz w:val="18"/>
                <w:szCs w:val="18"/>
              </w:rPr>
            </w:pPr>
          </w:p>
        </w:tc>
        <w:tc>
          <w:tcPr>
            <w:tcW w:w="0" w:type="auto"/>
          </w:tcPr>
          <w:p w14:paraId="42F8F267" w14:textId="77777777" w:rsidR="00577151" w:rsidRPr="00401588" w:rsidRDefault="00577151" w:rsidP="002C415E">
            <w:pPr>
              <w:pStyle w:val="NoSpacing"/>
              <w:rPr>
                <w:sz w:val="18"/>
                <w:szCs w:val="18"/>
              </w:rPr>
            </w:pPr>
          </w:p>
        </w:tc>
        <w:tc>
          <w:tcPr>
            <w:tcW w:w="0" w:type="auto"/>
          </w:tcPr>
          <w:p w14:paraId="54C59AF3" w14:textId="77777777" w:rsidR="00577151" w:rsidRPr="00401588" w:rsidRDefault="00577151" w:rsidP="002C415E">
            <w:pPr>
              <w:pStyle w:val="NoSpacing"/>
              <w:rPr>
                <w:sz w:val="18"/>
                <w:szCs w:val="18"/>
              </w:rPr>
            </w:pPr>
          </w:p>
        </w:tc>
        <w:tc>
          <w:tcPr>
            <w:tcW w:w="0" w:type="auto"/>
          </w:tcPr>
          <w:p w14:paraId="5B74809B" w14:textId="77777777" w:rsidR="00577151" w:rsidRPr="00401588" w:rsidRDefault="00577151" w:rsidP="002C415E">
            <w:pPr>
              <w:pStyle w:val="NoSpacing"/>
              <w:rPr>
                <w:sz w:val="18"/>
                <w:szCs w:val="18"/>
              </w:rPr>
            </w:pPr>
          </w:p>
        </w:tc>
      </w:tr>
      <w:tr w:rsidR="00401588" w:rsidRPr="00401588" w14:paraId="2BD08249" w14:textId="53B00522" w:rsidTr="00401588">
        <w:tc>
          <w:tcPr>
            <w:tcW w:w="0" w:type="auto"/>
          </w:tcPr>
          <w:p w14:paraId="302A2BF2" w14:textId="3EDF41E3" w:rsidR="00577151" w:rsidRPr="00401588" w:rsidRDefault="00197E1D" w:rsidP="00BC63C5">
            <w:pPr>
              <w:pStyle w:val="NoSpacing"/>
              <w:numPr>
                <w:ilvl w:val="0"/>
                <w:numId w:val="37"/>
              </w:numPr>
              <w:ind w:left="338"/>
              <w:rPr>
                <w:sz w:val="18"/>
                <w:szCs w:val="18"/>
              </w:rPr>
            </w:pPr>
            <w:r w:rsidRPr="00401588">
              <w:rPr>
                <w:sz w:val="18"/>
                <w:szCs w:val="18"/>
              </w:rPr>
              <w:t>Concentrated immigration</w:t>
            </w:r>
          </w:p>
        </w:tc>
        <w:tc>
          <w:tcPr>
            <w:tcW w:w="0" w:type="auto"/>
          </w:tcPr>
          <w:p w14:paraId="5CE4C272" w14:textId="48AE54C5" w:rsidR="00577151" w:rsidRPr="00401588" w:rsidRDefault="00C90C43" w:rsidP="002C415E">
            <w:pPr>
              <w:pStyle w:val="NoSpacing"/>
              <w:rPr>
                <w:sz w:val="18"/>
                <w:szCs w:val="18"/>
              </w:rPr>
            </w:pPr>
            <w:r w:rsidRPr="00401588">
              <w:rPr>
                <w:sz w:val="18"/>
                <w:szCs w:val="18"/>
              </w:rPr>
              <w:t>.282**</w:t>
            </w:r>
          </w:p>
        </w:tc>
        <w:tc>
          <w:tcPr>
            <w:tcW w:w="0" w:type="auto"/>
          </w:tcPr>
          <w:p w14:paraId="4F047FF5" w14:textId="3DEFD118" w:rsidR="00577151" w:rsidRPr="00401588" w:rsidRDefault="00C90C43" w:rsidP="002C415E">
            <w:pPr>
              <w:pStyle w:val="NoSpacing"/>
              <w:rPr>
                <w:sz w:val="18"/>
                <w:szCs w:val="18"/>
              </w:rPr>
            </w:pPr>
            <w:r w:rsidRPr="00401588">
              <w:rPr>
                <w:sz w:val="18"/>
                <w:szCs w:val="18"/>
              </w:rPr>
              <w:t>.000</w:t>
            </w:r>
          </w:p>
        </w:tc>
        <w:tc>
          <w:tcPr>
            <w:tcW w:w="0" w:type="auto"/>
          </w:tcPr>
          <w:p w14:paraId="7AADAD19" w14:textId="6EF90498" w:rsidR="00577151" w:rsidRPr="00401588" w:rsidRDefault="005B12D4" w:rsidP="002C415E">
            <w:pPr>
              <w:pStyle w:val="NoSpacing"/>
              <w:rPr>
                <w:sz w:val="18"/>
                <w:szCs w:val="18"/>
              </w:rPr>
            </w:pPr>
            <w:r w:rsidRPr="00401588">
              <w:rPr>
                <w:sz w:val="18"/>
                <w:szCs w:val="18"/>
              </w:rPr>
              <w:t>|</w:t>
            </w:r>
          </w:p>
        </w:tc>
        <w:tc>
          <w:tcPr>
            <w:tcW w:w="0" w:type="auto"/>
          </w:tcPr>
          <w:p w14:paraId="73D682C7" w14:textId="77777777" w:rsidR="00577151" w:rsidRPr="00401588" w:rsidRDefault="00577151" w:rsidP="002C415E">
            <w:pPr>
              <w:pStyle w:val="NoSpacing"/>
              <w:rPr>
                <w:sz w:val="18"/>
                <w:szCs w:val="18"/>
              </w:rPr>
            </w:pPr>
          </w:p>
        </w:tc>
        <w:tc>
          <w:tcPr>
            <w:tcW w:w="0" w:type="auto"/>
          </w:tcPr>
          <w:p w14:paraId="0763FF50" w14:textId="77777777" w:rsidR="00577151" w:rsidRPr="00401588" w:rsidRDefault="00577151" w:rsidP="002C415E">
            <w:pPr>
              <w:pStyle w:val="NoSpacing"/>
              <w:rPr>
                <w:sz w:val="18"/>
                <w:szCs w:val="18"/>
              </w:rPr>
            </w:pPr>
          </w:p>
        </w:tc>
        <w:tc>
          <w:tcPr>
            <w:tcW w:w="0" w:type="auto"/>
          </w:tcPr>
          <w:p w14:paraId="22464CA6" w14:textId="77777777" w:rsidR="00577151" w:rsidRPr="00401588" w:rsidRDefault="00577151" w:rsidP="002C415E">
            <w:pPr>
              <w:pStyle w:val="NoSpacing"/>
              <w:rPr>
                <w:sz w:val="18"/>
                <w:szCs w:val="18"/>
              </w:rPr>
            </w:pPr>
          </w:p>
        </w:tc>
        <w:tc>
          <w:tcPr>
            <w:tcW w:w="0" w:type="auto"/>
          </w:tcPr>
          <w:p w14:paraId="7DF732B3" w14:textId="77777777" w:rsidR="00577151" w:rsidRPr="00401588" w:rsidRDefault="00577151" w:rsidP="002C415E">
            <w:pPr>
              <w:pStyle w:val="NoSpacing"/>
              <w:rPr>
                <w:sz w:val="18"/>
                <w:szCs w:val="18"/>
              </w:rPr>
            </w:pPr>
          </w:p>
        </w:tc>
        <w:tc>
          <w:tcPr>
            <w:tcW w:w="0" w:type="auto"/>
          </w:tcPr>
          <w:p w14:paraId="0F60F84A" w14:textId="77777777" w:rsidR="00577151" w:rsidRPr="00401588" w:rsidRDefault="00577151" w:rsidP="002C415E">
            <w:pPr>
              <w:pStyle w:val="NoSpacing"/>
              <w:rPr>
                <w:sz w:val="18"/>
                <w:szCs w:val="18"/>
              </w:rPr>
            </w:pPr>
          </w:p>
        </w:tc>
        <w:tc>
          <w:tcPr>
            <w:tcW w:w="0" w:type="auto"/>
          </w:tcPr>
          <w:p w14:paraId="1621DAB8" w14:textId="77777777" w:rsidR="00577151" w:rsidRPr="00401588" w:rsidRDefault="00577151" w:rsidP="002C415E">
            <w:pPr>
              <w:pStyle w:val="NoSpacing"/>
              <w:rPr>
                <w:sz w:val="18"/>
                <w:szCs w:val="18"/>
              </w:rPr>
            </w:pPr>
          </w:p>
        </w:tc>
        <w:tc>
          <w:tcPr>
            <w:tcW w:w="0" w:type="auto"/>
          </w:tcPr>
          <w:p w14:paraId="2CEA4083" w14:textId="77777777" w:rsidR="00577151" w:rsidRPr="00401588" w:rsidRDefault="00577151" w:rsidP="002C415E">
            <w:pPr>
              <w:pStyle w:val="NoSpacing"/>
              <w:rPr>
                <w:sz w:val="18"/>
                <w:szCs w:val="18"/>
              </w:rPr>
            </w:pPr>
          </w:p>
        </w:tc>
        <w:tc>
          <w:tcPr>
            <w:tcW w:w="0" w:type="auto"/>
          </w:tcPr>
          <w:p w14:paraId="12288952" w14:textId="77777777" w:rsidR="00577151" w:rsidRPr="00401588" w:rsidRDefault="00577151" w:rsidP="002C415E">
            <w:pPr>
              <w:pStyle w:val="NoSpacing"/>
              <w:rPr>
                <w:sz w:val="18"/>
                <w:szCs w:val="18"/>
              </w:rPr>
            </w:pPr>
          </w:p>
        </w:tc>
        <w:tc>
          <w:tcPr>
            <w:tcW w:w="0" w:type="auto"/>
          </w:tcPr>
          <w:p w14:paraId="7723479C" w14:textId="77777777" w:rsidR="00577151" w:rsidRPr="00401588" w:rsidRDefault="00577151" w:rsidP="002C415E">
            <w:pPr>
              <w:pStyle w:val="NoSpacing"/>
              <w:rPr>
                <w:sz w:val="18"/>
                <w:szCs w:val="18"/>
              </w:rPr>
            </w:pPr>
          </w:p>
        </w:tc>
        <w:tc>
          <w:tcPr>
            <w:tcW w:w="0" w:type="auto"/>
          </w:tcPr>
          <w:p w14:paraId="35A5F9B8" w14:textId="77777777" w:rsidR="00577151" w:rsidRPr="00401588" w:rsidRDefault="00577151" w:rsidP="002C415E">
            <w:pPr>
              <w:pStyle w:val="NoSpacing"/>
              <w:rPr>
                <w:sz w:val="18"/>
                <w:szCs w:val="18"/>
              </w:rPr>
            </w:pPr>
          </w:p>
        </w:tc>
        <w:tc>
          <w:tcPr>
            <w:tcW w:w="0" w:type="auto"/>
          </w:tcPr>
          <w:p w14:paraId="4919489C" w14:textId="77777777" w:rsidR="00577151" w:rsidRPr="00401588" w:rsidRDefault="00577151" w:rsidP="002C415E">
            <w:pPr>
              <w:pStyle w:val="NoSpacing"/>
              <w:rPr>
                <w:sz w:val="18"/>
                <w:szCs w:val="18"/>
              </w:rPr>
            </w:pPr>
          </w:p>
        </w:tc>
        <w:tc>
          <w:tcPr>
            <w:tcW w:w="0" w:type="auto"/>
          </w:tcPr>
          <w:p w14:paraId="2A38EEDA" w14:textId="77777777" w:rsidR="00577151" w:rsidRPr="00401588" w:rsidRDefault="00577151" w:rsidP="002C415E">
            <w:pPr>
              <w:pStyle w:val="NoSpacing"/>
              <w:rPr>
                <w:sz w:val="18"/>
                <w:szCs w:val="18"/>
              </w:rPr>
            </w:pPr>
          </w:p>
        </w:tc>
        <w:tc>
          <w:tcPr>
            <w:tcW w:w="0" w:type="auto"/>
          </w:tcPr>
          <w:p w14:paraId="22C1CAAF" w14:textId="77777777" w:rsidR="00577151" w:rsidRPr="00401588" w:rsidRDefault="00577151" w:rsidP="002C415E">
            <w:pPr>
              <w:pStyle w:val="NoSpacing"/>
              <w:rPr>
                <w:sz w:val="18"/>
                <w:szCs w:val="18"/>
              </w:rPr>
            </w:pPr>
          </w:p>
        </w:tc>
      </w:tr>
      <w:tr w:rsidR="00401588" w:rsidRPr="00401588" w14:paraId="0ADF7800" w14:textId="5BA6A7E8" w:rsidTr="00401588">
        <w:tc>
          <w:tcPr>
            <w:tcW w:w="0" w:type="auto"/>
          </w:tcPr>
          <w:p w14:paraId="79230242" w14:textId="264F88D0" w:rsidR="00577151" w:rsidRPr="00401588" w:rsidRDefault="0018352B" w:rsidP="00BC63C5">
            <w:pPr>
              <w:pStyle w:val="NoSpacing"/>
              <w:numPr>
                <w:ilvl w:val="0"/>
                <w:numId w:val="37"/>
              </w:numPr>
              <w:ind w:left="338"/>
              <w:rPr>
                <w:sz w:val="18"/>
                <w:szCs w:val="18"/>
              </w:rPr>
            </w:pPr>
            <w:r w:rsidRPr="00401588">
              <w:rPr>
                <w:sz w:val="18"/>
                <w:szCs w:val="18"/>
              </w:rPr>
              <w:t>Residential stability</w:t>
            </w:r>
          </w:p>
        </w:tc>
        <w:tc>
          <w:tcPr>
            <w:tcW w:w="0" w:type="auto"/>
          </w:tcPr>
          <w:p w14:paraId="4F1A92B7" w14:textId="271FA09F" w:rsidR="00577151" w:rsidRPr="00401588" w:rsidRDefault="00C90C43" w:rsidP="002C415E">
            <w:pPr>
              <w:pStyle w:val="NoSpacing"/>
              <w:rPr>
                <w:sz w:val="18"/>
                <w:szCs w:val="18"/>
              </w:rPr>
            </w:pPr>
            <w:r w:rsidRPr="00401588">
              <w:rPr>
                <w:sz w:val="18"/>
                <w:szCs w:val="18"/>
              </w:rPr>
              <w:t>-.311**</w:t>
            </w:r>
          </w:p>
        </w:tc>
        <w:tc>
          <w:tcPr>
            <w:tcW w:w="0" w:type="auto"/>
          </w:tcPr>
          <w:p w14:paraId="497B5052" w14:textId="2410D3DE" w:rsidR="00577151" w:rsidRPr="00401588" w:rsidRDefault="00C90C43" w:rsidP="002C415E">
            <w:pPr>
              <w:pStyle w:val="NoSpacing"/>
              <w:rPr>
                <w:sz w:val="18"/>
                <w:szCs w:val="18"/>
              </w:rPr>
            </w:pPr>
            <w:r w:rsidRPr="00401588">
              <w:rPr>
                <w:sz w:val="18"/>
                <w:szCs w:val="18"/>
              </w:rPr>
              <w:t>.000</w:t>
            </w:r>
          </w:p>
        </w:tc>
        <w:tc>
          <w:tcPr>
            <w:tcW w:w="0" w:type="auto"/>
          </w:tcPr>
          <w:p w14:paraId="1AC52B77" w14:textId="16F17845" w:rsidR="00577151" w:rsidRPr="00401588" w:rsidRDefault="00032629" w:rsidP="002C415E">
            <w:pPr>
              <w:pStyle w:val="NoSpacing"/>
              <w:rPr>
                <w:sz w:val="18"/>
                <w:szCs w:val="18"/>
              </w:rPr>
            </w:pPr>
            <w:r w:rsidRPr="00401588">
              <w:rPr>
                <w:sz w:val="18"/>
                <w:szCs w:val="18"/>
              </w:rPr>
              <w:t>.000</w:t>
            </w:r>
          </w:p>
        </w:tc>
        <w:tc>
          <w:tcPr>
            <w:tcW w:w="0" w:type="auto"/>
          </w:tcPr>
          <w:p w14:paraId="19212742" w14:textId="62323E31" w:rsidR="00577151" w:rsidRPr="00401588" w:rsidRDefault="005B12D4" w:rsidP="002C415E">
            <w:pPr>
              <w:pStyle w:val="NoSpacing"/>
              <w:rPr>
                <w:sz w:val="18"/>
                <w:szCs w:val="18"/>
              </w:rPr>
            </w:pPr>
            <w:r w:rsidRPr="00401588">
              <w:rPr>
                <w:sz w:val="18"/>
                <w:szCs w:val="18"/>
              </w:rPr>
              <w:t>|</w:t>
            </w:r>
          </w:p>
        </w:tc>
        <w:tc>
          <w:tcPr>
            <w:tcW w:w="0" w:type="auto"/>
          </w:tcPr>
          <w:p w14:paraId="27EBDD34" w14:textId="77777777" w:rsidR="00577151" w:rsidRPr="00401588" w:rsidRDefault="00577151" w:rsidP="002C415E">
            <w:pPr>
              <w:pStyle w:val="NoSpacing"/>
              <w:rPr>
                <w:sz w:val="18"/>
                <w:szCs w:val="18"/>
              </w:rPr>
            </w:pPr>
          </w:p>
        </w:tc>
        <w:tc>
          <w:tcPr>
            <w:tcW w:w="0" w:type="auto"/>
          </w:tcPr>
          <w:p w14:paraId="1E91DFA5" w14:textId="77777777" w:rsidR="00577151" w:rsidRPr="00401588" w:rsidRDefault="00577151" w:rsidP="002C415E">
            <w:pPr>
              <w:pStyle w:val="NoSpacing"/>
              <w:rPr>
                <w:sz w:val="18"/>
                <w:szCs w:val="18"/>
              </w:rPr>
            </w:pPr>
          </w:p>
        </w:tc>
        <w:tc>
          <w:tcPr>
            <w:tcW w:w="0" w:type="auto"/>
          </w:tcPr>
          <w:p w14:paraId="5D3D88EB" w14:textId="77777777" w:rsidR="00577151" w:rsidRPr="00401588" w:rsidRDefault="00577151" w:rsidP="002C415E">
            <w:pPr>
              <w:pStyle w:val="NoSpacing"/>
              <w:rPr>
                <w:sz w:val="18"/>
                <w:szCs w:val="18"/>
              </w:rPr>
            </w:pPr>
          </w:p>
        </w:tc>
        <w:tc>
          <w:tcPr>
            <w:tcW w:w="0" w:type="auto"/>
          </w:tcPr>
          <w:p w14:paraId="1CBA8041" w14:textId="77777777" w:rsidR="00577151" w:rsidRPr="00401588" w:rsidRDefault="00577151" w:rsidP="002C415E">
            <w:pPr>
              <w:pStyle w:val="NoSpacing"/>
              <w:rPr>
                <w:sz w:val="18"/>
                <w:szCs w:val="18"/>
              </w:rPr>
            </w:pPr>
          </w:p>
        </w:tc>
        <w:tc>
          <w:tcPr>
            <w:tcW w:w="0" w:type="auto"/>
          </w:tcPr>
          <w:p w14:paraId="39D71222" w14:textId="77777777" w:rsidR="00577151" w:rsidRPr="00401588" w:rsidRDefault="00577151" w:rsidP="002C415E">
            <w:pPr>
              <w:pStyle w:val="NoSpacing"/>
              <w:rPr>
                <w:sz w:val="18"/>
                <w:szCs w:val="18"/>
              </w:rPr>
            </w:pPr>
          </w:p>
        </w:tc>
        <w:tc>
          <w:tcPr>
            <w:tcW w:w="0" w:type="auto"/>
          </w:tcPr>
          <w:p w14:paraId="0B3065B1" w14:textId="77777777" w:rsidR="00577151" w:rsidRPr="00401588" w:rsidRDefault="00577151" w:rsidP="002C415E">
            <w:pPr>
              <w:pStyle w:val="NoSpacing"/>
              <w:rPr>
                <w:sz w:val="18"/>
                <w:szCs w:val="18"/>
              </w:rPr>
            </w:pPr>
          </w:p>
        </w:tc>
        <w:tc>
          <w:tcPr>
            <w:tcW w:w="0" w:type="auto"/>
          </w:tcPr>
          <w:p w14:paraId="0A44FE6A" w14:textId="77777777" w:rsidR="00577151" w:rsidRPr="00401588" w:rsidRDefault="00577151" w:rsidP="002C415E">
            <w:pPr>
              <w:pStyle w:val="NoSpacing"/>
              <w:rPr>
                <w:sz w:val="18"/>
                <w:szCs w:val="18"/>
              </w:rPr>
            </w:pPr>
          </w:p>
        </w:tc>
        <w:tc>
          <w:tcPr>
            <w:tcW w:w="0" w:type="auto"/>
          </w:tcPr>
          <w:p w14:paraId="68B23CB1" w14:textId="77777777" w:rsidR="00577151" w:rsidRPr="00401588" w:rsidRDefault="00577151" w:rsidP="002C415E">
            <w:pPr>
              <w:pStyle w:val="NoSpacing"/>
              <w:rPr>
                <w:sz w:val="18"/>
                <w:szCs w:val="18"/>
              </w:rPr>
            </w:pPr>
          </w:p>
        </w:tc>
        <w:tc>
          <w:tcPr>
            <w:tcW w:w="0" w:type="auto"/>
          </w:tcPr>
          <w:p w14:paraId="281E1F48" w14:textId="77777777" w:rsidR="00577151" w:rsidRPr="00401588" w:rsidRDefault="00577151" w:rsidP="002C415E">
            <w:pPr>
              <w:pStyle w:val="NoSpacing"/>
              <w:rPr>
                <w:sz w:val="18"/>
                <w:szCs w:val="18"/>
              </w:rPr>
            </w:pPr>
          </w:p>
        </w:tc>
        <w:tc>
          <w:tcPr>
            <w:tcW w:w="0" w:type="auto"/>
          </w:tcPr>
          <w:p w14:paraId="48F63733" w14:textId="77777777" w:rsidR="00577151" w:rsidRPr="00401588" w:rsidRDefault="00577151" w:rsidP="002C415E">
            <w:pPr>
              <w:pStyle w:val="NoSpacing"/>
              <w:rPr>
                <w:sz w:val="18"/>
                <w:szCs w:val="18"/>
              </w:rPr>
            </w:pPr>
          </w:p>
        </w:tc>
        <w:tc>
          <w:tcPr>
            <w:tcW w:w="0" w:type="auto"/>
          </w:tcPr>
          <w:p w14:paraId="789E6918" w14:textId="77777777" w:rsidR="00577151" w:rsidRPr="00401588" w:rsidRDefault="00577151" w:rsidP="002C415E">
            <w:pPr>
              <w:pStyle w:val="NoSpacing"/>
              <w:rPr>
                <w:sz w:val="18"/>
                <w:szCs w:val="18"/>
              </w:rPr>
            </w:pPr>
          </w:p>
        </w:tc>
        <w:tc>
          <w:tcPr>
            <w:tcW w:w="0" w:type="auto"/>
          </w:tcPr>
          <w:p w14:paraId="23846179" w14:textId="77777777" w:rsidR="00577151" w:rsidRPr="00401588" w:rsidRDefault="00577151" w:rsidP="002C415E">
            <w:pPr>
              <w:pStyle w:val="NoSpacing"/>
              <w:rPr>
                <w:sz w:val="18"/>
                <w:szCs w:val="18"/>
              </w:rPr>
            </w:pPr>
          </w:p>
        </w:tc>
      </w:tr>
      <w:tr w:rsidR="00401588" w:rsidRPr="00401588" w14:paraId="3FD68FAB" w14:textId="4951B31B" w:rsidTr="00401588">
        <w:tc>
          <w:tcPr>
            <w:tcW w:w="0" w:type="auto"/>
          </w:tcPr>
          <w:p w14:paraId="3A0B3CB7" w14:textId="7C9A1098" w:rsidR="00577151" w:rsidRPr="00401588" w:rsidRDefault="0018352B" w:rsidP="00BC63C5">
            <w:pPr>
              <w:pStyle w:val="NoSpacing"/>
              <w:numPr>
                <w:ilvl w:val="0"/>
                <w:numId w:val="37"/>
              </w:numPr>
              <w:ind w:left="338"/>
              <w:rPr>
                <w:sz w:val="18"/>
                <w:szCs w:val="18"/>
              </w:rPr>
            </w:pPr>
            <w:r w:rsidRPr="00401588">
              <w:rPr>
                <w:sz w:val="18"/>
                <w:szCs w:val="18"/>
              </w:rPr>
              <w:t>Ethnic heterogeneity</w:t>
            </w:r>
          </w:p>
        </w:tc>
        <w:tc>
          <w:tcPr>
            <w:tcW w:w="0" w:type="auto"/>
          </w:tcPr>
          <w:p w14:paraId="5C251278" w14:textId="30491D5F" w:rsidR="00577151" w:rsidRPr="00401588" w:rsidRDefault="00032629" w:rsidP="002C415E">
            <w:pPr>
              <w:pStyle w:val="NoSpacing"/>
              <w:rPr>
                <w:sz w:val="18"/>
                <w:szCs w:val="18"/>
              </w:rPr>
            </w:pPr>
            <w:r w:rsidRPr="00401588">
              <w:rPr>
                <w:sz w:val="18"/>
                <w:szCs w:val="18"/>
              </w:rPr>
              <w:t>.143**</w:t>
            </w:r>
          </w:p>
        </w:tc>
        <w:tc>
          <w:tcPr>
            <w:tcW w:w="0" w:type="auto"/>
          </w:tcPr>
          <w:p w14:paraId="15426535" w14:textId="001C2E5F" w:rsidR="00577151" w:rsidRPr="00401588" w:rsidRDefault="00032629" w:rsidP="002C415E">
            <w:pPr>
              <w:pStyle w:val="NoSpacing"/>
              <w:rPr>
                <w:sz w:val="18"/>
                <w:szCs w:val="18"/>
              </w:rPr>
            </w:pPr>
            <w:r w:rsidRPr="00401588">
              <w:rPr>
                <w:sz w:val="18"/>
                <w:szCs w:val="18"/>
              </w:rPr>
              <w:t>.069</w:t>
            </w:r>
          </w:p>
        </w:tc>
        <w:tc>
          <w:tcPr>
            <w:tcW w:w="0" w:type="auto"/>
          </w:tcPr>
          <w:p w14:paraId="2F314D0A" w14:textId="4AA75E00" w:rsidR="00577151" w:rsidRPr="00401588" w:rsidRDefault="00032629" w:rsidP="002C415E">
            <w:pPr>
              <w:pStyle w:val="NoSpacing"/>
              <w:rPr>
                <w:sz w:val="18"/>
                <w:szCs w:val="18"/>
              </w:rPr>
            </w:pPr>
            <w:r w:rsidRPr="00401588">
              <w:rPr>
                <w:sz w:val="18"/>
                <w:szCs w:val="18"/>
              </w:rPr>
              <w:t>.460**</w:t>
            </w:r>
          </w:p>
        </w:tc>
        <w:tc>
          <w:tcPr>
            <w:tcW w:w="0" w:type="auto"/>
          </w:tcPr>
          <w:p w14:paraId="1165479C" w14:textId="4DAC6176" w:rsidR="00577151" w:rsidRPr="00401588" w:rsidRDefault="00032629" w:rsidP="002C415E">
            <w:pPr>
              <w:pStyle w:val="NoSpacing"/>
              <w:rPr>
                <w:sz w:val="18"/>
                <w:szCs w:val="18"/>
              </w:rPr>
            </w:pPr>
            <w:r w:rsidRPr="00401588">
              <w:rPr>
                <w:sz w:val="18"/>
                <w:szCs w:val="18"/>
              </w:rPr>
              <w:t>-.092*</w:t>
            </w:r>
          </w:p>
        </w:tc>
        <w:tc>
          <w:tcPr>
            <w:tcW w:w="0" w:type="auto"/>
          </w:tcPr>
          <w:p w14:paraId="7578F061" w14:textId="6FAFF386" w:rsidR="005B12D4" w:rsidRPr="00401588" w:rsidRDefault="005B12D4" w:rsidP="002C415E">
            <w:pPr>
              <w:pStyle w:val="NoSpacing"/>
              <w:rPr>
                <w:sz w:val="18"/>
                <w:szCs w:val="18"/>
              </w:rPr>
            </w:pPr>
            <w:r w:rsidRPr="00401588">
              <w:rPr>
                <w:sz w:val="18"/>
                <w:szCs w:val="18"/>
              </w:rPr>
              <w:t>|</w:t>
            </w:r>
          </w:p>
        </w:tc>
        <w:tc>
          <w:tcPr>
            <w:tcW w:w="0" w:type="auto"/>
          </w:tcPr>
          <w:p w14:paraId="3BAAA8BB" w14:textId="77777777" w:rsidR="00577151" w:rsidRPr="00401588" w:rsidRDefault="00577151" w:rsidP="002C415E">
            <w:pPr>
              <w:pStyle w:val="NoSpacing"/>
              <w:rPr>
                <w:sz w:val="18"/>
                <w:szCs w:val="18"/>
              </w:rPr>
            </w:pPr>
          </w:p>
        </w:tc>
        <w:tc>
          <w:tcPr>
            <w:tcW w:w="0" w:type="auto"/>
          </w:tcPr>
          <w:p w14:paraId="1D17F291" w14:textId="77777777" w:rsidR="00577151" w:rsidRPr="00401588" w:rsidRDefault="00577151" w:rsidP="002C415E">
            <w:pPr>
              <w:pStyle w:val="NoSpacing"/>
              <w:rPr>
                <w:sz w:val="18"/>
                <w:szCs w:val="18"/>
              </w:rPr>
            </w:pPr>
          </w:p>
        </w:tc>
        <w:tc>
          <w:tcPr>
            <w:tcW w:w="0" w:type="auto"/>
          </w:tcPr>
          <w:p w14:paraId="3AC155FB" w14:textId="77777777" w:rsidR="00577151" w:rsidRPr="00401588" w:rsidRDefault="00577151" w:rsidP="002C415E">
            <w:pPr>
              <w:pStyle w:val="NoSpacing"/>
              <w:rPr>
                <w:sz w:val="18"/>
                <w:szCs w:val="18"/>
              </w:rPr>
            </w:pPr>
          </w:p>
        </w:tc>
        <w:tc>
          <w:tcPr>
            <w:tcW w:w="0" w:type="auto"/>
          </w:tcPr>
          <w:p w14:paraId="260C4598" w14:textId="77777777" w:rsidR="00577151" w:rsidRPr="00401588" w:rsidRDefault="00577151" w:rsidP="002C415E">
            <w:pPr>
              <w:pStyle w:val="NoSpacing"/>
              <w:rPr>
                <w:sz w:val="18"/>
                <w:szCs w:val="18"/>
              </w:rPr>
            </w:pPr>
          </w:p>
        </w:tc>
        <w:tc>
          <w:tcPr>
            <w:tcW w:w="0" w:type="auto"/>
          </w:tcPr>
          <w:p w14:paraId="63F86C58" w14:textId="77777777" w:rsidR="00577151" w:rsidRPr="00401588" w:rsidRDefault="00577151" w:rsidP="002C415E">
            <w:pPr>
              <w:pStyle w:val="NoSpacing"/>
              <w:rPr>
                <w:sz w:val="18"/>
                <w:szCs w:val="18"/>
              </w:rPr>
            </w:pPr>
          </w:p>
        </w:tc>
        <w:tc>
          <w:tcPr>
            <w:tcW w:w="0" w:type="auto"/>
          </w:tcPr>
          <w:p w14:paraId="3EA8BA37" w14:textId="77777777" w:rsidR="00577151" w:rsidRPr="00401588" w:rsidRDefault="00577151" w:rsidP="002C415E">
            <w:pPr>
              <w:pStyle w:val="NoSpacing"/>
              <w:rPr>
                <w:sz w:val="18"/>
                <w:szCs w:val="18"/>
              </w:rPr>
            </w:pPr>
          </w:p>
        </w:tc>
        <w:tc>
          <w:tcPr>
            <w:tcW w:w="0" w:type="auto"/>
          </w:tcPr>
          <w:p w14:paraId="51347049" w14:textId="77777777" w:rsidR="00577151" w:rsidRPr="00401588" w:rsidRDefault="00577151" w:rsidP="002C415E">
            <w:pPr>
              <w:pStyle w:val="NoSpacing"/>
              <w:rPr>
                <w:sz w:val="18"/>
                <w:szCs w:val="18"/>
              </w:rPr>
            </w:pPr>
          </w:p>
        </w:tc>
        <w:tc>
          <w:tcPr>
            <w:tcW w:w="0" w:type="auto"/>
          </w:tcPr>
          <w:p w14:paraId="1F95DD75" w14:textId="77777777" w:rsidR="00577151" w:rsidRPr="00401588" w:rsidRDefault="00577151" w:rsidP="002C415E">
            <w:pPr>
              <w:pStyle w:val="NoSpacing"/>
              <w:rPr>
                <w:sz w:val="18"/>
                <w:szCs w:val="18"/>
              </w:rPr>
            </w:pPr>
          </w:p>
        </w:tc>
        <w:tc>
          <w:tcPr>
            <w:tcW w:w="0" w:type="auto"/>
          </w:tcPr>
          <w:p w14:paraId="19BF3CB0" w14:textId="77777777" w:rsidR="00577151" w:rsidRPr="00401588" w:rsidRDefault="00577151" w:rsidP="002C415E">
            <w:pPr>
              <w:pStyle w:val="NoSpacing"/>
              <w:rPr>
                <w:sz w:val="18"/>
                <w:szCs w:val="18"/>
              </w:rPr>
            </w:pPr>
          </w:p>
        </w:tc>
        <w:tc>
          <w:tcPr>
            <w:tcW w:w="0" w:type="auto"/>
          </w:tcPr>
          <w:p w14:paraId="7166C1A2" w14:textId="77777777" w:rsidR="00577151" w:rsidRPr="00401588" w:rsidRDefault="00577151" w:rsidP="002C415E">
            <w:pPr>
              <w:pStyle w:val="NoSpacing"/>
              <w:rPr>
                <w:sz w:val="18"/>
                <w:szCs w:val="18"/>
              </w:rPr>
            </w:pPr>
          </w:p>
        </w:tc>
        <w:tc>
          <w:tcPr>
            <w:tcW w:w="0" w:type="auto"/>
          </w:tcPr>
          <w:p w14:paraId="5E50E4EE" w14:textId="77777777" w:rsidR="00577151" w:rsidRPr="00401588" w:rsidRDefault="00577151" w:rsidP="002C415E">
            <w:pPr>
              <w:pStyle w:val="NoSpacing"/>
              <w:rPr>
                <w:sz w:val="18"/>
                <w:szCs w:val="18"/>
              </w:rPr>
            </w:pPr>
          </w:p>
        </w:tc>
      </w:tr>
      <w:tr w:rsidR="00401588" w:rsidRPr="00401588" w14:paraId="4D2972CC" w14:textId="67C145F5" w:rsidTr="00401588">
        <w:tc>
          <w:tcPr>
            <w:tcW w:w="0" w:type="auto"/>
          </w:tcPr>
          <w:p w14:paraId="2552567C" w14:textId="57366EF5" w:rsidR="00577151" w:rsidRPr="00401588" w:rsidRDefault="0018352B" w:rsidP="00BC63C5">
            <w:pPr>
              <w:pStyle w:val="NoSpacing"/>
              <w:numPr>
                <w:ilvl w:val="0"/>
                <w:numId w:val="37"/>
              </w:numPr>
              <w:ind w:left="338"/>
              <w:rPr>
                <w:sz w:val="18"/>
                <w:szCs w:val="18"/>
              </w:rPr>
            </w:pPr>
            <w:r w:rsidRPr="00401588">
              <w:rPr>
                <w:sz w:val="18"/>
                <w:szCs w:val="18"/>
              </w:rPr>
              <w:t>Population density</w:t>
            </w:r>
          </w:p>
        </w:tc>
        <w:tc>
          <w:tcPr>
            <w:tcW w:w="0" w:type="auto"/>
          </w:tcPr>
          <w:p w14:paraId="62CC91D6" w14:textId="262F01A4" w:rsidR="00577151" w:rsidRPr="00401588" w:rsidRDefault="001F60E6" w:rsidP="002C415E">
            <w:pPr>
              <w:pStyle w:val="NoSpacing"/>
              <w:rPr>
                <w:sz w:val="18"/>
                <w:szCs w:val="18"/>
              </w:rPr>
            </w:pPr>
            <w:r w:rsidRPr="00401588">
              <w:rPr>
                <w:sz w:val="18"/>
                <w:szCs w:val="18"/>
              </w:rPr>
              <w:t>.531**</w:t>
            </w:r>
          </w:p>
        </w:tc>
        <w:tc>
          <w:tcPr>
            <w:tcW w:w="0" w:type="auto"/>
          </w:tcPr>
          <w:p w14:paraId="5D03A0D2" w14:textId="66C8E5D5" w:rsidR="00577151" w:rsidRPr="00401588" w:rsidRDefault="001F60E6" w:rsidP="002C415E">
            <w:pPr>
              <w:pStyle w:val="NoSpacing"/>
              <w:rPr>
                <w:sz w:val="18"/>
                <w:szCs w:val="18"/>
              </w:rPr>
            </w:pPr>
            <w:r w:rsidRPr="00401588">
              <w:rPr>
                <w:sz w:val="18"/>
                <w:szCs w:val="18"/>
              </w:rPr>
              <w:t>.068</w:t>
            </w:r>
          </w:p>
        </w:tc>
        <w:tc>
          <w:tcPr>
            <w:tcW w:w="0" w:type="auto"/>
          </w:tcPr>
          <w:p w14:paraId="6F3D8F93" w14:textId="03766170" w:rsidR="00577151" w:rsidRPr="00401588" w:rsidRDefault="001F60E6" w:rsidP="002C415E">
            <w:pPr>
              <w:pStyle w:val="NoSpacing"/>
              <w:rPr>
                <w:sz w:val="18"/>
                <w:szCs w:val="18"/>
              </w:rPr>
            </w:pPr>
            <w:r w:rsidRPr="00401588">
              <w:rPr>
                <w:sz w:val="18"/>
                <w:szCs w:val="18"/>
              </w:rPr>
              <w:t>.428**</w:t>
            </w:r>
          </w:p>
        </w:tc>
        <w:tc>
          <w:tcPr>
            <w:tcW w:w="0" w:type="auto"/>
          </w:tcPr>
          <w:p w14:paraId="27B9DAD6" w14:textId="61D0A8E2" w:rsidR="00577151" w:rsidRPr="00401588" w:rsidRDefault="001F60E6" w:rsidP="002C415E">
            <w:pPr>
              <w:pStyle w:val="NoSpacing"/>
              <w:rPr>
                <w:sz w:val="18"/>
                <w:szCs w:val="18"/>
              </w:rPr>
            </w:pPr>
            <w:r w:rsidRPr="00401588">
              <w:rPr>
                <w:sz w:val="18"/>
                <w:szCs w:val="18"/>
              </w:rPr>
              <w:t>-.318**</w:t>
            </w:r>
          </w:p>
        </w:tc>
        <w:tc>
          <w:tcPr>
            <w:tcW w:w="0" w:type="auto"/>
          </w:tcPr>
          <w:p w14:paraId="200D14E4" w14:textId="6BE0E0E1" w:rsidR="00577151" w:rsidRPr="00401588" w:rsidRDefault="001F60E6" w:rsidP="002C415E">
            <w:pPr>
              <w:pStyle w:val="NoSpacing"/>
              <w:rPr>
                <w:sz w:val="18"/>
                <w:szCs w:val="18"/>
              </w:rPr>
            </w:pPr>
            <w:r w:rsidRPr="00401588">
              <w:rPr>
                <w:sz w:val="18"/>
                <w:szCs w:val="18"/>
              </w:rPr>
              <w:t>.181**</w:t>
            </w:r>
          </w:p>
        </w:tc>
        <w:tc>
          <w:tcPr>
            <w:tcW w:w="0" w:type="auto"/>
          </w:tcPr>
          <w:p w14:paraId="30E73DCE" w14:textId="07A4E5CB" w:rsidR="00577151" w:rsidRPr="00401588" w:rsidRDefault="00C819CF" w:rsidP="002C415E">
            <w:pPr>
              <w:pStyle w:val="NoSpacing"/>
              <w:rPr>
                <w:sz w:val="18"/>
                <w:szCs w:val="18"/>
              </w:rPr>
            </w:pPr>
            <w:r w:rsidRPr="00401588">
              <w:rPr>
                <w:sz w:val="18"/>
                <w:szCs w:val="18"/>
              </w:rPr>
              <w:t>|</w:t>
            </w:r>
          </w:p>
        </w:tc>
        <w:tc>
          <w:tcPr>
            <w:tcW w:w="0" w:type="auto"/>
          </w:tcPr>
          <w:p w14:paraId="323ACC8C" w14:textId="77777777" w:rsidR="00577151" w:rsidRPr="00401588" w:rsidRDefault="00577151" w:rsidP="002C415E">
            <w:pPr>
              <w:pStyle w:val="NoSpacing"/>
              <w:rPr>
                <w:sz w:val="18"/>
                <w:szCs w:val="18"/>
              </w:rPr>
            </w:pPr>
          </w:p>
        </w:tc>
        <w:tc>
          <w:tcPr>
            <w:tcW w:w="0" w:type="auto"/>
          </w:tcPr>
          <w:p w14:paraId="14C5DFFE" w14:textId="77777777" w:rsidR="00577151" w:rsidRPr="00401588" w:rsidRDefault="00577151" w:rsidP="002C415E">
            <w:pPr>
              <w:pStyle w:val="NoSpacing"/>
              <w:rPr>
                <w:sz w:val="18"/>
                <w:szCs w:val="18"/>
              </w:rPr>
            </w:pPr>
          </w:p>
        </w:tc>
        <w:tc>
          <w:tcPr>
            <w:tcW w:w="0" w:type="auto"/>
          </w:tcPr>
          <w:p w14:paraId="062ED18B" w14:textId="77777777" w:rsidR="00577151" w:rsidRPr="00401588" w:rsidRDefault="00577151" w:rsidP="002C415E">
            <w:pPr>
              <w:pStyle w:val="NoSpacing"/>
              <w:rPr>
                <w:sz w:val="18"/>
                <w:szCs w:val="18"/>
              </w:rPr>
            </w:pPr>
          </w:p>
        </w:tc>
        <w:tc>
          <w:tcPr>
            <w:tcW w:w="0" w:type="auto"/>
          </w:tcPr>
          <w:p w14:paraId="3521FAC8" w14:textId="77777777" w:rsidR="00577151" w:rsidRPr="00401588" w:rsidRDefault="00577151" w:rsidP="002C415E">
            <w:pPr>
              <w:pStyle w:val="NoSpacing"/>
              <w:rPr>
                <w:sz w:val="18"/>
                <w:szCs w:val="18"/>
              </w:rPr>
            </w:pPr>
          </w:p>
        </w:tc>
        <w:tc>
          <w:tcPr>
            <w:tcW w:w="0" w:type="auto"/>
          </w:tcPr>
          <w:p w14:paraId="0693DBDB" w14:textId="77777777" w:rsidR="00577151" w:rsidRPr="00401588" w:rsidRDefault="00577151" w:rsidP="002C415E">
            <w:pPr>
              <w:pStyle w:val="NoSpacing"/>
              <w:rPr>
                <w:sz w:val="18"/>
                <w:szCs w:val="18"/>
              </w:rPr>
            </w:pPr>
          </w:p>
        </w:tc>
        <w:tc>
          <w:tcPr>
            <w:tcW w:w="0" w:type="auto"/>
          </w:tcPr>
          <w:p w14:paraId="3E4AB410" w14:textId="77777777" w:rsidR="00577151" w:rsidRPr="00401588" w:rsidRDefault="00577151" w:rsidP="002C415E">
            <w:pPr>
              <w:pStyle w:val="NoSpacing"/>
              <w:rPr>
                <w:sz w:val="18"/>
                <w:szCs w:val="18"/>
              </w:rPr>
            </w:pPr>
          </w:p>
        </w:tc>
        <w:tc>
          <w:tcPr>
            <w:tcW w:w="0" w:type="auto"/>
          </w:tcPr>
          <w:p w14:paraId="6F546BC8" w14:textId="77777777" w:rsidR="00577151" w:rsidRPr="00401588" w:rsidRDefault="00577151" w:rsidP="002C415E">
            <w:pPr>
              <w:pStyle w:val="NoSpacing"/>
              <w:rPr>
                <w:sz w:val="18"/>
                <w:szCs w:val="18"/>
              </w:rPr>
            </w:pPr>
          </w:p>
        </w:tc>
        <w:tc>
          <w:tcPr>
            <w:tcW w:w="0" w:type="auto"/>
          </w:tcPr>
          <w:p w14:paraId="4660EF45" w14:textId="77777777" w:rsidR="00577151" w:rsidRPr="00401588" w:rsidRDefault="00577151" w:rsidP="002C415E">
            <w:pPr>
              <w:pStyle w:val="NoSpacing"/>
              <w:rPr>
                <w:sz w:val="18"/>
                <w:szCs w:val="18"/>
              </w:rPr>
            </w:pPr>
          </w:p>
        </w:tc>
        <w:tc>
          <w:tcPr>
            <w:tcW w:w="0" w:type="auto"/>
          </w:tcPr>
          <w:p w14:paraId="1E675107" w14:textId="77777777" w:rsidR="00577151" w:rsidRPr="00401588" w:rsidRDefault="00577151" w:rsidP="002C415E">
            <w:pPr>
              <w:pStyle w:val="NoSpacing"/>
              <w:rPr>
                <w:sz w:val="18"/>
                <w:szCs w:val="18"/>
              </w:rPr>
            </w:pPr>
          </w:p>
        </w:tc>
        <w:tc>
          <w:tcPr>
            <w:tcW w:w="0" w:type="auto"/>
          </w:tcPr>
          <w:p w14:paraId="7CA5A536" w14:textId="77777777" w:rsidR="00577151" w:rsidRPr="00401588" w:rsidRDefault="00577151" w:rsidP="002C415E">
            <w:pPr>
              <w:pStyle w:val="NoSpacing"/>
              <w:rPr>
                <w:sz w:val="18"/>
                <w:szCs w:val="18"/>
              </w:rPr>
            </w:pPr>
          </w:p>
        </w:tc>
      </w:tr>
      <w:tr w:rsidR="00401588" w:rsidRPr="00401588" w14:paraId="152A67E8" w14:textId="454F1DE4" w:rsidTr="00401588">
        <w:tc>
          <w:tcPr>
            <w:tcW w:w="0" w:type="auto"/>
          </w:tcPr>
          <w:p w14:paraId="4A25E9E1" w14:textId="141DAA3A" w:rsidR="00577151" w:rsidRPr="00401588" w:rsidRDefault="0018352B" w:rsidP="00BC63C5">
            <w:pPr>
              <w:pStyle w:val="NoSpacing"/>
              <w:numPr>
                <w:ilvl w:val="0"/>
                <w:numId w:val="37"/>
              </w:numPr>
              <w:ind w:left="338"/>
              <w:rPr>
                <w:sz w:val="18"/>
                <w:szCs w:val="18"/>
              </w:rPr>
            </w:pPr>
            <w:r w:rsidRPr="00401588">
              <w:rPr>
                <w:sz w:val="18"/>
                <w:szCs w:val="18"/>
              </w:rPr>
              <w:t>Proportion Black</w:t>
            </w:r>
          </w:p>
        </w:tc>
        <w:tc>
          <w:tcPr>
            <w:tcW w:w="0" w:type="auto"/>
          </w:tcPr>
          <w:p w14:paraId="2B8A3A8D" w14:textId="4C06F929" w:rsidR="00577151" w:rsidRPr="00401588" w:rsidRDefault="00290107" w:rsidP="002C415E">
            <w:pPr>
              <w:pStyle w:val="NoSpacing"/>
              <w:rPr>
                <w:sz w:val="18"/>
                <w:szCs w:val="18"/>
              </w:rPr>
            </w:pPr>
            <w:r w:rsidRPr="00401588">
              <w:rPr>
                <w:sz w:val="18"/>
                <w:szCs w:val="18"/>
              </w:rPr>
              <w:t>.149**</w:t>
            </w:r>
          </w:p>
        </w:tc>
        <w:tc>
          <w:tcPr>
            <w:tcW w:w="0" w:type="auto"/>
          </w:tcPr>
          <w:p w14:paraId="70F4F695" w14:textId="0EA7CCA9" w:rsidR="00577151" w:rsidRPr="00401588" w:rsidRDefault="00290107" w:rsidP="002C415E">
            <w:pPr>
              <w:pStyle w:val="NoSpacing"/>
              <w:rPr>
                <w:sz w:val="18"/>
                <w:szCs w:val="18"/>
              </w:rPr>
            </w:pPr>
            <w:r w:rsidRPr="00401588">
              <w:rPr>
                <w:sz w:val="18"/>
                <w:szCs w:val="18"/>
              </w:rPr>
              <w:t>.574**</w:t>
            </w:r>
          </w:p>
        </w:tc>
        <w:tc>
          <w:tcPr>
            <w:tcW w:w="0" w:type="auto"/>
          </w:tcPr>
          <w:p w14:paraId="00A49749" w14:textId="4B85D516" w:rsidR="00577151" w:rsidRPr="00401588" w:rsidRDefault="00290107" w:rsidP="002C415E">
            <w:pPr>
              <w:pStyle w:val="NoSpacing"/>
              <w:rPr>
                <w:sz w:val="18"/>
                <w:szCs w:val="18"/>
              </w:rPr>
            </w:pPr>
            <w:r w:rsidRPr="00401588">
              <w:rPr>
                <w:sz w:val="18"/>
                <w:szCs w:val="18"/>
              </w:rPr>
              <w:t>-.500**</w:t>
            </w:r>
          </w:p>
        </w:tc>
        <w:tc>
          <w:tcPr>
            <w:tcW w:w="0" w:type="auto"/>
          </w:tcPr>
          <w:p w14:paraId="454C8763" w14:textId="7A8B7F9C" w:rsidR="00577151" w:rsidRPr="00401588" w:rsidRDefault="00290107" w:rsidP="002C415E">
            <w:pPr>
              <w:pStyle w:val="NoSpacing"/>
              <w:rPr>
                <w:sz w:val="18"/>
                <w:szCs w:val="18"/>
              </w:rPr>
            </w:pPr>
            <w:r w:rsidRPr="00401588">
              <w:rPr>
                <w:sz w:val="18"/>
                <w:szCs w:val="18"/>
              </w:rPr>
              <w:t>-.037</w:t>
            </w:r>
          </w:p>
        </w:tc>
        <w:tc>
          <w:tcPr>
            <w:tcW w:w="0" w:type="auto"/>
          </w:tcPr>
          <w:p w14:paraId="23F2BFD4" w14:textId="133FCAD1" w:rsidR="00577151" w:rsidRPr="00401588" w:rsidRDefault="00290107" w:rsidP="002C415E">
            <w:pPr>
              <w:pStyle w:val="NoSpacing"/>
              <w:rPr>
                <w:sz w:val="18"/>
                <w:szCs w:val="18"/>
              </w:rPr>
            </w:pPr>
            <w:r w:rsidRPr="00401588">
              <w:rPr>
                <w:sz w:val="18"/>
                <w:szCs w:val="18"/>
              </w:rPr>
              <w:t>-.185**</w:t>
            </w:r>
          </w:p>
        </w:tc>
        <w:tc>
          <w:tcPr>
            <w:tcW w:w="0" w:type="auto"/>
          </w:tcPr>
          <w:p w14:paraId="32B5E54F" w14:textId="295BD5DC" w:rsidR="00577151" w:rsidRPr="00401588" w:rsidRDefault="00290107" w:rsidP="002C415E">
            <w:pPr>
              <w:pStyle w:val="NoSpacing"/>
              <w:rPr>
                <w:sz w:val="18"/>
                <w:szCs w:val="18"/>
              </w:rPr>
            </w:pPr>
            <w:r w:rsidRPr="00401588">
              <w:rPr>
                <w:sz w:val="18"/>
                <w:szCs w:val="18"/>
              </w:rPr>
              <w:t>-.198**</w:t>
            </w:r>
          </w:p>
        </w:tc>
        <w:tc>
          <w:tcPr>
            <w:tcW w:w="0" w:type="auto"/>
          </w:tcPr>
          <w:p w14:paraId="072AD182" w14:textId="1115AD45" w:rsidR="00577151" w:rsidRPr="00401588" w:rsidRDefault="00C819CF" w:rsidP="002C415E">
            <w:pPr>
              <w:pStyle w:val="NoSpacing"/>
              <w:rPr>
                <w:sz w:val="18"/>
                <w:szCs w:val="18"/>
              </w:rPr>
            </w:pPr>
            <w:r w:rsidRPr="00401588">
              <w:rPr>
                <w:sz w:val="18"/>
                <w:szCs w:val="18"/>
              </w:rPr>
              <w:t>|</w:t>
            </w:r>
          </w:p>
        </w:tc>
        <w:tc>
          <w:tcPr>
            <w:tcW w:w="0" w:type="auto"/>
          </w:tcPr>
          <w:p w14:paraId="10B4187C" w14:textId="77777777" w:rsidR="00577151" w:rsidRPr="00401588" w:rsidRDefault="00577151" w:rsidP="002C415E">
            <w:pPr>
              <w:pStyle w:val="NoSpacing"/>
              <w:rPr>
                <w:sz w:val="18"/>
                <w:szCs w:val="18"/>
              </w:rPr>
            </w:pPr>
          </w:p>
        </w:tc>
        <w:tc>
          <w:tcPr>
            <w:tcW w:w="0" w:type="auto"/>
          </w:tcPr>
          <w:p w14:paraId="681BFF9F" w14:textId="77777777" w:rsidR="00577151" w:rsidRPr="00401588" w:rsidRDefault="00577151" w:rsidP="002C415E">
            <w:pPr>
              <w:pStyle w:val="NoSpacing"/>
              <w:rPr>
                <w:sz w:val="18"/>
                <w:szCs w:val="18"/>
              </w:rPr>
            </w:pPr>
          </w:p>
        </w:tc>
        <w:tc>
          <w:tcPr>
            <w:tcW w:w="0" w:type="auto"/>
          </w:tcPr>
          <w:p w14:paraId="5A058E8A" w14:textId="77777777" w:rsidR="00577151" w:rsidRPr="00401588" w:rsidRDefault="00577151" w:rsidP="002C415E">
            <w:pPr>
              <w:pStyle w:val="NoSpacing"/>
              <w:rPr>
                <w:sz w:val="18"/>
                <w:szCs w:val="18"/>
              </w:rPr>
            </w:pPr>
          </w:p>
        </w:tc>
        <w:tc>
          <w:tcPr>
            <w:tcW w:w="0" w:type="auto"/>
          </w:tcPr>
          <w:p w14:paraId="0F267C2B" w14:textId="77777777" w:rsidR="00577151" w:rsidRPr="00401588" w:rsidRDefault="00577151" w:rsidP="002C415E">
            <w:pPr>
              <w:pStyle w:val="NoSpacing"/>
              <w:rPr>
                <w:sz w:val="18"/>
                <w:szCs w:val="18"/>
              </w:rPr>
            </w:pPr>
          </w:p>
        </w:tc>
        <w:tc>
          <w:tcPr>
            <w:tcW w:w="0" w:type="auto"/>
          </w:tcPr>
          <w:p w14:paraId="5339242F" w14:textId="77777777" w:rsidR="00577151" w:rsidRPr="00401588" w:rsidRDefault="00577151" w:rsidP="002C415E">
            <w:pPr>
              <w:pStyle w:val="NoSpacing"/>
              <w:rPr>
                <w:sz w:val="18"/>
                <w:szCs w:val="18"/>
              </w:rPr>
            </w:pPr>
          </w:p>
        </w:tc>
        <w:tc>
          <w:tcPr>
            <w:tcW w:w="0" w:type="auto"/>
          </w:tcPr>
          <w:p w14:paraId="3EA37BB6" w14:textId="77777777" w:rsidR="00577151" w:rsidRPr="00401588" w:rsidRDefault="00577151" w:rsidP="002C415E">
            <w:pPr>
              <w:pStyle w:val="NoSpacing"/>
              <w:rPr>
                <w:sz w:val="18"/>
                <w:szCs w:val="18"/>
              </w:rPr>
            </w:pPr>
          </w:p>
        </w:tc>
        <w:tc>
          <w:tcPr>
            <w:tcW w:w="0" w:type="auto"/>
          </w:tcPr>
          <w:p w14:paraId="764A65DB" w14:textId="77777777" w:rsidR="00577151" w:rsidRPr="00401588" w:rsidRDefault="00577151" w:rsidP="002C415E">
            <w:pPr>
              <w:pStyle w:val="NoSpacing"/>
              <w:rPr>
                <w:sz w:val="18"/>
                <w:szCs w:val="18"/>
              </w:rPr>
            </w:pPr>
          </w:p>
        </w:tc>
        <w:tc>
          <w:tcPr>
            <w:tcW w:w="0" w:type="auto"/>
          </w:tcPr>
          <w:p w14:paraId="30521C09" w14:textId="77777777" w:rsidR="00577151" w:rsidRPr="00401588" w:rsidRDefault="00577151" w:rsidP="002C415E">
            <w:pPr>
              <w:pStyle w:val="NoSpacing"/>
              <w:rPr>
                <w:sz w:val="18"/>
                <w:szCs w:val="18"/>
              </w:rPr>
            </w:pPr>
          </w:p>
        </w:tc>
        <w:tc>
          <w:tcPr>
            <w:tcW w:w="0" w:type="auto"/>
          </w:tcPr>
          <w:p w14:paraId="073A7D69" w14:textId="77777777" w:rsidR="00577151" w:rsidRPr="00401588" w:rsidRDefault="00577151" w:rsidP="002C415E">
            <w:pPr>
              <w:pStyle w:val="NoSpacing"/>
              <w:rPr>
                <w:sz w:val="18"/>
                <w:szCs w:val="18"/>
              </w:rPr>
            </w:pPr>
          </w:p>
        </w:tc>
      </w:tr>
      <w:tr w:rsidR="00116656" w:rsidRPr="00401588" w14:paraId="1D1A8796" w14:textId="77777777" w:rsidTr="00401588">
        <w:tc>
          <w:tcPr>
            <w:tcW w:w="0" w:type="auto"/>
          </w:tcPr>
          <w:p w14:paraId="1B9CFCF8" w14:textId="20FD7AC8" w:rsidR="0018352B" w:rsidRPr="00401588" w:rsidRDefault="00B042B5" w:rsidP="00BC63C5">
            <w:pPr>
              <w:pStyle w:val="NoSpacing"/>
              <w:numPr>
                <w:ilvl w:val="0"/>
                <w:numId w:val="37"/>
              </w:numPr>
              <w:ind w:left="338"/>
              <w:rPr>
                <w:sz w:val="18"/>
                <w:szCs w:val="18"/>
              </w:rPr>
            </w:pPr>
            <w:r w:rsidRPr="00401588">
              <w:rPr>
                <w:sz w:val="18"/>
                <w:szCs w:val="18"/>
              </w:rPr>
              <w:t>On-premise density</w:t>
            </w:r>
          </w:p>
        </w:tc>
        <w:tc>
          <w:tcPr>
            <w:tcW w:w="0" w:type="auto"/>
          </w:tcPr>
          <w:p w14:paraId="70A186A4" w14:textId="1C007CDB" w:rsidR="0018352B" w:rsidRPr="00401588" w:rsidRDefault="00A82EA2" w:rsidP="002C415E">
            <w:pPr>
              <w:pStyle w:val="NoSpacing"/>
              <w:rPr>
                <w:sz w:val="18"/>
                <w:szCs w:val="18"/>
              </w:rPr>
            </w:pPr>
            <w:r w:rsidRPr="00401588">
              <w:rPr>
                <w:sz w:val="18"/>
                <w:szCs w:val="18"/>
              </w:rPr>
              <w:t>.184**</w:t>
            </w:r>
          </w:p>
        </w:tc>
        <w:tc>
          <w:tcPr>
            <w:tcW w:w="0" w:type="auto"/>
          </w:tcPr>
          <w:p w14:paraId="7FB72587" w14:textId="595A0512" w:rsidR="0018352B" w:rsidRPr="00401588" w:rsidRDefault="00A82EA2" w:rsidP="002C415E">
            <w:pPr>
              <w:pStyle w:val="NoSpacing"/>
              <w:rPr>
                <w:sz w:val="18"/>
                <w:szCs w:val="18"/>
              </w:rPr>
            </w:pPr>
            <w:r w:rsidRPr="00401588">
              <w:rPr>
                <w:sz w:val="18"/>
                <w:szCs w:val="18"/>
              </w:rPr>
              <w:t>-.253**</w:t>
            </w:r>
          </w:p>
        </w:tc>
        <w:tc>
          <w:tcPr>
            <w:tcW w:w="0" w:type="auto"/>
          </w:tcPr>
          <w:p w14:paraId="3027B83C" w14:textId="01ECD5A2" w:rsidR="0018352B" w:rsidRPr="00401588" w:rsidRDefault="00A82EA2" w:rsidP="002C415E">
            <w:pPr>
              <w:pStyle w:val="NoSpacing"/>
              <w:rPr>
                <w:sz w:val="18"/>
                <w:szCs w:val="18"/>
              </w:rPr>
            </w:pPr>
            <w:r w:rsidRPr="00401588">
              <w:rPr>
                <w:sz w:val="18"/>
                <w:szCs w:val="18"/>
              </w:rPr>
              <w:t>0133**</w:t>
            </w:r>
          </w:p>
        </w:tc>
        <w:tc>
          <w:tcPr>
            <w:tcW w:w="0" w:type="auto"/>
          </w:tcPr>
          <w:p w14:paraId="7ED3A9F0" w14:textId="6BF33069" w:rsidR="0018352B" w:rsidRPr="00401588" w:rsidRDefault="00A82EA2" w:rsidP="002C415E">
            <w:pPr>
              <w:pStyle w:val="NoSpacing"/>
              <w:rPr>
                <w:sz w:val="18"/>
                <w:szCs w:val="18"/>
              </w:rPr>
            </w:pPr>
            <w:r w:rsidRPr="00401588">
              <w:rPr>
                <w:sz w:val="18"/>
                <w:szCs w:val="18"/>
              </w:rPr>
              <w:t>-.325**</w:t>
            </w:r>
          </w:p>
        </w:tc>
        <w:tc>
          <w:tcPr>
            <w:tcW w:w="0" w:type="auto"/>
          </w:tcPr>
          <w:p w14:paraId="192B5BB8" w14:textId="07F94A84" w:rsidR="0018352B" w:rsidRPr="00401588" w:rsidRDefault="00A82EA2" w:rsidP="002C415E">
            <w:pPr>
              <w:pStyle w:val="NoSpacing"/>
              <w:rPr>
                <w:sz w:val="18"/>
                <w:szCs w:val="18"/>
              </w:rPr>
            </w:pPr>
            <w:r w:rsidRPr="00401588">
              <w:rPr>
                <w:sz w:val="18"/>
                <w:szCs w:val="18"/>
              </w:rPr>
              <w:t>.048</w:t>
            </w:r>
          </w:p>
        </w:tc>
        <w:tc>
          <w:tcPr>
            <w:tcW w:w="0" w:type="auto"/>
          </w:tcPr>
          <w:p w14:paraId="2F6A5B51" w14:textId="4CBCD9E1" w:rsidR="0018352B" w:rsidRPr="00401588" w:rsidRDefault="00A82EA2" w:rsidP="002C415E">
            <w:pPr>
              <w:pStyle w:val="NoSpacing"/>
              <w:rPr>
                <w:sz w:val="18"/>
                <w:szCs w:val="18"/>
              </w:rPr>
            </w:pPr>
            <w:r w:rsidRPr="00401588">
              <w:rPr>
                <w:sz w:val="18"/>
                <w:szCs w:val="18"/>
              </w:rPr>
              <w:t>.344**</w:t>
            </w:r>
          </w:p>
        </w:tc>
        <w:tc>
          <w:tcPr>
            <w:tcW w:w="0" w:type="auto"/>
          </w:tcPr>
          <w:p w14:paraId="1E3DF21E" w14:textId="2FC22DFC" w:rsidR="0018352B" w:rsidRPr="00401588" w:rsidRDefault="00B91C4A" w:rsidP="002C415E">
            <w:pPr>
              <w:pStyle w:val="NoSpacing"/>
              <w:rPr>
                <w:sz w:val="18"/>
                <w:szCs w:val="18"/>
              </w:rPr>
            </w:pPr>
            <w:r w:rsidRPr="00401588">
              <w:rPr>
                <w:sz w:val="18"/>
                <w:szCs w:val="18"/>
              </w:rPr>
              <w:t>-.293**</w:t>
            </w:r>
          </w:p>
        </w:tc>
        <w:tc>
          <w:tcPr>
            <w:tcW w:w="0" w:type="auto"/>
          </w:tcPr>
          <w:p w14:paraId="497E2B82" w14:textId="568A4213" w:rsidR="0018352B" w:rsidRPr="00401588" w:rsidRDefault="00C819CF" w:rsidP="002C415E">
            <w:pPr>
              <w:pStyle w:val="NoSpacing"/>
              <w:rPr>
                <w:sz w:val="18"/>
                <w:szCs w:val="18"/>
              </w:rPr>
            </w:pPr>
            <w:r w:rsidRPr="00401588">
              <w:rPr>
                <w:sz w:val="18"/>
                <w:szCs w:val="18"/>
              </w:rPr>
              <w:t>|</w:t>
            </w:r>
          </w:p>
        </w:tc>
        <w:tc>
          <w:tcPr>
            <w:tcW w:w="0" w:type="auto"/>
          </w:tcPr>
          <w:p w14:paraId="0858066D" w14:textId="77777777" w:rsidR="0018352B" w:rsidRPr="00401588" w:rsidRDefault="0018352B" w:rsidP="002C415E">
            <w:pPr>
              <w:pStyle w:val="NoSpacing"/>
              <w:rPr>
                <w:sz w:val="18"/>
                <w:szCs w:val="18"/>
              </w:rPr>
            </w:pPr>
          </w:p>
        </w:tc>
        <w:tc>
          <w:tcPr>
            <w:tcW w:w="0" w:type="auto"/>
          </w:tcPr>
          <w:p w14:paraId="33FB422A" w14:textId="77777777" w:rsidR="0018352B" w:rsidRPr="00401588" w:rsidRDefault="0018352B" w:rsidP="002C415E">
            <w:pPr>
              <w:pStyle w:val="NoSpacing"/>
              <w:rPr>
                <w:sz w:val="18"/>
                <w:szCs w:val="18"/>
              </w:rPr>
            </w:pPr>
          </w:p>
        </w:tc>
        <w:tc>
          <w:tcPr>
            <w:tcW w:w="0" w:type="auto"/>
          </w:tcPr>
          <w:p w14:paraId="4926126F" w14:textId="77777777" w:rsidR="0018352B" w:rsidRPr="00401588" w:rsidRDefault="0018352B" w:rsidP="002C415E">
            <w:pPr>
              <w:pStyle w:val="NoSpacing"/>
              <w:rPr>
                <w:sz w:val="18"/>
                <w:szCs w:val="18"/>
              </w:rPr>
            </w:pPr>
          </w:p>
        </w:tc>
        <w:tc>
          <w:tcPr>
            <w:tcW w:w="0" w:type="auto"/>
          </w:tcPr>
          <w:p w14:paraId="549E099C" w14:textId="77777777" w:rsidR="0018352B" w:rsidRPr="00401588" w:rsidRDefault="0018352B" w:rsidP="002C415E">
            <w:pPr>
              <w:pStyle w:val="NoSpacing"/>
              <w:rPr>
                <w:sz w:val="18"/>
                <w:szCs w:val="18"/>
              </w:rPr>
            </w:pPr>
          </w:p>
        </w:tc>
        <w:tc>
          <w:tcPr>
            <w:tcW w:w="0" w:type="auto"/>
          </w:tcPr>
          <w:p w14:paraId="4DE384FB" w14:textId="77777777" w:rsidR="0018352B" w:rsidRPr="00401588" w:rsidRDefault="0018352B" w:rsidP="002C415E">
            <w:pPr>
              <w:pStyle w:val="NoSpacing"/>
              <w:rPr>
                <w:sz w:val="18"/>
                <w:szCs w:val="18"/>
              </w:rPr>
            </w:pPr>
          </w:p>
        </w:tc>
        <w:tc>
          <w:tcPr>
            <w:tcW w:w="0" w:type="auto"/>
          </w:tcPr>
          <w:p w14:paraId="2C716CD3" w14:textId="77777777" w:rsidR="0018352B" w:rsidRPr="00401588" w:rsidRDefault="0018352B" w:rsidP="002C415E">
            <w:pPr>
              <w:pStyle w:val="NoSpacing"/>
              <w:rPr>
                <w:sz w:val="18"/>
                <w:szCs w:val="18"/>
              </w:rPr>
            </w:pPr>
          </w:p>
        </w:tc>
        <w:tc>
          <w:tcPr>
            <w:tcW w:w="0" w:type="auto"/>
          </w:tcPr>
          <w:p w14:paraId="166893C0" w14:textId="77777777" w:rsidR="0018352B" w:rsidRPr="00401588" w:rsidRDefault="0018352B" w:rsidP="002C415E">
            <w:pPr>
              <w:pStyle w:val="NoSpacing"/>
              <w:rPr>
                <w:sz w:val="18"/>
                <w:szCs w:val="18"/>
              </w:rPr>
            </w:pPr>
          </w:p>
        </w:tc>
        <w:tc>
          <w:tcPr>
            <w:tcW w:w="0" w:type="auto"/>
          </w:tcPr>
          <w:p w14:paraId="44F8EFF6" w14:textId="77777777" w:rsidR="0018352B" w:rsidRPr="00401588" w:rsidRDefault="0018352B" w:rsidP="002C415E">
            <w:pPr>
              <w:pStyle w:val="NoSpacing"/>
              <w:rPr>
                <w:sz w:val="18"/>
                <w:szCs w:val="18"/>
              </w:rPr>
            </w:pPr>
          </w:p>
        </w:tc>
      </w:tr>
      <w:tr w:rsidR="00116656" w:rsidRPr="00401588" w14:paraId="033F8870" w14:textId="77777777" w:rsidTr="00401588">
        <w:tc>
          <w:tcPr>
            <w:tcW w:w="0" w:type="auto"/>
          </w:tcPr>
          <w:p w14:paraId="3DF38FBE" w14:textId="265886E8" w:rsidR="0018352B" w:rsidRPr="00401588" w:rsidRDefault="00B042B5" w:rsidP="00BC63C5">
            <w:pPr>
              <w:pStyle w:val="NoSpacing"/>
              <w:numPr>
                <w:ilvl w:val="0"/>
                <w:numId w:val="37"/>
              </w:numPr>
              <w:ind w:left="338"/>
              <w:rPr>
                <w:sz w:val="18"/>
                <w:szCs w:val="18"/>
              </w:rPr>
            </w:pPr>
            <w:r w:rsidRPr="00401588">
              <w:rPr>
                <w:sz w:val="18"/>
                <w:szCs w:val="18"/>
              </w:rPr>
              <w:t>Off-premise density</w:t>
            </w:r>
          </w:p>
        </w:tc>
        <w:tc>
          <w:tcPr>
            <w:tcW w:w="0" w:type="auto"/>
          </w:tcPr>
          <w:p w14:paraId="43DE372D" w14:textId="334643B7" w:rsidR="0018352B" w:rsidRPr="00401588" w:rsidRDefault="00B91C4A" w:rsidP="002C415E">
            <w:pPr>
              <w:pStyle w:val="NoSpacing"/>
              <w:rPr>
                <w:sz w:val="18"/>
                <w:szCs w:val="18"/>
              </w:rPr>
            </w:pPr>
            <w:r w:rsidRPr="00401588">
              <w:rPr>
                <w:sz w:val="18"/>
                <w:szCs w:val="18"/>
              </w:rPr>
              <w:t>.415**</w:t>
            </w:r>
          </w:p>
        </w:tc>
        <w:tc>
          <w:tcPr>
            <w:tcW w:w="0" w:type="auto"/>
          </w:tcPr>
          <w:p w14:paraId="3EF79A4E" w14:textId="73E38293" w:rsidR="0018352B" w:rsidRPr="00401588" w:rsidRDefault="00B91C4A" w:rsidP="002C415E">
            <w:pPr>
              <w:pStyle w:val="NoSpacing"/>
              <w:rPr>
                <w:sz w:val="18"/>
                <w:szCs w:val="18"/>
              </w:rPr>
            </w:pPr>
            <w:r w:rsidRPr="00401588">
              <w:rPr>
                <w:sz w:val="18"/>
                <w:szCs w:val="18"/>
              </w:rPr>
              <w:t>.182**</w:t>
            </w:r>
          </w:p>
        </w:tc>
        <w:tc>
          <w:tcPr>
            <w:tcW w:w="0" w:type="auto"/>
          </w:tcPr>
          <w:p w14:paraId="3BE77DD3" w14:textId="291D24B6" w:rsidR="0018352B" w:rsidRPr="00401588" w:rsidRDefault="00B91C4A" w:rsidP="002C415E">
            <w:pPr>
              <w:pStyle w:val="NoSpacing"/>
              <w:rPr>
                <w:sz w:val="18"/>
                <w:szCs w:val="18"/>
              </w:rPr>
            </w:pPr>
            <w:r w:rsidRPr="00401588">
              <w:rPr>
                <w:sz w:val="18"/>
                <w:szCs w:val="18"/>
              </w:rPr>
              <w:t>.203**</w:t>
            </w:r>
          </w:p>
        </w:tc>
        <w:tc>
          <w:tcPr>
            <w:tcW w:w="0" w:type="auto"/>
          </w:tcPr>
          <w:p w14:paraId="3AD2D92D" w14:textId="64E0F282" w:rsidR="0018352B" w:rsidRPr="00401588" w:rsidRDefault="00B91C4A" w:rsidP="002C415E">
            <w:pPr>
              <w:pStyle w:val="NoSpacing"/>
              <w:rPr>
                <w:sz w:val="18"/>
                <w:szCs w:val="18"/>
              </w:rPr>
            </w:pPr>
            <w:r w:rsidRPr="00401588">
              <w:rPr>
                <w:sz w:val="18"/>
                <w:szCs w:val="18"/>
              </w:rPr>
              <w:t>-.182**</w:t>
            </w:r>
          </w:p>
        </w:tc>
        <w:tc>
          <w:tcPr>
            <w:tcW w:w="0" w:type="auto"/>
          </w:tcPr>
          <w:p w14:paraId="45E25ECD" w14:textId="083A8E94" w:rsidR="0018352B" w:rsidRPr="00401588" w:rsidRDefault="000B1049" w:rsidP="002C415E">
            <w:pPr>
              <w:pStyle w:val="NoSpacing"/>
              <w:rPr>
                <w:sz w:val="18"/>
                <w:szCs w:val="18"/>
              </w:rPr>
            </w:pPr>
            <w:r w:rsidRPr="00401588">
              <w:rPr>
                <w:sz w:val="18"/>
                <w:szCs w:val="18"/>
              </w:rPr>
              <w:t>.058</w:t>
            </w:r>
          </w:p>
        </w:tc>
        <w:tc>
          <w:tcPr>
            <w:tcW w:w="0" w:type="auto"/>
          </w:tcPr>
          <w:p w14:paraId="185BB4F1" w14:textId="71A7836D" w:rsidR="0018352B" w:rsidRPr="00401588" w:rsidRDefault="000B1049" w:rsidP="002C415E">
            <w:pPr>
              <w:pStyle w:val="NoSpacing"/>
              <w:rPr>
                <w:sz w:val="18"/>
                <w:szCs w:val="18"/>
              </w:rPr>
            </w:pPr>
            <w:r w:rsidRPr="00401588">
              <w:rPr>
                <w:sz w:val="18"/>
                <w:szCs w:val="18"/>
              </w:rPr>
              <w:t>.321**</w:t>
            </w:r>
          </w:p>
        </w:tc>
        <w:tc>
          <w:tcPr>
            <w:tcW w:w="0" w:type="auto"/>
          </w:tcPr>
          <w:p w14:paraId="11394C8F" w14:textId="6761757C" w:rsidR="0018352B" w:rsidRPr="00401588" w:rsidRDefault="000B1049" w:rsidP="002C415E">
            <w:pPr>
              <w:pStyle w:val="NoSpacing"/>
              <w:rPr>
                <w:sz w:val="18"/>
                <w:szCs w:val="18"/>
              </w:rPr>
            </w:pPr>
            <w:r w:rsidRPr="00401588">
              <w:rPr>
                <w:sz w:val="18"/>
                <w:szCs w:val="18"/>
              </w:rPr>
              <w:t>.030</w:t>
            </w:r>
          </w:p>
        </w:tc>
        <w:tc>
          <w:tcPr>
            <w:tcW w:w="0" w:type="auto"/>
          </w:tcPr>
          <w:p w14:paraId="5E3AB69B" w14:textId="73230578" w:rsidR="0018352B" w:rsidRPr="00401588" w:rsidRDefault="000B1049" w:rsidP="002C415E">
            <w:pPr>
              <w:pStyle w:val="NoSpacing"/>
              <w:rPr>
                <w:sz w:val="18"/>
                <w:szCs w:val="18"/>
              </w:rPr>
            </w:pPr>
            <w:r w:rsidRPr="00401588">
              <w:rPr>
                <w:sz w:val="18"/>
                <w:szCs w:val="18"/>
              </w:rPr>
              <w:t>.214**</w:t>
            </w:r>
          </w:p>
        </w:tc>
        <w:tc>
          <w:tcPr>
            <w:tcW w:w="0" w:type="auto"/>
          </w:tcPr>
          <w:p w14:paraId="0D7C3C0B" w14:textId="31BDB9B6" w:rsidR="0018352B" w:rsidRPr="00401588" w:rsidRDefault="00C819CF" w:rsidP="002C415E">
            <w:pPr>
              <w:pStyle w:val="NoSpacing"/>
              <w:rPr>
                <w:sz w:val="18"/>
                <w:szCs w:val="18"/>
              </w:rPr>
            </w:pPr>
            <w:r w:rsidRPr="00401588">
              <w:rPr>
                <w:sz w:val="18"/>
                <w:szCs w:val="18"/>
              </w:rPr>
              <w:t>|</w:t>
            </w:r>
          </w:p>
        </w:tc>
        <w:tc>
          <w:tcPr>
            <w:tcW w:w="0" w:type="auto"/>
          </w:tcPr>
          <w:p w14:paraId="72181C67" w14:textId="77777777" w:rsidR="0018352B" w:rsidRPr="00401588" w:rsidRDefault="0018352B" w:rsidP="002C415E">
            <w:pPr>
              <w:pStyle w:val="NoSpacing"/>
              <w:rPr>
                <w:sz w:val="18"/>
                <w:szCs w:val="18"/>
              </w:rPr>
            </w:pPr>
          </w:p>
        </w:tc>
        <w:tc>
          <w:tcPr>
            <w:tcW w:w="0" w:type="auto"/>
          </w:tcPr>
          <w:p w14:paraId="22069448" w14:textId="77777777" w:rsidR="0018352B" w:rsidRPr="00401588" w:rsidRDefault="0018352B" w:rsidP="002C415E">
            <w:pPr>
              <w:pStyle w:val="NoSpacing"/>
              <w:rPr>
                <w:sz w:val="18"/>
                <w:szCs w:val="18"/>
              </w:rPr>
            </w:pPr>
          </w:p>
        </w:tc>
        <w:tc>
          <w:tcPr>
            <w:tcW w:w="0" w:type="auto"/>
          </w:tcPr>
          <w:p w14:paraId="7173412E" w14:textId="77777777" w:rsidR="0018352B" w:rsidRPr="00401588" w:rsidRDefault="0018352B" w:rsidP="002C415E">
            <w:pPr>
              <w:pStyle w:val="NoSpacing"/>
              <w:rPr>
                <w:sz w:val="18"/>
                <w:szCs w:val="18"/>
              </w:rPr>
            </w:pPr>
          </w:p>
        </w:tc>
        <w:tc>
          <w:tcPr>
            <w:tcW w:w="0" w:type="auto"/>
          </w:tcPr>
          <w:p w14:paraId="6D98764C" w14:textId="77777777" w:rsidR="0018352B" w:rsidRPr="00401588" w:rsidRDefault="0018352B" w:rsidP="002C415E">
            <w:pPr>
              <w:pStyle w:val="NoSpacing"/>
              <w:rPr>
                <w:sz w:val="18"/>
                <w:szCs w:val="18"/>
              </w:rPr>
            </w:pPr>
          </w:p>
        </w:tc>
        <w:tc>
          <w:tcPr>
            <w:tcW w:w="0" w:type="auto"/>
          </w:tcPr>
          <w:p w14:paraId="0CFF33BB" w14:textId="77777777" w:rsidR="0018352B" w:rsidRPr="00401588" w:rsidRDefault="0018352B" w:rsidP="002C415E">
            <w:pPr>
              <w:pStyle w:val="NoSpacing"/>
              <w:rPr>
                <w:sz w:val="18"/>
                <w:szCs w:val="18"/>
              </w:rPr>
            </w:pPr>
          </w:p>
        </w:tc>
        <w:tc>
          <w:tcPr>
            <w:tcW w:w="0" w:type="auto"/>
          </w:tcPr>
          <w:p w14:paraId="357032A0" w14:textId="77777777" w:rsidR="0018352B" w:rsidRPr="00401588" w:rsidRDefault="0018352B" w:rsidP="002C415E">
            <w:pPr>
              <w:pStyle w:val="NoSpacing"/>
              <w:rPr>
                <w:sz w:val="18"/>
                <w:szCs w:val="18"/>
              </w:rPr>
            </w:pPr>
          </w:p>
        </w:tc>
        <w:tc>
          <w:tcPr>
            <w:tcW w:w="0" w:type="auto"/>
          </w:tcPr>
          <w:p w14:paraId="2C52E59D" w14:textId="77777777" w:rsidR="0018352B" w:rsidRPr="00401588" w:rsidRDefault="0018352B" w:rsidP="002C415E">
            <w:pPr>
              <w:pStyle w:val="NoSpacing"/>
              <w:rPr>
                <w:sz w:val="18"/>
                <w:szCs w:val="18"/>
              </w:rPr>
            </w:pPr>
          </w:p>
        </w:tc>
      </w:tr>
      <w:tr w:rsidR="00116656" w:rsidRPr="00401588" w14:paraId="31AFFAAB" w14:textId="77777777" w:rsidTr="00401588">
        <w:tc>
          <w:tcPr>
            <w:tcW w:w="0" w:type="auto"/>
          </w:tcPr>
          <w:p w14:paraId="4A3A8FD6" w14:textId="77667A18" w:rsidR="0018352B" w:rsidRPr="00401588" w:rsidRDefault="00B042B5" w:rsidP="00BC63C5">
            <w:pPr>
              <w:pStyle w:val="NoSpacing"/>
              <w:numPr>
                <w:ilvl w:val="0"/>
                <w:numId w:val="37"/>
              </w:numPr>
              <w:ind w:left="338"/>
              <w:rPr>
                <w:sz w:val="18"/>
                <w:szCs w:val="18"/>
              </w:rPr>
            </w:pPr>
            <w:r w:rsidRPr="00401588">
              <w:rPr>
                <w:sz w:val="18"/>
                <w:szCs w:val="18"/>
              </w:rPr>
              <w:t>Beer density</w:t>
            </w:r>
          </w:p>
        </w:tc>
        <w:tc>
          <w:tcPr>
            <w:tcW w:w="0" w:type="auto"/>
          </w:tcPr>
          <w:p w14:paraId="43ACF104" w14:textId="1FD2410E" w:rsidR="0018352B" w:rsidRPr="00401588" w:rsidRDefault="000B1049" w:rsidP="002C415E">
            <w:pPr>
              <w:pStyle w:val="NoSpacing"/>
              <w:rPr>
                <w:sz w:val="18"/>
                <w:szCs w:val="18"/>
              </w:rPr>
            </w:pPr>
            <w:r w:rsidRPr="00401588">
              <w:rPr>
                <w:sz w:val="18"/>
                <w:szCs w:val="18"/>
              </w:rPr>
              <w:t>.389**</w:t>
            </w:r>
          </w:p>
        </w:tc>
        <w:tc>
          <w:tcPr>
            <w:tcW w:w="0" w:type="auto"/>
          </w:tcPr>
          <w:p w14:paraId="5CA702FD" w14:textId="552A8923" w:rsidR="0018352B" w:rsidRPr="00401588" w:rsidRDefault="000B1049" w:rsidP="002C415E">
            <w:pPr>
              <w:pStyle w:val="NoSpacing"/>
              <w:rPr>
                <w:sz w:val="18"/>
                <w:szCs w:val="18"/>
              </w:rPr>
            </w:pPr>
            <w:r w:rsidRPr="00401588">
              <w:rPr>
                <w:sz w:val="18"/>
                <w:szCs w:val="18"/>
              </w:rPr>
              <w:t>.193**</w:t>
            </w:r>
          </w:p>
        </w:tc>
        <w:tc>
          <w:tcPr>
            <w:tcW w:w="0" w:type="auto"/>
          </w:tcPr>
          <w:p w14:paraId="0E2A8A44" w14:textId="4F4835B4" w:rsidR="0018352B" w:rsidRPr="00401588" w:rsidRDefault="000B1049" w:rsidP="002C415E">
            <w:pPr>
              <w:pStyle w:val="NoSpacing"/>
              <w:rPr>
                <w:sz w:val="18"/>
                <w:szCs w:val="18"/>
              </w:rPr>
            </w:pPr>
            <w:r w:rsidRPr="00401588">
              <w:rPr>
                <w:sz w:val="18"/>
                <w:szCs w:val="18"/>
              </w:rPr>
              <w:t>.143**</w:t>
            </w:r>
          </w:p>
        </w:tc>
        <w:tc>
          <w:tcPr>
            <w:tcW w:w="0" w:type="auto"/>
          </w:tcPr>
          <w:p w14:paraId="11070AD4" w14:textId="446D65B2" w:rsidR="0018352B" w:rsidRPr="00401588" w:rsidRDefault="007C16E2" w:rsidP="002C415E">
            <w:pPr>
              <w:pStyle w:val="NoSpacing"/>
              <w:rPr>
                <w:sz w:val="18"/>
                <w:szCs w:val="18"/>
              </w:rPr>
            </w:pPr>
            <w:r w:rsidRPr="00401588">
              <w:rPr>
                <w:sz w:val="18"/>
                <w:szCs w:val="18"/>
              </w:rPr>
              <w:t>-.181**</w:t>
            </w:r>
          </w:p>
        </w:tc>
        <w:tc>
          <w:tcPr>
            <w:tcW w:w="0" w:type="auto"/>
          </w:tcPr>
          <w:p w14:paraId="56371C5D" w14:textId="5474B908" w:rsidR="0018352B" w:rsidRPr="00401588" w:rsidRDefault="007C16E2" w:rsidP="002C415E">
            <w:pPr>
              <w:pStyle w:val="NoSpacing"/>
              <w:rPr>
                <w:sz w:val="18"/>
                <w:szCs w:val="18"/>
              </w:rPr>
            </w:pPr>
            <w:r w:rsidRPr="00401588">
              <w:rPr>
                <w:sz w:val="18"/>
                <w:szCs w:val="18"/>
              </w:rPr>
              <w:t>.034</w:t>
            </w:r>
          </w:p>
        </w:tc>
        <w:tc>
          <w:tcPr>
            <w:tcW w:w="0" w:type="auto"/>
          </w:tcPr>
          <w:p w14:paraId="1B480237" w14:textId="386E8E3A" w:rsidR="0018352B" w:rsidRPr="00401588" w:rsidRDefault="007C16E2" w:rsidP="002C415E">
            <w:pPr>
              <w:pStyle w:val="NoSpacing"/>
              <w:rPr>
                <w:sz w:val="18"/>
                <w:szCs w:val="18"/>
              </w:rPr>
            </w:pPr>
            <w:r w:rsidRPr="00401588">
              <w:rPr>
                <w:sz w:val="18"/>
                <w:szCs w:val="18"/>
              </w:rPr>
              <w:t>.286**</w:t>
            </w:r>
          </w:p>
        </w:tc>
        <w:tc>
          <w:tcPr>
            <w:tcW w:w="0" w:type="auto"/>
          </w:tcPr>
          <w:p w14:paraId="3489B712" w14:textId="6C5CB333" w:rsidR="0018352B" w:rsidRPr="00401588" w:rsidRDefault="007C16E2" w:rsidP="002C415E">
            <w:pPr>
              <w:pStyle w:val="NoSpacing"/>
              <w:rPr>
                <w:sz w:val="18"/>
                <w:szCs w:val="18"/>
              </w:rPr>
            </w:pPr>
            <w:r w:rsidRPr="00401588">
              <w:rPr>
                <w:sz w:val="18"/>
                <w:szCs w:val="18"/>
              </w:rPr>
              <w:t>.067</w:t>
            </w:r>
          </w:p>
        </w:tc>
        <w:tc>
          <w:tcPr>
            <w:tcW w:w="0" w:type="auto"/>
          </w:tcPr>
          <w:p w14:paraId="22410522" w14:textId="2FE9D07F" w:rsidR="0018352B" w:rsidRPr="00401588" w:rsidRDefault="001361DA" w:rsidP="002C415E">
            <w:pPr>
              <w:pStyle w:val="NoSpacing"/>
              <w:rPr>
                <w:sz w:val="18"/>
                <w:szCs w:val="18"/>
              </w:rPr>
            </w:pPr>
            <w:r w:rsidRPr="00401588">
              <w:rPr>
                <w:sz w:val="18"/>
                <w:szCs w:val="18"/>
              </w:rPr>
              <w:t>.206**</w:t>
            </w:r>
          </w:p>
        </w:tc>
        <w:tc>
          <w:tcPr>
            <w:tcW w:w="0" w:type="auto"/>
          </w:tcPr>
          <w:p w14:paraId="336EA9CA" w14:textId="4FCF8406" w:rsidR="0018352B" w:rsidRPr="00401588" w:rsidRDefault="001361DA" w:rsidP="002C415E">
            <w:pPr>
              <w:pStyle w:val="NoSpacing"/>
              <w:rPr>
                <w:sz w:val="18"/>
                <w:szCs w:val="18"/>
              </w:rPr>
            </w:pPr>
            <w:r w:rsidRPr="00401588">
              <w:rPr>
                <w:sz w:val="18"/>
                <w:szCs w:val="18"/>
              </w:rPr>
              <w:t>.943**</w:t>
            </w:r>
          </w:p>
        </w:tc>
        <w:tc>
          <w:tcPr>
            <w:tcW w:w="0" w:type="auto"/>
          </w:tcPr>
          <w:p w14:paraId="37748C51" w14:textId="541B2DED" w:rsidR="0018352B" w:rsidRPr="00401588" w:rsidRDefault="00C819CF" w:rsidP="002C415E">
            <w:pPr>
              <w:pStyle w:val="NoSpacing"/>
              <w:rPr>
                <w:sz w:val="18"/>
                <w:szCs w:val="18"/>
              </w:rPr>
            </w:pPr>
            <w:r w:rsidRPr="00401588">
              <w:rPr>
                <w:sz w:val="18"/>
                <w:szCs w:val="18"/>
              </w:rPr>
              <w:t>|</w:t>
            </w:r>
          </w:p>
        </w:tc>
        <w:tc>
          <w:tcPr>
            <w:tcW w:w="0" w:type="auto"/>
          </w:tcPr>
          <w:p w14:paraId="0D37C26A" w14:textId="77777777" w:rsidR="0018352B" w:rsidRPr="00401588" w:rsidRDefault="0018352B" w:rsidP="002C415E">
            <w:pPr>
              <w:pStyle w:val="NoSpacing"/>
              <w:rPr>
                <w:sz w:val="18"/>
                <w:szCs w:val="18"/>
              </w:rPr>
            </w:pPr>
          </w:p>
        </w:tc>
        <w:tc>
          <w:tcPr>
            <w:tcW w:w="0" w:type="auto"/>
          </w:tcPr>
          <w:p w14:paraId="2F2A1ED2" w14:textId="77777777" w:rsidR="0018352B" w:rsidRPr="00401588" w:rsidRDefault="0018352B" w:rsidP="002C415E">
            <w:pPr>
              <w:pStyle w:val="NoSpacing"/>
              <w:rPr>
                <w:sz w:val="18"/>
                <w:szCs w:val="18"/>
              </w:rPr>
            </w:pPr>
          </w:p>
        </w:tc>
        <w:tc>
          <w:tcPr>
            <w:tcW w:w="0" w:type="auto"/>
          </w:tcPr>
          <w:p w14:paraId="7DED2E9C" w14:textId="77777777" w:rsidR="0018352B" w:rsidRPr="00401588" w:rsidRDefault="0018352B" w:rsidP="002C415E">
            <w:pPr>
              <w:pStyle w:val="NoSpacing"/>
              <w:rPr>
                <w:sz w:val="18"/>
                <w:szCs w:val="18"/>
              </w:rPr>
            </w:pPr>
          </w:p>
        </w:tc>
        <w:tc>
          <w:tcPr>
            <w:tcW w:w="0" w:type="auto"/>
          </w:tcPr>
          <w:p w14:paraId="0F220C16" w14:textId="77777777" w:rsidR="0018352B" w:rsidRPr="00401588" w:rsidRDefault="0018352B" w:rsidP="002C415E">
            <w:pPr>
              <w:pStyle w:val="NoSpacing"/>
              <w:rPr>
                <w:sz w:val="18"/>
                <w:szCs w:val="18"/>
              </w:rPr>
            </w:pPr>
          </w:p>
        </w:tc>
        <w:tc>
          <w:tcPr>
            <w:tcW w:w="0" w:type="auto"/>
          </w:tcPr>
          <w:p w14:paraId="283673BF" w14:textId="77777777" w:rsidR="0018352B" w:rsidRPr="00401588" w:rsidRDefault="0018352B" w:rsidP="002C415E">
            <w:pPr>
              <w:pStyle w:val="NoSpacing"/>
              <w:rPr>
                <w:sz w:val="18"/>
                <w:szCs w:val="18"/>
              </w:rPr>
            </w:pPr>
          </w:p>
        </w:tc>
        <w:tc>
          <w:tcPr>
            <w:tcW w:w="0" w:type="auto"/>
          </w:tcPr>
          <w:p w14:paraId="4C03325D" w14:textId="77777777" w:rsidR="0018352B" w:rsidRPr="00401588" w:rsidRDefault="0018352B" w:rsidP="002C415E">
            <w:pPr>
              <w:pStyle w:val="NoSpacing"/>
              <w:rPr>
                <w:sz w:val="18"/>
                <w:szCs w:val="18"/>
              </w:rPr>
            </w:pPr>
          </w:p>
        </w:tc>
      </w:tr>
      <w:tr w:rsidR="00116656" w:rsidRPr="00401588" w14:paraId="391C9D13" w14:textId="77777777" w:rsidTr="00401588">
        <w:tc>
          <w:tcPr>
            <w:tcW w:w="0" w:type="auto"/>
          </w:tcPr>
          <w:p w14:paraId="608FE4D6" w14:textId="03290371" w:rsidR="0018352B" w:rsidRPr="00401588" w:rsidRDefault="00B042B5" w:rsidP="00BC63C5">
            <w:pPr>
              <w:pStyle w:val="NoSpacing"/>
              <w:numPr>
                <w:ilvl w:val="0"/>
                <w:numId w:val="37"/>
              </w:numPr>
              <w:ind w:left="338"/>
              <w:rPr>
                <w:sz w:val="18"/>
                <w:szCs w:val="18"/>
              </w:rPr>
            </w:pPr>
            <w:r w:rsidRPr="00401588">
              <w:rPr>
                <w:sz w:val="18"/>
                <w:szCs w:val="18"/>
              </w:rPr>
              <w:t>Wine density</w:t>
            </w:r>
          </w:p>
        </w:tc>
        <w:tc>
          <w:tcPr>
            <w:tcW w:w="0" w:type="auto"/>
          </w:tcPr>
          <w:p w14:paraId="0B4ACA73" w14:textId="307907A6" w:rsidR="0018352B" w:rsidRPr="00401588" w:rsidRDefault="001361DA" w:rsidP="002C415E">
            <w:pPr>
              <w:pStyle w:val="NoSpacing"/>
              <w:rPr>
                <w:sz w:val="18"/>
                <w:szCs w:val="18"/>
              </w:rPr>
            </w:pPr>
            <w:r w:rsidRPr="00401588">
              <w:rPr>
                <w:sz w:val="18"/>
                <w:szCs w:val="18"/>
              </w:rPr>
              <w:t>.330**</w:t>
            </w:r>
          </w:p>
        </w:tc>
        <w:tc>
          <w:tcPr>
            <w:tcW w:w="0" w:type="auto"/>
          </w:tcPr>
          <w:p w14:paraId="4F45560C" w14:textId="3B03F22E" w:rsidR="0018352B" w:rsidRPr="00401588" w:rsidRDefault="001361DA" w:rsidP="002C415E">
            <w:pPr>
              <w:pStyle w:val="NoSpacing"/>
              <w:rPr>
                <w:sz w:val="18"/>
                <w:szCs w:val="18"/>
              </w:rPr>
            </w:pPr>
            <w:r w:rsidRPr="00401588">
              <w:rPr>
                <w:sz w:val="18"/>
                <w:szCs w:val="18"/>
              </w:rPr>
              <w:t>.151**</w:t>
            </w:r>
          </w:p>
        </w:tc>
        <w:tc>
          <w:tcPr>
            <w:tcW w:w="0" w:type="auto"/>
          </w:tcPr>
          <w:p w14:paraId="3202F402" w14:textId="2CC1AF1E" w:rsidR="0018352B" w:rsidRPr="00401588" w:rsidRDefault="001361DA" w:rsidP="002C415E">
            <w:pPr>
              <w:pStyle w:val="NoSpacing"/>
              <w:rPr>
                <w:sz w:val="18"/>
                <w:szCs w:val="18"/>
              </w:rPr>
            </w:pPr>
            <w:r w:rsidRPr="00401588">
              <w:rPr>
                <w:sz w:val="18"/>
                <w:szCs w:val="18"/>
              </w:rPr>
              <w:t>.108*</w:t>
            </w:r>
          </w:p>
        </w:tc>
        <w:tc>
          <w:tcPr>
            <w:tcW w:w="0" w:type="auto"/>
          </w:tcPr>
          <w:p w14:paraId="3657CEEA" w14:textId="433DA043" w:rsidR="0018352B" w:rsidRPr="00401588" w:rsidRDefault="00F87C43" w:rsidP="002C415E">
            <w:pPr>
              <w:pStyle w:val="NoSpacing"/>
              <w:rPr>
                <w:sz w:val="18"/>
                <w:szCs w:val="18"/>
              </w:rPr>
            </w:pPr>
            <w:r w:rsidRPr="00401588">
              <w:rPr>
                <w:sz w:val="18"/>
                <w:szCs w:val="18"/>
              </w:rPr>
              <w:t>-.107*</w:t>
            </w:r>
          </w:p>
        </w:tc>
        <w:tc>
          <w:tcPr>
            <w:tcW w:w="0" w:type="auto"/>
          </w:tcPr>
          <w:p w14:paraId="61A9A6D8" w14:textId="71522A9B" w:rsidR="0018352B" w:rsidRPr="00401588" w:rsidRDefault="00F87C43" w:rsidP="002C415E">
            <w:pPr>
              <w:pStyle w:val="NoSpacing"/>
              <w:rPr>
                <w:sz w:val="18"/>
                <w:szCs w:val="18"/>
              </w:rPr>
            </w:pPr>
            <w:r w:rsidRPr="00401588">
              <w:rPr>
                <w:sz w:val="18"/>
                <w:szCs w:val="18"/>
              </w:rPr>
              <w:t>.060</w:t>
            </w:r>
          </w:p>
        </w:tc>
        <w:tc>
          <w:tcPr>
            <w:tcW w:w="0" w:type="auto"/>
          </w:tcPr>
          <w:p w14:paraId="4472A361" w14:textId="631C70C7" w:rsidR="0018352B" w:rsidRPr="00401588" w:rsidRDefault="00F87C43" w:rsidP="002C415E">
            <w:pPr>
              <w:pStyle w:val="NoSpacing"/>
              <w:rPr>
                <w:sz w:val="18"/>
                <w:szCs w:val="18"/>
              </w:rPr>
            </w:pPr>
            <w:r w:rsidRPr="00401588">
              <w:rPr>
                <w:sz w:val="18"/>
                <w:szCs w:val="18"/>
              </w:rPr>
              <w:t>.134**</w:t>
            </w:r>
          </w:p>
        </w:tc>
        <w:tc>
          <w:tcPr>
            <w:tcW w:w="0" w:type="auto"/>
          </w:tcPr>
          <w:p w14:paraId="7CF2A430" w14:textId="24059E17" w:rsidR="0018352B" w:rsidRPr="00401588" w:rsidRDefault="00F87C43" w:rsidP="002C415E">
            <w:pPr>
              <w:pStyle w:val="NoSpacing"/>
              <w:rPr>
                <w:sz w:val="18"/>
                <w:szCs w:val="18"/>
              </w:rPr>
            </w:pPr>
            <w:r w:rsidRPr="00401588">
              <w:rPr>
                <w:sz w:val="18"/>
                <w:szCs w:val="18"/>
              </w:rPr>
              <w:t>.044</w:t>
            </w:r>
          </w:p>
        </w:tc>
        <w:tc>
          <w:tcPr>
            <w:tcW w:w="0" w:type="auto"/>
          </w:tcPr>
          <w:p w14:paraId="0391D17C" w14:textId="5440EB69" w:rsidR="0018352B" w:rsidRPr="00401588" w:rsidRDefault="00F87C43" w:rsidP="002C415E">
            <w:pPr>
              <w:pStyle w:val="NoSpacing"/>
              <w:rPr>
                <w:sz w:val="18"/>
                <w:szCs w:val="18"/>
              </w:rPr>
            </w:pPr>
            <w:r w:rsidRPr="00401588">
              <w:rPr>
                <w:sz w:val="18"/>
                <w:szCs w:val="18"/>
              </w:rPr>
              <w:t>.131**</w:t>
            </w:r>
          </w:p>
        </w:tc>
        <w:tc>
          <w:tcPr>
            <w:tcW w:w="0" w:type="auto"/>
          </w:tcPr>
          <w:p w14:paraId="0C1E21E5" w14:textId="1FA40DEC" w:rsidR="0018352B" w:rsidRPr="00401588" w:rsidRDefault="00F87C43" w:rsidP="002C415E">
            <w:pPr>
              <w:pStyle w:val="NoSpacing"/>
              <w:rPr>
                <w:sz w:val="18"/>
                <w:szCs w:val="18"/>
              </w:rPr>
            </w:pPr>
            <w:r w:rsidRPr="00401588">
              <w:rPr>
                <w:sz w:val="18"/>
                <w:szCs w:val="18"/>
              </w:rPr>
              <w:t>.691**</w:t>
            </w:r>
          </w:p>
        </w:tc>
        <w:tc>
          <w:tcPr>
            <w:tcW w:w="0" w:type="auto"/>
          </w:tcPr>
          <w:p w14:paraId="7B07093B" w14:textId="3E8EA2D4" w:rsidR="0018352B" w:rsidRPr="00401588" w:rsidRDefault="00F87C43" w:rsidP="002C415E">
            <w:pPr>
              <w:pStyle w:val="NoSpacing"/>
              <w:rPr>
                <w:sz w:val="18"/>
                <w:szCs w:val="18"/>
              </w:rPr>
            </w:pPr>
            <w:r w:rsidRPr="00401588">
              <w:rPr>
                <w:sz w:val="18"/>
                <w:szCs w:val="18"/>
              </w:rPr>
              <w:t>.750**</w:t>
            </w:r>
          </w:p>
        </w:tc>
        <w:tc>
          <w:tcPr>
            <w:tcW w:w="0" w:type="auto"/>
          </w:tcPr>
          <w:p w14:paraId="57FA21BB" w14:textId="108EDF5A" w:rsidR="0018352B" w:rsidRPr="00401588" w:rsidRDefault="00C819CF" w:rsidP="002C415E">
            <w:pPr>
              <w:pStyle w:val="NoSpacing"/>
              <w:rPr>
                <w:sz w:val="18"/>
                <w:szCs w:val="18"/>
              </w:rPr>
            </w:pPr>
            <w:r w:rsidRPr="00401588">
              <w:rPr>
                <w:sz w:val="18"/>
                <w:szCs w:val="18"/>
              </w:rPr>
              <w:t>|</w:t>
            </w:r>
          </w:p>
        </w:tc>
        <w:tc>
          <w:tcPr>
            <w:tcW w:w="0" w:type="auto"/>
          </w:tcPr>
          <w:p w14:paraId="31ECE22B" w14:textId="77777777" w:rsidR="0018352B" w:rsidRPr="00401588" w:rsidRDefault="0018352B" w:rsidP="002C415E">
            <w:pPr>
              <w:pStyle w:val="NoSpacing"/>
              <w:rPr>
                <w:sz w:val="18"/>
                <w:szCs w:val="18"/>
              </w:rPr>
            </w:pPr>
          </w:p>
        </w:tc>
        <w:tc>
          <w:tcPr>
            <w:tcW w:w="0" w:type="auto"/>
          </w:tcPr>
          <w:p w14:paraId="67AD604A" w14:textId="77777777" w:rsidR="0018352B" w:rsidRPr="00401588" w:rsidRDefault="0018352B" w:rsidP="002C415E">
            <w:pPr>
              <w:pStyle w:val="NoSpacing"/>
              <w:rPr>
                <w:sz w:val="18"/>
                <w:szCs w:val="18"/>
              </w:rPr>
            </w:pPr>
          </w:p>
        </w:tc>
        <w:tc>
          <w:tcPr>
            <w:tcW w:w="0" w:type="auto"/>
          </w:tcPr>
          <w:p w14:paraId="0153DA77" w14:textId="77777777" w:rsidR="0018352B" w:rsidRPr="00401588" w:rsidRDefault="0018352B" w:rsidP="002C415E">
            <w:pPr>
              <w:pStyle w:val="NoSpacing"/>
              <w:rPr>
                <w:sz w:val="18"/>
                <w:szCs w:val="18"/>
              </w:rPr>
            </w:pPr>
          </w:p>
        </w:tc>
        <w:tc>
          <w:tcPr>
            <w:tcW w:w="0" w:type="auto"/>
          </w:tcPr>
          <w:p w14:paraId="08F0CA12" w14:textId="77777777" w:rsidR="0018352B" w:rsidRPr="00401588" w:rsidRDefault="0018352B" w:rsidP="002C415E">
            <w:pPr>
              <w:pStyle w:val="NoSpacing"/>
              <w:rPr>
                <w:sz w:val="18"/>
                <w:szCs w:val="18"/>
              </w:rPr>
            </w:pPr>
          </w:p>
        </w:tc>
        <w:tc>
          <w:tcPr>
            <w:tcW w:w="0" w:type="auto"/>
          </w:tcPr>
          <w:p w14:paraId="1884C8EB" w14:textId="77777777" w:rsidR="0018352B" w:rsidRPr="00401588" w:rsidRDefault="0018352B" w:rsidP="002C415E">
            <w:pPr>
              <w:pStyle w:val="NoSpacing"/>
              <w:rPr>
                <w:sz w:val="18"/>
                <w:szCs w:val="18"/>
              </w:rPr>
            </w:pPr>
          </w:p>
        </w:tc>
      </w:tr>
      <w:tr w:rsidR="00116656" w:rsidRPr="00401588" w14:paraId="68C950B0" w14:textId="77777777" w:rsidTr="00401588">
        <w:tc>
          <w:tcPr>
            <w:tcW w:w="0" w:type="auto"/>
          </w:tcPr>
          <w:p w14:paraId="3651C297" w14:textId="23B3C5B6" w:rsidR="0018352B" w:rsidRPr="00401588" w:rsidRDefault="00B042B5" w:rsidP="00BC63C5">
            <w:pPr>
              <w:pStyle w:val="NoSpacing"/>
              <w:numPr>
                <w:ilvl w:val="0"/>
                <w:numId w:val="37"/>
              </w:numPr>
              <w:ind w:left="338"/>
              <w:rPr>
                <w:sz w:val="18"/>
                <w:szCs w:val="18"/>
              </w:rPr>
            </w:pPr>
            <w:r w:rsidRPr="00401588">
              <w:rPr>
                <w:sz w:val="18"/>
                <w:szCs w:val="18"/>
              </w:rPr>
              <w:t>Spirits density</w:t>
            </w:r>
          </w:p>
        </w:tc>
        <w:tc>
          <w:tcPr>
            <w:tcW w:w="0" w:type="auto"/>
          </w:tcPr>
          <w:p w14:paraId="79A2DA64" w14:textId="07CCC8E6" w:rsidR="0018352B" w:rsidRPr="00401588" w:rsidRDefault="00F87C43" w:rsidP="002C415E">
            <w:pPr>
              <w:pStyle w:val="NoSpacing"/>
              <w:rPr>
                <w:sz w:val="18"/>
                <w:szCs w:val="18"/>
              </w:rPr>
            </w:pPr>
            <w:r w:rsidRPr="00401588">
              <w:rPr>
                <w:sz w:val="18"/>
                <w:szCs w:val="18"/>
              </w:rPr>
              <w:t>.272**</w:t>
            </w:r>
          </w:p>
        </w:tc>
        <w:tc>
          <w:tcPr>
            <w:tcW w:w="0" w:type="auto"/>
          </w:tcPr>
          <w:p w14:paraId="77A12FBA" w14:textId="12978F79" w:rsidR="0018352B" w:rsidRPr="00401588" w:rsidRDefault="00F87C43" w:rsidP="002C415E">
            <w:pPr>
              <w:pStyle w:val="NoSpacing"/>
              <w:rPr>
                <w:sz w:val="18"/>
                <w:szCs w:val="18"/>
              </w:rPr>
            </w:pPr>
            <w:r w:rsidRPr="00401588">
              <w:rPr>
                <w:sz w:val="18"/>
                <w:szCs w:val="18"/>
              </w:rPr>
              <w:t>.113**</w:t>
            </w:r>
          </w:p>
        </w:tc>
        <w:tc>
          <w:tcPr>
            <w:tcW w:w="0" w:type="auto"/>
          </w:tcPr>
          <w:p w14:paraId="7DB0E715" w14:textId="72ECB163" w:rsidR="0018352B" w:rsidRPr="00401588" w:rsidRDefault="00116656" w:rsidP="002C415E">
            <w:pPr>
              <w:pStyle w:val="NoSpacing"/>
              <w:rPr>
                <w:sz w:val="18"/>
                <w:szCs w:val="18"/>
              </w:rPr>
            </w:pPr>
            <w:r w:rsidRPr="00401588">
              <w:rPr>
                <w:sz w:val="18"/>
                <w:szCs w:val="18"/>
              </w:rPr>
              <w:t>.084*</w:t>
            </w:r>
          </w:p>
        </w:tc>
        <w:tc>
          <w:tcPr>
            <w:tcW w:w="0" w:type="auto"/>
          </w:tcPr>
          <w:p w14:paraId="069DFBDB" w14:textId="1216AC73" w:rsidR="0018352B" w:rsidRPr="00401588" w:rsidRDefault="00116656" w:rsidP="002C415E">
            <w:pPr>
              <w:pStyle w:val="NoSpacing"/>
              <w:rPr>
                <w:sz w:val="18"/>
                <w:szCs w:val="18"/>
              </w:rPr>
            </w:pPr>
            <w:r w:rsidRPr="00401588">
              <w:rPr>
                <w:sz w:val="18"/>
                <w:szCs w:val="18"/>
              </w:rPr>
              <w:t>-.107*</w:t>
            </w:r>
          </w:p>
        </w:tc>
        <w:tc>
          <w:tcPr>
            <w:tcW w:w="0" w:type="auto"/>
          </w:tcPr>
          <w:p w14:paraId="75D3B155" w14:textId="7E250E0F" w:rsidR="0018352B" w:rsidRPr="00401588" w:rsidRDefault="00116656" w:rsidP="002C415E">
            <w:pPr>
              <w:pStyle w:val="NoSpacing"/>
              <w:rPr>
                <w:sz w:val="18"/>
                <w:szCs w:val="18"/>
              </w:rPr>
            </w:pPr>
            <w:r w:rsidRPr="00401588">
              <w:rPr>
                <w:sz w:val="18"/>
                <w:szCs w:val="18"/>
              </w:rPr>
              <w:t>.028</w:t>
            </w:r>
          </w:p>
        </w:tc>
        <w:tc>
          <w:tcPr>
            <w:tcW w:w="0" w:type="auto"/>
          </w:tcPr>
          <w:p w14:paraId="55471399" w14:textId="3CCB1796" w:rsidR="0018352B" w:rsidRPr="00401588" w:rsidRDefault="00116656" w:rsidP="002C415E">
            <w:pPr>
              <w:pStyle w:val="NoSpacing"/>
              <w:rPr>
                <w:sz w:val="18"/>
                <w:szCs w:val="18"/>
              </w:rPr>
            </w:pPr>
            <w:r w:rsidRPr="00401588">
              <w:rPr>
                <w:sz w:val="18"/>
                <w:szCs w:val="18"/>
              </w:rPr>
              <w:t>.150**</w:t>
            </w:r>
          </w:p>
        </w:tc>
        <w:tc>
          <w:tcPr>
            <w:tcW w:w="0" w:type="auto"/>
          </w:tcPr>
          <w:p w14:paraId="22C7A907" w14:textId="41A7F17A" w:rsidR="0018352B" w:rsidRPr="00401588" w:rsidRDefault="00116656" w:rsidP="002C415E">
            <w:pPr>
              <w:pStyle w:val="NoSpacing"/>
              <w:rPr>
                <w:sz w:val="18"/>
                <w:szCs w:val="18"/>
              </w:rPr>
            </w:pPr>
            <w:r w:rsidRPr="00401588">
              <w:rPr>
                <w:sz w:val="18"/>
                <w:szCs w:val="18"/>
              </w:rPr>
              <w:t>.028</w:t>
            </w:r>
          </w:p>
        </w:tc>
        <w:tc>
          <w:tcPr>
            <w:tcW w:w="0" w:type="auto"/>
          </w:tcPr>
          <w:p w14:paraId="60AC4037" w14:textId="7EFA0389" w:rsidR="0018352B" w:rsidRPr="00401588" w:rsidRDefault="00116656" w:rsidP="002C415E">
            <w:pPr>
              <w:pStyle w:val="NoSpacing"/>
              <w:rPr>
                <w:sz w:val="18"/>
                <w:szCs w:val="18"/>
              </w:rPr>
            </w:pPr>
            <w:r w:rsidRPr="00401588">
              <w:rPr>
                <w:sz w:val="18"/>
                <w:szCs w:val="18"/>
              </w:rPr>
              <w:t>.233**</w:t>
            </w:r>
          </w:p>
        </w:tc>
        <w:tc>
          <w:tcPr>
            <w:tcW w:w="0" w:type="auto"/>
          </w:tcPr>
          <w:p w14:paraId="4B28738B" w14:textId="7032D018" w:rsidR="0018352B" w:rsidRPr="00401588" w:rsidRDefault="00116656" w:rsidP="002C415E">
            <w:pPr>
              <w:pStyle w:val="NoSpacing"/>
              <w:rPr>
                <w:sz w:val="18"/>
                <w:szCs w:val="18"/>
              </w:rPr>
            </w:pPr>
            <w:r w:rsidRPr="00401588">
              <w:rPr>
                <w:sz w:val="18"/>
                <w:szCs w:val="18"/>
              </w:rPr>
              <w:t>.626**</w:t>
            </w:r>
          </w:p>
        </w:tc>
        <w:tc>
          <w:tcPr>
            <w:tcW w:w="0" w:type="auto"/>
          </w:tcPr>
          <w:p w14:paraId="69E5751C" w14:textId="386766B6" w:rsidR="0018352B" w:rsidRPr="00401588" w:rsidRDefault="00116656" w:rsidP="002C415E">
            <w:pPr>
              <w:pStyle w:val="NoSpacing"/>
              <w:rPr>
                <w:sz w:val="18"/>
                <w:szCs w:val="18"/>
              </w:rPr>
            </w:pPr>
            <w:r w:rsidRPr="00401588">
              <w:rPr>
                <w:sz w:val="18"/>
                <w:szCs w:val="18"/>
              </w:rPr>
              <w:t>.669**</w:t>
            </w:r>
          </w:p>
        </w:tc>
        <w:tc>
          <w:tcPr>
            <w:tcW w:w="0" w:type="auto"/>
          </w:tcPr>
          <w:p w14:paraId="22CA964E" w14:textId="6F288C40" w:rsidR="0018352B" w:rsidRPr="00401588" w:rsidRDefault="00116656" w:rsidP="002C415E">
            <w:pPr>
              <w:pStyle w:val="NoSpacing"/>
              <w:rPr>
                <w:sz w:val="18"/>
                <w:szCs w:val="18"/>
              </w:rPr>
            </w:pPr>
            <w:r w:rsidRPr="00401588">
              <w:rPr>
                <w:sz w:val="18"/>
                <w:szCs w:val="18"/>
              </w:rPr>
              <w:t>.804**</w:t>
            </w:r>
          </w:p>
        </w:tc>
        <w:tc>
          <w:tcPr>
            <w:tcW w:w="0" w:type="auto"/>
          </w:tcPr>
          <w:p w14:paraId="50F4EDB9" w14:textId="0CD633D3" w:rsidR="0018352B" w:rsidRPr="00401588" w:rsidRDefault="00C819CF" w:rsidP="002C415E">
            <w:pPr>
              <w:pStyle w:val="NoSpacing"/>
              <w:rPr>
                <w:sz w:val="18"/>
                <w:szCs w:val="18"/>
              </w:rPr>
            </w:pPr>
            <w:r w:rsidRPr="00401588">
              <w:rPr>
                <w:sz w:val="18"/>
                <w:szCs w:val="18"/>
              </w:rPr>
              <w:t>|</w:t>
            </w:r>
          </w:p>
        </w:tc>
        <w:tc>
          <w:tcPr>
            <w:tcW w:w="0" w:type="auto"/>
          </w:tcPr>
          <w:p w14:paraId="5F50C5AC" w14:textId="77777777" w:rsidR="0018352B" w:rsidRPr="00401588" w:rsidRDefault="0018352B" w:rsidP="002C415E">
            <w:pPr>
              <w:pStyle w:val="NoSpacing"/>
              <w:rPr>
                <w:sz w:val="18"/>
                <w:szCs w:val="18"/>
              </w:rPr>
            </w:pPr>
          </w:p>
        </w:tc>
        <w:tc>
          <w:tcPr>
            <w:tcW w:w="0" w:type="auto"/>
          </w:tcPr>
          <w:p w14:paraId="38BC2DCD" w14:textId="77777777" w:rsidR="0018352B" w:rsidRPr="00401588" w:rsidRDefault="0018352B" w:rsidP="002C415E">
            <w:pPr>
              <w:pStyle w:val="NoSpacing"/>
              <w:rPr>
                <w:sz w:val="18"/>
                <w:szCs w:val="18"/>
              </w:rPr>
            </w:pPr>
          </w:p>
        </w:tc>
        <w:tc>
          <w:tcPr>
            <w:tcW w:w="0" w:type="auto"/>
          </w:tcPr>
          <w:p w14:paraId="2635F4E8" w14:textId="77777777" w:rsidR="0018352B" w:rsidRPr="00401588" w:rsidRDefault="0018352B" w:rsidP="002C415E">
            <w:pPr>
              <w:pStyle w:val="NoSpacing"/>
              <w:rPr>
                <w:sz w:val="18"/>
                <w:szCs w:val="18"/>
              </w:rPr>
            </w:pPr>
          </w:p>
        </w:tc>
        <w:tc>
          <w:tcPr>
            <w:tcW w:w="0" w:type="auto"/>
          </w:tcPr>
          <w:p w14:paraId="7F011D2D" w14:textId="77777777" w:rsidR="0018352B" w:rsidRPr="00401588" w:rsidRDefault="0018352B" w:rsidP="002C415E">
            <w:pPr>
              <w:pStyle w:val="NoSpacing"/>
              <w:rPr>
                <w:sz w:val="18"/>
                <w:szCs w:val="18"/>
              </w:rPr>
            </w:pPr>
          </w:p>
        </w:tc>
      </w:tr>
      <w:tr w:rsidR="00116656" w:rsidRPr="00401588" w14:paraId="3D75F199" w14:textId="77777777" w:rsidTr="00401588">
        <w:tc>
          <w:tcPr>
            <w:tcW w:w="0" w:type="auto"/>
          </w:tcPr>
          <w:p w14:paraId="7ED0C322" w14:textId="4BE0519E" w:rsidR="0018352B" w:rsidRPr="00401588" w:rsidRDefault="00B042B5" w:rsidP="00BC63C5">
            <w:pPr>
              <w:pStyle w:val="NoSpacing"/>
              <w:numPr>
                <w:ilvl w:val="0"/>
                <w:numId w:val="37"/>
              </w:numPr>
              <w:ind w:left="338"/>
              <w:rPr>
                <w:sz w:val="18"/>
                <w:szCs w:val="18"/>
              </w:rPr>
            </w:pPr>
            <w:r w:rsidRPr="00401588">
              <w:rPr>
                <w:sz w:val="18"/>
                <w:szCs w:val="18"/>
              </w:rPr>
              <w:t>Premixed density</w:t>
            </w:r>
          </w:p>
        </w:tc>
        <w:tc>
          <w:tcPr>
            <w:tcW w:w="0" w:type="auto"/>
          </w:tcPr>
          <w:p w14:paraId="29DAE058" w14:textId="06D5008B" w:rsidR="0018352B" w:rsidRPr="00401588" w:rsidRDefault="00AD7EC2" w:rsidP="002C415E">
            <w:pPr>
              <w:pStyle w:val="NoSpacing"/>
              <w:rPr>
                <w:sz w:val="18"/>
                <w:szCs w:val="18"/>
              </w:rPr>
            </w:pPr>
            <w:r w:rsidRPr="00401588">
              <w:rPr>
                <w:sz w:val="18"/>
                <w:szCs w:val="18"/>
              </w:rPr>
              <w:t>.350**</w:t>
            </w:r>
          </w:p>
        </w:tc>
        <w:tc>
          <w:tcPr>
            <w:tcW w:w="0" w:type="auto"/>
          </w:tcPr>
          <w:p w14:paraId="4CDD6683" w14:textId="6C6F685E" w:rsidR="0018352B" w:rsidRPr="00401588" w:rsidRDefault="00AD7EC2" w:rsidP="002C415E">
            <w:pPr>
              <w:pStyle w:val="NoSpacing"/>
              <w:rPr>
                <w:sz w:val="18"/>
                <w:szCs w:val="18"/>
              </w:rPr>
            </w:pPr>
            <w:r w:rsidRPr="00401588">
              <w:rPr>
                <w:sz w:val="18"/>
                <w:szCs w:val="18"/>
              </w:rPr>
              <w:t>.140**</w:t>
            </w:r>
          </w:p>
        </w:tc>
        <w:tc>
          <w:tcPr>
            <w:tcW w:w="0" w:type="auto"/>
          </w:tcPr>
          <w:p w14:paraId="64B2818F" w14:textId="296DF40E" w:rsidR="0018352B" w:rsidRPr="00401588" w:rsidRDefault="00AD7EC2" w:rsidP="002C415E">
            <w:pPr>
              <w:pStyle w:val="NoSpacing"/>
              <w:rPr>
                <w:sz w:val="18"/>
                <w:szCs w:val="18"/>
              </w:rPr>
            </w:pPr>
            <w:r w:rsidRPr="00401588">
              <w:rPr>
                <w:sz w:val="18"/>
                <w:szCs w:val="18"/>
              </w:rPr>
              <w:t>-.047</w:t>
            </w:r>
          </w:p>
        </w:tc>
        <w:tc>
          <w:tcPr>
            <w:tcW w:w="0" w:type="auto"/>
          </w:tcPr>
          <w:p w14:paraId="2F214037" w14:textId="3FD48D00" w:rsidR="0018352B" w:rsidRPr="00401588" w:rsidRDefault="00AD7EC2" w:rsidP="002C415E">
            <w:pPr>
              <w:pStyle w:val="NoSpacing"/>
              <w:rPr>
                <w:sz w:val="18"/>
                <w:szCs w:val="18"/>
              </w:rPr>
            </w:pPr>
            <w:r w:rsidRPr="00401588">
              <w:rPr>
                <w:sz w:val="18"/>
                <w:szCs w:val="18"/>
              </w:rPr>
              <w:t>-</w:t>
            </w:r>
            <w:r w:rsidR="00833A5E" w:rsidRPr="00401588">
              <w:rPr>
                <w:sz w:val="18"/>
                <w:szCs w:val="18"/>
              </w:rPr>
              <w:t>.207**</w:t>
            </w:r>
          </w:p>
        </w:tc>
        <w:tc>
          <w:tcPr>
            <w:tcW w:w="0" w:type="auto"/>
          </w:tcPr>
          <w:p w14:paraId="29A93BB9" w14:textId="388C976C" w:rsidR="0018352B" w:rsidRPr="00401588" w:rsidRDefault="00833A5E" w:rsidP="002C415E">
            <w:pPr>
              <w:pStyle w:val="NoSpacing"/>
              <w:rPr>
                <w:sz w:val="18"/>
                <w:szCs w:val="18"/>
              </w:rPr>
            </w:pPr>
            <w:r w:rsidRPr="00401588">
              <w:rPr>
                <w:sz w:val="18"/>
                <w:szCs w:val="18"/>
              </w:rPr>
              <w:t>-.022</w:t>
            </w:r>
          </w:p>
        </w:tc>
        <w:tc>
          <w:tcPr>
            <w:tcW w:w="0" w:type="auto"/>
          </w:tcPr>
          <w:p w14:paraId="5C64F575" w14:textId="7F52FD57" w:rsidR="0018352B" w:rsidRPr="00401588" w:rsidRDefault="00833A5E" w:rsidP="002C415E">
            <w:pPr>
              <w:pStyle w:val="NoSpacing"/>
              <w:rPr>
                <w:sz w:val="18"/>
                <w:szCs w:val="18"/>
              </w:rPr>
            </w:pPr>
            <w:r w:rsidRPr="00401588">
              <w:rPr>
                <w:sz w:val="18"/>
                <w:szCs w:val="18"/>
              </w:rPr>
              <w:t>.125**</w:t>
            </w:r>
          </w:p>
        </w:tc>
        <w:tc>
          <w:tcPr>
            <w:tcW w:w="0" w:type="auto"/>
          </w:tcPr>
          <w:p w14:paraId="28296DC2" w14:textId="7113543E" w:rsidR="0018352B" w:rsidRPr="00401588" w:rsidRDefault="00833A5E" w:rsidP="002C415E">
            <w:pPr>
              <w:pStyle w:val="NoSpacing"/>
              <w:rPr>
                <w:sz w:val="18"/>
                <w:szCs w:val="18"/>
              </w:rPr>
            </w:pPr>
            <w:r w:rsidRPr="00401588">
              <w:rPr>
                <w:sz w:val="18"/>
                <w:szCs w:val="18"/>
              </w:rPr>
              <w:t>.154**</w:t>
            </w:r>
          </w:p>
        </w:tc>
        <w:tc>
          <w:tcPr>
            <w:tcW w:w="0" w:type="auto"/>
          </w:tcPr>
          <w:p w14:paraId="586486AA" w14:textId="1370D111" w:rsidR="0018352B" w:rsidRPr="00401588" w:rsidRDefault="00833A5E" w:rsidP="002C415E">
            <w:pPr>
              <w:pStyle w:val="NoSpacing"/>
              <w:rPr>
                <w:sz w:val="18"/>
                <w:szCs w:val="18"/>
              </w:rPr>
            </w:pPr>
            <w:r w:rsidRPr="00401588">
              <w:rPr>
                <w:sz w:val="18"/>
                <w:szCs w:val="18"/>
              </w:rPr>
              <w:t>.124**</w:t>
            </w:r>
          </w:p>
        </w:tc>
        <w:tc>
          <w:tcPr>
            <w:tcW w:w="0" w:type="auto"/>
          </w:tcPr>
          <w:p w14:paraId="238F03C6" w14:textId="288F4D48" w:rsidR="0018352B" w:rsidRPr="00401588" w:rsidRDefault="00833A5E" w:rsidP="002C415E">
            <w:pPr>
              <w:pStyle w:val="NoSpacing"/>
              <w:rPr>
                <w:sz w:val="18"/>
                <w:szCs w:val="18"/>
              </w:rPr>
            </w:pPr>
            <w:r w:rsidRPr="00401588">
              <w:rPr>
                <w:sz w:val="18"/>
                <w:szCs w:val="18"/>
              </w:rPr>
              <w:t>.630**</w:t>
            </w:r>
          </w:p>
        </w:tc>
        <w:tc>
          <w:tcPr>
            <w:tcW w:w="0" w:type="auto"/>
          </w:tcPr>
          <w:p w14:paraId="40907881" w14:textId="2EBA2E93" w:rsidR="0018352B" w:rsidRPr="00401588" w:rsidRDefault="00833A5E" w:rsidP="002C415E">
            <w:pPr>
              <w:pStyle w:val="NoSpacing"/>
              <w:rPr>
                <w:sz w:val="18"/>
                <w:szCs w:val="18"/>
              </w:rPr>
            </w:pPr>
            <w:r w:rsidRPr="00401588">
              <w:rPr>
                <w:sz w:val="18"/>
                <w:szCs w:val="18"/>
              </w:rPr>
              <w:t>.684**</w:t>
            </w:r>
          </w:p>
        </w:tc>
        <w:tc>
          <w:tcPr>
            <w:tcW w:w="0" w:type="auto"/>
          </w:tcPr>
          <w:p w14:paraId="016BC1D6" w14:textId="1E5C3313" w:rsidR="0018352B" w:rsidRPr="00401588" w:rsidRDefault="00833A5E" w:rsidP="002C415E">
            <w:pPr>
              <w:pStyle w:val="NoSpacing"/>
              <w:rPr>
                <w:sz w:val="18"/>
                <w:szCs w:val="18"/>
              </w:rPr>
            </w:pPr>
            <w:r w:rsidRPr="00401588">
              <w:rPr>
                <w:sz w:val="18"/>
                <w:szCs w:val="18"/>
              </w:rPr>
              <w:t>.629**</w:t>
            </w:r>
          </w:p>
        </w:tc>
        <w:tc>
          <w:tcPr>
            <w:tcW w:w="0" w:type="auto"/>
          </w:tcPr>
          <w:p w14:paraId="1DF7E179" w14:textId="704468B3" w:rsidR="0018352B" w:rsidRPr="00401588" w:rsidRDefault="00833A5E" w:rsidP="002C415E">
            <w:pPr>
              <w:pStyle w:val="NoSpacing"/>
              <w:rPr>
                <w:sz w:val="18"/>
                <w:szCs w:val="18"/>
              </w:rPr>
            </w:pPr>
            <w:r w:rsidRPr="00401588">
              <w:rPr>
                <w:sz w:val="18"/>
                <w:szCs w:val="18"/>
              </w:rPr>
              <w:t>.624**</w:t>
            </w:r>
          </w:p>
        </w:tc>
        <w:tc>
          <w:tcPr>
            <w:tcW w:w="0" w:type="auto"/>
          </w:tcPr>
          <w:p w14:paraId="4991914F" w14:textId="0E707F74" w:rsidR="0018352B" w:rsidRPr="00401588" w:rsidRDefault="00C819CF" w:rsidP="002C415E">
            <w:pPr>
              <w:pStyle w:val="NoSpacing"/>
              <w:rPr>
                <w:sz w:val="18"/>
                <w:szCs w:val="18"/>
              </w:rPr>
            </w:pPr>
            <w:r w:rsidRPr="00401588">
              <w:rPr>
                <w:sz w:val="18"/>
                <w:szCs w:val="18"/>
              </w:rPr>
              <w:t>|</w:t>
            </w:r>
          </w:p>
        </w:tc>
        <w:tc>
          <w:tcPr>
            <w:tcW w:w="0" w:type="auto"/>
          </w:tcPr>
          <w:p w14:paraId="70806B6F" w14:textId="77777777" w:rsidR="0018352B" w:rsidRPr="00401588" w:rsidRDefault="0018352B" w:rsidP="002C415E">
            <w:pPr>
              <w:pStyle w:val="NoSpacing"/>
              <w:rPr>
                <w:sz w:val="18"/>
                <w:szCs w:val="18"/>
              </w:rPr>
            </w:pPr>
          </w:p>
        </w:tc>
        <w:tc>
          <w:tcPr>
            <w:tcW w:w="0" w:type="auto"/>
          </w:tcPr>
          <w:p w14:paraId="09A680DB" w14:textId="77777777" w:rsidR="0018352B" w:rsidRPr="00401588" w:rsidRDefault="0018352B" w:rsidP="002C415E">
            <w:pPr>
              <w:pStyle w:val="NoSpacing"/>
              <w:rPr>
                <w:sz w:val="18"/>
                <w:szCs w:val="18"/>
              </w:rPr>
            </w:pPr>
          </w:p>
        </w:tc>
        <w:tc>
          <w:tcPr>
            <w:tcW w:w="0" w:type="auto"/>
          </w:tcPr>
          <w:p w14:paraId="53AA0B07" w14:textId="77777777" w:rsidR="0018352B" w:rsidRPr="00401588" w:rsidRDefault="0018352B" w:rsidP="002C415E">
            <w:pPr>
              <w:pStyle w:val="NoSpacing"/>
              <w:rPr>
                <w:sz w:val="18"/>
                <w:szCs w:val="18"/>
              </w:rPr>
            </w:pPr>
          </w:p>
        </w:tc>
      </w:tr>
      <w:tr w:rsidR="00116656" w:rsidRPr="00401588" w14:paraId="0979B7B1" w14:textId="77777777" w:rsidTr="00401588">
        <w:tc>
          <w:tcPr>
            <w:tcW w:w="0" w:type="auto"/>
          </w:tcPr>
          <w:p w14:paraId="64ECE7C6" w14:textId="11098A0C" w:rsidR="0018352B" w:rsidRPr="00401588" w:rsidRDefault="00B042B5" w:rsidP="00BC63C5">
            <w:pPr>
              <w:pStyle w:val="NoSpacing"/>
              <w:numPr>
                <w:ilvl w:val="0"/>
                <w:numId w:val="37"/>
              </w:numPr>
              <w:ind w:left="338"/>
              <w:rPr>
                <w:sz w:val="18"/>
                <w:szCs w:val="18"/>
              </w:rPr>
            </w:pPr>
            <w:r w:rsidRPr="00401588">
              <w:rPr>
                <w:sz w:val="18"/>
                <w:szCs w:val="18"/>
              </w:rPr>
              <w:t>Single beer density</w:t>
            </w:r>
          </w:p>
        </w:tc>
        <w:tc>
          <w:tcPr>
            <w:tcW w:w="0" w:type="auto"/>
          </w:tcPr>
          <w:p w14:paraId="6F847CE8" w14:textId="7FE29055" w:rsidR="0018352B" w:rsidRPr="00401588" w:rsidRDefault="00833A5E" w:rsidP="002C415E">
            <w:pPr>
              <w:pStyle w:val="NoSpacing"/>
              <w:rPr>
                <w:sz w:val="18"/>
                <w:szCs w:val="18"/>
              </w:rPr>
            </w:pPr>
            <w:r w:rsidRPr="00401588">
              <w:rPr>
                <w:sz w:val="18"/>
                <w:szCs w:val="18"/>
              </w:rPr>
              <w:t>.381**</w:t>
            </w:r>
          </w:p>
        </w:tc>
        <w:tc>
          <w:tcPr>
            <w:tcW w:w="0" w:type="auto"/>
          </w:tcPr>
          <w:p w14:paraId="48B8B24A" w14:textId="02A62484" w:rsidR="0018352B" w:rsidRPr="00401588" w:rsidRDefault="00833A5E" w:rsidP="002C415E">
            <w:pPr>
              <w:pStyle w:val="NoSpacing"/>
              <w:rPr>
                <w:sz w:val="18"/>
                <w:szCs w:val="18"/>
              </w:rPr>
            </w:pPr>
            <w:r w:rsidRPr="00401588">
              <w:rPr>
                <w:sz w:val="18"/>
                <w:szCs w:val="18"/>
              </w:rPr>
              <w:t>.215**</w:t>
            </w:r>
          </w:p>
        </w:tc>
        <w:tc>
          <w:tcPr>
            <w:tcW w:w="0" w:type="auto"/>
          </w:tcPr>
          <w:p w14:paraId="709C8AD6" w14:textId="1877A232" w:rsidR="0018352B" w:rsidRPr="00401588" w:rsidRDefault="00833A5E" w:rsidP="002C415E">
            <w:pPr>
              <w:pStyle w:val="NoSpacing"/>
              <w:rPr>
                <w:sz w:val="18"/>
                <w:szCs w:val="18"/>
              </w:rPr>
            </w:pPr>
            <w:r w:rsidRPr="00401588">
              <w:rPr>
                <w:sz w:val="18"/>
                <w:szCs w:val="18"/>
              </w:rPr>
              <w:t>.145**</w:t>
            </w:r>
          </w:p>
        </w:tc>
        <w:tc>
          <w:tcPr>
            <w:tcW w:w="0" w:type="auto"/>
          </w:tcPr>
          <w:p w14:paraId="4087184C" w14:textId="5FB89F64" w:rsidR="0018352B" w:rsidRPr="00401588" w:rsidRDefault="00833A5E" w:rsidP="002C415E">
            <w:pPr>
              <w:pStyle w:val="NoSpacing"/>
              <w:rPr>
                <w:sz w:val="18"/>
                <w:szCs w:val="18"/>
              </w:rPr>
            </w:pPr>
            <w:r w:rsidRPr="00401588">
              <w:rPr>
                <w:sz w:val="18"/>
                <w:szCs w:val="18"/>
              </w:rPr>
              <w:t>-.172**</w:t>
            </w:r>
          </w:p>
        </w:tc>
        <w:tc>
          <w:tcPr>
            <w:tcW w:w="0" w:type="auto"/>
          </w:tcPr>
          <w:p w14:paraId="19BBEC76" w14:textId="03A6FB9C" w:rsidR="0018352B" w:rsidRPr="00401588" w:rsidRDefault="008E2259" w:rsidP="002C415E">
            <w:pPr>
              <w:pStyle w:val="NoSpacing"/>
              <w:rPr>
                <w:sz w:val="18"/>
                <w:szCs w:val="18"/>
              </w:rPr>
            </w:pPr>
            <w:r w:rsidRPr="00401588">
              <w:rPr>
                <w:sz w:val="18"/>
                <w:szCs w:val="18"/>
              </w:rPr>
              <w:t>.034</w:t>
            </w:r>
          </w:p>
        </w:tc>
        <w:tc>
          <w:tcPr>
            <w:tcW w:w="0" w:type="auto"/>
          </w:tcPr>
          <w:p w14:paraId="596B1DF8" w14:textId="51379BE6" w:rsidR="0018352B" w:rsidRPr="00401588" w:rsidRDefault="008E2259" w:rsidP="002C415E">
            <w:pPr>
              <w:pStyle w:val="NoSpacing"/>
              <w:rPr>
                <w:sz w:val="18"/>
                <w:szCs w:val="18"/>
              </w:rPr>
            </w:pPr>
            <w:r w:rsidRPr="00401588">
              <w:rPr>
                <w:sz w:val="18"/>
                <w:szCs w:val="18"/>
              </w:rPr>
              <w:t>.263**</w:t>
            </w:r>
          </w:p>
        </w:tc>
        <w:tc>
          <w:tcPr>
            <w:tcW w:w="0" w:type="auto"/>
          </w:tcPr>
          <w:p w14:paraId="7D698849" w14:textId="2DBAE71D" w:rsidR="0018352B" w:rsidRPr="00401588" w:rsidRDefault="008E2259" w:rsidP="002C415E">
            <w:pPr>
              <w:pStyle w:val="NoSpacing"/>
              <w:rPr>
                <w:sz w:val="18"/>
                <w:szCs w:val="18"/>
              </w:rPr>
            </w:pPr>
            <w:r w:rsidRPr="00401588">
              <w:rPr>
                <w:sz w:val="18"/>
                <w:szCs w:val="18"/>
              </w:rPr>
              <w:t>.088*</w:t>
            </w:r>
          </w:p>
        </w:tc>
        <w:tc>
          <w:tcPr>
            <w:tcW w:w="0" w:type="auto"/>
          </w:tcPr>
          <w:p w14:paraId="549E4683" w14:textId="3ED4B471" w:rsidR="0018352B" w:rsidRPr="00401588" w:rsidRDefault="008E2259" w:rsidP="002C415E">
            <w:pPr>
              <w:pStyle w:val="NoSpacing"/>
              <w:rPr>
                <w:sz w:val="18"/>
                <w:szCs w:val="18"/>
              </w:rPr>
            </w:pPr>
            <w:r w:rsidRPr="00401588">
              <w:rPr>
                <w:sz w:val="18"/>
                <w:szCs w:val="18"/>
              </w:rPr>
              <w:t>.135**</w:t>
            </w:r>
          </w:p>
        </w:tc>
        <w:tc>
          <w:tcPr>
            <w:tcW w:w="0" w:type="auto"/>
          </w:tcPr>
          <w:p w14:paraId="5704024E" w14:textId="270552B1" w:rsidR="0018352B" w:rsidRPr="00401588" w:rsidRDefault="008E2259" w:rsidP="002C415E">
            <w:pPr>
              <w:pStyle w:val="NoSpacing"/>
              <w:rPr>
                <w:sz w:val="18"/>
                <w:szCs w:val="18"/>
              </w:rPr>
            </w:pPr>
            <w:r w:rsidRPr="00401588">
              <w:rPr>
                <w:sz w:val="18"/>
                <w:szCs w:val="18"/>
              </w:rPr>
              <w:t>.924**</w:t>
            </w:r>
          </w:p>
        </w:tc>
        <w:tc>
          <w:tcPr>
            <w:tcW w:w="0" w:type="auto"/>
          </w:tcPr>
          <w:p w14:paraId="4FD947B2" w14:textId="14AE0177" w:rsidR="0018352B" w:rsidRPr="00401588" w:rsidRDefault="008E2259" w:rsidP="002C415E">
            <w:pPr>
              <w:pStyle w:val="NoSpacing"/>
              <w:rPr>
                <w:sz w:val="18"/>
                <w:szCs w:val="18"/>
              </w:rPr>
            </w:pPr>
            <w:r w:rsidRPr="00401588">
              <w:rPr>
                <w:sz w:val="18"/>
                <w:szCs w:val="18"/>
              </w:rPr>
              <w:t>.972**</w:t>
            </w:r>
          </w:p>
        </w:tc>
        <w:tc>
          <w:tcPr>
            <w:tcW w:w="0" w:type="auto"/>
          </w:tcPr>
          <w:p w14:paraId="5DA05DF1" w14:textId="47300FE1" w:rsidR="0018352B" w:rsidRPr="00401588" w:rsidRDefault="008E2259" w:rsidP="002C415E">
            <w:pPr>
              <w:pStyle w:val="NoSpacing"/>
              <w:rPr>
                <w:sz w:val="18"/>
                <w:szCs w:val="18"/>
              </w:rPr>
            </w:pPr>
            <w:r w:rsidRPr="00401588">
              <w:rPr>
                <w:sz w:val="18"/>
                <w:szCs w:val="18"/>
              </w:rPr>
              <w:t>.738**</w:t>
            </w:r>
          </w:p>
        </w:tc>
        <w:tc>
          <w:tcPr>
            <w:tcW w:w="0" w:type="auto"/>
          </w:tcPr>
          <w:p w14:paraId="6C40BE11" w14:textId="77971A69" w:rsidR="0018352B" w:rsidRPr="00401588" w:rsidRDefault="008E2259" w:rsidP="002C415E">
            <w:pPr>
              <w:pStyle w:val="NoSpacing"/>
              <w:rPr>
                <w:sz w:val="18"/>
                <w:szCs w:val="18"/>
              </w:rPr>
            </w:pPr>
            <w:r w:rsidRPr="00401588">
              <w:rPr>
                <w:sz w:val="18"/>
                <w:szCs w:val="18"/>
              </w:rPr>
              <w:t>.615**</w:t>
            </w:r>
          </w:p>
        </w:tc>
        <w:tc>
          <w:tcPr>
            <w:tcW w:w="0" w:type="auto"/>
          </w:tcPr>
          <w:p w14:paraId="0AC87203" w14:textId="3B015D31" w:rsidR="0018352B" w:rsidRPr="00401588" w:rsidRDefault="008E2259" w:rsidP="002C415E">
            <w:pPr>
              <w:pStyle w:val="NoSpacing"/>
              <w:rPr>
                <w:sz w:val="18"/>
                <w:szCs w:val="18"/>
              </w:rPr>
            </w:pPr>
            <w:r w:rsidRPr="00401588">
              <w:rPr>
                <w:sz w:val="18"/>
                <w:szCs w:val="18"/>
              </w:rPr>
              <w:t>.706**</w:t>
            </w:r>
          </w:p>
        </w:tc>
        <w:tc>
          <w:tcPr>
            <w:tcW w:w="0" w:type="auto"/>
          </w:tcPr>
          <w:p w14:paraId="46CA9CDB" w14:textId="44D0844E" w:rsidR="0018352B" w:rsidRPr="00401588" w:rsidRDefault="00C819CF" w:rsidP="002C415E">
            <w:pPr>
              <w:pStyle w:val="NoSpacing"/>
              <w:rPr>
                <w:sz w:val="18"/>
                <w:szCs w:val="18"/>
              </w:rPr>
            </w:pPr>
            <w:r w:rsidRPr="00401588">
              <w:rPr>
                <w:sz w:val="18"/>
                <w:szCs w:val="18"/>
              </w:rPr>
              <w:t>|</w:t>
            </w:r>
          </w:p>
        </w:tc>
        <w:tc>
          <w:tcPr>
            <w:tcW w:w="0" w:type="auto"/>
          </w:tcPr>
          <w:p w14:paraId="65F04723" w14:textId="77777777" w:rsidR="0018352B" w:rsidRPr="00401588" w:rsidRDefault="0018352B" w:rsidP="002C415E">
            <w:pPr>
              <w:pStyle w:val="NoSpacing"/>
              <w:rPr>
                <w:sz w:val="18"/>
                <w:szCs w:val="18"/>
              </w:rPr>
            </w:pPr>
          </w:p>
        </w:tc>
        <w:tc>
          <w:tcPr>
            <w:tcW w:w="0" w:type="auto"/>
          </w:tcPr>
          <w:p w14:paraId="4DE5F1CA" w14:textId="77777777" w:rsidR="0018352B" w:rsidRPr="00401588" w:rsidRDefault="0018352B" w:rsidP="002C415E">
            <w:pPr>
              <w:pStyle w:val="NoSpacing"/>
              <w:rPr>
                <w:sz w:val="18"/>
                <w:szCs w:val="18"/>
              </w:rPr>
            </w:pPr>
          </w:p>
        </w:tc>
      </w:tr>
      <w:tr w:rsidR="00116656" w:rsidRPr="00401588" w14:paraId="50EE3674" w14:textId="77777777" w:rsidTr="00401588">
        <w:tc>
          <w:tcPr>
            <w:tcW w:w="0" w:type="auto"/>
          </w:tcPr>
          <w:p w14:paraId="10FC67F3" w14:textId="579F4E37" w:rsidR="00B042B5" w:rsidRPr="00401588" w:rsidRDefault="00B042B5" w:rsidP="00BC63C5">
            <w:pPr>
              <w:pStyle w:val="NoSpacing"/>
              <w:numPr>
                <w:ilvl w:val="0"/>
                <w:numId w:val="37"/>
              </w:numPr>
              <w:ind w:left="338"/>
              <w:rPr>
                <w:sz w:val="18"/>
                <w:szCs w:val="18"/>
              </w:rPr>
            </w:pPr>
            <w:r w:rsidRPr="00401588">
              <w:rPr>
                <w:sz w:val="18"/>
                <w:szCs w:val="18"/>
              </w:rPr>
              <w:t>Single spirits density</w:t>
            </w:r>
          </w:p>
        </w:tc>
        <w:tc>
          <w:tcPr>
            <w:tcW w:w="0" w:type="auto"/>
          </w:tcPr>
          <w:p w14:paraId="3E2C8B87" w14:textId="10D1EA09" w:rsidR="00B042B5" w:rsidRPr="00401588" w:rsidRDefault="000E0FC0" w:rsidP="002C415E">
            <w:pPr>
              <w:pStyle w:val="NoSpacing"/>
              <w:rPr>
                <w:sz w:val="18"/>
                <w:szCs w:val="18"/>
              </w:rPr>
            </w:pPr>
            <w:r w:rsidRPr="00401588">
              <w:rPr>
                <w:sz w:val="18"/>
                <w:szCs w:val="18"/>
              </w:rPr>
              <w:t>.254**</w:t>
            </w:r>
          </w:p>
        </w:tc>
        <w:tc>
          <w:tcPr>
            <w:tcW w:w="0" w:type="auto"/>
          </w:tcPr>
          <w:p w14:paraId="4DF18100" w14:textId="5806E8D7" w:rsidR="00B042B5" w:rsidRPr="00401588" w:rsidRDefault="000E0FC0" w:rsidP="002C415E">
            <w:pPr>
              <w:pStyle w:val="NoSpacing"/>
              <w:rPr>
                <w:sz w:val="18"/>
                <w:szCs w:val="18"/>
              </w:rPr>
            </w:pPr>
            <w:r w:rsidRPr="00401588">
              <w:rPr>
                <w:sz w:val="18"/>
                <w:szCs w:val="18"/>
              </w:rPr>
              <w:t>.142**</w:t>
            </w:r>
          </w:p>
        </w:tc>
        <w:tc>
          <w:tcPr>
            <w:tcW w:w="0" w:type="auto"/>
          </w:tcPr>
          <w:p w14:paraId="44EEB75D" w14:textId="5420FC80" w:rsidR="00B042B5" w:rsidRPr="00401588" w:rsidRDefault="000E0FC0" w:rsidP="002C415E">
            <w:pPr>
              <w:pStyle w:val="NoSpacing"/>
              <w:rPr>
                <w:sz w:val="18"/>
                <w:szCs w:val="18"/>
              </w:rPr>
            </w:pPr>
            <w:r w:rsidRPr="00401588">
              <w:rPr>
                <w:sz w:val="18"/>
                <w:szCs w:val="18"/>
              </w:rPr>
              <w:t>.062</w:t>
            </w:r>
          </w:p>
        </w:tc>
        <w:tc>
          <w:tcPr>
            <w:tcW w:w="0" w:type="auto"/>
          </w:tcPr>
          <w:p w14:paraId="14FD46E0" w14:textId="116530A0" w:rsidR="00B042B5" w:rsidRPr="00401588" w:rsidRDefault="000E0FC0" w:rsidP="002C415E">
            <w:pPr>
              <w:pStyle w:val="NoSpacing"/>
              <w:rPr>
                <w:sz w:val="18"/>
                <w:szCs w:val="18"/>
              </w:rPr>
            </w:pPr>
            <w:r w:rsidRPr="00401588">
              <w:rPr>
                <w:sz w:val="18"/>
                <w:szCs w:val="18"/>
              </w:rPr>
              <w:t>-.095*</w:t>
            </w:r>
          </w:p>
        </w:tc>
        <w:tc>
          <w:tcPr>
            <w:tcW w:w="0" w:type="auto"/>
          </w:tcPr>
          <w:p w14:paraId="5394BBEB" w14:textId="09DA8C2F" w:rsidR="00B042B5" w:rsidRPr="00401588" w:rsidRDefault="000E0FC0" w:rsidP="002C415E">
            <w:pPr>
              <w:pStyle w:val="NoSpacing"/>
              <w:rPr>
                <w:sz w:val="18"/>
                <w:szCs w:val="18"/>
              </w:rPr>
            </w:pPr>
            <w:r w:rsidRPr="00401588">
              <w:rPr>
                <w:sz w:val="18"/>
                <w:szCs w:val="18"/>
              </w:rPr>
              <w:t>.015</w:t>
            </w:r>
          </w:p>
        </w:tc>
        <w:tc>
          <w:tcPr>
            <w:tcW w:w="0" w:type="auto"/>
          </w:tcPr>
          <w:p w14:paraId="0BF9F739" w14:textId="1851442A" w:rsidR="00B042B5" w:rsidRPr="00401588" w:rsidRDefault="000E0FC0" w:rsidP="002C415E">
            <w:pPr>
              <w:pStyle w:val="NoSpacing"/>
              <w:rPr>
                <w:sz w:val="18"/>
                <w:szCs w:val="18"/>
              </w:rPr>
            </w:pPr>
            <w:r w:rsidRPr="00401588">
              <w:rPr>
                <w:sz w:val="18"/>
                <w:szCs w:val="18"/>
              </w:rPr>
              <w:t>.083*</w:t>
            </w:r>
          </w:p>
        </w:tc>
        <w:tc>
          <w:tcPr>
            <w:tcW w:w="0" w:type="auto"/>
          </w:tcPr>
          <w:p w14:paraId="0F8DF8D0" w14:textId="503231B6" w:rsidR="00B042B5" w:rsidRPr="00401588" w:rsidRDefault="000E0FC0" w:rsidP="002C415E">
            <w:pPr>
              <w:pStyle w:val="NoSpacing"/>
              <w:rPr>
                <w:sz w:val="18"/>
                <w:szCs w:val="18"/>
              </w:rPr>
            </w:pPr>
            <w:r w:rsidRPr="00401588">
              <w:rPr>
                <w:sz w:val="18"/>
                <w:szCs w:val="18"/>
              </w:rPr>
              <w:t>.074</w:t>
            </w:r>
          </w:p>
        </w:tc>
        <w:tc>
          <w:tcPr>
            <w:tcW w:w="0" w:type="auto"/>
          </w:tcPr>
          <w:p w14:paraId="548EF264" w14:textId="03A23C0B" w:rsidR="00B042B5" w:rsidRPr="00401588" w:rsidRDefault="000E0FC0" w:rsidP="002C415E">
            <w:pPr>
              <w:pStyle w:val="NoSpacing"/>
              <w:rPr>
                <w:sz w:val="18"/>
                <w:szCs w:val="18"/>
              </w:rPr>
            </w:pPr>
            <w:r w:rsidRPr="00401588">
              <w:rPr>
                <w:sz w:val="18"/>
                <w:szCs w:val="18"/>
              </w:rPr>
              <w:t>.094*</w:t>
            </w:r>
          </w:p>
        </w:tc>
        <w:tc>
          <w:tcPr>
            <w:tcW w:w="0" w:type="auto"/>
          </w:tcPr>
          <w:p w14:paraId="0AF5D454" w14:textId="572CC583" w:rsidR="00B042B5" w:rsidRPr="00401588" w:rsidRDefault="000E0FC0" w:rsidP="002C415E">
            <w:pPr>
              <w:pStyle w:val="NoSpacing"/>
              <w:rPr>
                <w:sz w:val="18"/>
                <w:szCs w:val="18"/>
              </w:rPr>
            </w:pPr>
            <w:r w:rsidRPr="00401588">
              <w:rPr>
                <w:sz w:val="18"/>
                <w:szCs w:val="18"/>
              </w:rPr>
              <w:t>.600**</w:t>
            </w:r>
          </w:p>
        </w:tc>
        <w:tc>
          <w:tcPr>
            <w:tcW w:w="0" w:type="auto"/>
          </w:tcPr>
          <w:p w14:paraId="13DF4082" w14:textId="48B318B5" w:rsidR="00B042B5" w:rsidRPr="00401588" w:rsidRDefault="000E0FC0" w:rsidP="002C415E">
            <w:pPr>
              <w:pStyle w:val="NoSpacing"/>
              <w:rPr>
                <w:sz w:val="18"/>
                <w:szCs w:val="18"/>
              </w:rPr>
            </w:pPr>
            <w:r w:rsidRPr="00401588">
              <w:rPr>
                <w:sz w:val="18"/>
                <w:szCs w:val="18"/>
              </w:rPr>
              <w:t>.640**</w:t>
            </w:r>
          </w:p>
        </w:tc>
        <w:tc>
          <w:tcPr>
            <w:tcW w:w="0" w:type="auto"/>
          </w:tcPr>
          <w:p w14:paraId="76BA7239" w14:textId="2C3EB11C" w:rsidR="00B042B5" w:rsidRPr="00401588" w:rsidRDefault="000E0FC0" w:rsidP="002C415E">
            <w:pPr>
              <w:pStyle w:val="NoSpacing"/>
              <w:rPr>
                <w:sz w:val="18"/>
                <w:szCs w:val="18"/>
              </w:rPr>
            </w:pPr>
            <w:r w:rsidRPr="00401588">
              <w:rPr>
                <w:sz w:val="18"/>
                <w:szCs w:val="18"/>
              </w:rPr>
              <w:t>.831**</w:t>
            </w:r>
          </w:p>
        </w:tc>
        <w:tc>
          <w:tcPr>
            <w:tcW w:w="0" w:type="auto"/>
          </w:tcPr>
          <w:p w14:paraId="69BCDAFB" w14:textId="65006809" w:rsidR="00B042B5" w:rsidRPr="00401588" w:rsidRDefault="000E0FC0" w:rsidP="002C415E">
            <w:pPr>
              <w:pStyle w:val="NoSpacing"/>
              <w:rPr>
                <w:sz w:val="18"/>
                <w:szCs w:val="18"/>
              </w:rPr>
            </w:pPr>
            <w:r w:rsidRPr="00401588">
              <w:rPr>
                <w:sz w:val="18"/>
                <w:szCs w:val="18"/>
              </w:rPr>
              <w:t>.904**</w:t>
            </w:r>
          </w:p>
        </w:tc>
        <w:tc>
          <w:tcPr>
            <w:tcW w:w="0" w:type="auto"/>
          </w:tcPr>
          <w:p w14:paraId="0D29CD24" w14:textId="3339A6BC" w:rsidR="00B042B5" w:rsidRPr="00401588" w:rsidRDefault="000E0FC0" w:rsidP="002C415E">
            <w:pPr>
              <w:pStyle w:val="NoSpacing"/>
              <w:rPr>
                <w:sz w:val="18"/>
                <w:szCs w:val="18"/>
              </w:rPr>
            </w:pPr>
            <w:r w:rsidRPr="00401588">
              <w:rPr>
                <w:sz w:val="18"/>
                <w:szCs w:val="18"/>
              </w:rPr>
              <w:t>.674**</w:t>
            </w:r>
          </w:p>
        </w:tc>
        <w:tc>
          <w:tcPr>
            <w:tcW w:w="0" w:type="auto"/>
          </w:tcPr>
          <w:p w14:paraId="17AF9E85" w14:textId="6C0DBEEC" w:rsidR="00B042B5" w:rsidRPr="00401588" w:rsidRDefault="000E0FC0" w:rsidP="002C415E">
            <w:pPr>
              <w:pStyle w:val="NoSpacing"/>
              <w:rPr>
                <w:sz w:val="18"/>
                <w:szCs w:val="18"/>
              </w:rPr>
            </w:pPr>
            <w:r w:rsidRPr="00401588">
              <w:rPr>
                <w:sz w:val="18"/>
                <w:szCs w:val="18"/>
              </w:rPr>
              <w:t>.667**</w:t>
            </w:r>
          </w:p>
        </w:tc>
        <w:tc>
          <w:tcPr>
            <w:tcW w:w="0" w:type="auto"/>
          </w:tcPr>
          <w:p w14:paraId="47610FE2" w14:textId="18A67483" w:rsidR="00B042B5" w:rsidRPr="00401588" w:rsidRDefault="00C819CF" w:rsidP="002C415E">
            <w:pPr>
              <w:pStyle w:val="NoSpacing"/>
              <w:rPr>
                <w:sz w:val="18"/>
                <w:szCs w:val="18"/>
              </w:rPr>
            </w:pPr>
            <w:r w:rsidRPr="00401588">
              <w:rPr>
                <w:sz w:val="18"/>
                <w:szCs w:val="18"/>
              </w:rPr>
              <w:t>|</w:t>
            </w:r>
          </w:p>
        </w:tc>
        <w:tc>
          <w:tcPr>
            <w:tcW w:w="0" w:type="auto"/>
          </w:tcPr>
          <w:p w14:paraId="71AB3A73" w14:textId="77777777" w:rsidR="00B042B5" w:rsidRPr="00401588" w:rsidRDefault="00B042B5" w:rsidP="002C415E">
            <w:pPr>
              <w:pStyle w:val="NoSpacing"/>
              <w:rPr>
                <w:sz w:val="18"/>
                <w:szCs w:val="18"/>
              </w:rPr>
            </w:pPr>
          </w:p>
        </w:tc>
      </w:tr>
      <w:tr w:rsidR="00116656" w:rsidRPr="00401588" w14:paraId="3DE1A9B1" w14:textId="77777777" w:rsidTr="00401588">
        <w:trPr>
          <w:trHeight w:val="224"/>
        </w:trPr>
        <w:tc>
          <w:tcPr>
            <w:tcW w:w="0" w:type="auto"/>
          </w:tcPr>
          <w:p w14:paraId="4D05BDDA" w14:textId="040A5EE8" w:rsidR="00B042B5" w:rsidRPr="00401588" w:rsidRDefault="00BC63C5" w:rsidP="00BC63C5">
            <w:pPr>
              <w:pStyle w:val="NoSpacing"/>
              <w:numPr>
                <w:ilvl w:val="0"/>
                <w:numId w:val="37"/>
              </w:numPr>
              <w:ind w:left="338"/>
              <w:rPr>
                <w:sz w:val="18"/>
                <w:szCs w:val="18"/>
              </w:rPr>
            </w:pPr>
            <w:r w:rsidRPr="00401588">
              <w:rPr>
                <w:sz w:val="18"/>
                <w:szCs w:val="18"/>
              </w:rPr>
              <w:t>Single premixed density</w:t>
            </w:r>
          </w:p>
        </w:tc>
        <w:tc>
          <w:tcPr>
            <w:tcW w:w="0" w:type="auto"/>
          </w:tcPr>
          <w:p w14:paraId="70513D78" w14:textId="7618CC04" w:rsidR="00B042B5" w:rsidRPr="00401588" w:rsidRDefault="000E0FC0" w:rsidP="002C415E">
            <w:pPr>
              <w:pStyle w:val="NoSpacing"/>
              <w:rPr>
                <w:sz w:val="18"/>
                <w:szCs w:val="18"/>
              </w:rPr>
            </w:pPr>
            <w:r w:rsidRPr="00401588">
              <w:rPr>
                <w:sz w:val="18"/>
                <w:szCs w:val="18"/>
              </w:rPr>
              <w:t>.326**</w:t>
            </w:r>
          </w:p>
        </w:tc>
        <w:tc>
          <w:tcPr>
            <w:tcW w:w="0" w:type="auto"/>
          </w:tcPr>
          <w:p w14:paraId="77B0064C" w14:textId="76A705B2" w:rsidR="00B042B5" w:rsidRPr="00401588" w:rsidRDefault="000E0FC0" w:rsidP="002C415E">
            <w:pPr>
              <w:pStyle w:val="NoSpacing"/>
              <w:rPr>
                <w:sz w:val="18"/>
                <w:szCs w:val="18"/>
              </w:rPr>
            </w:pPr>
            <w:r w:rsidRPr="00401588">
              <w:rPr>
                <w:sz w:val="18"/>
                <w:szCs w:val="18"/>
              </w:rPr>
              <w:t>.131**</w:t>
            </w:r>
          </w:p>
        </w:tc>
        <w:tc>
          <w:tcPr>
            <w:tcW w:w="0" w:type="auto"/>
          </w:tcPr>
          <w:p w14:paraId="36EE8C6B" w14:textId="06EE7736" w:rsidR="00B042B5" w:rsidRPr="00401588" w:rsidRDefault="000E0FC0" w:rsidP="002C415E">
            <w:pPr>
              <w:pStyle w:val="NoSpacing"/>
              <w:rPr>
                <w:sz w:val="18"/>
                <w:szCs w:val="18"/>
              </w:rPr>
            </w:pPr>
            <w:r w:rsidRPr="00401588">
              <w:rPr>
                <w:sz w:val="18"/>
                <w:szCs w:val="18"/>
              </w:rPr>
              <w:t>-.057</w:t>
            </w:r>
          </w:p>
        </w:tc>
        <w:tc>
          <w:tcPr>
            <w:tcW w:w="0" w:type="auto"/>
          </w:tcPr>
          <w:p w14:paraId="788DB39E" w14:textId="633063E2" w:rsidR="00B042B5" w:rsidRPr="00401588" w:rsidRDefault="0033428B" w:rsidP="002C415E">
            <w:pPr>
              <w:pStyle w:val="NoSpacing"/>
              <w:rPr>
                <w:sz w:val="18"/>
                <w:szCs w:val="18"/>
              </w:rPr>
            </w:pPr>
            <w:r w:rsidRPr="00401588">
              <w:rPr>
                <w:sz w:val="18"/>
                <w:szCs w:val="18"/>
              </w:rPr>
              <w:t>-.200**</w:t>
            </w:r>
          </w:p>
        </w:tc>
        <w:tc>
          <w:tcPr>
            <w:tcW w:w="0" w:type="auto"/>
          </w:tcPr>
          <w:p w14:paraId="6F30B0ED" w14:textId="7C6F28A7" w:rsidR="00B042B5" w:rsidRPr="00401588" w:rsidRDefault="0033428B" w:rsidP="002C415E">
            <w:pPr>
              <w:pStyle w:val="NoSpacing"/>
              <w:rPr>
                <w:sz w:val="18"/>
                <w:szCs w:val="18"/>
              </w:rPr>
            </w:pPr>
            <w:r w:rsidRPr="00401588">
              <w:rPr>
                <w:sz w:val="18"/>
                <w:szCs w:val="18"/>
              </w:rPr>
              <w:t>-.028</w:t>
            </w:r>
          </w:p>
        </w:tc>
        <w:tc>
          <w:tcPr>
            <w:tcW w:w="0" w:type="auto"/>
          </w:tcPr>
          <w:p w14:paraId="3A00701B" w14:textId="5976751C" w:rsidR="00B042B5" w:rsidRPr="00401588" w:rsidRDefault="0033428B" w:rsidP="002C415E">
            <w:pPr>
              <w:pStyle w:val="NoSpacing"/>
              <w:rPr>
                <w:sz w:val="18"/>
                <w:szCs w:val="18"/>
              </w:rPr>
            </w:pPr>
            <w:r w:rsidRPr="00401588">
              <w:rPr>
                <w:sz w:val="18"/>
                <w:szCs w:val="18"/>
              </w:rPr>
              <w:t>.122**</w:t>
            </w:r>
          </w:p>
        </w:tc>
        <w:tc>
          <w:tcPr>
            <w:tcW w:w="0" w:type="auto"/>
          </w:tcPr>
          <w:p w14:paraId="3DD986F6" w14:textId="1DAEE9F4" w:rsidR="00B042B5" w:rsidRPr="00401588" w:rsidRDefault="0033428B" w:rsidP="002C415E">
            <w:pPr>
              <w:pStyle w:val="NoSpacing"/>
              <w:rPr>
                <w:sz w:val="18"/>
                <w:szCs w:val="18"/>
              </w:rPr>
            </w:pPr>
            <w:r w:rsidRPr="00401588">
              <w:rPr>
                <w:sz w:val="18"/>
                <w:szCs w:val="18"/>
              </w:rPr>
              <w:t>.166**</w:t>
            </w:r>
          </w:p>
        </w:tc>
        <w:tc>
          <w:tcPr>
            <w:tcW w:w="0" w:type="auto"/>
          </w:tcPr>
          <w:p w14:paraId="5D1B6C53" w14:textId="7B087AD5" w:rsidR="00B042B5" w:rsidRPr="00401588" w:rsidRDefault="0033428B" w:rsidP="002C415E">
            <w:pPr>
              <w:pStyle w:val="NoSpacing"/>
              <w:rPr>
                <w:sz w:val="18"/>
                <w:szCs w:val="18"/>
              </w:rPr>
            </w:pPr>
            <w:r w:rsidRPr="00401588">
              <w:rPr>
                <w:sz w:val="18"/>
                <w:szCs w:val="18"/>
              </w:rPr>
              <w:t>.116**</w:t>
            </w:r>
          </w:p>
        </w:tc>
        <w:tc>
          <w:tcPr>
            <w:tcW w:w="0" w:type="auto"/>
          </w:tcPr>
          <w:p w14:paraId="001787A5" w14:textId="627AB317" w:rsidR="00B042B5" w:rsidRPr="00401588" w:rsidRDefault="0033428B" w:rsidP="002C415E">
            <w:pPr>
              <w:pStyle w:val="NoSpacing"/>
              <w:rPr>
                <w:sz w:val="18"/>
                <w:szCs w:val="18"/>
              </w:rPr>
            </w:pPr>
            <w:r w:rsidRPr="00401588">
              <w:rPr>
                <w:sz w:val="18"/>
                <w:szCs w:val="18"/>
              </w:rPr>
              <w:t>.567**</w:t>
            </w:r>
          </w:p>
        </w:tc>
        <w:tc>
          <w:tcPr>
            <w:tcW w:w="0" w:type="auto"/>
          </w:tcPr>
          <w:p w14:paraId="21BB701A" w14:textId="5371345E" w:rsidR="00B042B5" w:rsidRPr="00401588" w:rsidRDefault="0033428B" w:rsidP="002C415E">
            <w:pPr>
              <w:pStyle w:val="NoSpacing"/>
              <w:rPr>
                <w:sz w:val="18"/>
                <w:szCs w:val="18"/>
              </w:rPr>
            </w:pPr>
            <w:r w:rsidRPr="00401588">
              <w:rPr>
                <w:sz w:val="18"/>
                <w:szCs w:val="18"/>
              </w:rPr>
              <w:t>.631**</w:t>
            </w:r>
          </w:p>
        </w:tc>
        <w:tc>
          <w:tcPr>
            <w:tcW w:w="0" w:type="auto"/>
          </w:tcPr>
          <w:p w14:paraId="2EC860E7" w14:textId="64EDE76F" w:rsidR="00B042B5" w:rsidRPr="00401588" w:rsidRDefault="0033428B" w:rsidP="002C415E">
            <w:pPr>
              <w:pStyle w:val="NoSpacing"/>
              <w:rPr>
                <w:sz w:val="18"/>
                <w:szCs w:val="18"/>
              </w:rPr>
            </w:pPr>
            <w:r w:rsidRPr="00401588">
              <w:rPr>
                <w:sz w:val="18"/>
                <w:szCs w:val="18"/>
              </w:rPr>
              <w:t>.576**</w:t>
            </w:r>
          </w:p>
        </w:tc>
        <w:tc>
          <w:tcPr>
            <w:tcW w:w="0" w:type="auto"/>
          </w:tcPr>
          <w:p w14:paraId="583A3BA8" w14:textId="57800CC4" w:rsidR="00B042B5" w:rsidRPr="00401588" w:rsidRDefault="0033428B" w:rsidP="002C415E">
            <w:pPr>
              <w:pStyle w:val="NoSpacing"/>
              <w:rPr>
                <w:sz w:val="18"/>
                <w:szCs w:val="18"/>
              </w:rPr>
            </w:pPr>
            <w:r w:rsidRPr="00401588">
              <w:rPr>
                <w:sz w:val="18"/>
                <w:szCs w:val="18"/>
              </w:rPr>
              <w:t>.586**</w:t>
            </w:r>
          </w:p>
        </w:tc>
        <w:tc>
          <w:tcPr>
            <w:tcW w:w="0" w:type="auto"/>
          </w:tcPr>
          <w:p w14:paraId="4D0F8FA5" w14:textId="0961B103" w:rsidR="00B042B5" w:rsidRPr="00401588" w:rsidRDefault="0033428B" w:rsidP="002C415E">
            <w:pPr>
              <w:pStyle w:val="NoSpacing"/>
              <w:rPr>
                <w:sz w:val="18"/>
                <w:szCs w:val="18"/>
              </w:rPr>
            </w:pPr>
            <w:r w:rsidRPr="00401588">
              <w:rPr>
                <w:sz w:val="18"/>
                <w:szCs w:val="18"/>
              </w:rPr>
              <w:t>.953**</w:t>
            </w:r>
          </w:p>
        </w:tc>
        <w:tc>
          <w:tcPr>
            <w:tcW w:w="0" w:type="auto"/>
          </w:tcPr>
          <w:p w14:paraId="69069131" w14:textId="0B21EBEB" w:rsidR="00B042B5" w:rsidRPr="00401588" w:rsidRDefault="00C90C43" w:rsidP="002C415E">
            <w:pPr>
              <w:pStyle w:val="NoSpacing"/>
              <w:rPr>
                <w:sz w:val="18"/>
                <w:szCs w:val="18"/>
              </w:rPr>
            </w:pPr>
            <w:r w:rsidRPr="00401588">
              <w:rPr>
                <w:sz w:val="18"/>
                <w:szCs w:val="18"/>
              </w:rPr>
              <w:t>.659**</w:t>
            </w:r>
          </w:p>
        </w:tc>
        <w:tc>
          <w:tcPr>
            <w:tcW w:w="0" w:type="auto"/>
          </w:tcPr>
          <w:p w14:paraId="3BFD065A" w14:textId="2800893D" w:rsidR="00B042B5" w:rsidRPr="00401588" w:rsidRDefault="00C819CF" w:rsidP="002C415E">
            <w:pPr>
              <w:pStyle w:val="NoSpacing"/>
              <w:rPr>
                <w:sz w:val="18"/>
                <w:szCs w:val="18"/>
              </w:rPr>
            </w:pPr>
            <w:r w:rsidRPr="00401588">
              <w:rPr>
                <w:sz w:val="18"/>
                <w:szCs w:val="18"/>
              </w:rPr>
              <w:t>.623**</w:t>
            </w:r>
          </w:p>
        </w:tc>
        <w:tc>
          <w:tcPr>
            <w:tcW w:w="0" w:type="auto"/>
          </w:tcPr>
          <w:p w14:paraId="74E986B4" w14:textId="4340666E" w:rsidR="00B042B5" w:rsidRPr="00401588" w:rsidRDefault="00C819CF" w:rsidP="002C415E">
            <w:pPr>
              <w:pStyle w:val="NoSpacing"/>
              <w:rPr>
                <w:sz w:val="18"/>
                <w:szCs w:val="18"/>
              </w:rPr>
            </w:pPr>
            <w:r w:rsidRPr="00401588">
              <w:rPr>
                <w:sz w:val="18"/>
                <w:szCs w:val="18"/>
              </w:rPr>
              <w:t>|</w:t>
            </w:r>
          </w:p>
        </w:tc>
      </w:tr>
    </w:tbl>
    <w:p w14:paraId="428A4FC3" w14:textId="77777777" w:rsidR="00401588" w:rsidRPr="00401588" w:rsidRDefault="00401588" w:rsidP="00401588">
      <w:pPr>
        <w:pStyle w:val="NoSpacing"/>
      </w:pPr>
      <w:r w:rsidRPr="00401588">
        <w:t xml:space="preserve">*Correlation is significant at the .05 level (two tailed). </w:t>
      </w:r>
    </w:p>
    <w:p w14:paraId="579310D8" w14:textId="22BB2389" w:rsidR="002C415E" w:rsidRDefault="00401588" w:rsidP="00401588">
      <w:pPr>
        <w:pStyle w:val="NoSpacing"/>
      </w:pPr>
      <w:r w:rsidRPr="00401588">
        <w:t>**Correlation is significant at the .01 level (two tailed).</w:t>
      </w:r>
    </w:p>
    <w:p w14:paraId="004F1278" w14:textId="61E45F7D" w:rsidR="00401588" w:rsidRDefault="00401588">
      <w:r>
        <w:br w:type="page"/>
      </w:r>
    </w:p>
    <w:p w14:paraId="0D8F17A6" w14:textId="77777777" w:rsidR="00D161E0" w:rsidRDefault="00D161E0" w:rsidP="00401588">
      <w:pPr>
        <w:pStyle w:val="NoSpacing"/>
        <w:sectPr w:rsidR="00D161E0" w:rsidSect="0030546B">
          <w:pgSz w:w="15840" w:h="12240" w:orient="landscape"/>
          <w:pgMar w:top="1080" w:right="1080" w:bottom="1080" w:left="1080" w:header="720" w:footer="720" w:gutter="0"/>
          <w:cols w:space="720"/>
          <w:docGrid w:linePitch="360"/>
        </w:sectPr>
      </w:pPr>
    </w:p>
    <w:p w14:paraId="11301BC6" w14:textId="7AB5B062" w:rsidR="00401588" w:rsidRDefault="00D161E0" w:rsidP="00376741">
      <w:pPr>
        <w:pStyle w:val="NoSpacing"/>
      </w:pPr>
      <w:r>
        <w:lastRenderedPageBreak/>
        <w:t xml:space="preserve">Because the data used in this study are spatially referenced data, which bring special problems (i.e., spatial dependence and spatial heterogeneity) to linear regression (see </w:t>
      </w:r>
      <w:hyperlink r:id="rId63" w:history="1">
        <w:proofErr w:type="spellStart"/>
        <w:r>
          <w:rPr>
            <w:rStyle w:val="Hyperlink"/>
          </w:rPr>
          <w:t>Anselin</w:t>
        </w:r>
        <w:proofErr w:type="spellEnd"/>
        <w:r>
          <w:rPr>
            <w:rStyle w:val="Hyperlink"/>
          </w:rPr>
          <w:t>, 2013</w:t>
        </w:r>
      </w:hyperlink>
      <w:r>
        <w:t xml:space="preserve">), I estimated spatial regression models with first-order queen contiguity spatial weight matrix. </w:t>
      </w:r>
      <w:hyperlink r:id="rId64" w:history="1">
        <w:r>
          <w:rPr>
            <w:rStyle w:val="Hyperlink"/>
          </w:rPr>
          <w:t>Table 3</w:t>
        </w:r>
      </w:hyperlink>
      <w:r>
        <w:t xml:space="preserve"> shows the results of robbery density regressed on neighborhood characteristics, alcohol availability, and alcohol beverage types for Milwaukee block groups. The baseline model, Model 1, was estimated to test the first hypothesis and examined the association between neighborhood characteristics and robbery density. Results of Model 1 suggest that concentrated disadvantage, concentrated immigration, population density, and proportion Black were significantly and positively associated with robbery density (</w:t>
      </w:r>
      <w:r>
        <w:rPr>
          <w:i/>
          <w:iCs/>
        </w:rPr>
        <w:t>B</w:t>
      </w:r>
      <w:r>
        <w:t xml:space="preserve"> = 0.11, </w:t>
      </w:r>
      <w:r>
        <w:rPr>
          <w:i/>
          <w:iCs/>
        </w:rPr>
        <w:t>p</w:t>
      </w:r>
      <w:r>
        <w:t xml:space="preserve"> = .01; </w:t>
      </w:r>
      <w:r>
        <w:rPr>
          <w:i/>
          <w:iCs/>
        </w:rPr>
        <w:t>B</w:t>
      </w:r>
      <w:r>
        <w:t xml:space="preserve"> = 0.11, </w:t>
      </w:r>
      <w:r>
        <w:rPr>
          <w:i/>
          <w:iCs/>
        </w:rPr>
        <w:t>p</w:t>
      </w:r>
      <w:r>
        <w:t xml:space="preserve"> = .01; </w:t>
      </w:r>
      <w:r>
        <w:rPr>
          <w:i/>
          <w:iCs/>
        </w:rPr>
        <w:t>B</w:t>
      </w:r>
      <w:r>
        <w:t xml:space="preserve"> = 0.28, </w:t>
      </w:r>
      <w:r>
        <w:rPr>
          <w:i/>
          <w:iCs/>
        </w:rPr>
        <w:t>p</w:t>
      </w:r>
      <w:r>
        <w:t xml:space="preserve"> &lt; .01; and </w:t>
      </w:r>
      <w:r>
        <w:rPr>
          <w:i/>
          <w:iCs/>
        </w:rPr>
        <w:t>B</w:t>
      </w:r>
      <w:r>
        <w:t xml:space="preserve"> = 0.13, </w:t>
      </w:r>
      <w:r>
        <w:rPr>
          <w:i/>
          <w:iCs/>
        </w:rPr>
        <w:t>p</w:t>
      </w:r>
      <w:r>
        <w:t xml:space="preserve"> = .01, respectively), and residential stability was significantly and negatively associated with robbery density (</w:t>
      </w:r>
      <w:r>
        <w:rPr>
          <w:i/>
          <w:iCs/>
        </w:rPr>
        <w:t>B</w:t>
      </w:r>
      <w:r>
        <w:t xml:space="preserve"> = −0.11, </w:t>
      </w:r>
      <w:r>
        <w:rPr>
          <w:i/>
          <w:iCs/>
        </w:rPr>
        <w:t>p</w:t>
      </w:r>
      <w:r>
        <w:t xml:space="preserve"> &lt; .01). The spatial lag term (rho) associated with robbery density was a positive and significant contributor to the model (</w:t>
      </w:r>
      <w:r>
        <w:rPr>
          <w:i/>
          <w:iCs/>
        </w:rPr>
        <w:t>B</w:t>
      </w:r>
      <w:r>
        <w:t xml:space="preserve"> = 0.47, </w:t>
      </w:r>
      <w:r>
        <w:rPr>
          <w:i/>
          <w:iCs/>
        </w:rPr>
        <w:t>p</w:t>
      </w:r>
      <w:r>
        <w:t xml:space="preserve"> &lt; .01). The model explained 53% of the variance in robbery density.</w:t>
      </w:r>
    </w:p>
    <w:p w14:paraId="273CAB58" w14:textId="5D861FAA" w:rsidR="009D62ED" w:rsidRDefault="009D62ED" w:rsidP="00376741">
      <w:pPr>
        <w:pStyle w:val="NoSpacing"/>
      </w:pPr>
    </w:p>
    <w:p w14:paraId="7D79AEA5" w14:textId="61E5C6E9" w:rsidR="009D62ED" w:rsidRDefault="009D62ED" w:rsidP="009D62ED">
      <w:pPr>
        <w:pStyle w:val="NoSpacing"/>
      </w:pPr>
      <w:r>
        <w:rPr>
          <w:rFonts w:ascii="GillSansStd-Bold" w:hAnsi="GillSansStd-Bold" w:cs="GillSansStd-Bold"/>
          <w:b/>
          <w:bCs/>
        </w:rPr>
        <w:t xml:space="preserve">Table 3. </w:t>
      </w:r>
      <w:r>
        <w:t>Robbery Density Regressed on Neighborhood Characteristics, Alcohol Availability, and Alcohol Beverage Types for Milwaukee Block Groups (</w:t>
      </w:r>
      <w:r>
        <w:rPr>
          <w:rFonts w:ascii="GillSansStd-Italic" w:hAnsi="GillSansStd-Italic" w:cs="GillSansStd-Italic"/>
          <w:i/>
          <w:iCs/>
        </w:rPr>
        <w:t xml:space="preserve">N </w:t>
      </w:r>
      <w:r>
        <w:rPr>
          <w:rFonts w:ascii="MathematicalPiLTStd" w:hAnsi="MathematicalPiLTStd" w:cs="MathematicalPiLTStd"/>
        </w:rPr>
        <w:t xml:space="preserve">= </w:t>
      </w:r>
      <w:r>
        <w:t>572).</w:t>
      </w:r>
    </w:p>
    <w:tbl>
      <w:tblPr>
        <w:tblStyle w:val="TableGridLight"/>
        <w:tblW w:w="0" w:type="auto"/>
        <w:tblLook w:val="0020" w:firstRow="1" w:lastRow="0" w:firstColumn="0" w:lastColumn="0" w:noHBand="0" w:noVBand="0"/>
      </w:tblPr>
      <w:tblGrid>
        <w:gridCol w:w="3501"/>
        <w:gridCol w:w="1206"/>
        <w:gridCol w:w="996"/>
        <w:gridCol w:w="1217"/>
      </w:tblGrid>
      <w:tr w:rsidR="0016166A" w:rsidRPr="007379B7" w14:paraId="53A01299" w14:textId="77777777" w:rsidTr="001D16F2">
        <w:trPr>
          <w:trHeight w:val="355"/>
        </w:trPr>
        <w:tc>
          <w:tcPr>
            <w:tcW w:w="0" w:type="auto"/>
          </w:tcPr>
          <w:p w14:paraId="5D44B19E" w14:textId="77777777" w:rsidR="0016166A" w:rsidRPr="001D16F2" w:rsidRDefault="0016166A" w:rsidP="007379B7">
            <w:pPr>
              <w:pStyle w:val="NoSpacing"/>
              <w:rPr>
                <w:rFonts w:cstheme="minorHAnsi"/>
                <w:b/>
                <w:bCs/>
              </w:rPr>
            </w:pPr>
          </w:p>
        </w:tc>
        <w:tc>
          <w:tcPr>
            <w:tcW w:w="0" w:type="auto"/>
          </w:tcPr>
          <w:p w14:paraId="2F5EEF83" w14:textId="77777777" w:rsidR="0016166A" w:rsidRPr="001D16F2" w:rsidRDefault="0016166A" w:rsidP="007379B7">
            <w:pPr>
              <w:pStyle w:val="NoSpacing"/>
              <w:rPr>
                <w:rFonts w:cstheme="minorHAnsi"/>
                <w:b/>
                <w:bCs/>
              </w:rPr>
            </w:pPr>
            <w:r w:rsidRPr="001D16F2">
              <w:rPr>
                <w:rFonts w:cstheme="minorHAnsi"/>
                <w:b/>
                <w:bCs/>
              </w:rPr>
              <w:t>Coefficient</w:t>
            </w:r>
          </w:p>
        </w:tc>
        <w:tc>
          <w:tcPr>
            <w:tcW w:w="0" w:type="auto"/>
          </w:tcPr>
          <w:p w14:paraId="68174AC1" w14:textId="77777777" w:rsidR="0016166A" w:rsidRPr="001D16F2" w:rsidRDefault="0016166A" w:rsidP="007379B7">
            <w:pPr>
              <w:pStyle w:val="NoSpacing"/>
              <w:rPr>
                <w:rFonts w:cstheme="minorHAnsi"/>
                <w:b/>
                <w:bCs/>
                <w:i/>
                <w:iCs/>
              </w:rPr>
            </w:pPr>
            <w:r w:rsidRPr="001D16F2">
              <w:rPr>
                <w:rFonts w:cstheme="minorHAnsi"/>
                <w:b/>
                <w:bCs/>
                <w:i/>
                <w:iCs/>
              </w:rPr>
              <w:t>SE</w:t>
            </w:r>
          </w:p>
        </w:tc>
        <w:tc>
          <w:tcPr>
            <w:tcW w:w="0" w:type="auto"/>
          </w:tcPr>
          <w:p w14:paraId="609BC9F8" w14:textId="77777777" w:rsidR="0016166A" w:rsidRPr="001D16F2" w:rsidRDefault="0016166A" w:rsidP="007379B7">
            <w:pPr>
              <w:pStyle w:val="NoSpacing"/>
              <w:rPr>
                <w:rFonts w:cstheme="minorHAnsi"/>
                <w:b/>
                <w:bCs/>
              </w:rPr>
            </w:pPr>
            <w:r w:rsidRPr="001D16F2">
              <w:rPr>
                <w:rFonts w:cstheme="minorHAnsi"/>
                <w:b/>
                <w:bCs/>
              </w:rPr>
              <w:t>Probability</w:t>
            </w:r>
          </w:p>
        </w:tc>
      </w:tr>
      <w:tr w:rsidR="001D16F2" w:rsidRPr="007379B7" w14:paraId="6020D6BA" w14:textId="77777777" w:rsidTr="001D16F2">
        <w:trPr>
          <w:trHeight w:val="256"/>
        </w:trPr>
        <w:tc>
          <w:tcPr>
            <w:tcW w:w="0" w:type="auto"/>
          </w:tcPr>
          <w:p w14:paraId="3EF659D0" w14:textId="487FE7C8" w:rsidR="0016166A" w:rsidRPr="007379B7" w:rsidRDefault="0016166A" w:rsidP="007379B7">
            <w:pPr>
              <w:pStyle w:val="NoSpacing"/>
              <w:rPr>
                <w:rFonts w:cstheme="minorHAnsi"/>
              </w:rPr>
            </w:pPr>
            <w:r w:rsidRPr="007379B7">
              <w:rPr>
                <w:rFonts w:cstheme="minorHAnsi"/>
              </w:rPr>
              <w:t xml:space="preserve">Model 1: Baseline </w:t>
            </w:r>
          </w:p>
        </w:tc>
        <w:tc>
          <w:tcPr>
            <w:tcW w:w="0" w:type="auto"/>
          </w:tcPr>
          <w:p w14:paraId="39B98A6D" w14:textId="03A02D48" w:rsidR="0016166A" w:rsidRPr="007379B7" w:rsidRDefault="0016166A" w:rsidP="007379B7">
            <w:pPr>
              <w:pStyle w:val="NoSpacing"/>
              <w:rPr>
                <w:rFonts w:cstheme="minorHAnsi"/>
              </w:rPr>
            </w:pPr>
          </w:p>
        </w:tc>
        <w:tc>
          <w:tcPr>
            <w:tcW w:w="0" w:type="auto"/>
          </w:tcPr>
          <w:p w14:paraId="0C0D7533" w14:textId="68CB5E2F" w:rsidR="0016166A" w:rsidRPr="007379B7" w:rsidRDefault="0016166A" w:rsidP="007379B7">
            <w:pPr>
              <w:pStyle w:val="NoSpacing"/>
              <w:rPr>
                <w:rFonts w:cstheme="minorHAnsi"/>
              </w:rPr>
            </w:pPr>
          </w:p>
        </w:tc>
        <w:tc>
          <w:tcPr>
            <w:tcW w:w="0" w:type="auto"/>
          </w:tcPr>
          <w:p w14:paraId="2A38CD18" w14:textId="6C2A0934" w:rsidR="0016166A" w:rsidRPr="007379B7" w:rsidRDefault="0016166A" w:rsidP="007379B7">
            <w:pPr>
              <w:pStyle w:val="NoSpacing"/>
              <w:rPr>
                <w:rFonts w:cstheme="minorHAnsi"/>
              </w:rPr>
            </w:pPr>
          </w:p>
        </w:tc>
      </w:tr>
      <w:tr w:rsidR="00E648B0" w:rsidRPr="007379B7" w14:paraId="46ACDD17" w14:textId="77777777" w:rsidTr="001D16F2">
        <w:trPr>
          <w:trHeight w:val="262"/>
        </w:trPr>
        <w:tc>
          <w:tcPr>
            <w:tcW w:w="0" w:type="auto"/>
          </w:tcPr>
          <w:p w14:paraId="25AB602A" w14:textId="6DEBBCE5" w:rsidR="00E648B0" w:rsidRPr="007379B7" w:rsidRDefault="00E648B0" w:rsidP="007379B7">
            <w:pPr>
              <w:pStyle w:val="NoSpacing"/>
              <w:rPr>
                <w:rFonts w:cstheme="minorHAnsi"/>
              </w:rPr>
            </w:pPr>
            <w:r w:rsidRPr="007379B7">
              <w:rPr>
                <w:rFonts w:cstheme="minorHAnsi"/>
              </w:rPr>
              <w:t>Ethnic heterogeneity</w:t>
            </w:r>
          </w:p>
        </w:tc>
        <w:tc>
          <w:tcPr>
            <w:tcW w:w="0" w:type="auto"/>
          </w:tcPr>
          <w:p w14:paraId="3A950519" w14:textId="0F2E8A33" w:rsidR="00E648B0" w:rsidRPr="007379B7" w:rsidRDefault="00E648B0" w:rsidP="007379B7">
            <w:pPr>
              <w:pStyle w:val="NoSpacing"/>
              <w:rPr>
                <w:rFonts w:cstheme="minorHAnsi"/>
              </w:rPr>
            </w:pPr>
            <w:r w:rsidRPr="007379B7">
              <w:rPr>
                <w:rFonts w:cstheme="minorHAnsi"/>
              </w:rPr>
              <w:t>−0.02</w:t>
            </w:r>
          </w:p>
        </w:tc>
        <w:tc>
          <w:tcPr>
            <w:tcW w:w="0" w:type="auto"/>
          </w:tcPr>
          <w:p w14:paraId="01F161C2" w14:textId="35127CD8" w:rsidR="00E648B0" w:rsidRPr="007379B7" w:rsidRDefault="00E648B0" w:rsidP="007379B7">
            <w:pPr>
              <w:pStyle w:val="NoSpacing"/>
              <w:rPr>
                <w:rFonts w:cstheme="minorHAnsi"/>
              </w:rPr>
            </w:pPr>
            <w:r w:rsidRPr="007379B7">
              <w:rPr>
                <w:rFonts w:cstheme="minorHAnsi"/>
              </w:rPr>
              <w:t>0.03</w:t>
            </w:r>
          </w:p>
        </w:tc>
        <w:tc>
          <w:tcPr>
            <w:tcW w:w="0" w:type="auto"/>
          </w:tcPr>
          <w:p w14:paraId="24400281" w14:textId="06135A4E" w:rsidR="00E648B0" w:rsidRPr="007379B7" w:rsidRDefault="00E648B0" w:rsidP="007379B7">
            <w:pPr>
              <w:pStyle w:val="NoSpacing"/>
              <w:rPr>
                <w:rFonts w:cstheme="minorHAnsi"/>
              </w:rPr>
            </w:pPr>
            <w:r w:rsidRPr="007379B7">
              <w:rPr>
                <w:rFonts w:cstheme="minorHAnsi"/>
              </w:rPr>
              <w:t>.46</w:t>
            </w:r>
          </w:p>
        </w:tc>
      </w:tr>
      <w:tr w:rsidR="00E648B0" w:rsidRPr="007379B7" w14:paraId="53F86466" w14:textId="77777777" w:rsidTr="001D16F2">
        <w:trPr>
          <w:trHeight w:val="230"/>
        </w:trPr>
        <w:tc>
          <w:tcPr>
            <w:tcW w:w="0" w:type="auto"/>
          </w:tcPr>
          <w:p w14:paraId="66DA8292" w14:textId="77777777" w:rsidR="00E648B0" w:rsidRPr="007379B7" w:rsidRDefault="00E648B0" w:rsidP="007379B7">
            <w:pPr>
              <w:pStyle w:val="NoSpacing"/>
              <w:rPr>
                <w:rFonts w:cstheme="minorHAnsi"/>
              </w:rPr>
            </w:pPr>
            <w:r w:rsidRPr="007379B7">
              <w:rPr>
                <w:rFonts w:cstheme="minorHAnsi"/>
              </w:rPr>
              <w:t>Concentrated disadvantage</w:t>
            </w:r>
          </w:p>
        </w:tc>
        <w:tc>
          <w:tcPr>
            <w:tcW w:w="0" w:type="auto"/>
          </w:tcPr>
          <w:p w14:paraId="67D0158B" w14:textId="77777777" w:rsidR="00E648B0" w:rsidRPr="007379B7" w:rsidRDefault="00E648B0" w:rsidP="007379B7">
            <w:pPr>
              <w:pStyle w:val="NoSpacing"/>
              <w:rPr>
                <w:rFonts w:cstheme="minorHAnsi"/>
              </w:rPr>
            </w:pPr>
            <w:r w:rsidRPr="007379B7">
              <w:rPr>
                <w:rFonts w:cstheme="minorHAnsi"/>
              </w:rPr>
              <w:t>0.11</w:t>
            </w:r>
          </w:p>
        </w:tc>
        <w:tc>
          <w:tcPr>
            <w:tcW w:w="0" w:type="auto"/>
          </w:tcPr>
          <w:p w14:paraId="34D77506" w14:textId="77777777" w:rsidR="00E648B0" w:rsidRPr="007379B7" w:rsidRDefault="00E648B0" w:rsidP="007379B7">
            <w:pPr>
              <w:pStyle w:val="NoSpacing"/>
              <w:rPr>
                <w:rFonts w:cstheme="minorHAnsi"/>
              </w:rPr>
            </w:pPr>
            <w:r w:rsidRPr="007379B7">
              <w:rPr>
                <w:rFonts w:cstheme="minorHAnsi"/>
              </w:rPr>
              <w:t>0.04</w:t>
            </w:r>
          </w:p>
        </w:tc>
        <w:tc>
          <w:tcPr>
            <w:tcW w:w="0" w:type="auto"/>
          </w:tcPr>
          <w:p w14:paraId="48B146DD" w14:textId="77777777" w:rsidR="00E648B0" w:rsidRPr="007379B7" w:rsidRDefault="00E648B0" w:rsidP="007379B7">
            <w:pPr>
              <w:pStyle w:val="NoSpacing"/>
              <w:rPr>
                <w:rFonts w:cstheme="minorHAnsi"/>
              </w:rPr>
            </w:pPr>
            <w:r w:rsidRPr="007379B7">
              <w:rPr>
                <w:rFonts w:cstheme="minorHAnsi"/>
              </w:rPr>
              <w:t>.01</w:t>
            </w:r>
          </w:p>
        </w:tc>
      </w:tr>
      <w:tr w:rsidR="00E648B0" w:rsidRPr="007379B7" w14:paraId="6A6ED190" w14:textId="77777777" w:rsidTr="001D16F2">
        <w:trPr>
          <w:trHeight w:val="230"/>
        </w:trPr>
        <w:tc>
          <w:tcPr>
            <w:tcW w:w="0" w:type="auto"/>
          </w:tcPr>
          <w:p w14:paraId="7B308E45" w14:textId="77777777" w:rsidR="00E648B0" w:rsidRPr="007379B7" w:rsidRDefault="00E648B0" w:rsidP="007379B7">
            <w:pPr>
              <w:pStyle w:val="NoSpacing"/>
              <w:rPr>
                <w:rFonts w:cstheme="minorHAnsi"/>
              </w:rPr>
            </w:pPr>
            <w:r w:rsidRPr="007379B7">
              <w:rPr>
                <w:rFonts w:cstheme="minorHAnsi"/>
              </w:rPr>
              <w:t>Concentrated immigration</w:t>
            </w:r>
          </w:p>
        </w:tc>
        <w:tc>
          <w:tcPr>
            <w:tcW w:w="0" w:type="auto"/>
          </w:tcPr>
          <w:p w14:paraId="10CED884" w14:textId="77777777" w:rsidR="00E648B0" w:rsidRPr="007379B7" w:rsidRDefault="00E648B0" w:rsidP="007379B7">
            <w:pPr>
              <w:pStyle w:val="NoSpacing"/>
              <w:rPr>
                <w:rFonts w:cstheme="minorHAnsi"/>
              </w:rPr>
            </w:pPr>
            <w:r w:rsidRPr="007379B7">
              <w:rPr>
                <w:rFonts w:cstheme="minorHAnsi"/>
              </w:rPr>
              <w:t>0.11</w:t>
            </w:r>
          </w:p>
        </w:tc>
        <w:tc>
          <w:tcPr>
            <w:tcW w:w="0" w:type="auto"/>
          </w:tcPr>
          <w:p w14:paraId="6A5505B6" w14:textId="77777777" w:rsidR="00E648B0" w:rsidRPr="007379B7" w:rsidRDefault="00E648B0" w:rsidP="007379B7">
            <w:pPr>
              <w:pStyle w:val="NoSpacing"/>
              <w:rPr>
                <w:rFonts w:cstheme="minorHAnsi"/>
              </w:rPr>
            </w:pPr>
            <w:r w:rsidRPr="007379B7">
              <w:rPr>
                <w:rFonts w:cstheme="minorHAnsi"/>
              </w:rPr>
              <w:t>0.04</w:t>
            </w:r>
          </w:p>
        </w:tc>
        <w:tc>
          <w:tcPr>
            <w:tcW w:w="0" w:type="auto"/>
          </w:tcPr>
          <w:p w14:paraId="5AC8F513" w14:textId="77777777" w:rsidR="00E648B0" w:rsidRPr="007379B7" w:rsidRDefault="00E648B0" w:rsidP="007379B7">
            <w:pPr>
              <w:pStyle w:val="NoSpacing"/>
              <w:rPr>
                <w:rFonts w:cstheme="minorHAnsi"/>
              </w:rPr>
            </w:pPr>
            <w:r w:rsidRPr="007379B7">
              <w:rPr>
                <w:rFonts w:cstheme="minorHAnsi"/>
              </w:rPr>
              <w:t>.01</w:t>
            </w:r>
          </w:p>
        </w:tc>
      </w:tr>
      <w:tr w:rsidR="00E648B0" w:rsidRPr="007379B7" w14:paraId="29F7E8AB" w14:textId="77777777" w:rsidTr="001D16F2">
        <w:trPr>
          <w:trHeight w:val="230"/>
        </w:trPr>
        <w:tc>
          <w:tcPr>
            <w:tcW w:w="0" w:type="auto"/>
          </w:tcPr>
          <w:p w14:paraId="386A5E39" w14:textId="77777777" w:rsidR="00E648B0" w:rsidRPr="007379B7" w:rsidRDefault="00E648B0" w:rsidP="007379B7">
            <w:pPr>
              <w:pStyle w:val="NoSpacing"/>
              <w:rPr>
                <w:rFonts w:cstheme="minorHAnsi"/>
              </w:rPr>
            </w:pPr>
            <w:r w:rsidRPr="007379B7">
              <w:rPr>
                <w:rFonts w:cstheme="minorHAnsi"/>
              </w:rPr>
              <w:t>Residential stability</w:t>
            </w:r>
          </w:p>
        </w:tc>
        <w:tc>
          <w:tcPr>
            <w:tcW w:w="0" w:type="auto"/>
          </w:tcPr>
          <w:p w14:paraId="63AD9389" w14:textId="77777777" w:rsidR="00E648B0" w:rsidRPr="007379B7" w:rsidRDefault="00E648B0" w:rsidP="007379B7">
            <w:pPr>
              <w:pStyle w:val="NoSpacing"/>
              <w:rPr>
                <w:rFonts w:cstheme="minorHAnsi"/>
              </w:rPr>
            </w:pPr>
            <w:r w:rsidRPr="007379B7">
              <w:rPr>
                <w:rFonts w:cstheme="minorHAnsi"/>
              </w:rPr>
              <w:t>−0.11</w:t>
            </w:r>
          </w:p>
        </w:tc>
        <w:tc>
          <w:tcPr>
            <w:tcW w:w="0" w:type="auto"/>
          </w:tcPr>
          <w:p w14:paraId="1501DF04" w14:textId="77777777" w:rsidR="00E648B0" w:rsidRPr="007379B7" w:rsidRDefault="00E648B0" w:rsidP="007379B7">
            <w:pPr>
              <w:pStyle w:val="NoSpacing"/>
              <w:rPr>
                <w:rFonts w:cstheme="minorHAnsi"/>
              </w:rPr>
            </w:pPr>
            <w:r w:rsidRPr="007379B7">
              <w:rPr>
                <w:rFonts w:cstheme="minorHAnsi"/>
              </w:rPr>
              <w:t>0.03</w:t>
            </w:r>
          </w:p>
        </w:tc>
        <w:tc>
          <w:tcPr>
            <w:tcW w:w="0" w:type="auto"/>
          </w:tcPr>
          <w:p w14:paraId="03D553AE" w14:textId="77777777" w:rsidR="00E648B0" w:rsidRPr="007379B7" w:rsidRDefault="00E648B0" w:rsidP="007379B7">
            <w:pPr>
              <w:pStyle w:val="NoSpacing"/>
              <w:rPr>
                <w:rFonts w:cstheme="minorHAnsi"/>
              </w:rPr>
            </w:pPr>
            <w:r w:rsidRPr="007379B7">
              <w:rPr>
                <w:rFonts w:cstheme="minorHAnsi"/>
              </w:rPr>
              <w:t>.00</w:t>
            </w:r>
          </w:p>
        </w:tc>
      </w:tr>
      <w:tr w:rsidR="00E648B0" w:rsidRPr="007379B7" w14:paraId="154CBE37" w14:textId="77777777" w:rsidTr="001D16F2">
        <w:trPr>
          <w:trHeight w:val="230"/>
        </w:trPr>
        <w:tc>
          <w:tcPr>
            <w:tcW w:w="0" w:type="auto"/>
          </w:tcPr>
          <w:p w14:paraId="26A5B347" w14:textId="77777777" w:rsidR="00E648B0" w:rsidRPr="007379B7" w:rsidRDefault="00E648B0" w:rsidP="007379B7">
            <w:pPr>
              <w:pStyle w:val="NoSpacing"/>
              <w:rPr>
                <w:rFonts w:cstheme="minorHAnsi"/>
              </w:rPr>
            </w:pPr>
            <w:r w:rsidRPr="007379B7">
              <w:rPr>
                <w:rFonts w:cstheme="minorHAnsi"/>
              </w:rPr>
              <w:t>Population density</w:t>
            </w:r>
          </w:p>
        </w:tc>
        <w:tc>
          <w:tcPr>
            <w:tcW w:w="0" w:type="auto"/>
          </w:tcPr>
          <w:p w14:paraId="3DDB6563" w14:textId="77777777" w:rsidR="00E648B0" w:rsidRPr="007379B7" w:rsidRDefault="00E648B0" w:rsidP="007379B7">
            <w:pPr>
              <w:pStyle w:val="NoSpacing"/>
              <w:rPr>
                <w:rFonts w:cstheme="minorHAnsi"/>
              </w:rPr>
            </w:pPr>
            <w:r w:rsidRPr="007379B7">
              <w:rPr>
                <w:rFonts w:cstheme="minorHAnsi"/>
              </w:rPr>
              <w:t>0.28</w:t>
            </w:r>
          </w:p>
        </w:tc>
        <w:tc>
          <w:tcPr>
            <w:tcW w:w="0" w:type="auto"/>
          </w:tcPr>
          <w:p w14:paraId="24CD6274" w14:textId="77777777" w:rsidR="00E648B0" w:rsidRPr="007379B7" w:rsidRDefault="00E648B0" w:rsidP="007379B7">
            <w:pPr>
              <w:pStyle w:val="NoSpacing"/>
              <w:rPr>
                <w:rFonts w:cstheme="minorHAnsi"/>
              </w:rPr>
            </w:pPr>
            <w:r w:rsidRPr="007379B7">
              <w:rPr>
                <w:rFonts w:cstheme="minorHAnsi"/>
              </w:rPr>
              <w:t>0.04</w:t>
            </w:r>
          </w:p>
        </w:tc>
        <w:tc>
          <w:tcPr>
            <w:tcW w:w="0" w:type="auto"/>
          </w:tcPr>
          <w:p w14:paraId="7646CDA9" w14:textId="77777777" w:rsidR="00E648B0" w:rsidRPr="007379B7" w:rsidRDefault="00E648B0" w:rsidP="007379B7">
            <w:pPr>
              <w:pStyle w:val="NoSpacing"/>
              <w:rPr>
                <w:rFonts w:cstheme="minorHAnsi"/>
              </w:rPr>
            </w:pPr>
            <w:r w:rsidRPr="007379B7">
              <w:rPr>
                <w:rFonts w:cstheme="minorHAnsi"/>
              </w:rPr>
              <w:t>.00</w:t>
            </w:r>
          </w:p>
        </w:tc>
      </w:tr>
      <w:tr w:rsidR="00E648B0" w:rsidRPr="007379B7" w14:paraId="1EA263FC" w14:textId="77777777" w:rsidTr="001D16F2">
        <w:trPr>
          <w:trHeight w:val="230"/>
        </w:trPr>
        <w:tc>
          <w:tcPr>
            <w:tcW w:w="0" w:type="auto"/>
          </w:tcPr>
          <w:p w14:paraId="3C29F429" w14:textId="77777777" w:rsidR="00E648B0" w:rsidRPr="007379B7" w:rsidRDefault="00E648B0" w:rsidP="007379B7">
            <w:pPr>
              <w:pStyle w:val="NoSpacing"/>
              <w:rPr>
                <w:rFonts w:cstheme="minorHAnsi"/>
              </w:rPr>
            </w:pPr>
            <w:r w:rsidRPr="007379B7">
              <w:rPr>
                <w:rFonts w:cstheme="minorHAnsi"/>
              </w:rPr>
              <w:t>Proportion Black</w:t>
            </w:r>
          </w:p>
        </w:tc>
        <w:tc>
          <w:tcPr>
            <w:tcW w:w="0" w:type="auto"/>
          </w:tcPr>
          <w:p w14:paraId="30889ADE" w14:textId="77777777" w:rsidR="00E648B0" w:rsidRPr="007379B7" w:rsidRDefault="00E648B0" w:rsidP="007379B7">
            <w:pPr>
              <w:pStyle w:val="NoSpacing"/>
              <w:rPr>
                <w:rFonts w:cstheme="minorHAnsi"/>
              </w:rPr>
            </w:pPr>
            <w:r w:rsidRPr="007379B7">
              <w:rPr>
                <w:rFonts w:cstheme="minorHAnsi"/>
              </w:rPr>
              <w:t>0.13</w:t>
            </w:r>
          </w:p>
        </w:tc>
        <w:tc>
          <w:tcPr>
            <w:tcW w:w="0" w:type="auto"/>
          </w:tcPr>
          <w:p w14:paraId="03AA058D" w14:textId="77777777" w:rsidR="00E648B0" w:rsidRPr="007379B7" w:rsidRDefault="00E648B0" w:rsidP="007379B7">
            <w:pPr>
              <w:pStyle w:val="NoSpacing"/>
              <w:rPr>
                <w:rFonts w:cstheme="minorHAnsi"/>
              </w:rPr>
            </w:pPr>
            <w:r w:rsidRPr="007379B7">
              <w:rPr>
                <w:rFonts w:cstheme="minorHAnsi"/>
              </w:rPr>
              <w:t>0.05</w:t>
            </w:r>
          </w:p>
        </w:tc>
        <w:tc>
          <w:tcPr>
            <w:tcW w:w="0" w:type="auto"/>
          </w:tcPr>
          <w:p w14:paraId="2CA3AFF7" w14:textId="77777777" w:rsidR="00E648B0" w:rsidRPr="007379B7" w:rsidRDefault="00E648B0" w:rsidP="007379B7">
            <w:pPr>
              <w:pStyle w:val="NoSpacing"/>
              <w:rPr>
                <w:rFonts w:cstheme="minorHAnsi"/>
              </w:rPr>
            </w:pPr>
            <w:r w:rsidRPr="007379B7">
              <w:rPr>
                <w:rFonts w:cstheme="minorHAnsi"/>
              </w:rPr>
              <w:t>.01</w:t>
            </w:r>
          </w:p>
        </w:tc>
      </w:tr>
      <w:tr w:rsidR="00E648B0" w:rsidRPr="007379B7" w14:paraId="16897BE4" w14:textId="77777777" w:rsidTr="001D16F2">
        <w:trPr>
          <w:trHeight w:val="230"/>
        </w:trPr>
        <w:tc>
          <w:tcPr>
            <w:tcW w:w="0" w:type="auto"/>
          </w:tcPr>
          <w:p w14:paraId="56E27870" w14:textId="77777777" w:rsidR="00E648B0" w:rsidRPr="007379B7" w:rsidRDefault="00E648B0" w:rsidP="007379B7">
            <w:pPr>
              <w:pStyle w:val="NoSpacing"/>
              <w:rPr>
                <w:rFonts w:cstheme="minorHAnsi"/>
              </w:rPr>
            </w:pPr>
            <w:r w:rsidRPr="007379B7">
              <w:rPr>
                <w:rFonts w:cstheme="minorHAnsi"/>
              </w:rPr>
              <w:t>Rho robbery density</w:t>
            </w:r>
          </w:p>
        </w:tc>
        <w:tc>
          <w:tcPr>
            <w:tcW w:w="0" w:type="auto"/>
          </w:tcPr>
          <w:p w14:paraId="49333BE0" w14:textId="77777777" w:rsidR="00E648B0" w:rsidRPr="007379B7" w:rsidRDefault="00E648B0" w:rsidP="007379B7">
            <w:pPr>
              <w:pStyle w:val="NoSpacing"/>
              <w:rPr>
                <w:rFonts w:cstheme="minorHAnsi"/>
              </w:rPr>
            </w:pPr>
            <w:r w:rsidRPr="007379B7">
              <w:rPr>
                <w:rFonts w:cstheme="minorHAnsi"/>
              </w:rPr>
              <w:t>0.47</w:t>
            </w:r>
          </w:p>
        </w:tc>
        <w:tc>
          <w:tcPr>
            <w:tcW w:w="0" w:type="auto"/>
          </w:tcPr>
          <w:p w14:paraId="4D8CDC63" w14:textId="77777777" w:rsidR="00E648B0" w:rsidRPr="007379B7" w:rsidRDefault="00E648B0" w:rsidP="007379B7">
            <w:pPr>
              <w:pStyle w:val="NoSpacing"/>
              <w:rPr>
                <w:rFonts w:cstheme="minorHAnsi"/>
              </w:rPr>
            </w:pPr>
            <w:r w:rsidRPr="007379B7">
              <w:rPr>
                <w:rFonts w:cstheme="minorHAnsi"/>
              </w:rPr>
              <w:t>0.05</w:t>
            </w:r>
          </w:p>
        </w:tc>
        <w:tc>
          <w:tcPr>
            <w:tcW w:w="0" w:type="auto"/>
          </w:tcPr>
          <w:p w14:paraId="2FEF9DE7" w14:textId="77777777" w:rsidR="00E648B0" w:rsidRPr="007379B7" w:rsidRDefault="00E648B0" w:rsidP="007379B7">
            <w:pPr>
              <w:pStyle w:val="NoSpacing"/>
              <w:rPr>
                <w:rFonts w:cstheme="minorHAnsi"/>
              </w:rPr>
            </w:pPr>
            <w:r w:rsidRPr="007379B7">
              <w:rPr>
                <w:rFonts w:cstheme="minorHAnsi"/>
              </w:rPr>
              <w:t>.00</w:t>
            </w:r>
          </w:p>
        </w:tc>
      </w:tr>
      <w:tr w:rsidR="00E648B0" w:rsidRPr="007379B7" w14:paraId="191BA3B1" w14:textId="77777777" w:rsidTr="001D16F2">
        <w:trPr>
          <w:trHeight w:val="229"/>
        </w:trPr>
        <w:tc>
          <w:tcPr>
            <w:tcW w:w="0" w:type="auto"/>
          </w:tcPr>
          <w:p w14:paraId="33628C8E" w14:textId="77777777" w:rsidR="00E648B0" w:rsidRPr="007379B7" w:rsidRDefault="00E648B0" w:rsidP="007379B7">
            <w:pPr>
              <w:pStyle w:val="NoSpacing"/>
              <w:rPr>
                <w:rFonts w:cstheme="minorHAnsi"/>
              </w:rPr>
            </w:pPr>
            <w:r w:rsidRPr="007379B7">
              <w:rPr>
                <w:rFonts w:cstheme="minorHAnsi"/>
              </w:rPr>
              <w:t>Constant</w:t>
            </w:r>
          </w:p>
        </w:tc>
        <w:tc>
          <w:tcPr>
            <w:tcW w:w="0" w:type="auto"/>
          </w:tcPr>
          <w:p w14:paraId="66B6FC4D" w14:textId="77777777" w:rsidR="00E648B0" w:rsidRPr="007379B7" w:rsidRDefault="00E648B0" w:rsidP="007379B7">
            <w:pPr>
              <w:pStyle w:val="NoSpacing"/>
              <w:rPr>
                <w:rFonts w:cstheme="minorHAnsi"/>
              </w:rPr>
            </w:pPr>
            <w:r w:rsidRPr="007379B7">
              <w:rPr>
                <w:rFonts w:cstheme="minorHAnsi"/>
              </w:rPr>
              <w:t>0.01</w:t>
            </w:r>
          </w:p>
        </w:tc>
        <w:tc>
          <w:tcPr>
            <w:tcW w:w="0" w:type="auto"/>
          </w:tcPr>
          <w:p w14:paraId="14F9F236" w14:textId="77777777" w:rsidR="00E648B0" w:rsidRPr="007379B7" w:rsidRDefault="00E648B0" w:rsidP="007379B7">
            <w:pPr>
              <w:pStyle w:val="NoSpacing"/>
              <w:rPr>
                <w:rFonts w:cstheme="minorHAnsi"/>
              </w:rPr>
            </w:pPr>
            <w:r w:rsidRPr="007379B7">
              <w:rPr>
                <w:rFonts w:cstheme="minorHAnsi"/>
              </w:rPr>
              <w:t>0.03</w:t>
            </w:r>
          </w:p>
        </w:tc>
        <w:tc>
          <w:tcPr>
            <w:tcW w:w="0" w:type="auto"/>
          </w:tcPr>
          <w:p w14:paraId="53CDCC18" w14:textId="77777777" w:rsidR="00E648B0" w:rsidRPr="007379B7" w:rsidRDefault="00E648B0" w:rsidP="007379B7">
            <w:pPr>
              <w:pStyle w:val="NoSpacing"/>
              <w:rPr>
                <w:rFonts w:cstheme="minorHAnsi"/>
              </w:rPr>
            </w:pPr>
            <w:r w:rsidRPr="007379B7">
              <w:rPr>
                <w:rFonts w:cstheme="minorHAnsi"/>
              </w:rPr>
              <w:t>.83</w:t>
            </w:r>
          </w:p>
        </w:tc>
      </w:tr>
      <w:tr w:rsidR="001D16F2" w:rsidRPr="007379B7" w14:paraId="2FBC1691" w14:textId="77777777" w:rsidTr="001D16F2">
        <w:trPr>
          <w:trHeight w:val="163"/>
        </w:trPr>
        <w:tc>
          <w:tcPr>
            <w:tcW w:w="0" w:type="auto"/>
          </w:tcPr>
          <w:p w14:paraId="31041593" w14:textId="47BD715A" w:rsidR="00E648B0" w:rsidRPr="007379B7" w:rsidRDefault="00E648B0" w:rsidP="007379B7">
            <w:pPr>
              <w:pStyle w:val="NoSpacing"/>
              <w:rPr>
                <w:rFonts w:cstheme="minorHAnsi"/>
              </w:rPr>
            </w:pPr>
            <w:r w:rsidRPr="007379B7">
              <w:rPr>
                <w:rFonts w:cstheme="minorHAnsi"/>
                <w:i/>
                <w:iCs/>
              </w:rPr>
              <w:t>R</w:t>
            </w:r>
            <w:r w:rsidRPr="007379B7">
              <w:rPr>
                <w:rFonts w:cstheme="minorHAnsi"/>
                <w:vertAlign w:val="superscript"/>
              </w:rPr>
              <w:t>2</w:t>
            </w:r>
          </w:p>
        </w:tc>
        <w:tc>
          <w:tcPr>
            <w:tcW w:w="0" w:type="auto"/>
          </w:tcPr>
          <w:p w14:paraId="04BC7881" w14:textId="77777777" w:rsidR="00E648B0" w:rsidRPr="007379B7" w:rsidRDefault="00E648B0" w:rsidP="007379B7">
            <w:pPr>
              <w:pStyle w:val="NoSpacing"/>
              <w:rPr>
                <w:rFonts w:cstheme="minorHAnsi"/>
              </w:rPr>
            </w:pPr>
          </w:p>
        </w:tc>
        <w:tc>
          <w:tcPr>
            <w:tcW w:w="0" w:type="auto"/>
          </w:tcPr>
          <w:p w14:paraId="47F57C74" w14:textId="786E0329" w:rsidR="00E648B0" w:rsidRPr="007379B7" w:rsidRDefault="00E648B0" w:rsidP="007379B7">
            <w:pPr>
              <w:pStyle w:val="NoSpacing"/>
              <w:rPr>
                <w:rFonts w:cstheme="minorHAnsi"/>
              </w:rPr>
            </w:pPr>
            <w:r w:rsidRPr="007379B7">
              <w:rPr>
                <w:rFonts w:cstheme="minorHAnsi"/>
              </w:rPr>
              <w:t>.53</w:t>
            </w:r>
          </w:p>
        </w:tc>
        <w:tc>
          <w:tcPr>
            <w:tcW w:w="0" w:type="auto"/>
          </w:tcPr>
          <w:p w14:paraId="2FB43759" w14:textId="77777777" w:rsidR="00E648B0" w:rsidRPr="007379B7" w:rsidRDefault="00E648B0" w:rsidP="007379B7">
            <w:pPr>
              <w:pStyle w:val="NoSpacing"/>
              <w:rPr>
                <w:rFonts w:cstheme="minorHAnsi"/>
              </w:rPr>
            </w:pPr>
          </w:p>
        </w:tc>
      </w:tr>
      <w:tr w:rsidR="00E648B0" w:rsidRPr="007379B7" w14:paraId="090D0021" w14:textId="77777777" w:rsidTr="001D16F2">
        <w:trPr>
          <w:trHeight w:val="287"/>
        </w:trPr>
        <w:tc>
          <w:tcPr>
            <w:tcW w:w="0" w:type="auto"/>
          </w:tcPr>
          <w:p w14:paraId="1A5E4774" w14:textId="008A73C2" w:rsidR="00E648B0" w:rsidRPr="007379B7" w:rsidRDefault="00E648B0" w:rsidP="007379B7">
            <w:pPr>
              <w:pStyle w:val="NoSpacing"/>
              <w:rPr>
                <w:rFonts w:cstheme="minorHAnsi"/>
                <w:i/>
                <w:iCs/>
              </w:rPr>
            </w:pPr>
            <w:r w:rsidRPr="007379B7">
              <w:rPr>
                <w:rFonts w:cstheme="minorHAnsi"/>
              </w:rPr>
              <w:t>Log likelihood</w:t>
            </w:r>
          </w:p>
        </w:tc>
        <w:tc>
          <w:tcPr>
            <w:tcW w:w="0" w:type="auto"/>
          </w:tcPr>
          <w:p w14:paraId="2DE7E710" w14:textId="77777777" w:rsidR="00E648B0" w:rsidRPr="007379B7" w:rsidRDefault="00E648B0" w:rsidP="007379B7">
            <w:pPr>
              <w:pStyle w:val="NoSpacing"/>
              <w:rPr>
                <w:rFonts w:cstheme="minorHAnsi"/>
              </w:rPr>
            </w:pPr>
          </w:p>
        </w:tc>
        <w:tc>
          <w:tcPr>
            <w:tcW w:w="0" w:type="auto"/>
          </w:tcPr>
          <w:p w14:paraId="349813F3" w14:textId="31BC008F" w:rsidR="00E648B0" w:rsidRPr="007379B7" w:rsidRDefault="00E648B0" w:rsidP="007379B7">
            <w:pPr>
              <w:pStyle w:val="NoSpacing"/>
              <w:rPr>
                <w:rFonts w:cstheme="minorHAnsi"/>
              </w:rPr>
            </w:pPr>
            <w:r w:rsidRPr="007379B7">
              <w:rPr>
                <w:rFonts w:cstheme="minorHAnsi"/>
              </w:rPr>
              <w:t>−608.07</w:t>
            </w:r>
          </w:p>
        </w:tc>
        <w:tc>
          <w:tcPr>
            <w:tcW w:w="0" w:type="auto"/>
          </w:tcPr>
          <w:p w14:paraId="49422186" w14:textId="77777777" w:rsidR="00E648B0" w:rsidRPr="007379B7" w:rsidRDefault="00E648B0" w:rsidP="007379B7">
            <w:pPr>
              <w:pStyle w:val="NoSpacing"/>
              <w:rPr>
                <w:rFonts w:cstheme="minorHAnsi"/>
              </w:rPr>
            </w:pPr>
          </w:p>
        </w:tc>
      </w:tr>
      <w:tr w:rsidR="00E648B0" w:rsidRPr="007379B7" w14:paraId="010ACD76" w14:textId="77777777" w:rsidTr="001D16F2">
        <w:trPr>
          <w:trHeight w:val="197"/>
        </w:trPr>
        <w:tc>
          <w:tcPr>
            <w:tcW w:w="0" w:type="auto"/>
          </w:tcPr>
          <w:p w14:paraId="2AF4C1D4" w14:textId="6E2FAD04" w:rsidR="00E648B0" w:rsidRPr="007379B7" w:rsidRDefault="00E648B0" w:rsidP="007379B7">
            <w:pPr>
              <w:pStyle w:val="NoSpacing"/>
              <w:rPr>
                <w:rFonts w:cstheme="minorHAnsi"/>
                <w:i/>
                <w:iCs/>
              </w:rPr>
            </w:pPr>
            <w:r w:rsidRPr="007379B7">
              <w:rPr>
                <w:rFonts w:cstheme="minorHAnsi"/>
              </w:rPr>
              <w:t>Akaike information criterion</w:t>
            </w:r>
          </w:p>
        </w:tc>
        <w:tc>
          <w:tcPr>
            <w:tcW w:w="0" w:type="auto"/>
          </w:tcPr>
          <w:p w14:paraId="0ABCBB55" w14:textId="77777777" w:rsidR="00E648B0" w:rsidRPr="007379B7" w:rsidRDefault="00E648B0" w:rsidP="007379B7">
            <w:pPr>
              <w:pStyle w:val="NoSpacing"/>
              <w:rPr>
                <w:rFonts w:cstheme="minorHAnsi"/>
              </w:rPr>
            </w:pPr>
          </w:p>
        </w:tc>
        <w:tc>
          <w:tcPr>
            <w:tcW w:w="0" w:type="auto"/>
          </w:tcPr>
          <w:p w14:paraId="056B7324" w14:textId="526CB121" w:rsidR="00E648B0" w:rsidRPr="007379B7" w:rsidRDefault="00E648B0" w:rsidP="007379B7">
            <w:pPr>
              <w:pStyle w:val="NoSpacing"/>
              <w:rPr>
                <w:rFonts w:cstheme="minorHAnsi"/>
              </w:rPr>
            </w:pPr>
            <w:r w:rsidRPr="007379B7">
              <w:rPr>
                <w:rFonts w:cstheme="minorHAnsi"/>
              </w:rPr>
              <w:t>1,232.15</w:t>
            </w:r>
          </w:p>
        </w:tc>
        <w:tc>
          <w:tcPr>
            <w:tcW w:w="0" w:type="auto"/>
          </w:tcPr>
          <w:p w14:paraId="062CD598" w14:textId="77777777" w:rsidR="00E648B0" w:rsidRPr="007379B7" w:rsidRDefault="00E648B0" w:rsidP="007379B7">
            <w:pPr>
              <w:pStyle w:val="NoSpacing"/>
              <w:rPr>
                <w:rFonts w:cstheme="minorHAnsi"/>
              </w:rPr>
            </w:pPr>
          </w:p>
        </w:tc>
      </w:tr>
      <w:tr w:rsidR="00E648B0" w:rsidRPr="007379B7" w14:paraId="7C525D77" w14:textId="77777777" w:rsidTr="001D16F2">
        <w:trPr>
          <w:trHeight w:val="230"/>
        </w:trPr>
        <w:tc>
          <w:tcPr>
            <w:tcW w:w="0" w:type="auto"/>
          </w:tcPr>
          <w:p w14:paraId="5DBA8C38" w14:textId="77777777" w:rsidR="00E648B0" w:rsidRPr="007379B7" w:rsidRDefault="00E648B0" w:rsidP="007379B7">
            <w:pPr>
              <w:pStyle w:val="NoSpacing"/>
              <w:rPr>
                <w:rFonts w:cstheme="minorHAnsi"/>
              </w:rPr>
            </w:pPr>
            <w:r w:rsidRPr="007379B7">
              <w:rPr>
                <w:rFonts w:cstheme="minorHAnsi"/>
              </w:rPr>
              <w:t>Schwarz criterion</w:t>
            </w:r>
          </w:p>
        </w:tc>
        <w:tc>
          <w:tcPr>
            <w:tcW w:w="0" w:type="auto"/>
          </w:tcPr>
          <w:p w14:paraId="58A22E7D" w14:textId="77777777" w:rsidR="00E648B0" w:rsidRPr="007379B7" w:rsidRDefault="00E648B0" w:rsidP="007379B7">
            <w:pPr>
              <w:pStyle w:val="NoSpacing"/>
              <w:rPr>
                <w:rFonts w:cstheme="minorHAnsi"/>
              </w:rPr>
            </w:pPr>
          </w:p>
        </w:tc>
        <w:tc>
          <w:tcPr>
            <w:tcW w:w="0" w:type="auto"/>
          </w:tcPr>
          <w:p w14:paraId="60DE4BB2" w14:textId="77777777" w:rsidR="00E648B0" w:rsidRPr="007379B7" w:rsidRDefault="00E648B0" w:rsidP="007379B7">
            <w:pPr>
              <w:pStyle w:val="NoSpacing"/>
              <w:rPr>
                <w:rFonts w:cstheme="minorHAnsi"/>
              </w:rPr>
            </w:pPr>
            <w:r w:rsidRPr="007379B7">
              <w:rPr>
                <w:rFonts w:cstheme="minorHAnsi"/>
              </w:rPr>
              <w:t>1,266.95</w:t>
            </w:r>
          </w:p>
        </w:tc>
        <w:tc>
          <w:tcPr>
            <w:tcW w:w="0" w:type="auto"/>
          </w:tcPr>
          <w:p w14:paraId="4B0AE725" w14:textId="77777777" w:rsidR="00E648B0" w:rsidRPr="007379B7" w:rsidRDefault="00E648B0" w:rsidP="007379B7">
            <w:pPr>
              <w:pStyle w:val="NoSpacing"/>
              <w:rPr>
                <w:rFonts w:cstheme="minorHAnsi"/>
              </w:rPr>
            </w:pPr>
          </w:p>
        </w:tc>
      </w:tr>
      <w:tr w:rsidR="00E648B0" w:rsidRPr="007379B7" w14:paraId="7CA2317D" w14:textId="77777777" w:rsidTr="001D16F2">
        <w:trPr>
          <w:trHeight w:val="230"/>
        </w:trPr>
        <w:tc>
          <w:tcPr>
            <w:tcW w:w="0" w:type="auto"/>
          </w:tcPr>
          <w:p w14:paraId="7ED89510" w14:textId="77777777" w:rsidR="00E648B0" w:rsidRPr="007379B7" w:rsidRDefault="00E648B0" w:rsidP="007379B7">
            <w:pPr>
              <w:pStyle w:val="NoSpacing"/>
              <w:rPr>
                <w:rFonts w:cstheme="minorHAnsi"/>
              </w:rPr>
            </w:pPr>
            <w:r w:rsidRPr="007379B7">
              <w:rPr>
                <w:rFonts w:cstheme="minorHAnsi"/>
              </w:rPr>
              <w:t>Number of observations</w:t>
            </w:r>
          </w:p>
        </w:tc>
        <w:tc>
          <w:tcPr>
            <w:tcW w:w="0" w:type="auto"/>
          </w:tcPr>
          <w:p w14:paraId="55DB8A50" w14:textId="77777777" w:rsidR="00E648B0" w:rsidRPr="007379B7" w:rsidRDefault="00E648B0" w:rsidP="007379B7">
            <w:pPr>
              <w:pStyle w:val="NoSpacing"/>
              <w:rPr>
                <w:rFonts w:cstheme="minorHAnsi"/>
              </w:rPr>
            </w:pPr>
          </w:p>
        </w:tc>
        <w:tc>
          <w:tcPr>
            <w:tcW w:w="0" w:type="auto"/>
          </w:tcPr>
          <w:p w14:paraId="6255F082" w14:textId="77777777" w:rsidR="00E648B0" w:rsidRPr="007379B7" w:rsidRDefault="00E648B0" w:rsidP="007379B7">
            <w:pPr>
              <w:pStyle w:val="NoSpacing"/>
              <w:rPr>
                <w:rFonts w:cstheme="minorHAnsi"/>
              </w:rPr>
            </w:pPr>
            <w:r w:rsidRPr="007379B7">
              <w:rPr>
                <w:rFonts w:cstheme="minorHAnsi"/>
              </w:rPr>
              <w:t>572</w:t>
            </w:r>
          </w:p>
        </w:tc>
        <w:tc>
          <w:tcPr>
            <w:tcW w:w="0" w:type="auto"/>
          </w:tcPr>
          <w:p w14:paraId="15F89614" w14:textId="77777777" w:rsidR="00E648B0" w:rsidRPr="007379B7" w:rsidRDefault="00E648B0" w:rsidP="007379B7">
            <w:pPr>
              <w:pStyle w:val="NoSpacing"/>
              <w:rPr>
                <w:rFonts w:cstheme="minorHAnsi"/>
              </w:rPr>
            </w:pPr>
          </w:p>
        </w:tc>
      </w:tr>
      <w:tr w:rsidR="00E648B0" w:rsidRPr="007379B7" w14:paraId="7CB7A3DB" w14:textId="77777777" w:rsidTr="001D16F2">
        <w:trPr>
          <w:trHeight w:val="230"/>
        </w:trPr>
        <w:tc>
          <w:tcPr>
            <w:tcW w:w="0" w:type="auto"/>
          </w:tcPr>
          <w:p w14:paraId="75517966" w14:textId="77777777" w:rsidR="00E648B0" w:rsidRPr="007379B7" w:rsidRDefault="00E648B0" w:rsidP="007379B7">
            <w:pPr>
              <w:pStyle w:val="NoSpacing"/>
              <w:rPr>
                <w:rFonts w:cstheme="minorHAnsi"/>
              </w:rPr>
            </w:pPr>
            <w:r w:rsidRPr="007379B7">
              <w:rPr>
                <w:rFonts w:cstheme="minorHAnsi"/>
              </w:rPr>
              <w:t>Number of variables</w:t>
            </w:r>
          </w:p>
        </w:tc>
        <w:tc>
          <w:tcPr>
            <w:tcW w:w="0" w:type="auto"/>
          </w:tcPr>
          <w:p w14:paraId="51AB3AF6" w14:textId="77777777" w:rsidR="00E648B0" w:rsidRPr="007379B7" w:rsidRDefault="00E648B0" w:rsidP="007379B7">
            <w:pPr>
              <w:pStyle w:val="NoSpacing"/>
              <w:rPr>
                <w:rFonts w:cstheme="minorHAnsi"/>
              </w:rPr>
            </w:pPr>
          </w:p>
        </w:tc>
        <w:tc>
          <w:tcPr>
            <w:tcW w:w="0" w:type="auto"/>
          </w:tcPr>
          <w:p w14:paraId="3101C16A" w14:textId="77777777" w:rsidR="00E648B0" w:rsidRPr="007379B7" w:rsidRDefault="00E648B0" w:rsidP="007379B7">
            <w:pPr>
              <w:pStyle w:val="NoSpacing"/>
              <w:rPr>
                <w:rFonts w:cstheme="minorHAnsi"/>
              </w:rPr>
            </w:pPr>
            <w:r w:rsidRPr="007379B7">
              <w:rPr>
                <w:rFonts w:cstheme="minorHAnsi"/>
              </w:rPr>
              <w:t>8</w:t>
            </w:r>
          </w:p>
        </w:tc>
        <w:tc>
          <w:tcPr>
            <w:tcW w:w="0" w:type="auto"/>
          </w:tcPr>
          <w:p w14:paraId="2B65D561" w14:textId="77777777" w:rsidR="00E648B0" w:rsidRPr="007379B7" w:rsidRDefault="00E648B0" w:rsidP="007379B7">
            <w:pPr>
              <w:pStyle w:val="NoSpacing"/>
              <w:rPr>
                <w:rFonts w:cstheme="minorHAnsi"/>
              </w:rPr>
            </w:pPr>
          </w:p>
        </w:tc>
      </w:tr>
      <w:tr w:rsidR="00E648B0" w:rsidRPr="007379B7" w14:paraId="054EC9C1" w14:textId="77777777" w:rsidTr="001D16F2">
        <w:trPr>
          <w:trHeight w:val="230"/>
        </w:trPr>
        <w:tc>
          <w:tcPr>
            <w:tcW w:w="0" w:type="auto"/>
          </w:tcPr>
          <w:p w14:paraId="2C15FC8D" w14:textId="77777777" w:rsidR="00E648B0" w:rsidRPr="007379B7" w:rsidRDefault="00E648B0" w:rsidP="007379B7">
            <w:pPr>
              <w:pStyle w:val="NoSpacing"/>
              <w:rPr>
                <w:rFonts w:cstheme="minorHAnsi"/>
              </w:rPr>
            </w:pPr>
            <w:r w:rsidRPr="007379B7">
              <w:rPr>
                <w:rFonts w:cstheme="minorHAnsi"/>
              </w:rPr>
              <w:t>Degrees of freedom</w:t>
            </w:r>
          </w:p>
        </w:tc>
        <w:tc>
          <w:tcPr>
            <w:tcW w:w="0" w:type="auto"/>
          </w:tcPr>
          <w:p w14:paraId="62866797" w14:textId="77777777" w:rsidR="00E648B0" w:rsidRPr="007379B7" w:rsidRDefault="00E648B0" w:rsidP="007379B7">
            <w:pPr>
              <w:pStyle w:val="NoSpacing"/>
              <w:rPr>
                <w:rFonts w:cstheme="minorHAnsi"/>
              </w:rPr>
            </w:pPr>
          </w:p>
        </w:tc>
        <w:tc>
          <w:tcPr>
            <w:tcW w:w="0" w:type="auto"/>
          </w:tcPr>
          <w:p w14:paraId="5940F8CD" w14:textId="77777777" w:rsidR="00E648B0" w:rsidRPr="007379B7" w:rsidRDefault="00E648B0" w:rsidP="007379B7">
            <w:pPr>
              <w:pStyle w:val="NoSpacing"/>
              <w:rPr>
                <w:rFonts w:cstheme="minorHAnsi"/>
              </w:rPr>
            </w:pPr>
            <w:r w:rsidRPr="007379B7">
              <w:rPr>
                <w:rFonts w:cstheme="minorHAnsi"/>
              </w:rPr>
              <w:t>564</w:t>
            </w:r>
          </w:p>
        </w:tc>
        <w:tc>
          <w:tcPr>
            <w:tcW w:w="0" w:type="auto"/>
          </w:tcPr>
          <w:p w14:paraId="2C95AE5C" w14:textId="77777777" w:rsidR="00E648B0" w:rsidRPr="007379B7" w:rsidRDefault="00E648B0" w:rsidP="007379B7">
            <w:pPr>
              <w:pStyle w:val="NoSpacing"/>
              <w:rPr>
                <w:rFonts w:cstheme="minorHAnsi"/>
              </w:rPr>
            </w:pPr>
          </w:p>
        </w:tc>
      </w:tr>
      <w:tr w:rsidR="001D16F2" w:rsidRPr="007379B7" w14:paraId="6D5AB9B4" w14:textId="77777777" w:rsidTr="001D16F2">
        <w:trPr>
          <w:trHeight w:val="181"/>
        </w:trPr>
        <w:tc>
          <w:tcPr>
            <w:tcW w:w="0" w:type="auto"/>
          </w:tcPr>
          <w:p w14:paraId="7430FA1C" w14:textId="77632C5A" w:rsidR="00E648B0" w:rsidRPr="007379B7" w:rsidRDefault="00E648B0" w:rsidP="007379B7">
            <w:pPr>
              <w:pStyle w:val="NoSpacing"/>
              <w:rPr>
                <w:rFonts w:cstheme="minorHAnsi"/>
              </w:rPr>
            </w:pPr>
            <w:r w:rsidRPr="007379B7">
              <w:rPr>
                <w:rFonts w:cstheme="minorHAnsi"/>
              </w:rPr>
              <w:t>Multicollinearity condition number</w:t>
            </w:r>
          </w:p>
        </w:tc>
        <w:tc>
          <w:tcPr>
            <w:tcW w:w="0" w:type="auto"/>
          </w:tcPr>
          <w:p w14:paraId="15F7F7F0" w14:textId="77777777" w:rsidR="00E648B0" w:rsidRPr="007379B7" w:rsidRDefault="00E648B0" w:rsidP="007379B7">
            <w:pPr>
              <w:pStyle w:val="NoSpacing"/>
              <w:rPr>
                <w:rFonts w:cstheme="minorHAnsi"/>
              </w:rPr>
            </w:pPr>
          </w:p>
        </w:tc>
        <w:tc>
          <w:tcPr>
            <w:tcW w:w="0" w:type="auto"/>
          </w:tcPr>
          <w:p w14:paraId="64EF7E17" w14:textId="77777777" w:rsidR="00E648B0" w:rsidRPr="007379B7" w:rsidRDefault="00E648B0" w:rsidP="007379B7">
            <w:pPr>
              <w:pStyle w:val="NoSpacing"/>
              <w:rPr>
                <w:rFonts w:cstheme="minorHAnsi"/>
              </w:rPr>
            </w:pPr>
            <w:r w:rsidRPr="007379B7">
              <w:rPr>
                <w:rFonts w:cstheme="minorHAnsi"/>
              </w:rPr>
              <w:t>2.99</w:t>
            </w:r>
          </w:p>
        </w:tc>
        <w:tc>
          <w:tcPr>
            <w:tcW w:w="0" w:type="auto"/>
          </w:tcPr>
          <w:p w14:paraId="52C51245" w14:textId="77777777" w:rsidR="00E648B0" w:rsidRPr="007379B7" w:rsidRDefault="00E648B0" w:rsidP="007379B7">
            <w:pPr>
              <w:pStyle w:val="NoSpacing"/>
              <w:rPr>
                <w:rFonts w:cstheme="minorHAnsi"/>
              </w:rPr>
            </w:pPr>
          </w:p>
        </w:tc>
      </w:tr>
      <w:tr w:rsidR="00E648B0" w:rsidRPr="007379B7" w14:paraId="585AB9FE" w14:textId="77777777" w:rsidTr="001D16F2">
        <w:trPr>
          <w:trHeight w:val="337"/>
        </w:trPr>
        <w:tc>
          <w:tcPr>
            <w:tcW w:w="0" w:type="auto"/>
          </w:tcPr>
          <w:p w14:paraId="13AA66D2" w14:textId="118F4B7C" w:rsidR="00E648B0" w:rsidRPr="007379B7" w:rsidRDefault="00E648B0" w:rsidP="007379B7">
            <w:pPr>
              <w:pStyle w:val="NoSpacing"/>
              <w:rPr>
                <w:rFonts w:cstheme="minorHAnsi"/>
              </w:rPr>
            </w:pPr>
            <w:r w:rsidRPr="007379B7">
              <w:rPr>
                <w:rFonts w:cstheme="minorHAnsi"/>
              </w:rPr>
              <w:t>Model 2: Alcohol availability</w:t>
            </w:r>
          </w:p>
        </w:tc>
        <w:tc>
          <w:tcPr>
            <w:tcW w:w="0" w:type="auto"/>
          </w:tcPr>
          <w:p w14:paraId="0B3738DF" w14:textId="77777777" w:rsidR="00E648B0" w:rsidRPr="007379B7" w:rsidRDefault="00E648B0" w:rsidP="007379B7">
            <w:pPr>
              <w:pStyle w:val="NoSpacing"/>
              <w:rPr>
                <w:rFonts w:cstheme="minorHAnsi"/>
              </w:rPr>
            </w:pPr>
          </w:p>
        </w:tc>
        <w:tc>
          <w:tcPr>
            <w:tcW w:w="0" w:type="auto"/>
          </w:tcPr>
          <w:p w14:paraId="608D676D" w14:textId="77777777" w:rsidR="00E648B0" w:rsidRPr="007379B7" w:rsidRDefault="00E648B0" w:rsidP="007379B7">
            <w:pPr>
              <w:pStyle w:val="NoSpacing"/>
              <w:rPr>
                <w:rFonts w:cstheme="minorHAnsi"/>
              </w:rPr>
            </w:pPr>
          </w:p>
        </w:tc>
        <w:tc>
          <w:tcPr>
            <w:tcW w:w="0" w:type="auto"/>
          </w:tcPr>
          <w:p w14:paraId="2BC5A514" w14:textId="77777777" w:rsidR="00E648B0" w:rsidRPr="007379B7" w:rsidRDefault="00E648B0" w:rsidP="007379B7">
            <w:pPr>
              <w:pStyle w:val="NoSpacing"/>
              <w:rPr>
                <w:rFonts w:cstheme="minorHAnsi"/>
              </w:rPr>
            </w:pPr>
          </w:p>
        </w:tc>
      </w:tr>
      <w:tr w:rsidR="00E648B0" w:rsidRPr="007379B7" w14:paraId="2D81CFB1" w14:textId="77777777" w:rsidTr="001D16F2">
        <w:trPr>
          <w:trHeight w:val="230"/>
        </w:trPr>
        <w:tc>
          <w:tcPr>
            <w:tcW w:w="0" w:type="auto"/>
          </w:tcPr>
          <w:p w14:paraId="4C932A06" w14:textId="77777777" w:rsidR="00E648B0" w:rsidRPr="007379B7" w:rsidRDefault="00E648B0" w:rsidP="007379B7">
            <w:pPr>
              <w:pStyle w:val="NoSpacing"/>
              <w:rPr>
                <w:rFonts w:cstheme="minorHAnsi"/>
              </w:rPr>
            </w:pPr>
            <w:r w:rsidRPr="007379B7">
              <w:rPr>
                <w:rFonts w:cstheme="minorHAnsi"/>
              </w:rPr>
              <w:t>Ethnic heterogeneity</w:t>
            </w:r>
          </w:p>
        </w:tc>
        <w:tc>
          <w:tcPr>
            <w:tcW w:w="0" w:type="auto"/>
          </w:tcPr>
          <w:p w14:paraId="44BFF6EE" w14:textId="77777777" w:rsidR="00E648B0" w:rsidRPr="007379B7" w:rsidRDefault="00E648B0" w:rsidP="007379B7">
            <w:pPr>
              <w:pStyle w:val="NoSpacing"/>
              <w:rPr>
                <w:rFonts w:cstheme="minorHAnsi"/>
              </w:rPr>
            </w:pPr>
            <w:r w:rsidRPr="007379B7">
              <w:rPr>
                <w:rFonts w:cstheme="minorHAnsi"/>
              </w:rPr>
              <w:t>−0.01</w:t>
            </w:r>
          </w:p>
        </w:tc>
        <w:tc>
          <w:tcPr>
            <w:tcW w:w="0" w:type="auto"/>
          </w:tcPr>
          <w:p w14:paraId="1370DEA2" w14:textId="77777777" w:rsidR="00E648B0" w:rsidRPr="007379B7" w:rsidRDefault="00E648B0" w:rsidP="007379B7">
            <w:pPr>
              <w:pStyle w:val="NoSpacing"/>
              <w:rPr>
                <w:rFonts w:cstheme="minorHAnsi"/>
              </w:rPr>
            </w:pPr>
            <w:r w:rsidRPr="007379B7">
              <w:rPr>
                <w:rFonts w:cstheme="minorHAnsi"/>
              </w:rPr>
              <w:t>0.03</w:t>
            </w:r>
          </w:p>
        </w:tc>
        <w:tc>
          <w:tcPr>
            <w:tcW w:w="0" w:type="auto"/>
          </w:tcPr>
          <w:p w14:paraId="6C199BFB" w14:textId="77777777" w:rsidR="00E648B0" w:rsidRPr="007379B7" w:rsidRDefault="00E648B0" w:rsidP="007379B7">
            <w:pPr>
              <w:pStyle w:val="NoSpacing"/>
              <w:rPr>
                <w:rFonts w:cstheme="minorHAnsi"/>
              </w:rPr>
            </w:pPr>
            <w:r w:rsidRPr="007379B7">
              <w:rPr>
                <w:rFonts w:cstheme="minorHAnsi"/>
              </w:rPr>
              <w:t>.68</w:t>
            </w:r>
          </w:p>
        </w:tc>
      </w:tr>
      <w:tr w:rsidR="00E648B0" w:rsidRPr="007379B7" w14:paraId="6588677D" w14:textId="77777777" w:rsidTr="001D16F2">
        <w:trPr>
          <w:trHeight w:val="230"/>
        </w:trPr>
        <w:tc>
          <w:tcPr>
            <w:tcW w:w="0" w:type="auto"/>
          </w:tcPr>
          <w:p w14:paraId="6809752B" w14:textId="77777777" w:rsidR="00E648B0" w:rsidRPr="007379B7" w:rsidRDefault="00E648B0" w:rsidP="007379B7">
            <w:pPr>
              <w:pStyle w:val="NoSpacing"/>
              <w:rPr>
                <w:rFonts w:cstheme="minorHAnsi"/>
              </w:rPr>
            </w:pPr>
            <w:r w:rsidRPr="007379B7">
              <w:rPr>
                <w:rFonts w:cstheme="minorHAnsi"/>
              </w:rPr>
              <w:t>Concentrated disadvantage</w:t>
            </w:r>
          </w:p>
        </w:tc>
        <w:tc>
          <w:tcPr>
            <w:tcW w:w="0" w:type="auto"/>
          </w:tcPr>
          <w:p w14:paraId="4DE0D17B" w14:textId="77777777" w:rsidR="00E648B0" w:rsidRPr="007379B7" w:rsidRDefault="00E648B0" w:rsidP="007379B7">
            <w:pPr>
              <w:pStyle w:val="NoSpacing"/>
              <w:rPr>
                <w:rFonts w:cstheme="minorHAnsi"/>
              </w:rPr>
            </w:pPr>
            <w:r w:rsidRPr="007379B7">
              <w:rPr>
                <w:rFonts w:cstheme="minorHAnsi"/>
              </w:rPr>
              <w:t>0.10</w:t>
            </w:r>
          </w:p>
        </w:tc>
        <w:tc>
          <w:tcPr>
            <w:tcW w:w="0" w:type="auto"/>
          </w:tcPr>
          <w:p w14:paraId="44D133E0" w14:textId="77777777" w:rsidR="00E648B0" w:rsidRPr="007379B7" w:rsidRDefault="00E648B0" w:rsidP="007379B7">
            <w:pPr>
              <w:pStyle w:val="NoSpacing"/>
              <w:rPr>
                <w:rFonts w:cstheme="minorHAnsi"/>
              </w:rPr>
            </w:pPr>
            <w:r w:rsidRPr="007379B7">
              <w:rPr>
                <w:rFonts w:cstheme="minorHAnsi"/>
              </w:rPr>
              <w:t>0.04</w:t>
            </w:r>
          </w:p>
        </w:tc>
        <w:tc>
          <w:tcPr>
            <w:tcW w:w="0" w:type="auto"/>
          </w:tcPr>
          <w:p w14:paraId="28BFEA33" w14:textId="77777777" w:rsidR="00E648B0" w:rsidRPr="007379B7" w:rsidRDefault="00E648B0" w:rsidP="007379B7">
            <w:pPr>
              <w:pStyle w:val="NoSpacing"/>
              <w:rPr>
                <w:rFonts w:cstheme="minorHAnsi"/>
              </w:rPr>
            </w:pPr>
            <w:r w:rsidRPr="007379B7">
              <w:rPr>
                <w:rFonts w:cstheme="minorHAnsi"/>
              </w:rPr>
              <w:t>.01</w:t>
            </w:r>
          </w:p>
        </w:tc>
      </w:tr>
      <w:tr w:rsidR="00E648B0" w:rsidRPr="007379B7" w14:paraId="54450F17" w14:textId="77777777" w:rsidTr="001D16F2">
        <w:trPr>
          <w:trHeight w:val="230"/>
        </w:trPr>
        <w:tc>
          <w:tcPr>
            <w:tcW w:w="0" w:type="auto"/>
          </w:tcPr>
          <w:p w14:paraId="3CF712C2" w14:textId="77777777" w:rsidR="00E648B0" w:rsidRPr="007379B7" w:rsidRDefault="00E648B0" w:rsidP="007379B7">
            <w:pPr>
              <w:pStyle w:val="NoSpacing"/>
              <w:rPr>
                <w:rFonts w:cstheme="minorHAnsi"/>
              </w:rPr>
            </w:pPr>
            <w:r w:rsidRPr="007379B7">
              <w:rPr>
                <w:rFonts w:cstheme="minorHAnsi"/>
              </w:rPr>
              <w:t>Concentrated immigration</w:t>
            </w:r>
          </w:p>
        </w:tc>
        <w:tc>
          <w:tcPr>
            <w:tcW w:w="0" w:type="auto"/>
          </w:tcPr>
          <w:p w14:paraId="6D9768FA" w14:textId="77777777" w:rsidR="00E648B0" w:rsidRPr="007379B7" w:rsidRDefault="00E648B0" w:rsidP="007379B7">
            <w:pPr>
              <w:pStyle w:val="NoSpacing"/>
              <w:rPr>
                <w:rFonts w:cstheme="minorHAnsi"/>
              </w:rPr>
            </w:pPr>
            <w:r w:rsidRPr="007379B7">
              <w:rPr>
                <w:rFonts w:cstheme="minorHAnsi"/>
              </w:rPr>
              <w:t>0.10</w:t>
            </w:r>
          </w:p>
        </w:tc>
        <w:tc>
          <w:tcPr>
            <w:tcW w:w="0" w:type="auto"/>
          </w:tcPr>
          <w:p w14:paraId="64A32A1E" w14:textId="77777777" w:rsidR="00E648B0" w:rsidRPr="007379B7" w:rsidRDefault="00E648B0" w:rsidP="007379B7">
            <w:pPr>
              <w:pStyle w:val="NoSpacing"/>
              <w:rPr>
                <w:rFonts w:cstheme="minorHAnsi"/>
              </w:rPr>
            </w:pPr>
            <w:r w:rsidRPr="007379B7">
              <w:rPr>
                <w:rFonts w:cstheme="minorHAnsi"/>
              </w:rPr>
              <w:t>0.04</w:t>
            </w:r>
          </w:p>
        </w:tc>
        <w:tc>
          <w:tcPr>
            <w:tcW w:w="0" w:type="auto"/>
          </w:tcPr>
          <w:p w14:paraId="62939EEF" w14:textId="77777777" w:rsidR="00E648B0" w:rsidRPr="007379B7" w:rsidRDefault="00E648B0" w:rsidP="007379B7">
            <w:pPr>
              <w:pStyle w:val="NoSpacing"/>
              <w:rPr>
                <w:rFonts w:cstheme="minorHAnsi"/>
              </w:rPr>
            </w:pPr>
            <w:r w:rsidRPr="007379B7">
              <w:rPr>
                <w:rFonts w:cstheme="minorHAnsi"/>
              </w:rPr>
              <w:t>.02</w:t>
            </w:r>
          </w:p>
        </w:tc>
      </w:tr>
      <w:tr w:rsidR="00E648B0" w:rsidRPr="007379B7" w14:paraId="26B1BD5B" w14:textId="77777777" w:rsidTr="001D16F2">
        <w:trPr>
          <w:trHeight w:val="230"/>
        </w:trPr>
        <w:tc>
          <w:tcPr>
            <w:tcW w:w="0" w:type="auto"/>
          </w:tcPr>
          <w:p w14:paraId="7860BE24" w14:textId="77777777" w:rsidR="00E648B0" w:rsidRPr="007379B7" w:rsidRDefault="00E648B0" w:rsidP="007379B7">
            <w:pPr>
              <w:pStyle w:val="NoSpacing"/>
              <w:rPr>
                <w:rFonts w:cstheme="minorHAnsi"/>
              </w:rPr>
            </w:pPr>
            <w:r w:rsidRPr="007379B7">
              <w:rPr>
                <w:rFonts w:cstheme="minorHAnsi"/>
              </w:rPr>
              <w:t>Residential stability</w:t>
            </w:r>
          </w:p>
        </w:tc>
        <w:tc>
          <w:tcPr>
            <w:tcW w:w="0" w:type="auto"/>
          </w:tcPr>
          <w:p w14:paraId="326B74A6" w14:textId="77777777" w:rsidR="00E648B0" w:rsidRPr="007379B7" w:rsidRDefault="00E648B0" w:rsidP="007379B7">
            <w:pPr>
              <w:pStyle w:val="NoSpacing"/>
              <w:rPr>
                <w:rFonts w:cstheme="minorHAnsi"/>
              </w:rPr>
            </w:pPr>
            <w:r w:rsidRPr="007379B7">
              <w:rPr>
                <w:rFonts w:cstheme="minorHAnsi"/>
              </w:rPr>
              <w:t>−0.09</w:t>
            </w:r>
          </w:p>
        </w:tc>
        <w:tc>
          <w:tcPr>
            <w:tcW w:w="0" w:type="auto"/>
          </w:tcPr>
          <w:p w14:paraId="5F66CAA9" w14:textId="77777777" w:rsidR="00E648B0" w:rsidRPr="007379B7" w:rsidRDefault="00E648B0" w:rsidP="007379B7">
            <w:pPr>
              <w:pStyle w:val="NoSpacing"/>
              <w:rPr>
                <w:rFonts w:cstheme="minorHAnsi"/>
              </w:rPr>
            </w:pPr>
            <w:r w:rsidRPr="007379B7">
              <w:rPr>
                <w:rFonts w:cstheme="minorHAnsi"/>
              </w:rPr>
              <w:t>0.03</w:t>
            </w:r>
          </w:p>
        </w:tc>
        <w:tc>
          <w:tcPr>
            <w:tcW w:w="0" w:type="auto"/>
          </w:tcPr>
          <w:p w14:paraId="0579A4BE" w14:textId="77777777" w:rsidR="00E648B0" w:rsidRPr="007379B7" w:rsidRDefault="00E648B0" w:rsidP="007379B7">
            <w:pPr>
              <w:pStyle w:val="NoSpacing"/>
              <w:rPr>
                <w:rFonts w:cstheme="minorHAnsi"/>
              </w:rPr>
            </w:pPr>
            <w:r w:rsidRPr="007379B7">
              <w:rPr>
                <w:rFonts w:cstheme="minorHAnsi"/>
              </w:rPr>
              <w:t>.01</w:t>
            </w:r>
          </w:p>
        </w:tc>
      </w:tr>
      <w:tr w:rsidR="00E648B0" w:rsidRPr="007379B7" w14:paraId="2F87F12D" w14:textId="77777777" w:rsidTr="001D16F2">
        <w:trPr>
          <w:trHeight w:val="230"/>
        </w:trPr>
        <w:tc>
          <w:tcPr>
            <w:tcW w:w="0" w:type="auto"/>
          </w:tcPr>
          <w:p w14:paraId="0BBA059B" w14:textId="77777777" w:rsidR="00E648B0" w:rsidRPr="007379B7" w:rsidRDefault="00E648B0" w:rsidP="007379B7">
            <w:pPr>
              <w:pStyle w:val="NoSpacing"/>
              <w:rPr>
                <w:rFonts w:cstheme="minorHAnsi"/>
              </w:rPr>
            </w:pPr>
            <w:r w:rsidRPr="007379B7">
              <w:rPr>
                <w:rFonts w:cstheme="minorHAnsi"/>
              </w:rPr>
              <w:t>Population density</w:t>
            </w:r>
          </w:p>
        </w:tc>
        <w:tc>
          <w:tcPr>
            <w:tcW w:w="0" w:type="auto"/>
          </w:tcPr>
          <w:p w14:paraId="7A75D1F6" w14:textId="77777777" w:rsidR="00E648B0" w:rsidRPr="007379B7" w:rsidRDefault="00E648B0" w:rsidP="007379B7">
            <w:pPr>
              <w:pStyle w:val="NoSpacing"/>
              <w:rPr>
                <w:rFonts w:cstheme="minorHAnsi"/>
              </w:rPr>
            </w:pPr>
            <w:r w:rsidRPr="007379B7">
              <w:rPr>
                <w:rFonts w:cstheme="minorHAnsi"/>
              </w:rPr>
              <w:t>0.24</w:t>
            </w:r>
          </w:p>
        </w:tc>
        <w:tc>
          <w:tcPr>
            <w:tcW w:w="0" w:type="auto"/>
          </w:tcPr>
          <w:p w14:paraId="1504D596" w14:textId="77777777" w:rsidR="00E648B0" w:rsidRPr="007379B7" w:rsidRDefault="00E648B0" w:rsidP="007379B7">
            <w:pPr>
              <w:pStyle w:val="NoSpacing"/>
              <w:rPr>
                <w:rFonts w:cstheme="minorHAnsi"/>
              </w:rPr>
            </w:pPr>
            <w:r w:rsidRPr="007379B7">
              <w:rPr>
                <w:rFonts w:cstheme="minorHAnsi"/>
              </w:rPr>
              <w:t>0.04</w:t>
            </w:r>
          </w:p>
        </w:tc>
        <w:tc>
          <w:tcPr>
            <w:tcW w:w="0" w:type="auto"/>
          </w:tcPr>
          <w:p w14:paraId="7582A1D9" w14:textId="77777777" w:rsidR="00E648B0" w:rsidRPr="007379B7" w:rsidRDefault="00E648B0" w:rsidP="007379B7">
            <w:pPr>
              <w:pStyle w:val="NoSpacing"/>
              <w:rPr>
                <w:rFonts w:cstheme="minorHAnsi"/>
              </w:rPr>
            </w:pPr>
            <w:r w:rsidRPr="007379B7">
              <w:rPr>
                <w:rFonts w:cstheme="minorHAnsi"/>
              </w:rPr>
              <w:t>.00</w:t>
            </w:r>
          </w:p>
        </w:tc>
      </w:tr>
      <w:tr w:rsidR="00E648B0" w:rsidRPr="007379B7" w14:paraId="56435420" w14:textId="77777777" w:rsidTr="001D16F2">
        <w:trPr>
          <w:trHeight w:val="230"/>
        </w:trPr>
        <w:tc>
          <w:tcPr>
            <w:tcW w:w="0" w:type="auto"/>
          </w:tcPr>
          <w:p w14:paraId="0D3C2231" w14:textId="77777777" w:rsidR="00E648B0" w:rsidRPr="007379B7" w:rsidRDefault="00E648B0" w:rsidP="007379B7">
            <w:pPr>
              <w:pStyle w:val="NoSpacing"/>
              <w:rPr>
                <w:rFonts w:cstheme="minorHAnsi"/>
              </w:rPr>
            </w:pPr>
            <w:r w:rsidRPr="007379B7">
              <w:rPr>
                <w:rFonts w:cstheme="minorHAnsi"/>
              </w:rPr>
              <w:t>Proportion Black</w:t>
            </w:r>
          </w:p>
        </w:tc>
        <w:tc>
          <w:tcPr>
            <w:tcW w:w="0" w:type="auto"/>
          </w:tcPr>
          <w:p w14:paraId="56F87948" w14:textId="77777777" w:rsidR="00E648B0" w:rsidRPr="007379B7" w:rsidRDefault="00E648B0" w:rsidP="007379B7">
            <w:pPr>
              <w:pStyle w:val="NoSpacing"/>
              <w:rPr>
                <w:rFonts w:cstheme="minorHAnsi"/>
              </w:rPr>
            </w:pPr>
            <w:r w:rsidRPr="007379B7">
              <w:rPr>
                <w:rFonts w:cstheme="minorHAnsi"/>
              </w:rPr>
              <w:t>0.13</w:t>
            </w:r>
          </w:p>
        </w:tc>
        <w:tc>
          <w:tcPr>
            <w:tcW w:w="0" w:type="auto"/>
          </w:tcPr>
          <w:p w14:paraId="1551A3F0" w14:textId="77777777" w:rsidR="00E648B0" w:rsidRPr="007379B7" w:rsidRDefault="00E648B0" w:rsidP="007379B7">
            <w:pPr>
              <w:pStyle w:val="NoSpacing"/>
              <w:rPr>
                <w:rFonts w:cstheme="minorHAnsi"/>
              </w:rPr>
            </w:pPr>
            <w:r w:rsidRPr="007379B7">
              <w:rPr>
                <w:rFonts w:cstheme="minorHAnsi"/>
              </w:rPr>
              <w:t>0.05</w:t>
            </w:r>
          </w:p>
        </w:tc>
        <w:tc>
          <w:tcPr>
            <w:tcW w:w="0" w:type="auto"/>
          </w:tcPr>
          <w:p w14:paraId="780AED6D" w14:textId="77777777" w:rsidR="00E648B0" w:rsidRPr="007379B7" w:rsidRDefault="00E648B0" w:rsidP="007379B7">
            <w:pPr>
              <w:pStyle w:val="NoSpacing"/>
              <w:rPr>
                <w:rFonts w:cstheme="minorHAnsi"/>
              </w:rPr>
            </w:pPr>
            <w:r w:rsidRPr="007379B7">
              <w:rPr>
                <w:rFonts w:cstheme="minorHAnsi"/>
              </w:rPr>
              <w:t>.01</w:t>
            </w:r>
          </w:p>
        </w:tc>
      </w:tr>
      <w:tr w:rsidR="00E648B0" w:rsidRPr="007379B7" w14:paraId="5076B565" w14:textId="77777777" w:rsidTr="001D16F2">
        <w:trPr>
          <w:trHeight w:val="230"/>
        </w:trPr>
        <w:tc>
          <w:tcPr>
            <w:tcW w:w="0" w:type="auto"/>
          </w:tcPr>
          <w:p w14:paraId="6FFF2E42" w14:textId="77777777" w:rsidR="00E648B0" w:rsidRPr="007379B7" w:rsidRDefault="00E648B0" w:rsidP="007379B7">
            <w:pPr>
              <w:pStyle w:val="NoSpacing"/>
              <w:rPr>
                <w:rFonts w:cstheme="minorHAnsi"/>
              </w:rPr>
            </w:pPr>
            <w:r w:rsidRPr="007379B7">
              <w:rPr>
                <w:rFonts w:cstheme="minorHAnsi"/>
              </w:rPr>
              <w:t>Rho robbery density</w:t>
            </w:r>
          </w:p>
        </w:tc>
        <w:tc>
          <w:tcPr>
            <w:tcW w:w="0" w:type="auto"/>
          </w:tcPr>
          <w:p w14:paraId="2B9E83A1" w14:textId="77777777" w:rsidR="00E648B0" w:rsidRPr="007379B7" w:rsidRDefault="00E648B0" w:rsidP="007379B7">
            <w:pPr>
              <w:pStyle w:val="NoSpacing"/>
              <w:rPr>
                <w:rFonts w:cstheme="minorHAnsi"/>
              </w:rPr>
            </w:pPr>
            <w:r w:rsidRPr="007379B7">
              <w:rPr>
                <w:rFonts w:cstheme="minorHAnsi"/>
              </w:rPr>
              <w:t>0.44</w:t>
            </w:r>
          </w:p>
        </w:tc>
        <w:tc>
          <w:tcPr>
            <w:tcW w:w="0" w:type="auto"/>
          </w:tcPr>
          <w:p w14:paraId="7B2C6F75" w14:textId="77777777" w:rsidR="00E648B0" w:rsidRPr="007379B7" w:rsidRDefault="00E648B0" w:rsidP="007379B7">
            <w:pPr>
              <w:pStyle w:val="NoSpacing"/>
              <w:rPr>
                <w:rFonts w:cstheme="minorHAnsi"/>
              </w:rPr>
            </w:pPr>
            <w:r w:rsidRPr="007379B7">
              <w:rPr>
                <w:rFonts w:cstheme="minorHAnsi"/>
              </w:rPr>
              <w:t>0.05</w:t>
            </w:r>
          </w:p>
        </w:tc>
        <w:tc>
          <w:tcPr>
            <w:tcW w:w="0" w:type="auto"/>
          </w:tcPr>
          <w:p w14:paraId="72BCCFA4" w14:textId="77777777" w:rsidR="00E648B0" w:rsidRPr="007379B7" w:rsidRDefault="00E648B0" w:rsidP="007379B7">
            <w:pPr>
              <w:pStyle w:val="NoSpacing"/>
              <w:rPr>
                <w:rFonts w:cstheme="minorHAnsi"/>
              </w:rPr>
            </w:pPr>
            <w:r w:rsidRPr="007379B7">
              <w:rPr>
                <w:rFonts w:cstheme="minorHAnsi"/>
              </w:rPr>
              <w:t>.00</w:t>
            </w:r>
          </w:p>
        </w:tc>
      </w:tr>
      <w:tr w:rsidR="00E648B0" w:rsidRPr="007379B7" w14:paraId="3FC0C4E3" w14:textId="77777777" w:rsidTr="001D16F2">
        <w:trPr>
          <w:trHeight w:val="230"/>
        </w:trPr>
        <w:tc>
          <w:tcPr>
            <w:tcW w:w="0" w:type="auto"/>
          </w:tcPr>
          <w:p w14:paraId="7519D667" w14:textId="77777777" w:rsidR="00E648B0" w:rsidRPr="007379B7" w:rsidRDefault="00E648B0" w:rsidP="007379B7">
            <w:pPr>
              <w:pStyle w:val="NoSpacing"/>
              <w:rPr>
                <w:rFonts w:cstheme="minorHAnsi"/>
              </w:rPr>
            </w:pPr>
            <w:r w:rsidRPr="007379B7">
              <w:rPr>
                <w:rFonts w:cstheme="minorHAnsi"/>
              </w:rPr>
              <w:t>On-premise density</w:t>
            </w:r>
          </w:p>
        </w:tc>
        <w:tc>
          <w:tcPr>
            <w:tcW w:w="0" w:type="auto"/>
          </w:tcPr>
          <w:p w14:paraId="7B433123" w14:textId="77777777" w:rsidR="00E648B0" w:rsidRPr="007379B7" w:rsidRDefault="00E648B0" w:rsidP="007379B7">
            <w:pPr>
              <w:pStyle w:val="NoSpacing"/>
              <w:rPr>
                <w:rFonts w:cstheme="minorHAnsi"/>
              </w:rPr>
            </w:pPr>
            <w:r w:rsidRPr="007379B7">
              <w:rPr>
                <w:rFonts w:cstheme="minorHAnsi"/>
              </w:rPr>
              <w:t>0.03</w:t>
            </w:r>
          </w:p>
        </w:tc>
        <w:tc>
          <w:tcPr>
            <w:tcW w:w="0" w:type="auto"/>
          </w:tcPr>
          <w:p w14:paraId="5BC11881" w14:textId="77777777" w:rsidR="00E648B0" w:rsidRPr="007379B7" w:rsidRDefault="00E648B0" w:rsidP="007379B7">
            <w:pPr>
              <w:pStyle w:val="NoSpacing"/>
              <w:rPr>
                <w:rFonts w:cstheme="minorHAnsi"/>
              </w:rPr>
            </w:pPr>
            <w:r w:rsidRPr="007379B7">
              <w:rPr>
                <w:rFonts w:cstheme="minorHAnsi"/>
              </w:rPr>
              <w:t>0.03</w:t>
            </w:r>
          </w:p>
        </w:tc>
        <w:tc>
          <w:tcPr>
            <w:tcW w:w="0" w:type="auto"/>
          </w:tcPr>
          <w:p w14:paraId="19D5F265" w14:textId="77777777" w:rsidR="00E648B0" w:rsidRPr="007379B7" w:rsidRDefault="00E648B0" w:rsidP="007379B7">
            <w:pPr>
              <w:pStyle w:val="NoSpacing"/>
              <w:rPr>
                <w:rFonts w:cstheme="minorHAnsi"/>
              </w:rPr>
            </w:pPr>
            <w:r w:rsidRPr="007379B7">
              <w:rPr>
                <w:rFonts w:cstheme="minorHAnsi"/>
              </w:rPr>
              <w:t>.32</w:t>
            </w:r>
          </w:p>
        </w:tc>
      </w:tr>
      <w:tr w:rsidR="00E648B0" w:rsidRPr="007379B7" w14:paraId="4951E7EB" w14:textId="77777777" w:rsidTr="001D16F2">
        <w:trPr>
          <w:trHeight w:val="230"/>
        </w:trPr>
        <w:tc>
          <w:tcPr>
            <w:tcW w:w="0" w:type="auto"/>
          </w:tcPr>
          <w:p w14:paraId="614E1B25" w14:textId="77777777" w:rsidR="00E648B0" w:rsidRPr="007379B7" w:rsidRDefault="00E648B0" w:rsidP="007379B7">
            <w:pPr>
              <w:pStyle w:val="NoSpacing"/>
              <w:rPr>
                <w:rFonts w:cstheme="minorHAnsi"/>
              </w:rPr>
            </w:pPr>
            <w:r w:rsidRPr="007379B7">
              <w:rPr>
                <w:rFonts w:cstheme="minorHAnsi"/>
              </w:rPr>
              <w:t>Off-premise density</w:t>
            </w:r>
          </w:p>
        </w:tc>
        <w:tc>
          <w:tcPr>
            <w:tcW w:w="0" w:type="auto"/>
          </w:tcPr>
          <w:p w14:paraId="0C743CC0" w14:textId="77777777" w:rsidR="00E648B0" w:rsidRPr="007379B7" w:rsidRDefault="00E648B0" w:rsidP="007379B7">
            <w:pPr>
              <w:pStyle w:val="NoSpacing"/>
              <w:rPr>
                <w:rFonts w:cstheme="minorHAnsi"/>
              </w:rPr>
            </w:pPr>
            <w:r w:rsidRPr="007379B7">
              <w:rPr>
                <w:rFonts w:cstheme="minorHAnsi"/>
              </w:rPr>
              <w:t>0.15</w:t>
            </w:r>
          </w:p>
        </w:tc>
        <w:tc>
          <w:tcPr>
            <w:tcW w:w="0" w:type="auto"/>
          </w:tcPr>
          <w:p w14:paraId="624B5136" w14:textId="77777777" w:rsidR="00E648B0" w:rsidRPr="007379B7" w:rsidRDefault="00E648B0" w:rsidP="007379B7">
            <w:pPr>
              <w:pStyle w:val="NoSpacing"/>
              <w:rPr>
                <w:rFonts w:cstheme="minorHAnsi"/>
              </w:rPr>
            </w:pPr>
            <w:r w:rsidRPr="007379B7">
              <w:rPr>
                <w:rFonts w:cstheme="minorHAnsi"/>
              </w:rPr>
              <w:t>0.03</w:t>
            </w:r>
          </w:p>
        </w:tc>
        <w:tc>
          <w:tcPr>
            <w:tcW w:w="0" w:type="auto"/>
          </w:tcPr>
          <w:p w14:paraId="7E777F0C" w14:textId="77777777" w:rsidR="00E648B0" w:rsidRPr="007379B7" w:rsidRDefault="00E648B0" w:rsidP="007379B7">
            <w:pPr>
              <w:pStyle w:val="NoSpacing"/>
              <w:rPr>
                <w:rFonts w:cstheme="minorHAnsi"/>
              </w:rPr>
            </w:pPr>
            <w:r w:rsidRPr="007379B7">
              <w:rPr>
                <w:rFonts w:cstheme="minorHAnsi"/>
              </w:rPr>
              <w:t>.00</w:t>
            </w:r>
          </w:p>
        </w:tc>
      </w:tr>
      <w:tr w:rsidR="00E648B0" w:rsidRPr="007379B7" w14:paraId="7BE6B7BA" w14:textId="77777777" w:rsidTr="001D16F2">
        <w:trPr>
          <w:trHeight w:val="229"/>
        </w:trPr>
        <w:tc>
          <w:tcPr>
            <w:tcW w:w="0" w:type="auto"/>
          </w:tcPr>
          <w:p w14:paraId="663B0640" w14:textId="77777777" w:rsidR="00E648B0" w:rsidRPr="007379B7" w:rsidRDefault="00E648B0" w:rsidP="007379B7">
            <w:pPr>
              <w:pStyle w:val="NoSpacing"/>
              <w:rPr>
                <w:rFonts w:cstheme="minorHAnsi"/>
              </w:rPr>
            </w:pPr>
            <w:r w:rsidRPr="007379B7">
              <w:rPr>
                <w:rFonts w:cstheme="minorHAnsi"/>
              </w:rPr>
              <w:t>Constant</w:t>
            </w:r>
          </w:p>
        </w:tc>
        <w:tc>
          <w:tcPr>
            <w:tcW w:w="0" w:type="auto"/>
          </w:tcPr>
          <w:p w14:paraId="016BA3F7" w14:textId="77777777" w:rsidR="00E648B0" w:rsidRPr="007379B7" w:rsidRDefault="00E648B0" w:rsidP="007379B7">
            <w:pPr>
              <w:pStyle w:val="NoSpacing"/>
              <w:rPr>
                <w:rFonts w:cstheme="minorHAnsi"/>
              </w:rPr>
            </w:pPr>
            <w:r w:rsidRPr="007379B7">
              <w:rPr>
                <w:rFonts w:cstheme="minorHAnsi"/>
              </w:rPr>
              <w:t>0.01</w:t>
            </w:r>
          </w:p>
        </w:tc>
        <w:tc>
          <w:tcPr>
            <w:tcW w:w="0" w:type="auto"/>
          </w:tcPr>
          <w:p w14:paraId="197DDEA0" w14:textId="77777777" w:rsidR="00E648B0" w:rsidRPr="007379B7" w:rsidRDefault="00E648B0" w:rsidP="007379B7">
            <w:pPr>
              <w:pStyle w:val="NoSpacing"/>
              <w:rPr>
                <w:rFonts w:cstheme="minorHAnsi"/>
              </w:rPr>
            </w:pPr>
            <w:r w:rsidRPr="007379B7">
              <w:rPr>
                <w:rFonts w:cstheme="minorHAnsi"/>
              </w:rPr>
              <w:t>0.03</w:t>
            </w:r>
          </w:p>
        </w:tc>
        <w:tc>
          <w:tcPr>
            <w:tcW w:w="0" w:type="auto"/>
          </w:tcPr>
          <w:p w14:paraId="0CD253D5" w14:textId="77777777" w:rsidR="00E648B0" w:rsidRPr="007379B7" w:rsidRDefault="00E648B0" w:rsidP="007379B7">
            <w:pPr>
              <w:pStyle w:val="NoSpacing"/>
              <w:rPr>
                <w:rFonts w:cstheme="minorHAnsi"/>
              </w:rPr>
            </w:pPr>
            <w:r w:rsidRPr="007379B7">
              <w:rPr>
                <w:rFonts w:cstheme="minorHAnsi"/>
              </w:rPr>
              <w:t>.84</w:t>
            </w:r>
          </w:p>
        </w:tc>
      </w:tr>
      <w:tr w:rsidR="001D16F2" w:rsidRPr="007379B7" w14:paraId="191FBF75" w14:textId="77777777" w:rsidTr="001D16F2">
        <w:trPr>
          <w:trHeight w:val="207"/>
        </w:trPr>
        <w:tc>
          <w:tcPr>
            <w:tcW w:w="0" w:type="auto"/>
          </w:tcPr>
          <w:p w14:paraId="36139298" w14:textId="67B088CC" w:rsidR="00E648B0" w:rsidRPr="007379B7" w:rsidRDefault="00E648B0" w:rsidP="007379B7">
            <w:pPr>
              <w:pStyle w:val="NoSpacing"/>
              <w:rPr>
                <w:rFonts w:cstheme="minorHAnsi"/>
              </w:rPr>
            </w:pPr>
            <w:r w:rsidRPr="007379B7">
              <w:rPr>
                <w:rFonts w:cstheme="minorHAnsi"/>
                <w:i/>
                <w:iCs/>
              </w:rPr>
              <w:t>R</w:t>
            </w:r>
            <w:r w:rsidRPr="007379B7">
              <w:rPr>
                <w:rFonts w:cstheme="minorHAnsi"/>
                <w:vertAlign w:val="superscript"/>
              </w:rPr>
              <w:t>2</w:t>
            </w:r>
          </w:p>
        </w:tc>
        <w:tc>
          <w:tcPr>
            <w:tcW w:w="0" w:type="auto"/>
          </w:tcPr>
          <w:p w14:paraId="27EB9362" w14:textId="77777777" w:rsidR="00E648B0" w:rsidRPr="007379B7" w:rsidRDefault="00E648B0" w:rsidP="007379B7">
            <w:pPr>
              <w:pStyle w:val="NoSpacing"/>
              <w:rPr>
                <w:rFonts w:cstheme="minorHAnsi"/>
              </w:rPr>
            </w:pPr>
          </w:p>
        </w:tc>
        <w:tc>
          <w:tcPr>
            <w:tcW w:w="0" w:type="auto"/>
          </w:tcPr>
          <w:p w14:paraId="5A954AD1" w14:textId="70A7BF50" w:rsidR="00E648B0" w:rsidRPr="007379B7" w:rsidRDefault="00E648B0" w:rsidP="007379B7">
            <w:pPr>
              <w:pStyle w:val="NoSpacing"/>
              <w:rPr>
                <w:rFonts w:cstheme="minorHAnsi"/>
              </w:rPr>
            </w:pPr>
            <w:r w:rsidRPr="007379B7">
              <w:rPr>
                <w:rFonts w:cstheme="minorHAnsi"/>
              </w:rPr>
              <w:t>.55</w:t>
            </w:r>
          </w:p>
        </w:tc>
        <w:tc>
          <w:tcPr>
            <w:tcW w:w="0" w:type="auto"/>
          </w:tcPr>
          <w:p w14:paraId="2C642658" w14:textId="77777777" w:rsidR="00E648B0" w:rsidRPr="007379B7" w:rsidRDefault="00E648B0" w:rsidP="007379B7">
            <w:pPr>
              <w:pStyle w:val="NoSpacing"/>
              <w:rPr>
                <w:rFonts w:cstheme="minorHAnsi"/>
              </w:rPr>
            </w:pPr>
          </w:p>
        </w:tc>
      </w:tr>
      <w:tr w:rsidR="00E648B0" w:rsidRPr="007379B7" w14:paraId="3654F8B1" w14:textId="77777777" w:rsidTr="001D16F2">
        <w:trPr>
          <w:trHeight w:val="150"/>
        </w:trPr>
        <w:tc>
          <w:tcPr>
            <w:tcW w:w="0" w:type="auto"/>
          </w:tcPr>
          <w:p w14:paraId="4E3B04E4" w14:textId="7E3F6860" w:rsidR="00E648B0" w:rsidRPr="007379B7" w:rsidRDefault="00E648B0" w:rsidP="007379B7">
            <w:pPr>
              <w:pStyle w:val="NoSpacing"/>
              <w:rPr>
                <w:rFonts w:cstheme="minorHAnsi"/>
                <w:i/>
                <w:iCs/>
              </w:rPr>
            </w:pPr>
            <w:r w:rsidRPr="007379B7">
              <w:rPr>
                <w:rFonts w:cstheme="minorHAnsi"/>
              </w:rPr>
              <w:t>Log likelihood</w:t>
            </w:r>
          </w:p>
        </w:tc>
        <w:tc>
          <w:tcPr>
            <w:tcW w:w="0" w:type="auto"/>
          </w:tcPr>
          <w:p w14:paraId="4937822F" w14:textId="77777777" w:rsidR="00E648B0" w:rsidRPr="007379B7" w:rsidRDefault="00E648B0" w:rsidP="007379B7">
            <w:pPr>
              <w:pStyle w:val="NoSpacing"/>
              <w:rPr>
                <w:rFonts w:cstheme="minorHAnsi"/>
              </w:rPr>
            </w:pPr>
          </w:p>
        </w:tc>
        <w:tc>
          <w:tcPr>
            <w:tcW w:w="0" w:type="auto"/>
          </w:tcPr>
          <w:p w14:paraId="718A195E" w14:textId="4FA8A8E4" w:rsidR="00E648B0" w:rsidRPr="007379B7" w:rsidRDefault="00E648B0" w:rsidP="007379B7">
            <w:pPr>
              <w:pStyle w:val="NoSpacing"/>
              <w:rPr>
                <w:rFonts w:cstheme="minorHAnsi"/>
              </w:rPr>
            </w:pPr>
            <w:r w:rsidRPr="007379B7">
              <w:rPr>
                <w:rFonts w:cstheme="minorHAnsi"/>
              </w:rPr>
              <w:t>−594.54</w:t>
            </w:r>
          </w:p>
        </w:tc>
        <w:tc>
          <w:tcPr>
            <w:tcW w:w="0" w:type="auto"/>
          </w:tcPr>
          <w:p w14:paraId="59FC1240" w14:textId="77777777" w:rsidR="00E648B0" w:rsidRPr="007379B7" w:rsidRDefault="00E648B0" w:rsidP="007379B7">
            <w:pPr>
              <w:pStyle w:val="NoSpacing"/>
              <w:rPr>
                <w:rFonts w:cstheme="minorHAnsi"/>
              </w:rPr>
            </w:pPr>
          </w:p>
        </w:tc>
      </w:tr>
      <w:tr w:rsidR="00E648B0" w:rsidRPr="007379B7" w14:paraId="625A1C22" w14:textId="77777777" w:rsidTr="001D16F2">
        <w:trPr>
          <w:trHeight w:val="197"/>
        </w:trPr>
        <w:tc>
          <w:tcPr>
            <w:tcW w:w="0" w:type="auto"/>
          </w:tcPr>
          <w:p w14:paraId="40A75F36" w14:textId="4C98A115" w:rsidR="00E648B0" w:rsidRPr="007379B7" w:rsidRDefault="00E648B0" w:rsidP="007379B7">
            <w:pPr>
              <w:pStyle w:val="NoSpacing"/>
              <w:rPr>
                <w:rFonts w:cstheme="minorHAnsi"/>
              </w:rPr>
            </w:pPr>
            <w:r w:rsidRPr="007379B7">
              <w:rPr>
                <w:rFonts w:cstheme="minorHAnsi"/>
              </w:rPr>
              <w:t>Akaike information criterion</w:t>
            </w:r>
          </w:p>
        </w:tc>
        <w:tc>
          <w:tcPr>
            <w:tcW w:w="0" w:type="auto"/>
          </w:tcPr>
          <w:p w14:paraId="6FFC7B32" w14:textId="77777777" w:rsidR="00E648B0" w:rsidRPr="007379B7" w:rsidRDefault="00E648B0" w:rsidP="007379B7">
            <w:pPr>
              <w:pStyle w:val="NoSpacing"/>
              <w:rPr>
                <w:rFonts w:cstheme="minorHAnsi"/>
              </w:rPr>
            </w:pPr>
          </w:p>
        </w:tc>
        <w:tc>
          <w:tcPr>
            <w:tcW w:w="0" w:type="auto"/>
          </w:tcPr>
          <w:p w14:paraId="440F3289" w14:textId="5F2327AC" w:rsidR="00E648B0" w:rsidRPr="007379B7" w:rsidRDefault="00E648B0" w:rsidP="007379B7">
            <w:pPr>
              <w:pStyle w:val="NoSpacing"/>
              <w:rPr>
                <w:rFonts w:cstheme="minorHAnsi"/>
              </w:rPr>
            </w:pPr>
            <w:r w:rsidRPr="007379B7">
              <w:rPr>
                <w:rFonts w:cstheme="minorHAnsi"/>
              </w:rPr>
              <w:t>1,209.09</w:t>
            </w:r>
          </w:p>
        </w:tc>
        <w:tc>
          <w:tcPr>
            <w:tcW w:w="0" w:type="auto"/>
          </w:tcPr>
          <w:p w14:paraId="161297E6" w14:textId="77777777" w:rsidR="00E648B0" w:rsidRPr="007379B7" w:rsidRDefault="00E648B0" w:rsidP="007379B7">
            <w:pPr>
              <w:pStyle w:val="NoSpacing"/>
              <w:rPr>
                <w:rFonts w:cstheme="minorHAnsi"/>
              </w:rPr>
            </w:pPr>
          </w:p>
        </w:tc>
      </w:tr>
      <w:tr w:rsidR="00E648B0" w:rsidRPr="007379B7" w14:paraId="5631D30C" w14:textId="77777777" w:rsidTr="001D16F2">
        <w:trPr>
          <w:trHeight w:val="230"/>
        </w:trPr>
        <w:tc>
          <w:tcPr>
            <w:tcW w:w="0" w:type="auto"/>
          </w:tcPr>
          <w:p w14:paraId="7200BBE6" w14:textId="77777777" w:rsidR="00E648B0" w:rsidRPr="007379B7" w:rsidRDefault="00E648B0" w:rsidP="007379B7">
            <w:pPr>
              <w:pStyle w:val="NoSpacing"/>
              <w:rPr>
                <w:rFonts w:cstheme="minorHAnsi"/>
              </w:rPr>
            </w:pPr>
            <w:r w:rsidRPr="007379B7">
              <w:rPr>
                <w:rFonts w:cstheme="minorHAnsi"/>
              </w:rPr>
              <w:t>Schwarz criterion</w:t>
            </w:r>
          </w:p>
        </w:tc>
        <w:tc>
          <w:tcPr>
            <w:tcW w:w="0" w:type="auto"/>
          </w:tcPr>
          <w:p w14:paraId="213562F0" w14:textId="77777777" w:rsidR="00E648B0" w:rsidRPr="007379B7" w:rsidRDefault="00E648B0" w:rsidP="007379B7">
            <w:pPr>
              <w:pStyle w:val="NoSpacing"/>
              <w:rPr>
                <w:rFonts w:cstheme="minorHAnsi"/>
              </w:rPr>
            </w:pPr>
          </w:p>
        </w:tc>
        <w:tc>
          <w:tcPr>
            <w:tcW w:w="0" w:type="auto"/>
          </w:tcPr>
          <w:p w14:paraId="182158BF" w14:textId="77777777" w:rsidR="00E648B0" w:rsidRPr="007379B7" w:rsidRDefault="00E648B0" w:rsidP="007379B7">
            <w:pPr>
              <w:pStyle w:val="NoSpacing"/>
              <w:rPr>
                <w:rFonts w:cstheme="minorHAnsi"/>
              </w:rPr>
            </w:pPr>
            <w:r w:rsidRPr="007379B7">
              <w:rPr>
                <w:rFonts w:cstheme="minorHAnsi"/>
              </w:rPr>
              <w:t>1,252.58</w:t>
            </w:r>
          </w:p>
        </w:tc>
        <w:tc>
          <w:tcPr>
            <w:tcW w:w="0" w:type="auto"/>
          </w:tcPr>
          <w:p w14:paraId="52565CC5" w14:textId="77777777" w:rsidR="00E648B0" w:rsidRPr="007379B7" w:rsidRDefault="00E648B0" w:rsidP="007379B7">
            <w:pPr>
              <w:pStyle w:val="NoSpacing"/>
              <w:rPr>
                <w:rFonts w:cstheme="minorHAnsi"/>
              </w:rPr>
            </w:pPr>
          </w:p>
        </w:tc>
      </w:tr>
      <w:tr w:rsidR="00E648B0" w:rsidRPr="007379B7" w14:paraId="3C445835" w14:textId="77777777" w:rsidTr="001D16F2">
        <w:trPr>
          <w:trHeight w:val="230"/>
        </w:trPr>
        <w:tc>
          <w:tcPr>
            <w:tcW w:w="0" w:type="auto"/>
          </w:tcPr>
          <w:p w14:paraId="507A5943" w14:textId="77777777" w:rsidR="00E648B0" w:rsidRPr="007379B7" w:rsidRDefault="00E648B0" w:rsidP="007379B7">
            <w:pPr>
              <w:pStyle w:val="NoSpacing"/>
              <w:rPr>
                <w:rFonts w:cstheme="minorHAnsi"/>
              </w:rPr>
            </w:pPr>
            <w:r w:rsidRPr="007379B7">
              <w:rPr>
                <w:rFonts w:cstheme="minorHAnsi"/>
              </w:rPr>
              <w:t>Number of observations</w:t>
            </w:r>
          </w:p>
        </w:tc>
        <w:tc>
          <w:tcPr>
            <w:tcW w:w="0" w:type="auto"/>
          </w:tcPr>
          <w:p w14:paraId="00BF3A62" w14:textId="77777777" w:rsidR="00E648B0" w:rsidRPr="007379B7" w:rsidRDefault="00E648B0" w:rsidP="007379B7">
            <w:pPr>
              <w:pStyle w:val="NoSpacing"/>
              <w:rPr>
                <w:rFonts w:cstheme="minorHAnsi"/>
              </w:rPr>
            </w:pPr>
          </w:p>
        </w:tc>
        <w:tc>
          <w:tcPr>
            <w:tcW w:w="0" w:type="auto"/>
          </w:tcPr>
          <w:p w14:paraId="432F6950" w14:textId="77777777" w:rsidR="00E648B0" w:rsidRPr="007379B7" w:rsidRDefault="00E648B0" w:rsidP="007379B7">
            <w:pPr>
              <w:pStyle w:val="NoSpacing"/>
              <w:rPr>
                <w:rFonts w:cstheme="minorHAnsi"/>
              </w:rPr>
            </w:pPr>
            <w:r w:rsidRPr="007379B7">
              <w:rPr>
                <w:rFonts w:cstheme="minorHAnsi"/>
              </w:rPr>
              <w:t>572</w:t>
            </w:r>
          </w:p>
        </w:tc>
        <w:tc>
          <w:tcPr>
            <w:tcW w:w="0" w:type="auto"/>
          </w:tcPr>
          <w:p w14:paraId="0CE8063F" w14:textId="77777777" w:rsidR="00E648B0" w:rsidRPr="007379B7" w:rsidRDefault="00E648B0" w:rsidP="007379B7">
            <w:pPr>
              <w:pStyle w:val="NoSpacing"/>
              <w:rPr>
                <w:rFonts w:cstheme="minorHAnsi"/>
              </w:rPr>
            </w:pPr>
          </w:p>
        </w:tc>
      </w:tr>
      <w:tr w:rsidR="00E648B0" w:rsidRPr="007379B7" w14:paraId="7C7CA38B" w14:textId="77777777" w:rsidTr="001D16F2">
        <w:trPr>
          <w:trHeight w:val="230"/>
        </w:trPr>
        <w:tc>
          <w:tcPr>
            <w:tcW w:w="0" w:type="auto"/>
          </w:tcPr>
          <w:p w14:paraId="24F8C15F" w14:textId="77777777" w:rsidR="00E648B0" w:rsidRPr="007379B7" w:rsidRDefault="00E648B0" w:rsidP="007379B7">
            <w:pPr>
              <w:pStyle w:val="NoSpacing"/>
              <w:rPr>
                <w:rFonts w:cstheme="minorHAnsi"/>
              </w:rPr>
            </w:pPr>
            <w:r w:rsidRPr="007379B7">
              <w:rPr>
                <w:rFonts w:cstheme="minorHAnsi"/>
              </w:rPr>
              <w:lastRenderedPageBreak/>
              <w:t>Number of variables</w:t>
            </w:r>
          </w:p>
        </w:tc>
        <w:tc>
          <w:tcPr>
            <w:tcW w:w="0" w:type="auto"/>
          </w:tcPr>
          <w:p w14:paraId="761F245D" w14:textId="77777777" w:rsidR="00E648B0" w:rsidRPr="007379B7" w:rsidRDefault="00E648B0" w:rsidP="007379B7">
            <w:pPr>
              <w:pStyle w:val="NoSpacing"/>
              <w:rPr>
                <w:rFonts w:cstheme="minorHAnsi"/>
              </w:rPr>
            </w:pPr>
          </w:p>
        </w:tc>
        <w:tc>
          <w:tcPr>
            <w:tcW w:w="0" w:type="auto"/>
          </w:tcPr>
          <w:p w14:paraId="23C2EF3C" w14:textId="77777777" w:rsidR="00E648B0" w:rsidRPr="007379B7" w:rsidRDefault="00E648B0" w:rsidP="007379B7">
            <w:pPr>
              <w:pStyle w:val="NoSpacing"/>
              <w:rPr>
                <w:rFonts w:cstheme="minorHAnsi"/>
              </w:rPr>
            </w:pPr>
            <w:r w:rsidRPr="007379B7">
              <w:rPr>
                <w:rFonts w:cstheme="minorHAnsi"/>
              </w:rPr>
              <w:t>10</w:t>
            </w:r>
          </w:p>
        </w:tc>
        <w:tc>
          <w:tcPr>
            <w:tcW w:w="0" w:type="auto"/>
          </w:tcPr>
          <w:p w14:paraId="0860968F" w14:textId="77777777" w:rsidR="00E648B0" w:rsidRPr="007379B7" w:rsidRDefault="00E648B0" w:rsidP="007379B7">
            <w:pPr>
              <w:pStyle w:val="NoSpacing"/>
              <w:rPr>
                <w:rFonts w:cstheme="minorHAnsi"/>
              </w:rPr>
            </w:pPr>
          </w:p>
        </w:tc>
      </w:tr>
      <w:tr w:rsidR="00E648B0" w:rsidRPr="007379B7" w14:paraId="3C2A48F9" w14:textId="77777777" w:rsidTr="001D16F2">
        <w:trPr>
          <w:trHeight w:val="230"/>
        </w:trPr>
        <w:tc>
          <w:tcPr>
            <w:tcW w:w="0" w:type="auto"/>
          </w:tcPr>
          <w:p w14:paraId="549B0328" w14:textId="77777777" w:rsidR="00E648B0" w:rsidRPr="007379B7" w:rsidRDefault="00E648B0" w:rsidP="007379B7">
            <w:pPr>
              <w:pStyle w:val="NoSpacing"/>
              <w:rPr>
                <w:rFonts w:cstheme="minorHAnsi"/>
              </w:rPr>
            </w:pPr>
            <w:r w:rsidRPr="007379B7">
              <w:rPr>
                <w:rFonts w:cstheme="minorHAnsi"/>
              </w:rPr>
              <w:t>Degrees of freedom</w:t>
            </w:r>
          </w:p>
        </w:tc>
        <w:tc>
          <w:tcPr>
            <w:tcW w:w="0" w:type="auto"/>
          </w:tcPr>
          <w:p w14:paraId="59D4F284" w14:textId="77777777" w:rsidR="00E648B0" w:rsidRPr="007379B7" w:rsidRDefault="00E648B0" w:rsidP="007379B7">
            <w:pPr>
              <w:pStyle w:val="NoSpacing"/>
              <w:rPr>
                <w:rFonts w:cstheme="minorHAnsi"/>
              </w:rPr>
            </w:pPr>
          </w:p>
        </w:tc>
        <w:tc>
          <w:tcPr>
            <w:tcW w:w="0" w:type="auto"/>
          </w:tcPr>
          <w:p w14:paraId="59689BC0" w14:textId="77777777" w:rsidR="00E648B0" w:rsidRPr="007379B7" w:rsidRDefault="00E648B0" w:rsidP="007379B7">
            <w:pPr>
              <w:pStyle w:val="NoSpacing"/>
              <w:rPr>
                <w:rFonts w:cstheme="minorHAnsi"/>
              </w:rPr>
            </w:pPr>
            <w:r w:rsidRPr="007379B7">
              <w:rPr>
                <w:rFonts w:cstheme="minorHAnsi"/>
              </w:rPr>
              <w:t>562</w:t>
            </w:r>
          </w:p>
        </w:tc>
        <w:tc>
          <w:tcPr>
            <w:tcW w:w="0" w:type="auto"/>
          </w:tcPr>
          <w:p w14:paraId="1D2C00E0" w14:textId="77777777" w:rsidR="00E648B0" w:rsidRPr="007379B7" w:rsidRDefault="00E648B0" w:rsidP="007379B7">
            <w:pPr>
              <w:pStyle w:val="NoSpacing"/>
              <w:rPr>
                <w:rFonts w:cstheme="minorHAnsi"/>
              </w:rPr>
            </w:pPr>
          </w:p>
        </w:tc>
      </w:tr>
      <w:tr w:rsidR="001D16F2" w:rsidRPr="007379B7" w14:paraId="4CCC9597" w14:textId="77777777" w:rsidTr="001D16F2">
        <w:trPr>
          <w:trHeight w:val="205"/>
        </w:trPr>
        <w:tc>
          <w:tcPr>
            <w:tcW w:w="0" w:type="auto"/>
          </w:tcPr>
          <w:p w14:paraId="19A04E07" w14:textId="0D253F44" w:rsidR="00E648B0" w:rsidRPr="007379B7" w:rsidRDefault="00E648B0" w:rsidP="007379B7">
            <w:pPr>
              <w:pStyle w:val="NoSpacing"/>
              <w:rPr>
                <w:rFonts w:cstheme="minorHAnsi"/>
              </w:rPr>
            </w:pPr>
            <w:r w:rsidRPr="007379B7">
              <w:rPr>
                <w:rFonts w:cstheme="minorHAnsi"/>
              </w:rPr>
              <w:t>Multicollinearity condition number</w:t>
            </w:r>
          </w:p>
        </w:tc>
        <w:tc>
          <w:tcPr>
            <w:tcW w:w="0" w:type="auto"/>
          </w:tcPr>
          <w:p w14:paraId="25587FF9" w14:textId="1EA5E0CB" w:rsidR="00E648B0" w:rsidRPr="007379B7" w:rsidRDefault="00E648B0" w:rsidP="007379B7">
            <w:pPr>
              <w:pStyle w:val="NoSpacing"/>
              <w:rPr>
                <w:rFonts w:cstheme="minorHAnsi"/>
              </w:rPr>
            </w:pPr>
          </w:p>
        </w:tc>
        <w:tc>
          <w:tcPr>
            <w:tcW w:w="0" w:type="auto"/>
          </w:tcPr>
          <w:p w14:paraId="4C05400F" w14:textId="1A058203" w:rsidR="00E648B0" w:rsidRPr="007379B7" w:rsidRDefault="00E648B0" w:rsidP="007379B7">
            <w:pPr>
              <w:pStyle w:val="NoSpacing"/>
              <w:rPr>
                <w:rFonts w:cstheme="minorHAnsi"/>
              </w:rPr>
            </w:pPr>
            <w:r w:rsidRPr="007379B7">
              <w:rPr>
                <w:rFonts w:cstheme="minorHAnsi"/>
              </w:rPr>
              <w:t>3.21</w:t>
            </w:r>
          </w:p>
        </w:tc>
        <w:tc>
          <w:tcPr>
            <w:tcW w:w="0" w:type="auto"/>
          </w:tcPr>
          <w:p w14:paraId="7EBA5144" w14:textId="6B38C19B" w:rsidR="00E648B0" w:rsidRPr="007379B7" w:rsidRDefault="00E648B0" w:rsidP="007379B7">
            <w:pPr>
              <w:pStyle w:val="NoSpacing"/>
              <w:rPr>
                <w:rFonts w:cstheme="minorHAnsi"/>
              </w:rPr>
            </w:pPr>
          </w:p>
        </w:tc>
      </w:tr>
      <w:tr w:rsidR="00E648B0" w:rsidRPr="007379B7" w14:paraId="0C743C60" w14:textId="77777777" w:rsidTr="001D16F2">
        <w:trPr>
          <w:trHeight w:val="224"/>
        </w:trPr>
        <w:tc>
          <w:tcPr>
            <w:tcW w:w="0" w:type="auto"/>
          </w:tcPr>
          <w:p w14:paraId="43E771A2" w14:textId="1BA54068" w:rsidR="00E648B0" w:rsidRPr="007379B7" w:rsidRDefault="00E648B0" w:rsidP="007379B7">
            <w:pPr>
              <w:pStyle w:val="NoSpacing"/>
              <w:rPr>
                <w:rFonts w:cstheme="minorHAnsi"/>
              </w:rPr>
            </w:pPr>
            <w:r w:rsidRPr="007379B7">
              <w:rPr>
                <w:rFonts w:cstheme="minorHAnsi"/>
              </w:rPr>
              <w:t>Model 3: Beer availability</w:t>
            </w:r>
          </w:p>
        </w:tc>
        <w:tc>
          <w:tcPr>
            <w:tcW w:w="0" w:type="auto"/>
          </w:tcPr>
          <w:p w14:paraId="20FF2959" w14:textId="316D9663" w:rsidR="00E648B0" w:rsidRPr="007379B7" w:rsidRDefault="00E648B0" w:rsidP="007379B7">
            <w:pPr>
              <w:pStyle w:val="NoSpacing"/>
              <w:rPr>
                <w:rFonts w:cstheme="minorHAnsi"/>
              </w:rPr>
            </w:pPr>
          </w:p>
        </w:tc>
        <w:tc>
          <w:tcPr>
            <w:tcW w:w="0" w:type="auto"/>
          </w:tcPr>
          <w:p w14:paraId="77E1F878" w14:textId="17C310F0" w:rsidR="00E648B0" w:rsidRPr="007379B7" w:rsidRDefault="00E648B0" w:rsidP="007379B7">
            <w:pPr>
              <w:pStyle w:val="NoSpacing"/>
              <w:rPr>
                <w:rFonts w:cstheme="minorHAnsi"/>
              </w:rPr>
            </w:pPr>
          </w:p>
        </w:tc>
        <w:tc>
          <w:tcPr>
            <w:tcW w:w="0" w:type="auto"/>
          </w:tcPr>
          <w:p w14:paraId="33061C30" w14:textId="6FF1968C" w:rsidR="00E648B0" w:rsidRPr="007379B7" w:rsidRDefault="00E648B0" w:rsidP="007379B7">
            <w:pPr>
              <w:pStyle w:val="NoSpacing"/>
              <w:rPr>
                <w:rFonts w:cstheme="minorHAnsi"/>
              </w:rPr>
            </w:pPr>
          </w:p>
        </w:tc>
      </w:tr>
      <w:tr w:rsidR="00086C2C" w:rsidRPr="007379B7" w14:paraId="3AB90A60" w14:textId="77777777" w:rsidTr="001D16F2">
        <w:trPr>
          <w:trHeight w:val="227"/>
        </w:trPr>
        <w:tc>
          <w:tcPr>
            <w:tcW w:w="0" w:type="auto"/>
          </w:tcPr>
          <w:p w14:paraId="769BFDD6" w14:textId="274449C3" w:rsidR="00086C2C" w:rsidRPr="007379B7" w:rsidRDefault="00086C2C" w:rsidP="007379B7">
            <w:pPr>
              <w:pStyle w:val="NoSpacing"/>
              <w:rPr>
                <w:rFonts w:cstheme="minorHAnsi"/>
              </w:rPr>
            </w:pPr>
            <w:r w:rsidRPr="007379B7">
              <w:rPr>
                <w:rFonts w:cstheme="minorHAnsi"/>
              </w:rPr>
              <w:t>Ethnic heterogeneity</w:t>
            </w:r>
          </w:p>
        </w:tc>
        <w:tc>
          <w:tcPr>
            <w:tcW w:w="0" w:type="auto"/>
          </w:tcPr>
          <w:p w14:paraId="5965F459" w14:textId="33240FC6" w:rsidR="00086C2C" w:rsidRPr="007379B7" w:rsidRDefault="00086C2C" w:rsidP="007379B7">
            <w:pPr>
              <w:pStyle w:val="NoSpacing"/>
              <w:rPr>
                <w:rFonts w:cstheme="minorHAnsi"/>
              </w:rPr>
            </w:pPr>
            <w:r w:rsidRPr="007379B7">
              <w:rPr>
                <w:rFonts w:cstheme="minorHAnsi"/>
              </w:rPr>
              <w:t>−0.02</w:t>
            </w:r>
          </w:p>
        </w:tc>
        <w:tc>
          <w:tcPr>
            <w:tcW w:w="0" w:type="auto"/>
          </w:tcPr>
          <w:p w14:paraId="375BF30B" w14:textId="3C6DA0E6" w:rsidR="00086C2C" w:rsidRPr="007379B7" w:rsidRDefault="00086C2C" w:rsidP="007379B7">
            <w:pPr>
              <w:pStyle w:val="NoSpacing"/>
              <w:rPr>
                <w:rFonts w:cstheme="minorHAnsi"/>
              </w:rPr>
            </w:pPr>
            <w:r w:rsidRPr="007379B7">
              <w:rPr>
                <w:rFonts w:cstheme="minorHAnsi"/>
              </w:rPr>
              <w:t>0.03</w:t>
            </w:r>
          </w:p>
        </w:tc>
        <w:tc>
          <w:tcPr>
            <w:tcW w:w="0" w:type="auto"/>
          </w:tcPr>
          <w:p w14:paraId="5D87B85F" w14:textId="54C27A89" w:rsidR="00086C2C" w:rsidRPr="007379B7" w:rsidRDefault="00086C2C" w:rsidP="007379B7">
            <w:pPr>
              <w:pStyle w:val="NoSpacing"/>
              <w:rPr>
                <w:rFonts w:cstheme="minorHAnsi"/>
              </w:rPr>
            </w:pPr>
            <w:r w:rsidRPr="007379B7">
              <w:rPr>
                <w:rFonts w:cstheme="minorHAnsi"/>
              </w:rPr>
              <w:t>.64</w:t>
            </w:r>
          </w:p>
        </w:tc>
      </w:tr>
      <w:tr w:rsidR="00086C2C" w:rsidRPr="007379B7" w14:paraId="0EDB1100" w14:textId="77777777" w:rsidTr="001D16F2">
        <w:trPr>
          <w:trHeight w:val="230"/>
        </w:trPr>
        <w:tc>
          <w:tcPr>
            <w:tcW w:w="0" w:type="auto"/>
          </w:tcPr>
          <w:p w14:paraId="5F9398D8" w14:textId="77777777" w:rsidR="00086C2C" w:rsidRPr="007379B7" w:rsidRDefault="00086C2C" w:rsidP="007379B7">
            <w:pPr>
              <w:pStyle w:val="NoSpacing"/>
              <w:rPr>
                <w:rFonts w:cstheme="minorHAnsi"/>
              </w:rPr>
            </w:pPr>
            <w:r w:rsidRPr="007379B7">
              <w:rPr>
                <w:rFonts w:cstheme="minorHAnsi"/>
              </w:rPr>
              <w:t>Concentrated disadvantage</w:t>
            </w:r>
          </w:p>
        </w:tc>
        <w:tc>
          <w:tcPr>
            <w:tcW w:w="0" w:type="auto"/>
          </w:tcPr>
          <w:p w14:paraId="3C5B9240" w14:textId="77777777" w:rsidR="00086C2C" w:rsidRPr="007379B7" w:rsidRDefault="00086C2C" w:rsidP="007379B7">
            <w:pPr>
              <w:pStyle w:val="NoSpacing"/>
              <w:rPr>
                <w:rFonts w:cstheme="minorHAnsi"/>
              </w:rPr>
            </w:pPr>
            <w:r w:rsidRPr="007379B7">
              <w:rPr>
                <w:rFonts w:cstheme="minorHAnsi"/>
              </w:rPr>
              <w:t>0.10</w:t>
            </w:r>
          </w:p>
        </w:tc>
        <w:tc>
          <w:tcPr>
            <w:tcW w:w="0" w:type="auto"/>
          </w:tcPr>
          <w:p w14:paraId="20067DCA" w14:textId="77777777" w:rsidR="00086C2C" w:rsidRPr="007379B7" w:rsidRDefault="00086C2C" w:rsidP="007379B7">
            <w:pPr>
              <w:pStyle w:val="NoSpacing"/>
              <w:rPr>
                <w:rFonts w:cstheme="minorHAnsi"/>
              </w:rPr>
            </w:pPr>
            <w:r w:rsidRPr="007379B7">
              <w:rPr>
                <w:rFonts w:cstheme="minorHAnsi"/>
              </w:rPr>
              <w:t>0.04</w:t>
            </w:r>
          </w:p>
        </w:tc>
        <w:tc>
          <w:tcPr>
            <w:tcW w:w="0" w:type="auto"/>
          </w:tcPr>
          <w:p w14:paraId="34146E5F" w14:textId="77777777" w:rsidR="00086C2C" w:rsidRPr="007379B7" w:rsidRDefault="00086C2C" w:rsidP="007379B7">
            <w:pPr>
              <w:pStyle w:val="NoSpacing"/>
              <w:rPr>
                <w:rFonts w:cstheme="minorHAnsi"/>
              </w:rPr>
            </w:pPr>
            <w:r w:rsidRPr="007379B7">
              <w:rPr>
                <w:rFonts w:cstheme="minorHAnsi"/>
              </w:rPr>
              <w:t>.02</w:t>
            </w:r>
          </w:p>
        </w:tc>
      </w:tr>
      <w:tr w:rsidR="00086C2C" w:rsidRPr="007379B7" w14:paraId="4328B099" w14:textId="77777777" w:rsidTr="001D16F2">
        <w:trPr>
          <w:trHeight w:val="230"/>
        </w:trPr>
        <w:tc>
          <w:tcPr>
            <w:tcW w:w="0" w:type="auto"/>
          </w:tcPr>
          <w:p w14:paraId="0527E25A" w14:textId="77777777" w:rsidR="00086C2C" w:rsidRPr="007379B7" w:rsidRDefault="00086C2C" w:rsidP="007379B7">
            <w:pPr>
              <w:pStyle w:val="NoSpacing"/>
              <w:rPr>
                <w:rFonts w:cstheme="minorHAnsi"/>
              </w:rPr>
            </w:pPr>
            <w:r w:rsidRPr="007379B7">
              <w:rPr>
                <w:rFonts w:cstheme="minorHAnsi"/>
              </w:rPr>
              <w:t>Concentrated immigration</w:t>
            </w:r>
          </w:p>
        </w:tc>
        <w:tc>
          <w:tcPr>
            <w:tcW w:w="0" w:type="auto"/>
          </w:tcPr>
          <w:p w14:paraId="662356C2" w14:textId="77777777" w:rsidR="00086C2C" w:rsidRPr="007379B7" w:rsidRDefault="00086C2C" w:rsidP="007379B7">
            <w:pPr>
              <w:pStyle w:val="NoSpacing"/>
              <w:rPr>
                <w:rFonts w:cstheme="minorHAnsi"/>
              </w:rPr>
            </w:pPr>
            <w:r w:rsidRPr="007379B7">
              <w:rPr>
                <w:rFonts w:cstheme="minorHAnsi"/>
              </w:rPr>
              <w:t>0.11</w:t>
            </w:r>
          </w:p>
        </w:tc>
        <w:tc>
          <w:tcPr>
            <w:tcW w:w="0" w:type="auto"/>
          </w:tcPr>
          <w:p w14:paraId="74C435ED" w14:textId="77777777" w:rsidR="00086C2C" w:rsidRPr="007379B7" w:rsidRDefault="00086C2C" w:rsidP="007379B7">
            <w:pPr>
              <w:pStyle w:val="NoSpacing"/>
              <w:rPr>
                <w:rFonts w:cstheme="minorHAnsi"/>
              </w:rPr>
            </w:pPr>
            <w:r w:rsidRPr="007379B7">
              <w:rPr>
                <w:rFonts w:cstheme="minorHAnsi"/>
              </w:rPr>
              <w:t>0.04</w:t>
            </w:r>
          </w:p>
        </w:tc>
        <w:tc>
          <w:tcPr>
            <w:tcW w:w="0" w:type="auto"/>
          </w:tcPr>
          <w:p w14:paraId="2655C30E" w14:textId="77777777" w:rsidR="00086C2C" w:rsidRPr="007379B7" w:rsidRDefault="00086C2C" w:rsidP="007379B7">
            <w:pPr>
              <w:pStyle w:val="NoSpacing"/>
              <w:rPr>
                <w:rFonts w:cstheme="minorHAnsi"/>
              </w:rPr>
            </w:pPr>
            <w:r w:rsidRPr="007379B7">
              <w:rPr>
                <w:rFonts w:cstheme="minorHAnsi"/>
              </w:rPr>
              <w:t>.01</w:t>
            </w:r>
          </w:p>
        </w:tc>
      </w:tr>
      <w:tr w:rsidR="00086C2C" w:rsidRPr="007379B7" w14:paraId="537A9B09" w14:textId="77777777" w:rsidTr="001D16F2">
        <w:trPr>
          <w:trHeight w:val="230"/>
        </w:trPr>
        <w:tc>
          <w:tcPr>
            <w:tcW w:w="0" w:type="auto"/>
          </w:tcPr>
          <w:p w14:paraId="0B0BC67C" w14:textId="77777777" w:rsidR="00086C2C" w:rsidRPr="007379B7" w:rsidRDefault="00086C2C" w:rsidP="007379B7">
            <w:pPr>
              <w:pStyle w:val="NoSpacing"/>
              <w:rPr>
                <w:rFonts w:cstheme="minorHAnsi"/>
              </w:rPr>
            </w:pPr>
            <w:r w:rsidRPr="007379B7">
              <w:rPr>
                <w:rFonts w:cstheme="minorHAnsi"/>
              </w:rPr>
              <w:t>Residential stability</w:t>
            </w:r>
          </w:p>
        </w:tc>
        <w:tc>
          <w:tcPr>
            <w:tcW w:w="0" w:type="auto"/>
          </w:tcPr>
          <w:p w14:paraId="5DCA41E9" w14:textId="77777777" w:rsidR="00086C2C" w:rsidRPr="007379B7" w:rsidRDefault="00086C2C" w:rsidP="007379B7">
            <w:pPr>
              <w:pStyle w:val="NoSpacing"/>
              <w:rPr>
                <w:rFonts w:cstheme="minorHAnsi"/>
              </w:rPr>
            </w:pPr>
            <w:r w:rsidRPr="007379B7">
              <w:rPr>
                <w:rFonts w:cstheme="minorHAnsi"/>
              </w:rPr>
              <w:t>−0.10</w:t>
            </w:r>
          </w:p>
        </w:tc>
        <w:tc>
          <w:tcPr>
            <w:tcW w:w="0" w:type="auto"/>
          </w:tcPr>
          <w:p w14:paraId="334F70B2" w14:textId="77777777" w:rsidR="00086C2C" w:rsidRPr="007379B7" w:rsidRDefault="00086C2C" w:rsidP="007379B7">
            <w:pPr>
              <w:pStyle w:val="NoSpacing"/>
              <w:rPr>
                <w:rFonts w:cstheme="minorHAnsi"/>
              </w:rPr>
            </w:pPr>
            <w:r w:rsidRPr="007379B7">
              <w:rPr>
                <w:rFonts w:cstheme="minorHAnsi"/>
              </w:rPr>
              <w:t>0.03</w:t>
            </w:r>
          </w:p>
        </w:tc>
        <w:tc>
          <w:tcPr>
            <w:tcW w:w="0" w:type="auto"/>
          </w:tcPr>
          <w:p w14:paraId="09A32978" w14:textId="77777777" w:rsidR="00086C2C" w:rsidRPr="007379B7" w:rsidRDefault="00086C2C" w:rsidP="007379B7">
            <w:pPr>
              <w:pStyle w:val="NoSpacing"/>
              <w:rPr>
                <w:rFonts w:cstheme="minorHAnsi"/>
              </w:rPr>
            </w:pPr>
            <w:r w:rsidRPr="007379B7">
              <w:rPr>
                <w:rFonts w:cstheme="minorHAnsi"/>
              </w:rPr>
              <w:t>.00</w:t>
            </w:r>
          </w:p>
        </w:tc>
      </w:tr>
      <w:tr w:rsidR="00086C2C" w:rsidRPr="007379B7" w14:paraId="2DF68FF8" w14:textId="77777777" w:rsidTr="001D16F2">
        <w:trPr>
          <w:trHeight w:val="230"/>
        </w:trPr>
        <w:tc>
          <w:tcPr>
            <w:tcW w:w="0" w:type="auto"/>
          </w:tcPr>
          <w:p w14:paraId="219A9C30" w14:textId="77777777" w:rsidR="00086C2C" w:rsidRPr="007379B7" w:rsidRDefault="00086C2C" w:rsidP="007379B7">
            <w:pPr>
              <w:pStyle w:val="NoSpacing"/>
              <w:rPr>
                <w:rFonts w:cstheme="minorHAnsi"/>
              </w:rPr>
            </w:pPr>
            <w:r w:rsidRPr="007379B7">
              <w:rPr>
                <w:rFonts w:cstheme="minorHAnsi"/>
              </w:rPr>
              <w:t>Population density</w:t>
            </w:r>
          </w:p>
        </w:tc>
        <w:tc>
          <w:tcPr>
            <w:tcW w:w="0" w:type="auto"/>
          </w:tcPr>
          <w:p w14:paraId="436690D7" w14:textId="77777777" w:rsidR="00086C2C" w:rsidRPr="007379B7" w:rsidRDefault="00086C2C" w:rsidP="007379B7">
            <w:pPr>
              <w:pStyle w:val="NoSpacing"/>
              <w:rPr>
                <w:rFonts w:cstheme="minorHAnsi"/>
              </w:rPr>
            </w:pPr>
            <w:r w:rsidRPr="007379B7">
              <w:rPr>
                <w:rFonts w:cstheme="minorHAnsi"/>
              </w:rPr>
              <w:t>0.25</w:t>
            </w:r>
          </w:p>
        </w:tc>
        <w:tc>
          <w:tcPr>
            <w:tcW w:w="0" w:type="auto"/>
          </w:tcPr>
          <w:p w14:paraId="50CF52CF" w14:textId="77777777" w:rsidR="00086C2C" w:rsidRPr="007379B7" w:rsidRDefault="00086C2C" w:rsidP="007379B7">
            <w:pPr>
              <w:pStyle w:val="NoSpacing"/>
              <w:rPr>
                <w:rFonts w:cstheme="minorHAnsi"/>
              </w:rPr>
            </w:pPr>
            <w:r w:rsidRPr="007379B7">
              <w:rPr>
                <w:rFonts w:cstheme="minorHAnsi"/>
              </w:rPr>
              <w:t>0.04</w:t>
            </w:r>
          </w:p>
        </w:tc>
        <w:tc>
          <w:tcPr>
            <w:tcW w:w="0" w:type="auto"/>
          </w:tcPr>
          <w:p w14:paraId="3CA8ACB6" w14:textId="77777777" w:rsidR="00086C2C" w:rsidRPr="007379B7" w:rsidRDefault="00086C2C" w:rsidP="007379B7">
            <w:pPr>
              <w:pStyle w:val="NoSpacing"/>
              <w:rPr>
                <w:rFonts w:cstheme="minorHAnsi"/>
              </w:rPr>
            </w:pPr>
            <w:r w:rsidRPr="007379B7">
              <w:rPr>
                <w:rFonts w:cstheme="minorHAnsi"/>
              </w:rPr>
              <w:t>.00</w:t>
            </w:r>
          </w:p>
        </w:tc>
      </w:tr>
      <w:tr w:rsidR="00086C2C" w:rsidRPr="007379B7" w14:paraId="7ACE71CA" w14:textId="77777777" w:rsidTr="001D16F2">
        <w:trPr>
          <w:trHeight w:val="230"/>
        </w:trPr>
        <w:tc>
          <w:tcPr>
            <w:tcW w:w="0" w:type="auto"/>
          </w:tcPr>
          <w:p w14:paraId="66FDEC5E" w14:textId="77777777" w:rsidR="00086C2C" w:rsidRPr="007379B7" w:rsidRDefault="00086C2C" w:rsidP="007379B7">
            <w:pPr>
              <w:pStyle w:val="NoSpacing"/>
              <w:rPr>
                <w:rFonts w:cstheme="minorHAnsi"/>
              </w:rPr>
            </w:pPr>
            <w:r w:rsidRPr="007379B7">
              <w:rPr>
                <w:rFonts w:cstheme="minorHAnsi"/>
              </w:rPr>
              <w:t>Proportion Black</w:t>
            </w:r>
          </w:p>
        </w:tc>
        <w:tc>
          <w:tcPr>
            <w:tcW w:w="0" w:type="auto"/>
          </w:tcPr>
          <w:p w14:paraId="3661B2BB" w14:textId="77777777" w:rsidR="00086C2C" w:rsidRPr="007379B7" w:rsidRDefault="00086C2C" w:rsidP="007379B7">
            <w:pPr>
              <w:pStyle w:val="NoSpacing"/>
              <w:rPr>
                <w:rFonts w:cstheme="minorHAnsi"/>
              </w:rPr>
            </w:pPr>
            <w:r w:rsidRPr="007379B7">
              <w:rPr>
                <w:rFonts w:cstheme="minorHAnsi"/>
              </w:rPr>
              <w:t>0.12</w:t>
            </w:r>
          </w:p>
        </w:tc>
        <w:tc>
          <w:tcPr>
            <w:tcW w:w="0" w:type="auto"/>
          </w:tcPr>
          <w:p w14:paraId="5D128EF1" w14:textId="77777777" w:rsidR="00086C2C" w:rsidRPr="007379B7" w:rsidRDefault="00086C2C" w:rsidP="007379B7">
            <w:pPr>
              <w:pStyle w:val="NoSpacing"/>
              <w:rPr>
                <w:rFonts w:cstheme="minorHAnsi"/>
              </w:rPr>
            </w:pPr>
            <w:r w:rsidRPr="007379B7">
              <w:rPr>
                <w:rFonts w:cstheme="minorHAnsi"/>
              </w:rPr>
              <w:t>0.05</w:t>
            </w:r>
          </w:p>
        </w:tc>
        <w:tc>
          <w:tcPr>
            <w:tcW w:w="0" w:type="auto"/>
          </w:tcPr>
          <w:p w14:paraId="2C0299AE" w14:textId="77777777" w:rsidR="00086C2C" w:rsidRPr="007379B7" w:rsidRDefault="00086C2C" w:rsidP="007379B7">
            <w:pPr>
              <w:pStyle w:val="NoSpacing"/>
              <w:rPr>
                <w:rFonts w:cstheme="minorHAnsi"/>
              </w:rPr>
            </w:pPr>
            <w:r w:rsidRPr="007379B7">
              <w:rPr>
                <w:rFonts w:cstheme="minorHAnsi"/>
              </w:rPr>
              <w:t>.01</w:t>
            </w:r>
          </w:p>
        </w:tc>
      </w:tr>
      <w:tr w:rsidR="00086C2C" w:rsidRPr="007379B7" w14:paraId="0C7F808C" w14:textId="77777777" w:rsidTr="001D16F2">
        <w:trPr>
          <w:trHeight w:val="230"/>
        </w:trPr>
        <w:tc>
          <w:tcPr>
            <w:tcW w:w="0" w:type="auto"/>
          </w:tcPr>
          <w:p w14:paraId="5CF03A75" w14:textId="77777777" w:rsidR="00086C2C" w:rsidRPr="007379B7" w:rsidRDefault="00086C2C" w:rsidP="007379B7">
            <w:pPr>
              <w:pStyle w:val="NoSpacing"/>
              <w:rPr>
                <w:rFonts w:cstheme="minorHAnsi"/>
              </w:rPr>
            </w:pPr>
            <w:r w:rsidRPr="007379B7">
              <w:rPr>
                <w:rFonts w:cstheme="minorHAnsi"/>
              </w:rPr>
              <w:t>Rho robbery density</w:t>
            </w:r>
          </w:p>
        </w:tc>
        <w:tc>
          <w:tcPr>
            <w:tcW w:w="0" w:type="auto"/>
          </w:tcPr>
          <w:p w14:paraId="06FF7FE3" w14:textId="77777777" w:rsidR="00086C2C" w:rsidRPr="007379B7" w:rsidRDefault="00086C2C" w:rsidP="007379B7">
            <w:pPr>
              <w:pStyle w:val="NoSpacing"/>
              <w:rPr>
                <w:rFonts w:cstheme="minorHAnsi"/>
              </w:rPr>
            </w:pPr>
            <w:r w:rsidRPr="007379B7">
              <w:rPr>
                <w:rFonts w:cstheme="minorHAnsi"/>
              </w:rPr>
              <w:t>0.44</w:t>
            </w:r>
          </w:p>
        </w:tc>
        <w:tc>
          <w:tcPr>
            <w:tcW w:w="0" w:type="auto"/>
          </w:tcPr>
          <w:p w14:paraId="12D9D1BA" w14:textId="77777777" w:rsidR="00086C2C" w:rsidRPr="007379B7" w:rsidRDefault="00086C2C" w:rsidP="007379B7">
            <w:pPr>
              <w:pStyle w:val="NoSpacing"/>
              <w:rPr>
                <w:rFonts w:cstheme="minorHAnsi"/>
              </w:rPr>
            </w:pPr>
            <w:r w:rsidRPr="007379B7">
              <w:rPr>
                <w:rFonts w:cstheme="minorHAnsi"/>
              </w:rPr>
              <w:t>0.05</w:t>
            </w:r>
          </w:p>
        </w:tc>
        <w:tc>
          <w:tcPr>
            <w:tcW w:w="0" w:type="auto"/>
          </w:tcPr>
          <w:p w14:paraId="494F9121" w14:textId="77777777" w:rsidR="00086C2C" w:rsidRPr="007379B7" w:rsidRDefault="00086C2C" w:rsidP="007379B7">
            <w:pPr>
              <w:pStyle w:val="NoSpacing"/>
              <w:rPr>
                <w:rFonts w:cstheme="minorHAnsi"/>
              </w:rPr>
            </w:pPr>
            <w:r w:rsidRPr="007379B7">
              <w:rPr>
                <w:rFonts w:cstheme="minorHAnsi"/>
              </w:rPr>
              <w:t>.00</w:t>
            </w:r>
          </w:p>
        </w:tc>
      </w:tr>
      <w:tr w:rsidR="00086C2C" w:rsidRPr="007379B7" w14:paraId="21576CA3" w14:textId="77777777" w:rsidTr="001D16F2">
        <w:trPr>
          <w:trHeight w:val="240"/>
        </w:trPr>
        <w:tc>
          <w:tcPr>
            <w:tcW w:w="0" w:type="auto"/>
          </w:tcPr>
          <w:p w14:paraId="1273415F" w14:textId="77777777" w:rsidR="00086C2C" w:rsidRPr="007379B7" w:rsidRDefault="00086C2C" w:rsidP="007379B7">
            <w:pPr>
              <w:pStyle w:val="NoSpacing"/>
              <w:rPr>
                <w:rFonts w:cstheme="minorHAnsi"/>
              </w:rPr>
            </w:pPr>
            <w:r w:rsidRPr="007379B7">
              <w:rPr>
                <w:rFonts w:cstheme="minorHAnsi"/>
              </w:rPr>
              <w:t>Beer density</w:t>
            </w:r>
          </w:p>
        </w:tc>
        <w:tc>
          <w:tcPr>
            <w:tcW w:w="0" w:type="auto"/>
          </w:tcPr>
          <w:p w14:paraId="6A9F8A10" w14:textId="77777777" w:rsidR="00086C2C" w:rsidRPr="007379B7" w:rsidRDefault="00086C2C" w:rsidP="007379B7">
            <w:pPr>
              <w:pStyle w:val="NoSpacing"/>
              <w:rPr>
                <w:rFonts w:cstheme="minorHAnsi"/>
              </w:rPr>
            </w:pPr>
            <w:r w:rsidRPr="007379B7">
              <w:rPr>
                <w:rFonts w:cstheme="minorHAnsi"/>
              </w:rPr>
              <w:t>0.14</w:t>
            </w:r>
          </w:p>
        </w:tc>
        <w:tc>
          <w:tcPr>
            <w:tcW w:w="0" w:type="auto"/>
          </w:tcPr>
          <w:p w14:paraId="05807CA1" w14:textId="77777777" w:rsidR="00086C2C" w:rsidRPr="007379B7" w:rsidRDefault="00086C2C" w:rsidP="007379B7">
            <w:pPr>
              <w:pStyle w:val="NoSpacing"/>
              <w:rPr>
                <w:rFonts w:cstheme="minorHAnsi"/>
              </w:rPr>
            </w:pPr>
            <w:r w:rsidRPr="007379B7">
              <w:rPr>
                <w:rFonts w:cstheme="minorHAnsi"/>
              </w:rPr>
              <w:t>0.03</w:t>
            </w:r>
          </w:p>
        </w:tc>
        <w:tc>
          <w:tcPr>
            <w:tcW w:w="0" w:type="auto"/>
          </w:tcPr>
          <w:p w14:paraId="2D39E6C9" w14:textId="77777777" w:rsidR="00086C2C" w:rsidRPr="007379B7" w:rsidRDefault="00086C2C" w:rsidP="007379B7">
            <w:pPr>
              <w:pStyle w:val="NoSpacing"/>
              <w:rPr>
                <w:rFonts w:cstheme="minorHAnsi"/>
              </w:rPr>
            </w:pPr>
            <w:r w:rsidRPr="007379B7">
              <w:rPr>
                <w:rFonts w:cstheme="minorHAnsi"/>
              </w:rPr>
              <w:t>.00</w:t>
            </w:r>
          </w:p>
        </w:tc>
      </w:tr>
      <w:tr w:rsidR="00086C2C" w:rsidRPr="007379B7" w14:paraId="0C25E56D" w14:textId="77777777" w:rsidTr="001D16F2">
        <w:trPr>
          <w:trHeight w:val="298"/>
        </w:trPr>
        <w:tc>
          <w:tcPr>
            <w:tcW w:w="0" w:type="auto"/>
          </w:tcPr>
          <w:p w14:paraId="31EF64DC" w14:textId="77777777" w:rsidR="00086C2C" w:rsidRPr="007379B7" w:rsidRDefault="00086C2C" w:rsidP="007379B7">
            <w:pPr>
              <w:pStyle w:val="NoSpacing"/>
              <w:rPr>
                <w:rFonts w:cstheme="minorHAnsi"/>
              </w:rPr>
            </w:pPr>
            <w:r w:rsidRPr="007379B7">
              <w:rPr>
                <w:rFonts w:cstheme="minorHAnsi"/>
              </w:rPr>
              <w:t>Constant</w:t>
            </w:r>
          </w:p>
        </w:tc>
        <w:tc>
          <w:tcPr>
            <w:tcW w:w="0" w:type="auto"/>
          </w:tcPr>
          <w:p w14:paraId="47FD15E0" w14:textId="77777777" w:rsidR="00086C2C" w:rsidRPr="007379B7" w:rsidRDefault="00086C2C" w:rsidP="007379B7">
            <w:pPr>
              <w:pStyle w:val="NoSpacing"/>
              <w:rPr>
                <w:rFonts w:cstheme="minorHAnsi"/>
              </w:rPr>
            </w:pPr>
            <w:r w:rsidRPr="007379B7">
              <w:rPr>
                <w:rFonts w:cstheme="minorHAnsi"/>
              </w:rPr>
              <w:t>0.01</w:t>
            </w:r>
          </w:p>
        </w:tc>
        <w:tc>
          <w:tcPr>
            <w:tcW w:w="0" w:type="auto"/>
          </w:tcPr>
          <w:p w14:paraId="533D16EE" w14:textId="77777777" w:rsidR="00086C2C" w:rsidRPr="007379B7" w:rsidRDefault="00086C2C" w:rsidP="007379B7">
            <w:pPr>
              <w:pStyle w:val="NoSpacing"/>
              <w:rPr>
                <w:rFonts w:cstheme="minorHAnsi"/>
              </w:rPr>
            </w:pPr>
            <w:r w:rsidRPr="007379B7">
              <w:rPr>
                <w:rFonts w:cstheme="minorHAnsi"/>
              </w:rPr>
              <w:t>0.03</w:t>
            </w:r>
          </w:p>
        </w:tc>
        <w:tc>
          <w:tcPr>
            <w:tcW w:w="0" w:type="auto"/>
          </w:tcPr>
          <w:p w14:paraId="69A57928" w14:textId="77777777" w:rsidR="00086C2C" w:rsidRPr="007379B7" w:rsidRDefault="00086C2C" w:rsidP="007379B7">
            <w:pPr>
              <w:pStyle w:val="NoSpacing"/>
              <w:rPr>
                <w:rFonts w:cstheme="minorHAnsi"/>
              </w:rPr>
            </w:pPr>
            <w:r w:rsidRPr="007379B7">
              <w:rPr>
                <w:rFonts w:cstheme="minorHAnsi"/>
              </w:rPr>
              <w:t>.84</w:t>
            </w:r>
          </w:p>
        </w:tc>
      </w:tr>
      <w:tr w:rsidR="003D1743" w:rsidRPr="007379B7" w14:paraId="773E74C1" w14:textId="77777777" w:rsidTr="001D16F2">
        <w:trPr>
          <w:trHeight w:val="280"/>
        </w:trPr>
        <w:tc>
          <w:tcPr>
            <w:tcW w:w="0" w:type="auto"/>
          </w:tcPr>
          <w:p w14:paraId="06B6893D" w14:textId="77777777" w:rsidR="003D1743" w:rsidRPr="007379B7" w:rsidRDefault="003D1743" w:rsidP="007379B7">
            <w:pPr>
              <w:pStyle w:val="NoSpacing"/>
              <w:rPr>
                <w:rFonts w:cstheme="minorHAnsi"/>
              </w:rPr>
            </w:pPr>
            <w:r w:rsidRPr="007379B7">
              <w:rPr>
                <w:rFonts w:cstheme="minorHAnsi"/>
              </w:rPr>
              <w:t>R</w:t>
            </w:r>
            <w:r w:rsidRPr="007379B7">
              <w:rPr>
                <w:rFonts w:cstheme="minorHAnsi"/>
                <w:vertAlign w:val="superscript"/>
              </w:rPr>
              <w:t>2</w:t>
            </w:r>
          </w:p>
        </w:tc>
        <w:tc>
          <w:tcPr>
            <w:tcW w:w="0" w:type="auto"/>
          </w:tcPr>
          <w:p w14:paraId="23BB9D50" w14:textId="77777777" w:rsidR="003D1743" w:rsidRPr="007379B7" w:rsidRDefault="003D1743" w:rsidP="007379B7">
            <w:pPr>
              <w:pStyle w:val="NoSpacing"/>
              <w:rPr>
                <w:rFonts w:cstheme="minorHAnsi"/>
              </w:rPr>
            </w:pPr>
          </w:p>
        </w:tc>
        <w:tc>
          <w:tcPr>
            <w:tcW w:w="0" w:type="auto"/>
          </w:tcPr>
          <w:p w14:paraId="6F8EC9B8" w14:textId="77777777" w:rsidR="003D1743" w:rsidRPr="007379B7" w:rsidRDefault="003D1743" w:rsidP="007379B7">
            <w:pPr>
              <w:pStyle w:val="NoSpacing"/>
              <w:rPr>
                <w:rFonts w:cstheme="minorHAnsi"/>
              </w:rPr>
            </w:pPr>
            <w:r w:rsidRPr="007379B7">
              <w:rPr>
                <w:rFonts w:cstheme="minorHAnsi"/>
              </w:rPr>
              <w:t>.54</w:t>
            </w:r>
          </w:p>
        </w:tc>
        <w:tc>
          <w:tcPr>
            <w:tcW w:w="0" w:type="auto"/>
          </w:tcPr>
          <w:p w14:paraId="53DD98DF" w14:textId="77777777" w:rsidR="003D1743" w:rsidRPr="007379B7" w:rsidRDefault="003D1743" w:rsidP="007379B7">
            <w:pPr>
              <w:pStyle w:val="NoSpacing"/>
              <w:rPr>
                <w:rFonts w:cstheme="minorHAnsi"/>
              </w:rPr>
            </w:pPr>
          </w:p>
        </w:tc>
      </w:tr>
      <w:tr w:rsidR="003D1743" w:rsidRPr="007379B7" w14:paraId="578BC913" w14:textId="77777777" w:rsidTr="001D16F2">
        <w:trPr>
          <w:trHeight w:val="230"/>
        </w:trPr>
        <w:tc>
          <w:tcPr>
            <w:tcW w:w="0" w:type="auto"/>
          </w:tcPr>
          <w:p w14:paraId="321216D6" w14:textId="77777777" w:rsidR="003D1743" w:rsidRPr="007379B7" w:rsidRDefault="003D1743" w:rsidP="007379B7">
            <w:pPr>
              <w:pStyle w:val="NoSpacing"/>
              <w:rPr>
                <w:rFonts w:cstheme="minorHAnsi"/>
              </w:rPr>
            </w:pPr>
            <w:r w:rsidRPr="007379B7">
              <w:rPr>
                <w:rFonts w:cstheme="minorHAnsi"/>
              </w:rPr>
              <w:t>Log likelihood</w:t>
            </w:r>
          </w:p>
        </w:tc>
        <w:tc>
          <w:tcPr>
            <w:tcW w:w="0" w:type="auto"/>
          </w:tcPr>
          <w:p w14:paraId="7B02D9FE" w14:textId="77777777" w:rsidR="003D1743" w:rsidRPr="007379B7" w:rsidRDefault="003D1743" w:rsidP="007379B7">
            <w:pPr>
              <w:pStyle w:val="NoSpacing"/>
              <w:rPr>
                <w:rFonts w:cstheme="minorHAnsi"/>
              </w:rPr>
            </w:pPr>
          </w:p>
        </w:tc>
        <w:tc>
          <w:tcPr>
            <w:tcW w:w="0" w:type="auto"/>
          </w:tcPr>
          <w:p w14:paraId="3771E5B4" w14:textId="77777777" w:rsidR="003D1743" w:rsidRPr="007379B7" w:rsidRDefault="003D1743" w:rsidP="007379B7">
            <w:pPr>
              <w:pStyle w:val="NoSpacing"/>
              <w:rPr>
                <w:rFonts w:cstheme="minorHAnsi"/>
              </w:rPr>
            </w:pPr>
            <w:r w:rsidRPr="007379B7">
              <w:rPr>
                <w:rFonts w:cstheme="minorHAnsi"/>
              </w:rPr>
              <w:t>−598.18</w:t>
            </w:r>
          </w:p>
        </w:tc>
        <w:tc>
          <w:tcPr>
            <w:tcW w:w="0" w:type="auto"/>
          </w:tcPr>
          <w:p w14:paraId="2785EAC1" w14:textId="77777777" w:rsidR="003D1743" w:rsidRPr="007379B7" w:rsidRDefault="003D1743" w:rsidP="007379B7">
            <w:pPr>
              <w:pStyle w:val="NoSpacing"/>
              <w:rPr>
                <w:rFonts w:cstheme="minorHAnsi"/>
              </w:rPr>
            </w:pPr>
          </w:p>
        </w:tc>
      </w:tr>
      <w:tr w:rsidR="003D1743" w:rsidRPr="007379B7" w14:paraId="2A712D7E" w14:textId="77777777" w:rsidTr="001D16F2">
        <w:trPr>
          <w:trHeight w:val="230"/>
        </w:trPr>
        <w:tc>
          <w:tcPr>
            <w:tcW w:w="0" w:type="auto"/>
          </w:tcPr>
          <w:p w14:paraId="28ADCB60" w14:textId="77777777" w:rsidR="003D1743" w:rsidRPr="007379B7" w:rsidRDefault="003D1743" w:rsidP="007379B7">
            <w:pPr>
              <w:pStyle w:val="NoSpacing"/>
              <w:rPr>
                <w:rFonts w:cstheme="minorHAnsi"/>
              </w:rPr>
            </w:pPr>
            <w:r w:rsidRPr="007379B7">
              <w:rPr>
                <w:rFonts w:cstheme="minorHAnsi"/>
              </w:rPr>
              <w:t>Akaike information criterion</w:t>
            </w:r>
          </w:p>
        </w:tc>
        <w:tc>
          <w:tcPr>
            <w:tcW w:w="0" w:type="auto"/>
          </w:tcPr>
          <w:p w14:paraId="2E5FE3D0" w14:textId="77777777" w:rsidR="003D1743" w:rsidRPr="007379B7" w:rsidRDefault="003D1743" w:rsidP="007379B7">
            <w:pPr>
              <w:pStyle w:val="NoSpacing"/>
              <w:rPr>
                <w:rFonts w:cstheme="minorHAnsi"/>
              </w:rPr>
            </w:pPr>
          </w:p>
        </w:tc>
        <w:tc>
          <w:tcPr>
            <w:tcW w:w="0" w:type="auto"/>
          </w:tcPr>
          <w:p w14:paraId="2FB37669" w14:textId="77777777" w:rsidR="003D1743" w:rsidRPr="007379B7" w:rsidRDefault="003D1743" w:rsidP="007379B7">
            <w:pPr>
              <w:pStyle w:val="NoSpacing"/>
              <w:rPr>
                <w:rFonts w:cstheme="minorHAnsi"/>
              </w:rPr>
            </w:pPr>
            <w:r w:rsidRPr="007379B7">
              <w:rPr>
                <w:rFonts w:cstheme="minorHAnsi"/>
              </w:rPr>
              <w:t>1,214.36</w:t>
            </w:r>
          </w:p>
        </w:tc>
        <w:tc>
          <w:tcPr>
            <w:tcW w:w="0" w:type="auto"/>
          </w:tcPr>
          <w:p w14:paraId="12D25770" w14:textId="77777777" w:rsidR="003D1743" w:rsidRPr="007379B7" w:rsidRDefault="003D1743" w:rsidP="007379B7">
            <w:pPr>
              <w:pStyle w:val="NoSpacing"/>
              <w:rPr>
                <w:rFonts w:cstheme="minorHAnsi"/>
              </w:rPr>
            </w:pPr>
          </w:p>
        </w:tc>
      </w:tr>
      <w:tr w:rsidR="003D1743" w:rsidRPr="007379B7" w14:paraId="64A72114" w14:textId="77777777" w:rsidTr="001D16F2">
        <w:trPr>
          <w:trHeight w:val="230"/>
        </w:trPr>
        <w:tc>
          <w:tcPr>
            <w:tcW w:w="0" w:type="auto"/>
          </w:tcPr>
          <w:p w14:paraId="52EB1164" w14:textId="77777777" w:rsidR="003D1743" w:rsidRPr="007379B7" w:rsidRDefault="003D1743" w:rsidP="007379B7">
            <w:pPr>
              <w:pStyle w:val="NoSpacing"/>
              <w:rPr>
                <w:rFonts w:cstheme="minorHAnsi"/>
              </w:rPr>
            </w:pPr>
            <w:r w:rsidRPr="007379B7">
              <w:rPr>
                <w:rFonts w:cstheme="minorHAnsi"/>
              </w:rPr>
              <w:t>Schwarz criterion</w:t>
            </w:r>
          </w:p>
        </w:tc>
        <w:tc>
          <w:tcPr>
            <w:tcW w:w="0" w:type="auto"/>
          </w:tcPr>
          <w:p w14:paraId="1F070245" w14:textId="77777777" w:rsidR="003D1743" w:rsidRPr="007379B7" w:rsidRDefault="003D1743" w:rsidP="007379B7">
            <w:pPr>
              <w:pStyle w:val="NoSpacing"/>
              <w:rPr>
                <w:rFonts w:cstheme="minorHAnsi"/>
              </w:rPr>
            </w:pPr>
          </w:p>
        </w:tc>
        <w:tc>
          <w:tcPr>
            <w:tcW w:w="0" w:type="auto"/>
          </w:tcPr>
          <w:p w14:paraId="6AEEDBD8" w14:textId="77777777" w:rsidR="003D1743" w:rsidRPr="007379B7" w:rsidRDefault="003D1743" w:rsidP="007379B7">
            <w:pPr>
              <w:pStyle w:val="NoSpacing"/>
              <w:rPr>
                <w:rFonts w:cstheme="minorHAnsi"/>
              </w:rPr>
            </w:pPr>
            <w:r w:rsidRPr="007379B7">
              <w:rPr>
                <w:rFonts w:cstheme="minorHAnsi"/>
              </w:rPr>
              <w:t>1,253.51</w:t>
            </w:r>
          </w:p>
        </w:tc>
        <w:tc>
          <w:tcPr>
            <w:tcW w:w="0" w:type="auto"/>
          </w:tcPr>
          <w:p w14:paraId="6874D1F2" w14:textId="77777777" w:rsidR="003D1743" w:rsidRPr="007379B7" w:rsidRDefault="003D1743" w:rsidP="007379B7">
            <w:pPr>
              <w:pStyle w:val="NoSpacing"/>
              <w:rPr>
                <w:rFonts w:cstheme="minorHAnsi"/>
              </w:rPr>
            </w:pPr>
          </w:p>
        </w:tc>
      </w:tr>
      <w:tr w:rsidR="003D1743" w:rsidRPr="007379B7" w14:paraId="3D64F1B1" w14:textId="77777777" w:rsidTr="001D16F2">
        <w:trPr>
          <w:trHeight w:val="230"/>
        </w:trPr>
        <w:tc>
          <w:tcPr>
            <w:tcW w:w="0" w:type="auto"/>
          </w:tcPr>
          <w:p w14:paraId="7AACF93E" w14:textId="77777777" w:rsidR="003D1743" w:rsidRPr="007379B7" w:rsidRDefault="003D1743" w:rsidP="007379B7">
            <w:pPr>
              <w:pStyle w:val="NoSpacing"/>
              <w:rPr>
                <w:rFonts w:cstheme="minorHAnsi"/>
              </w:rPr>
            </w:pPr>
            <w:r w:rsidRPr="007379B7">
              <w:rPr>
                <w:rFonts w:cstheme="minorHAnsi"/>
              </w:rPr>
              <w:t>Number of observations</w:t>
            </w:r>
          </w:p>
        </w:tc>
        <w:tc>
          <w:tcPr>
            <w:tcW w:w="0" w:type="auto"/>
          </w:tcPr>
          <w:p w14:paraId="58E2BED3" w14:textId="77777777" w:rsidR="003D1743" w:rsidRPr="007379B7" w:rsidRDefault="003D1743" w:rsidP="007379B7">
            <w:pPr>
              <w:pStyle w:val="NoSpacing"/>
              <w:rPr>
                <w:rFonts w:cstheme="minorHAnsi"/>
              </w:rPr>
            </w:pPr>
          </w:p>
        </w:tc>
        <w:tc>
          <w:tcPr>
            <w:tcW w:w="0" w:type="auto"/>
          </w:tcPr>
          <w:p w14:paraId="0DBF95DF" w14:textId="77777777" w:rsidR="003D1743" w:rsidRPr="007379B7" w:rsidRDefault="003D1743" w:rsidP="007379B7">
            <w:pPr>
              <w:pStyle w:val="NoSpacing"/>
              <w:rPr>
                <w:rFonts w:cstheme="minorHAnsi"/>
              </w:rPr>
            </w:pPr>
            <w:r w:rsidRPr="007379B7">
              <w:rPr>
                <w:rFonts w:cstheme="minorHAnsi"/>
              </w:rPr>
              <w:t>572</w:t>
            </w:r>
          </w:p>
        </w:tc>
        <w:tc>
          <w:tcPr>
            <w:tcW w:w="0" w:type="auto"/>
          </w:tcPr>
          <w:p w14:paraId="09E55119" w14:textId="77777777" w:rsidR="003D1743" w:rsidRPr="007379B7" w:rsidRDefault="003D1743" w:rsidP="007379B7">
            <w:pPr>
              <w:pStyle w:val="NoSpacing"/>
              <w:rPr>
                <w:rFonts w:cstheme="minorHAnsi"/>
              </w:rPr>
            </w:pPr>
          </w:p>
        </w:tc>
      </w:tr>
      <w:tr w:rsidR="003D1743" w:rsidRPr="007379B7" w14:paraId="7AC92FD2" w14:textId="77777777" w:rsidTr="001D16F2">
        <w:trPr>
          <w:trHeight w:val="230"/>
        </w:trPr>
        <w:tc>
          <w:tcPr>
            <w:tcW w:w="0" w:type="auto"/>
          </w:tcPr>
          <w:p w14:paraId="6498E353" w14:textId="77777777" w:rsidR="003D1743" w:rsidRPr="007379B7" w:rsidRDefault="003D1743" w:rsidP="007379B7">
            <w:pPr>
              <w:pStyle w:val="NoSpacing"/>
              <w:rPr>
                <w:rFonts w:cstheme="minorHAnsi"/>
              </w:rPr>
            </w:pPr>
            <w:r w:rsidRPr="007379B7">
              <w:rPr>
                <w:rFonts w:cstheme="minorHAnsi"/>
              </w:rPr>
              <w:t>Number of variables</w:t>
            </w:r>
          </w:p>
        </w:tc>
        <w:tc>
          <w:tcPr>
            <w:tcW w:w="0" w:type="auto"/>
          </w:tcPr>
          <w:p w14:paraId="5855C0B1" w14:textId="77777777" w:rsidR="003D1743" w:rsidRPr="007379B7" w:rsidRDefault="003D1743" w:rsidP="007379B7">
            <w:pPr>
              <w:pStyle w:val="NoSpacing"/>
              <w:rPr>
                <w:rFonts w:cstheme="minorHAnsi"/>
              </w:rPr>
            </w:pPr>
          </w:p>
        </w:tc>
        <w:tc>
          <w:tcPr>
            <w:tcW w:w="0" w:type="auto"/>
          </w:tcPr>
          <w:p w14:paraId="6CCE2276" w14:textId="77777777" w:rsidR="003D1743" w:rsidRPr="007379B7" w:rsidRDefault="003D1743" w:rsidP="007379B7">
            <w:pPr>
              <w:pStyle w:val="NoSpacing"/>
              <w:rPr>
                <w:rFonts w:cstheme="minorHAnsi"/>
                <w:w w:val="98"/>
              </w:rPr>
            </w:pPr>
            <w:r w:rsidRPr="007379B7">
              <w:rPr>
                <w:rFonts w:cstheme="minorHAnsi"/>
                <w:w w:val="98"/>
              </w:rPr>
              <w:t>9</w:t>
            </w:r>
          </w:p>
        </w:tc>
        <w:tc>
          <w:tcPr>
            <w:tcW w:w="0" w:type="auto"/>
          </w:tcPr>
          <w:p w14:paraId="3B0CF2BE" w14:textId="77777777" w:rsidR="003D1743" w:rsidRPr="007379B7" w:rsidRDefault="003D1743" w:rsidP="007379B7">
            <w:pPr>
              <w:pStyle w:val="NoSpacing"/>
              <w:rPr>
                <w:rFonts w:cstheme="minorHAnsi"/>
              </w:rPr>
            </w:pPr>
          </w:p>
        </w:tc>
      </w:tr>
      <w:tr w:rsidR="003D1743" w:rsidRPr="007379B7" w14:paraId="18101FE2" w14:textId="77777777" w:rsidTr="001D16F2">
        <w:trPr>
          <w:trHeight w:val="230"/>
        </w:trPr>
        <w:tc>
          <w:tcPr>
            <w:tcW w:w="0" w:type="auto"/>
          </w:tcPr>
          <w:p w14:paraId="133C9276" w14:textId="77777777" w:rsidR="003D1743" w:rsidRPr="007379B7" w:rsidRDefault="003D1743" w:rsidP="007379B7">
            <w:pPr>
              <w:pStyle w:val="NoSpacing"/>
              <w:rPr>
                <w:rFonts w:cstheme="minorHAnsi"/>
              </w:rPr>
            </w:pPr>
            <w:r w:rsidRPr="007379B7">
              <w:rPr>
                <w:rFonts w:cstheme="minorHAnsi"/>
              </w:rPr>
              <w:t>Degrees of freedom</w:t>
            </w:r>
          </w:p>
        </w:tc>
        <w:tc>
          <w:tcPr>
            <w:tcW w:w="0" w:type="auto"/>
          </w:tcPr>
          <w:p w14:paraId="15CB866C" w14:textId="77777777" w:rsidR="003D1743" w:rsidRPr="007379B7" w:rsidRDefault="003D1743" w:rsidP="007379B7">
            <w:pPr>
              <w:pStyle w:val="NoSpacing"/>
              <w:rPr>
                <w:rFonts w:cstheme="minorHAnsi"/>
              </w:rPr>
            </w:pPr>
          </w:p>
        </w:tc>
        <w:tc>
          <w:tcPr>
            <w:tcW w:w="0" w:type="auto"/>
          </w:tcPr>
          <w:p w14:paraId="3BF090A3" w14:textId="77777777" w:rsidR="003D1743" w:rsidRPr="007379B7" w:rsidRDefault="003D1743" w:rsidP="007379B7">
            <w:pPr>
              <w:pStyle w:val="NoSpacing"/>
              <w:rPr>
                <w:rFonts w:cstheme="minorHAnsi"/>
              </w:rPr>
            </w:pPr>
            <w:r w:rsidRPr="007379B7">
              <w:rPr>
                <w:rFonts w:cstheme="minorHAnsi"/>
              </w:rPr>
              <w:t>563</w:t>
            </w:r>
          </w:p>
        </w:tc>
        <w:tc>
          <w:tcPr>
            <w:tcW w:w="0" w:type="auto"/>
          </w:tcPr>
          <w:p w14:paraId="16E987EC" w14:textId="77777777" w:rsidR="003D1743" w:rsidRPr="007379B7" w:rsidRDefault="003D1743" w:rsidP="007379B7">
            <w:pPr>
              <w:pStyle w:val="NoSpacing"/>
              <w:rPr>
                <w:rFonts w:cstheme="minorHAnsi"/>
              </w:rPr>
            </w:pPr>
          </w:p>
        </w:tc>
      </w:tr>
      <w:tr w:rsidR="003D1743" w:rsidRPr="007379B7" w14:paraId="3744896A" w14:textId="77777777" w:rsidTr="001D16F2">
        <w:trPr>
          <w:trHeight w:val="230"/>
        </w:trPr>
        <w:tc>
          <w:tcPr>
            <w:tcW w:w="0" w:type="auto"/>
          </w:tcPr>
          <w:p w14:paraId="3DA3EEF4" w14:textId="77777777" w:rsidR="003D1743" w:rsidRPr="007379B7" w:rsidRDefault="003D1743" w:rsidP="007379B7">
            <w:pPr>
              <w:pStyle w:val="NoSpacing"/>
              <w:rPr>
                <w:rFonts w:cstheme="minorHAnsi"/>
              </w:rPr>
            </w:pPr>
            <w:r w:rsidRPr="007379B7">
              <w:rPr>
                <w:rFonts w:cstheme="minorHAnsi"/>
              </w:rPr>
              <w:t>Multicollinearity condition number</w:t>
            </w:r>
          </w:p>
        </w:tc>
        <w:tc>
          <w:tcPr>
            <w:tcW w:w="0" w:type="auto"/>
          </w:tcPr>
          <w:p w14:paraId="5512D5EA" w14:textId="77777777" w:rsidR="003D1743" w:rsidRPr="007379B7" w:rsidRDefault="003D1743" w:rsidP="007379B7">
            <w:pPr>
              <w:pStyle w:val="NoSpacing"/>
              <w:rPr>
                <w:rFonts w:cstheme="minorHAnsi"/>
              </w:rPr>
            </w:pPr>
          </w:p>
        </w:tc>
        <w:tc>
          <w:tcPr>
            <w:tcW w:w="0" w:type="auto"/>
          </w:tcPr>
          <w:p w14:paraId="4EA55297" w14:textId="77777777" w:rsidR="003D1743" w:rsidRPr="007379B7" w:rsidRDefault="003D1743" w:rsidP="007379B7">
            <w:pPr>
              <w:pStyle w:val="NoSpacing"/>
              <w:rPr>
                <w:rFonts w:cstheme="minorHAnsi"/>
              </w:rPr>
            </w:pPr>
            <w:r w:rsidRPr="007379B7">
              <w:rPr>
                <w:rFonts w:cstheme="minorHAnsi"/>
              </w:rPr>
              <w:t>3.02</w:t>
            </w:r>
          </w:p>
        </w:tc>
        <w:tc>
          <w:tcPr>
            <w:tcW w:w="0" w:type="auto"/>
          </w:tcPr>
          <w:p w14:paraId="375E49DE" w14:textId="77777777" w:rsidR="003D1743" w:rsidRPr="007379B7" w:rsidRDefault="003D1743" w:rsidP="007379B7">
            <w:pPr>
              <w:pStyle w:val="NoSpacing"/>
              <w:rPr>
                <w:rFonts w:cstheme="minorHAnsi"/>
              </w:rPr>
            </w:pPr>
          </w:p>
        </w:tc>
      </w:tr>
      <w:tr w:rsidR="003D1743" w:rsidRPr="007379B7" w14:paraId="60EA2849" w14:textId="77777777" w:rsidTr="001D16F2">
        <w:trPr>
          <w:trHeight w:val="230"/>
        </w:trPr>
        <w:tc>
          <w:tcPr>
            <w:tcW w:w="0" w:type="auto"/>
          </w:tcPr>
          <w:p w14:paraId="5B587116" w14:textId="77777777" w:rsidR="003D1743" w:rsidRPr="007379B7" w:rsidRDefault="003D1743" w:rsidP="007379B7">
            <w:pPr>
              <w:pStyle w:val="NoSpacing"/>
              <w:rPr>
                <w:rFonts w:cstheme="minorHAnsi"/>
              </w:rPr>
            </w:pPr>
            <w:r w:rsidRPr="007379B7">
              <w:rPr>
                <w:rFonts w:cstheme="minorHAnsi"/>
              </w:rPr>
              <w:t>Model 4: Wine availability</w:t>
            </w:r>
          </w:p>
        </w:tc>
        <w:tc>
          <w:tcPr>
            <w:tcW w:w="0" w:type="auto"/>
          </w:tcPr>
          <w:p w14:paraId="6AF74111" w14:textId="77777777" w:rsidR="003D1743" w:rsidRPr="007379B7" w:rsidRDefault="003D1743" w:rsidP="007379B7">
            <w:pPr>
              <w:pStyle w:val="NoSpacing"/>
              <w:rPr>
                <w:rFonts w:cstheme="minorHAnsi"/>
              </w:rPr>
            </w:pPr>
          </w:p>
        </w:tc>
        <w:tc>
          <w:tcPr>
            <w:tcW w:w="0" w:type="auto"/>
          </w:tcPr>
          <w:p w14:paraId="2A880E7B" w14:textId="77777777" w:rsidR="003D1743" w:rsidRPr="007379B7" w:rsidRDefault="003D1743" w:rsidP="007379B7">
            <w:pPr>
              <w:pStyle w:val="NoSpacing"/>
              <w:rPr>
                <w:rFonts w:cstheme="minorHAnsi"/>
              </w:rPr>
            </w:pPr>
          </w:p>
        </w:tc>
        <w:tc>
          <w:tcPr>
            <w:tcW w:w="0" w:type="auto"/>
          </w:tcPr>
          <w:p w14:paraId="40A04E57" w14:textId="77777777" w:rsidR="003D1743" w:rsidRPr="007379B7" w:rsidRDefault="003D1743" w:rsidP="007379B7">
            <w:pPr>
              <w:pStyle w:val="NoSpacing"/>
              <w:rPr>
                <w:rFonts w:cstheme="minorHAnsi"/>
              </w:rPr>
            </w:pPr>
          </w:p>
        </w:tc>
      </w:tr>
      <w:tr w:rsidR="003D1743" w:rsidRPr="007379B7" w14:paraId="5265021E" w14:textId="77777777" w:rsidTr="001D16F2">
        <w:trPr>
          <w:trHeight w:val="230"/>
        </w:trPr>
        <w:tc>
          <w:tcPr>
            <w:tcW w:w="0" w:type="auto"/>
          </w:tcPr>
          <w:p w14:paraId="121859B4" w14:textId="77777777" w:rsidR="003D1743" w:rsidRPr="007379B7" w:rsidRDefault="003D1743" w:rsidP="007379B7">
            <w:pPr>
              <w:pStyle w:val="NoSpacing"/>
              <w:rPr>
                <w:rFonts w:cstheme="minorHAnsi"/>
              </w:rPr>
            </w:pPr>
            <w:r w:rsidRPr="007379B7">
              <w:rPr>
                <w:rFonts w:cstheme="minorHAnsi"/>
              </w:rPr>
              <w:t>Ethnic heterogeneity</w:t>
            </w:r>
          </w:p>
        </w:tc>
        <w:tc>
          <w:tcPr>
            <w:tcW w:w="0" w:type="auto"/>
          </w:tcPr>
          <w:p w14:paraId="4B36186B" w14:textId="77777777" w:rsidR="003D1743" w:rsidRPr="007379B7" w:rsidRDefault="003D1743" w:rsidP="007379B7">
            <w:pPr>
              <w:pStyle w:val="NoSpacing"/>
              <w:rPr>
                <w:rFonts w:cstheme="minorHAnsi"/>
              </w:rPr>
            </w:pPr>
            <w:r w:rsidRPr="007379B7">
              <w:rPr>
                <w:rFonts w:cstheme="minorHAnsi"/>
              </w:rPr>
              <w:t>−0.02</w:t>
            </w:r>
          </w:p>
        </w:tc>
        <w:tc>
          <w:tcPr>
            <w:tcW w:w="0" w:type="auto"/>
          </w:tcPr>
          <w:p w14:paraId="7553AC64" w14:textId="77777777" w:rsidR="003D1743" w:rsidRPr="007379B7" w:rsidRDefault="003D1743" w:rsidP="007379B7">
            <w:pPr>
              <w:pStyle w:val="NoSpacing"/>
              <w:rPr>
                <w:rFonts w:cstheme="minorHAnsi"/>
              </w:rPr>
            </w:pPr>
            <w:r w:rsidRPr="007379B7">
              <w:rPr>
                <w:rFonts w:cstheme="minorHAnsi"/>
              </w:rPr>
              <w:t>0.03</w:t>
            </w:r>
          </w:p>
        </w:tc>
        <w:tc>
          <w:tcPr>
            <w:tcW w:w="0" w:type="auto"/>
          </w:tcPr>
          <w:p w14:paraId="26096B45" w14:textId="77777777" w:rsidR="003D1743" w:rsidRPr="007379B7" w:rsidRDefault="003D1743" w:rsidP="007379B7">
            <w:pPr>
              <w:pStyle w:val="NoSpacing"/>
              <w:rPr>
                <w:rFonts w:cstheme="minorHAnsi"/>
                <w:w w:val="95"/>
              </w:rPr>
            </w:pPr>
            <w:r w:rsidRPr="007379B7">
              <w:rPr>
                <w:rFonts w:cstheme="minorHAnsi"/>
                <w:w w:val="95"/>
              </w:rPr>
              <w:t>.47</w:t>
            </w:r>
          </w:p>
        </w:tc>
      </w:tr>
      <w:tr w:rsidR="003D1743" w:rsidRPr="007379B7" w14:paraId="0AC9F801" w14:textId="77777777" w:rsidTr="001D16F2">
        <w:trPr>
          <w:trHeight w:val="230"/>
        </w:trPr>
        <w:tc>
          <w:tcPr>
            <w:tcW w:w="0" w:type="auto"/>
          </w:tcPr>
          <w:p w14:paraId="080F20C1" w14:textId="77777777" w:rsidR="003D1743" w:rsidRPr="007379B7" w:rsidRDefault="003D1743" w:rsidP="007379B7">
            <w:pPr>
              <w:pStyle w:val="NoSpacing"/>
              <w:rPr>
                <w:rFonts w:cstheme="minorHAnsi"/>
              </w:rPr>
            </w:pPr>
            <w:r w:rsidRPr="007379B7">
              <w:rPr>
                <w:rFonts w:cstheme="minorHAnsi"/>
              </w:rPr>
              <w:t>Concentrated disadvantage</w:t>
            </w:r>
          </w:p>
        </w:tc>
        <w:tc>
          <w:tcPr>
            <w:tcW w:w="0" w:type="auto"/>
          </w:tcPr>
          <w:p w14:paraId="47683626" w14:textId="77777777" w:rsidR="003D1743" w:rsidRPr="007379B7" w:rsidRDefault="003D1743" w:rsidP="007379B7">
            <w:pPr>
              <w:pStyle w:val="NoSpacing"/>
              <w:rPr>
                <w:rFonts w:cstheme="minorHAnsi"/>
                <w:w w:val="95"/>
              </w:rPr>
            </w:pPr>
            <w:r w:rsidRPr="007379B7">
              <w:rPr>
                <w:rFonts w:cstheme="minorHAnsi"/>
                <w:w w:val="95"/>
              </w:rPr>
              <w:t>0.09</w:t>
            </w:r>
          </w:p>
        </w:tc>
        <w:tc>
          <w:tcPr>
            <w:tcW w:w="0" w:type="auto"/>
          </w:tcPr>
          <w:p w14:paraId="03F225D4" w14:textId="77777777" w:rsidR="003D1743" w:rsidRPr="007379B7" w:rsidRDefault="003D1743" w:rsidP="007379B7">
            <w:pPr>
              <w:pStyle w:val="NoSpacing"/>
              <w:rPr>
                <w:rFonts w:cstheme="minorHAnsi"/>
              </w:rPr>
            </w:pPr>
            <w:r w:rsidRPr="007379B7">
              <w:rPr>
                <w:rFonts w:cstheme="minorHAnsi"/>
              </w:rPr>
              <w:t>0.04</w:t>
            </w:r>
          </w:p>
        </w:tc>
        <w:tc>
          <w:tcPr>
            <w:tcW w:w="0" w:type="auto"/>
          </w:tcPr>
          <w:p w14:paraId="7BA1D735" w14:textId="77777777" w:rsidR="003D1743" w:rsidRPr="007379B7" w:rsidRDefault="003D1743" w:rsidP="007379B7">
            <w:pPr>
              <w:pStyle w:val="NoSpacing"/>
              <w:rPr>
                <w:rFonts w:cstheme="minorHAnsi"/>
                <w:w w:val="95"/>
              </w:rPr>
            </w:pPr>
            <w:r w:rsidRPr="007379B7">
              <w:rPr>
                <w:rFonts w:cstheme="minorHAnsi"/>
                <w:w w:val="95"/>
              </w:rPr>
              <w:t>.02</w:t>
            </w:r>
          </w:p>
        </w:tc>
      </w:tr>
      <w:tr w:rsidR="003D1743" w:rsidRPr="007379B7" w14:paraId="42074AA1" w14:textId="77777777" w:rsidTr="001D16F2">
        <w:trPr>
          <w:trHeight w:val="230"/>
        </w:trPr>
        <w:tc>
          <w:tcPr>
            <w:tcW w:w="0" w:type="auto"/>
          </w:tcPr>
          <w:p w14:paraId="013BF9A3" w14:textId="77777777" w:rsidR="003D1743" w:rsidRPr="007379B7" w:rsidRDefault="003D1743" w:rsidP="007379B7">
            <w:pPr>
              <w:pStyle w:val="NoSpacing"/>
              <w:rPr>
                <w:rFonts w:cstheme="minorHAnsi"/>
              </w:rPr>
            </w:pPr>
            <w:r w:rsidRPr="007379B7">
              <w:rPr>
                <w:rFonts w:cstheme="minorHAnsi"/>
              </w:rPr>
              <w:t>Concentrated immigration</w:t>
            </w:r>
          </w:p>
        </w:tc>
        <w:tc>
          <w:tcPr>
            <w:tcW w:w="0" w:type="auto"/>
          </w:tcPr>
          <w:p w14:paraId="74E48953" w14:textId="77777777" w:rsidR="003D1743" w:rsidRPr="007379B7" w:rsidRDefault="003D1743" w:rsidP="007379B7">
            <w:pPr>
              <w:pStyle w:val="NoSpacing"/>
              <w:rPr>
                <w:rFonts w:cstheme="minorHAnsi"/>
                <w:w w:val="95"/>
              </w:rPr>
            </w:pPr>
            <w:r w:rsidRPr="007379B7">
              <w:rPr>
                <w:rFonts w:cstheme="minorHAnsi"/>
                <w:w w:val="95"/>
              </w:rPr>
              <w:t>0.11</w:t>
            </w:r>
          </w:p>
        </w:tc>
        <w:tc>
          <w:tcPr>
            <w:tcW w:w="0" w:type="auto"/>
          </w:tcPr>
          <w:p w14:paraId="7E752E4F" w14:textId="77777777" w:rsidR="003D1743" w:rsidRPr="007379B7" w:rsidRDefault="003D1743" w:rsidP="007379B7">
            <w:pPr>
              <w:pStyle w:val="NoSpacing"/>
              <w:rPr>
                <w:rFonts w:cstheme="minorHAnsi"/>
              </w:rPr>
            </w:pPr>
            <w:r w:rsidRPr="007379B7">
              <w:rPr>
                <w:rFonts w:cstheme="minorHAnsi"/>
              </w:rPr>
              <w:t>0.04</w:t>
            </w:r>
          </w:p>
        </w:tc>
        <w:tc>
          <w:tcPr>
            <w:tcW w:w="0" w:type="auto"/>
          </w:tcPr>
          <w:p w14:paraId="707E8D80" w14:textId="77777777" w:rsidR="003D1743" w:rsidRPr="007379B7" w:rsidRDefault="003D1743" w:rsidP="007379B7">
            <w:pPr>
              <w:pStyle w:val="NoSpacing"/>
              <w:rPr>
                <w:rFonts w:cstheme="minorHAnsi"/>
                <w:w w:val="95"/>
              </w:rPr>
            </w:pPr>
            <w:r w:rsidRPr="007379B7">
              <w:rPr>
                <w:rFonts w:cstheme="minorHAnsi"/>
                <w:w w:val="95"/>
              </w:rPr>
              <w:t>.01</w:t>
            </w:r>
          </w:p>
        </w:tc>
      </w:tr>
      <w:tr w:rsidR="003D1743" w:rsidRPr="007379B7" w14:paraId="6A5A9650" w14:textId="77777777" w:rsidTr="001D16F2">
        <w:trPr>
          <w:trHeight w:val="230"/>
        </w:trPr>
        <w:tc>
          <w:tcPr>
            <w:tcW w:w="0" w:type="auto"/>
          </w:tcPr>
          <w:p w14:paraId="2CC6E851" w14:textId="77777777" w:rsidR="003D1743" w:rsidRPr="007379B7" w:rsidRDefault="003D1743" w:rsidP="007379B7">
            <w:pPr>
              <w:pStyle w:val="NoSpacing"/>
              <w:rPr>
                <w:rFonts w:cstheme="minorHAnsi"/>
              </w:rPr>
            </w:pPr>
            <w:r w:rsidRPr="007379B7">
              <w:rPr>
                <w:rFonts w:cstheme="minorHAnsi"/>
              </w:rPr>
              <w:t>Residential stability</w:t>
            </w:r>
          </w:p>
        </w:tc>
        <w:tc>
          <w:tcPr>
            <w:tcW w:w="0" w:type="auto"/>
          </w:tcPr>
          <w:p w14:paraId="65CB3F7E" w14:textId="77777777" w:rsidR="003D1743" w:rsidRPr="007379B7" w:rsidRDefault="003D1743" w:rsidP="007379B7">
            <w:pPr>
              <w:pStyle w:val="NoSpacing"/>
              <w:rPr>
                <w:rFonts w:cstheme="minorHAnsi"/>
              </w:rPr>
            </w:pPr>
            <w:r w:rsidRPr="007379B7">
              <w:rPr>
                <w:rFonts w:cstheme="minorHAnsi"/>
              </w:rPr>
              <w:t>−0.10</w:t>
            </w:r>
          </w:p>
        </w:tc>
        <w:tc>
          <w:tcPr>
            <w:tcW w:w="0" w:type="auto"/>
          </w:tcPr>
          <w:p w14:paraId="414FBD55" w14:textId="77777777" w:rsidR="003D1743" w:rsidRPr="007379B7" w:rsidRDefault="003D1743" w:rsidP="007379B7">
            <w:pPr>
              <w:pStyle w:val="NoSpacing"/>
              <w:rPr>
                <w:rFonts w:cstheme="minorHAnsi"/>
              </w:rPr>
            </w:pPr>
            <w:r w:rsidRPr="007379B7">
              <w:rPr>
                <w:rFonts w:cstheme="minorHAnsi"/>
              </w:rPr>
              <w:t>0.03</w:t>
            </w:r>
          </w:p>
        </w:tc>
        <w:tc>
          <w:tcPr>
            <w:tcW w:w="0" w:type="auto"/>
          </w:tcPr>
          <w:p w14:paraId="2B1F49AF" w14:textId="77777777" w:rsidR="003D1743" w:rsidRPr="007379B7" w:rsidRDefault="003D1743" w:rsidP="007379B7">
            <w:pPr>
              <w:pStyle w:val="NoSpacing"/>
              <w:rPr>
                <w:rFonts w:cstheme="minorHAnsi"/>
                <w:w w:val="95"/>
              </w:rPr>
            </w:pPr>
            <w:r w:rsidRPr="007379B7">
              <w:rPr>
                <w:rFonts w:cstheme="minorHAnsi"/>
                <w:w w:val="95"/>
              </w:rPr>
              <w:t>.00</w:t>
            </w:r>
          </w:p>
        </w:tc>
      </w:tr>
      <w:tr w:rsidR="003D1743" w:rsidRPr="007379B7" w14:paraId="720595D4" w14:textId="77777777" w:rsidTr="001D16F2">
        <w:trPr>
          <w:trHeight w:val="230"/>
        </w:trPr>
        <w:tc>
          <w:tcPr>
            <w:tcW w:w="0" w:type="auto"/>
          </w:tcPr>
          <w:p w14:paraId="30456FCD" w14:textId="77777777" w:rsidR="003D1743" w:rsidRPr="007379B7" w:rsidRDefault="003D1743" w:rsidP="007379B7">
            <w:pPr>
              <w:pStyle w:val="NoSpacing"/>
              <w:rPr>
                <w:rFonts w:cstheme="minorHAnsi"/>
              </w:rPr>
            </w:pPr>
            <w:r w:rsidRPr="007379B7">
              <w:rPr>
                <w:rFonts w:cstheme="minorHAnsi"/>
              </w:rPr>
              <w:t>Population density</w:t>
            </w:r>
          </w:p>
        </w:tc>
        <w:tc>
          <w:tcPr>
            <w:tcW w:w="0" w:type="auto"/>
          </w:tcPr>
          <w:p w14:paraId="72DEE529" w14:textId="77777777" w:rsidR="003D1743" w:rsidRPr="007379B7" w:rsidRDefault="003D1743" w:rsidP="007379B7">
            <w:pPr>
              <w:pStyle w:val="NoSpacing"/>
              <w:rPr>
                <w:rFonts w:cstheme="minorHAnsi"/>
                <w:w w:val="95"/>
              </w:rPr>
            </w:pPr>
            <w:r w:rsidRPr="007379B7">
              <w:rPr>
                <w:rFonts w:cstheme="minorHAnsi"/>
                <w:w w:val="95"/>
              </w:rPr>
              <w:t>0.28</w:t>
            </w:r>
          </w:p>
        </w:tc>
        <w:tc>
          <w:tcPr>
            <w:tcW w:w="0" w:type="auto"/>
          </w:tcPr>
          <w:p w14:paraId="6C0A3FFE" w14:textId="77777777" w:rsidR="003D1743" w:rsidRPr="007379B7" w:rsidRDefault="003D1743" w:rsidP="007379B7">
            <w:pPr>
              <w:pStyle w:val="NoSpacing"/>
              <w:rPr>
                <w:rFonts w:cstheme="minorHAnsi"/>
              </w:rPr>
            </w:pPr>
            <w:r w:rsidRPr="007379B7">
              <w:rPr>
                <w:rFonts w:cstheme="minorHAnsi"/>
              </w:rPr>
              <w:t>0.04</w:t>
            </w:r>
          </w:p>
        </w:tc>
        <w:tc>
          <w:tcPr>
            <w:tcW w:w="0" w:type="auto"/>
          </w:tcPr>
          <w:p w14:paraId="6045D4E7" w14:textId="77777777" w:rsidR="003D1743" w:rsidRPr="007379B7" w:rsidRDefault="003D1743" w:rsidP="007379B7">
            <w:pPr>
              <w:pStyle w:val="NoSpacing"/>
              <w:rPr>
                <w:rFonts w:cstheme="minorHAnsi"/>
                <w:w w:val="95"/>
              </w:rPr>
            </w:pPr>
            <w:r w:rsidRPr="007379B7">
              <w:rPr>
                <w:rFonts w:cstheme="minorHAnsi"/>
                <w:w w:val="95"/>
              </w:rPr>
              <w:t>.00</w:t>
            </w:r>
          </w:p>
        </w:tc>
      </w:tr>
      <w:tr w:rsidR="003D1743" w:rsidRPr="007379B7" w14:paraId="44CF5345" w14:textId="77777777" w:rsidTr="001D16F2">
        <w:trPr>
          <w:trHeight w:val="230"/>
        </w:trPr>
        <w:tc>
          <w:tcPr>
            <w:tcW w:w="0" w:type="auto"/>
          </w:tcPr>
          <w:p w14:paraId="5B51E624" w14:textId="77777777" w:rsidR="003D1743" w:rsidRPr="007379B7" w:rsidRDefault="003D1743" w:rsidP="007379B7">
            <w:pPr>
              <w:pStyle w:val="NoSpacing"/>
              <w:rPr>
                <w:rFonts w:cstheme="minorHAnsi"/>
              </w:rPr>
            </w:pPr>
            <w:r w:rsidRPr="007379B7">
              <w:rPr>
                <w:rFonts w:cstheme="minorHAnsi"/>
              </w:rPr>
              <w:t>Proportion Black</w:t>
            </w:r>
          </w:p>
        </w:tc>
        <w:tc>
          <w:tcPr>
            <w:tcW w:w="0" w:type="auto"/>
          </w:tcPr>
          <w:p w14:paraId="6FF6E44B" w14:textId="77777777" w:rsidR="003D1743" w:rsidRPr="007379B7" w:rsidRDefault="003D1743" w:rsidP="007379B7">
            <w:pPr>
              <w:pStyle w:val="NoSpacing"/>
              <w:rPr>
                <w:rFonts w:cstheme="minorHAnsi"/>
                <w:w w:val="95"/>
              </w:rPr>
            </w:pPr>
            <w:r w:rsidRPr="007379B7">
              <w:rPr>
                <w:rFonts w:cstheme="minorHAnsi"/>
                <w:w w:val="95"/>
              </w:rPr>
              <w:t>0.13</w:t>
            </w:r>
          </w:p>
        </w:tc>
        <w:tc>
          <w:tcPr>
            <w:tcW w:w="0" w:type="auto"/>
          </w:tcPr>
          <w:p w14:paraId="6DA0FCB1" w14:textId="77777777" w:rsidR="003D1743" w:rsidRPr="007379B7" w:rsidRDefault="003D1743" w:rsidP="007379B7">
            <w:pPr>
              <w:pStyle w:val="NoSpacing"/>
              <w:rPr>
                <w:rFonts w:cstheme="minorHAnsi"/>
              </w:rPr>
            </w:pPr>
            <w:r w:rsidRPr="007379B7">
              <w:rPr>
                <w:rFonts w:cstheme="minorHAnsi"/>
              </w:rPr>
              <w:t>0.05</w:t>
            </w:r>
          </w:p>
        </w:tc>
        <w:tc>
          <w:tcPr>
            <w:tcW w:w="0" w:type="auto"/>
          </w:tcPr>
          <w:p w14:paraId="540AFE6C" w14:textId="77777777" w:rsidR="003D1743" w:rsidRPr="007379B7" w:rsidRDefault="003D1743" w:rsidP="007379B7">
            <w:pPr>
              <w:pStyle w:val="NoSpacing"/>
              <w:rPr>
                <w:rFonts w:cstheme="minorHAnsi"/>
                <w:w w:val="95"/>
              </w:rPr>
            </w:pPr>
            <w:r w:rsidRPr="007379B7">
              <w:rPr>
                <w:rFonts w:cstheme="minorHAnsi"/>
                <w:w w:val="95"/>
              </w:rPr>
              <w:t>.00</w:t>
            </w:r>
          </w:p>
        </w:tc>
      </w:tr>
      <w:tr w:rsidR="003D1743" w:rsidRPr="007379B7" w14:paraId="37A2C06E" w14:textId="77777777" w:rsidTr="001D16F2">
        <w:trPr>
          <w:trHeight w:val="230"/>
        </w:trPr>
        <w:tc>
          <w:tcPr>
            <w:tcW w:w="0" w:type="auto"/>
          </w:tcPr>
          <w:p w14:paraId="60BA5655" w14:textId="77777777" w:rsidR="003D1743" w:rsidRPr="007379B7" w:rsidRDefault="003D1743" w:rsidP="007379B7">
            <w:pPr>
              <w:pStyle w:val="NoSpacing"/>
              <w:rPr>
                <w:rFonts w:cstheme="minorHAnsi"/>
              </w:rPr>
            </w:pPr>
            <w:r w:rsidRPr="007379B7">
              <w:rPr>
                <w:rFonts w:cstheme="minorHAnsi"/>
              </w:rPr>
              <w:t>Rho robbery density</w:t>
            </w:r>
          </w:p>
        </w:tc>
        <w:tc>
          <w:tcPr>
            <w:tcW w:w="0" w:type="auto"/>
          </w:tcPr>
          <w:p w14:paraId="678ED3AB" w14:textId="77777777" w:rsidR="003D1743" w:rsidRPr="007379B7" w:rsidRDefault="003D1743" w:rsidP="007379B7">
            <w:pPr>
              <w:pStyle w:val="NoSpacing"/>
              <w:rPr>
                <w:rFonts w:cstheme="minorHAnsi"/>
                <w:w w:val="95"/>
              </w:rPr>
            </w:pPr>
            <w:r w:rsidRPr="007379B7">
              <w:rPr>
                <w:rFonts w:cstheme="minorHAnsi"/>
                <w:w w:val="95"/>
              </w:rPr>
              <w:t>0.43</w:t>
            </w:r>
          </w:p>
        </w:tc>
        <w:tc>
          <w:tcPr>
            <w:tcW w:w="0" w:type="auto"/>
          </w:tcPr>
          <w:p w14:paraId="6D5B2A53" w14:textId="77777777" w:rsidR="003D1743" w:rsidRPr="007379B7" w:rsidRDefault="003D1743" w:rsidP="007379B7">
            <w:pPr>
              <w:pStyle w:val="NoSpacing"/>
              <w:rPr>
                <w:rFonts w:cstheme="minorHAnsi"/>
              </w:rPr>
            </w:pPr>
            <w:r w:rsidRPr="007379B7">
              <w:rPr>
                <w:rFonts w:cstheme="minorHAnsi"/>
              </w:rPr>
              <w:t>0.05</w:t>
            </w:r>
          </w:p>
        </w:tc>
        <w:tc>
          <w:tcPr>
            <w:tcW w:w="0" w:type="auto"/>
          </w:tcPr>
          <w:p w14:paraId="5D739EDF" w14:textId="77777777" w:rsidR="003D1743" w:rsidRPr="007379B7" w:rsidRDefault="003D1743" w:rsidP="007379B7">
            <w:pPr>
              <w:pStyle w:val="NoSpacing"/>
              <w:rPr>
                <w:rFonts w:cstheme="minorHAnsi"/>
                <w:w w:val="95"/>
              </w:rPr>
            </w:pPr>
            <w:r w:rsidRPr="007379B7">
              <w:rPr>
                <w:rFonts w:cstheme="minorHAnsi"/>
                <w:w w:val="95"/>
              </w:rPr>
              <w:t>.00</w:t>
            </w:r>
          </w:p>
        </w:tc>
      </w:tr>
      <w:tr w:rsidR="003D1743" w:rsidRPr="007379B7" w14:paraId="2FE9E7C6" w14:textId="77777777" w:rsidTr="001D16F2">
        <w:trPr>
          <w:trHeight w:val="230"/>
        </w:trPr>
        <w:tc>
          <w:tcPr>
            <w:tcW w:w="0" w:type="auto"/>
          </w:tcPr>
          <w:p w14:paraId="79BD199E" w14:textId="77777777" w:rsidR="003D1743" w:rsidRPr="007379B7" w:rsidRDefault="003D1743" w:rsidP="007379B7">
            <w:pPr>
              <w:pStyle w:val="NoSpacing"/>
              <w:rPr>
                <w:rFonts w:cstheme="minorHAnsi"/>
              </w:rPr>
            </w:pPr>
            <w:r w:rsidRPr="007379B7">
              <w:rPr>
                <w:rFonts w:cstheme="minorHAnsi"/>
              </w:rPr>
              <w:t>Wine density</w:t>
            </w:r>
          </w:p>
        </w:tc>
        <w:tc>
          <w:tcPr>
            <w:tcW w:w="0" w:type="auto"/>
          </w:tcPr>
          <w:p w14:paraId="668CC48C" w14:textId="77777777" w:rsidR="003D1743" w:rsidRPr="007379B7" w:rsidRDefault="003D1743" w:rsidP="007379B7">
            <w:pPr>
              <w:pStyle w:val="NoSpacing"/>
              <w:rPr>
                <w:rFonts w:cstheme="minorHAnsi"/>
                <w:w w:val="95"/>
              </w:rPr>
            </w:pPr>
            <w:r w:rsidRPr="007379B7">
              <w:rPr>
                <w:rFonts w:cstheme="minorHAnsi"/>
                <w:w w:val="95"/>
              </w:rPr>
              <w:t>0.16</w:t>
            </w:r>
          </w:p>
        </w:tc>
        <w:tc>
          <w:tcPr>
            <w:tcW w:w="0" w:type="auto"/>
          </w:tcPr>
          <w:p w14:paraId="415D1C54" w14:textId="77777777" w:rsidR="003D1743" w:rsidRPr="007379B7" w:rsidRDefault="003D1743" w:rsidP="007379B7">
            <w:pPr>
              <w:pStyle w:val="NoSpacing"/>
              <w:rPr>
                <w:rFonts w:cstheme="minorHAnsi"/>
              </w:rPr>
            </w:pPr>
            <w:r w:rsidRPr="007379B7">
              <w:rPr>
                <w:rFonts w:cstheme="minorHAnsi"/>
              </w:rPr>
              <w:t>0.03</w:t>
            </w:r>
          </w:p>
        </w:tc>
        <w:tc>
          <w:tcPr>
            <w:tcW w:w="0" w:type="auto"/>
          </w:tcPr>
          <w:p w14:paraId="2C14AAD1" w14:textId="77777777" w:rsidR="003D1743" w:rsidRPr="007379B7" w:rsidRDefault="003D1743" w:rsidP="007379B7">
            <w:pPr>
              <w:pStyle w:val="NoSpacing"/>
              <w:rPr>
                <w:rFonts w:cstheme="minorHAnsi"/>
                <w:w w:val="95"/>
              </w:rPr>
            </w:pPr>
            <w:r w:rsidRPr="007379B7">
              <w:rPr>
                <w:rFonts w:cstheme="minorHAnsi"/>
                <w:w w:val="95"/>
              </w:rPr>
              <w:t>.00</w:t>
            </w:r>
          </w:p>
        </w:tc>
      </w:tr>
      <w:tr w:rsidR="003D1743" w:rsidRPr="007379B7" w14:paraId="42CC1AF1" w14:textId="77777777" w:rsidTr="001D16F2">
        <w:trPr>
          <w:trHeight w:val="229"/>
        </w:trPr>
        <w:tc>
          <w:tcPr>
            <w:tcW w:w="0" w:type="auto"/>
          </w:tcPr>
          <w:p w14:paraId="3B6D5439" w14:textId="77777777" w:rsidR="003D1743" w:rsidRPr="007379B7" w:rsidRDefault="003D1743" w:rsidP="007379B7">
            <w:pPr>
              <w:pStyle w:val="NoSpacing"/>
              <w:rPr>
                <w:rFonts w:cstheme="minorHAnsi"/>
              </w:rPr>
            </w:pPr>
            <w:r w:rsidRPr="007379B7">
              <w:rPr>
                <w:rFonts w:cstheme="minorHAnsi"/>
              </w:rPr>
              <w:t>Constant</w:t>
            </w:r>
          </w:p>
        </w:tc>
        <w:tc>
          <w:tcPr>
            <w:tcW w:w="0" w:type="auto"/>
          </w:tcPr>
          <w:p w14:paraId="6C44D882" w14:textId="77777777" w:rsidR="003D1743" w:rsidRPr="007379B7" w:rsidRDefault="003D1743" w:rsidP="007379B7">
            <w:pPr>
              <w:pStyle w:val="NoSpacing"/>
              <w:rPr>
                <w:rFonts w:cstheme="minorHAnsi"/>
                <w:w w:val="95"/>
              </w:rPr>
            </w:pPr>
            <w:r w:rsidRPr="007379B7">
              <w:rPr>
                <w:rFonts w:cstheme="minorHAnsi"/>
                <w:w w:val="95"/>
              </w:rPr>
              <w:t>0.01</w:t>
            </w:r>
          </w:p>
        </w:tc>
        <w:tc>
          <w:tcPr>
            <w:tcW w:w="0" w:type="auto"/>
          </w:tcPr>
          <w:p w14:paraId="2832F035" w14:textId="77777777" w:rsidR="003D1743" w:rsidRPr="007379B7" w:rsidRDefault="003D1743" w:rsidP="007379B7">
            <w:pPr>
              <w:pStyle w:val="NoSpacing"/>
              <w:rPr>
                <w:rFonts w:cstheme="minorHAnsi"/>
              </w:rPr>
            </w:pPr>
            <w:r w:rsidRPr="007379B7">
              <w:rPr>
                <w:rFonts w:cstheme="minorHAnsi"/>
              </w:rPr>
              <w:t>0.03</w:t>
            </w:r>
          </w:p>
        </w:tc>
        <w:tc>
          <w:tcPr>
            <w:tcW w:w="0" w:type="auto"/>
          </w:tcPr>
          <w:p w14:paraId="4535FA32" w14:textId="77777777" w:rsidR="003D1743" w:rsidRPr="007379B7" w:rsidRDefault="003D1743" w:rsidP="007379B7">
            <w:pPr>
              <w:pStyle w:val="NoSpacing"/>
              <w:rPr>
                <w:rFonts w:cstheme="minorHAnsi"/>
                <w:w w:val="95"/>
              </w:rPr>
            </w:pPr>
            <w:r w:rsidRPr="007379B7">
              <w:rPr>
                <w:rFonts w:cstheme="minorHAnsi"/>
                <w:w w:val="95"/>
              </w:rPr>
              <w:t>.84</w:t>
            </w:r>
          </w:p>
        </w:tc>
      </w:tr>
      <w:tr w:rsidR="003D1743" w:rsidRPr="007379B7" w14:paraId="189B0BBD" w14:textId="77777777" w:rsidTr="001D16F2">
        <w:trPr>
          <w:trHeight w:val="230"/>
        </w:trPr>
        <w:tc>
          <w:tcPr>
            <w:tcW w:w="0" w:type="auto"/>
          </w:tcPr>
          <w:p w14:paraId="2B327408" w14:textId="77777777" w:rsidR="003D1743" w:rsidRPr="007379B7" w:rsidRDefault="003D1743" w:rsidP="007379B7">
            <w:pPr>
              <w:pStyle w:val="NoSpacing"/>
              <w:rPr>
                <w:rFonts w:cstheme="minorHAnsi"/>
              </w:rPr>
            </w:pPr>
            <w:r w:rsidRPr="007379B7">
              <w:rPr>
                <w:rFonts w:cstheme="minorHAnsi"/>
                <w:i/>
                <w:iCs/>
                <w:position w:val="-5"/>
              </w:rPr>
              <w:t>R</w:t>
            </w:r>
            <w:r w:rsidRPr="007379B7">
              <w:rPr>
                <w:rFonts w:cstheme="minorHAnsi"/>
                <w:vertAlign w:val="superscript"/>
              </w:rPr>
              <w:t>2</w:t>
            </w:r>
          </w:p>
        </w:tc>
        <w:tc>
          <w:tcPr>
            <w:tcW w:w="0" w:type="auto"/>
          </w:tcPr>
          <w:p w14:paraId="499A20A3" w14:textId="77777777" w:rsidR="003D1743" w:rsidRPr="007379B7" w:rsidRDefault="003D1743" w:rsidP="007379B7">
            <w:pPr>
              <w:pStyle w:val="NoSpacing"/>
              <w:rPr>
                <w:rFonts w:cstheme="minorHAnsi"/>
              </w:rPr>
            </w:pPr>
          </w:p>
        </w:tc>
        <w:tc>
          <w:tcPr>
            <w:tcW w:w="0" w:type="auto"/>
          </w:tcPr>
          <w:p w14:paraId="38E2DCDD" w14:textId="77777777" w:rsidR="003D1743" w:rsidRPr="007379B7" w:rsidRDefault="003D1743" w:rsidP="007379B7">
            <w:pPr>
              <w:pStyle w:val="NoSpacing"/>
              <w:rPr>
                <w:rFonts w:cstheme="minorHAnsi"/>
              </w:rPr>
            </w:pPr>
            <w:r w:rsidRPr="007379B7">
              <w:rPr>
                <w:rFonts w:cstheme="minorHAnsi"/>
              </w:rPr>
              <w:t>.55</w:t>
            </w:r>
          </w:p>
        </w:tc>
        <w:tc>
          <w:tcPr>
            <w:tcW w:w="0" w:type="auto"/>
          </w:tcPr>
          <w:p w14:paraId="723FE758" w14:textId="77777777" w:rsidR="003D1743" w:rsidRPr="007379B7" w:rsidRDefault="003D1743" w:rsidP="007379B7">
            <w:pPr>
              <w:pStyle w:val="NoSpacing"/>
              <w:rPr>
                <w:rFonts w:cstheme="minorHAnsi"/>
              </w:rPr>
            </w:pPr>
          </w:p>
        </w:tc>
      </w:tr>
      <w:tr w:rsidR="003D1743" w:rsidRPr="007379B7" w14:paraId="75276D61" w14:textId="77777777" w:rsidTr="001D16F2">
        <w:trPr>
          <w:trHeight w:val="229"/>
        </w:trPr>
        <w:tc>
          <w:tcPr>
            <w:tcW w:w="0" w:type="auto"/>
          </w:tcPr>
          <w:p w14:paraId="0F1E1360" w14:textId="77777777" w:rsidR="003D1743" w:rsidRPr="007379B7" w:rsidRDefault="003D1743" w:rsidP="007379B7">
            <w:pPr>
              <w:pStyle w:val="NoSpacing"/>
              <w:rPr>
                <w:rFonts w:cstheme="minorHAnsi"/>
              </w:rPr>
            </w:pPr>
            <w:r w:rsidRPr="007379B7">
              <w:rPr>
                <w:rFonts w:cstheme="minorHAnsi"/>
              </w:rPr>
              <w:t>Log likelihood</w:t>
            </w:r>
          </w:p>
        </w:tc>
        <w:tc>
          <w:tcPr>
            <w:tcW w:w="0" w:type="auto"/>
          </w:tcPr>
          <w:p w14:paraId="0FDA08D1" w14:textId="77777777" w:rsidR="003D1743" w:rsidRPr="007379B7" w:rsidRDefault="003D1743" w:rsidP="007379B7">
            <w:pPr>
              <w:pStyle w:val="NoSpacing"/>
              <w:rPr>
                <w:rFonts w:cstheme="minorHAnsi"/>
              </w:rPr>
            </w:pPr>
          </w:p>
        </w:tc>
        <w:tc>
          <w:tcPr>
            <w:tcW w:w="0" w:type="auto"/>
          </w:tcPr>
          <w:p w14:paraId="3A910395" w14:textId="77777777" w:rsidR="003D1743" w:rsidRPr="007379B7" w:rsidRDefault="003D1743" w:rsidP="007379B7">
            <w:pPr>
              <w:pStyle w:val="NoSpacing"/>
              <w:rPr>
                <w:rFonts w:cstheme="minorHAnsi"/>
              </w:rPr>
            </w:pPr>
            <w:r w:rsidRPr="007379B7">
              <w:rPr>
                <w:rFonts w:cstheme="minorHAnsi"/>
              </w:rPr>
              <w:t>−592.75</w:t>
            </w:r>
          </w:p>
        </w:tc>
        <w:tc>
          <w:tcPr>
            <w:tcW w:w="0" w:type="auto"/>
          </w:tcPr>
          <w:p w14:paraId="684333CF" w14:textId="77777777" w:rsidR="003D1743" w:rsidRPr="007379B7" w:rsidRDefault="003D1743" w:rsidP="007379B7">
            <w:pPr>
              <w:pStyle w:val="NoSpacing"/>
              <w:rPr>
                <w:rFonts w:cstheme="minorHAnsi"/>
              </w:rPr>
            </w:pPr>
          </w:p>
        </w:tc>
      </w:tr>
      <w:tr w:rsidR="003D1743" w:rsidRPr="007379B7" w14:paraId="5DBC20D5" w14:textId="77777777" w:rsidTr="001D16F2">
        <w:trPr>
          <w:trHeight w:val="230"/>
        </w:trPr>
        <w:tc>
          <w:tcPr>
            <w:tcW w:w="0" w:type="auto"/>
          </w:tcPr>
          <w:p w14:paraId="049C12A2" w14:textId="77777777" w:rsidR="003D1743" w:rsidRPr="007379B7" w:rsidRDefault="003D1743" w:rsidP="007379B7">
            <w:pPr>
              <w:pStyle w:val="NoSpacing"/>
              <w:rPr>
                <w:rFonts w:cstheme="minorHAnsi"/>
              </w:rPr>
            </w:pPr>
            <w:r w:rsidRPr="007379B7">
              <w:rPr>
                <w:rFonts w:cstheme="minorHAnsi"/>
              </w:rPr>
              <w:t>Akaike information criterion</w:t>
            </w:r>
          </w:p>
        </w:tc>
        <w:tc>
          <w:tcPr>
            <w:tcW w:w="0" w:type="auto"/>
          </w:tcPr>
          <w:p w14:paraId="72839602" w14:textId="77777777" w:rsidR="003D1743" w:rsidRPr="007379B7" w:rsidRDefault="003D1743" w:rsidP="007379B7">
            <w:pPr>
              <w:pStyle w:val="NoSpacing"/>
              <w:rPr>
                <w:rFonts w:cstheme="minorHAnsi"/>
              </w:rPr>
            </w:pPr>
          </w:p>
        </w:tc>
        <w:tc>
          <w:tcPr>
            <w:tcW w:w="0" w:type="auto"/>
          </w:tcPr>
          <w:p w14:paraId="3D1EBDAB" w14:textId="77777777" w:rsidR="003D1743" w:rsidRPr="007379B7" w:rsidRDefault="003D1743" w:rsidP="007379B7">
            <w:pPr>
              <w:pStyle w:val="NoSpacing"/>
              <w:rPr>
                <w:rFonts w:cstheme="minorHAnsi"/>
              </w:rPr>
            </w:pPr>
            <w:r w:rsidRPr="007379B7">
              <w:rPr>
                <w:rFonts w:cstheme="minorHAnsi"/>
              </w:rPr>
              <w:t>1,203.49</w:t>
            </w:r>
          </w:p>
        </w:tc>
        <w:tc>
          <w:tcPr>
            <w:tcW w:w="0" w:type="auto"/>
          </w:tcPr>
          <w:p w14:paraId="5F5F152C" w14:textId="77777777" w:rsidR="003D1743" w:rsidRPr="007379B7" w:rsidRDefault="003D1743" w:rsidP="007379B7">
            <w:pPr>
              <w:pStyle w:val="NoSpacing"/>
              <w:rPr>
                <w:rFonts w:cstheme="minorHAnsi"/>
              </w:rPr>
            </w:pPr>
          </w:p>
        </w:tc>
      </w:tr>
      <w:tr w:rsidR="003D1743" w:rsidRPr="007379B7" w14:paraId="0369443D" w14:textId="77777777" w:rsidTr="001D16F2">
        <w:trPr>
          <w:trHeight w:val="230"/>
        </w:trPr>
        <w:tc>
          <w:tcPr>
            <w:tcW w:w="0" w:type="auto"/>
          </w:tcPr>
          <w:p w14:paraId="15448225" w14:textId="77777777" w:rsidR="003D1743" w:rsidRPr="007379B7" w:rsidRDefault="003D1743" w:rsidP="007379B7">
            <w:pPr>
              <w:pStyle w:val="NoSpacing"/>
              <w:rPr>
                <w:rFonts w:cstheme="minorHAnsi"/>
              </w:rPr>
            </w:pPr>
            <w:r w:rsidRPr="007379B7">
              <w:rPr>
                <w:rFonts w:cstheme="minorHAnsi"/>
              </w:rPr>
              <w:t>Schwarz criterion</w:t>
            </w:r>
          </w:p>
        </w:tc>
        <w:tc>
          <w:tcPr>
            <w:tcW w:w="0" w:type="auto"/>
          </w:tcPr>
          <w:p w14:paraId="0041751A" w14:textId="77777777" w:rsidR="003D1743" w:rsidRPr="007379B7" w:rsidRDefault="003D1743" w:rsidP="007379B7">
            <w:pPr>
              <w:pStyle w:val="NoSpacing"/>
              <w:rPr>
                <w:rFonts w:cstheme="minorHAnsi"/>
              </w:rPr>
            </w:pPr>
          </w:p>
        </w:tc>
        <w:tc>
          <w:tcPr>
            <w:tcW w:w="0" w:type="auto"/>
          </w:tcPr>
          <w:p w14:paraId="6A3607A3" w14:textId="77777777" w:rsidR="003D1743" w:rsidRPr="007379B7" w:rsidRDefault="003D1743" w:rsidP="007379B7">
            <w:pPr>
              <w:pStyle w:val="NoSpacing"/>
              <w:rPr>
                <w:rFonts w:cstheme="minorHAnsi"/>
              </w:rPr>
            </w:pPr>
            <w:r w:rsidRPr="007379B7">
              <w:rPr>
                <w:rFonts w:cstheme="minorHAnsi"/>
              </w:rPr>
              <w:t>1,242.63</w:t>
            </w:r>
          </w:p>
        </w:tc>
        <w:tc>
          <w:tcPr>
            <w:tcW w:w="0" w:type="auto"/>
          </w:tcPr>
          <w:p w14:paraId="35CFE3F7" w14:textId="77777777" w:rsidR="003D1743" w:rsidRPr="007379B7" w:rsidRDefault="003D1743" w:rsidP="007379B7">
            <w:pPr>
              <w:pStyle w:val="NoSpacing"/>
              <w:rPr>
                <w:rFonts w:cstheme="minorHAnsi"/>
              </w:rPr>
            </w:pPr>
          </w:p>
        </w:tc>
      </w:tr>
      <w:tr w:rsidR="003D1743" w:rsidRPr="007379B7" w14:paraId="3467E89B" w14:textId="77777777" w:rsidTr="001D16F2">
        <w:trPr>
          <w:trHeight w:val="230"/>
        </w:trPr>
        <w:tc>
          <w:tcPr>
            <w:tcW w:w="0" w:type="auto"/>
          </w:tcPr>
          <w:p w14:paraId="786B92E7" w14:textId="77777777" w:rsidR="003D1743" w:rsidRPr="007379B7" w:rsidRDefault="003D1743" w:rsidP="007379B7">
            <w:pPr>
              <w:pStyle w:val="NoSpacing"/>
              <w:rPr>
                <w:rFonts w:cstheme="minorHAnsi"/>
              </w:rPr>
            </w:pPr>
            <w:r w:rsidRPr="007379B7">
              <w:rPr>
                <w:rFonts w:cstheme="minorHAnsi"/>
              </w:rPr>
              <w:t>Number of observations</w:t>
            </w:r>
          </w:p>
        </w:tc>
        <w:tc>
          <w:tcPr>
            <w:tcW w:w="0" w:type="auto"/>
          </w:tcPr>
          <w:p w14:paraId="51EF9157" w14:textId="77777777" w:rsidR="003D1743" w:rsidRPr="007379B7" w:rsidRDefault="003D1743" w:rsidP="007379B7">
            <w:pPr>
              <w:pStyle w:val="NoSpacing"/>
              <w:rPr>
                <w:rFonts w:cstheme="minorHAnsi"/>
              </w:rPr>
            </w:pPr>
          </w:p>
        </w:tc>
        <w:tc>
          <w:tcPr>
            <w:tcW w:w="0" w:type="auto"/>
          </w:tcPr>
          <w:p w14:paraId="6EA7A652" w14:textId="77777777" w:rsidR="003D1743" w:rsidRPr="007379B7" w:rsidRDefault="003D1743" w:rsidP="007379B7">
            <w:pPr>
              <w:pStyle w:val="NoSpacing"/>
              <w:rPr>
                <w:rFonts w:cstheme="minorHAnsi"/>
              </w:rPr>
            </w:pPr>
            <w:r w:rsidRPr="007379B7">
              <w:rPr>
                <w:rFonts w:cstheme="minorHAnsi"/>
              </w:rPr>
              <w:t>572</w:t>
            </w:r>
          </w:p>
        </w:tc>
        <w:tc>
          <w:tcPr>
            <w:tcW w:w="0" w:type="auto"/>
          </w:tcPr>
          <w:p w14:paraId="30A49153" w14:textId="77777777" w:rsidR="003D1743" w:rsidRPr="007379B7" w:rsidRDefault="003D1743" w:rsidP="007379B7">
            <w:pPr>
              <w:pStyle w:val="NoSpacing"/>
              <w:rPr>
                <w:rFonts w:cstheme="minorHAnsi"/>
              </w:rPr>
            </w:pPr>
          </w:p>
        </w:tc>
      </w:tr>
      <w:tr w:rsidR="003D1743" w:rsidRPr="007379B7" w14:paraId="4CEFF81E" w14:textId="77777777" w:rsidTr="001D16F2">
        <w:trPr>
          <w:trHeight w:val="230"/>
        </w:trPr>
        <w:tc>
          <w:tcPr>
            <w:tcW w:w="0" w:type="auto"/>
          </w:tcPr>
          <w:p w14:paraId="115358C7" w14:textId="77777777" w:rsidR="003D1743" w:rsidRPr="007379B7" w:rsidRDefault="003D1743" w:rsidP="007379B7">
            <w:pPr>
              <w:pStyle w:val="NoSpacing"/>
              <w:rPr>
                <w:rFonts w:cstheme="minorHAnsi"/>
              </w:rPr>
            </w:pPr>
            <w:r w:rsidRPr="007379B7">
              <w:rPr>
                <w:rFonts w:cstheme="minorHAnsi"/>
              </w:rPr>
              <w:t>Number of variables</w:t>
            </w:r>
          </w:p>
        </w:tc>
        <w:tc>
          <w:tcPr>
            <w:tcW w:w="0" w:type="auto"/>
          </w:tcPr>
          <w:p w14:paraId="4581954C" w14:textId="77777777" w:rsidR="003D1743" w:rsidRPr="007379B7" w:rsidRDefault="003D1743" w:rsidP="007379B7">
            <w:pPr>
              <w:pStyle w:val="NoSpacing"/>
              <w:rPr>
                <w:rFonts w:cstheme="minorHAnsi"/>
              </w:rPr>
            </w:pPr>
          </w:p>
        </w:tc>
        <w:tc>
          <w:tcPr>
            <w:tcW w:w="0" w:type="auto"/>
          </w:tcPr>
          <w:p w14:paraId="174957A2" w14:textId="77777777" w:rsidR="003D1743" w:rsidRPr="007379B7" w:rsidRDefault="003D1743" w:rsidP="007379B7">
            <w:pPr>
              <w:pStyle w:val="NoSpacing"/>
              <w:rPr>
                <w:rFonts w:cstheme="minorHAnsi"/>
                <w:w w:val="98"/>
              </w:rPr>
            </w:pPr>
            <w:r w:rsidRPr="007379B7">
              <w:rPr>
                <w:rFonts w:cstheme="minorHAnsi"/>
                <w:w w:val="98"/>
              </w:rPr>
              <w:t>9</w:t>
            </w:r>
          </w:p>
        </w:tc>
        <w:tc>
          <w:tcPr>
            <w:tcW w:w="0" w:type="auto"/>
          </w:tcPr>
          <w:p w14:paraId="73B39F37" w14:textId="77777777" w:rsidR="003D1743" w:rsidRPr="007379B7" w:rsidRDefault="003D1743" w:rsidP="007379B7">
            <w:pPr>
              <w:pStyle w:val="NoSpacing"/>
              <w:rPr>
                <w:rFonts w:cstheme="minorHAnsi"/>
              </w:rPr>
            </w:pPr>
          </w:p>
        </w:tc>
      </w:tr>
      <w:tr w:rsidR="003D1743" w:rsidRPr="007379B7" w14:paraId="6A49A093" w14:textId="77777777" w:rsidTr="001D16F2">
        <w:trPr>
          <w:trHeight w:val="230"/>
        </w:trPr>
        <w:tc>
          <w:tcPr>
            <w:tcW w:w="0" w:type="auto"/>
          </w:tcPr>
          <w:p w14:paraId="2D0E698C" w14:textId="77777777" w:rsidR="003D1743" w:rsidRPr="007379B7" w:rsidRDefault="003D1743" w:rsidP="007379B7">
            <w:pPr>
              <w:pStyle w:val="NoSpacing"/>
              <w:rPr>
                <w:rFonts w:cstheme="minorHAnsi"/>
              </w:rPr>
            </w:pPr>
            <w:r w:rsidRPr="007379B7">
              <w:rPr>
                <w:rFonts w:cstheme="minorHAnsi"/>
              </w:rPr>
              <w:t>Degrees of freedom</w:t>
            </w:r>
          </w:p>
        </w:tc>
        <w:tc>
          <w:tcPr>
            <w:tcW w:w="0" w:type="auto"/>
          </w:tcPr>
          <w:p w14:paraId="1CF3E0C0" w14:textId="77777777" w:rsidR="003D1743" w:rsidRPr="007379B7" w:rsidRDefault="003D1743" w:rsidP="007379B7">
            <w:pPr>
              <w:pStyle w:val="NoSpacing"/>
              <w:rPr>
                <w:rFonts w:cstheme="minorHAnsi"/>
              </w:rPr>
            </w:pPr>
          </w:p>
        </w:tc>
        <w:tc>
          <w:tcPr>
            <w:tcW w:w="0" w:type="auto"/>
          </w:tcPr>
          <w:p w14:paraId="5301E4C4" w14:textId="77777777" w:rsidR="003D1743" w:rsidRPr="007379B7" w:rsidRDefault="003D1743" w:rsidP="007379B7">
            <w:pPr>
              <w:pStyle w:val="NoSpacing"/>
              <w:rPr>
                <w:rFonts w:cstheme="minorHAnsi"/>
              </w:rPr>
            </w:pPr>
            <w:r w:rsidRPr="007379B7">
              <w:rPr>
                <w:rFonts w:cstheme="minorHAnsi"/>
              </w:rPr>
              <w:t>563</w:t>
            </w:r>
          </w:p>
        </w:tc>
        <w:tc>
          <w:tcPr>
            <w:tcW w:w="0" w:type="auto"/>
          </w:tcPr>
          <w:p w14:paraId="0AB203D4" w14:textId="77777777" w:rsidR="003D1743" w:rsidRPr="007379B7" w:rsidRDefault="003D1743" w:rsidP="007379B7">
            <w:pPr>
              <w:pStyle w:val="NoSpacing"/>
              <w:rPr>
                <w:rFonts w:cstheme="minorHAnsi"/>
              </w:rPr>
            </w:pPr>
          </w:p>
        </w:tc>
      </w:tr>
      <w:tr w:rsidR="003D1743" w:rsidRPr="007379B7" w14:paraId="498DEB65" w14:textId="77777777" w:rsidTr="001D16F2">
        <w:trPr>
          <w:trHeight w:val="230"/>
        </w:trPr>
        <w:tc>
          <w:tcPr>
            <w:tcW w:w="0" w:type="auto"/>
          </w:tcPr>
          <w:p w14:paraId="25A208F6" w14:textId="77777777" w:rsidR="003D1743" w:rsidRPr="007379B7" w:rsidRDefault="003D1743" w:rsidP="007379B7">
            <w:pPr>
              <w:pStyle w:val="NoSpacing"/>
              <w:rPr>
                <w:rFonts w:cstheme="minorHAnsi"/>
              </w:rPr>
            </w:pPr>
            <w:r w:rsidRPr="007379B7">
              <w:rPr>
                <w:rFonts w:cstheme="minorHAnsi"/>
              </w:rPr>
              <w:t>Multicollinearity condition number</w:t>
            </w:r>
          </w:p>
        </w:tc>
        <w:tc>
          <w:tcPr>
            <w:tcW w:w="0" w:type="auto"/>
          </w:tcPr>
          <w:p w14:paraId="543E8BE0" w14:textId="77777777" w:rsidR="003D1743" w:rsidRPr="007379B7" w:rsidRDefault="003D1743" w:rsidP="007379B7">
            <w:pPr>
              <w:pStyle w:val="NoSpacing"/>
              <w:rPr>
                <w:rFonts w:cstheme="minorHAnsi"/>
              </w:rPr>
            </w:pPr>
          </w:p>
        </w:tc>
        <w:tc>
          <w:tcPr>
            <w:tcW w:w="0" w:type="auto"/>
          </w:tcPr>
          <w:p w14:paraId="7E88E74A" w14:textId="77777777" w:rsidR="003D1743" w:rsidRPr="007379B7" w:rsidRDefault="003D1743" w:rsidP="007379B7">
            <w:pPr>
              <w:pStyle w:val="NoSpacing"/>
              <w:rPr>
                <w:rFonts w:cstheme="minorHAnsi"/>
              </w:rPr>
            </w:pPr>
            <w:r w:rsidRPr="007379B7">
              <w:rPr>
                <w:rFonts w:cstheme="minorHAnsi"/>
              </w:rPr>
              <w:t>3.00</w:t>
            </w:r>
          </w:p>
        </w:tc>
        <w:tc>
          <w:tcPr>
            <w:tcW w:w="0" w:type="auto"/>
          </w:tcPr>
          <w:p w14:paraId="651DF6B2" w14:textId="77777777" w:rsidR="003D1743" w:rsidRPr="007379B7" w:rsidRDefault="003D1743" w:rsidP="007379B7">
            <w:pPr>
              <w:pStyle w:val="NoSpacing"/>
              <w:rPr>
                <w:rFonts w:cstheme="minorHAnsi"/>
              </w:rPr>
            </w:pPr>
          </w:p>
        </w:tc>
      </w:tr>
      <w:tr w:rsidR="003D1743" w:rsidRPr="007379B7" w14:paraId="3EF547D3" w14:textId="77777777" w:rsidTr="001D16F2">
        <w:trPr>
          <w:trHeight w:val="230"/>
        </w:trPr>
        <w:tc>
          <w:tcPr>
            <w:tcW w:w="0" w:type="auto"/>
          </w:tcPr>
          <w:p w14:paraId="648C6EA3" w14:textId="77777777" w:rsidR="003D1743" w:rsidRPr="007379B7" w:rsidRDefault="003D1743" w:rsidP="007379B7">
            <w:pPr>
              <w:pStyle w:val="NoSpacing"/>
              <w:rPr>
                <w:rFonts w:cstheme="minorHAnsi"/>
              </w:rPr>
            </w:pPr>
            <w:r w:rsidRPr="007379B7">
              <w:rPr>
                <w:rFonts w:cstheme="minorHAnsi"/>
              </w:rPr>
              <w:t>Model 5: Spirit availability</w:t>
            </w:r>
          </w:p>
        </w:tc>
        <w:tc>
          <w:tcPr>
            <w:tcW w:w="0" w:type="auto"/>
          </w:tcPr>
          <w:p w14:paraId="7A7D4119" w14:textId="77777777" w:rsidR="003D1743" w:rsidRPr="007379B7" w:rsidRDefault="003D1743" w:rsidP="007379B7">
            <w:pPr>
              <w:pStyle w:val="NoSpacing"/>
              <w:rPr>
                <w:rFonts w:cstheme="minorHAnsi"/>
              </w:rPr>
            </w:pPr>
          </w:p>
        </w:tc>
        <w:tc>
          <w:tcPr>
            <w:tcW w:w="0" w:type="auto"/>
          </w:tcPr>
          <w:p w14:paraId="32374CC6" w14:textId="77777777" w:rsidR="003D1743" w:rsidRPr="007379B7" w:rsidRDefault="003D1743" w:rsidP="007379B7">
            <w:pPr>
              <w:pStyle w:val="NoSpacing"/>
              <w:rPr>
                <w:rFonts w:cstheme="minorHAnsi"/>
              </w:rPr>
            </w:pPr>
          </w:p>
        </w:tc>
        <w:tc>
          <w:tcPr>
            <w:tcW w:w="0" w:type="auto"/>
          </w:tcPr>
          <w:p w14:paraId="0E8928F7" w14:textId="77777777" w:rsidR="003D1743" w:rsidRPr="007379B7" w:rsidRDefault="003D1743" w:rsidP="007379B7">
            <w:pPr>
              <w:pStyle w:val="NoSpacing"/>
              <w:rPr>
                <w:rFonts w:cstheme="minorHAnsi"/>
              </w:rPr>
            </w:pPr>
          </w:p>
        </w:tc>
      </w:tr>
      <w:tr w:rsidR="003D1743" w:rsidRPr="007379B7" w14:paraId="31C87350" w14:textId="77777777" w:rsidTr="001D16F2">
        <w:trPr>
          <w:trHeight w:val="230"/>
        </w:trPr>
        <w:tc>
          <w:tcPr>
            <w:tcW w:w="0" w:type="auto"/>
          </w:tcPr>
          <w:p w14:paraId="62D1370D" w14:textId="77777777" w:rsidR="003D1743" w:rsidRPr="007379B7" w:rsidRDefault="003D1743" w:rsidP="007379B7">
            <w:pPr>
              <w:pStyle w:val="NoSpacing"/>
              <w:rPr>
                <w:rFonts w:cstheme="minorHAnsi"/>
              </w:rPr>
            </w:pPr>
            <w:r w:rsidRPr="007379B7">
              <w:rPr>
                <w:rFonts w:cstheme="minorHAnsi"/>
              </w:rPr>
              <w:t>Ethnic heterogeneity</w:t>
            </w:r>
          </w:p>
        </w:tc>
        <w:tc>
          <w:tcPr>
            <w:tcW w:w="0" w:type="auto"/>
          </w:tcPr>
          <w:p w14:paraId="0F39DFEB" w14:textId="77777777" w:rsidR="003D1743" w:rsidRPr="007379B7" w:rsidRDefault="003D1743" w:rsidP="007379B7">
            <w:pPr>
              <w:pStyle w:val="NoSpacing"/>
              <w:rPr>
                <w:rFonts w:cstheme="minorHAnsi"/>
              </w:rPr>
            </w:pPr>
            <w:r w:rsidRPr="007379B7">
              <w:rPr>
                <w:rFonts w:cstheme="minorHAnsi"/>
              </w:rPr>
              <w:t>−0.02</w:t>
            </w:r>
          </w:p>
        </w:tc>
        <w:tc>
          <w:tcPr>
            <w:tcW w:w="0" w:type="auto"/>
          </w:tcPr>
          <w:p w14:paraId="3A4FE6F4" w14:textId="77777777" w:rsidR="003D1743" w:rsidRPr="007379B7" w:rsidRDefault="003D1743" w:rsidP="007379B7">
            <w:pPr>
              <w:pStyle w:val="NoSpacing"/>
              <w:rPr>
                <w:rFonts w:cstheme="minorHAnsi"/>
              </w:rPr>
            </w:pPr>
            <w:r w:rsidRPr="007379B7">
              <w:rPr>
                <w:rFonts w:cstheme="minorHAnsi"/>
              </w:rPr>
              <w:t>0.03</w:t>
            </w:r>
          </w:p>
        </w:tc>
        <w:tc>
          <w:tcPr>
            <w:tcW w:w="0" w:type="auto"/>
          </w:tcPr>
          <w:p w14:paraId="265BFB67" w14:textId="77777777" w:rsidR="003D1743" w:rsidRPr="007379B7" w:rsidRDefault="003D1743" w:rsidP="007379B7">
            <w:pPr>
              <w:pStyle w:val="NoSpacing"/>
              <w:rPr>
                <w:rFonts w:cstheme="minorHAnsi"/>
                <w:w w:val="95"/>
              </w:rPr>
            </w:pPr>
            <w:r w:rsidRPr="007379B7">
              <w:rPr>
                <w:rFonts w:cstheme="minorHAnsi"/>
                <w:w w:val="95"/>
              </w:rPr>
              <w:t>.52</w:t>
            </w:r>
          </w:p>
        </w:tc>
      </w:tr>
      <w:tr w:rsidR="003D1743" w:rsidRPr="007379B7" w14:paraId="6F09032C" w14:textId="77777777" w:rsidTr="001D16F2">
        <w:trPr>
          <w:trHeight w:val="230"/>
        </w:trPr>
        <w:tc>
          <w:tcPr>
            <w:tcW w:w="0" w:type="auto"/>
          </w:tcPr>
          <w:p w14:paraId="71FC962E" w14:textId="77777777" w:rsidR="003D1743" w:rsidRPr="007379B7" w:rsidRDefault="003D1743" w:rsidP="007379B7">
            <w:pPr>
              <w:pStyle w:val="NoSpacing"/>
              <w:rPr>
                <w:rFonts w:cstheme="minorHAnsi"/>
              </w:rPr>
            </w:pPr>
            <w:r w:rsidRPr="007379B7">
              <w:rPr>
                <w:rFonts w:cstheme="minorHAnsi"/>
              </w:rPr>
              <w:t>Concentrated disadvantage</w:t>
            </w:r>
          </w:p>
        </w:tc>
        <w:tc>
          <w:tcPr>
            <w:tcW w:w="0" w:type="auto"/>
          </w:tcPr>
          <w:p w14:paraId="021A65EA" w14:textId="77777777" w:rsidR="003D1743" w:rsidRPr="007379B7" w:rsidRDefault="003D1743" w:rsidP="007379B7">
            <w:pPr>
              <w:pStyle w:val="NoSpacing"/>
              <w:rPr>
                <w:rFonts w:cstheme="minorHAnsi"/>
                <w:w w:val="95"/>
              </w:rPr>
            </w:pPr>
            <w:r w:rsidRPr="007379B7">
              <w:rPr>
                <w:rFonts w:cstheme="minorHAnsi"/>
                <w:w w:val="95"/>
              </w:rPr>
              <w:t>0.10</w:t>
            </w:r>
          </w:p>
        </w:tc>
        <w:tc>
          <w:tcPr>
            <w:tcW w:w="0" w:type="auto"/>
          </w:tcPr>
          <w:p w14:paraId="49C47795" w14:textId="77777777" w:rsidR="003D1743" w:rsidRPr="007379B7" w:rsidRDefault="003D1743" w:rsidP="007379B7">
            <w:pPr>
              <w:pStyle w:val="NoSpacing"/>
              <w:rPr>
                <w:rFonts w:cstheme="minorHAnsi"/>
              </w:rPr>
            </w:pPr>
            <w:r w:rsidRPr="007379B7">
              <w:rPr>
                <w:rFonts w:cstheme="minorHAnsi"/>
              </w:rPr>
              <w:t>0.04</w:t>
            </w:r>
          </w:p>
        </w:tc>
        <w:tc>
          <w:tcPr>
            <w:tcW w:w="0" w:type="auto"/>
          </w:tcPr>
          <w:p w14:paraId="112C641A" w14:textId="77777777" w:rsidR="003D1743" w:rsidRPr="007379B7" w:rsidRDefault="003D1743" w:rsidP="007379B7">
            <w:pPr>
              <w:pStyle w:val="NoSpacing"/>
              <w:rPr>
                <w:rFonts w:cstheme="minorHAnsi"/>
                <w:w w:val="95"/>
              </w:rPr>
            </w:pPr>
            <w:r w:rsidRPr="007379B7">
              <w:rPr>
                <w:rFonts w:cstheme="minorHAnsi"/>
                <w:w w:val="95"/>
              </w:rPr>
              <w:t>.01</w:t>
            </w:r>
          </w:p>
        </w:tc>
      </w:tr>
      <w:tr w:rsidR="003D1743" w:rsidRPr="007379B7" w14:paraId="2CF48AE8" w14:textId="77777777" w:rsidTr="001D16F2">
        <w:trPr>
          <w:trHeight w:val="230"/>
        </w:trPr>
        <w:tc>
          <w:tcPr>
            <w:tcW w:w="0" w:type="auto"/>
          </w:tcPr>
          <w:p w14:paraId="47CBA4FF" w14:textId="77777777" w:rsidR="003D1743" w:rsidRPr="007379B7" w:rsidRDefault="003D1743" w:rsidP="007379B7">
            <w:pPr>
              <w:pStyle w:val="NoSpacing"/>
              <w:rPr>
                <w:rFonts w:cstheme="minorHAnsi"/>
              </w:rPr>
            </w:pPr>
            <w:r w:rsidRPr="007379B7">
              <w:rPr>
                <w:rFonts w:cstheme="minorHAnsi"/>
              </w:rPr>
              <w:t>Concentrated immigration</w:t>
            </w:r>
          </w:p>
        </w:tc>
        <w:tc>
          <w:tcPr>
            <w:tcW w:w="0" w:type="auto"/>
          </w:tcPr>
          <w:p w14:paraId="6A85A7C5" w14:textId="77777777" w:rsidR="003D1743" w:rsidRPr="007379B7" w:rsidRDefault="003D1743" w:rsidP="007379B7">
            <w:pPr>
              <w:pStyle w:val="NoSpacing"/>
              <w:rPr>
                <w:rFonts w:cstheme="minorHAnsi"/>
                <w:w w:val="95"/>
              </w:rPr>
            </w:pPr>
            <w:r w:rsidRPr="007379B7">
              <w:rPr>
                <w:rFonts w:cstheme="minorHAnsi"/>
                <w:w w:val="95"/>
              </w:rPr>
              <w:t>0.11</w:t>
            </w:r>
          </w:p>
        </w:tc>
        <w:tc>
          <w:tcPr>
            <w:tcW w:w="0" w:type="auto"/>
          </w:tcPr>
          <w:p w14:paraId="2482284E" w14:textId="77777777" w:rsidR="003D1743" w:rsidRPr="007379B7" w:rsidRDefault="003D1743" w:rsidP="007379B7">
            <w:pPr>
              <w:pStyle w:val="NoSpacing"/>
              <w:rPr>
                <w:rFonts w:cstheme="minorHAnsi"/>
              </w:rPr>
            </w:pPr>
            <w:r w:rsidRPr="007379B7">
              <w:rPr>
                <w:rFonts w:cstheme="minorHAnsi"/>
              </w:rPr>
              <w:t>0.04</w:t>
            </w:r>
          </w:p>
        </w:tc>
        <w:tc>
          <w:tcPr>
            <w:tcW w:w="0" w:type="auto"/>
          </w:tcPr>
          <w:p w14:paraId="3050F5DA" w14:textId="77777777" w:rsidR="003D1743" w:rsidRPr="007379B7" w:rsidRDefault="003D1743" w:rsidP="007379B7">
            <w:pPr>
              <w:pStyle w:val="NoSpacing"/>
              <w:rPr>
                <w:rFonts w:cstheme="minorHAnsi"/>
                <w:w w:val="95"/>
              </w:rPr>
            </w:pPr>
            <w:r w:rsidRPr="007379B7">
              <w:rPr>
                <w:rFonts w:cstheme="minorHAnsi"/>
                <w:w w:val="95"/>
              </w:rPr>
              <w:t>.01</w:t>
            </w:r>
          </w:p>
        </w:tc>
      </w:tr>
      <w:tr w:rsidR="003D1743" w:rsidRPr="007379B7" w14:paraId="533FA441" w14:textId="77777777" w:rsidTr="001D16F2">
        <w:trPr>
          <w:trHeight w:val="230"/>
        </w:trPr>
        <w:tc>
          <w:tcPr>
            <w:tcW w:w="0" w:type="auto"/>
          </w:tcPr>
          <w:p w14:paraId="3C81B089" w14:textId="77777777" w:rsidR="003D1743" w:rsidRPr="007379B7" w:rsidRDefault="003D1743" w:rsidP="007379B7">
            <w:pPr>
              <w:pStyle w:val="NoSpacing"/>
              <w:rPr>
                <w:rFonts w:cstheme="minorHAnsi"/>
              </w:rPr>
            </w:pPr>
            <w:r w:rsidRPr="007379B7">
              <w:rPr>
                <w:rFonts w:cstheme="minorHAnsi"/>
              </w:rPr>
              <w:t>Residential stability</w:t>
            </w:r>
          </w:p>
        </w:tc>
        <w:tc>
          <w:tcPr>
            <w:tcW w:w="0" w:type="auto"/>
          </w:tcPr>
          <w:p w14:paraId="565E51D5" w14:textId="77777777" w:rsidR="003D1743" w:rsidRPr="007379B7" w:rsidRDefault="003D1743" w:rsidP="007379B7">
            <w:pPr>
              <w:pStyle w:val="NoSpacing"/>
              <w:rPr>
                <w:rFonts w:cstheme="minorHAnsi"/>
              </w:rPr>
            </w:pPr>
            <w:r w:rsidRPr="007379B7">
              <w:rPr>
                <w:rFonts w:cstheme="minorHAnsi"/>
              </w:rPr>
              <w:t>−0.10</w:t>
            </w:r>
          </w:p>
        </w:tc>
        <w:tc>
          <w:tcPr>
            <w:tcW w:w="0" w:type="auto"/>
          </w:tcPr>
          <w:p w14:paraId="7B763EF4" w14:textId="77777777" w:rsidR="003D1743" w:rsidRPr="007379B7" w:rsidRDefault="003D1743" w:rsidP="007379B7">
            <w:pPr>
              <w:pStyle w:val="NoSpacing"/>
              <w:rPr>
                <w:rFonts w:cstheme="minorHAnsi"/>
              </w:rPr>
            </w:pPr>
            <w:r w:rsidRPr="007379B7">
              <w:rPr>
                <w:rFonts w:cstheme="minorHAnsi"/>
              </w:rPr>
              <w:t>0.03</w:t>
            </w:r>
          </w:p>
        </w:tc>
        <w:tc>
          <w:tcPr>
            <w:tcW w:w="0" w:type="auto"/>
          </w:tcPr>
          <w:p w14:paraId="025A0A09" w14:textId="77777777" w:rsidR="003D1743" w:rsidRPr="007379B7" w:rsidRDefault="003D1743" w:rsidP="007379B7">
            <w:pPr>
              <w:pStyle w:val="NoSpacing"/>
              <w:rPr>
                <w:rFonts w:cstheme="minorHAnsi"/>
                <w:w w:val="95"/>
              </w:rPr>
            </w:pPr>
            <w:r w:rsidRPr="007379B7">
              <w:rPr>
                <w:rFonts w:cstheme="minorHAnsi"/>
                <w:w w:val="95"/>
              </w:rPr>
              <w:t>.00</w:t>
            </w:r>
          </w:p>
        </w:tc>
      </w:tr>
      <w:tr w:rsidR="003D1743" w:rsidRPr="007379B7" w14:paraId="550E972D" w14:textId="77777777" w:rsidTr="001D16F2">
        <w:trPr>
          <w:trHeight w:val="230"/>
        </w:trPr>
        <w:tc>
          <w:tcPr>
            <w:tcW w:w="0" w:type="auto"/>
          </w:tcPr>
          <w:p w14:paraId="4B8D392B" w14:textId="77777777" w:rsidR="003D1743" w:rsidRPr="007379B7" w:rsidRDefault="003D1743" w:rsidP="007379B7">
            <w:pPr>
              <w:pStyle w:val="NoSpacing"/>
              <w:rPr>
                <w:rFonts w:cstheme="minorHAnsi"/>
              </w:rPr>
            </w:pPr>
            <w:r w:rsidRPr="007379B7">
              <w:rPr>
                <w:rFonts w:cstheme="minorHAnsi"/>
              </w:rPr>
              <w:t>Population density</w:t>
            </w:r>
          </w:p>
        </w:tc>
        <w:tc>
          <w:tcPr>
            <w:tcW w:w="0" w:type="auto"/>
          </w:tcPr>
          <w:p w14:paraId="03D6F227" w14:textId="77777777" w:rsidR="003D1743" w:rsidRPr="007379B7" w:rsidRDefault="003D1743" w:rsidP="007379B7">
            <w:pPr>
              <w:pStyle w:val="NoSpacing"/>
              <w:rPr>
                <w:rFonts w:cstheme="minorHAnsi"/>
                <w:w w:val="95"/>
              </w:rPr>
            </w:pPr>
            <w:r w:rsidRPr="007379B7">
              <w:rPr>
                <w:rFonts w:cstheme="minorHAnsi"/>
                <w:w w:val="95"/>
              </w:rPr>
              <w:t>0.27</w:t>
            </w:r>
          </w:p>
        </w:tc>
        <w:tc>
          <w:tcPr>
            <w:tcW w:w="0" w:type="auto"/>
          </w:tcPr>
          <w:p w14:paraId="6814793D" w14:textId="77777777" w:rsidR="003D1743" w:rsidRPr="007379B7" w:rsidRDefault="003D1743" w:rsidP="007379B7">
            <w:pPr>
              <w:pStyle w:val="NoSpacing"/>
              <w:rPr>
                <w:rFonts w:cstheme="minorHAnsi"/>
              </w:rPr>
            </w:pPr>
            <w:r w:rsidRPr="007379B7">
              <w:rPr>
                <w:rFonts w:cstheme="minorHAnsi"/>
              </w:rPr>
              <w:t>0.04</w:t>
            </w:r>
          </w:p>
        </w:tc>
        <w:tc>
          <w:tcPr>
            <w:tcW w:w="0" w:type="auto"/>
          </w:tcPr>
          <w:p w14:paraId="747C0667" w14:textId="77777777" w:rsidR="003D1743" w:rsidRPr="007379B7" w:rsidRDefault="003D1743" w:rsidP="007379B7">
            <w:pPr>
              <w:pStyle w:val="NoSpacing"/>
              <w:rPr>
                <w:rFonts w:cstheme="minorHAnsi"/>
                <w:w w:val="95"/>
              </w:rPr>
            </w:pPr>
            <w:r w:rsidRPr="007379B7">
              <w:rPr>
                <w:rFonts w:cstheme="minorHAnsi"/>
                <w:w w:val="95"/>
              </w:rPr>
              <w:t>.00</w:t>
            </w:r>
          </w:p>
        </w:tc>
      </w:tr>
      <w:tr w:rsidR="003D1743" w:rsidRPr="007379B7" w14:paraId="0CFD029F" w14:textId="77777777" w:rsidTr="001D16F2">
        <w:trPr>
          <w:trHeight w:val="230"/>
        </w:trPr>
        <w:tc>
          <w:tcPr>
            <w:tcW w:w="0" w:type="auto"/>
          </w:tcPr>
          <w:p w14:paraId="2BCA79A2" w14:textId="77777777" w:rsidR="003D1743" w:rsidRPr="007379B7" w:rsidRDefault="003D1743" w:rsidP="007379B7">
            <w:pPr>
              <w:pStyle w:val="NoSpacing"/>
              <w:rPr>
                <w:rFonts w:cstheme="minorHAnsi"/>
              </w:rPr>
            </w:pPr>
            <w:r w:rsidRPr="007379B7">
              <w:rPr>
                <w:rFonts w:cstheme="minorHAnsi"/>
              </w:rPr>
              <w:t>Proportion Black</w:t>
            </w:r>
          </w:p>
        </w:tc>
        <w:tc>
          <w:tcPr>
            <w:tcW w:w="0" w:type="auto"/>
          </w:tcPr>
          <w:p w14:paraId="11A8FEFE" w14:textId="77777777" w:rsidR="003D1743" w:rsidRPr="007379B7" w:rsidRDefault="003D1743" w:rsidP="007379B7">
            <w:pPr>
              <w:pStyle w:val="NoSpacing"/>
              <w:rPr>
                <w:rFonts w:cstheme="minorHAnsi"/>
                <w:w w:val="95"/>
              </w:rPr>
            </w:pPr>
            <w:r w:rsidRPr="007379B7">
              <w:rPr>
                <w:rFonts w:cstheme="minorHAnsi"/>
                <w:w w:val="95"/>
              </w:rPr>
              <w:t>0.13</w:t>
            </w:r>
          </w:p>
        </w:tc>
        <w:tc>
          <w:tcPr>
            <w:tcW w:w="0" w:type="auto"/>
          </w:tcPr>
          <w:p w14:paraId="1B4B0029" w14:textId="77777777" w:rsidR="003D1743" w:rsidRPr="007379B7" w:rsidRDefault="003D1743" w:rsidP="007379B7">
            <w:pPr>
              <w:pStyle w:val="NoSpacing"/>
              <w:rPr>
                <w:rFonts w:cstheme="minorHAnsi"/>
              </w:rPr>
            </w:pPr>
            <w:r w:rsidRPr="007379B7">
              <w:rPr>
                <w:rFonts w:cstheme="minorHAnsi"/>
              </w:rPr>
              <w:t>0.05</w:t>
            </w:r>
          </w:p>
        </w:tc>
        <w:tc>
          <w:tcPr>
            <w:tcW w:w="0" w:type="auto"/>
          </w:tcPr>
          <w:p w14:paraId="2751ECFA" w14:textId="77777777" w:rsidR="003D1743" w:rsidRPr="007379B7" w:rsidRDefault="003D1743" w:rsidP="007379B7">
            <w:pPr>
              <w:pStyle w:val="NoSpacing"/>
              <w:rPr>
                <w:rFonts w:cstheme="minorHAnsi"/>
                <w:w w:val="95"/>
              </w:rPr>
            </w:pPr>
            <w:r w:rsidRPr="007379B7">
              <w:rPr>
                <w:rFonts w:cstheme="minorHAnsi"/>
                <w:w w:val="95"/>
              </w:rPr>
              <w:t>.00</w:t>
            </w:r>
          </w:p>
        </w:tc>
      </w:tr>
      <w:tr w:rsidR="003D1743" w:rsidRPr="007379B7" w14:paraId="5743C3FF" w14:textId="77777777" w:rsidTr="001D16F2">
        <w:trPr>
          <w:trHeight w:val="230"/>
        </w:trPr>
        <w:tc>
          <w:tcPr>
            <w:tcW w:w="0" w:type="auto"/>
          </w:tcPr>
          <w:p w14:paraId="615A5265" w14:textId="77777777" w:rsidR="003D1743" w:rsidRPr="007379B7" w:rsidRDefault="003D1743" w:rsidP="007379B7">
            <w:pPr>
              <w:pStyle w:val="NoSpacing"/>
              <w:rPr>
                <w:rFonts w:cstheme="minorHAnsi"/>
              </w:rPr>
            </w:pPr>
            <w:r w:rsidRPr="007379B7">
              <w:rPr>
                <w:rFonts w:cstheme="minorHAnsi"/>
              </w:rPr>
              <w:t>Rho robbery density</w:t>
            </w:r>
          </w:p>
        </w:tc>
        <w:tc>
          <w:tcPr>
            <w:tcW w:w="0" w:type="auto"/>
          </w:tcPr>
          <w:p w14:paraId="6117D537" w14:textId="77777777" w:rsidR="003D1743" w:rsidRPr="007379B7" w:rsidRDefault="003D1743" w:rsidP="007379B7">
            <w:pPr>
              <w:pStyle w:val="NoSpacing"/>
              <w:rPr>
                <w:rFonts w:cstheme="minorHAnsi"/>
                <w:w w:val="95"/>
              </w:rPr>
            </w:pPr>
            <w:r w:rsidRPr="007379B7">
              <w:rPr>
                <w:rFonts w:cstheme="minorHAnsi"/>
                <w:w w:val="95"/>
              </w:rPr>
              <w:t>0.45</w:t>
            </w:r>
          </w:p>
        </w:tc>
        <w:tc>
          <w:tcPr>
            <w:tcW w:w="0" w:type="auto"/>
          </w:tcPr>
          <w:p w14:paraId="6A5B87BA" w14:textId="77777777" w:rsidR="003D1743" w:rsidRPr="007379B7" w:rsidRDefault="003D1743" w:rsidP="007379B7">
            <w:pPr>
              <w:pStyle w:val="NoSpacing"/>
              <w:rPr>
                <w:rFonts w:cstheme="minorHAnsi"/>
              </w:rPr>
            </w:pPr>
            <w:r w:rsidRPr="007379B7">
              <w:rPr>
                <w:rFonts w:cstheme="minorHAnsi"/>
              </w:rPr>
              <w:t>0.05</w:t>
            </w:r>
          </w:p>
        </w:tc>
        <w:tc>
          <w:tcPr>
            <w:tcW w:w="0" w:type="auto"/>
          </w:tcPr>
          <w:p w14:paraId="5472E839" w14:textId="77777777" w:rsidR="003D1743" w:rsidRPr="007379B7" w:rsidRDefault="003D1743" w:rsidP="007379B7">
            <w:pPr>
              <w:pStyle w:val="NoSpacing"/>
              <w:rPr>
                <w:rFonts w:cstheme="minorHAnsi"/>
                <w:w w:val="95"/>
              </w:rPr>
            </w:pPr>
            <w:r w:rsidRPr="007379B7">
              <w:rPr>
                <w:rFonts w:cstheme="minorHAnsi"/>
                <w:w w:val="95"/>
              </w:rPr>
              <w:t>.00</w:t>
            </w:r>
          </w:p>
        </w:tc>
      </w:tr>
      <w:tr w:rsidR="003D1743" w:rsidRPr="007379B7" w14:paraId="31E95055" w14:textId="77777777" w:rsidTr="001D16F2">
        <w:trPr>
          <w:trHeight w:val="230"/>
        </w:trPr>
        <w:tc>
          <w:tcPr>
            <w:tcW w:w="0" w:type="auto"/>
          </w:tcPr>
          <w:p w14:paraId="5DC3000D" w14:textId="77777777" w:rsidR="003D1743" w:rsidRPr="007379B7" w:rsidRDefault="003D1743" w:rsidP="007379B7">
            <w:pPr>
              <w:pStyle w:val="NoSpacing"/>
              <w:rPr>
                <w:rFonts w:cstheme="minorHAnsi"/>
              </w:rPr>
            </w:pPr>
            <w:r w:rsidRPr="007379B7">
              <w:rPr>
                <w:rFonts w:cstheme="minorHAnsi"/>
              </w:rPr>
              <w:t>Spirit density</w:t>
            </w:r>
          </w:p>
        </w:tc>
        <w:tc>
          <w:tcPr>
            <w:tcW w:w="0" w:type="auto"/>
          </w:tcPr>
          <w:p w14:paraId="1CE5DA93" w14:textId="77777777" w:rsidR="003D1743" w:rsidRPr="007379B7" w:rsidRDefault="003D1743" w:rsidP="007379B7">
            <w:pPr>
              <w:pStyle w:val="NoSpacing"/>
              <w:rPr>
                <w:rFonts w:cstheme="minorHAnsi"/>
                <w:w w:val="95"/>
              </w:rPr>
            </w:pPr>
            <w:r w:rsidRPr="007379B7">
              <w:rPr>
                <w:rFonts w:cstheme="minorHAnsi"/>
                <w:w w:val="95"/>
              </w:rPr>
              <w:t>0.12</w:t>
            </w:r>
          </w:p>
        </w:tc>
        <w:tc>
          <w:tcPr>
            <w:tcW w:w="0" w:type="auto"/>
          </w:tcPr>
          <w:p w14:paraId="38FF09CD" w14:textId="77777777" w:rsidR="003D1743" w:rsidRPr="007379B7" w:rsidRDefault="003D1743" w:rsidP="007379B7">
            <w:pPr>
              <w:pStyle w:val="NoSpacing"/>
              <w:rPr>
                <w:rFonts w:cstheme="minorHAnsi"/>
              </w:rPr>
            </w:pPr>
            <w:r w:rsidRPr="007379B7">
              <w:rPr>
                <w:rFonts w:cstheme="minorHAnsi"/>
              </w:rPr>
              <w:t>0.03</w:t>
            </w:r>
          </w:p>
        </w:tc>
        <w:tc>
          <w:tcPr>
            <w:tcW w:w="0" w:type="auto"/>
          </w:tcPr>
          <w:p w14:paraId="2B27D37E" w14:textId="77777777" w:rsidR="003D1743" w:rsidRPr="007379B7" w:rsidRDefault="003D1743" w:rsidP="007379B7">
            <w:pPr>
              <w:pStyle w:val="NoSpacing"/>
              <w:rPr>
                <w:rFonts w:cstheme="minorHAnsi"/>
                <w:w w:val="95"/>
              </w:rPr>
            </w:pPr>
            <w:r w:rsidRPr="007379B7">
              <w:rPr>
                <w:rFonts w:cstheme="minorHAnsi"/>
                <w:w w:val="95"/>
              </w:rPr>
              <w:t>.00</w:t>
            </w:r>
          </w:p>
        </w:tc>
      </w:tr>
      <w:tr w:rsidR="003D1743" w:rsidRPr="007379B7" w14:paraId="5915C72E" w14:textId="77777777" w:rsidTr="001D16F2">
        <w:trPr>
          <w:trHeight w:val="229"/>
        </w:trPr>
        <w:tc>
          <w:tcPr>
            <w:tcW w:w="0" w:type="auto"/>
          </w:tcPr>
          <w:p w14:paraId="5EBB9243" w14:textId="77777777" w:rsidR="003D1743" w:rsidRPr="007379B7" w:rsidRDefault="003D1743" w:rsidP="007379B7">
            <w:pPr>
              <w:pStyle w:val="NoSpacing"/>
              <w:rPr>
                <w:rFonts w:cstheme="minorHAnsi"/>
              </w:rPr>
            </w:pPr>
            <w:r w:rsidRPr="007379B7">
              <w:rPr>
                <w:rFonts w:cstheme="minorHAnsi"/>
              </w:rPr>
              <w:lastRenderedPageBreak/>
              <w:t>Constant</w:t>
            </w:r>
          </w:p>
        </w:tc>
        <w:tc>
          <w:tcPr>
            <w:tcW w:w="0" w:type="auto"/>
          </w:tcPr>
          <w:p w14:paraId="5CE6F5D2" w14:textId="77777777" w:rsidR="003D1743" w:rsidRPr="007379B7" w:rsidRDefault="003D1743" w:rsidP="007379B7">
            <w:pPr>
              <w:pStyle w:val="NoSpacing"/>
              <w:rPr>
                <w:rFonts w:cstheme="minorHAnsi"/>
                <w:w w:val="95"/>
              </w:rPr>
            </w:pPr>
            <w:r w:rsidRPr="007379B7">
              <w:rPr>
                <w:rFonts w:cstheme="minorHAnsi"/>
                <w:w w:val="95"/>
              </w:rPr>
              <w:t>0.01</w:t>
            </w:r>
          </w:p>
        </w:tc>
        <w:tc>
          <w:tcPr>
            <w:tcW w:w="0" w:type="auto"/>
          </w:tcPr>
          <w:p w14:paraId="23715F32" w14:textId="77777777" w:rsidR="003D1743" w:rsidRPr="007379B7" w:rsidRDefault="003D1743" w:rsidP="007379B7">
            <w:pPr>
              <w:pStyle w:val="NoSpacing"/>
              <w:rPr>
                <w:rFonts w:cstheme="minorHAnsi"/>
              </w:rPr>
            </w:pPr>
            <w:r w:rsidRPr="007379B7">
              <w:rPr>
                <w:rFonts w:cstheme="minorHAnsi"/>
              </w:rPr>
              <w:t>0.03</w:t>
            </w:r>
          </w:p>
        </w:tc>
        <w:tc>
          <w:tcPr>
            <w:tcW w:w="0" w:type="auto"/>
          </w:tcPr>
          <w:p w14:paraId="4F5DB5D7" w14:textId="77777777" w:rsidR="003D1743" w:rsidRPr="007379B7" w:rsidRDefault="003D1743" w:rsidP="007379B7">
            <w:pPr>
              <w:pStyle w:val="NoSpacing"/>
              <w:rPr>
                <w:rFonts w:cstheme="minorHAnsi"/>
                <w:w w:val="95"/>
              </w:rPr>
            </w:pPr>
            <w:r w:rsidRPr="007379B7">
              <w:rPr>
                <w:rFonts w:cstheme="minorHAnsi"/>
                <w:w w:val="95"/>
              </w:rPr>
              <w:t>.83</w:t>
            </w:r>
          </w:p>
        </w:tc>
      </w:tr>
      <w:tr w:rsidR="003D1743" w:rsidRPr="007379B7" w14:paraId="493EEEBB" w14:textId="77777777" w:rsidTr="001D16F2">
        <w:trPr>
          <w:trHeight w:val="230"/>
        </w:trPr>
        <w:tc>
          <w:tcPr>
            <w:tcW w:w="0" w:type="auto"/>
          </w:tcPr>
          <w:p w14:paraId="338713E4" w14:textId="77777777" w:rsidR="003D1743" w:rsidRPr="007379B7" w:rsidRDefault="003D1743" w:rsidP="007379B7">
            <w:pPr>
              <w:pStyle w:val="NoSpacing"/>
              <w:rPr>
                <w:rFonts w:cstheme="minorHAnsi"/>
                <w:vertAlign w:val="superscript"/>
              </w:rPr>
            </w:pPr>
            <w:r w:rsidRPr="007379B7">
              <w:rPr>
                <w:rFonts w:cstheme="minorHAnsi"/>
                <w:i/>
                <w:iCs/>
                <w:position w:val="-5"/>
              </w:rPr>
              <w:t>R</w:t>
            </w:r>
            <w:r w:rsidRPr="007379B7">
              <w:rPr>
                <w:rFonts w:cstheme="minorHAnsi"/>
                <w:vertAlign w:val="superscript"/>
              </w:rPr>
              <w:t>2</w:t>
            </w:r>
          </w:p>
        </w:tc>
        <w:tc>
          <w:tcPr>
            <w:tcW w:w="0" w:type="auto"/>
          </w:tcPr>
          <w:p w14:paraId="6012E60C" w14:textId="77777777" w:rsidR="003D1743" w:rsidRPr="007379B7" w:rsidRDefault="003D1743" w:rsidP="007379B7">
            <w:pPr>
              <w:pStyle w:val="NoSpacing"/>
              <w:rPr>
                <w:rFonts w:cstheme="minorHAnsi"/>
              </w:rPr>
            </w:pPr>
          </w:p>
        </w:tc>
        <w:tc>
          <w:tcPr>
            <w:tcW w:w="0" w:type="auto"/>
          </w:tcPr>
          <w:p w14:paraId="50103A7E" w14:textId="77777777" w:rsidR="003D1743" w:rsidRPr="007379B7" w:rsidRDefault="003D1743" w:rsidP="007379B7">
            <w:pPr>
              <w:pStyle w:val="NoSpacing"/>
              <w:rPr>
                <w:rFonts w:cstheme="minorHAnsi"/>
              </w:rPr>
            </w:pPr>
            <w:r w:rsidRPr="007379B7">
              <w:rPr>
                <w:rFonts w:cstheme="minorHAnsi"/>
              </w:rPr>
              <w:t>.55</w:t>
            </w:r>
          </w:p>
        </w:tc>
        <w:tc>
          <w:tcPr>
            <w:tcW w:w="0" w:type="auto"/>
          </w:tcPr>
          <w:p w14:paraId="19A0CF57" w14:textId="77777777" w:rsidR="003D1743" w:rsidRPr="007379B7" w:rsidRDefault="003D1743" w:rsidP="007379B7">
            <w:pPr>
              <w:pStyle w:val="NoSpacing"/>
              <w:rPr>
                <w:rFonts w:cstheme="minorHAnsi"/>
              </w:rPr>
            </w:pPr>
          </w:p>
        </w:tc>
      </w:tr>
      <w:tr w:rsidR="003D1743" w:rsidRPr="007379B7" w14:paraId="5104F021" w14:textId="77777777" w:rsidTr="001D16F2">
        <w:trPr>
          <w:trHeight w:val="229"/>
        </w:trPr>
        <w:tc>
          <w:tcPr>
            <w:tcW w:w="0" w:type="auto"/>
          </w:tcPr>
          <w:p w14:paraId="0E5969A2" w14:textId="77777777" w:rsidR="003D1743" w:rsidRPr="007379B7" w:rsidRDefault="003D1743" w:rsidP="007379B7">
            <w:pPr>
              <w:pStyle w:val="NoSpacing"/>
              <w:rPr>
                <w:rFonts w:cstheme="minorHAnsi"/>
              </w:rPr>
            </w:pPr>
            <w:r w:rsidRPr="007379B7">
              <w:rPr>
                <w:rFonts w:cstheme="minorHAnsi"/>
              </w:rPr>
              <w:t>Log likelihood</w:t>
            </w:r>
          </w:p>
        </w:tc>
        <w:tc>
          <w:tcPr>
            <w:tcW w:w="0" w:type="auto"/>
          </w:tcPr>
          <w:p w14:paraId="17361C55" w14:textId="77777777" w:rsidR="003D1743" w:rsidRPr="007379B7" w:rsidRDefault="003D1743" w:rsidP="007379B7">
            <w:pPr>
              <w:pStyle w:val="NoSpacing"/>
              <w:rPr>
                <w:rFonts w:cstheme="minorHAnsi"/>
              </w:rPr>
            </w:pPr>
          </w:p>
        </w:tc>
        <w:tc>
          <w:tcPr>
            <w:tcW w:w="0" w:type="auto"/>
          </w:tcPr>
          <w:p w14:paraId="11E9B05D" w14:textId="77777777" w:rsidR="003D1743" w:rsidRPr="007379B7" w:rsidRDefault="003D1743" w:rsidP="007379B7">
            <w:pPr>
              <w:pStyle w:val="NoSpacing"/>
              <w:rPr>
                <w:rFonts w:cstheme="minorHAnsi"/>
              </w:rPr>
            </w:pPr>
            <w:r w:rsidRPr="007379B7">
              <w:rPr>
                <w:rFonts w:cstheme="minorHAnsi"/>
              </w:rPr>
              <w:t>−599.43</w:t>
            </w:r>
          </w:p>
        </w:tc>
        <w:tc>
          <w:tcPr>
            <w:tcW w:w="0" w:type="auto"/>
          </w:tcPr>
          <w:p w14:paraId="4D1F9E33" w14:textId="77777777" w:rsidR="003D1743" w:rsidRPr="007379B7" w:rsidRDefault="003D1743" w:rsidP="007379B7">
            <w:pPr>
              <w:pStyle w:val="NoSpacing"/>
              <w:rPr>
                <w:rFonts w:cstheme="minorHAnsi"/>
              </w:rPr>
            </w:pPr>
          </w:p>
        </w:tc>
      </w:tr>
      <w:tr w:rsidR="003D1743" w:rsidRPr="007379B7" w14:paraId="73337056" w14:textId="77777777" w:rsidTr="001D16F2">
        <w:trPr>
          <w:trHeight w:val="230"/>
        </w:trPr>
        <w:tc>
          <w:tcPr>
            <w:tcW w:w="0" w:type="auto"/>
          </w:tcPr>
          <w:p w14:paraId="457D0784" w14:textId="77777777" w:rsidR="003D1743" w:rsidRPr="007379B7" w:rsidRDefault="003D1743" w:rsidP="007379B7">
            <w:pPr>
              <w:pStyle w:val="NoSpacing"/>
              <w:rPr>
                <w:rFonts w:cstheme="minorHAnsi"/>
              </w:rPr>
            </w:pPr>
            <w:r w:rsidRPr="007379B7">
              <w:rPr>
                <w:rFonts w:cstheme="minorHAnsi"/>
              </w:rPr>
              <w:t>Akaike information criterion</w:t>
            </w:r>
          </w:p>
        </w:tc>
        <w:tc>
          <w:tcPr>
            <w:tcW w:w="0" w:type="auto"/>
          </w:tcPr>
          <w:p w14:paraId="68963183" w14:textId="77777777" w:rsidR="003D1743" w:rsidRPr="007379B7" w:rsidRDefault="003D1743" w:rsidP="007379B7">
            <w:pPr>
              <w:pStyle w:val="NoSpacing"/>
              <w:rPr>
                <w:rFonts w:cstheme="minorHAnsi"/>
              </w:rPr>
            </w:pPr>
          </w:p>
        </w:tc>
        <w:tc>
          <w:tcPr>
            <w:tcW w:w="0" w:type="auto"/>
          </w:tcPr>
          <w:p w14:paraId="64F65145" w14:textId="77777777" w:rsidR="003D1743" w:rsidRPr="007379B7" w:rsidRDefault="003D1743" w:rsidP="007379B7">
            <w:pPr>
              <w:pStyle w:val="NoSpacing"/>
              <w:rPr>
                <w:rFonts w:cstheme="minorHAnsi"/>
              </w:rPr>
            </w:pPr>
            <w:r w:rsidRPr="007379B7">
              <w:rPr>
                <w:rFonts w:cstheme="minorHAnsi"/>
              </w:rPr>
              <w:t>1,216.87</w:t>
            </w:r>
          </w:p>
        </w:tc>
        <w:tc>
          <w:tcPr>
            <w:tcW w:w="0" w:type="auto"/>
          </w:tcPr>
          <w:p w14:paraId="5898A65F" w14:textId="77777777" w:rsidR="003D1743" w:rsidRPr="007379B7" w:rsidRDefault="003D1743" w:rsidP="007379B7">
            <w:pPr>
              <w:pStyle w:val="NoSpacing"/>
              <w:rPr>
                <w:rFonts w:cstheme="minorHAnsi"/>
              </w:rPr>
            </w:pPr>
          </w:p>
        </w:tc>
      </w:tr>
      <w:tr w:rsidR="003D1743" w:rsidRPr="007379B7" w14:paraId="175065C4" w14:textId="77777777" w:rsidTr="001D16F2">
        <w:trPr>
          <w:trHeight w:val="230"/>
        </w:trPr>
        <w:tc>
          <w:tcPr>
            <w:tcW w:w="0" w:type="auto"/>
          </w:tcPr>
          <w:p w14:paraId="17698DAE" w14:textId="77777777" w:rsidR="003D1743" w:rsidRPr="007379B7" w:rsidRDefault="003D1743" w:rsidP="007379B7">
            <w:pPr>
              <w:pStyle w:val="NoSpacing"/>
              <w:rPr>
                <w:rFonts w:cstheme="minorHAnsi"/>
              </w:rPr>
            </w:pPr>
            <w:r w:rsidRPr="007379B7">
              <w:rPr>
                <w:rFonts w:cstheme="minorHAnsi"/>
              </w:rPr>
              <w:t>Schwarz criterion</w:t>
            </w:r>
          </w:p>
        </w:tc>
        <w:tc>
          <w:tcPr>
            <w:tcW w:w="0" w:type="auto"/>
          </w:tcPr>
          <w:p w14:paraId="476CF832" w14:textId="77777777" w:rsidR="003D1743" w:rsidRPr="007379B7" w:rsidRDefault="003D1743" w:rsidP="007379B7">
            <w:pPr>
              <w:pStyle w:val="NoSpacing"/>
              <w:rPr>
                <w:rFonts w:cstheme="minorHAnsi"/>
              </w:rPr>
            </w:pPr>
          </w:p>
        </w:tc>
        <w:tc>
          <w:tcPr>
            <w:tcW w:w="0" w:type="auto"/>
          </w:tcPr>
          <w:p w14:paraId="3A7A618B" w14:textId="77777777" w:rsidR="003D1743" w:rsidRPr="007379B7" w:rsidRDefault="003D1743" w:rsidP="007379B7">
            <w:pPr>
              <w:pStyle w:val="NoSpacing"/>
              <w:rPr>
                <w:rFonts w:cstheme="minorHAnsi"/>
              </w:rPr>
            </w:pPr>
            <w:r w:rsidRPr="007379B7">
              <w:rPr>
                <w:rFonts w:cstheme="minorHAnsi"/>
              </w:rPr>
              <w:t>1,256.01</w:t>
            </w:r>
          </w:p>
        </w:tc>
        <w:tc>
          <w:tcPr>
            <w:tcW w:w="0" w:type="auto"/>
          </w:tcPr>
          <w:p w14:paraId="03FCE100" w14:textId="77777777" w:rsidR="003D1743" w:rsidRPr="007379B7" w:rsidRDefault="003D1743" w:rsidP="007379B7">
            <w:pPr>
              <w:pStyle w:val="NoSpacing"/>
              <w:rPr>
                <w:rFonts w:cstheme="minorHAnsi"/>
              </w:rPr>
            </w:pPr>
          </w:p>
        </w:tc>
      </w:tr>
      <w:tr w:rsidR="003D1743" w:rsidRPr="007379B7" w14:paraId="04ACC6A1" w14:textId="77777777" w:rsidTr="001D16F2">
        <w:trPr>
          <w:trHeight w:val="230"/>
        </w:trPr>
        <w:tc>
          <w:tcPr>
            <w:tcW w:w="0" w:type="auto"/>
          </w:tcPr>
          <w:p w14:paraId="025CBC7D" w14:textId="77777777" w:rsidR="003D1743" w:rsidRPr="007379B7" w:rsidRDefault="003D1743" w:rsidP="007379B7">
            <w:pPr>
              <w:pStyle w:val="NoSpacing"/>
              <w:rPr>
                <w:rFonts w:cstheme="minorHAnsi"/>
              </w:rPr>
            </w:pPr>
            <w:r w:rsidRPr="007379B7">
              <w:rPr>
                <w:rFonts w:cstheme="minorHAnsi"/>
              </w:rPr>
              <w:t>Number of observations</w:t>
            </w:r>
          </w:p>
        </w:tc>
        <w:tc>
          <w:tcPr>
            <w:tcW w:w="0" w:type="auto"/>
          </w:tcPr>
          <w:p w14:paraId="3AB7C84C" w14:textId="77777777" w:rsidR="003D1743" w:rsidRPr="007379B7" w:rsidRDefault="003D1743" w:rsidP="007379B7">
            <w:pPr>
              <w:pStyle w:val="NoSpacing"/>
              <w:rPr>
                <w:rFonts w:cstheme="minorHAnsi"/>
              </w:rPr>
            </w:pPr>
          </w:p>
        </w:tc>
        <w:tc>
          <w:tcPr>
            <w:tcW w:w="0" w:type="auto"/>
          </w:tcPr>
          <w:p w14:paraId="378BF0FE" w14:textId="77777777" w:rsidR="003D1743" w:rsidRPr="007379B7" w:rsidRDefault="003D1743" w:rsidP="007379B7">
            <w:pPr>
              <w:pStyle w:val="NoSpacing"/>
              <w:rPr>
                <w:rFonts w:cstheme="minorHAnsi"/>
              </w:rPr>
            </w:pPr>
            <w:r w:rsidRPr="007379B7">
              <w:rPr>
                <w:rFonts w:cstheme="minorHAnsi"/>
              </w:rPr>
              <w:t>572</w:t>
            </w:r>
          </w:p>
        </w:tc>
        <w:tc>
          <w:tcPr>
            <w:tcW w:w="0" w:type="auto"/>
          </w:tcPr>
          <w:p w14:paraId="0EA9018A" w14:textId="77777777" w:rsidR="003D1743" w:rsidRPr="007379B7" w:rsidRDefault="003D1743" w:rsidP="007379B7">
            <w:pPr>
              <w:pStyle w:val="NoSpacing"/>
              <w:rPr>
                <w:rFonts w:cstheme="minorHAnsi"/>
              </w:rPr>
            </w:pPr>
          </w:p>
        </w:tc>
      </w:tr>
      <w:tr w:rsidR="003D1743" w:rsidRPr="007379B7" w14:paraId="7A08F26A" w14:textId="77777777" w:rsidTr="001D16F2">
        <w:trPr>
          <w:trHeight w:val="230"/>
        </w:trPr>
        <w:tc>
          <w:tcPr>
            <w:tcW w:w="0" w:type="auto"/>
          </w:tcPr>
          <w:p w14:paraId="734CCA81" w14:textId="77777777" w:rsidR="003D1743" w:rsidRPr="007379B7" w:rsidRDefault="003D1743" w:rsidP="007379B7">
            <w:pPr>
              <w:pStyle w:val="NoSpacing"/>
              <w:rPr>
                <w:rFonts w:cstheme="minorHAnsi"/>
              </w:rPr>
            </w:pPr>
            <w:r w:rsidRPr="007379B7">
              <w:rPr>
                <w:rFonts w:cstheme="minorHAnsi"/>
              </w:rPr>
              <w:t>Number of variables</w:t>
            </w:r>
          </w:p>
        </w:tc>
        <w:tc>
          <w:tcPr>
            <w:tcW w:w="0" w:type="auto"/>
          </w:tcPr>
          <w:p w14:paraId="6401A3A8" w14:textId="77777777" w:rsidR="003D1743" w:rsidRPr="007379B7" w:rsidRDefault="003D1743" w:rsidP="007379B7">
            <w:pPr>
              <w:pStyle w:val="NoSpacing"/>
              <w:rPr>
                <w:rFonts w:cstheme="minorHAnsi"/>
              </w:rPr>
            </w:pPr>
          </w:p>
        </w:tc>
        <w:tc>
          <w:tcPr>
            <w:tcW w:w="0" w:type="auto"/>
          </w:tcPr>
          <w:p w14:paraId="2DF05A58" w14:textId="77777777" w:rsidR="003D1743" w:rsidRPr="007379B7" w:rsidRDefault="003D1743" w:rsidP="007379B7">
            <w:pPr>
              <w:pStyle w:val="NoSpacing"/>
              <w:rPr>
                <w:rFonts w:cstheme="minorHAnsi"/>
                <w:w w:val="98"/>
              </w:rPr>
            </w:pPr>
            <w:r w:rsidRPr="007379B7">
              <w:rPr>
                <w:rFonts w:cstheme="minorHAnsi"/>
                <w:w w:val="98"/>
              </w:rPr>
              <w:t>9</w:t>
            </w:r>
          </w:p>
        </w:tc>
        <w:tc>
          <w:tcPr>
            <w:tcW w:w="0" w:type="auto"/>
          </w:tcPr>
          <w:p w14:paraId="78C6B489" w14:textId="77777777" w:rsidR="003D1743" w:rsidRPr="007379B7" w:rsidRDefault="003D1743" w:rsidP="007379B7">
            <w:pPr>
              <w:pStyle w:val="NoSpacing"/>
              <w:rPr>
                <w:rFonts w:cstheme="minorHAnsi"/>
              </w:rPr>
            </w:pPr>
          </w:p>
        </w:tc>
      </w:tr>
      <w:tr w:rsidR="003D1743" w:rsidRPr="007379B7" w14:paraId="5D6EE80C" w14:textId="77777777" w:rsidTr="001D16F2">
        <w:trPr>
          <w:trHeight w:val="230"/>
        </w:trPr>
        <w:tc>
          <w:tcPr>
            <w:tcW w:w="0" w:type="auto"/>
          </w:tcPr>
          <w:p w14:paraId="4448B615" w14:textId="77777777" w:rsidR="003D1743" w:rsidRPr="007379B7" w:rsidRDefault="003D1743" w:rsidP="007379B7">
            <w:pPr>
              <w:pStyle w:val="NoSpacing"/>
              <w:rPr>
                <w:rFonts w:cstheme="minorHAnsi"/>
              </w:rPr>
            </w:pPr>
            <w:r w:rsidRPr="007379B7">
              <w:rPr>
                <w:rFonts w:cstheme="minorHAnsi"/>
              </w:rPr>
              <w:t>Degrees of freedom</w:t>
            </w:r>
          </w:p>
        </w:tc>
        <w:tc>
          <w:tcPr>
            <w:tcW w:w="0" w:type="auto"/>
          </w:tcPr>
          <w:p w14:paraId="347E1AEC" w14:textId="77777777" w:rsidR="003D1743" w:rsidRPr="007379B7" w:rsidRDefault="003D1743" w:rsidP="007379B7">
            <w:pPr>
              <w:pStyle w:val="NoSpacing"/>
              <w:rPr>
                <w:rFonts w:cstheme="minorHAnsi"/>
              </w:rPr>
            </w:pPr>
          </w:p>
        </w:tc>
        <w:tc>
          <w:tcPr>
            <w:tcW w:w="0" w:type="auto"/>
          </w:tcPr>
          <w:p w14:paraId="64DB9AA9" w14:textId="77777777" w:rsidR="003D1743" w:rsidRPr="007379B7" w:rsidRDefault="003D1743" w:rsidP="007379B7">
            <w:pPr>
              <w:pStyle w:val="NoSpacing"/>
              <w:rPr>
                <w:rFonts w:cstheme="minorHAnsi"/>
              </w:rPr>
            </w:pPr>
            <w:r w:rsidRPr="007379B7">
              <w:rPr>
                <w:rFonts w:cstheme="minorHAnsi"/>
              </w:rPr>
              <w:t>563</w:t>
            </w:r>
          </w:p>
        </w:tc>
        <w:tc>
          <w:tcPr>
            <w:tcW w:w="0" w:type="auto"/>
          </w:tcPr>
          <w:p w14:paraId="57C937CF" w14:textId="77777777" w:rsidR="003D1743" w:rsidRPr="007379B7" w:rsidRDefault="003D1743" w:rsidP="007379B7">
            <w:pPr>
              <w:pStyle w:val="NoSpacing"/>
              <w:rPr>
                <w:rFonts w:cstheme="minorHAnsi"/>
              </w:rPr>
            </w:pPr>
          </w:p>
        </w:tc>
      </w:tr>
      <w:tr w:rsidR="003D1743" w:rsidRPr="007379B7" w14:paraId="680C8010" w14:textId="77777777" w:rsidTr="001D16F2">
        <w:trPr>
          <w:trHeight w:val="219"/>
        </w:trPr>
        <w:tc>
          <w:tcPr>
            <w:tcW w:w="0" w:type="auto"/>
          </w:tcPr>
          <w:p w14:paraId="02C90B20" w14:textId="77777777" w:rsidR="003D1743" w:rsidRPr="007379B7" w:rsidRDefault="003D1743" w:rsidP="007379B7">
            <w:pPr>
              <w:pStyle w:val="NoSpacing"/>
              <w:rPr>
                <w:rFonts w:cstheme="minorHAnsi"/>
              </w:rPr>
            </w:pPr>
            <w:r w:rsidRPr="007379B7">
              <w:rPr>
                <w:rFonts w:cstheme="minorHAnsi"/>
              </w:rPr>
              <w:t>Multicollinearity condition number</w:t>
            </w:r>
          </w:p>
        </w:tc>
        <w:tc>
          <w:tcPr>
            <w:tcW w:w="0" w:type="auto"/>
          </w:tcPr>
          <w:p w14:paraId="75BC7A47" w14:textId="77777777" w:rsidR="003D1743" w:rsidRPr="007379B7" w:rsidRDefault="003D1743" w:rsidP="007379B7">
            <w:pPr>
              <w:pStyle w:val="NoSpacing"/>
              <w:rPr>
                <w:rFonts w:cstheme="minorHAnsi"/>
              </w:rPr>
            </w:pPr>
          </w:p>
        </w:tc>
        <w:tc>
          <w:tcPr>
            <w:tcW w:w="0" w:type="auto"/>
          </w:tcPr>
          <w:p w14:paraId="5AABE3B7" w14:textId="77777777" w:rsidR="003D1743" w:rsidRPr="007379B7" w:rsidRDefault="003D1743" w:rsidP="007379B7">
            <w:pPr>
              <w:pStyle w:val="NoSpacing"/>
              <w:rPr>
                <w:rFonts w:cstheme="minorHAnsi"/>
              </w:rPr>
            </w:pPr>
            <w:r w:rsidRPr="007379B7">
              <w:rPr>
                <w:rFonts w:cstheme="minorHAnsi"/>
              </w:rPr>
              <w:t>3.00</w:t>
            </w:r>
          </w:p>
        </w:tc>
        <w:tc>
          <w:tcPr>
            <w:tcW w:w="0" w:type="auto"/>
          </w:tcPr>
          <w:p w14:paraId="0F4BBFDF" w14:textId="77777777" w:rsidR="003D1743" w:rsidRPr="007379B7" w:rsidRDefault="003D1743" w:rsidP="007379B7">
            <w:pPr>
              <w:pStyle w:val="NoSpacing"/>
              <w:rPr>
                <w:rFonts w:cstheme="minorHAnsi"/>
              </w:rPr>
            </w:pPr>
          </w:p>
        </w:tc>
      </w:tr>
      <w:tr w:rsidR="003D1743" w:rsidRPr="007379B7" w14:paraId="4066AA81" w14:textId="77777777" w:rsidTr="001D16F2">
        <w:trPr>
          <w:trHeight w:val="240"/>
        </w:trPr>
        <w:tc>
          <w:tcPr>
            <w:tcW w:w="0" w:type="auto"/>
          </w:tcPr>
          <w:p w14:paraId="4299CC8A" w14:textId="77777777" w:rsidR="003D1743" w:rsidRPr="007379B7" w:rsidRDefault="003D1743" w:rsidP="007379B7">
            <w:pPr>
              <w:pStyle w:val="NoSpacing"/>
              <w:rPr>
                <w:rFonts w:cstheme="minorHAnsi"/>
              </w:rPr>
            </w:pPr>
            <w:r w:rsidRPr="007379B7">
              <w:rPr>
                <w:rFonts w:cstheme="minorHAnsi"/>
              </w:rPr>
              <w:t>Model 6: Premixed availability</w:t>
            </w:r>
          </w:p>
        </w:tc>
        <w:tc>
          <w:tcPr>
            <w:tcW w:w="0" w:type="auto"/>
          </w:tcPr>
          <w:p w14:paraId="2148A519" w14:textId="77777777" w:rsidR="003D1743" w:rsidRPr="007379B7" w:rsidRDefault="003D1743" w:rsidP="007379B7">
            <w:pPr>
              <w:pStyle w:val="NoSpacing"/>
              <w:rPr>
                <w:rFonts w:cstheme="minorHAnsi"/>
              </w:rPr>
            </w:pPr>
          </w:p>
        </w:tc>
        <w:tc>
          <w:tcPr>
            <w:tcW w:w="0" w:type="auto"/>
          </w:tcPr>
          <w:p w14:paraId="7AF27730" w14:textId="77777777" w:rsidR="003D1743" w:rsidRPr="007379B7" w:rsidRDefault="003D1743" w:rsidP="007379B7">
            <w:pPr>
              <w:pStyle w:val="NoSpacing"/>
              <w:rPr>
                <w:rFonts w:cstheme="minorHAnsi"/>
              </w:rPr>
            </w:pPr>
          </w:p>
        </w:tc>
        <w:tc>
          <w:tcPr>
            <w:tcW w:w="0" w:type="auto"/>
          </w:tcPr>
          <w:p w14:paraId="42D354BD" w14:textId="77777777" w:rsidR="003D1743" w:rsidRPr="007379B7" w:rsidRDefault="003D1743" w:rsidP="007379B7">
            <w:pPr>
              <w:pStyle w:val="NoSpacing"/>
              <w:rPr>
                <w:rFonts w:cstheme="minorHAnsi"/>
              </w:rPr>
            </w:pPr>
          </w:p>
        </w:tc>
      </w:tr>
      <w:tr w:rsidR="003D1743" w:rsidRPr="007379B7" w14:paraId="3D1672FD" w14:textId="77777777" w:rsidTr="001D16F2">
        <w:trPr>
          <w:trHeight w:val="230"/>
        </w:trPr>
        <w:tc>
          <w:tcPr>
            <w:tcW w:w="0" w:type="auto"/>
          </w:tcPr>
          <w:p w14:paraId="3DA7FA85" w14:textId="77777777" w:rsidR="003D1743" w:rsidRPr="007379B7" w:rsidRDefault="003D1743" w:rsidP="007379B7">
            <w:pPr>
              <w:pStyle w:val="NoSpacing"/>
              <w:rPr>
                <w:rFonts w:cstheme="minorHAnsi"/>
              </w:rPr>
            </w:pPr>
            <w:r w:rsidRPr="007379B7">
              <w:rPr>
                <w:rFonts w:cstheme="minorHAnsi"/>
              </w:rPr>
              <w:t>Ethnic heterogeneity</w:t>
            </w:r>
          </w:p>
        </w:tc>
        <w:tc>
          <w:tcPr>
            <w:tcW w:w="0" w:type="auto"/>
          </w:tcPr>
          <w:p w14:paraId="70428A1E" w14:textId="77777777" w:rsidR="003D1743" w:rsidRPr="007379B7" w:rsidRDefault="003D1743" w:rsidP="007379B7">
            <w:pPr>
              <w:pStyle w:val="NoSpacing"/>
              <w:rPr>
                <w:rFonts w:cstheme="minorHAnsi"/>
              </w:rPr>
            </w:pPr>
            <w:r w:rsidRPr="007379B7">
              <w:rPr>
                <w:rFonts w:cstheme="minorHAnsi"/>
              </w:rPr>
              <w:t>−0.02</w:t>
            </w:r>
          </w:p>
        </w:tc>
        <w:tc>
          <w:tcPr>
            <w:tcW w:w="0" w:type="auto"/>
          </w:tcPr>
          <w:p w14:paraId="43B99DE1" w14:textId="77777777" w:rsidR="003D1743" w:rsidRPr="007379B7" w:rsidRDefault="003D1743" w:rsidP="007379B7">
            <w:pPr>
              <w:pStyle w:val="NoSpacing"/>
              <w:rPr>
                <w:rFonts w:cstheme="minorHAnsi"/>
              </w:rPr>
            </w:pPr>
            <w:r w:rsidRPr="007379B7">
              <w:rPr>
                <w:rFonts w:cstheme="minorHAnsi"/>
              </w:rPr>
              <w:t>0.03</w:t>
            </w:r>
          </w:p>
        </w:tc>
        <w:tc>
          <w:tcPr>
            <w:tcW w:w="0" w:type="auto"/>
          </w:tcPr>
          <w:p w14:paraId="42EA99AE" w14:textId="77777777" w:rsidR="003D1743" w:rsidRPr="007379B7" w:rsidRDefault="003D1743" w:rsidP="007379B7">
            <w:pPr>
              <w:pStyle w:val="NoSpacing"/>
              <w:rPr>
                <w:rFonts w:cstheme="minorHAnsi"/>
                <w:w w:val="95"/>
              </w:rPr>
            </w:pPr>
            <w:r w:rsidRPr="007379B7">
              <w:rPr>
                <w:rFonts w:cstheme="minorHAnsi"/>
                <w:w w:val="95"/>
              </w:rPr>
              <w:t>.56</w:t>
            </w:r>
          </w:p>
        </w:tc>
      </w:tr>
      <w:tr w:rsidR="003D1743" w:rsidRPr="007379B7" w14:paraId="4C3F5ED8" w14:textId="77777777" w:rsidTr="001D16F2">
        <w:trPr>
          <w:trHeight w:val="240"/>
        </w:trPr>
        <w:tc>
          <w:tcPr>
            <w:tcW w:w="0" w:type="auto"/>
          </w:tcPr>
          <w:p w14:paraId="21463864" w14:textId="77777777" w:rsidR="003D1743" w:rsidRPr="007379B7" w:rsidRDefault="003D1743" w:rsidP="007379B7">
            <w:pPr>
              <w:pStyle w:val="NoSpacing"/>
              <w:rPr>
                <w:rFonts w:cstheme="minorHAnsi"/>
              </w:rPr>
            </w:pPr>
            <w:r w:rsidRPr="007379B7">
              <w:rPr>
                <w:rFonts w:cstheme="minorHAnsi"/>
              </w:rPr>
              <w:t>Concentrated disadvantage</w:t>
            </w:r>
          </w:p>
        </w:tc>
        <w:tc>
          <w:tcPr>
            <w:tcW w:w="0" w:type="auto"/>
          </w:tcPr>
          <w:p w14:paraId="1DEE1E0F" w14:textId="77777777" w:rsidR="003D1743" w:rsidRPr="007379B7" w:rsidRDefault="003D1743" w:rsidP="007379B7">
            <w:pPr>
              <w:pStyle w:val="NoSpacing"/>
              <w:rPr>
                <w:rFonts w:cstheme="minorHAnsi"/>
                <w:w w:val="95"/>
              </w:rPr>
            </w:pPr>
            <w:r w:rsidRPr="007379B7">
              <w:rPr>
                <w:rFonts w:cstheme="minorHAnsi"/>
                <w:w w:val="95"/>
              </w:rPr>
              <w:t>0.10</w:t>
            </w:r>
          </w:p>
        </w:tc>
        <w:tc>
          <w:tcPr>
            <w:tcW w:w="0" w:type="auto"/>
          </w:tcPr>
          <w:p w14:paraId="5303F519" w14:textId="77777777" w:rsidR="003D1743" w:rsidRPr="007379B7" w:rsidRDefault="003D1743" w:rsidP="007379B7">
            <w:pPr>
              <w:pStyle w:val="NoSpacing"/>
              <w:rPr>
                <w:rFonts w:cstheme="minorHAnsi"/>
              </w:rPr>
            </w:pPr>
            <w:r w:rsidRPr="007379B7">
              <w:rPr>
                <w:rFonts w:cstheme="minorHAnsi"/>
              </w:rPr>
              <w:t>0.04</w:t>
            </w:r>
          </w:p>
        </w:tc>
        <w:tc>
          <w:tcPr>
            <w:tcW w:w="0" w:type="auto"/>
          </w:tcPr>
          <w:p w14:paraId="59DE9D24" w14:textId="77777777" w:rsidR="003D1743" w:rsidRPr="007379B7" w:rsidRDefault="003D1743" w:rsidP="007379B7">
            <w:pPr>
              <w:pStyle w:val="NoSpacing"/>
              <w:rPr>
                <w:rFonts w:cstheme="minorHAnsi"/>
                <w:w w:val="95"/>
              </w:rPr>
            </w:pPr>
            <w:r w:rsidRPr="007379B7">
              <w:rPr>
                <w:rFonts w:cstheme="minorHAnsi"/>
                <w:w w:val="95"/>
              </w:rPr>
              <w:t>.01</w:t>
            </w:r>
          </w:p>
        </w:tc>
      </w:tr>
      <w:tr w:rsidR="003D1743" w:rsidRPr="007379B7" w14:paraId="03BDD6C1" w14:textId="77777777" w:rsidTr="001D16F2">
        <w:trPr>
          <w:trHeight w:val="299"/>
        </w:trPr>
        <w:tc>
          <w:tcPr>
            <w:tcW w:w="0" w:type="auto"/>
          </w:tcPr>
          <w:p w14:paraId="36266C78" w14:textId="77777777" w:rsidR="003D1743" w:rsidRPr="007379B7" w:rsidRDefault="003D1743" w:rsidP="007379B7">
            <w:pPr>
              <w:pStyle w:val="NoSpacing"/>
              <w:rPr>
                <w:rFonts w:cstheme="minorHAnsi"/>
              </w:rPr>
            </w:pPr>
            <w:r w:rsidRPr="007379B7">
              <w:rPr>
                <w:rFonts w:cstheme="minorHAnsi"/>
              </w:rPr>
              <w:t>Concentrated immigration</w:t>
            </w:r>
          </w:p>
        </w:tc>
        <w:tc>
          <w:tcPr>
            <w:tcW w:w="0" w:type="auto"/>
          </w:tcPr>
          <w:p w14:paraId="7B1C15ED" w14:textId="77777777" w:rsidR="003D1743" w:rsidRPr="007379B7" w:rsidRDefault="003D1743" w:rsidP="007379B7">
            <w:pPr>
              <w:pStyle w:val="NoSpacing"/>
              <w:rPr>
                <w:rFonts w:cstheme="minorHAnsi"/>
                <w:w w:val="95"/>
              </w:rPr>
            </w:pPr>
            <w:r w:rsidRPr="007379B7">
              <w:rPr>
                <w:rFonts w:cstheme="minorHAnsi"/>
                <w:w w:val="95"/>
              </w:rPr>
              <w:t>0.13</w:t>
            </w:r>
          </w:p>
        </w:tc>
        <w:tc>
          <w:tcPr>
            <w:tcW w:w="0" w:type="auto"/>
          </w:tcPr>
          <w:p w14:paraId="7F82193C" w14:textId="77777777" w:rsidR="003D1743" w:rsidRPr="007379B7" w:rsidRDefault="003D1743" w:rsidP="007379B7">
            <w:pPr>
              <w:pStyle w:val="NoSpacing"/>
              <w:rPr>
                <w:rFonts w:cstheme="minorHAnsi"/>
              </w:rPr>
            </w:pPr>
            <w:r w:rsidRPr="007379B7">
              <w:rPr>
                <w:rFonts w:cstheme="minorHAnsi"/>
              </w:rPr>
              <w:t>0.04</w:t>
            </w:r>
          </w:p>
        </w:tc>
        <w:tc>
          <w:tcPr>
            <w:tcW w:w="0" w:type="auto"/>
          </w:tcPr>
          <w:p w14:paraId="3D0F019E" w14:textId="6E79CAA3" w:rsidR="00C73423" w:rsidRPr="007379B7" w:rsidRDefault="003D1743" w:rsidP="007379B7">
            <w:pPr>
              <w:pStyle w:val="NoSpacing"/>
              <w:rPr>
                <w:rFonts w:cstheme="minorHAnsi"/>
                <w:w w:val="95"/>
              </w:rPr>
            </w:pPr>
            <w:r w:rsidRPr="007379B7">
              <w:rPr>
                <w:rFonts w:cstheme="minorHAnsi"/>
                <w:w w:val="95"/>
              </w:rPr>
              <w:t>.00</w:t>
            </w:r>
          </w:p>
        </w:tc>
      </w:tr>
      <w:tr w:rsidR="00DB41A5" w:rsidRPr="007379B7" w14:paraId="2E4695F0" w14:textId="77777777" w:rsidTr="001D16F2">
        <w:trPr>
          <w:trHeight w:val="299"/>
        </w:trPr>
        <w:tc>
          <w:tcPr>
            <w:tcW w:w="0" w:type="auto"/>
          </w:tcPr>
          <w:p w14:paraId="7E28FF51" w14:textId="18B7EFF9" w:rsidR="00DB41A5" w:rsidRPr="007379B7" w:rsidRDefault="00DB41A5" w:rsidP="007379B7">
            <w:pPr>
              <w:pStyle w:val="NoSpacing"/>
              <w:rPr>
                <w:rFonts w:cstheme="minorHAnsi"/>
              </w:rPr>
            </w:pPr>
            <w:r w:rsidRPr="007379B7">
              <w:rPr>
                <w:rFonts w:cstheme="minorHAnsi"/>
              </w:rPr>
              <w:t>Residential stability</w:t>
            </w:r>
          </w:p>
        </w:tc>
        <w:tc>
          <w:tcPr>
            <w:tcW w:w="0" w:type="auto"/>
          </w:tcPr>
          <w:p w14:paraId="05D7C954" w14:textId="637DF294" w:rsidR="00DB41A5" w:rsidRPr="007379B7" w:rsidRDefault="00DB41A5" w:rsidP="007379B7">
            <w:pPr>
              <w:pStyle w:val="NoSpacing"/>
              <w:rPr>
                <w:rFonts w:cstheme="minorHAnsi"/>
                <w:w w:val="95"/>
              </w:rPr>
            </w:pPr>
            <w:r w:rsidRPr="007379B7">
              <w:rPr>
                <w:rFonts w:cstheme="minorHAnsi"/>
                <w:w w:val="85"/>
              </w:rPr>
              <w:t>−0.08</w:t>
            </w:r>
          </w:p>
        </w:tc>
        <w:tc>
          <w:tcPr>
            <w:tcW w:w="0" w:type="auto"/>
          </w:tcPr>
          <w:p w14:paraId="42535B94" w14:textId="71D010C6" w:rsidR="00DB41A5" w:rsidRPr="007379B7" w:rsidRDefault="00DB41A5" w:rsidP="007379B7">
            <w:pPr>
              <w:pStyle w:val="NoSpacing"/>
              <w:rPr>
                <w:rFonts w:cstheme="minorHAnsi"/>
              </w:rPr>
            </w:pPr>
            <w:r w:rsidRPr="007379B7">
              <w:rPr>
                <w:rFonts w:cstheme="minorHAnsi"/>
                <w:w w:val="85"/>
              </w:rPr>
              <w:t>0.03</w:t>
            </w:r>
          </w:p>
        </w:tc>
        <w:tc>
          <w:tcPr>
            <w:tcW w:w="0" w:type="auto"/>
          </w:tcPr>
          <w:p w14:paraId="12ED2239" w14:textId="5620632E" w:rsidR="00DB41A5" w:rsidRPr="007379B7" w:rsidRDefault="00DB41A5" w:rsidP="007379B7">
            <w:pPr>
              <w:pStyle w:val="NoSpacing"/>
              <w:rPr>
                <w:rFonts w:cstheme="minorHAnsi"/>
                <w:w w:val="95"/>
              </w:rPr>
            </w:pPr>
            <w:r w:rsidRPr="007379B7">
              <w:rPr>
                <w:rFonts w:cstheme="minorHAnsi"/>
                <w:w w:val="85"/>
              </w:rPr>
              <w:t>.01</w:t>
            </w:r>
          </w:p>
        </w:tc>
      </w:tr>
      <w:tr w:rsidR="00DB41A5" w:rsidRPr="007379B7" w14:paraId="02473B59" w14:textId="77777777" w:rsidTr="001D16F2">
        <w:trPr>
          <w:trHeight w:val="299"/>
        </w:trPr>
        <w:tc>
          <w:tcPr>
            <w:tcW w:w="0" w:type="auto"/>
          </w:tcPr>
          <w:p w14:paraId="2CAF9B69" w14:textId="3389C13D" w:rsidR="00DB41A5" w:rsidRPr="007379B7" w:rsidRDefault="00DB41A5" w:rsidP="007379B7">
            <w:pPr>
              <w:pStyle w:val="NoSpacing"/>
              <w:rPr>
                <w:rFonts w:cstheme="minorHAnsi"/>
              </w:rPr>
            </w:pPr>
            <w:r w:rsidRPr="007379B7">
              <w:rPr>
                <w:rFonts w:cstheme="minorHAnsi"/>
              </w:rPr>
              <w:t>Population density</w:t>
            </w:r>
          </w:p>
        </w:tc>
        <w:tc>
          <w:tcPr>
            <w:tcW w:w="0" w:type="auto"/>
          </w:tcPr>
          <w:p w14:paraId="67E9CFDA" w14:textId="46C71FB8" w:rsidR="00DB41A5" w:rsidRPr="007379B7" w:rsidRDefault="00DB41A5" w:rsidP="007379B7">
            <w:pPr>
              <w:pStyle w:val="NoSpacing"/>
              <w:rPr>
                <w:rFonts w:cstheme="minorHAnsi"/>
                <w:w w:val="95"/>
              </w:rPr>
            </w:pPr>
            <w:r w:rsidRPr="007379B7">
              <w:rPr>
                <w:rFonts w:cstheme="minorHAnsi"/>
                <w:w w:val="85"/>
              </w:rPr>
              <w:t>0.26</w:t>
            </w:r>
          </w:p>
        </w:tc>
        <w:tc>
          <w:tcPr>
            <w:tcW w:w="0" w:type="auto"/>
          </w:tcPr>
          <w:p w14:paraId="0FD7CDB1" w14:textId="6018B886" w:rsidR="00DB41A5" w:rsidRPr="007379B7" w:rsidRDefault="00DB41A5" w:rsidP="007379B7">
            <w:pPr>
              <w:pStyle w:val="NoSpacing"/>
              <w:rPr>
                <w:rFonts w:cstheme="minorHAnsi"/>
              </w:rPr>
            </w:pPr>
            <w:r w:rsidRPr="007379B7">
              <w:rPr>
                <w:rFonts w:cstheme="minorHAnsi"/>
                <w:w w:val="85"/>
              </w:rPr>
              <w:t>0.03</w:t>
            </w:r>
          </w:p>
        </w:tc>
        <w:tc>
          <w:tcPr>
            <w:tcW w:w="0" w:type="auto"/>
          </w:tcPr>
          <w:p w14:paraId="64FABD90" w14:textId="2F6BCEFD" w:rsidR="00DB41A5" w:rsidRPr="007379B7" w:rsidRDefault="00DB41A5" w:rsidP="007379B7">
            <w:pPr>
              <w:pStyle w:val="NoSpacing"/>
              <w:rPr>
                <w:rFonts w:cstheme="minorHAnsi"/>
                <w:w w:val="95"/>
              </w:rPr>
            </w:pPr>
            <w:r w:rsidRPr="007379B7">
              <w:rPr>
                <w:rFonts w:cstheme="minorHAnsi"/>
                <w:w w:val="85"/>
              </w:rPr>
              <w:t>.00</w:t>
            </w:r>
          </w:p>
        </w:tc>
      </w:tr>
      <w:tr w:rsidR="00DB41A5" w:rsidRPr="007379B7" w14:paraId="27D18B48" w14:textId="77777777" w:rsidTr="001D16F2">
        <w:trPr>
          <w:trHeight w:val="299"/>
        </w:trPr>
        <w:tc>
          <w:tcPr>
            <w:tcW w:w="0" w:type="auto"/>
          </w:tcPr>
          <w:p w14:paraId="222B4FC3" w14:textId="55F07F60" w:rsidR="00DB41A5" w:rsidRPr="007379B7" w:rsidRDefault="00DB41A5" w:rsidP="007379B7">
            <w:pPr>
              <w:pStyle w:val="NoSpacing"/>
              <w:rPr>
                <w:rFonts w:cstheme="minorHAnsi"/>
              </w:rPr>
            </w:pPr>
            <w:r w:rsidRPr="007379B7">
              <w:rPr>
                <w:rFonts w:cstheme="minorHAnsi"/>
              </w:rPr>
              <w:t>Proportion Black</w:t>
            </w:r>
          </w:p>
        </w:tc>
        <w:tc>
          <w:tcPr>
            <w:tcW w:w="0" w:type="auto"/>
          </w:tcPr>
          <w:p w14:paraId="729FBB09" w14:textId="065359F3" w:rsidR="00DB41A5" w:rsidRPr="007379B7" w:rsidRDefault="00DB41A5" w:rsidP="007379B7">
            <w:pPr>
              <w:pStyle w:val="NoSpacing"/>
              <w:rPr>
                <w:rFonts w:cstheme="minorHAnsi"/>
                <w:w w:val="95"/>
              </w:rPr>
            </w:pPr>
            <w:r w:rsidRPr="007379B7">
              <w:rPr>
                <w:rFonts w:cstheme="minorHAnsi"/>
                <w:w w:val="85"/>
              </w:rPr>
              <w:t>0.11</w:t>
            </w:r>
          </w:p>
        </w:tc>
        <w:tc>
          <w:tcPr>
            <w:tcW w:w="0" w:type="auto"/>
          </w:tcPr>
          <w:p w14:paraId="74D7483F" w14:textId="46AE6B1C" w:rsidR="00DB41A5" w:rsidRPr="007379B7" w:rsidRDefault="00DB41A5" w:rsidP="007379B7">
            <w:pPr>
              <w:pStyle w:val="NoSpacing"/>
              <w:rPr>
                <w:rFonts w:cstheme="minorHAnsi"/>
              </w:rPr>
            </w:pPr>
            <w:r w:rsidRPr="007379B7">
              <w:rPr>
                <w:rFonts w:cstheme="minorHAnsi"/>
                <w:w w:val="85"/>
              </w:rPr>
              <w:t>0.04</w:t>
            </w:r>
          </w:p>
        </w:tc>
        <w:tc>
          <w:tcPr>
            <w:tcW w:w="0" w:type="auto"/>
          </w:tcPr>
          <w:p w14:paraId="01FB7C05" w14:textId="2C4FF4FA" w:rsidR="00DB41A5" w:rsidRPr="007379B7" w:rsidRDefault="00DB41A5" w:rsidP="007379B7">
            <w:pPr>
              <w:pStyle w:val="NoSpacing"/>
              <w:rPr>
                <w:rFonts w:cstheme="minorHAnsi"/>
                <w:w w:val="95"/>
              </w:rPr>
            </w:pPr>
            <w:r w:rsidRPr="007379B7">
              <w:rPr>
                <w:rFonts w:cstheme="minorHAnsi"/>
                <w:w w:val="85"/>
              </w:rPr>
              <w:t>.01</w:t>
            </w:r>
          </w:p>
        </w:tc>
      </w:tr>
      <w:tr w:rsidR="00DB41A5" w:rsidRPr="007379B7" w14:paraId="13A32FC2" w14:textId="77777777" w:rsidTr="001D16F2">
        <w:trPr>
          <w:trHeight w:val="299"/>
        </w:trPr>
        <w:tc>
          <w:tcPr>
            <w:tcW w:w="0" w:type="auto"/>
          </w:tcPr>
          <w:p w14:paraId="5831E0B8" w14:textId="1275F290" w:rsidR="00DB41A5" w:rsidRPr="007379B7" w:rsidRDefault="00DB41A5" w:rsidP="007379B7">
            <w:pPr>
              <w:pStyle w:val="NoSpacing"/>
              <w:rPr>
                <w:rFonts w:cstheme="minorHAnsi"/>
              </w:rPr>
            </w:pPr>
            <w:r w:rsidRPr="007379B7">
              <w:rPr>
                <w:rFonts w:cstheme="minorHAnsi"/>
              </w:rPr>
              <w:t>Rho robbery density</w:t>
            </w:r>
          </w:p>
        </w:tc>
        <w:tc>
          <w:tcPr>
            <w:tcW w:w="0" w:type="auto"/>
          </w:tcPr>
          <w:p w14:paraId="0C86C591" w14:textId="51E74CB0" w:rsidR="00DB41A5" w:rsidRPr="007379B7" w:rsidRDefault="00DB41A5" w:rsidP="007379B7">
            <w:pPr>
              <w:pStyle w:val="NoSpacing"/>
              <w:rPr>
                <w:rFonts w:cstheme="minorHAnsi"/>
                <w:w w:val="95"/>
              </w:rPr>
            </w:pPr>
            <w:r w:rsidRPr="007379B7">
              <w:rPr>
                <w:rFonts w:cstheme="minorHAnsi"/>
                <w:w w:val="85"/>
              </w:rPr>
              <w:t>0.44</w:t>
            </w:r>
          </w:p>
        </w:tc>
        <w:tc>
          <w:tcPr>
            <w:tcW w:w="0" w:type="auto"/>
          </w:tcPr>
          <w:p w14:paraId="29561389" w14:textId="3175D5A1" w:rsidR="00DB41A5" w:rsidRPr="007379B7" w:rsidRDefault="00DB41A5" w:rsidP="007379B7">
            <w:pPr>
              <w:pStyle w:val="NoSpacing"/>
              <w:rPr>
                <w:rFonts w:cstheme="minorHAnsi"/>
              </w:rPr>
            </w:pPr>
            <w:r w:rsidRPr="007379B7">
              <w:rPr>
                <w:rFonts w:cstheme="minorHAnsi"/>
                <w:w w:val="85"/>
              </w:rPr>
              <w:t>0.05</w:t>
            </w:r>
          </w:p>
        </w:tc>
        <w:tc>
          <w:tcPr>
            <w:tcW w:w="0" w:type="auto"/>
          </w:tcPr>
          <w:p w14:paraId="663829A9" w14:textId="1091453A" w:rsidR="00DB41A5" w:rsidRPr="007379B7" w:rsidRDefault="00DB41A5" w:rsidP="007379B7">
            <w:pPr>
              <w:pStyle w:val="NoSpacing"/>
              <w:rPr>
                <w:rFonts w:cstheme="minorHAnsi"/>
                <w:w w:val="95"/>
              </w:rPr>
            </w:pPr>
            <w:r w:rsidRPr="007379B7">
              <w:rPr>
                <w:rFonts w:cstheme="minorHAnsi"/>
                <w:w w:val="85"/>
              </w:rPr>
              <w:t>.00</w:t>
            </w:r>
          </w:p>
        </w:tc>
      </w:tr>
      <w:tr w:rsidR="00DB41A5" w:rsidRPr="007379B7" w14:paraId="17CF9FA5" w14:textId="77777777" w:rsidTr="001D16F2">
        <w:trPr>
          <w:trHeight w:val="299"/>
        </w:trPr>
        <w:tc>
          <w:tcPr>
            <w:tcW w:w="0" w:type="auto"/>
          </w:tcPr>
          <w:p w14:paraId="49294994" w14:textId="30197D57" w:rsidR="00DB41A5" w:rsidRPr="007379B7" w:rsidRDefault="00DB41A5" w:rsidP="007379B7">
            <w:pPr>
              <w:pStyle w:val="NoSpacing"/>
              <w:rPr>
                <w:rFonts w:cstheme="minorHAnsi"/>
              </w:rPr>
            </w:pPr>
            <w:r w:rsidRPr="007379B7">
              <w:rPr>
                <w:rFonts w:cstheme="minorHAnsi"/>
              </w:rPr>
              <w:t>Premixed density</w:t>
            </w:r>
          </w:p>
        </w:tc>
        <w:tc>
          <w:tcPr>
            <w:tcW w:w="0" w:type="auto"/>
          </w:tcPr>
          <w:p w14:paraId="4FF89D3D" w14:textId="5CEA4014" w:rsidR="00DB41A5" w:rsidRPr="007379B7" w:rsidRDefault="00DB41A5" w:rsidP="007379B7">
            <w:pPr>
              <w:pStyle w:val="NoSpacing"/>
              <w:rPr>
                <w:rFonts w:cstheme="minorHAnsi"/>
                <w:w w:val="95"/>
              </w:rPr>
            </w:pPr>
            <w:r w:rsidRPr="007379B7">
              <w:rPr>
                <w:rFonts w:cstheme="minorHAnsi"/>
                <w:w w:val="85"/>
              </w:rPr>
              <w:t>0.20</w:t>
            </w:r>
          </w:p>
        </w:tc>
        <w:tc>
          <w:tcPr>
            <w:tcW w:w="0" w:type="auto"/>
          </w:tcPr>
          <w:p w14:paraId="0FB50B46" w14:textId="21A9386D" w:rsidR="00DB41A5" w:rsidRPr="007379B7" w:rsidRDefault="00DB41A5" w:rsidP="007379B7">
            <w:pPr>
              <w:pStyle w:val="NoSpacing"/>
              <w:rPr>
                <w:rFonts w:cstheme="minorHAnsi"/>
              </w:rPr>
            </w:pPr>
            <w:r w:rsidRPr="007379B7">
              <w:rPr>
                <w:rFonts w:cstheme="minorHAnsi"/>
                <w:w w:val="85"/>
              </w:rPr>
              <w:t>0.03</w:t>
            </w:r>
          </w:p>
        </w:tc>
        <w:tc>
          <w:tcPr>
            <w:tcW w:w="0" w:type="auto"/>
          </w:tcPr>
          <w:p w14:paraId="2F7E354D" w14:textId="73E67C6B" w:rsidR="00DB41A5" w:rsidRPr="007379B7" w:rsidRDefault="00DB41A5" w:rsidP="007379B7">
            <w:pPr>
              <w:pStyle w:val="NoSpacing"/>
              <w:rPr>
                <w:rFonts w:cstheme="minorHAnsi"/>
                <w:w w:val="95"/>
              </w:rPr>
            </w:pPr>
            <w:r w:rsidRPr="007379B7">
              <w:rPr>
                <w:rFonts w:cstheme="minorHAnsi"/>
                <w:w w:val="85"/>
              </w:rPr>
              <w:t>.00</w:t>
            </w:r>
          </w:p>
        </w:tc>
      </w:tr>
      <w:tr w:rsidR="00DB41A5" w:rsidRPr="007379B7" w14:paraId="6F0F316F" w14:textId="77777777" w:rsidTr="001D16F2">
        <w:trPr>
          <w:trHeight w:val="299"/>
        </w:trPr>
        <w:tc>
          <w:tcPr>
            <w:tcW w:w="0" w:type="auto"/>
          </w:tcPr>
          <w:p w14:paraId="37704106" w14:textId="6C40185E" w:rsidR="00DB41A5" w:rsidRPr="007379B7" w:rsidRDefault="00DB41A5" w:rsidP="007379B7">
            <w:pPr>
              <w:pStyle w:val="NoSpacing"/>
              <w:rPr>
                <w:rFonts w:cstheme="minorHAnsi"/>
              </w:rPr>
            </w:pPr>
            <w:r w:rsidRPr="007379B7">
              <w:rPr>
                <w:rFonts w:cstheme="minorHAnsi"/>
              </w:rPr>
              <w:t>Constant</w:t>
            </w:r>
          </w:p>
        </w:tc>
        <w:tc>
          <w:tcPr>
            <w:tcW w:w="0" w:type="auto"/>
          </w:tcPr>
          <w:p w14:paraId="687B55E6" w14:textId="71F3C5F5" w:rsidR="00DB41A5" w:rsidRPr="007379B7" w:rsidRDefault="00DB41A5" w:rsidP="007379B7">
            <w:pPr>
              <w:pStyle w:val="NoSpacing"/>
              <w:rPr>
                <w:rFonts w:cstheme="minorHAnsi"/>
                <w:w w:val="95"/>
              </w:rPr>
            </w:pPr>
            <w:r w:rsidRPr="007379B7">
              <w:rPr>
                <w:rFonts w:cstheme="minorHAnsi"/>
                <w:w w:val="85"/>
              </w:rPr>
              <w:t>0.01</w:t>
            </w:r>
          </w:p>
        </w:tc>
        <w:tc>
          <w:tcPr>
            <w:tcW w:w="0" w:type="auto"/>
          </w:tcPr>
          <w:p w14:paraId="5E9B46C6" w14:textId="2FFE32EE" w:rsidR="00DB41A5" w:rsidRPr="007379B7" w:rsidRDefault="00DB41A5" w:rsidP="007379B7">
            <w:pPr>
              <w:pStyle w:val="NoSpacing"/>
              <w:rPr>
                <w:rFonts w:cstheme="minorHAnsi"/>
              </w:rPr>
            </w:pPr>
            <w:r w:rsidRPr="007379B7">
              <w:rPr>
                <w:rFonts w:cstheme="minorHAnsi"/>
                <w:w w:val="85"/>
              </w:rPr>
              <w:t>0.03</w:t>
            </w:r>
          </w:p>
        </w:tc>
        <w:tc>
          <w:tcPr>
            <w:tcW w:w="0" w:type="auto"/>
          </w:tcPr>
          <w:p w14:paraId="05F6FB31" w14:textId="45F48FBB" w:rsidR="00DB41A5" w:rsidRPr="007379B7" w:rsidRDefault="00DB41A5" w:rsidP="007379B7">
            <w:pPr>
              <w:pStyle w:val="NoSpacing"/>
              <w:rPr>
                <w:rFonts w:cstheme="minorHAnsi"/>
                <w:w w:val="95"/>
              </w:rPr>
            </w:pPr>
            <w:r w:rsidRPr="007379B7">
              <w:rPr>
                <w:rFonts w:cstheme="minorHAnsi"/>
                <w:w w:val="85"/>
              </w:rPr>
              <w:t>.83</w:t>
            </w:r>
          </w:p>
        </w:tc>
      </w:tr>
      <w:tr w:rsidR="00DB41A5" w:rsidRPr="007379B7" w14:paraId="7124C83F" w14:textId="77777777" w:rsidTr="001D16F2">
        <w:trPr>
          <w:trHeight w:val="299"/>
        </w:trPr>
        <w:tc>
          <w:tcPr>
            <w:tcW w:w="0" w:type="auto"/>
          </w:tcPr>
          <w:p w14:paraId="216035C7" w14:textId="523AC669" w:rsidR="00DB41A5" w:rsidRPr="007379B7" w:rsidRDefault="00DB41A5" w:rsidP="007379B7">
            <w:pPr>
              <w:pStyle w:val="NoSpacing"/>
              <w:rPr>
                <w:rFonts w:cstheme="minorHAnsi"/>
              </w:rPr>
            </w:pPr>
            <w:r w:rsidRPr="007379B7">
              <w:rPr>
                <w:rFonts w:cstheme="minorHAnsi"/>
                <w:i/>
                <w:iCs/>
                <w:position w:val="-5"/>
              </w:rPr>
              <w:t>R</w:t>
            </w:r>
            <w:r w:rsidRPr="007379B7">
              <w:rPr>
                <w:rFonts w:cstheme="minorHAnsi"/>
                <w:vertAlign w:val="superscript"/>
              </w:rPr>
              <w:t>2</w:t>
            </w:r>
          </w:p>
        </w:tc>
        <w:tc>
          <w:tcPr>
            <w:tcW w:w="0" w:type="auto"/>
          </w:tcPr>
          <w:p w14:paraId="02FBD6F5" w14:textId="77777777" w:rsidR="00DB41A5" w:rsidRPr="007379B7" w:rsidRDefault="00DB41A5" w:rsidP="007379B7">
            <w:pPr>
              <w:pStyle w:val="NoSpacing"/>
              <w:rPr>
                <w:rFonts w:cstheme="minorHAnsi"/>
                <w:w w:val="95"/>
              </w:rPr>
            </w:pPr>
          </w:p>
        </w:tc>
        <w:tc>
          <w:tcPr>
            <w:tcW w:w="0" w:type="auto"/>
          </w:tcPr>
          <w:p w14:paraId="1272294F" w14:textId="33DA7CF1" w:rsidR="00DB41A5" w:rsidRPr="007379B7" w:rsidRDefault="00DB41A5" w:rsidP="007379B7">
            <w:pPr>
              <w:pStyle w:val="NoSpacing"/>
              <w:rPr>
                <w:rFonts w:cstheme="minorHAnsi"/>
              </w:rPr>
            </w:pPr>
            <w:r w:rsidRPr="007379B7">
              <w:rPr>
                <w:rFonts w:cstheme="minorHAnsi"/>
                <w:w w:val="85"/>
              </w:rPr>
              <w:t>.56</w:t>
            </w:r>
          </w:p>
        </w:tc>
        <w:tc>
          <w:tcPr>
            <w:tcW w:w="0" w:type="auto"/>
          </w:tcPr>
          <w:p w14:paraId="40A766EF" w14:textId="77777777" w:rsidR="00DB41A5" w:rsidRPr="007379B7" w:rsidRDefault="00DB41A5" w:rsidP="007379B7">
            <w:pPr>
              <w:pStyle w:val="NoSpacing"/>
              <w:rPr>
                <w:rFonts w:cstheme="minorHAnsi"/>
                <w:w w:val="95"/>
              </w:rPr>
            </w:pPr>
          </w:p>
        </w:tc>
      </w:tr>
      <w:tr w:rsidR="00DB41A5" w:rsidRPr="007379B7" w14:paraId="4D01723A" w14:textId="77777777" w:rsidTr="001D16F2">
        <w:trPr>
          <w:trHeight w:val="299"/>
        </w:trPr>
        <w:tc>
          <w:tcPr>
            <w:tcW w:w="0" w:type="auto"/>
          </w:tcPr>
          <w:p w14:paraId="1B387F14" w14:textId="5FF7F860" w:rsidR="00DB41A5" w:rsidRPr="007379B7" w:rsidRDefault="00DB41A5" w:rsidP="007379B7">
            <w:pPr>
              <w:pStyle w:val="NoSpacing"/>
              <w:rPr>
                <w:rFonts w:cstheme="minorHAnsi"/>
              </w:rPr>
            </w:pPr>
            <w:r w:rsidRPr="007379B7">
              <w:rPr>
                <w:rFonts w:cstheme="minorHAnsi"/>
              </w:rPr>
              <w:t>Log likelihood</w:t>
            </w:r>
          </w:p>
        </w:tc>
        <w:tc>
          <w:tcPr>
            <w:tcW w:w="0" w:type="auto"/>
          </w:tcPr>
          <w:p w14:paraId="616FD37E" w14:textId="77777777" w:rsidR="00DB41A5" w:rsidRPr="007379B7" w:rsidRDefault="00DB41A5" w:rsidP="007379B7">
            <w:pPr>
              <w:pStyle w:val="NoSpacing"/>
              <w:rPr>
                <w:rFonts w:cstheme="minorHAnsi"/>
                <w:w w:val="95"/>
              </w:rPr>
            </w:pPr>
          </w:p>
        </w:tc>
        <w:tc>
          <w:tcPr>
            <w:tcW w:w="0" w:type="auto"/>
          </w:tcPr>
          <w:p w14:paraId="1A116F94" w14:textId="47005803" w:rsidR="00DB41A5" w:rsidRPr="007379B7" w:rsidRDefault="00DB41A5" w:rsidP="007379B7">
            <w:pPr>
              <w:pStyle w:val="NoSpacing"/>
              <w:rPr>
                <w:rFonts w:cstheme="minorHAnsi"/>
              </w:rPr>
            </w:pPr>
            <w:r w:rsidRPr="007379B7">
              <w:rPr>
                <w:rFonts w:cstheme="minorHAnsi"/>
              </w:rPr>
              <w:t>−585.90</w:t>
            </w:r>
          </w:p>
        </w:tc>
        <w:tc>
          <w:tcPr>
            <w:tcW w:w="0" w:type="auto"/>
          </w:tcPr>
          <w:p w14:paraId="29F23C56" w14:textId="77777777" w:rsidR="00DB41A5" w:rsidRPr="007379B7" w:rsidRDefault="00DB41A5" w:rsidP="007379B7">
            <w:pPr>
              <w:pStyle w:val="NoSpacing"/>
              <w:rPr>
                <w:rFonts w:cstheme="minorHAnsi"/>
                <w:w w:val="95"/>
              </w:rPr>
            </w:pPr>
          </w:p>
        </w:tc>
      </w:tr>
      <w:tr w:rsidR="00DB41A5" w:rsidRPr="007379B7" w14:paraId="590B1EEE" w14:textId="77777777" w:rsidTr="001D16F2">
        <w:trPr>
          <w:trHeight w:val="299"/>
        </w:trPr>
        <w:tc>
          <w:tcPr>
            <w:tcW w:w="0" w:type="auto"/>
          </w:tcPr>
          <w:p w14:paraId="07E392FC" w14:textId="733D3C76" w:rsidR="00DB41A5" w:rsidRPr="007379B7" w:rsidRDefault="00DB41A5" w:rsidP="007379B7">
            <w:pPr>
              <w:pStyle w:val="NoSpacing"/>
              <w:rPr>
                <w:rFonts w:cstheme="minorHAnsi"/>
              </w:rPr>
            </w:pPr>
            <w:r w:rsidRPr="007379B7">
              <w:rPr>
                <w:rFonts w:cstheme="minorHAnsi"/>
              </w:rPr>
              <w:t>Akaike information criterion</w:t>
            </w:r>
          </w:p>
        </w:tc>
        <w:tc>
          <w:tcPr>
            <w:tcW w:w="0" w:type="auto"/>
          </w:tcPr>
          <w:p w14:paraId="408A8C30" w14:textId="77777777" w:rsidR="00DB41A5" w:rsidRPr="007379B7" w:rsidRDefault="00DB41A5" w:rsidP="007379B7">
            <w:pPr>
              <w:pStyle w:val="NoSpacing"/>
              <w:rPr>
                <w:rFonts w:cstheme="minorHAnsi"/>
                <w:w w:val="95"/>
              </w:rPr>
            </w:pPr>
          </w:p>
        </w:tc>
        <w:tc>
          <w:tcPr>
            <w:tcW w:w="0" w:type="auto"/>
          </w:tcPr>
          <w:p w14:paraId="1E30E196" w14:textId="0F455EC0" w:rsidR="00DB41A5" w:rsidRPr="007379B7" w:rsidRDefault="00DB41A5" w:rsidP="007379B7">
            <w:pPr>
              <w:pStyle w:val="NoSpacing"/>
              <w:rPr>
                <w:rFonts w:cstheme="minorHAnsi"/>
              </w:rPr>
            </w:pPr>
            <w:r w:rsidRPr="007379B7">
              <w:rPr>
                <w:rFonts w:cstheme="minorHAnsi"/>
              </w:rPr>
              <w:t>1,189.79</w:t>
            </w:r>
          </w:p>
        </w:tc>
        <w:tc>
          <w:tcPr>
            <w:tcW w:w="0" w:type="auto"/>
          </w:tcPr>
          <w:p w14:paraId="544AEA4B" w14:textId="77777777" w:rsidR="00DB41A5" w:rsidRPr="007379B7" w:rsidRDefault="00DB41A5" w:rsidP="007379B7">
            <w:pPr>
              <w:pStyle w:val="NoSpacing"/>
              <w:rPr>
                <w:rFonts w:cstheme="minorHAnsi"/>
                <w:w w:val="95"/>
              </w:rPr>
            </w:pPr>
          </w:p>
        </w:tc>
      </w:tr>
      <w:tr w:rsidR="00DB41A5" w:rsidRPr="007379B7" w14:paraId="7D7CA8D0" w14:textId="77777777" w:rsidTr="001D16F2">
        <w:trPr>
          <w:trHeight w:val="299"/>
        </w:trPr>
        <w:tc>
          <w:tcPr>
            <w:tcW w:w="0" w:type="auto"/>
          </w:tcPr>
          <w:p w14:paraId="252AB927" w14:textId="7350A42B" w:rsidR="00DB41A5" w:rsidRPr="007379B7" w:rsidRDefault="00DB41A5" w:rsidP="007379B7">
            <w:pPr>
              <w:pStyle w:val="NoSpacing"/>
              <w:rPr>
                <w:rFonts w:cstheme="minorHAnsi"/>
              </w:rPr>
            </w:pPr>
            <w:r w:rsidRPr="007379B7">
              <w:rPr>
                <w:rFonts w:cstheme="minorHAnsi"/>
              </w:rPr>
              <w:t>Schwarz criterion</w:t>
            </w:r>
          </w:p>
        </w:tc>
        <w:tc>
          <w:tcPr>
            <w:tcW w:w="0" w:type="auto"/>
          </w:tcPr>
          <w:p w14:paraId="730DC74F" w14:textId="77777777" w:rsidR="00DB41A5" w:rsidRPr="007379B7" w:rsidRDefault="00DB41A5" w:rsidP="007379B7">
            <w:pPr>
              <w:pStyle w:val="NoSpacing"/>
              <w:rPr>
                <w:rFonts w:cstheme="minorHAnsi"/>
                <w:w w:val="95"/>
              </w:rPr>
            </w:pPr>
          </w:p>
        </w:tc>
        <w:tc>
          <w:tcPr>
            <w:tcW w:w="0" w:type="auto"/>
          </w:tcPr>
          <w:p w14:paraId="72A4201A" w14:textId="77B6FD34" w:rsidR="00DB41A5" w:rsidRPr="007379B7" w:rsidRDefault="00DB41A5" w:rsidP="007379B7">
            <w:pPr>
              <w:pStyle w:val="NoSpacing"/>
              <w:rPr>
                <w:rFonts w:cstheme="minorHAnsi"/>
              </w:rPr>
            </w:pPr>
            <w:r w:rsidRPr="007379B7">
              <w:rPr>
                <w:rFonts w:cstheme="minorHAnsi"/>
              </w:rPr>
              <w:t>1,228.94</w:t>
            </w:r>
          </w:p>
        </w:tc>
        <w:tc>
          <w:tcPr>
            <w:tcW w:w="0" w:type="auto"/>
          </w:tcPr>
          <w:p w14:paraId="1D706FC5" w14:textId="77777777" w:rsidR="00DB41A5" w:rsidRPr="007379B7" w:rsidRDefault="00DB41A5" w:rsidP="007379B7">
            <w:pPr>
              <w:pStyle w:val="NoSpacing"/>
              <w:rPr>
                <w:rFonts w:cstheme="minorHAnsi"/>
                <w:w w:val="95"/>
              </w:rPr>
            </w:pPr>
          </w:p>
        </w:tc>
      </w:tr>
      <w:tr w:rsidR="00DB41A5" w:rsidRPr="007379B7" w14:paraId="5E0DABA2" w14:textId="77777777" w:rsidTr="001D16F2">
        <w:trPr>
          <w:trHeight w:val="299"/>
        </w:trPr>
        <w:tc>
          <w:tcPr>
            <w:tcW w:w="0" w:type="auto"/>
          </w:tcPr>
          <w:p w14:paraId="1AFE6B7C" w14:textId="421CB032" w:rsidR="00DB41A5" w:rsidRPr="007379B7" w:rsidRDefault="00DB41A5" w:rsidP="007379B7">
            <w:pPr>
              <w:pStyle w:val="NoSpacing"/>
              <w:rPr>
                <w:rFonts w:cstheme="minorHAnsi"/>
              </w:rPr>
            </w:pPr>
            <w:r w:rsidRPr="007379B7">
              <w:rPr>
                <w:rFonts w:cstheme="minorHAnsi"/>
              </w:rPr>
              <w:t>Number of observations</w:t>
            </w:r>
          </w:p>
        </w:tc>
        <w:tc>
          <w:tcPr>
            <w:tcW w:w="0" w:type="auto"/>
          </w:tcPr>
          <w:p w14:paraId="2D6E4306" w14:textId="77777777" w:rsidR="00DB41A5" w:rsidRPr="007379B7" w:rsidRDefault="00DB41A5" w:rsidP="007379B7">
            <w:pPr>
              <w:pStyle w:val="NoSpacing"/>
              <w:rPr>
                <w:rFonts w:cstheme="minorHAnsi"/>
                <w:w w:val="95"/>
              </w:rPr>
            </w:pPr>
          </w:p>
        </w:tc>
        <w:tc>
          <w:tcPr>
            <w:tcW w:w="0" w:type="auto"/>
          </w:tcPr>
          <w:p w14:paraId="7A0E01E3" w14:textId="61A05530" w:rsidR="00DB41A5" w:rsidRPr="007379B7" w:rsidRDefault="00DB41A5" w:rsidP="007379B7">
            <w:pPr>
              <w:pStyle w:val="NoSpacing"/>
              <w:rPr>
                <w:rFonts w:cstheme="minorHAnsi"/>
              </w:rPr>
            </w:pPr>
            <w:r w:rsidRPr="007379B7">
              <w:rPr>
                <w:rFonts w:cstheme="minorHAnsi"/>
              </w:rPr>
              <w:t>572</w:t>
            </w:r>
          </w:p>
        </w:tc>
        <w:tc>
          <w:tcPr>
            <w:tcW w:w="0" w:type="auto"/>
          </w:tcPr>
          <w:p w14:paraId="066B50F6" w14:textId="77777777" w:rsidR="00DB41A5" w:rsidRPr="007379B7" w:rsidRDefault="00DB41A5" w:rsidP="007379B7">
            <w:pPr>
              <w:pStyle w:val="NoSpacing"/>
              <w:rPr>
                <w:rFonts w:cstheme="minorHAnsi"/>
                <w:w w:val="95"/>
              </w:rPr>
            </w:pPr>
          </w:p>
        </w:tc>
      </w:tr>
      <w:tr w:rsidR="00DB41A5" w:rsidRPr="007379B7" w14:paraId="0131229C" w14:textId="77777777" w:rsidTr="001D16F2">
        <w:trPr>
          <w:trHeight w:val="299"/>
        </w:trPr>
        <w:tc>
          <w:tcPr>
            <w:tcW w:w="0" w:type="auto"/>
          </w:tcPr>
          <w:p w14:paraId="566E1F80" w14:textId="5EF10946" w:rsidR="00DB41A5" w:rsidRPr="007379B7" w:rsidRDefault="00DB41A5" w:rsidP="007379B7">
            <w:pPr>
              <w:pStyle w:val="NoSpacing"/>
              <w:rPr>
                <w:rFonts w:cstheme="minorHAnsi"/>
              </w:rPr>
            </w:pPr>
            <w:r w:rsidRPr="007379B7">
              <w:rPr>
                <w:rFonts w:cstheme="minorHAnsi"/>
              </w:rPr>
              <w:t>Number of variables</w:t>
            </w:r>
          </w:p>
        </w:tc>
        <w:tc>
          <w:tcPr>
            <w:tcW w:w="0" w:type="auto"/>
          </w:tcPr>
          <w:p w14:paraId="59BB5394" w14:textId="77777777" w:rsidR="00DB41A5" w:rsidRPr="007379B7" w:rsidRDefault="00DB41A5" w:rsidP="007379B7">
            <w:pPr>
              <w:pStyle w:val="NoSpacing"/>
              <w:rPr>
                <w:rFonts w:cstheme="minorHAnsi"/>
                <w:w w:val="95"/>
              </w:rPr>
            </w:pPr>
          </w:p>
        </w:tc>
        <w:tc>
          <w:tcPr>
            <w:tcW w:w="0" w:type="auto"/>
          </w:tcPr>
          <w:p w14:paraId="02824C0E" w14:textId="5FFD9F6A" w:rsidR="00DB41A5" w:rsidRPr="007379B7" w:rsidRDefault="00DB41A5" w:rsidP="007379B7">
            <w:pPr>
              <w:pStyle w:val="NoSpacing"/>
              <w:rPr>
                <w:rFonts w:cstheme="minorHAnsi"/>
              </w:rPr>
            </w:pPr>
            <w:r w:rsidRPr="007379B7">
              <w:rPr>
                <w:rFonts w:cstheme="minorHAnsi"/>
                <w:w w:val="91"/>
              </w:rPr>
              <w:t>9</w:t>
            </w:r>
          </w:p>
        </w:tc>
        <w:tc>
          <w:tcPr>
            <w:tcW w:w="0" w:type="auto"/>
          </w:tcPr>
          <w:p w14:paraId="5BAC6F27" w14:textId="77777777" w:rsidR="00DB41A5" w:rsidRPr="007379B7" w:rsidRDefault="00DB41A5" w:rsidP="007379B7">
            <w:pPr>
              <w:pStyle w:val="NoSpacing"/>
              <w:rPr>
                <w:rFonts w:cstheme="minorHAnsi"/>
                <w:w w:val="95"/>
              </w:rPr>
            </w:pPr>
          </w:p>
        </w:tc>
      </w:tr>
      <w:tr w:rsidR="00DB41A5" w:rsidRPr="007379B7" w14:paraId="638FE201" w14:textId="77777777" w:rsidTr="001D16F2">
        <w:trPr>
          <w:trHeight w:val="299"/>
        </w:trPr>
        <w:tc>
          <w:tcPr>
            <w:tcW w:w="0" w:type="auto"/>
          </w:tcPr>
          <w:p w14:paraId="7187DB73" w14:textId="1FD98F4F" w:rsidR="00DB41A5" w:rsidRPr="007379B7" w:rsidRDefault="00DB41A5" w:rsidP="007379B7">
            <w:pPr>
              <w:pStyle w:val="NoSpacing"/>
              <w:rPr>
                <w:rFonts w:cstheme="minorHAnsi"/>
              </w:rPr>
            </w:pPr>
            <w:r w:rsidRPr="007379B7">
              <w:rPr>
                <w:rFonts w:cstheme="minorHAnsi"/>
              </w:rPr>
              <w:t>Degrees of freedom</w:t>
            </w:r>
          </w:p>
        </w:tc>
        <w:tc>
          <w:tcPr>
            <w:tcW w:w="0" w:type="auto"/>
          </w:tcPr>
          <w:p w14:paraId="03FACDC2" w14:textId="77777777" w:rsidR="00DB41A5" w:rsidRPr="007379B7" w:rsidRDefault="00DB41A5" w:rsidP="007379B7">
            <w:pPr>
              <w:pStyle w:val="NoSpacing"/>
              <w:rPr>
                <w:rFonts w:cstheme="minorHAnsi"/>
                <w:w w:val="95"/>
              </w:rPr>
            </w:pPr>
          </w:p>
        </w:tc>
        <w:tc>
          <w:tcPr>
            <w:tcW w:w="0" w:type="auto"/>
          </w:tcPr>
          <w:p w14:paraId="47B42C12" w14:textId="785B8F74" w:rsidR="00DB41A5" w:rsidRPr="007379B7" w:rsidRDefault="00DB41A5" w:rsidP="007379B7">
            <w:pPr>
              <w:pStyle w:val="NoSpacing"/>
              <w:rPr>
                <w:rFonts w:cstheme="minorHAnsi"/>
              </w:rPr>
            </w:pPr>
            <w:r w:rsidRPr="007379B7">
              <w:rPr>
                <w:rFonts w:cstheme="minorHAnsi"/>
              </w:rPr>
              <w:t>563</w:t>
            </w:r>
          </w:p>
        </w:tc>
        <w:tc>
          <w:tcPr>
            <w:tcW w:w="0" w:type="auto"/>
          </w:tcPr>
          <w:p w14:paraId="660B88E7" w14:textId="77777777" w:rsidR="00DB41A5" w:rsidRPr="007379B7" w:rsidRDefault="00DB41A5" w:rsidP="007379B7">
            <w:pPr>
              <w:pStyle w:val="NoSpacing"/>
              <w:rPr>
                <w:rFonts w:cstheme="minorHAnsi"/>
                <w:w w:val="95"/>
              </w:rPr>
            </w:pPr>
          </w:p>
        </w:tc>
      </w:tr>
      <w:tr w:rsidR="00DB41A5" w:rsidRPr="007379B7" w14:paraId="0CD1BCAB" w14:textId="77777777" w:rsidTr="001D16F2">
        <w:trPr>
          <w:trHeight w:val="299"/>
        </w:trPr>
        <w:tc>
          <w:tcPr>
            <w:tcW w:w="0" w:type="auto"/>
          </w:tcPr>
          <w:p w14:paraId="05B86ACE" w14:textId="6B9B5976" w:rsidR="00DB41A5" w:rsidRPr="007379B7" w:rsidRDefault="00DB41A5" w:rsidP="007379B7">
            <w:pPr>
              <w:pStyle w:val="NoSpacing"/>
              <w:rPr>
                <w:rFonts w:cstheme="minorHAnsi"/>
              </w:rPr>
            </w:pPr>
            <w:r w:rsidRPr="007379B7">
              <w:rPr>
                <w:rFonts w:cstheme="minorHAnsi"/>
                <w:w w:val="95"/>
              </w:rPr>
              <w:t>Multicollinearity condition number</w:t>
            </w:r>
          </w:p>
        </w:tc>
        <w:tc>
          <w:tcPr>
            <w:tcW w:w="0" w:type="auto"/>
          </w:tcPr>
          <w:p w14:paraId="0EE606D4" w14:textId="77777777" w:rsidR="00DB41A5" w:rsidRPr="007379B7" w:rsidRDefault="00DB41A5" w:rsidP="007379B7">
            <w:pPr>
              <w:pStyle w:val="NoSpacing"/>
              <w:rPr>
                <w:rFonts w:cstheme="minorHAnsi"/>
                <w:w w:val="95"/>
              </w:rPr>
            </w:pPr>
          </w:p>
        </w:tc>
        <w:tc>
          <w:tcPr>
            <w:tcW w:w="0" w:type="auto"/>
          </w:tcPr>
          <w:p w14:paraId="29A0AA04" w14:textId="41C3FBAE" w:rsidR="00DB41A5" w:rsidRPr="007379B7" w:rsidRDefault="00DB41A5" w:rsidP="007379B7">
            <w:pPr>
              <w:pStyle w:val="NoSpacing"/>
              <w:rPr>
                <w:rFonts w:cstheme="minorHAnsi"/>
              </w:rPr>
            </w:pPr>
            <w:r w:rsidRPr="007379B7">
              <w:rPr>
                <w:rFonts w:cstheme="minorHAnsi"/>
                <w:w w:val="85"/>
              </w:rPr>
              <w:t>3.00</w:t>
            </w:r>
          </w:p>
        </w:tc>
        <w:tc>
          <w:tcPr>
            <w:tcW w:w="0" w:type="auto"/>
          </w:tcPr>
          <w:p w14:paraId="13A71B5F" w14:textId="77777777" w:rsidR="00DB41A5" w:rsidRPr="007379B7" w:rsidRDefault="00DB41A5" w:rsidP="007379B7">
            <w:pPr>
              <w:pStyle w:val="NoSpacing"/>
              <w:rPr>
                <w:rFonts w:cstheme="minorHAnsi"/>
                <w:w w:val="95"/>
              </w:rPr>
            </w:pPr>
          </w:p>
        </w:tc>
      </w:tr>
      <w:tr w:rsidR="00DB41A5" w:rsidRPr="007379B7" w14:paraId="69F00B79" w14:textId="77777777" w:rsidTr="001D16F2">
        <w:trPr>
          <w:trHeight w:val="299"/>
        </w:trPr>
        <w:tc>
          <w:tcPr>
            <w:tcW w:w="0" w:type="auto"/>
          </w:tcPr>
          <w:p w14:paraId="0C5F7722" w14:textId="169B06C6" w:rsidR="00DB41A5" w:rsidRPr="007379B7" w:rsidRDefault="00DB41A5" w:rsidP="007379B7">
            <w:pPr>
              <w:pStyle w:val="NoSpacing"/>
              <w:rPr>
                <w:rFonts w:cstheme="minorHAnsi"/>
              </w:rPr>
            </w:pPr>
            <w:r w:rsidRPr="007379B7">
              <w:rPr>
                <w:rFonts w:cstheme="minorHAnsi"/>
              </w:rPr>
              <w:t>Model 7: Single beer availability</w:t>
            </w:r>
          </w:p>
        </w:tc>
        <w:tc>
          <w:tcPr>
            <w:tcW w:w="0" w:type="auto"/>
          </w:tcPr>
          <w:p w14:paraId="4569FA2A" w14:textId="77777777" w:rsidR="00DB41A5" w:rsidRPr="007379B7" w:rsidRDefault="00DB41A5" w:rsidP="007379B7">
            <w:pPr>
              <w:pStyle w:val="NoSpacing"/>
              <w:rPr>
                <w:rFonts w:cstheme="minorHAnsi"/>
                <w:w w:val="95"/>
              </w:rPr>
            </w:pPr>
          </w:p>
        </w:tc>
        <w:tc>
          <w:tcPr>
            <w:tcW w:w="0" w:type="auto"/>
          </w:tcPr>
          <w:p w14:paraId="0DAEFA8C" w14:textId="77777777" w:rsidR="00DB41A5" w:rsidRPr="007379B7" w:rsidRDefault="00DB41A5" w:rsidP="007379B7">
            <w:pPr>
              <w:pStyle w:val="NoSpacing"/>
              <w:rPr>
                <w:rFonts w:cstheme="minorHAnsi"/>
              </w:rPr>
            </w:pPr>
          </w:p>
        </w:tc>
        <w:tc>
          <w:tcPr>
            <w:tcW w:w="0" w:type="auto"/>
          </w:tcPr>
          <w:p w14:paraId="0CCE85CF" w14:textId="77777777" w:rsidR="00DB41A5" w:rsidRPr="007379B7" w:rsidRDefault="00DB41A5" w:rsidP="007379B7">
            <w:pPr>
              <w:pStyle w:val="NoSpacing"/>
              <w:rPr>
                <w:rFonts w:cstheme="minorHAnsi"/>
                <w:w w:val="95"/>
              </w:rPr>
            </w:pPr>
          </w:p>
        </w:tc>
      </w:tr>
      <w:tr w:rsidR="00DB41A5" w:rsidRPr="007379B7" w14:paraId="7F5149B9" w14:textId="77777777" w:rsidTr="001D16F2">
        <w:trPr>
          <w:trHeight w:val="299"/>
        </w:trPr>
        <w:tc>
          <w:tcPr>
            <w:tcW w:w="0" w:type="auto"/>
          </w:tcPr>
          <w:p w14:paraId="01DC3BEC" w14:textId="545F951F" w:rsidR="00DB41A5" w:rsidRPr="007379B7" w:rsidRDefault="00DB41A5" w:rsidP="007379B7">
            <w:pPr>
              <w:pStyle w:val="NoSpacing"/>
              <w:rPr>
                <w:rFonts w:cstheme="minorHAnsi"/>
              </w:rPr>
            </w:pPr>
            <w:r w:rsidRPr="007379B7">
              <w:rPr>
                <w:rFonts w:cstheme="minorHAnsi"/>
              </w:rPr>
              <w:t>Ethnic heterogeneity</w:t>
            </w:r>
          </w:p>
        </w:tc>
        <w:tc>
          <w:tcPr>
            <w:tcW w:w="0" w:type="auto"/>
          </w:tcPr>
          <w:p w14:paraId="78F38DD8" w14:textId="71E8B321" w:rsidR="00DB41A5" w:rsidRPr="007379B7" w:rsidRDefault="00DB41A5" w:rsidP="007379B7">
            <w:pPr>
              <w:pStyle w:val="NoSpacing"/>
              <w:rPr>
                <w:rFonts w:cstheme="minorHAnsi"/>
                <w:w w:val="95"/>
              </w:rPr>
            </w:pPr>
            <w:r w:rsidRPr="007379B7">
              <w:rPr>
                <w:rFonts w:cstheme="minorHAnsi"/>
                <w:w w:val="85"/>
              </w:rPr>
              <w:t>−0.02</w:t>
            </w:r>
          </w:p>
        </w:tc>
        <w:tc>
          <w:tcPr>
            <w:tcW w:w="0" w:type="auto"/>
          </w:tcPr>
          <w:p w14:paraId="329591C1" w14:textId="072CF646" w:rsidR="00DB41A5" w:rsidRPr="007379B7" w:rsidRDefault="00DB41A5" w:rsidP="007379B7">
            <w:pPr>
              <w:pStyle w:val="NoSpacing"/>
              <w:rPr>
                <w:rFonts w:cstheme="minorHAnsi"/>
              </w:rPr>
            </w:pPr>
            <w:r w:rsidRPr="007379B7">
              <w:rPr>
                <w:rFonts w:cstheme="minorHAnsi"/>
                <w:w w:val="85"/>
              </w:rPr>
              <w:t>0.03</w:t>
            </w:r>
          </w:p>
        </w:tc>
        <w:tc>
          <w:tcPr>
            <w:tcW w:w="0" w:type="auto"/>
          </w:tcPr>
          <w:p w14:paraId="2F057474" w14:textId="62F08384" w:rsidR="00DB41A5" w:rsidRPr="007379B7" w:rsidRDefault="00DB41A5" w:rsidP="007379B7">
            <w:pPr>
              <w:pStyle w:val="NoSpacing"/>
              <w:rPr>
                <w:rFonts w:cstheme="minorHAnsi"/>
                <w:w w:val="95"/>
              </w:rPr>
            </w:pPr>
            <w:r w:rsidRPr="007379B7">
              <w:rPr>
                <w:rFonts w:cstheme="minorHAnsi"/>
                <w:w w:val="85"/>
              </w:rPr>
              <w:t>.63</w:t>
            </w:r>
          </w:p>
        </w:tc>
      </w:tr>
      <w:tr w:rsidR="00DB41A5" w:rsidRPr="007379B7" w14:paraId="240B8864" w14:textId="77777777" w:rsidTr="001D16F2">
        <w:trPr>
          <w:trHeight w:val="299"/>
        </w:trPr>
        <w:tc>
          <w:tcPr>
            <w:tcW w:w="0" w:type="auto"/>
          </w:tcPr>
          <w:p w14:paraId="68BA1F33" w14:textId="3FF23F9C" w:rsidR="00DB41A5" w:rsidRPr="007379B7" w:rsidRDefault="00DB41A5" w:rsidP="007379B7">
            <w:pPr>
              <w:pStyle w:val="NoSpacing"/>
              <w:rPr>
                <w:rFonts w:cstheme="minorHAnsi"/>
              </w:rPr>
            </w:pPr>
            <w:r w:rsidRPr="007379B7">
              <w:rPr>
                <w:rFonts w:cstheme="minorHAnsi"/>
              </w:rPr>
              <w:t>Concentrated disadvantage</w:t>
            </w:r>
          </w:p>
        </w:tc>
        <w:tc>
          <w:tcPr>
            <w:tcW w:w="0" w:type="auto"/>
          </w:tcPr>
          <w:p w14:paraId="474BDB37" w14:textId="4B7F29A6" w:rsidR="00DB41A5" w:rsidRPr="007379B7" w:rsidRDefault="00DB41A5" w:rsidP="007379B7">
            <w:pPr>
              <w:pStyle w:val="NoSpacing"/>
              <w:rPr>
                <w:rFonts w:cstheme="minorHAnsi"/>
                <w:w w:val="95"/>
              </w:rPr>
            </w:pPr>
            <w:r w:rsidRPr="007379B7">
              <w:rPr>
                <w:rFonts w:cstheme="minorHAnsi"/>
                <w:w w:val="85"/>
              </w:rPr>
              <w:t>0.09</w:t>
            </w:r>
          </w:p>
        </w:tc>
        <w:tc>
          <w:tcPr>
            <w:tcW w:w="0" w:type="auto"/>
          </w:tcPr>
          <w:p w14:paraId="4425B834" w14:textId="686DA74F" w:rsidR="00DB41A5" w:rsidRPr="007379B7" w:rsidRDefault="00DB41A5" w:rsidP="007379B7">
            <w:pPr>
              <w:pStyle w:val="NoSpacing"/>
              <w:rPr>
                <w:rFonts w:cstheme="minorHAnsi"/>
              </w:rPr>
            </w:pPr>
            <w:r w:rsidRPr="007379B7">
              <w:rPr>
                <w:rFonts w:cstheme="minorHAnsi"/>
                <w:w w:val="85"/>
              </w:rPr>
              <w:t>0.04</w:t>
            </w:r>
          </w:p>
        </w:tc>
        <w:tc>
          <w:tcPr>
            <w:tcW w:w="0" w:type="auto"/>
          </w:tcPr>
          <w:p w14:paraId="761879F4" w14:textId="51B87204" w:rsidR="00DB41A5" w:rsidRPr="007379B7" w:rsidRDefault="00DB41A5" w:rsidP="007379B7">
            <w:pPr>
              <w:pStyle w:val="NoSpacing"/>
              <w:rPr>
                <w:rFonts w:cstheme="minorHAnsi"/>
                <w:w w:val="95"/>
              </w:rPr>
            </w:pPr>
            <w:r w:rsidRPr="007379B7">
              <w:rPr>
                <w:rFonts w:cstheme="minorHAnsi"/>
                <w:w w:val="85"/>
              </w:rPr>
              <w:t>.02</w:t>
            </w:r>
          </w:p>
        </w:tc>
      </w:tr>
      <w:tr w:rsidR="00DB41A5" w:rsidRPr="007379B7" w14:paraId="38594D4F" w14:textId="77777777" w:rsidTr="001D16F2">
        <w:trPr>
          <w:trHeight w:val="299"/>
        </w:trPr>
        <w:tc>
          <w:tcPr>
            <w:tcW w:w="0" w:type="auto"/>
          </w:tcPr>
          <w:p w14:paraId="2757382A" w14:textId="2BFAE802" w:rsidR="00DB41A5" w:rsidRPr="007379B7" w:rsidRDefault="00DB41A5" w:rsidP="007379B7">
            <w:pPr>
              <w:pStyle w:val="NoSpacing"/>
              <w:rPr>
                <w:rFonts w:cstheme="minorHAnsi"/>
              </w:rPr>
            </w:pPr>
            <w:r w:rsidRPr="007379B7">
              <w:rPr>
                <w:rFonts w:cstheme="minorHAnsi"/>
              </w:rPr>
              <w:t>Concentrated immigration</w:t>
            </w:r>
          </w:p>
        </w:tc>
        <w:tc>
          <w:tcPr>
            <w:tcW w:w="0" w:type="auto"/>
          </w:tcPr>
          <w:p w14:paraId="58126292" w14:textId="53A3656C" w:rsidR="00DB41A5" w:rsidRPr="007379B7" w:rsidRDefault="00DB41A5" w:rsidP="007379B7">
            <w:pPr>
              <w:pStyle w:val="NoSpacing"/>
              <w:rPr>
                <w:rFonts w:cstheme="minorHAnsi"/>
                <w:w w:val="95"/>
              </w:rPr>
            </w:pPr>
            <w:r w:rsidRPr="007379B7">
              <w:rPr>
                <w:rFonts w:cstheme="minorHAnsi"/>
                <w:w w:val="85"/>
              </w:rPr>
              <w:t>0.10</w:t>
            </w:r>
          </w:p>
        </w:tc>
        <w:tc>
          <w:tcPr>
            <w:tcW w:w="0" w:type="auto"/>
          </w:tcPr>
          <w:p w14:paraId="545C6789" w14:textId="3E76D220" w:rsidR="00DB41A5" w:rsidRPr="007379B7" w:rsidRDefault="00DB41A5" w:rsidP="007379B7">
            <w:pPr>
              <w:pStyle w:val="NoSpacing"/>
              <w:rPr>
                <w:rFonts w:cstheme="minorHAnsi"/>
              </w:rPr>
            </w:pPr>
            <w:r w:rsidRPr="007379B7">
              <w:rPr>
                <w:rFonts w:cstheme="minorHAnsi"/>
                <w:w w:val="85"/>
              </w:rPr>
              <w:t>0.04</w:t>
            </w:r>
          </w:p>
        </w:tc>
        <w:tc>
          <w:tcPr>
            <w:tcW w:w="0" w:type="auto"/>
          </w:tcPr>
          <w:p w14:paraId="77FCCD34" w14:textId="6F67F30F" w:rsidR="00DB41A5" w:rsidRPr="007379B7" w:rsidRDefault="00DB41A5" w:rsidP="007379B7">
            <w:pPr>
              <w:pStyle w:val="NoSpacing"/>
              <w:rPr>
                <w:rFonts w:cstheme="minorHAnsi"/>
                <w:w w:val="95"/>
              </w:rPr>
            </w:pPr>
            <w:r w:rsidRPr="007379B7">
              <w:rPr>
                <w:rFonts w:cstheme="minorHAnsi"/>
                <w:w w:val="85"/>
              </w:rPr>
              <w:t>.02</w:t>
            </w:r>
          </w:p>
        </w:tc>
      </w:tr>
      <w:tr w:rsidR="00DB41A5" w:rsidRPr="007379B7" w14:paraId="747FDE76" w14:textId="77777777" w:rsidTr="001D16F2">
        <w:trPr>
          <w:trHeight w:val="299"/>
        </w:trPr>
        <w:tc>
          <w:tcPr>
            <w:tcW w:w="0" w:type="auto"/>
          </w:tcPr>
          <w:p w14:paraId="4CB57374" w14:textId="01E473B3" w:rsidR="00DB41A5" w:rsidRPr="007379B7" w:rsidRDefault="00DB41A5" w:rsidP="007379B7">
            <w:pPr>
              <w:pStyle w:val="NoSpacing"/>
              <w:rPr>
                <w:rFonts w:cstheme="minorHAnsi"/>
              </w:rPr>
            </w:pPr>
            <w:r w:rsidRPr="007379B7">
              <w:rPr>
                <w:rFonts w:cstheme="minorHAnsi"/>
              </w:rPr>
              <w:t>Residential stability</w:t>
            </w:r>
          </w:p>
        </w:tc>
        <w:tc>
          <w:tcPr>
            <w:tcW w:w="0" w:type="auto"/>
          </w:tcPr>
          <w:p w14:paraId="681B0766" w14:textId="34374736" w:rsidR="00DB41A5" w:rsidRPr="007379B7" w:rsidRDefault="00DB41A5" w:rsidP="007379B7">
            <w:pPr>
              <w:pStyle w:val="NoSpacing"/>
              <w:rPr>
                <w:rFonts w:cstheme="minorHAnsi"/>
                <w:w w:val="95"/>
              </w:rPr>
            </w:pPr>
            <w:r w:rsidRPr="007379B7">
              <w:rPr>
                <w:rFonts w:cstheme="minorHAnsi"/>
                <w:w w:val="85"/>
              </w:rPr>
              <w:t>−0.10</w:t>
            </w:r>
          </w:p>
        </w:tc>
        <w:tc>
          <w:tcPr>
            <w:tcW w:w="0" w:type="auto"/>
          </w:tcPr>
          <w:p w14:paraId="6FF7C139" w14:textId="47B3AA67" w:rsidR="00DB41A5" w:rsidRPr="007379B7" w:rsidRDefault="00DB41A5" w:rsidP="007379B7">
            <w:pPr>
              <w:pStyle w:val="NoSpacing"/>
              <w:rPr>
                <w:rFonts w:cstheme="minorHAnsi"/>
              </w:rPr>
            </w:pPr>
            <w:r w:rsidRPr="007379B7">
              <w:rPr>
                <w:rFonts w:cstheme="minorHAnsi"/>
                <w:w w:val="85"/>
              </w:rPr>
              <w:t>0.03</w:t>
            </w:r>
          </w:p>
        </w:tc>
        <w:tc>
          <w:tcPr>
            <w:tcW w:w="0" w:type="auto"/>
          </w:tcPr>
          <w:p w14:paraId="0EBC9A80" w14:textId="529CFC58" w:rsidR="00DB41A5" w:rsidRPr="007379B7" w:rsidRDefault="00DB41A5" w:rsidP="007379B7">
            <w:pPr>
              <w:pStyle w:val="NoSpacing"/>
              <w:rPr>
                <w:rFonts w:cstheme="minorHAnsi"/>
                <w:w w:val="95"/>
              </w:rPr>
            </w:pPr>
            <w:r w:rsidRPr="007379B7">
              <w:rPr>
                <w:rFonts w:cstheme="minorHAnsi"/>
                <w:w w:val="85"/>
              </w:rPr>
              <w:t>.00</w:t>
            </w:r>
          </w:p>
        </w:tc>
      </w:tr>
      <w:tr w:rsidR="00DB41A5" w:rsidRPr="007379B7" w14:paraId="69F67239" w14:textId="77777777" w:rsidTr="001D16F2">
        <w:trPr>
          <w:trHeight w:val="299"/>
        </w:trPr>
        <w:tc>
          <w:tcPr>
            <w:tcW w:w="0" w:type="auto"/>
          </w:tcPr>
          <w:p w14:paraId="43D002C2" w14:textId="6B89AE62" w:rsidR="00DB41A5" w:rsidRPr="007379B7" w:rsidRDefault="00DB41A5" w:rsidP="007379B7">
            <w:pPr>
              <w:pStyle w:val="NoSpacing"/>
              <w:rPr>
                <w:rFonts w:cstheme="minorHAnsi"/>
              </w:rPr>
            </w:pPr>
            <w:r w:rsidRPr="007379B7">
              <w:rPr>
                <w:rFonts w:cstheme="minorHAnsi"/>
              </w:rPr>
              <w:t>Population density</w:t>
            </w:r>
          </w:p>
        </w:tc>
        <w:tc>
          <w:tcPr>
            <w:tcW w:w="0" w:type="auto"/>
          </w:tcPr>
          <w:p w14:paraId="1E06A006" w14:textId="1BF3CD74" w:rsidR="00DB41A5" w:rsidRPr="007379B7" w:rsidRDefault="00DB41A5" w:rsidP="007379B7">
            <w:pPr>
              <w:pStyle w:val="NoSpacing"/>
              <w:rPr>
                <w:rFonts w:cstheme="minorHAnsi"/>
                <w:w w:val="95"/>
              </w:rPr>
            </w:pPr>
            <w:r w:rsidRPr="007379B7">
              <w:rPr>
                <w:rFonts w:cstheme="minorHAnsi"/>
                <w:w w:val="85"/>
              </w:rPr>
              <w:t>0.26</w:t>
            </w:r>
          </w:p>
        </w:tc>
        <w:tc>
          <w:tcPr>
            <w:tcW w:w="0" w:type="auto"/>
          </w:tcPr>
          <w:p w14:paraId="7F35CDF5" w14:textId="731DABB0" w:rsidR="00DB41A5" w:rsidRPr="007379B7" w:rsidRDefault="00DB41A5" w:rsidP="007379B7">
            <w:pPr>
              <w:pStyle w:val="NoSpacing"/>
              <w:rPr>
                <w:rFonts w:cstheme="minorHAnsi"/>
              </w:rPr>
            </w:pPr>
            <w:r w:rsidRPr="007379B7">
              <w:rPr>
                <w:rFonts w:cstheme="minorHAnsi"/>
                <w:w w:val="85"/>
              </w:rPr>
              <w:t>0.04</w:t>
            </w:r>
          </w:p>
        </w:tc>
        <w:tc>
          <w:tcPr>
            <w:tcW w:w="0" w:type="auto"/>
          </w:tcPr>
          <w:p w14:paraId="4E2B30A8" w14:textId="545062E4" w:rsidR="00DB41A5" w:rsidRPr="007379B7" w:rsidRDefault="00DB41A5" w:rsidP="007379B7">
            <w:pPr>
              <w:pStyle w:val="NoSpacing"/>
              <w:rPr>
                <w:rFonts w:cstheme="minorHAnsi"/>
                <w:w w:val="95"/>
              </w:rPr>
            </w:pPr>
            <w:r w:rsidRPr="007379B7">
              <w:rPr>
                <w:rFonts w:cstheme="minorHAnsi"/>
                <w:w w:val="85"/>
              </w:rPr>
              <w:t>.00</w:t>
            </w:r>
          </w:p>
        </w:tc>
      </w:tr>
      <w:tr w:rsidR="00DB41A5" w:rsidRPr="007379B7" w14:paraId="7CAA01D3" w14:textId="77777777" w:rsidTr="001D16F2">
        <w:trPr>
          <w:trHeight w:val="299"/>
        </w:trPr>
        <w:tc>
          <w:tcPr>
            <w:tcW w:w="0" w:type="auto"/>
          </w:tcPr>
          <w:p w14:paraId="57A19141" w14:textId="2AEEAAA8" w:rsidR="00DB41A5" w:rsidRPr="007379B7" w:rsidRDefault="00DB41A5" w:rsidP="007379B7">
            <w:pPr>
              <w:pStyle w:val="NoSpacing"/>
              <w:rPr>
                <w:rFonts w:cstheme="minorHAnsi"/>
              </w:rPr>
            </w:pPr>
            <w:r w:rsidRPr="007379B7">
              <w:rPr>
                <w:rFonts w:cstheme="minorHAnsi"/>
              </w:rPr>
              <w:t>Proportion Black</w:t>
            </w:r>
          </w:p>
        </w:tc>
        <w:tc>
          <w:tcPr>
            <w:tcW w:w="0" w:type="auto"/>
          </w:tcPr>
          <w:p w14:paraId="6C4E4A72" w14:textId="2115C31A" w:rsidR="00DB41A5" w:rsidRPr="007379B7" w:rsidRDefault="00DB41A5" w:rsidP="007379B7">
            <w:pPr>
              <w:pStyle w:val="NoSpacing"/>
              <w:rPr>
                <w:rFonts w:cstheme="minorHAnsi"/>
                <w:w w:val="95"/>
              </w:rPr>
            </w:pPr>
            <w:r w:rsidRPr="007379B7">
              <w:rPr>
                <w:rFonts w:cstheme="minorHAnsi"/>
                <w:w w:val="85"/>
              </w:rPr>
              <w:t>0.12</w:t>
            </w:r>
          </w:p>
        </w:tc>
        <w:tc>
          <w:tcPr>
            <w:tcW w:w="0" w:type="auto"/>
          </w:tcPr>
          <w:p w14:paraId="128ADD78" w14:textId="5AEA8EA4" w:rsidR="00DB41A5" w:rsidRPr="007379B7" w:rsidRDefault="00DB41A5" w:rsidP="007379B7">
            <w:pPr>
              <w:pStyle w:val="NoSpacing"/>
              <w:rPr>
                <w:rFonts w:cstheme="minorHAnsi"/>
              </w:rPr>
            </w:pPr>
            <w:r w:rsidRPr="007379B7">
              <w:rPr>
                <w:rFonts w:cstheme="minorHAnsi"/>
                <w:w w:val="85"/>
              </w:rPr>
              <w:t>0.05</w:t>
            </w:r>
          </w:p>
        </w:tc>
        <w:tc>
          <w:tcPr>
            <w:tcW w:w="0" w:type="auto"/>
          </w:tcPr>
          <w:p w14:paraId="745F075A" w14:textId="736F0D61" w:rsidR="00DB41A5" w:rsidRPr="007379B7" w:rsidRDefault="00DB41A5" w:rsidP="007379B7">
            <w:pPr>
              <w:pStyle w:val="NoSpacing"/>
              <w:rPr>
                <w:rFonts w:cstheme="minorHAnsi"/>
                <w:w w:val="95"/>
              </w:rPr>
            </w:pPr>
            <w:r w:rsidRPr="007379B7">
              <w:rPr>
                <w:rFonts w:cstheme="minorHAnsi"/>
                <w:w w:val="85"/>
              </w:rPr>
              <w:t>.01</w:t>
            </w:r>
          </w:p>
        </w:tc>
      </w:tr>
      <w:tr w:rsidR="00DB41A5" w:rsidRPr="007379B7" w14:paraId="1E7485FE" w14:textId="77777777" w:rsidTr="001D16F2">
        <w:trPr>
          <w:trHeight w:val="299"/>
        </w:trPr>
        <w:tc>
          <w:tcPr>
            <w:tcW w:w="0" w:type="auto"/>
          </w:tcPr>
          <w:p w14:paraId="11190075" w14:textId="06614059" w:rsidR="00DB41A5" w:rsidRPr="007379B7" w:rsidRDefault="00DB41A5" w:rsidP="007379B7">
            <w:pPr>
              <w:pStyle w:val="NoSpacing"/>
              <w:rPr>
                <w:rFonts w:cstheme="minorHAnsi"/>
              </w:rPr>
            </w:pPr>
            <w:r w:rsidRPr="007379B7">
              <w:rPr>
                <w:rFonts w:cstheme="minorHAnsi"/>
              </w:rPr>
              <w:t>Rho robbery density</w:t>
            </w:r>
          </w:p>
        </w:tc>
        <w:tc>
          <w:tcPr>
            <w:tcW w:w="0" w:type="auto"/>
          </w:tcPr>
          <w:p w14:paraId="07333E62" w14:textId="5BEE3E6B" w:rsidR="00DB41A5" w:rsidRPr="007379B7" w:rsidRDefault="00DB41A5" w:rsidP="007379B7">
            <w:pPr>
              <w:pStyle w:val="NoSpacing"/>
              <w:rPr>
                <w:rFonts w:cstheme="minorHAnsi"/>
                <w:w w:val="95"/>
              </w:rPr>
            </w:pPr>
            <w:r w:rsidRPr="007379B7">
              <w:rPr>
                <w:rFonts w:cstheme="minorHAnsi"/>
                <w:w w:val="85"/>
              </w:rPr>
              <w:t>0.44</w:t>
            </w:r>
          </w:p>
        </w:tc>
        <w:tc>
          <w:tcPr>
            <w:tcW w:w="0" w:type="auto"/>
          </w:tcPr>
          <w:p w14:paraId="53ECD9B7" w14:textId="5DDD6F87" w:rsidR="00DB41A5" w:rsidRPr="007379B7" w:rsidRDefault="00DB41A5" w:rsidP="007379B7">
            <w:pPr>
              <w:pStyle w:val="NoSpacing"/>
              <w:rPr>
                <w:rFonts w:cstheme="minorHAnsi"/>
              </w:rPr>
            </w:pPr>
            <w:r w:rsidRPr="007379B7">
              <w:rPr>
                <w:rFonts w:cstheme="minorHAnsi"/>
                <w:w w:val="85"/>
              </w:rPr>
              <w:t>0.05</w:t>
            </w:r>
          </w:p>
        </w:tc>
        <w:tc>
          <w:tcPr>
            <w:tcW w:w="0" w:type="auto"/>
          </w:tcPr>
          <w:p w14:paraId="40693073" w14:textId="130C7406" w:rsidR="00DB41A5" w:rsidRPr="007379B7" w:rsidRDefault="00DB41A5" w:rsidP="007379B7">
            <w:pPr>
              <w:pStyle w:val="NoSpacing"/>
              <w:rPr>
                <w:rFonts w:cstheme="minorHAnsi"/>
                <w:w w:val="95"/>
              </w:rPr>
            </w:pPr>
            <w:r w:rsidRPr="007379B7">
              <w:rPr>
                <w:rFonts w:cstheme="minorHAnsi"/>
                <w:w w:val="85"/>
              </w:rPr>
              <w:t>.00</w:t>
            </w:r>
          </w:p>
        </w:tc>
      </w:tr>
      <w:tr w:rsidR="00DB41A5" w:rsidRPr="007379B7" w14:paraId="0817E1AA" w14:textId="77777777" w:rsidTr="001D16F2">
        <w:trPr>
          <w:trHeight w:val="299"/>
        </w:trPr>
        <w:tc>
          <w:tcPr>
            <w:tcW w:w="0" w:type="auto"/>
          </w:tcPr>
          <w:p w14:paraId="574BD297" w14:textId="5FCBC5D2" w:rsidR="00DB41A5" w:rsidRPr="007379B7" w:rsidRDefault="00DB41A5" w:rsidP="007379B7">
            <w:pPr>
              <w:pStyle w:val="NoSpacing"/>
              <w:rPr>
                <w:rFonts w:cstheme="minorHAnsi"/>
              </w:rPr>
            </w:pPr>
            <w:r w:rsidRPr="007379B7">
              <w:rPr>
                <w:rFonts w:cstheme="minorHAnsi"/>
              </w:rPr>
              <w:t>Single beer density</w:t>
            </w:r>
          </w:p>
        </w:tc>
        <w:tc>
          <w:tcPr>
            <w:tcW w:w="0" w:type="auto"/>
          </w:tcPr>
          <w:p w14:paraId="12DAD5DB" w14:textId="2770F99C" w:rsidR="00DB41A5" w:rsidRPr="007379B7" w:rsidRDefault="00DB41A5" w:rsidP="007379B7">
            <w:pPr>
              <w:pStyle w:val="NoSpacing"/>
              <w:rPr>
                <w:rFonts w:cstheme="minorHAnsi"/>
                <w:w w:val="95"/>
              </w:rPr>
            </w:pPr>
            <w:r w:rsidRPr="007379B7">
              <w:rPr>
                <w:rFonts w:cstheme="minorHAnsi"/>
                <w:w w:val="85"/>
              </w:rPr>
              <w:t>0.13</w:t>
            </w:r>
          </w:p>
        </w:tc>
        <w:tc>
          <w:tcPr>
            <w:tcW w:w="0" w:type="auto"/>
          </w:tcPr>
          <w:p w14:paraId="704AF4B8" w14:textId="342493DD" w:rsidR="00DB41A5" w:rsidRPr="007379B7" w:rsidRDefault="00DB41A5" w:rsidP="007379B7">
            <w:pPr>
              <w:pStyle w:val="NoSpacing"/>
              <w:rPr>
                <w:rFonts w:cstheme="minorHAnsi"/>
              </w:rPr>
            </w:pPr>
            <w:r w:rsidRPr="007379B7">
              <w:rPr>
                <w:rFonts w:cstheme="minorHAnsi"/>
                <w:w w:val="85"/>
              </w:rPr>
              <w:t>0.03</w:t>
            </w:r>
          </w:p>
        </w:tc>
        <w:tc>
          <w:tcPr>
            <w:tcW w:w="0" w:type="auto"/>
          </w:tcPr>
          <w:p w14:paraId="069B1F99" w14:textId="7A4955FB" w:rsidR="00DB41A5" w:rsidRPr="007379B7" w:rsidRDefault="00DB41A5" w:rsidP="007379B7">
            <w:pPr>
              <w:pStyle w:val="NoSpacing"/>
              <w:rPr>
                <w:rFonts w:cstheme="minorHAnsi"/>
                <w:w w:val="95"/>
              </w:rPr>
            </w:pPr>
            <w:r w:rsidRPr="007379B7">
              <w:rPr>
                <w:rFonts w:cstheme="minorHAnsi"/>
                <w:w w:val="85"/>
              </w:rPr>
              <w:t>.00</w:t>
            </w:r>
          </w:p>
        </w:tc>
      </w:tr>
      <w:tr w:rsidR="00DB41A5" w:rsidRPr="007379B7" w14:paraId="0E8FF01A" w14:textId="77777777" w:rsidTr="001D16F2">
        <w:trPr>
          <w:trHeight w:val="299"/>
        </w:trPr>
        <w:tc>
          <w:tcPr>
            <w:tcW w:w="0" w:type="auto"/>
          </w:tcPr>
          <w:p w14:paraId="2B5EBDF6" w14:textId="6A747013" w:rsidR="00DB41A5" w:rsidRPr="007379B7" w:rsidRDefault="00DB41A5" w:rsidP="007379B7">
            <w:pPr>
              <w:pStyle w:val="NoSpacing"/>
              <w:rPr>
                <w:rFonts w:cstheme="minorHAnsi"/>
              </w:rPr>
            </w:pPr>
            <w:r w:rsidRPr="007379B7">
              <w:rPr>
                <w:rFonts w:cstheme="minorHAnsi"/>
              </w:rPr>
              <w:t>Constant</w:t>
            </w:r>
          </w:p>
        </w:tc>
        <w:tc>
          <w:tcPr>
            <w:tcW w:w="0" w:type="auto"/>
          </w:tcPr>
          <w:p w14:paraId="6CAA58B6" w14:textId="0FFC6657" w:rsidR="00DB41A5" w:rsidRPr="007379B7" w:rsidRDefault="00DB41A5" w:rsidP="007379B7">
            <w:pPr>
              <w:pStyle w:val="NoSpacing"/>
              <w:rPr>
                <w:rFonts w:cstheme="minorHAnsi"/>
                <w:w w:val="95"/>
              </w:rPr>
            </w:pPr>
            <w:r w:rsidRPr="007379B7">
              <w:rPr>
                <w:rFonts w:cstheme="minorHAnsi"/>
                <w:w w:val="85"/>
              </w:rPr>
              <w:t>0.01</w:t>
            </w:r>
          </w:p>
        </w:tc>
        <w:tc>
          <w:tcPr>
            <w:tcW w:w="0" w:type="auto"/>
          </w:tcPr>
          <w:p w14:paraId="5E1A2FDB" w14:textId="60EEDE7C" w:rsidR="00DB41A5" w:rsidRPr="007379B7" w:rsidRDefault="00DB41A5" w:rsidP="007379B7">
            <w:pPr>
              <w:pStyle w:val="NoSpacing"/>
              <w:rPr>
                <w:rFonts w:cstheme="minorHAnsi"/>
              </w:rPr>
            </w:pPr>
            <w:r w:rsidRPr="007379B7">
              <w:rPr>
                <w:rFonts w:cstheme="minorHAnsi"/>
                <w:w w:val="85"/>
              </w:rPr>
              <w:t>0.03</w:t>
            </w:r>
          </w:p>
        </w:tc>
        <w:tc>
          <w:tcPr>
            <w:tcW w:w="0" w:type="auto"/>
          </w:tcPr>
          <w:p w14:paraId="2DAADA92" w14:textId="46DA34CE" w:rsidR="00DB41A5" w:rsidRPr="007379B7" w:rsidRDefault="00DB41A5" w:rsidP="007379B7">
            <w:pPr>
              <w:pStyle w:val="NoSpacing"/>
              <w:rPr>
                <w:rFonts w:cstheme="minorHAnsi"/>
                <w:w w:val="95"/>
              </w:rPr>
            </w:pPr>
            <w:r w:rsidRPr="007379B7">
              <w:rPr>
                <w:rFonts w:cstheme="minorHAnsi"/>
                <w:w w:val="85"/>
              </w:rPr>
              <w:t>.84</w:t>
            </w:r>
          </w:p>
        </w:tc>
      </w:tr>
      <w:tr w:rsidR="00DB41A5" w:rsidRPr="007379B7" w14:paraId="3460EEFC" w14:textId="77777777" w:rsidTr="001D16F2">
        <w:trPr>
          <w:trHeight w:val="299"/>
        </w:trPr>
        <w:tc>
          <w:tcPr>
            <w:tcW w:w="0" w:type="auto"/>
          </w:tcPr>
          <w:p w14:paraId="55AABA48" w14:textId="3C28A30B" w:rsidR="00DB41A5" w:rsidRPr="007379B7" w:rsidRDefault="00DB41A5" w:rsidP="007379B7">
            <w:pPr>
              <w:pStyle w:val="NoSpacing"/>
              <w:rPr>
                <w:rFonts w:cstheme="minorHAnsi"/>
              </w:rPr>
            </w:pPr>
            <w:r w:rsidRPr="007379B7">
              <w:rPr>
                <w:rFonts w:cstheme="minorHAnsi"/>
                <w:i/>
                <w:iCs/>
                <w:position w:val="-5"/>
              </w:rPr>
              <w:t>R</w:t>
            </w:r>
            <w:r w:rsidRPr="007379B7">
              <w:rPr>
                <w:rFonts w:cstheme="minorHAnsi"/>
                <w:vertAlign w:val="superscript"/>
              </w:rPr>
              <w:t>2</w:t>
            </w:r>
          </w:p>
        </w:tc>
        <w:tc>
          <w:tcPr>
            <w:tcW w:w="0" w:type="auto"/>
          </w:tcPr>
          <w:p w14:paraId="11B940DD" w14:textId="77777777" w:rsidR="00DB41A5" w:rsidRPr="007379B7" w:rsidRDefault="00DB41A5" w:rsidP="007379B7">
            <w:pPr>
              <w:pStyle w:val="NoSpacing"/>
              <w:rPr>
                <w:rFonts w:cstheme="minorHAnsi"/>
                <w:w w:val="95"/>
              </w:rPr>
            </w:pPr>
          </w:p>
        </w:tc>
        <w:tc>
          <w:tcPr>
            <w:tcW w:w="0" w:type="auto"/>
          </w:tcPr>
          <w:p w14:paraId="0AFA168F" w14:textId="7E03BF86" w:rsidR="00DB41A5" w:rsidRPr="007379B7" w:rsidRDefault="00DB41A5" w:rsidP="007379B7">
            <w:pPr>
              <w:pStyle w:val="NoSpacing"/>
              <w:rPr>
                <w:rFonts w:cstheme="minorHAnsi"/>
              </w:rPr>
            </w:pPr>
            <w:r w:rsidRPr="007379B7">
              <w:rPr>
                <w:rFonts w:cstheme="minorHAnsi"/>
                <w:w w:val="85"/>
              </w:rPr>
              <w:t>.54</w:t>
            </w:r>
          </w:p>
        </w:tc>
        <w:tc>
          <w:tcPr>
            <w:tcW w:w="0" w:type="auto"/>
          </w:tcPr>
          <w:p w14:paraId="37402F3C" w14:textId="77777777" w:rsidR="00DB41A5" w:rsidRPr="007379B7" w:rsidRDefault="00DB41A5" w:rsidP="007379B7">
            <w:pPr>
              <w:pStyle w:val="NoSpacing"/>
              <w:rPr>
                <w:rFonts w:cstheme="minorHAnsi"/>
                <w:w w:val="95"/>
              </w:rPr>
            </w:pPr>
          </w:p>
        </w:tc>
      </w:tr>
      <w:tr w:rsidR="00DB41A5" w:rsidRPr="007379B7" w14:paraId="46CF01EA" w14:textId="77777777" w:rsidTr="001D16F2">
        <w:trPr>
          <w:trHeight w:val="299"/>
        </w:trPr>
        <w:tc>
          <w:tcPr>
            <w:tcW w:w="0" w:type="auto"/>
          </w:tcPr>
          <w:p w14:paraId="4C5A0A7B" w14:textId="70D77269" w:rsidR="00DB41A5" w:rsidRPr="007379B7" w:rsidRDefault="00DB41A5" w:rsidP="007379B7">
            <w:pPr>
              <w:pStyle w:val="NoSpacing"/>
              <w:rPr>
                <w:rFonts w:cstheme="minorHAnsi"/>
              </w:rPr>
            </w:pPr>
            <w:r w:rsidRPr="007379B7">
              <w:rPr>
                <w:rFonts w:cstheme="minorHAnsi"/>
              </w:rPr>
              <w:t>Log likelihood</w:t>
            </w:r>
          </w:p>
        </w:tc>
        <w:tc>
          <w:tcPr>
            <w:tcW w:w="0" w:type="auto"/>
          </w:tcPr>
          <w:p w14:paraId="3550EB1F" w14:textId="77777777" w:rsidR="00DB41A5" w:rsidRPr="007379B7" w:rsidRDefault="00DB41A5" w:rsidP="007379B7">
            <w:pPr>
              <w:pStyle w:val="NoSpacing"/>
              <w:rPr>
                <w:rFonts w:cstheme="minorHAnsi"/>
                <w:w w:val="95"/>
              </w:rPr>
            </w:pPr>
          </w:p>
        </w:tc>
        <w:tc>
          <w:tcPr>
            <w:tcW w:w="0" w:type="auto"/>
          </w:tcPr>
          <w:p w14:paraId="7C58E750" w14:textId="144D145E" w:rsidR="00DB41A5" w:rsidRPr="007379B7" w:rsidRDefault="00DB41A5" w:rsidP="007379B7">
            <w:pPr>
              <w:pStyle w:val="NoSpacing"/>
              <w:rPr>
                <w:rFonts w:cstheme="minorHAnsi"/>
              </w:rPr>
            </w:pPr>
            <w:r w:rsidRPr="007379B7">
              <w:rPr>
                <w:rFonts w:cstheme="minorHAnsi"/>
              </w:rPr>
              <w:t>−599.53</w:t>
            </w:r>
          </w:p>
        </w:tc>
        <w:tc>
          <w:tcPr>
            <w:tcW w:w="0" w:type="auto"/>
          </w:tcPr>
          <w:p w14:paraId="79AEED35" w14:textId="77777777" w:rsidR="00DB41A5" w:rsidRPr="007379B7" w:rsidRDefault="00DB41A5" w:rsidP="007379B7">
            <w:pPr>
              <w:pStyle w:val="NoSpacing"/>
              <w:rPr>
                <w:rFonts w:cstheme="minorHAnsi"/>
                <w:w w:val="95"/>
              </w:rPr>
            </w:pPr>
          </w:p>
        </w:tc>
      </w:tr>
      <w:tr w:rsidR="00DB41A5" w:rsidRPr="007379B7" w14:paraId="27B19F47" w14:textId="77777777" w:rsidTr="001D16F2">
        <w:trPr>
          <w:trHeight w:val="299"/>
        </w:trPr>
        <w:tc>
          <w:tcPr>
            <w:tcW w:w="0" w:type="auto"/>
          </w:tcPr>
          <w:p w14:paraId="10539B5C" w14:textId="6C13151D" w:rsidR="00DB41A5" w:rsidRPr="007379B7" w:rsidRDefault="00DB41A5" w:rsidP="007379B7">
            <w:pPr>
              <w:pStyle w:val="NoSpacing"/>
              <w:rPr>
                <w:rFonts w:cstheme="minorHAnsi"/>
              </w:rPr>
            </w:pPr>
            <w:r w:rsidRPr="007379B7">
              <w:rPr>
                <w:rFonts w:cstheme="minorHAnsi"/>
              </w:rPr>
              <w:t>Akaike information criterion</w:t>
            </w:r>
          </w:p>
        </w:tc>
        <w:tc>
          <w:tcPr>
            <w:tcW w:w="0" w:type="auto"/>
          </w:tcPr>
          <w:p w14:paraId="727BCEF8" w14:textId="77777777" w:rsidR="00DB41A5" w:rsidRPr="007379B7" w:rsidRDefault="00DB41A5" w:rsidP="007379B7">
            <w:pPr>
              <w:pStyle w:val="NoSpacing"/>
              <w:rPr>
                <w:rFonts w:cstheme="minorHAnsi"/>
                <w:w w:val="95"/>
              </w:rPr>
            </w:pPr>
          </w:p>
        </w:tc>
        <w:tc>
          <w:tcPr>
            <w:tcW w:w="0" w:type="auto"/>
          </w:tcPr>
          <w:p w14:paraId="12BFE2ED" w14:textId="331DF7DE" w:rsidR="00DB41A5" w:rsidRPr="007379B7" w:rsidRDefault="00DB41A5" w:rsidP="007379B7">
            <w:pPr>
              <w:pStyle w:val="NoSpacing"/>
              <w:rPr>
                <w:rFonts w:cstheme="minorHAnsi"/>
              </w:rPr>
            </w:pPr>
            <w:r w:rsidRPr="007379B7">
              <w:rPr>
                <w:rFonts w:cstheme="minorHAnsi"/>
              </w:rPr>
              <w:t>1,217.06</w:t>
            </w:r>
          </w:p>
        </w:tc>
        <w:tc>
          <w:tcPr>
            <w:tcW w:w="0" w:type="auto"/>
          </w:tcPr>
          <w:p w14:paraId="6671680D" w14:textId="77777777" w:rsidR="00DB41A5" w:rsidRPr="007379B7" w:rsidRDefault="00DB41A5" w:rsidP="007379B7">
            <w:pPr>
              <w:pStyle w:val="NoSpacing"/>
              <w:rPr>
                <w:rFonts w:cstheme="minorHAnsi"/>
                <w:w w:val="95"/>
              </w:rPr>
            </w:pPr>
          </w:p>
        </w:tc>
      </w:tr>
      <w:tr w:rsidR="00DB41A5" w:rsidRPr="007379B7" w14:paraId="67B9A51D" w14:textId="77777777" w:rsidTr="001D16F2">
        <w:trPr>
          <w:trHeight w:val="299"/>
        </w:trPr>
        <w:tc>
          <w:tcPr>
            <w:tcW w:w="0" w:type="auto"/>
          </w:tcPr>
          <w:p w14:paraId="00DB9DF1" w14:textId="1FBABCB8" w:rsidR="00DB41A5" w:rsidRPr="007379B7" w:rsidRDefault="00DB41A5" w:rsidP="007379B7">
            <w:pPr>
              <w:pStyle w:val="NoSpacing"/>
              <w:rPr>
                <w:rFonts w:cstheme="minorHAnsi"/>
              </w:rPr>
            </w:pPr>
            <w:r w:rsidRPr="007379B7">
              <w:rPr>
                <w:rFonts w:cstheme="minorHAnsi"/>
              </w:rPr>
              <w:t>Schwarz criterion</w:t>
            </w:r>
          </w:p>
        </w:tc>
        <w:tc>
          <w:tcPr>
            <w:tcW w:w="0" w:type="auto"/>
          </w:tcPr>
          <w:p w14:paraId="0446E066" w14:textId="77777777" w:rsidR="00DB41A5" w:rsidRPr="007379B7" w:rsidRDefault="00DB41A5" w:rsidP="007379B7">
            <w:pPr>
              <w:pStyle w:val="NoSpacing"/>
              <w:rPr>
                <w:rFonts w:cstheme="minorHAnsi"/>
                <w:w w:val="95"/>
              </w:rPr>
            </w:pPr>
          </w:p>
        </w:tc>
        <w:tc>
          <w:tcPr>
            <w:tcW w:w="0" w:type="auto"/>
          </w:tcPr>
          <w:p w14:paraId="2E1B653A" w14:textId="59E693BE" w:rsidR="00DB41A5" w:rsidRPr="007379B7" w:rsidRDefault="00DB41A5" w:rsidP="007379B7">
            <w:pPr>
              <w:pStyle w:val="NoSpacing"/>
              <w:rPr>
                <w:rFonts w:cstheme="minorHAnsi"/>
              </w:rPr>
            </w:pPr>
            <w:r w:rsidRPr="007379B7">
              <w:rPr>
                <w:rFonts w:cstheme="minorHAnsi"/>
              </w:rPr>
              <w:t>1,256.2</w:t>
            </w:r>
          </w:p>
        </w:tc>
        <w:tc>
          <w:tcPr>
            <w:tcW w:w="0" w:type="auto"/>
          </w:tcPr>
          <w:p w14:paraId="6C071B92" w14:textId="77777777" w:rsidR="00DB41A5" w:rsidRPr="007379B7" w:rsidRDefault="00DB41A5" w:rsidP="007379B7">
            <w:pPr>
              <w:pStyle w:val="NoSpacing"/>
              <w:rPr>
                <w:rFonts w:cstheme="minorHAnsi"/>
                <w:w w:val="95"/>
              </w:rPr>
            </w:pPr>
          </w:p>
        </w:tc>
      </w:tr>
      <w:tr w:rsidR="00DB41A5" w:rsidRPr="007379B7" w14:paraId="3B236F0C" w14:textId="77777777" w:rsidTr="001D16F2">
        <w:trPr>
          <w:trHeight w:val="299"/>
        </w:trPr>
        <w:tc>
          <w:tcPr>
            <w:tcW w:w="0" w:type="auto"/>
          </w:tcPr>
          <w:p w14:paraId="547519D9" w14:textId="7DBEC300" w:rsidR="00DB41A5" w:rsidRPr="007379B7" w:rsidRDefault="00DB41A5" w:rsidP="007379B7">
            <w:pPr>
              <w:pStyle w:val="NoSpacing"/>
              <w:rPr>
                <w:rFonts w:cstheme="minorHAnsi"/>
              </w:rPr>
            </w:pPr>
            <w:r w:rsidRPr="007379B7">
              <w:rPr>
                <w:rFonts w:cstheme="minorHAnsi"/>
              </w:rPr>
              <w:t>Number of observations</w:t>
            </w:r>
          </w:p>
        </w:tc>
        <w:tc>
          <w:tcPr>
            <w:tcW w:w="0" w:type="auto"/>
          </w:tcPr>
          <w:p w14:paraId="2B6D8BBA" w14:textId="77777777" w:rsidR="00DB41A5" w:rsidRPr="007379B7" w:rsidRDefault="00DB41A5" w:rsidP="007379B7">
            <w:pPr>
              <w:pStyle w:val="NoSpacing"/>
              <w:rPr>
                <w:rFonts w:cstheme="minorHAnsi"/>
                <w:w w:val="95"/>
              </w:rPr>
            </w:pPr>
          </w:p>
        </w:tc>
        <w:tc>
          <w:tcPr>
            <w:tcW w:w="0" w:type="auto"/>
          </w:tcPr>
          <w:p w14:paraId="249615A5" w14:textId="1A4BD52F" w:rsidR="00DB41A5" w:rsidRPr="007379B7" w:rsidRDefault="00DB41A5" w:rsidP="007379B7">
            <w:pPr>
              <w:pStyle w:val="NoSpacing"/>
              <w:rPr>
                <w:rFonts w:cstheme="minorHAnsi"/>
              </w:rPr>
            </w:pPr>
            <w:r w:rsidRPr="007379B7">
              <w:rPr>
                <w:rFonts w:cstheme="minorHAnsi"/>
              </w:rPr>
              <w:t>572</w:t>
            </w:r>
          </w:p>
        </w:tc>
        <w:tc>
          <w:tcPr>
            <w:tcW w:w="0" w:type="auto"/>
          </w:tcPr>
          <w:p w14:paraId="2CC921D3" w14:textId="77777777" w:rsidR="00DB41A5" w:rsidRPr="007379B7" w:rsidRDefault="00DB41A5" w:rsidP="007379B7">
            <w:pPr>
              <w:pStyle w:val="NoSpacing"/>
              <w:rPr>
                <w:rFonts w:cstheme="minorHAnsi"/>
                <w:w w:val="95"/>
              </w:rPr>
            </w:pPr>
          </w:p>
        </w:tc>
      </w:tr>
      <w:tr w:rsidR="00DB41A5" w:rsidRPr="007379B7" w14:paraId="4944D250" w14:textId="77777777" w:rsidTr="001D16F2">
        <w:trPr>
          <w:trHeight w:val="299"/>
        </w:trPr>
        <w:tc>
          <w:tcPr>
            <w:tcW w:w="0" w:type="auto"/>
          </w:tcPr>
          <w:p w14:paraId="2EC1C8B3" w14:textId="6A3E1B0D" w:rsidR="00DB41A5" w:rsidRPr="007379B7" w:rsidRDefault="00DB41A5" w:rsidP="007379B7">
            <w:pPr>
              <w:pStyle w:val="NoSpacing"/>
              <w:rPr>
                <w:rFonts w:cstheme="minorHAnsi"/>
              </w:rPr>
            </w:pPr>
            <w:r w:rsidRPr="007379B7">
              <w:rPr>
                <w:rFonts w:cstheme="minorHAnsi"/>
              </w:rPr>
              <w:t>Number of variables</w:t>
            </w:r>
          </w:p>
        </w:tc>
        <w:tc>
          <w:tcPr>
            <w:tcW w:w="0" w:type="auto"/>
          </w:tcPr>
          <w:p w14:paraId="5B3D5444" w14:textId="77777777" w:rsidR="00DB41A5" w:rsidRPr="007379B7" w:rsidRDefault="00DB41A5" w:rsidP="007379B7">
            <w:pPr>
              <w:pStyle w:val="NoSpacing"/>
              <w:rPr>
                <w:rFonts w:cstheme="minorHAnsi"/>
                <w:w w:val="95"/>
              </w:rPr>
            </w:pPr>
          </w:p>
        </w:tc>
        <w:tc>
          <w:tcPr>
            <w:tcW w:w="0" w:type="auto"/>
          </w:tcPr>
          <w:p w14:paraId="5AD69B5B" w14:textId="6BA0BDA7" w:rsidR="00DB41A5" w:rsidRPr="007379B7" w:rsidRDefault="00DB41A5" w:rsidP="007379B7">
            <w:pPr>
              <w:pStyle w:val="NoSpacing"/>
              <w:rPr>
                <w:rFonts w:cstheme="minorHAnsi"/>
              </w:rPr>
            </w:pPr>
            <w:r w:rsidRPr="007379B7">
              <w:rPr>
                <w:rFonts w:cstheme="minorHAnsi"/>
                <w:w w:val="91"/>
              </w:rPr>
              <w:t>9</w:t>
            </w:r>
          </w:p>
        </w:tc>
        <w:tc>
          <w:tcPr>
            <w:tcW w:w="0" w:type="auto"/>
          </w:tcPr>
          <w:p w14:paraId="7612C60D" w14:textId="77777777" w:rsidR="00DB41A5" w:rsidRPr="007379B7" w:rsidRDefault="00DB41A5" w:rsidP="007379B7">
            <w:pPr>
              <w:pStyle w:val="NoSpacing"/>
              <w:rPr>
                <w:rFonts w:cstheme="minorHAnsi"/>
                <w:w w:val="95"/>
              </w:rPr>
            </w:pPr>
          </w:p>
        </w:tc>
      </w:tr>
      <w:tr w:rsidR="00DB41A5" w:rsidRPr="007379B7" w14:paraId="20F8A001" w14:textId="77777777" w:rsidTr="001D16F2">
        <w:trPr>
          <w:trHeight w:val="299"/>
        </w:trPr>
        <w:tc>
          <w:tcPr>
            <w:tcW w:w="0" w:type="auto"/>
          </w:tcPr>
          <w:p w14:paraId="0C0C1972" w14:textId="10989A25" w:rsidR="00DB41A5" w:rsidRPr="007379B7" w:rsidRDefault="00DB41A5" w:rsidP="007379B7">
            <w:pPr>
              <w:pStyle w:val="NoSpacing"/>
              <w:rPr>
                <w:rFonts w:cstheme="minorHAnsi"/>
              </w:rPr>
            </w:pPr>
            <w:r w:rsidRPr="007379B7">
              <w:rPr>
                <w:rFonts w:cstheme="minorHAnsi"/>
              </w:rPr>
              <w:t>Degrees of freedom</w:t>
            </w:r>
          </w:p>
        </w:tc>
        <w:tc>
          <w:tcPr>
            <w:tcW w:w="0" w:type="auto"/>
          </w:tcPr>
          <w:p w14:paraId="4738D1AD" w14:textId="77777777" w:rsidR="00DB41A5" w:rsidRPr="007379B7" w:rsidRDefault="00DB41A5" w:rsidP="007379B7">
            <w:pPr>
              <w:pStyle w:val="NoSpacing"/>
              <w:rPr>
                <w:rFonts w:cstheme="minorHAnsi"/>
                <w:w w:val="95"/>
              </w:rPr>
            </w:pPr>
          </w:p>
        </w:tc>
        <w:tc>
          <w:tcPr>
            <w:tcW w:w="0" w:type="auto"/>
          </w:tcPr>
          <w:p w14:paraId="69D0BA94" w14:textId="495E3543" w:rsidR="00DB41A5" w:rsidRPr="007379B7" w:rsidRDefault="00DB41A5" w:rsidP="007379B7">
            <w:pPr>
              <w:pStyle w:val="NoSpacing"/>
              <w:rPr>
                <w:rFonts w:cstheme="minorHAnsi"/>
              </w:rPr>
            </w:pPr>
            <w:r w:rsidRPr="007379B7">
              <w:rPr>
                <w:rFonts w:cstheme="minorHAnsi"/>
              </w:rPr>
              <w:t>563</w:t>
            </w:r>
          </w:p>
        </w:tc>
        <w:tc>
          <w:tcPr>
            <w:tcW w:w="0" w:type="auto"/>
          </w:tcPr>
          <w:p w14:paraId="0792ACB7" w14:textId="77777777" w:rsidR="00DB41A5" w:rsidRPr="007379B7" w:rsidRDefault="00DB41A5" w:rsidP="007379B7">
            <w:pPr>
              <w:pStyle w:val="NoSpacing"/>
              <w:rPr>
                <w:rFonts w:cstheme="minorHAnsi"/>
                <w:w w:val="95"/>
              </w:rPr>
            </w:pPr>
          </w:p>
        </w:tc>
      </w:tr>
      <w:tr w:rsidR="00DB41A5" w:rsidRPr="007379B7" w14:paraId="351683DF" w14:textId="77777777" w:rsidTr="001D16F2">
        <w:trPr>
          <w:trHeight w:val="299"/>
        </w:trPr>
        <w:tc>
          <w:tcPr>
            <w:tcW w:w="0" w:type="auto"/>
          </w:tcPr>
          <w:p w14:paraId="5F6AC9CF" w14:textId="3E2E318B" w:rsidR="00DB41A5" w:rsidRPr="007379B7" w:rsidRDefault="00DB41A5" w:rsidP="007379B7">
            <w:pPr>
              <w:pStyle w:val="NoSpacing"/>
              <w:rPr>
                <w:rFonts w:cstheme="minorHAnsi"/>
              </w:rPr>
            </w:pPr>
            <w:r w:rsidRPr="007379B7">
              <w:rPr>
                <w:rFonts w:cstheme="minorHAnsi"/>
                <w:w w:val="95"/>
              </w:rPr>
              <w:t>Multicollinearity condition number</w:t>
            </w:r>
          </w:p>
        </w:tc>
        <w:tc>
          <w:tcPr>
            <w:tcW w:w="0" w:type="auto"/>
          </w:tcPr>
          <w:p w14:paraId="1ECCEB75" w14:textId="77777777" w:rsidR="00DB41A5" w:rsidRPr="007379B7" w:rsidRDefault="00DB41A5" w:rsidP="007379B7">
            <w:pPr>
              <w:pStyle w:val="NoSpacing"/>
              <w:rPr>
                <w:rFonts w:cstheme="minorHAnsi"/>
                <w:w w:val="95"/>
              </w:rPr>
            </w:pPr>
          </w:p>
        </w:tc>
        <w:tc>
          <w:tcPr>
            <w:tcW w:w="0" w:type="auto"/>
          </w:tcPr>
          <w:p w14:paraId="3671B881" w14:textId="0D2F720C" w:rsidR="00DB41A5" w:rsidRPr="007379B7" w:rsidRDefault="00DB41A5" w:rsidP="007379B7">
            <w:pPr>
              <w:pStyle w:val="NoSpacing"/>
              <w:rPr>
                <w:rFonts w:cstheme="minorHAnsi"/>
              </w:rPr>
            </w:pPr>
            <w:r w:rsidRPr="007379B7">
              <w:rPr>
                <w:rFonts w:cstheme="minorHAnsi"/>
                <w:w w:val="85"/>
              </w:rPr>
              <w:t>3.01</w:t>
            </w:r>
          </w:p>
        </w:tc>
        <w:tc>
          <w:tcPr>
            <w:tcW w:w="0" w:type="auto"/>
          </w:tcPr>
          <w:p w14:paraId="43BFEDE7" w14:textId="77777777" w:rsidR="00DB41A5" w:rsidRPr="007379B7" w:rsidRDefault="00DB41A5" w:rsidP="007379B7">
            <w:pPr>
              <w:pStyle w:val="NoSpacing"/>
              <w:rPr>
                <w:rFonts w:cstheme="minorHAnsi"/>
                <w:w w:val="95"/>
              </w:rPr>
            </w:pPr>
          </w:p>
        </w:tc>
      </w:tr>
      <w:tr w:rsidR="00DB41A5" w:rsidRPr="007379B7" w14:paraId="643ED1A1" w14:textId="77777777" w:rsidTr="001D16F2">
        <w:trPr>
          <w:trHeight w:val="299"/>
        </w:trPr>
        <w:tc>
          <w:tcPr>
            <w:tcW w:w="0" w:type="auto"/>
          </w:tcPr>
          <w:p w14:paraId="16B57CB4" w14:textId="7036F3F3" w:rsidR="00DB41A5" w:rsidRPr="007379B7" w:rsidRDefault="00DB41A5" w:rsidP="007379B7">
            <w:pPr>
              <w:pStyle w:val="NoSpacing"/>
              <w:rPr>
                <w:rFonts w:cstheme="minorHAnsi"/>
              </w:rPr>
            </w:pPr>
            <w:r w:rsidRPr="007379B7">
              <w:rPr>
                <w:rFonts w:cstheme="minorHAnsi"/>
              </w:rPr>
              <w:lastRenderedPageBreak/>
              <w:t>Model 8: Single spirit availability</w:t>
            </w:r>
          </w:p>
        </w:tc>
        <w:tc>
          <w:tcPr>
            <w:tcW w:w="0" w:type="auto"/>
          </w:tcPr>
          <w:p w14:paraId="4B7DB0A0" w14:textId="77777777" w:rsidR="00DB41A5" w:rsidRPr="007379B7" w:rsidRDefault="00DB41A5" w:rsidP="007379B7">
            <w:pPr>
              <w:pStyle w:val="NoSpacing"/>
              <w:rPr>
                <w:rFonts w:cstheme="minorHAnsi"/>
                <w:w w:val="95"/>
              </w:rPr>
            </w:pPr>
          </w:p>
        </w:tc>
        <w:tc>
          <w:tcPr>
            <w:tcW w:w="0" w:type="auto"/>
          </w:tcPr>
          <w:p w14:paraId="2FEDBC8C" w14:textId="77777777" w:rsidR="00DB41A5" w:rsidRPr="007379B7" w:rsidRDefault="00DB41A5" w:rsidP="007379B7">
            <w:pPr>
              <w:pStyle w:val="NoSpacing"/>
              <w:rPr>
                <w:rFonts w:cstheme="minorHAnsi"/>
              </w:rPr>
            </w:pPr>
          </w:p>
        </w:tc>
        <w:tc>
          <w:tcPr>
            <w:tcW w:w="0" w:type="auto"/>
          </w:tcPr>
          <w:p w14:paraId="4E671934" w14:textId="77777777" w:rsidR="00DB41A5" w:rsidRPr="007379B7" w:rsidRDefault="00DB41A5" w:rsidP="007379B7">
            <w:pPr>
              <w:pStyle w:val="NoSpacing"/>
              <w:rPr>
                <w:rFonts w:cstheme="minorHAnsi"/>
                <w:w w:val="95"/>
              </w:rPr>
            </w:pPr>
          </w:p>
        </w:tc>
      </w:tr>
      <w:tr w:rsidR="00DB41A5" w:rsidRPr="007379B7" w14:paraId="40991B8C" w14:textId="77777777" w:rsidTr="001D16F2">
        <w:trPr>
          <w:trHeight w:val="299"/>
        </w:trPr>
        <w:tc>
          <w:tcPr>
            <w:tcW w:w="0" w:type="auto"/>
          </w:tcPr>
          <w:p w14:paraId="2B5D7A27" w14:textId="073996F5" w:rsidR="00DB41A5" w:rsidRPr="007379B7" w:rsidRDefault="00DB41A5" w:rsidP="007379B7">
            <w:pPr>
              <w:pStyle w:val="NoSpacing"/>
              <w:rPr>
                <w:rFonts w:cstheme="minorHAnsi"/>
              </w:rPr>
            </w:pPr>
            <w:r w:rsidRPr="007379B7">
              <w:rPr>
                <w:rFonts w:cstheme="minorHAnsi"/>
              </w:rPr>
              <w:t>Ethnic heterogeneity</w:t>
            </w:r>
          </w:p>
        </w:tc>
        <w:tc>
          <w:tcPr>
            <w:tcW w:w="0" w:type="auto"/>
          </w:tcPr>
          <w:p w14:paraId="3C23F6AC" w14:textId="4760FB36" w:rsidR="00DB41A5" w:rsidRPr="007379B7" w:rsidRDefault="00DB41A5" w:rsidP="007379B7">
            <w:pPr>
              <w:pStyle w:val="NoSpacing"/>
              <w:rPr>
                <w:rFonts w:cstheme="minorHAnsi"/>
                <w:w w:val="95"/>
              </w:rPr>
            </w:pPr>
            <w:r w:rsidRPr="007379B7">
              <w:rPr>
                <w:rFonts w:cstheme="minorHAnsi"/>
                <w:w w:val="85"/>
              </w:rPr>
              <w:t>−0.02</w:t>
            </w:r>
          </w:p>
        </w:tc>
        <w:tc>
          <w:tcPr>
            <w:tcW w:w="0" w:type="auto"/>
          </w:tcPr>
          <w:p w14:paraId="4ABAE96B" w14:textId="6E922805" w:rsidR="00DB41A5" w:rsidRPr="007379B7" w:rsidRDefault="00DB41A5" w:rsidP="007379B7">
            <w:pPr>
              <w:pStyle w:val="NoSpacing"/>
              <w:rPr>
                <w:rFonts w:cstheme="minorHAnsi"/>
              </w:rPr>
            </w:pPr>
            <w:r w:rsidRPr="007379B7">
              <w:rPr>
                <w:rFonts w:cstheme="minorHAnsi"/>
                <w:w w:val="85"/>
              </w:rPr>
              <w:t>0.03</w:t>
            </w:r>
          </w:p>
        </w:tc>
        <w:tc>
          <w:tcPr>
            <w:tcW w:w="0" w:type="auto"/>
          </w:tcPr>
          <w:p w14:paraId="7F998BE7" w14:textId="78164D1C" w:rsidR="00DB41A5" w:rsidRPr="007379B7" w:rsidRDefault="00DB41A5" w:rsidP="007379B7">
            <w:pPr>
              <w:pStyle w:val="NoSpacing"/>
              <w:rPr>
                <w:rFonts w:cstheme="minorHAnsi"/>
                <w:w w:val="95"/>
              </w:rPr>
            </w:pPr>
            <w:r w:rsidRPr="007379B7">
              <w:rPr>
                <w:rFonts w:cstheme="minorHAnsi"/>
                <w:w w:val="85"/>
              </w:rPr>
              <w:t>.54</w:t>
            </w:r>
          </w:p>
        </w:tc>
      </w:tr>
      <w:tr w:rsidR="00DB41A5" w:rsidRPr="007379B7" w14:paraId="6072FA6C" w14:textId="77777777" w:rsidTr="001D16F2">
        <w:trPr>
          <w:trHeight w:val="299"/>
        </w:trPr>
        <w:tc>
          <w:tcPr>
            <w:tcW w:w="0" w:type="auto"/>
          </w:tcPr>
          <w:p w14:paraId="636EE068" w14:textId="0A9930C6" w:rsidR="00DB41A5" w:rsidRPr="007379B7" w:rsidRDefault="00DB41A5" w:rsidP="007379B7">
            <w:pPr>
              <w:pStyle w:val="NoSpacing"/>
              <w:rPr>
                <w:rFonts w:cstheme="minorHAnsi"/>
              </w:rPr>
            </w:pPr>
            <w:r w:rsidRPr="007379B7">
              <w:rPr>
                <w:rFonts w:cstheme="minorHAnsi"/>
              </w:rPr>
              <w:t>Concentrated disadvantage</w:t>
            </w:r>
          </w:p>
        </w:tc>
        <w:tc>
          <w:tcPr>
            <w:tcW w:w="0" w:type="auto"/>
          </w:tcPr>
          <w:p w14:paraId="2FA3D2D8" w14:textId="31F0CA50" w:rsidR="00DB41A5" w:rsidRPr="007379B7" w:rsidRDefault="00DB41A5" w:rsidP="007379B7">
            <w:pPr>
              <w:pStyle w:val="NoSpacing"/>
              <w:rPr>
                <w:rFonts w:cstheme="minorHAnsi"/>
                <w:w w:val="95"/>
              </w:rPr>
            </w:pPr>
            <w:r w:rsidRPr="007379B7">
              <w:rPr>
                <w:rFonts w:cstheme="minorHAnsi"/>
                <w:w w:val="85"/>
              </w:rPr>
              <w:t>0.10</w:t>
            </w:r>
          </w:p>
        </w:tc>
        <w:tc>
          <w:tcPr>
            <w:tcW w:w="0" w:type="auto"/>
          </w:tcPr>
          <w:p w14:paraId="3ADC72E0" w14:textId="7D8E233E" w:rsidR="00DB41A5" w:rsidRPr="007379B7" w:rsidRDefault="00DB41A5" w:rsidP="007379B7">
            <w:pPr>
              <w:pStyle w:val="NoSpacing"/>
              <w:rPr>
                <w:rFonts w:cstheme="minorHAnsi"/>
              </w:rPr>
            </w:pPr>
            <w:r w:rsidRPr="007379B7">
              <w:rPr>
                <w:rFonts w:cstheme="minorHAnsi"/>
                <w:w w:val="85"/>
              </w:rPr>
              <w:t>0.04</w:t>
            </w:r>
          </w:p>
        </w:tc>
        <w:tc>
          <w:tcPr>
            <w:tcW w:w="0" w:type="auto"/>
          </w:tcPr>
          <w:p w14:paraId="362FBD03" w14:textId="50EB0CF7" w:rsidR="00DB41A5" w:rsidRPr="007379B7" w:rsidRDefault="00DB41A5" w:rsidP="007379B7">
            <w:pPr>
              <w:pStyle w:val="NoSpacing"/>
              <w:rPr>
                <w:rFonts w:cstheme="minorHAnsi"/>
                <w:w w:val="95"/>
              </w:rPr>
            </w:pPr>
            <w:r w:rsidRPr="007379B7">
              <w:rPr>
                <w:rFonts w:cstheme="minorHAnsi"/>
                <w:w w:val="85"/>
              </w:rPr>
              <w:t>.01</w:t>
            </w:r>
          </w:p>
        </w:tc>
      </w:tr>
      <w:tr w:rsidR="00DB41A5" w:rsidRPr="007379B7" w14:paraId="06585AEE" w14:textId="77777777" w:rsidTr="001D16F2">
        <w:trPr>
          <w:trHeight w:val="299"/>
        </w:trPr>
        <w:tc>
          <w:tcPr>
            <w:tcW w:w="0" w:type="auto"/>
          </w:tcPr>
          <w:p w14:paraId="3B5DF936" w14:textId="645D3AEB" w:rsidR="00DB41A5" w:rsidRPr="007379B7" w:rsidRDefault="00DB41A5" w:rsidP="007379B7">
            <w:pPr>
              <w:pStyle w:val="NoSpacing"/>
              <w:rPr>
                <w:rFonts w:cstheme="minorHAnsi"/>
              </w:rPr>
            </w:pPr>
            <w:r w:rsidRPr="007379B7">
              <w:rPr>
                <w:rFonts w:cstheme="minorHAnsi"/>
              </w:rPr>
              <w:t>Concentrated immigration</w:t>
            </w:r>
          </w:p>
        </w:tc>
        <w:tc>
          <w:tcPr>
            <w:tcW w:w="0" w:type="auto"/>
          </w:tcPr>
          <w:p w14:paraId="1F2E5753" w14:textId="67AA2562" w:rsidR="00DB41A5" w:rsidRPr="007379B7" w:rsidRDefault="00DB41A5" w:rsidP="007379B7">
            <w:pPr>
              <w:pStyle w:val="NoSpacing"/>
              <w:rPr>
                <w:rFonts w:cstheme="minorHAnsi"/>
                <w:w w:val="95"/>
              </w:rPr>
            </w:pPr>
            <w:r w:rsidRPr="007379B7">
              <w:rPr>
                <w:rFonts w:cstheme="minorHAnsi"/>
                <w:w w:val="85"/>
              </w:rPr>
              <w:t>0.11</w:t>
            </w:r>
          </w:p>
        </w:tc>
        <w:tc>
          <w:tcPr>
            <w:tcW w:w="0" w:type="auto"/>
          </w:tcPr>
          <w:p w14:paraId="4FD8C24D" w14:textId="0568FC8B" w:rsidR="00DB41A5" w:rsidRPr="007379B7" w:rsidRDefault="00DB41A5" w:rsidP="007379B7">
            <w:pPr>
              <w:pStyle w:val="NoSpacing"/>
              <w:rPr>
                <w:rFonts w:cstheme="minorHAnsi"/>
              </w:rPr>
            </w:pPr>
            <w:r w:rsidRPr="007379B7">
              <w:rPr>
                <w:rFonts w:cstheme="minorHAnsi"/>
                <w:w w:val="85"/>
              </w:rPr>
              <w:t>0.04</w:t>
            </w:r>
          </w:p>
        </w:tc>
        <w:tc>
          <w:tcPr>
            <w:tcW w:w="0" w:type="auto"/>
          </w:tcPr>
          <w:p w14:paraId="49A2D1D3" w14:textId="27AD0F1A" w:rsidR="00DB41A5" w:rsidRPr="007379B7" w:rsidRDefault="00DB41A5" w:rsidP="007379B7">
            <w:pPr>
              <w:pStyle w:val="NoSpacing"/>
              <w:rPr>
                <w:rFonts w:cstheme="minorHAnsi"/>
                <w:w w:val="95"/>
              </w:rPr>
            </w:pPr>
            <w:r w:rsidRPr="007379B7">
              <w:rPr>
                <w:rFonts w:cstheme="minorHAnsi"/>
                <w:w w:val="85"/>
              </w:rPr>
              <w:t>.01</w:t>
            </w:r>
          </w:p>
        </w:tc>
      </w:tr>
      <w:tr w:rsidR="00DB41A5" w:rsidRPr="007379B7" w14:paraId="0FB1645F" w14:textId="77777777" w:rsidTr="001D16F2">
        <w:trPr>
          <w:trHeight w:val="299"/>
        </w:trPr>
        <w:tc>
          <w:tcPr>
            <w:tcW w:w="0" w:type="auto"/>
          </w:tcPr>
          <w:p w14:paraId="410B98D8" w14:textId="35293189" w:rsidR="00DB41A5" w:rsidRPr="007379B7" w:rsidRDefault="00DB41A5" w:rsidP="007379B7">
            <w:pPr>
              <w:pStyle w:val="NoSpacing"/>
              <w:rPr>
                <w:rFonts w:cstheme="minorHAnsi"/>
              </w:rPr>
            </w:pPr>
            <w:r w:rsidRPr="007379B7">
              <w:rPr>
                <w:rFonts w:cstheme="minorHAnsi"/>
              </w:rPr>
              <w:t>Residential stability</w:t>
            </w:r>
          </w:p>
        </w:tc>
        <w:tc>
          <w:tcPr>
            <w:tcW w:w="0" w:type="auto"/>
          </w:tcPr>
          <w:p w14:paraId="74F37BD8" w14:textId="085E2D7D" w:rsidR="00DB41A5" w:rsidRPr="007379B7" w:rsidRDefault="00DB41A5" w:rsidP="007379B7">
            <w:pPr>
              <w:pStyle w:val="NoSpacing"/>
              <w:rPr>
                <w:rFonts w:cstheme="minorHAnsi"/>
                <w:w w:val="95"/>
              </w:rPr>
            </w:pPr>
            <w:r w:rsidRPr="007379B7">
              <w:rPr>
                <w:rFonts w:cstheme="minorHAnsi"/>
                <w:w w:val="85"/>
              </w:rPr>
              <w:t>−0.10</w:t>
            </w:r>
          </w:p>
        </w:tc>
        <w:tc>
          <w:tcPr>
            <w:tcW w:w="0" w:type="auto"/>
          </w:tcPr>
          <w:p w14:paraId="3BE30475" w14:textId="2003CA49" w:rsidR="00DB41A5" w:rsidRPr="007379B7" w:rsidRDefault="00DB41A5" w:rsidP="007379B7">
            <w:pPr>
              <w:pStyle w:val="NoSpacing"/>
              <w:rPr>
                <w:rFonts w:cstheme="minorHAnsi"/>
              </w:rPr>
            </w:pPr>
            <w:r w:rsidRPr="007379B7">
              <w:rPr>
                <w:rFonts w:cstheme="minorHAnsi"/>
                <w:w w:val="85"/>
              </w:rPr>
              <w:t>0.03</w:t>
            </w:r>
          </w:p>
        </w:tc>
        <w:tc>
          <w:tcPr>
            <w:tcW w:w="0" w:type="auto"/>
          </w:tcPr>
          <w:p w14:paraId="0F2EC111" w14:textId="4C741CFF" w:rsidR="00DB41A5" w:rsidRPr="007379B7" w:rsidRDefault="00DB41A5" w:rsidP="007379B7">
            <w:pPr>
              <w:pStyle w:val="NoSpacing"/>
              <w:rPr>
                <w:rFonts w:cstheme="minorHAnsi"/>
                <w:w w:val="95"/>
              </w:rPr>
            </w:pPr>
            <w:r w:rsidRPr="007379B7">
              <w:rPr>
                <w:rFonts w:cstheme="minorHAnsi"/>
                <w:w w:val="85"/>
              </w:rPr>
              <w:t>.00</w:t>
            </w:r>
          </w:p>
        </w:tc>
      </w:tr>
      <w:tr w:rsidR="00DB41A5" w:rsidRPr="007379B7" w14:paraId="3B97FF30" w14:textId="77777777" w:rsidTr="001D16F2">
        <w:trPr>
          <w:trHeight w:val="299"/>
        </w:trPr>
        <w:tc>
          <w:tcPr>
            <w:tcW w:w="0" w:type="auto"/>
          </w:tcPr>
          <w:p w14:paraId="26404AFA" w14:textId="1D89519C" w:rsidR="00DB41A5" w:rsidRPr="007379B7" w:rsidRDefault="00DB41A5" w:rsidP="007379B7">
            <w:pPr>
              <w:pStyle w:val="NoSpacing"/>
              <w:rPr>
                <w:rFonts w:cstheme="minorHAnsi"/>
              </w:rPr>
            </w:pPr>
            <w:r w:rsidRPr="007379B7">
              <w:rPr>
                <w:rFonts w:cstheme="minorHAnsi"/>
              </w:rPr>
              <w:t>Population density</w:t>
            </w:r>
          </w:p>
        </w:tc>
        <w:tc>
          <w:tcPr>
            <w:tcW w:w="0" w:type="auto"/>
          </w:tcPr>
          <w:p w14:paraId="0B891477" w14:textId="380C8186" w:rsidR="00DB41A5" w:rsidRPr="007379B7" w:rsidRDefault="00DB41A5" w:rsidP="007379B7">
            <w:pPr>
              <w:pStyle w:val="NoSpacing"/>
              <w:rPr>
                <w:rFonts w:cstheme="minorHAnsi"/>
                <w:w w:val="95"/>
              </w:rPr>
            </w:pPr>
            <w:r w:rsidRPr="007379B7">
              <w:rPr>
                <w:rFonts w:cstheme="minorHAnsi"/>
                <w:w w:val="85"/>
              </w:rPr>
              <w:t>0.28</w:t>
            </w:r>
          </w:p>
        </w:tc>
        <w:tc>
          <w:tcPr>
            <w:tcW w:w="0" w:type="auto"/>
          </w:tcPr>
          <w:p w14:paraId="24E2E330" w14:textId="52D1BFD4" w:rsidR="00DB41A5" w:rsidRPr="007379B7" w:rsidRDefault="00DB41A5" w:rsidP="007379B7">
            <w:pPr>
              <w:pStyle w:val="NoSpacing"/>
              <w:rPr>
                <w:rFonts w:cstheme="minorHAnsi"/>
              </w:rPr>
            </w:pPr>
            <w:r w:rsidRPr="007379B7">
              <w:rPr>
                <w:rFonts w:cstheme="minorHAnsi"/>
                <w:w w:val="85"/>
              </w:rPr>
              <w:t>0.04</w:t>
            </w:r>
          </w:p>
        </w:tc>
        <w:tc>
          <w:tcPr>
            <w:tcW w:w="0" w:type="auto"/>
          </w:tcPr>
          <w:p w14:paraId="2F3266A1" w14:textId="53B9132A" w:rsidR="00DB41A5" w:rsidRPr="007379B7" w:rsidRDefault="00DB41A5" w:rsidP="007379B7">
            <w:pPr>
              <w:pStyle w:val="NoSpacing"/>
              <w:rPr>
                <w:rFonts w:cstheme="minorHAnsi"/>
                <w:w w:val="95"/>
              </w:rPr>
            </w:pPr>
            <w:r w:rsidRPr="007379B7">
              <w:rPr>
                <w:rFonts w:cstheme="minorHAnsi"/>
                <w:w w:val="85"/>
              </w:rPr>
              <w:t>.00</w:t>
            </w:r>
          </w:p>
        </w:tc>
      </w:tr>
      <w:tr w:rsidR="00DB41A5" w:rsidRPr="007379B7" w14:paraId="3CC4C2B8" w14:textId="77777777" w:rsidTr="001D16F2">
        <w:trPr>
          <w:trHeight w:val="299"/>
        </w:trPr>
        <w:tc>
          <w:tcPr>
            <w:tcW w:w="0" w:type="auto"/>
          </w:tcPr>
          <w:p w14:paraId="2B957830" w14:textId="7E21025A" w:rsidR="00DB41A5" w:rsidRPr="007379B7" w:rsidRDefault="00DB41A5" w:rsidP="007379B7">
            <w:pPr>
              <w:pStyle w:val="NoSpacing"/>
              <w:rPr>
                <w:rFonts w:cstheme="minorHAnsi"/>
              </w:rPr>
            </w:pPr>
            <w:r w:rsidRPr="007379B7">
              <w:rPr>
                <w:rFonts w:cstheme="minorHAnsi"/>
              </w:rPr>
              <w:t>Proportion Black</w:t>
            </w:r>
          </w:p>
        </w:tc>
        <w:tc>
          <w:tcPr>
            <w:tcW w:w="0" w:type="auto"/>
          </w:tcPr>
          <w:p w14:paraId="20309112" w14:textId="53643D91" w:rsidR="00DB41A5" w:rsidRPr="007379B7" w:rsidRDefault="00DB41A5" w:rsidP="007379B7">
            <w:pPr>
              <w:pStyle w:val="NoSpacing"/>
              <w:rPr>
                <w:rFonts w:cstheme="minorHAnsi"/>
                <w:w w:val="95"/>
              </w:rPr>
            </w:pPr>
            <w:r w:rsidRPr="007379B7">
              <w:rPr>
                <w:rFonts w:cstheme="minorHAnsi"/>
                <w:w w:val="85"/>
              </w:rPr>
              <w:t>0.13</w:t>
            </w:r>
          </w:p>
        </w:tc>
        <w:tc>
          <w:tcPr>
            <w:tcW w:w="0" w:type="auto"/>
          </w:tcPr>
          <w:p w14:paraId="023A2BE5" w14:textId="479ABBB7" w:rsidR="00DB41A5" w:rsidRPr="007379B7" w:rsidRDefault="00DB41A5" w:rsidP="007379B7">
            <w:pPr>
              <w:pStyle w:val="NoSpacing"/>
              <w:rPr>
                <w:rFonts w:cstheme="minorHAnsi"/>
              </w:rPr>
            </w:pPr>
            <w:r w:rsidRPr="007379B7">
              <w:rPr>
                <w:rFonts w:cstheme="minorHAnsi"/>
                <w:w w:val="85"/>
              </w:rPr>
              <w:t>0.05</w:t>
            </w:r>
          </w:p>
        </w:tc>
        <w:tc>
          <w:tcPr>
            <w:tcW w:w="0" w:type="auto"/>
          </w:tcPr>
          <w:p w14:paraId="0CB2A731" w14:textId="162045BB" w:rsidR="00DB41A5" w:rsidRPr="007379B7" w:rsidRDefault="00DB41A5" w:rsidP="007379B7">
            <w:pPr>
              <w:pStyle w:val="NoSpacing"/>
              <w:rPr>
                <w:rFonts w:cstheme="minorHAnsi"/>
                <w:w w:val="95"/>
              </w:rPr>
            </w:pPr>
            <w:r w:rsidRPr="007379B7">
              <w:rPr>
                <w:rFonts w:cstheme="minorHAnsi"/>
                <w:w w:val="85"/>
              </w:rPr>
              <w:t>.01</w:t>
            </w:r>
          </w:p>
        </w:tc>
      </w:tr>
      <w:tr w:rsidR="00DB41A5" w:rsidRPr="007379B7" w14:paraId="686F2A9F" w14:textId="77777777" w:rsidTr="001D16F2">
        <w:trPr>
          <w:trHeight w:val="299"/>
        </w:trPr>
        <w:tc>
          <w:tcPr>
            <w:tcW w:w="0" w:type="auto"/>
          </w:tcPr>
          <w:p w14:paraId="13B7C87E" w14:textId="6F1FE023" w:rsidR="00DB41A5" w:rsidRPr="007379B7" w:rsidRDefault="00DB41A5" w:rsidP="007379B7">
            <w:pPr>
              <w:pStyle w:val="NoSpacing"/>
              <w:rPr>
                <w:rFonts w:cstheme="minorHAnsi"/>
              </w:rPr>
            </w:pPr>
            <w:r w:rsidRPr="007379B7">
              <w:rPr>
                <w:rFonts w:cstheme="minorHAnsi"/>
              </w:rPr>
              <w:t>Rho robbery density</w:t>
            </w:r>
          </w:p>
        </w:tc>
        <w:tc>
          <w:tcPr>
            <w:tcW w:w="0" w:type="auto"/>
          </w:tcPr>
          <w:p w14:paraId="0C9341F9" w14:textId="34E68A50" w:rsidR="00DB41A5" w:rsidRPr="007379B7" w:rsidRDefault="00DB41A5" w:rsidP="007379B7">
            <w:pPr>
              <w:pStyle w:val="NoSpacing"/>
              <w:rPr>
                <w:rFonts w:cstheme="minorHAnsi"/>
                <w:w w:val="95"/>
              </w:rPr>
            </w:pPr>
            <w:r w:rsidRPr="007379B7">
              <w:rPr>
                <w:rFonts w:cstheme="minorHAnsi"/>
                <w:w w:val="85"/>
              </w:rPr>
              <w:t>0.45</w:t>
            </w:r>
          </w:p>
        </w:tc>
        <w:tc>
          <w:tcPr>
            <w:tcW w:w="0" w:type="auto"/>
          </w:tcPr>
          <w:p w14:paraId="0856A9C7" w14:textId="0B54F29C" w:rsidR="00DB41A5" w:rsidRPr="007379B7" w:rsidRDefault="00DB41A5" w:rsidP="007379B7">
            <w:pPr>
              <w:pStyle w:val="NoSpacing"/>
              <w:rPr>
                <w:rFonts w:cstheme="minorHAnsi"/>
              </w:rPr>
            </w:pPr>
            <w:r w:rsidRPr="007379B7">
              <w:rPr>
                <w:rFonts w:cstheme="minorHAnsi"/>
                <w:w w:val="85"/>
              </w:rPr>
              <w:t>0.05</w:t>
            </w:r>
          </w:p>
        </w:tc>
        <w:tc>
          <w:tcPr>
            <w:tcW w:w="0" w:type="auto"/>
          </w:tcPr>
          <w:p w14:paraId="7FBBF33B" w14:textId="54EC1274" w:rsidR="00DB41A5" w:rsidRPr="007379B7" w:rsidRDefault="00DB41A5" w:rsidP="007379B7">
            <w:pPr>
              <w:pStyle w:val="NoSpacing"/>
              <w:rPr>
                <w:rFonts w:cstheme="minorHAnsi"/>
                <w:w w:val="95"/>
              </w:rPr>
            </w:pPr>
            <w:r w:rsidRPr="007379B7">
              <w:rPr>
                <w:rFonts w:cstheme="minorHAnsi"/>
                <w:w w:val="85"/>
              </w:rPr>
              <w:t>.00</w:t>
            </w:r>
          </w:p>
        </w:tc>
      </w:tr>
      <w:tr w:rsidR="00DB41A5" w:rsidRPr="007379B7" w14:paraId="3E8EC421" w14:textId="77777777" w:rsidTr="001D16F2">
        <w:trPr>
          <w:trHeight w:val="299"/>
        </w:trPr>
        <w:tc>
          <w:tcPr>
            <w:tcW w:w="0" w:type="auto"/>
          </w:tcPr>
          <w:p w14:paraId="230FAE4F" w14:textId="7F8CC66D" w:rsidR="00DB41A5" w:rsidRPr="007379B7" w:rsidRDefault="00DB41A5" w:rsidP="007379B7">
            <w:pPr>
              <w:pStyle w:val="NoSpacing"/>
              <w:rPr>
                <w:rFonts w:cstheme="minorHAnsi"/>
              </w:rPr>
            </w:pPr>
            <w:r w:rsidRPr="007379B7">
              <w:rPr>
                <w:rFonts w:cstheme="minorHAnsi"/>
              </w:rPr>
              <w:t>Single spirit density</w:t>
            </w:r>
          </w:p>
        </w:tc>
        <w:tc>
          <w:tcPr>
            <w:tcW w:w="0" w:type="auto"/>
          </w:tcPr>
          <w:p w14:paraId="2B9ED1C9" w14:textId="56A53F14" w:rsidR="00DB41A5" w:rsidRPr="007379B7" w:rsidRDefault="00DB41A5" w:rsidP="007379B7">
            <w:pPr>
              <w:pStyle w:val="NoSpacing"/>
              <w:rPr>
                <w:rFonts w:cstheme="minorHAnsi"/>
                <w:w w:val="95"/>
              </w:rPr>
            </w:pPr>
            <w:r w:rsidRPr="007379B7">
              <w:rPr>
                <w:rFonts w:cstheme="minorHAnsi"/>
                <w:w w:val="85"/>
              </w:rPr>
              <w:t>0.12</w:t>
            </w:r>
          </w:p>
        </w:tc>
        <w:tc>
          <w:tcPr>
            <w:tcW w:w="0" w:type="auto"/>
          </w:tcPr>
          <w:p w14:paraId="06E2D1A2" w14:textId="1C71C94B" w:rsidR="00DB41A5" w:rsidRPr="007379B7" w:rsidRDefault="00DB41A5" w:rsidP="007379B7">
            <w:pPr>
              <w:pStyle w:val="NoSpacing"/>
              <w:rPr>
                <w:rFonts w:cstheme="minorHAnsi"/>
              </w:rPr>
            </w:pPr>
            <w:r w:rsidRPr="007379B7">
              <w:rPr>
                <w:rFonts w:cstheme="minorHAnsi"/>
                <w:w w:val="85"/>
              </w:rPr>
              <w:t>0.03</w:t>
            </w:r>
          </w:p>
        </w:tc>
        <w:tc>
          <w:tcPr>
            <w:tcW w:w="0" w:type="auto"/>
          </w:tcPr>
          <w:p w14:paraId="4690DD83" w14:textId="544412B8" w:rsidR="00DB41A5" w:rsidRPr="007379B7" w:rsidRDefault="00DB41A5" w:rsidP="007379B7">
            <w:pPr>
              <w:pStyle w:val="NoSpacing"/>
              <w:rPr>
                <w:rFonts w:cstheme="minorHAnsi"/>
                <w:w w:val="95"/>
              </w:rPr>
            </w:pPr>
            <w:r w:rsidRPr="007379B7">
              <w:rPr>
                <w:rFonts w:cstheme="minorHAnsi"/>
                <w:w w:val="85"/>
              </w:rPr>
              <w:t>.00</w:t>
            </w:r>
          </w:p>
        </w:tc>
      </w:tr>
      <w:tr w:rsidR="00DB41A5" w:rsidRPr="007379B7" w14:paraId="1E86C661" w14:textId="77777777" w:rsidTr="001D16F2">
        <w:trPr>
          <w:trHeight w:val="299"/>
        </w:trPr>
        <w:tc>
          <w:tcPr>
            <w:tcW w:w="0" w:type="auto"/>
          </w:tcPr>
          <w:p w14:paraId="6EF38B36" w14:textId="528EF9D4" w:rsidR="00DB41A5" w:rsidRPr="007379B7" w:rsidRDefault="00DB41A5" w:rsidP="007379B7">
            <w:pPr>
              <w:pStyle w:val="NoSpacing"/>
              <w:rPr>
                <w:rFonts w:cstheme="minorHAnsi"/>
              </w:rPr>
            </w:pPr>
            <w:r w:rsidRPr="007379B7">
              <w:rPr>
                <w:rFonts w:cstheme="minorHAnsi"/>
              </w:rPr>
              <w:t>Constant</w:t>
            </w:r>
          </w:p>
        </w:tc>
        <w:tc>
          <w:tcPr>
            <w:tcW w:w="0" w:type="auto"/>
          </w:tcPr>
          <w:p w14:paraId="10309660" w14:textId="521323D0" w:rsidR="00DB41A5" w:rsidRPr="007379B7" w:rsidRDefault="00DB41A5" w:rsidP="007379B7">
            <w:pPr>
              <w:pStyle w:val="NoSpacing"/>
              <w:rPr>
                <w:rFonts w:cstheme="minorHAnsi"/>
                <w:w w:val="95"/>
              </w:rPr>
            </w:pPr>
            <w:r w:rsidRPr="007379B7">
              <w:rPr>
                <w:rFonts w:cstheme="minorHAnsi"/>
                <w:w w:val="85"/>
              </w:rPr>
              <w:t>0.01</w:t>
            </w:r>
          </w:p>
        </w:tc>
        <w:tc>
          <w:tcPr>
            <w:tcW w:w="0" w:type="auto"/>
          </w:tcPr>
          <w:p w14:paraId="330588D0" w14:textId="4351CEAF" w:rsidR="00DB41A5" w:rsidRPr="007379B7" w:rsidRDefault="00DB41A5" w:rsidP="007379B7">
            <w:pPr>
              <w:pStyle w:val="NoSpacing"/>
              <w:rPr>
                <w:rFonts w:cstheme="minorHAnsi"/>
              </w:rPr>
            </w:pPr>
            <w:r w:rsidRPr="007379B7">
              <w:rPr>
                <w:rFonts w:cstheme="minorHAnsi"/>
                <w:w w:val="85"/>
              </w:rPr>
              <w:t>0.03</w:t>
            </w:r>
          </w:p>
        </w:tc>
        <w:tc>
          <w:tcPr>
            <w:tcW w:w="0" w:type="auto"/>
          </w:tcPr>
          <w:p w14:paraId="765E6648" w14:textId="3472ED89" w:rsidR="00DB41A5" w:rsidRPr="007379B7" w:rsidRDefault="00DB41A5" w:rsidP="007379B7">
            <w:pPr>
              <w:pStyle w:val="NoSpacing"/>
              <w:rPr>
                <w:rFonts w:cstheme="minorHAnsi"/>
                <w:w w:val="95"/>
              </w:rPr>
            </w:pPr>
            <w:r w:rsidRPr="007379B7">
              <w:rPr>
                <w:rFonts w:cstheme="minorHAnsi"/>
                <w:w w:val="85"/>
              </w:rPr>
              <w:t>.83</w:t>
            </w:r>
          </w:p>
        </w:tc>
      </w:tr>
      <w:tr w:rsidR="00DB41A5" w:rsidRPr="007379B7" w14:paraId="30FA1D93" w14:textId="77777777" w:rsidTr="001D16F2">
        <w:trPr>
          <w:trHeight w:val="299"/>
        </w:trPr>
        <w:tc>
          <w:tcPr>
            <w:tcW w:w="0" w:type="auto"/>
          </w:tcPr>
          <w:p w14:paraId="385FF000" w14:textId="380F7211" w:rsidR="00DB41A5" w:rsidRPr="007379B7" w:rsidRDefault="00DB41A5" w:rsidP="007379B7">
            <w:pPr>
              <w:pStyle w:val="NoSpacing"/>
              <w:rPr>
                <w:rFonts w:cstheme="minorHAnsi"/>
              </w:rPr>
            </w:pPr>
            <w:r w:rsidRPr="007379B7">
              <w:rPr>
                <w:rFonts w:cstheme="minorHAnsi"/>
                <w:i/>
                <w:iCs/>
                <w:position w:val="-5"/>
              </w:rPr>
              <w:t>R</w:t>
            </w:r>
            <w:r w:rsidRPr="007379B7">
              <w:rPr>
                <w:rFonts w:cstheme="minorHAnsi"/>
                <w:vertAlign w:val="superscript"/>
              </w:rPr>
              <w:t>2</w:t>
            </w:r>
          </w:p>
        </w:tc>
        <w:tc>
          <w:tcPr>
            <w:tcW w:w="0" w:type="auto"/>
          </w:tcPr>
          <w:p w14:paraId="53870724" w14:textId="77777777" w:rsidR="00DB41A5" w:rsidRPr="007379B7" w:rsidRDefault="00DB41A5" w:rsidP="007379B7">
            <w:pPr>
              <w:pStyle w:val="NoSpacing"/>
              <w:rPr>
                <w:rFonts w:cstheme="minorHAnsi"/>
                <w:w w:val="95"/>
              </w:rPr>
            </w:pPr>
          </w:p>
        </w:tc>
        <w:tc>
          <w:tcPr>
            <w:tcW w:w="0" w:type="auto"/>
          </w:tcPr>
          <w:p w14:paraId="7E29D36E" w14:textId="4397D316" w:rsidR="00DB41A5" w:rsidRPr="007379B7" w:rsidRDefault="00DB41A5" w:rsidP="007379B7">
            <w:pPr>
              <w:pStyle w:val="NoSpacing"/>
              <w:rPr>
                <w:rFonts w:cstheme="minorHAnsi"/>
              </w:rPr>
            </w:pPr>
            <w:r w:rsidRPr="007379B7">
              <w:rPr>
                <w:rFonts w:cstheme="minorHAnsi"/>
                <w:w w:val="85"/>
              </w:rPr>
              <w:t>.54</w:t>
            </w:r>
          </w:p>
        </w:tc>
        <w:tc>
          <w:tcPr>
            <w:tcW w:w="0" w:type="auto"/>
          </w:tcPr>
          <w:p w14:paraId="25A11D9F" w14:textId="77777777" w:rsidR="00DB41A5" w:rsidRPr="007379B7" w:rsidRDefault="00DB41A5" w:rsidP="007379B7">
            <w:pPr>
              <w:pStyle w:val="NoSpacing"/>
              <w:rPr>
                <w:rFonts w:cstheme="minorHAnsi"/>
                <w:w w:val="95"/>
              </w:rPr>
            </w:pPr>
          </w:p>
        </w:tc>
      </w:tr>
      <w:tr w:rsidR="00DB41A5" w:rsidRPr="007379B7" w14:paraId="760FA715" w14:textId="77777777" w:rsidTr="001D16F2">
        <w:trPr>
          <w:trHeight w:val="299"/>
        </w:trPr>
        <w:tc>
          <w:tcPr>
            <w:tcW w:w="0" w:type="auto"/>
          </w:tcPr>
          <w:p w14:paraId="365A4ED3" w14:textId="3289D5D3" w:rsidR="00DB41A5" w:rsidRPr="007379B7" w:rsidRDefault="00DB41A5" w:rsidP="007379B7">
            <w:pPr>
              <w:pStyle w:val="NoSpacing"/>
              <w:rPr>
                <w:rFonts w:cstheme="minorHAnsi"/>
              </w:rPr>
            </w:pPr>
            <w:r w:rsidRPr="007379B7">
              <w:rPr>
                <w:rFonts w:cstheme="minorHAnsi"/>
              </w:rPr>
              <w:t>Log likelihood</w:t>
            </w:r>
          </w:p>
        </w:tc>
        <w:tc>
          <w:tcPr>
            <w:tcW w:w="0" w:type="auto"/>
          </w:tcPr>
          <w:p w14:paraId="418EC9B2" w14:textId="77777777" w:rsidR="00DB41A5" w:rsidRPr="007379B7" w:rsidRDefault="00DB41A5" w:rsidP="007379B7">
            <w:pPr>
              <w:pStyle w:val="NoSpacing"/>
              <w:rPr>
                <w:rFonts w:cstheme="minorHAnsi"/>
                <w:w w:val="95"/>
              </w:rPr>
            </w:pPr>
          </w:p>
        </w:tc>
        <w:tc>
          <w:tcPr>
            <w:tcW w:w="0" w:type="auto"/>
          </w:tcPr>
          <w:p w14:paraId="1DDC91B9" w14:textId="6CDCC987" w:rsidR="00DB41A5" w:rsidRPr="007379B7" w:rsidRDefault="00DB41A5" w:rsidP="007379B7">
            <w:pPr>
              <w:pStyle w:val="NoSpacing"/>
              <w:rPr>
                <w:rFonts w:cstheme="minorHAnsi"/>
              </w:rPr>
            </w:pPr>
            <w:r w:rsidRPr="007379B7">
              <w:rPr>
                <w:rFonts w:cstheme="minorHAnsi"/>
              </w:rPr>
              <w:t>−600.22</w:t>
            </w:r>
          </w:p>
        </w:tc>
        <w:tc>
          <w:tcPr>
            <w:tcW w:w="0" w:type="auto"/>
          </w:tcPr>
          <w:p w14:paraId="31CF3ACD" w14:textId="77777777" w:rsidR="00DB41A5" w:rsidRPr="007379B7" w:rsidRDefault="00DB41A5" w:rsidP="007379B7">
            <w:pPr>
              <w:pStyle w:val="NoSpacing"/>
              <w:rPr>
                <w:rFonts w:cstheme="minorHAnsi"/>
                <w:w w:val="95"/>
              </w:rPr>
            </w:pPr>
          </w:p>
        </w:tc>
      </w:tr>
      <w:tr w:rsidR="00DB41A5" w:rsidRPr="007379B7" w14:paraId="32954A54" w14:textId="77777777" w:rsidTr="001D16F2">
        <w:trPr>
          <w:trHeight w:val="299"/>
        </w:trPr>
        <w:tc>
          <w:tcPr>
            <w:tcW w:w="0" w:type="auto"/>
          </w:tcPr>
          <w:p w14:paraId="1EF5CED0" w14:textId="6D2C43FD" w:rsidR="00DB41A5" w:rsidRPr="007379B7" w:rsidRDefault="00DB41A5" w:rsidP="007379B7">
            <w:pPr>
              <w:pStyle w:val="NoSpacing"/>
              <w:rPr>
                <w:rFonts w:cstheme="minorHAnsi"/>
              </w:rPr>
            </w:pPr>
            <w:r w:rsidRPr="007379B7">
              <w:rPr>
                <w:rFonts w:cstheme="minorHAnsi"/>
              </w:rPr>
              <w:t>Akaike information criterion</w:t>
            </w:r>
          </w:p>
        </w:tc>
        <w:tc>
          <w:tcPr>
            <w:tcW w:w="0" w:type="auto"/>
          </w:tcPr>
          <w:p w14:paraId="570BB124" w14:textId="77777777" w:rsidR="00DB41A5" w:rsidRPr="007379B7" w:rsidRDefault="00DB41A5" w:rsidP="007379B7">
            <w:pPr>
              <w:pStyle w:val="NoSpacing"/>
              <w:rPr>
                <w:rFonts w:cstheme="minorHAnsi"/>
                <w:w w:val="95"/>
              </w:rPr>
            </w:pPr>
          </w:p>
        </w:tc>
        <w:tc>
          <w:tcPr>
            <w:tcW w:w="0" w:type="auto"/>
          </w:tcPr>
          <w:p w14:paraId="76979907" w14:textId="56393C2B" w:rsidR="00DB41A5" w:rsidRPr="007379B7" w:rsidRDefault="00DB41A5" w:rsidP="007379B7">
            <w:pPr>
              <w:pStyle w:val="NoSpacing"/>
              <w:rPr>
                <w:rFonts w:cstheme="minorHAnsi"/>
              </w:rPr>
            </w:pPr>
            <w:r w:rsidRPr="007379B7">
              <w:rPr>
                <w:rFonts w:cstheme="minorHAnsi"/>
              </w:rPr>
              <w:t>1,218.44</w:t>
            </w:r>
          </w:p>
        </w:tc>
        <w:tc>
          <w:tcPr>
            <w:tcW w:w="0" w:type="auto"/>
          </w:tcPr>
          <w:p w14:paraId="30D6916A" w14:textId="77777777" w:rsidR="00DB41A5" w:rsidRPr="007379B7" w:rsidRDefault="00DB41A5" w:rsidP="007379B7">
            <w:pPr>
              <w:pStyle w:val="NoSpacing"/>
              <w:rPr>
                <w:rFonts w:cstheme="minorHAnsi"/>
                <w:w w:val="95"/>
              </w:rPr>
            </w:pPr>
          </w:p>
        </w:tc>
      </w:tr>
      <w:tr w:rsidR="00DB41A5" w:rsidRPr="007379B7" w14:paraId="13F66E88" w14:textId="77777777" w:rsidTr="001D16F2">
        <w:trPr>
          <w:trHeight w:val="299"/>
        </w:trPr>
        <w:tc>
          <w:tcPr>
            <w:tcW w:w="0" w:type="auto"/>
          </w:tcPr>
          <w:p w14:paraId="0929A523" w14:textId="6CC60FD1" w:rsidR="00DB41A5" w:rsidRPr="007379B7" w:rsidRDefault="00DB41A5" w:rsidP="007379B7">
            <w:pPr>
              <w:pStyle w:val="NoSpacing"/>
              <w:rPr>
                <w:rFonts w:cstheme="minorHAnsi"/>
              </w:rPr>
            </w:pPr>
            <w:r w:rsidRPr="007379B7">
              <w:rPr>
                <w:rFonts w:cstheme="minorHAnsi"/>
              </w:rPr>
              <w:t>Schwarz criterion</w:t>
            </w:r>
          </w:p>
        </w:tc>
        <w:tc>
          <w:tcPr>
            <w:tcW w:w="0" w:type="auto"/>
          </w:tcPr>
          <w:p w14:paraId="1DB0E1FF" w14:textId="77777777" w:rsidR="00DB41A5" w:rsidRPr="007379B7" w:rsidRDefault="00DB41A5" w:rsidP="007379B7">
            <w:pPr>
              <w:pStyle w:val="NoSpacing"/>
              <w:rPr>
                <w:rFonts w:cstheme="minorHAnsi"/>
                <w:w w:val="95"/>
              </w:rPr>
            </w:pPr>
          </w:p>
        </w:tc>
        <w:tc>
          <w:tcPr>
            <w:tcW w:w="0" w:type="auto"/>
          </w:tcPr>
          <w:p w14:paraId="25DAAE0C" w14:textId="0559A8BC" w:rsidR="00DB41A5" w:rsidRPr="007379B7" w:rsidRDefault="00DB41A5" w:rsidP="007379B7">
            <w:pPr>
              <w:pStyle w:val="NoSpacing"/>
              <w:rPr>
                <w:rFonts w:cstheme="minorHAnsi"/>
              </w:rPr>
            </w:pPr>
            <w:r w:rsidRPr="007379B7">
              <w:rPr>
                <w:rFonts w:cstheme="minorHAnsi"/>
              </w:rPr>
              <w:t>1,257.58</w:t>
            </w:r>
          </w:p>
        </w:tc>
        <w:tc>
          <w:tcPr>
            <w:tcW w:w="0" w:type="auto"/>
          </w:tcPr>
          <w:p w14:paraId="5153B93E" w14:textId="77777777" w:rsidR="00DB41A5" w:rsidRPr="007379B7" w:rsidRDefault="00DB41A5" w:rsidP="007379B7">
            <w:pPr>
              <w:pStyle w:val="NoSpacing"/>
              <w:rPr>
                <w:rFonts w:cstheme="minorHAnsi"/>
                <w:w w:val="95"/>
              </w:rPr>
            </w:pPr>
          </w:p>
        </w:tc>
      </w:tr>
      <w:tr w:rsidR="00DB41A5" w:rsidRPr="007379B7" w14:paraId="61B68B81" w14:textId="77777777" w:rsidTr="001D16F2">
        <w:trPr>
          <w:trHeight w:val="299"/>
        </w:trPr>
        <w:tc>
          <w:tcPr>
            <w:tcW w:w="0" w:type="auto"/>
          </w:tcPr>
          <w:p w14:paraId="6C11CF60" w14:textId="5BAAE5AC" w:rsidR="00DB41A5" w:rsidRPr="007379B7" w:rsidRDefault="00DB41A5" w:rsidP="007379B7">
            <w:pPr>
              <w:pStyle w:val="NoSpacing"/>
              <w:rPr>
                <w:rFonts w:cstheme="minorHAnsi"/>
              </w:rPr>
            </w:pPr>
            <w:r w:rsidRPr="007379B7">
              <w:rPr>
                <w:rFonts w:cstheme="minorHAnsi"/>
              </w:rPr>
              <w:t>Number of observations</w:t>
            </w:r>
          </w:p>
        </w:tc>
        <w:tc>
          <w:tcPr>
            <w:tcW w:w="0" w:type="auto"/>
          </w:tcPr>
          <w:p w14:paraId="024D8CB7" w14:textId="77777777" w:rsidR="00DB41A5" w:rsidRPr="007379B7" w:rsidRDefault="00DB41A5" w:rsidP="007379B7">
            <w:pPr>
              <w:pStyle w:val="NoSpacing"/>
              <w:rPr>
                <w:rFonts w:cstheme="minorHAnsi"/>
                <w:w w:val="95"/>
              </w:rPr>
            </w:pPr>
          </w:p>
        </w:tc>
        <w:tc>
          <w:tcPr>
            <w:tcW w:w="0" w:type="auto"/>
          </w:tcPr>
          <w:p w14:paraId="741BFF40" w14:textId="4639EC39" w:rsidR="00DB41A5" w:rsidRPr="007379B7" w:rsidRDefault="00DB41A5" w:rsidP="007379B7">
            <w:pPr>
              <w:pStyle w:val="NoSpacing"/>
              <w:rPr>
                <w:rFonts w:cstheme="minorHAnsi"/>
              </w:rPr>
            </w:pPr>
            <w:r w:rsidRPr="007379B7">
              <w:rPr>
                <w:rFonts w:cstheme="minorHAnsi"/>
              </w:rPr>
              <w:t>572</w:t>
            </w:r>
          </w:p>
        </w:tc>
        <w:tc>
          <w:tcPr>
            <w:tcW w:w="0" w:type="auto"/>
          </w:tcPr>
          <w:p w14:paraId="711C31FC" w14:textId="77777777" w:rsidR="00DB41A5" w:rsidRPr="007379B7" w:rsidRDefault="00DB41A5" w:rsidP="007379B7">
            <w:pPr>
              <w:pStyle w:val="NoSpacing"/>
              <w:rPr>
                <w:rFonts w:cstheme="minorHAnsi"/>
                <w:w w:val="95"/>
              </w:rPr>
            </w:pPr>
          </w:p>
        </w:tc>
      </w:tr>
      <w:tr w:rsidR="00DB41A5" w:rsidRPr="007379B7" w14:paraId="15B626EF" w14:textId="77777777" w:rsidTr="001D16F2">
        <w:trPr>
          <w:trHeight w:val="299"/>
        </w:trPr>
        <w:tc>
          <w:tcPr>
            <w:tcW w:w="0" w:type="auto"/>
          </w:tcPr>
          <w:p w14:paraId="6AD19817" w14:textId="37282066" w:rsidR="00DB41A5" w:rsidRPr="007379B7" w:rsidRDefault="00DB41A5" w:rsidP="007379B7">
            <w:pPr>
              <w:pStyle w:val="NoSpacing"/>
              <w:rPr>
                <w:rFonts w:cstheme="minorHAnsi"/>
              </w:rPr>
            </w:pPr>
            <w:r w:rsidRPr="007379B7">
              <w:rPr>
                <w:rFonts w:cstheme="minorHAnsi"/>
              </w:rPr>
              <w:t>Number of variables</w:t>
            </w:r>
          </w:p>
        </w:tc>
        <w:tc>
          <w:tcPr>
            <w:tcW w:w="0" w:type="auto"/>
          </w:tcPr>
          <w:p w14:paraId="05C4A65E" w14:textId="77777777" w:rsidR="00DB41A5" w:rsidRPr="007379B7" w:rsidRDefault="00DB41A5" w:rsidP="007379B7">
            <w:pPr>
              <w:pStyle w:val="NoSpacing"/>
              <w:rPr>
                <w:rFonts w:cstheme="minorHAnsi"/>
                <w:w w:val="95"/>
              </w:rPr>
            </w:pPr>
          </w:p>
        </w:tc>
        <w:tc>
          <w:tcPr>
            <w:tcW w:w="0" w:type="auto"/>
          </w:tcPr>
          <w:p w14:paraId="642F08F0" w14:textId="196FACCB" w:rsidR="00DB41A5" w:rsidRPr="007379B7" w:rsidRDefault="00DB41A5" w:rsidP="007379B7">
            <w:pPr>
              <w:pStyle w:val="NoSpacing"/>
              <w:rPr>
                <w:rFonts w:cstheme="minorHAnsi"/>
              </w:rPr>
            </w:pPr>
            <w:r w:rsidRPr="007379B7">
              <w:rPr>
                <w:rFonts w:cstheme="minorHAnsi"/>
                <w:w w:val="91"/>
              </w:rPr>
              <w:t>9</w:t>
            </w:r>
          </w:p>
        </w:tc>
        <w:tc>
          <w:tcPr>
            <w:tcW w:w="0" w:type="auto"/>
          </w:tcPr>
          <w:p w14:paraId="7B76C024" w14:textId="77777777" w:rsidR="00DB41A5" w:rsidRPr="007379B7" w:rsidRDefault="00DB41A5" w:rsidP="007379B7">
            <w:pPr>
              <w:pStyle w:val="NoSpacing"/>
              <w:rPr>
                <w:rFonts w:cstheme="minorHAnsi"/>
                <w:w w:val="95"/>
              </w:rPr>
            </w:pPr>
          </w:p>
        </w:tc>
      </w:tr>
      <w:tr w:rsidR="007379B7" w:rsidRPr="007379B7" w14:paraId="3E4B9CE9" w14:textId="77777777" w:rsidTr="001D16F2">
        <w:trPr>
          <w:trHeight w:val="299"/>
        </w:trPr>
        <w:tc>
          <w:tcPr>
            <w:tcW w:w="0" w:type="auto"/>
          </w:tcPr>
          <w:p w14:paraId="2357B1C4" w14:textId="644DEC73" w:rsidR="007379B7" w:rsidRPr="007379B7" w:rsidRDefault="007379B7" w:rsidP="007379B7">
            <w:pPr>
              <w:pStyle w:val="NoSpacing"/>
              <w:rPr>
                <w:rFonts w:cstheme="minorHAnsi"/>
              </w:rPr>
            </w:pPr>
            <w:r w:rsidRPr="007379B7">
              <w:rPr>
                <w:rFonts w:cstheme="minorHAnsi"/>
              </w:rPr>
              <w:t>Degrees of freedom</w:t>
            </w:r>
          </w:p>
        </w:tc>
        <w:tc>
          <w:tcPr>
            <w:tcW w:w="0" w:type="auto"/>
          </w:tcPr>
          <w:p w14:paraId="764B60CD" w14:textId="77777777" w:rsidR="007379B7" w:rsidRPr="007379B7" w:rsidRDefault="007379B7" w:rsidP="007379B7">
            <w:pPr>
              <w:pStyle w:val="NoSpacing"/>
              <w:rPr>
                <w:rFonts w:cstheme="minorHAnsi"/>
                <w:w w:val="95"/>
              </w:rPr>
            </w:pPr>
          </w:p>
        </w:tc>
        <w:tc>
          <w:tcPr>
            <w:tcW w:w="0" w:type="auto"/>
          </w:tcPr>
          <w:p w14:paraId="44CD85F1" w14:textId="1C74F357" w:rsidR="007379B7" w:rsidRPr="007379B7" w:rsidRDefault="007379B7" w:rsidP="007379B7">
            <w:pPr>
              <w:pStyle w:val="NoSpacing"/>
              <w:rPr>
                <w:rFonts w:cstheme="minorHAnsi"/>
                <w:w w:val="91"/>
              </w:rPr>
            </w:pPr>
            <w:r w:rsidRPr="007379B7">
              <w:rPr>
                <w:rFonts w:cstheme="minorHAnsi"/>
              </w:rPr>
              <w:t>563</w:t>
            </w:r>
          </w:p>
        </w:tc>
        <w:tc>
          <w:tcPr>
            <w:tcW w:w="0" w:type="auto"/>
          </w:tcPr>
          <w:p w14:paraId="1B9856EE" w14:textId="77777777" w:rsidR="007379B7" w:rsidRPr="007379B7" w:rsidRDefault="007379B7" w:rsidP="007379B7">
            <w:pPr>
              <w:pStyle w:val="NoSpacing"/>
              <w:rPr>
                <w:rFonts w:cstheme="minorHAnsi"/>
                <w:w w:val="95"/>
              </w:rPr>
            </w:pPr>
          </w:p>
        </w:tc>
      </w:tr>
      <w:tr w:rsidR="007379B7" w:rsidRPr="007379B7" w14:paraId="1FAF67F6" w14:textId="77777777" w:rsidTr="001D16F2">
        <w:trPr>
          <w:trHeight w:val="299"/>
        </w:trPr>
        <w:tc>
          <w:tcPr>
            <w:tcW w:w="0" w:type="auto"/>
          </w:tcPr>
          <w:p w14:paraId="7B3312A8" w14:textId="4DA7FF83" w:rsidR="007379B7" w:rsidRPr="007379B7" w:rsidRDefault="007379B7" w:rsidP="007379B7">
            <w:pPr>
              <w:pStyle w:val="NoSpacing"/>
              <w:rPr>
                <w:rFonts w:cstheme="minorHAnsi"/>
              </w:rPr>
            </w:pPr>
            <w:r w:rsidRPr="007379B7">
              <w:rPr>
                <w:rFonts w:cstheme="minorHAnsi"/>
                <w:w w:val="95"/>
              </w:rPr>
              <w:t>Multicollinearity condition number</w:t>
            </w:r>
          </w:p>
        </w:tc>
        <w:tc>
          <w:tcPr>
            <w:tcW w:w="0" w:type="auto"/>
          </w:tcPr>
          <w:p w14:paraId="715FA2A0" w14:textId="77777777" w:rsidR="007379B7" w:rsidRPr="007379B7" w:rsidRDefault="007379B7" w:rsidP="007379B7">
            <w:pPr>
              <w:pStyle w:val="NoSpacing"/>
              <w:rPr>
                <w:rFonts w:cstheme="minorHAnsi"/>
                <w:w w:val="95"/>
              </w:rPr>
            </w:pPr>
          </w:p>
        </w:tc>
        <w:tc>
          <w:tcPr>
            <w:tcW w:w="0" w:type="auto"/>
          </w:tcPr>
          <w:p w14:paraId="7CEECE08" w14:textId="41021331" w:rsidR="007379B7" w:rsidRPr="007379B7" w:rsidRDefault="007379B7" w:rsidP="007379B7">
            <w:pPr>
              <w:pStyle w:val="NoSpacing"/>
              <w:rPr>
                <w:rFonts w:cstheme="minorHAnsi"/>
                <w:w w:val="91"/>
              </w:rPr>
            </w:pPr>
            <w:r w:rsidRPr="007379B7">
              <w:rPr>
                <w:rFonts w:cstheme="minorHAnsi"/>
                <w:w w:val="85"/>
              </w:rPr>
              <w:t>3.00</w:t>
            </w:r>
          </w:p>
        </w:tc>
        <w:tc>
          <w:tcPr>
            <w:tcW w:w="0" w:type="auto"/>
          </w:tcPr>
          <w:p w14:paraId="7062F720" w14:textId="77777777" w:rsidR="007379B7" w:rsidRPr="007379B7" w:rsidRDefault="007379B7" w:rsidP="007379B7">
            <w:pPr>
              <w:pStyle w:val="NoSpacing"/>
              <w:rPr>
                <w:rFonts w:cstheme="minorHAnsi"/>
                <w:w w:val="95"/>
              </w:rPr>
            </w:pPr>
          </w:p>
        </w:tc>
      </w:tr>
      <w:tr w:rsidR="007379B7" w:rsidRPr="007379B7" w14:paraId="5F9CDC1E" w14:textId="77777777" w:rsidTr="001D16F2">
        <w:trPr>
          <w:trHeight w:val="299"/>
        </w:trPr>
        <w:tc>
          <w:tcPr>
            <w:tcW w:w="0" w:type="auto"/>
          </w:tcPr>
          <w:p w14:paraId="1404A130" w14:textId="07A70709" w:rsidR="007379B7" w:rsidRPr="007379B7" w:rsidRDefault="007379B7" w:rsidP="007379B7">
            <w:pPr>
              <w:pStyle w:val="NoSpacing"/>
              <w:rPr>
                <w:rFonts w:cstheme="minorHAnsi"/>
              </w:rPr>
            </w:pPr>
            <w:r w:rsidRPr="007379B7">
              <w:rPr>
                <w:rFonts w:cstheme="minorHAnsi"/>
              </w:rPr>
              <w:t>Model 9: Single premixed availability</w:t>
            </w:r>
          </w:p>
        </w:tc>
        <w:tc>
          <w:tcPr>
            <w:tcW w:w="0" w:type="auto"/>
          </w:tcPr>
          <w:p w14:paraId="10A87639" w14:textId="77777777" w:rsidR="007379B7" w:rsidRPr="007379B7" w:rsidRDefault="007379B7" w:rsidP="007379B7">
            <w:pPr>
              <w:pStyle w:val="NoSpacing"/>
              <w:rPr>
                <w:rFonts w:cstheme="minorHAnsi"/>
                <w:w w:val="95"/>
              </w:rPr>
            </w:pPr>
          </w:p>
        </w:tc>
        <w:tc>
          <w:tcPr>
            <w:tcW w:w="0" w:type="auto"/>
          </w:tcPr>
          <w:p w14:paraId="29CC1CA2" w14:textId="77777777" w:rsidR="007379B7" w:rsidRPr="007379B7" w:rsidRDefault="007379B7" w:rsidP="007379B7">
            <w:pPr>
              <w:pStyle w:val="NoSpacing"/>
              <w:rPr>
                <w:rFonts w:cstheme="minorHAnsi"/>
                <w:w w:val="91"/>
              </w:rPr>
            </w:pPr>
          </w:p>
        </w:tc>
        <w:tc>
          <w:tcPr>
            <w:tcW w:w="0" w:type="auto"/>
          </w:tcPr>
          <w:p w14:paraId="167347F9" w14:textId="77777777" w:rsidR="007379B7" w:rsidRPr="007379B7" w:rsidRDefault="007379B7" w:rsidP="007379B7">
            <w:pPr>
              <w:pStyle w:val="NoSpacing"/>
              <w:rPr>
                <w:rFonts w:cstheme="minorHAnsi"/>
                <w:w w:val="95"/>
              </w:rPr>
            </w:pPr>
          </w:p>
        </w:tc>
      </w:tr>
      <w:tr w:rsidR="007379B7" w:rsidRPr="007379B7" w14:paraId="6E2EDB1F" w14:textId="77777777" w:rsidTr="001D16F2">
        <w:trPr>
          <w:trHeight w:val="299"/>
        </w:trPr>
        <w:tc>
          <w:tcPr>
            <w:tcW w:w="0" w:type="auto"/>
          </w:tcPr>
          <w:p w14:paraId="253F0BCD" w14:textId="2DC59BA5" w:rsidR="007379B7" w:rsidRPr="007379B7" w:rsidRDefault="007379B7" w:rsidP="007379B7">
            <w:pPr>
              <w:pStyle w:val="NoSpacing"/>
              <w:rPr>
                <w:rFonts w:cstheme="minorHAnsi"/>
              </w:rPr>
            </w:pPr>
            <w:r w:rsidRPr="007379B7">
              <w:rPr>
                <w:rFonts w:cstheme="minorHAnsi"/>
              </w:rPr>
              <w:t>Ethnic heterogeneity</w:t>
            </w:r>
          </w:p>
        </w:tc>
        <w:tc>
          <w:tcPr>
            <w:tcW w:w="0" w:type="auto"/>
          </w:tcPr>
          <w:p w14:paraId="7EB488C4" w14:textId="10F0C556" w:rsidR="007379B7" w:rsidRPr="007379B7" w:rsidRDefault="007379B7" w:rsidP="007379B7">
            <w:pPr>
              <w:pStyle w:val="NoSpacing"/>
              <w:rPr>
                <w:rFonts w:cstheme="minorHAnsi"/>
                <w:w w:val="95"/>
              </w:rPr>
            </w:pPr>
            <w:r w:rsidRPr="007379B7">
              <w:rPr>
                <w:rFonts w:cstheme="minorHAnsi"/>
                <w:w w:val="85"/>
              </w:rPr>
              <w:t>−0.02</w:t>
            </w:r>
          </w:p>
        </w:tc>
        <w:tc>
          <w:tcPr>
            <w:tcW w:w="0" w:type="auto"/>
          </w:tcPr>
          <w:p w14:paraId="6EEFCA7A" w14:textId="7FCF3726" w:rsidR="007379B7" w:rsidRPr="007379B7" w:rsidRDefault="007379B7" w:rsidP="007379B7">
            <w:pPr>
              <w:pStyle w:val="NoSpacing"/>
              <w:rPr>
                <w:rFonts w:cstheme="minorHAnsi"/>
                <w:w w:val="91"/>
              </w:rPr>
            </w:pPr>
            <w:r w:rsidRPr="007379B7">
              <w:rPr>
                <w:rFonts w:cstheme="minorHAnsi"/>
                <w:w w:val="85"/>
              </w:rPr>
              <w:t>0.03</w:t>
            </w:r>
          </w:p>
        </w:tc>
        <w:tc>
          <w:tcPr>
            <w:tcW w:w="0" w:type="auto"/>
          </w:tcPr>
          <w:p w14:paraId="00378D28" w14:textId="4B83B4E0" w:rsidR="007379B7" w:rsidRPr="007379B7" w:rsidRDefault="007379B7" w:rsidP="007379B7">
            <w:pPr>
              <w:pStyle w:val="NoSpacing"/>
              <w:rPr>
                <w:rFonts w:cstheme="minorHAnsi"/>
                <w:w w:val="95"/>
              </w:rPr>
            </w:pPr>
            <w:r w:rsidRPr="007379B7">
              <w:rPr>
                <w:rFonts w:cstheme="minorHAnsi"/>
                <w:w w:val="85"/>
              </w:rPr>
              <w:t>.56</w:t>
            </w:r>
          </w:p>
        </w:tc>
      </w:tr>
      <w:tr w:rsidR="007379B7" w:rsidRPr="007379B7" w14:paraId="3CE2A11A" w14:textId="77777777" w:rsidTr="001D16F2">
        <w:trPr>
          <w:trHeight w:val="299"/>
        </w:trPr>
        <w:tc>
          <w:tcPr>
            <w:tcW w:w="0" w:type="auto"/>
          </w:tcPr>
          <w:p w14:paraId="1549BCA0" w14:textId="16BEC9D2" w:rsidR="007379B7" w:rsidRPr="007379B7" w:rsidRDefault="007379B7" w:rsidP="007379B7">
            <w:pPr>
              <w:pStyle w:val="NoSpacing"/>
              <w:rPr>
                <w:rFonts w:cstheme="minorHAnsi"/>
              </w:rPr>
            </w:pPr>
            <w:r w:rsidRPr="007379B7">
              <w:rPr>
                <w:rFonts w:cstheme="minorHAnsi"/>
              </w:rPr>
              <w:t>Concentrated disadvantage</w:t>
            </w:r>
          </w:p>
        </w:tc>
        <w:tc>
          <w:tcPr>
            <w:tcW w:w="0" w:type="auto"/>
          </w:tcPr>
          <w:p w14:paraId="48D6018B" w14:textId="30514BF7" w:rsidR="007379B7" w:rsidRPr="007379B7" w:rsidRDefault="007379B7" w:rsidP="007379B7">
            <w:pPr>
              <w:pStyle w:val="NoSpacing"/>
              <w:rPr>
                <w:rFonts w:cstheme="minorHAnsi"/>
                <w:w w:val="95"/>
              </w:rPr>
            </w:pPr>
            <w:r w:rsidRPr="007379B7">
              <w:rPr>
                <w:rFonts w:cstheme="minorHAnsi"/>
                <w:w w:val="85"/>
              </w:rPr>
              <w:t>0.10</w:t>
            </w:r>
          </w:p>
        </w:tc>
        <w:tc>
          <w:tcPr>
            <w:tcW w:w="0" w:type="auto"/>
          </w:tcPr>
          <w:p w14:paraId="55060CE8" w14:textId="39DC11EE" w:rsidR="007379B7" w:rsidRPr="007379B7" w:rsidRDefault="007379B7" w:rsidP="007379B7">
            <w:pPr>
              <w:pStyle w:val="NoSpacing"/>
              <w:rPr>
                <w:rFonts w:cstheme="minorHAnsi"/>
                <w:w w:val="91"/>
              </w:rPr>
            </w:pPr>
            <w:r w:rsidRPr="007379B7">
              <w:rPr>
                <w:rFonts w:cstheme="minorHAnsi"/>
                <w:w w:val="85"/>
              </w:rPr>
              <w:t>0.04</w:t>
            </w:r>
          </w:p>
        </w:tc>
        <w:tc>
          <w:tcPr>
            <w:tcW w:w="0" w:type="auto"/>
          </w:tcPr>
          <w:p w14:paraId="642A1132" w14:textId="4AA8B113" w:rsidR="007379B7" w:rsidRPr="007379B7" w:rsidRDefault="007379B7" w:rsidP="007379B7">
            <w:pPr>
              <w:pStyle w:val="NoSpacing"/>
              <w:rPr>
                <w:rFonts w:cstheme="minorHAnsi"/>
                <w:w w:val="95"/>
              </w:rPr>
            </w:pPr>
            <w:r w:rsidRPr="007379B7">
              <w:rPr>
                <w:rFonts w:cstheme="minorHAnsi"/>
                <w:w w:val="85"/>
              </w:rPr>
              <w:t>.01</w:t>
            </w:r>
          </w:p>
        </w:tc>
      </w:tr>
      <w:tr w:rsidR="007379B7" w:rsidRPr="007379B7" w14:paraId="2CB7132F" w14:textId="77777777" w:rsidTr="001D16F2">
        <w:trPr>
          <w:trHeight w:val="299"/>
        </w:trPr>
        <w:tc>
          <w:tcPr>
            <w:tcW w:w="0" w:type="auto"/>
          </w:tcPr>
          <w:p w14:paraId="4A37D4FF" w14:textId="449E0908" w:rsidR="007379B7" w:rsidRPr="007379B7" w:rsidRDefault="007379B7" w:rsidP="007379B7">
            <w:pPr>
              <w:pStyle w:val="NoSpacing"/>
              <w:rPr>
                <w:rFonts w:cstheme="minorHAnsi"/>
              </w:rPr>
            </w:pPr>
            <w:r w:rsidRPr="007379B7">
              <w:rPr>
                <w:rFonts w:cstheme="minorHAnsi"/>
              </w:rPr>
              <w:t>Concentrated immigration</w:t>
            </w:r>
          </w:p>
        </w:tc>
        <w:tc>
          <w:tcPr>
            <w:tcW w:w="0" w:type="auto"/>
          </w:tcPr>
          <w:p w14:paraId="5AF30F01" w14:textId="7DCD5DA8" w:rsidR="007379B7" w:rsidRPr="007379B7" w:rsidRDefault="007379B7" w:rsidP="007379B7">
            <w:pPr>
              <w:pStyle w:val="NoSpacing"/>
              <w:rPr>
                <w:rFonts w:cstheme="minorHAnsi"/>
                <w:w w:val="95"/>
              </w:rPr>
            </w:pPr>
            <w:r w:rsidRPr="007379B7">
              <w:rPr>
                <w:rFonts w:cstheme="minorHAnsi"/>
                <w:w w:val="85"/>
              </w:rPr>
              <w:t>0.12</w:t>
            </w:r>
          </w:p>
        </w:tc>
        <w:tc>
          <w:tcPr>
            <w:tcW w:w="0" w:type="auto"/>
          </w:tcPr>
          <w:p w14:paraId="3993876F" w14:textId="4A8EE97F" w:rsidR="007379B7" w:rsidRPr="007379B7" w:rsidRDefault="007379B7" w:rsidP="007379B7">
            <w:pPr>
              <w:pStyle w:val="NoSpacing"/>
              <w:rPr>
                <w:rFonts w:cstheme="minorHAnsi"/>
                <w:w w:val="91"/>
              </w:rPr>
            </w:pPr>
            <w:r w:rsidRPr="007379B7">
              <w:rPr>
                <w:rFonts w:cstheme="minorHAnsi"/>
                <w:w w:val="85"/>
              </w:rPr>
              <w:t>0.04</w:t>
            </w:r>
          </w:p>
        </w:tc>
        <w:tc>
          <w:tcPr>
            <w:tcW w:w="0" w:type="auto"/>
          </w:tcPr>
          <w:p w14:paraId="6BBF80A4" w14:textId="67A08387" w:rsidR="007379B7" w:rsidRPr="007379B7" w:rsidRDefault="007379B7" w:rsidP="007379B7">
            <w:pPr>
              <w:pStyle w:val="NoSpacing"/>
              <w:rPr>
                <w:rFonts w:cstheme="minorHAnsi"/>
                <w:w w:val="95"/>
              </w:rPr>
            </w:pPr>
            <w:r w:rsidRPr="007379B7">
              <w:rPr>
                <w:rFonts w:cstheme="minorHAnsi"/>
                <w:w w:val="85"/>
              </w:rPr>
              <w:t>.00</w:t>
            </w:r>
          </w:p>
        </w:tc>
      </w:tr>
      <w:tr w:rsidR="007379B7" w:rsidRPr="007379B7" w14:paraId="68583F53" w14:textId="77777777" w:rsidTr="001D16F2">
        <w:trPr>
          <w:trHeight w:val="299"/>
        </w:trPr>
        <w:tc>
          <w:tcPr>
            <w:tcW w:w="0" w:type="auto"/>
          </w:tcPr>
          <w:p w14:paraId="32BEE548" w14:textId="13E2BC72" w:rsidR="007379B7" w:rsidRPr="007379B7" w:rsidRDefault="007379B7" w:rsidP="007379B7">
            <w:pPr>
              <w:pStyle w:val="NoSpacing"/>
              <w:rPr>
                <w:rFonts w:cstheme="minorHAnsi"/>
              </w:rPr>
            </w:pPr>
            <w:r w:rsidRPr="007379B7">
              <w:rPr>
                <w:rFonts w:cstheme="minorHAnsi"/>
              </w:rPr>
              <w:t>Residential stability</w:t>
            </w:r>
          </w:p>
        </w:tc>
        <w:tc>
          <w:tcPr>
            <w:tcW w:w="0" w:type="auto"/>
          </w:tcPr>
          <w:p w14:paraId="606EB872" w14:textId="7C641230" w:rsidR="007379B7" w:rsidRPr="007379B7" w:rsidRDefault="007379B7" w:rsidP="007379B7">
            <w:pPr>
              <w:pStyle w:val="NoSpacing"/>
              <w:rPr>
                <w:rFonts w:cstheme="minorHAnsi"/>
                <w:w w:val="95"/>
              </w:rPr>
            </w:pPr>
            <w:r w:rsidRPr="007379B7">
              <w:rPr>
                <w:rFonts w:cstheme="minorHAnsi"/>
                <w:w w:val="85"/>
              </w:rPr>
              <w:t>−0.08</w:t>
            </w:r>
          </w:p>
        </w:tc>
        <w:tc>
          <w:tcPr>
            <w:tcW w:w="0" w:type="auto"/>
          </w:tcPr>
          <w:p w14:paraId="12A6DD96" w14:textId="261AC528" w:rsidR="007379B7" w:rsidRPr="007379B7" w:rsidRDefault="007379B7" w:rsidP="007379B7">
            <w:pPr>
              <w:pStyle w:val="NoSpacing"/>
              <w:rPr>
                <w:rFonts w:cstheme="minorHAnsi"/>
                <w:w w:val="91"/>
              </w:rPr>
            </w:pPr>
            <w:r w:rsidRPr="007379B7">
              <w:rPr>
                <w:rFonts w:cstheme="minorHAnsi"/>
                <w:w w:val="85"/>
              </w:rPr>
              <w:t>0.03</w:t>
            </w:r>
          </w:p>
        </w:tc>
        <w:tc>
          <w:tcPr>
            <w:tcW w:w="0" w:type="auto"/>
          </w:tcPr>
          <w:p w14:paraId="268F73BF" w14:textId="6C0A63F9" w:rsidR="007379B7" w:rsidRPr="007379B7" w:rsidRDefault="007379B7" w:rsidP="007379B7">
            <w:pPr>
              <w:pStyle w:val="NoSpacing"/>
              <w:rPr>
                <w:rFonts w:cstheme="minorHAnsi"/>
                <w:w w:val="95"/>
              </w:rPr>
            </w:pPr>
            <w:r w:rsidRPr="007379B7">
              <w:rPr>
                <w:rFonts w:cstheme="minorHAnsi"/>
                <w:w w:val="85"/>
              </w:rPr>
              <w:t>.01</w:t>
            </w:r>
          </w:p>
        </w:tc>
      </w:tr>
      <w:tr w:rsidR="007379B7" w:rsidRPr="007379B7" w14:paraId="31088B4B" w14:textId="77777777" w:rsidTr="001D16F2">
        <w:trPr>
          <w:trHeight w:val="299"/>
        </w:trPr>
        <w:tc>
          <w:tcPr>
            <w:tcW w:w="0" w:type="auto"/>
          </w:tcPr>
          <w:p w14:paraId="42DADFD3" w14:textId="65AA3C7E" w:rsidR="007379B7" w:rsidRPr="007379B7" w:rsidRDefault="007379B7" w:rsidP="007379B7">
            <w:pPr>
              <w:pStyle w:val="NoSpacing"/>
              <w:rPr>
                <w:rFonts w:cstheme="minorHAnsi"/>
              </w:rPr>
            </w:pPr>
            <w:r w:rsidRPr="007379B7">
              <w:rPr>
                <w:rFonts w:cstheme="minorHAnsi"/>
              </w:rPr>
              <w:t>Population density</w:t>
            </w:r>
          </w:p>
        </w:tc>
        <w:tc>
          <w:tcPr>
            <w:tcW w:w="0" w:type="auto"/>
          </w:tcPr>
          <w:p w14:paraId="61C96C0E" w14:textId="4EDFA37C" w:rsidR="007379B7" w:rsidRPr="007379B7" w:rsidRDefault="007379B7" w:rsidP="007379B7">
            <w:pPr>
              <w:pStyle w:val="NoSpacing"/>
              <w:rPr>
                <w:rFonts w:cstheme="minorHAnsi"/>
                <w:w w:val="95"/>
              </w:rPr>
            </w:pPr>
            <w:r w:rsidRPr="007379B7">
              <w:rPr>
                <w:rFonts w:cstheme="minorHAnsi"/>
                <w:w w:val="85"/>
              </w:rPr>
              <w:t>0.26</w:t>
            </w:r>
          </w:p>
        </w:tc>
        <w:tc>
          <w:tcPr>
            <w:tcW w:w="0" w:type="auto"/>
          </w:tcPr>
          <w:p w14:paraId="07433D17" w14:textId="748FB398" w:rsidR="007379B7" w:rsidRPr="007379B7" w:rsidRDefault="007379B7" w:rsidP="007379B7">
            <w:pPr>
              <w:pStyle w:val="NoSpacing"/>
              <w:rPr>
                <w:rFonts w:cstheme="minorHAnsi"/>
                <w:w w:val="91"/>
              </w:rPr>
            </w:pPr>
            <w:r w:rsidRPr="007379B7">
              <w:rPr>
                <w:rFonts w:cstheme="minorHAnsi"/>
                <w:w w:val="85"/>
              </w:rPr>
              <w:t>0.03</w:t>
            </w:r>
          </w:p>
        </w:tc>
        <w:tc>
          <w:tcPr>
            <w:tcW w:w="0" w:type="auto"/>
          </w:tcPr>
          <w:p w14:paraId="398B5354" w14:textId="47E9CF78" w:rsidR="007379B7" w:rsidRPr="007379B7" w:rsidRDefault="007379B7" w:rsidP="007379B7">
            <w:pPr>
              <w:pStyle w:val="NoSpacing"/>
              <w:rPr>
                <w:rFonts w:cstheme="minorHAnsi"/>
                <w:w w:val="95"/>
              </w:rPr>
            </w:pPr>
            <w:r w:rsidRPr="007379B7">
              <w:rPr>
                <w:rFonts w:cstheme="minorHAnsi"/>
                <w:w w:val="85"/>
              </w:rPr>
              <w:t>.00</w:t>
            </w:r>
          </w:p>
        </w:tc>
      </w:tr>
      <w:tr w:rsidR="007379B7" w:rsidRPr="007379B7" w14:paraId="015D5A4F" w14:textId="77777777" w:rsidTr="001D16F2">
        <w:trPr>
          <w:trHeight w:val="299"/>
        </w:trPr>
        <w:tc>
          <w:tcPr>
            <w:tcW w:w="0" w:type="auto"/>
          </w:tcPr>
          <w:p w14:paraId="0400D478" w14:textId="6FC9152B" w:rsidR="007379B7" w:rsidRPr="007379B7" w:rsidRDefault="007379B7" w:rsidP="007379B7">
            <w:pPr>
              <w:pStyle w:val="NoSpacing"/>
              <w:rPr>
                <w:rFonts w:cstheme="minorHAnsi"/>
              </w:rPr>
            </w:pPr>
            <w:r w:rsidRPr="007379B7">
              <w:rPr>
                <w:rFonts w:cstheme="minorHAnsi"/>
              </w:rPr>
              <w:t>Proportion Black</w:t>
            </w:r>
          </w:p>
        </w:tc>
        <w:tc>
          <w:tcPr>
            <w:tcW w:w="0" w:type="auto"/>
          </w:tcPr>
          <w:p w14:paraId="2EE3A702" w14:textId="103E0604" w:rsidR="007379B7" w:rsidRPr="007379B7" w:rsidRDefault="007379B7" w:rsidP="007379B7">
            <w:pPr>
              <w:pStyle w:val="NoSpacing"/>
              <w:rPr>
                <w:rFonts w:cstheme="minorHAnsi"/>
                <w:w w:val="95"/>
              </w:rPr>
            </w:pPr>
            <w:r w:rsidRPr="007379B7">
              <w:rPr>
                <w:rFonts w:cstheme="minorHAnsi"/>
                <w:w w:val="85"/>
              </w:rPr>
              <w:t>0.11</w:t>
            </w:r>
          </w:p>
        </w:tc>
        <w:tc>
          <w:tcPr>
            <w:tcW w:w="0" w:type="auto"/>
          </w:tcPr>
          <w:p w14:paraId="6E8AC008" w14:textId="36797071" w:rsidR="007379B7" w:rsidRPr="007379B7" w:rsidRDefault="007379B7" w:rsidP="007379B7">
            <w:pPr>
              <w:pStyle w:val="NoSpacing"/>
              <w:rPr>
                <w:rFonts w:cstheme="minorHAnsi"/>
                <w:w w:val="91"/>
              </w:rPr>
            </w:pPr>
            <w:r w:rsidRPr="007379B7">
              <w:rPr>
                <w:rFonts w:cstheme="minorHAnsi"/>
                <w:w w:val="85"/>
              </w:rPr>
              <w:t>0.05</w:t>
            </w:r>
          </w:p>
        </w:tc>
        <w:tc>
          <w:tcPr>
            <w:tcW w:w="0" w:type="auto"/>
          </w:tcPr>
          <w:p w14:paraId="5BF5D79C" w14:textId="6BDB603C" w:rsidR="007379B7" w:rsidRPr="007379B7" w:rsidRDefault="007379B7" w:rsidP="007379B7">
            <w:pPr>
              <w:pStyle w:val="NoSpacing"/>
              <w:rPr>
                <w:rFonts w:cstheme="minorHAnsi"/>
                <w:w w:val="95"/>
              </w:rPr>
            </w:pPr>
            <w:r w:rsidRPr="007379B7">
              <w:rPr>
                <w:rFonts w:cstheme="minorHAnsi"/>
                <w:w w:val="85"/>
              </w:rPr>
              <w:t>.02</w:t>
            </w:r>
          </w:p>
        </w:tc>
      </w:tr>
      <w:tr w:rsidR="007379B7" w:rsidRPr="007379B7" w14:paraId="39DB5402" w14:textId="77777777" w:rsidTr="001D16F2">
        <w:trPr>
          <w:trHeight w:val="299"/>
        </w:trPr>
        <w:tc>
          <w:tcPr>
            <w:tcW w:w="0" w:type="auto"/>
          </w:tcPr>
          <w:p w14:paraId="6BCD2A58" w14:textId="5A07DF0C" w:rsidR="007379B7" w:rsidRPr="007379B7" w:rsidRDefault="007379B7" w:rsidP="007379B7">
            <w:pPr>
              <w:pStyle w:val="NoSpacing"/>
              <w:rPr>
                <w:rFonts w:cstheme="minorHAnsi"/>
              </w:rPr>
            </w:pPr>
            <w:r w:rsidRPr="007379B7">
              <w:rPr>
                <w:rFonts w:cstheme="minorHAnsi"/>
              </w:rPr>
              <w:t>Rho robbery density</w:t>
            </w:r>
          </w:p>
        </w:tc>
        <w:tc>
          <w:tcPr>
            <w:tcW w:w="0" w:type="auto"/>
          </w:tcPr>
          <w:p w14:paraId="38DE6B5A" w14:textId="7B04B5EF" w:rsidR="007379B7" w:rsidRPr="007379B7" w:rsidRDefault="007379B7" w:rsidP="007379B7">
            <w:pPr>
              <w:pStyle w:val="NoSpacing"/>
              <w:rPr>
                <w:rFonts w:cstheme="minorHAnsi"/>
                <w:w w:val="95"/>
              </w:rPr>
            </w:pPr>
            <w:r w:rsidRPr="007379B7">
              <w:rPr>
                <w:rFonts w:cstheme="minorHAnsi"/>
                <w:w w:val="85"/>
              </w:rPr>
              <w:t>0.45</w:t>
            </w:r>
          </w:p>
        </w:tc>
        <w:tc>
          <w:tcPr>
            <w:tcW w:w="0" w:type="auto"/>
          </w:tcPr>
          <w:p w14:paraId="47C93F6D" w14:textId="7EC48536" w:rsidR="007379B7" w:rsidRPr="007379B7" w:rsidRDefault="007379B7" w:rsidP="007379B7">
            <w:pPr>
              <w:pStyle w:val="NoSpacing"/>
              <w:rPr>
                <w:rFonts w:cstheme="minorHAnsi"/>
                <w:w w:val="91"/>
              </w:rPr>
            </w:pPr>
            <w:r w:rsidRPr="007379B7">
              <w:rPr>
                <w:rFonts w:cstheme="minorHAnsi"/>
                <w:w w:val="85"/>
              </w:rPr>
              <w:t>0.05</w:t>
            </w:r>
          </w:p>
        </w:tc>
        <w:tc>
          <w:tcPr>
            <w:tcW w:w="0" w:type="auto"/>
          </w:tcPr>
          <w:p w14:paraId="0E930960" w14:textId="54375E54" w:rsidR="007379B7" w:rsidRPr="007379B7" w:rsidRDefault="007379B7" w:rsidP="007379B7">
            <w:pPr>
              <w:pStyle w:val="NoSpacing"/>
              <w:rPr>
                <w:rFonts w:cstheme="minorHAnsi"/>
                <w:w w:val="95"/>
              </w:rPr>
            </w:pPr>
            <w:r w:rsidRPr="007379B7">
              <w:rPr>
                <w:rFonts w:cstheme="minorHAnsi"/>
                <w:w w:val="85"/>
              </w:rPr>
              <w:t>.00</w:t>
            </w:r>
          </w:p>
        </w:tc>
      </w:tr>
      <w:tr w:rsidR="007379B7" w:rsidRPr="007379B7" w14:paraId="6CB11907" w14:textId="77777777" w:rsidTr="001D16F2">
        <w:trPr>
          <w:trHeight w:val="299"/>
        </w:trPr>
        <w:tc>
          <w:tcPr>
            <w:tcW w:w="0" w:type="auto"/>
          </w:tcPr>
          <w:p w14:paraId="3E8C027F" w14:textId="6B2AA424" w:rsidR="007379B7" w:rsidRPr="007379B7" w:rsidRDefault="007379B7" w:rsidP="007379B7">
            <w:pPr>
              <w:pStyle w:val="NoSpacing"/>
              <w:rPr>
                <w:rFonts w:cstheme="minorHAnsi"/>
              </w:rPr>
            </w:pPr>
            <w:r w:rsidRPr="007379B7">
              <w:rPr>
                <w:rFonts w:cstheme="minorHAnsi"/>
              </w:rPr>
              <w:t>Single premixed density</w:t>
            </w:r>
          </w:p>
        </w:tc>
        <w:tc>
          <w:tcPr>
            <w:tcW w:w="0" w:type="auto"/>
          </w:tcPr>
          <w:p w14:paraId="1C4884E6" w14:textId="5DE7DAEF" w:rsidR="007379B7" w:rsidRPr="007379B7" w:rsidRDefault="007379B7" w:rsidP="007379B7">
            <w:pPr>
              <w:pStyle w:val="NoSpacing"/>
              <w:rPr>
                <w:rFonts w:cstheme="minorHAnsi"/>
                <w:w w:val="95"/>
              </w:rPr>
            </w:pPr>
            <w:r w:rsidRPr="007379B7">
              <w:rPr>
                <w:rFonts w:cstheme="minorHAnsi"/>
                <w:w w:val="85"/>
              </w:rPr>
              <w:t>0.18</w:t>
            </w:r>
          </w:p>
        </w:tc>
        <w:tc>
          <w:tcPr>
            <w:tcW w:w="0" w:type="auto"/>
          </w:tcPr>
          <w:p w14:paraId="251F3F54" w14:textId="22C6E55B" w:rsidR="007379B7" w:rsidRPr="007379B7" w:rsidRDefault="007379B7" w:rsidP="007379B7">
            <w:pPr>
              <w:pStyle w:val="NoSpacing"/>
              <w:rPr>
                <w:rFonts w:cstheme="minorHAnsi"/>
                <w:w w:val="91"/>
              </w:rPr>
            </w:pPr>
            <w:r w:rsidRPr="007379B7">
              <w:rPr>
                <w:rFonts w:cstheme="minorHAnsi"/>
                <w:w w:val="85"/>
              </w:rPr>
              <w:t>0.03</w:t>
            </w:r>
          </w:p>
        </w:tc>
        <w:tc>
          <w:tcPr>
            <w:tcW w:w="0" w:type="auto"/>
          </w:tcPr>
          <w:p w14:paraId="3ACD2FD7" w14:textId="4359A86E" w:rsidR="007379B7" w:rsidRPr="007379B7" w:rsidRDefault="007379B7" w:rsidP="007379B7">
            <w:pPr>
              <w:pStyle w:val="NoSpacing"/>
              <w:rPr>
                <w:rFonts w:cstheme="minorHAnsi"/>
                <w:w w:val="95"/>
              </w:rPr>
            </w:pPr>
            <w:r w:rsidRPr="007379B7">
              <w:rPr>
                <w:rFonts w:cstheme="minorHAnsi"/>
                <w:w w:val="85"/>
              </w:rPr>
              <w:t>.00</w:t>
            </w:r>
          </w:p>
        </w:tc>
      </w:tr>
      <w:tr w:rsidR="007379B7" w:rsidRPr="007379B7" w14:paraId="21FEBC2D" w14:textId="77777777" w:rsidTr="001D16F2">
        <w:trPr>
          <w:trHeight w:val="299"/>
        </w:trPr>
        <w:tc>
          <w:tcPr>
            <w:tcW w:w="0" w:type="auto"/>
          </w:tcPr>
          <w:p w14:paraId="2EC1A320" w14:textId="619F4BAA" w:rsidR="007379B7" w:rsidRPr="007379B7" w:rsidRDefault="007379B7" w:rsidP="007379B7">
            <w:pPr>
              <w:pStyle w:val="NoSpacing"/>
              <w:rPr>
                <w:rFonts w:cstheme="minorHAnsi"/>
              </w:rPr>
            </w:pPr>
            <w:r w:rsidRPr="007379B7">
              <w:rPr>
                <w:rFonts w:cstheme="minorHAnsi"/>
              </w:rPr>
              <w:t>Constant</w:t>
            </w:r>
          </w:p>
        </w:tc>
        <w:tc>
          <w:tcPr>
            <w:tcW w:w="0" w:type="auto"/>
          </w:tcPr>
          <w:p w14:paraId="559BC2B0" w14:textId="3726B271" w:rsidR="007379B7" w:rsidRPr="007379B7" w:rsidRDefault="007379B7" w:rsidP="007379B7">
            <w:pPr>
              <w:pStyle w:val="NoSpacing"/>
              <w:rPr>
                <w:rFonts w:cstheme="minorHAnsi"/>
                <w:w w:val="95"/>
              </w:rPr>
            </w:pPr>
            <w:r w:rsidRPr="007379B7">
              <w:rPr>
                <w:rFonts w:cstheme="minorHAnsi"/>
                <w:w w:val="85"/>
              </w:rPr>
              <w:t>0.01</w:t>
            </w:r>
          </w:p>
        </w:tc>
        <w:tc>
          <w:tcPr>
            <w:tcW w:w="0" w:type="auto"/>
          </w:tcPr>
          <w:p w14:paraId="5388BF64" w14:textId="6298724A" w:rsidR="007379B7" w:rsidRPr="007379B7" w:rsidRDefault="007379B7" w:rsidP="007379B7">
            <w:pPr>
              <w:pStyle w:val="NoSpacing"/>
              <w:rPr>
                <w:rFonts w:cstheme="minorHAnsi"/>
                <w:w w:val="91"/>
              </w:rPr>
            </w:pPr>
            <w:r w:rsidRPr="007379B7">
              <w:rPr>
                <w:rFonts w:cstheme="minorHAnsi"/>
                <w:w w:val="85"/>
              </w:rPr>
              <w:t>0.03</w:t>
            </w:r>
          </w:p>
        </w:tc>
        <w:tc>
          <w:tcPr>
            <w:tcW w:w="0" w:type="auto"/>
          </w:tcPr>
          <w:p w14:paraId="402336EB" w14:textId="0D65678A" w:rsidR="007379B7" w:rsidRPr="007379B7" w:rsidRDefault="007379B7" w:rsidP="007379B7">
            <w:pPr>
              <w:pStyle w:val="NoSpacing"/>
              <w:rPr>
                <w:rFonts w:cstheme="minorHAnsi"/>
                <w:w w:val="95"/>
              </w:rPr>
            </w:pPr>
            <w:r w:rsidRPr="007379B7">
              <w:rPr>
                <w:rFonts w:cstheme="minorHAnsi"/>
                <w:w w:val="85"/>
              </w:rPr>
              <w:t>.82</w:t>
            </w:r>
          </w:p>
        </w:tc>
      </w:tr>
      <w:tr w:rsidR="007379B7" w:rsidRPr="007379B7" w14:paraId="30DD204A" w14:textId="77777777" w:rsidTr="001D16F2">
        <w:trPr>
          <w:trHeight w:val="299"/>
        </w:trPr>
        <w:tc>
          <w:tcPr>
            <w:tcW w:w="0" w:type="auto"/>
          </w:tcPr>
          <w:p w14:paraId="189F08D0" w14:textId="0641C6C5" w:rsidR="007379B7" w:rsidRPr="007379B7" w:rsidRDefault="007379B7" w:rsidP="007379B7">
            <w:pPr>
              <w:pStyle w:val="NoSpacing"/>
              <w:rPr>
                <w:rFonts w:cstheme="minorHAnsi"/>
              </w:rPr>
            </w:pPr>
            <w:r w:rsidRPr="007379B7">
              <w:rPr>
                <w:rFonts w:cstheme="minorHAnsi"/>
                <w:i/>
                <w:iCs/>
                <w:position w:val="-5"/>
              </w:rPr>
              <w:t>R</w:t>
            </w:r>
            <w:r w:rsidRPr="007379B7">
              <w:rPr>
                <w:rFonts w:cstheme="minorHAnsi"/>
                <w:vertAlign w:val="superscript"/>
              </w:rPr>
              <w:t>2</w:t>
            </w:r>
          </w:p>
        </w:tc>
        <w:tc>
          <w:tcPr>
            <w:tcW w:w="0" w:type="auto"/>
          </w:tcPr>
          <w:p w14:paraId="2821DF3E" w14:textId="77777777" w:rsidR="007379B7" w:rsidRPr="007379B7" w:rsidRDefault="007379B7" w:rsidP="007379B7">
            <w:pPr>
              <w:pStyle w:val="NoSpacing"/>
              <w:rPr>
                <w:rFonts w:cstheme="minorHAnsi"/>
                <w:w w:val="95"/>
              </w:rPr>
            </w:pPr>
          </w:p>
        </w:tc>
        <w:tc>
          <w:tcPr>
            <w:tcW w:w="0" w:type="auto"/>
          </w:tcPr>
          <w:p w14:paraId="367E1289" w14:textId="2473186F" w:rsidR="007379B7" w:rsidRPr="007379B7" w:rsidRDefault="007379B7" w:rsidP="007379B7">
            <w:pPr>
              <w:pStyle w:val="NoSpacing"/>
              <w:rPr>
                <w:rFonts w:cstheme="minorHAnsi"/>
                <w:w w:val="91"/>
              </w:rPr>
            </w:pPr>
            <w:r w:rsidRPr="007379B7">
              <w:rPr>
                <w:rFonts w:cstheme="minorHAnsi"/>
                <w:w w:val="85"/>
              </w:rPr>
              <w:t>.56</w:t>
            </w:r>
          </w:p>
        </w:tc>
        <w:tc>
          <w:tcPr>
            <w:tcW w:w="0" w:type="auto"/>
          </w:tcPr>
          <w:p w14:paraId="1D99D069" w14:textId="77777777" w:rsidR="007379B7" w:rsidRPr="007379B7" w:rsidRDefault="007379B7" w:rsidP="007379B7">
            <w:pPr>
              <w:pStyle w:val="NoSpacing"/>
              <w:rPr>
                <w:rFonts w:cstheme="minorHAnsi"/>
                <w:w w:val="95"/>
              </w:rPr>
            </w:pPr>
          </w:p>
        </w:tc>
      </w:tr>
      <w:tr w:rsidR="007379B7" w:rsidRPr="007379B7" w14:paraId="6E3ACC97" w14:textId="77777777" w:rsidTr="001D16F2">
        <w:trPr>
          <w:trHeight w:val="299"/>
        </w:trPr>
        <w:tc>
          <w:tcPr>
            <w:tcW w:w="0" w:type="auto"/>
          </w:tcPr>
          <w:p w14:paraId="50E95269" w14:textId="6E7D1BE2" w:rsidR="007379B7" w:rsidRPr="007379B7" w:rsidRDefault="007379B7" w:rsidP="007379B7">
            <w:pPr>
              <w:pStyle w:val="NoSpacing"/>
              <w:rPr>
                <w:rFonts w:cstheme="minorHAnsi"/>
              </w:rPr>
            </w:pPr>
            <w:r w:rsidRPr="007379B7">
              <w:rPr>
                <w:rFonts w:cstheme="minorHAnsi"/>
              </w:rPr>
              <w:t>Log likelihood</w:t>
            </w:r>
          </w:p>
        </w:tc>
        <w:tc>
          <w:tcPr>
            <w:tcW w:w="0" w:type="auto"/>
          </w:tcPr>
          <w:p w14:paraId="220B721E" w14:textId="77777777" w:rsidR="007379B7" w:rsidRPr="007379B7" w:rsidRDefault="007379B7" w:rsidP="007379B7">
            <w:pPr>
              <w:pStyle w:val="NoSpacing"/>
              <w:rPr>
                <w:rFonts w:cstheme="minorHAnsi"/>
                <w:w w:val="95"/>
              </w:rPr>
            </w:pPr>
          </w:p>
        </w:tc>
        <w:tc>
          <w:tcPr>
            <w:tcW w:w="0" w:type="auto"/>
          </w:tcPr>
          <w:p w14:paraId="2C25B8EC" w14:textId="50A3AAD5" w:rsidR="007379B7" w:rsidRPr="007379B7" w:rsidRDefault="007379B7" w:rsidP="007379B7">
            <w:pPr>
              <w:pStyle w:val="NoSpacing"/>
              <w:rPr>
                <w:rFonts w:cstheme="minorHAnsi"/>
                <w:w w:val="91"/>
              </w:rPr>
            </w:pPr>
            <w:r w:rsidRPr="007379B7">
              <w:rPr>
                <w:rFonts w:cstheme="minorHAnsi"/>
                <w:w w:val="85"/>
              </w:rPr>
              <w:t>−588.93</w:t>
            </w:r>
          </w:p>
        </w:tc>
        <w:tc>
          <w:tcPr>
            <w:tcW w:w="0" w:type="auto"/>
          </w:tcPr>
          <w:p w14:paraId="3E340F46" w14:textId="77777777" w:rsidR="007379B7" w:rsidRPr="007379B7" w:rsidRDefault="007379B7" w:rsidP="007379B7">
            <w:pPr>
              <w:pStyle w:val="NoSpacing"/>
              <w:rPr>
                <w:rFonts w:cstheme="minorHAnsi"/>
                <w:w w:val="95"/>
              </w:rPr>
            </w:pPr>
          </w:p>
        </w:tc>
      </w:tr>
      <w:tr w:rsidR="007379B7" w:rsidRPr="007379B7" w14:paraId="4D508007" w14:textId="77777777" w:rsidTr="001D16F2">
        <w:trPr>
          <w:trHeight w:val="299"/>
        </w:trPr>
        <w:tc>
          <w:tcPr>
            <w:tcW w:w="0" w:type="auto"/>
          </w:tcPr>
          <w:p w14:paraId="5DE84D2F" w14:textId="31DD7F6D" w:rsidR="007379B7" w:rsidRPr="007379B7" w:rsidRDefault="007379B7" w:rsidP="007379B7">
            <w:pPr>
              <w:pStyle w:val="NoSpacing"/>
              <w:rPr>
                <w:rFonts w:cstheme="minorHAnsi"/>
              </w:rPr>
            </w:pPr>
            <w:r w:rsidRPr="007379B7">
              <w:rPr>
                <w:rFonts w:cstheme="minorHAnsi"/>
              </w:rPr>
              <w:t>Akaike information criterion</w:t>
            </w:r>
          </w:p>
        </w:tc>
        <w:tc>
          <w:tcPr>
            <w:tcW w:w="0" w:type="auto"/>
          </w:tcPr>
          <w:p w14:paraId="33E5F524" w14:textId="77777777" w:rsidR="007379B7" w:rsidRPr="007379B7" w:rsidRDefault="007379B7" w:rsidP="007379B7">
            <w:pPr>
              <w:pStyle w:val="NoSpacing"/>
              <w:rPr>
                <w:rFonts w:cstheme="minorHAnsi"/>
                <w:w w:val="95"/>
              </w:rPr>
            </w:pPr>
          </w:p>
        </w:tc>
        <w:tc>
          <w:tcPr>
            <w:tcW w:w="0" w:type="auto"/>
          </w:tcPr>
          <w:p w14:paraId="17FA4397" w14:textId="196E4E78" w:rsidR="007379B7" w:rsidRPr="007379B7" w:rsidRDefault="007379B7" w:rsidP="007379B7">
            <w:pPr>
              <w:pStyle w:val="NoSpacing"/>
              <w:rPr>
                <w:rFonts w:cstheme="minorHAnsi"/>
                <w:w w:val="91"/>
              </w:rPr>
            </w:pPr>
            <w:r w:rsidRPr="007379B7">
              <w:rPr>
                <w:rFonts w:cstheme="minorHAnsi"/>
                <w:w w:val="85"/>
              </w:rPr>
              <w:t>1,195.86</w:t>
            </w:r>
          </w:p>
        </w:tc>
        <w:tc>
          <w:tcPr>
            <w:tcW w:w="0" w:type="auto"/>
          </w:tcPr>
          <w:p w14:paraId="76FFC5B4" w14:textId="77777777" w:rsidR="007379B7" w:rsidRPr="007379B7" w:rsidRDefault="007379B7" w:rsidP="007379B7">
            <w:pPr>
              <w:pStyle w:val="NoSpacing"/>
              <w:rPr>
                <w:rFonts w:cstheme="minorHAnsi"/>
                <w:w w:val="95"/>
              </w:rPr>
            </w:pPr>
          </w:p>
        </w:tc>
      </w:tr>
      <w:tr w:rsidR="007379B7" w:rsidRPr="007379B7" w14:paraId="6FEE6D74" w14:textId="77777777" w:rsidTr="001D16F2">
        <w:trPr>
          <w:trHeight w:val="299"/>
        </w:trPr>
        <w:tc>
          <w:tcPr>
            <w:tcW w:w="0" w:type="auto"/>
          </w:tcPr>
          <w:p w14:paraId="0EF2B8A8" w14:textId="37C50B37" w:rsidR="007379B7" w:rsidRPr="007379B7" w:rsidRDefault="007379B7" w:rsidP="007379B7">
            <w:pPr>
              <w:pStyle w:val="NoSpacing"/>
              <w:rPr>
                <w:rFonts w:cstheme="minorHAnsi"/>
              </w:rPr>
            </w:pPr>
            <w:r w:rsidRPr="007379B7">
              <w:rPr>
                <w:rFonts w:cstheme="minorHAnsi"/>
              </w:rPr>
              <w:t>Schwarz criterion</w:t>
            </w:r>
          </w:p>
        </w:tc>
        <w:tc>
          <w:tcPr>
            <w:tcW w:w="0" w:type="auto"/>
          </w:tcPr>
          <w:p w14:paraId="10A2C121" w14:textId="77777777" w:rsidR="007379B7" w:rsidRPr="007379B7" w:rsidRDefault="007379B7" w:rsidP="007379B7">
            <w:pPr>
              <w:pStyle w:val="NoSpacing"/>
              <w:rPr>
                <w:rFonts w:cstheme="minorHAnsi"/>
                <w:w w:val="95"/>
              </w:rPr>
            </w:pPr>
          </w:p>
        </w:tc>
        <w:tc>
          <w:tcPr>
            <w:tcW w:w="0" w:type="auto"/>
          </w:tcPr>
          <w:p w14:paraId="4ED7B606" w14:textId="1D4C0A9C" w:rsidR="007379B7" w:rsidRPr="007379B7" w:rsidRDefault="007379B7" w:rsidP="007379B7">
            <w:pPr>
              <w:pStyle w:val="NoSpacing"/>
              <w:rPr>
                <w:rFonts w:cstheme="minorHAnsi"/>
                <w:w w:val="91"/>
              </w:rPr>
            </w:pPr>
            <w:r w:rsidRPr="007379B7">
              <w:rPr>
                <w:rFonts w:cstheme="minorHAnsi"/>
                <w:w w:val="85"/>
              </w:rPr>
              <w:t>1,235.00</w:t>
            </w:r>
          </w:p>
        </w:tc>
        <w:tc>
          <w:tcPr>
            <w:tcW w:w="0" w:type="auto"/>
          </w:tcPr>
          <w:p w14:paraId="446EF65F" w14:textId="77777777" w:rsidR="007379B7" w:rsidRPr="007379B7" w:rsidRDefault="007379B7" w:rsidP="007379B7">
            <w:pPr>
              <w:pStyle w:val="NoSpacing"/>
              <w:rPr>
                <w:rFonts w:cstheme="minorHAnsi"/>
                <w:w w:val="95"/>
              </w:rPr>
            </w:pPr>
          </w:p>
        </w:tc>
      </w:tr>
      <w:tr w:rsidR="007379B7" w:rsidRPr="007379B7" w14:paraId="6B2272BA" w14:textId="77777777" w:rsidTr="001D16F2">
        <w:trPr>
          <w:trHeight w:val="299"/>
        </w:trPr>
        <w:tc>
          <w:tcPr>
            <w:tcW w:w="0" w:type="auto"/>
          </w:tcPr>
          <w:p w14:paraId="0B945957" w14:textId="093FBD0B" w:rsidR="007379B7" w:rsidRPr="007379B7" w:rsidRDefault="007379B7" w:rsidP="007379B7">
            <w:pPr>
              <w:pStyle w:val="NoSpacing"/>
              <w:rPr>
                <w:rFonts w:cstheme="minorHAnsi"/>
              </w:rPr>
            </w:pPr>
            <w:r w:rsidRPr="007379B7">
              <w:rPr>
                <w:rFonts w:cstheme="minorHAnsi"/>
              </w:rPr>
              <w:t>Number of observations</w:t>
            </w:r>
          </w:p>
        </w:tc>
        <w:tc>
          <w:tcPr>
            <w:tcW w:w="0" w:type="auto"/>
          </w:tcPr>
          <w:p w14:paraId="55342590" w14:textId="77777777" w:rsidR="007379B7" w:rsidRPr="007379B7" w:rsidRDefault="007379B7" w:rsidP="007379B7">
            <w:pPr>
              <w:pStyle w:val="NoSpacing"/>
              <w:rPr>
                <w:rFonts w:cstheme="minorHAnsi"/>
                <w:w w:val="95"/>
              </w:rPr>
            </w:pPr>
          </w:p>
        </w:tc>
        <w:tc>
          <w:tcPr>
            <w:tcW w:w="0" w:type="auto"/>
          </w:tcPr>
          <w:p w14:paraId="4C91DFAD" w14:textId="6D441593" w:rsidR="007379B7" w:rsidRPr="007379B7" w:rsidRDefault="007379B7" w:rsidP="007379B7">
            <w:pPr>
              <w:pStyle w:val="NoSpacing"/>
              <w:rPr>
                <w:rFonts w:cstheme="minorHAnsi"/>
                <w:w w:val="91"/>
              </w:rPr>
            </w:pPr>
            <w:r w:rsidRPr="007379B7">
              <w:rPr>
                <w:rFonts w:cstheme="minorHAnsi"/>
              </w:rPr>
              <w:t>572</w:t>
            </w:r>
          </w:p>
        </w:tc>
        <w:tc>
          <w:tcPr>
            <w:tcW w:w="0" w:type="auto"/>
          </w:tcPr>
          <w:p w14:paraId="133ECBF0" w14:textId="77777777" w:rsidR="007379B7" w:rsidRPr="007379B7" w:rsidRDefault="007379B7" w:rsidP="007379B7">
            <w:pPr>
              <w:pStyle w:val="NoSpacing"/>
              <w:rPr>
                <w:rFonts w:cstheme="minorHAnsi"/>
                <w:w w:val="95"/>
              </w:rPr>
            </w:pPr>
          </w:p>
        </w:tc>
      </w:tr>
      <w:tr w:rsidR="007379B7" w:rsidRPr="007379B7" w14:paraId="6FCD8213" w14:textId="77777777" w:rsidTr="001D16F2">
        <w:trPr>
          <w:trHeight w:val="299"/>
        </w:trPr>
        <w:tc>
          <w:tcPr>
            <w:tcW w:w="0" w:type="auto"/>
          </w:tcPr>
          <w:p w14:paraId="1A743616" w14:textId="67FCACA6" w:rsidR="007379B7" w:rsidRPr="007379B7" w:rsidRDefault="007379B7" w:rsidP="007379B7">
            <w:pPr>
              <w:pStyle w:val="NoSpacing"/>
              <w:rPr>
                <w:rFonts w:cstheme="minorHAnsi"/>
              </w:rPr>
            </w:pPr>
            <w:r w:rsidRPr="007379B7">
              <w:rPr>
                <w:rFonts w:cstheme="minorHAnsi"/>
              </w:rPr>
              <w:t>Number of variables</w:t>
            </w:r>
          </w:p>
        </w:tc>
        <w:tc>
          <w:tcPr>
            <w:tcW w:w="0" w:type="auto"/>
          </w:tcPr>
          <w:p w14:paraId="774BBC2F" w14:textId="77777777" w:rsidR="007379B7" w:rsidRPr="007379B7" w:rsidRDefault="007379B7" w:rsidP="007379B7">
            <w:pPr>
              <w:pStyle w:val="NoSpacing"/>
              <w:rPr>
                <w:rFonts w:cstheme="minorHAnsi"/>
                <w:w w:val="95"/>
              </w:rPr>
            </w:pPr>
          </w:p>
        </w:tc>
        <w:tc>
          <w:tcPr>
            <w:tcW w:w="0" w:type="auto"/>
          </w:tcPr>
          <w:p w14:paraId="2F7F613E" w14:textId="63784D12" w:rsidR="007379B7" w:rsidRPr="007379B7" w:rsidRDefault="007379B7" w:rsidP="007379B7">
            <w:pPr>
              <w:pStyle w:val="NoSpacing"/>
              <w:rPr>
                <w:rFonts w:cstheme="minorHAnsi"/>
                <w:w w:val="91"/>
              </w:rPr>
            </w:pPr>
            <w:r w:rsidRPr="007379B7">
              <w:rPr>
                <w:rFonts w:cstheme="minorHAnsi"/>
                <w:w w:val="91"/>
              </w:rPr>
              <w:t>9</w:t>
            </w:r>
          </w:p>
        </w:tc>
        <w:tc>
          <w:tcPr>
            <w:tcW w:w="0" w:type="auto"/>
          </w:tcPr>
          <w:p w14:paraId="44C25F44" w14:textId="77777777" w:rsidR="007379B7" w:rsidRPr="007379B7" w:rsidRDefault="007379B7" w:rsidP="007379B7">
            <w:pPr>
              <w:pStyle w:val="NoSpacing"/>
              <w:rPr>
                <w:rFonts w:cstheme="minorHAnsi"/>
                <w:w w:val="95"/>
              </w:rPr>
            </w:pPr>
          </w:p>
        </w:tc>
      </w:tr>
      <w:tr w:rsidR="007379B7" w:rsidRPr="007379B7" w14:paraId="5E7271BB" w14:textId="77777777" w:rsidTr="001D16F2">
        <w:trPr>
          <w:trHeight w:val="299"/>
        </w:trPr>
        <w:tc>
          <w:tcPr>
            <w:tcW w:w="0" w:type="auto"/>
          </w:tcPr>
          <w:p w14:paraId="10426635" w14:textId="1931938B" w:rsidR="007379B7" w:rsidRPr="007379B7" w:rsidRDefault="007379B7" w:rsidP="007379B7">
            <w:pPr>
              <w:pStyle w:val="NoSpacing"/>
              <w:rPr>
                <w:rFonts w:cstheme="minorHAnsi"/>
              </w:rPr>
            </w:pPr>
            <w:r w:rsidRPr="007379B7">
              <w:rPr>
                <w:rFonts w:cstheme="minorHAnsi"/>
              </w:rPr>
              <w:t>Degrees of freedom</w:t>
            </w:r>
          </w:p>
        </w:tc>
        <w:tc>
          <w:tcPr>
            <w:tcW w:w="0" w:type="auto"/>
          </w:tcPr>
          <w:p w14:paraId="5E57CA8E" w14:textId="77777777" w:rsidR="007379B7" w:rsidRPr="007379B7" w:rsidRDefault="007379B7" w:rsidP="007379B7">
            <w:pPr>
              <w:pStyle w:val="NoSpacing"/>
              <w:rPr>
                <w:rFonts w:cstheme="minorHAnsi"/>
                <w:w w:val="95"/>
              </w:rPr>
            </w:pPr>
          </w:p>
        </w:tc>
        <w:tc>
          <w:tcPr>
            <w:tcW w:w="0" w:type="auto"/>
          </w:tcPr>
          <w:p w14:paraId="6902987A" w14:textId="1DF5F378" w:rsidR="007379B7" w:rsidRPr="007379B7" w:rsidRDefault="007379B7" w:rsidP="007379B7">
            <w:pPr>
              <w:pStyle w:val="NoSpacing"/>
              <w:rPr>
                <w:rFonts w:cstheme="minorHAnsi"/>
                <w:w w:val="91"/>
              </w:rPr>
            </w:pPr>
            <w:r w:rsidRPr="007379B7">
              <w:rPr>
                <w:rFonts w:cstheme="minorHAnsi"/>
              </w:rPr>
              <w:t>563</w:t>
            </w:r>
          </w:p>
        </w:tc>
        <w:tc>
          <w:tcPr>
            <w:tcW w:w="0" w:type="auto"/>
          </w:tcPr>
          <w:p w14:paraId="23A079EE" w14:textId="77777777" w:rsidR="007379B7" w:rsidRPr="007379B7" w:rsidRDefault="007379B7" w:rsidP="007379B7">
            <w:pPr>
              <w:pStyle w:val="NoSpacing"/>
              <w:rPr>
                <w:rFonts w:cstheme="minorHAnsi"/>
                <w:w w:val="95"/>
              </w:rPr>
            </w:pPr>
          </w:p>
        </w:tc>
      </w:tr>
      <w:tr w:rsidR="007379B7" w:rsidRPr="007379B7" w14:paraId="698152B6" w14:textId="77777777" w:rsidTr="001D16F2">
        <w:trPr>
          <w:trHeight w:val="299"/>
        </w:trPr>
        <w:tc>
          <w:tcPr>
            <w:tcW w:w="0" w:type="auto"/>
          </w:tcPr>
          <w:p w14:paraId="4D687334" w14:textId="7F8A105E" w:rsidR="007379B7" w:rsidRPr="007379B7" w:rsidRDefault="007379B7" w:rsidP="007379B7">
            <w:pPr>
              <w:pStyle w:val="NoSpacing"/>
              <w:rPr>
                <w:rFonts w:cstheme="minorHAnsi"/>
              </w:rPr>
            </w:pPr>
            <w:r w:rsidRPr="007379B7">
              <w:rPr>
                <w:rFonts w:cstheme="minorHAnsi"/>
                <w:w w:val="95"/>
              </w:rPr>
              <w:t>Multicollinearity condition number</w:t>
            </w:r>
          </w:p>
        </w:tc>
        <w:tc>
          <w:tcPr>
            <w:tcW w:w="0" w:type="auto"/>
          </w:tcPr>
          <w:p w14:paraId="3B186D61" w14:textId="77777777" w:rsidR="007379B7" w:rsidRPr="007379B7" w:rsidRDefault="007379B7" w:rsidP="007379B7">
            <w:pPr>
              <w:pStyle w:val="NoSpacing"/>
              <w:rPr>
                <w:rFonts w:cstheme="minorHAnsi"/>
                <w:w w:val="95"/>
              </w:rPr>
            </w:pPr>
          </w:p>
        </w:tc>
        <w:tc>
          <w:tcPr>
            <w:tcW w:w="0" w:type="auto"/>
          </w:tcPr>
          <w:p w14:paraId="3328F3C3" w14:textId="6EA2D4D1" w:rsidR="007379B7" w:rsidRPr="007379B7" w:rsidRDefault="007379B7" w:rsidP="007379B7">
            <w:pPr>
              <w:pStyle w:val="NoSpacing"/>
              <w:rPr>
                <w:rFonts w:cstheme="minorHAnsi"/>
                <w:w w:val="91"/>
              </w:rPr>
            </w:pPr>
            <w:r w:rsidRPr="007379B7">
              <w:rPr>
                <w:rFonts w:cstheme="minorHAnsi"/>
                <w:w w:val="85"/>
              </w:rPr>
              <w:t>3.00</w:t>
            </w:r>
          </w:p>
        </w:tc>
        <w:tc>
          <w:tcPr>
            <w:tcW w:w="0" w:type="auto"/>
          </w:tcPr>
          <w:p w14:paraId="451C4B4B" w14:textId="77777777" w:rsidR="007379B7" w:rsidRPr="007379B7" w:rsidRDefault="007379B7" w:rsidP="007379B7">
            <w:pPr>
              <w:pStyle w:val="NoSpacing"/>
              <w:rPr>
                <w:rFonts w:cstheme="minorHAnsi"/>
                <w:w w:val="95"/>
              </w:rPr>
            </w:pPr>
          </w:p>
        </w:tc>
      </w:tr>
    </w:tbl>
    <w:p w14:paraId="38B4ABC8" w14:textId="77777777" w:rsidR="00C73423" w:rsidRPr="00C73423" w:rsidRDefault="00C73423" w:rsidP="00C73423">
      <w:pPr>
        <w:kinsoku w:val="0"/>
        <w:overflowPunct w:val="0"/>
        <w:autoSpaceDE w:val="0"/>
        <w:autoSpaceDN w:val="0"/>
        <w:adjustRightInd w:val="0"/>
        <w:spacing w:before="11" w:after="0" w:line="240" w:lineRule="auto"/>
        <w:rPr>
          <w:rFonts w:ascii="Times New Roman" w:hAnsi="Times New Roman" w:cs="Times New Roman"/>
          <w:sz w:val="2"/>
          <w:szCs w:val="2"/>
        </w:rPr>
      </w:pPr>
    </w:p>
    <w:p w14:paraId="3AFBEBF8" w14:textId="77777777" w:rsidR="00931CE6" w:rsidRPr="00931CE6" w:rsidRDefault="00931CE6" w:rsidP="00931CE6">
      <w:pPr>
        <w:kinsoku w:val="0"/>
        <w:overflowPunct w:val="0"/>
        <w:autoSpaceDE w:val="0"/>
        <w:autoSpaceDN w:val="0"/>
        <w:adjustRightInd w:val="0"/>
        <w:spacing w:before="11" w:after="0" w:line="240" w:lineRule="auto"/>
        <w:rPr>
          <w:rFonts w:ascii="Times New Roman" w:hAnsi="Times New Roman" w:cs="Times New Roman"/>
          <w:sz w:val="2"/>
          <w:szCs w:val="2"/>
        </w:rPr>
      </w:pPr>
    </w:p>
    <w:p w14:paraId="18678FF0" w14:textId="3B618A14" w:rsidR="009D62ED" w:rsidRDefault="009D62ED" w:rsidP="009D62ED">
      <w:pPr>
        <w:pStyle w:val="NoSpacing"/>
      </w:pPr>
    </w:p>
    <w:p w14:paraId="2525E9DD" w14:textId="0C3728A1" w:rsidR="000F10DA" w:rsidRDefault="000F10DA" w:rsidP="000F10DA">
      <w:pPr>
        <w:pStyle w:val="NoSpacing"/>
      </w:pPr>
      <w:r>
        <w:t>Model 2 was estimated to test the second hypothesis and examine the association between alcohol availability and robbery density, net of neighborhood characteristics. Results of Model 2 suggest that whereas on-premise density was not associated with robbery density, off-premise was positively and significantly associated with robbery density (</w:t>
      </w:r>
      <w:r>
        <w:rPr>
          <w:i/>
          <w:iCs/>
        </w:rPr>
        <w:t>B</w:t>
      </w:r>
      <w:r>
        <w:t xml:space="preserve"> = 0.03, </w:t>
      </w:r>
      <w:r>
        <w:rPr>
          <w:i/>
          <w:iCs/>
        </w:rPr>
        <w:t>p</w:t>
      </w:r>
      <w:r>
        <w:t xml:space="preserve"> = .32, and </w:t>
      </w:r>
      <w:r>
        <w:rPr>
          <w:i/>
          <w:iCs/>
        </w:rPr>
        <w:t>B</w:t>
      </w:r>
      <w:r>
        <w:t xml:space="preserve"> = 0.15, </w:t>
      </w:r>
      <w:r>
        <w:rPr>
          <w:i/>
          <w:iCs/>
        </w:rPr>
        <w:t>p</w:t>
      </w:r>
      <w:r>
        <w:t xml:space="preserve"> &lt; .01, respectively). The model explained 55% of the variance in robbery density.</w:t>
      </w:r>
    </w:p>
    <w:p w14:paraId="3B1E5A17" w14:textId="77777777" w:rsidR="000F10DA" w:rsidRDefault="000F10DA" w:rsidP="000F10DA">
      <w:pPr>
        <w:pStyle w:val="NoSpacing"/>
      </w:pPr>
    </w:p>
    <w:p w14:paraId="3A899BDA" w14:textId="167307A3" w:rsidR="000F10DA" w:rsidRDefault="000F10DA" w:rsidP="000F10DA">
      <w:pPr>
        <w:pStyle w:val="NoSpacing"/>
      </w:pPr>
      <w:r>
        <w:t xml:space="preserve">Models 3 to 9 were estimated to provide a more disaggregated analysis of the relationship between robberies and different alcohol beverage types and to test the remaining hypotheses. Model 3 examined the association </w:t>
      </w:r>
      <w:r>
        <w:lastRenderedPageBreak/>
        <w:t>between beer availability and robbery density net of control variables. In Model 3, we see that beer availability was positively and significantly associated with robbery density (</w:t>
      </w:r>
      <w:r>
        <w:rPr>
          <w:i/>
          <w:iCs/>
        </w:rPr>
        <w:t>B</w:t>
      </w:r>
      <w:r>
        <w:t xml:space="preserve"> = 0.14, </w:t>
      </w:r>
      <w:r>
        <w:rPr>
          <w:i/>
          <w:iCs/>
        </w:rPr>
        <w:t>p</w:t>
      </w:r>
      <w:r>
        <w:t xml:space="preserve"> &lt; .01). Model 4 examined the association between wine availability and robbery density, net of control variables. The results of Model 4 suggest that wine availability was positively and significantly associated with robbery density (</w:t>
      </w:r>
      <w:r>
        <w:rPr>
          <w:i/>
          <w:iCs/>
        </w:rPr>
        <w:t>B</w:t>
      </w:r>
      <w:r>
        <w:t xml:space="preserve"> = 0.16, </w:t>
      </w:r>
      <w:r>
        <w:rPr>
          <w:i/>
          <w:iCs/>
        </w:rPr>
        <w:t>p</w:t>
      </w:r>
      <w:r>
        <w:t xml:space="preserve"> &lt; .01). Model 5 was estimated to examine the association between spirits availability and robbery density, and the results suggest that availability of spirits was positively and significantly related to robbery density (</w:t>
      </w:r>
      <w:r>
        <w:rPr>
          <w:i/>
          <w:iCs/>
        </w:rPr>
        <w:t>B</w:t>
      </w:r>
      <w:r>
        <w:t xml:space="preserve"> = 0.12, </w:t>
      </w:r>
      <w:r>
        <w:rPr>
          <w:i/>
          <w:iCs/>
        </w:rPr>
        <w:t>p</w:t>
      </w:r>
      <w:r>
        <w:t xml:space="preserve"> &lt; .01). In addition, Model 6 examined the relationship between availability of premixed alcohol beverages and robbery density. Model 6 results suggest that availability of premixed drinks was positively and significantly associated with robbery density (</w:t>
      </w:r>
      <w:r>
        <w:rPr>
          <w:i/>
          <w:iCs/>
        </w:rPr>
        <w:t>B</w:t>
      </w:r>
      <w:r>
        <w:t xml:space="preserve"> = 0.20, </w:t>
      </w:r>
      <w:r>
        <w:rPr>
          <w:i/>
          <w:iCs/>
        </w:rPr>
        <w:t>p</w:t>
      </w:r>
      <w:r>
        <w:t xml:space="preserve"> &lt; .01).</w:t>
      </w:r>
    </w:p>
    <w:p w14:paraId="55F8C58A" w14:textId="77777777" w:rsidR="000F10DA" w:rsidRDefault="000F10DA" w:rsidP="000F10DA">
      <w:pPr>
        <w:pStyle w:val="NoSpacing"/>
      </w:pPr>
    </w:p>
    <w:p w14:paraId="4C2CC87F" w14:textId="43BF2A5B" w:rsidR="000F10DA" w:rsidRDefault="000F10DA" w:rsidP="000F10DA">
      <w:pPr>
        <w:pStyle w:val="NoSpacing"/>
      </w:pPr>
      <w:r>
        <w:t>The following three models, Models 7 to 9, examined the relationship between single drink availability and robbery density. Model 7 was estimated to test the association between single beer availability and robbery density, and the results suggest that single beer availability was positively and significantly related to robbery density (</w:t>
      </w:r>
      <w:r>
        <w:rPr>
          <w:i/>
          <w:iCs/>
        </w:rPr>
        <w:t>B</w:t>
      </w:r>
      <w:r>
        <w:t xml:space="preserve"> = 0.13, </w:t>
      </w:r>
      <w:r>
        <w:rPr>
          <w:i/>
          <w:iCs/>
        </w:rPr>
        <w:t>p</w:t>
      </w:r>
      <w:r>
        <w:t xml:space="preserve"> &lt; .01). Model 8 examined the relationship between single spirits availability and robbery density, net of control variables. Results of Model 8 suggest that availability of single spirits was also positively and significantly associated with robbery density (</w:t>
      </w:r>
      <w:r>
        <w:rPr>
          <w:i/>
          <w:iCs/>
        </w:rPr>
        <w:t>B</w:t>
      </w:r>
      <w:r>
        <w:t xml:space="preserve"> = 0.12, </w:t>
      </w:r>
      <w:r>
        <w:rPr>
          <w:i/>
          <w:iCs/>
        </w:rPr>
        <w:t>p</w:t>
      </w:r>
      <w:r>
        <w:t xml:space="preserve"> &lt; .01). Last, Model 9 examined the relationship between single premixed beverages and robbery density, and the results of Model 9 suggest a positive and significant association between single premixed availability and robbery density (</w:t>
      </w:r>
      <w:r>
        <w:rPr>
          <w:i/>
          <w:iCs/>
        </w:rPr>
        <w:t>B</w:t>
      </w:r>
      <w:r>
        <w:t xml:space="preserve"> = 0.18, </w:t>
      </w:r>
      <w:r>
        <w:rPr>
          <w:i/>
          <w:iCs/>
        </w:rPr>
        <w:t>p</w:t>
      </w:r>
      <w:r>
        <w:t xml:space="preserve"> &lt; .01). Models 3 to 9 explained between 55% and 56% of variance in robbery density, and the regression diagnostics suggested that wine availability (Model 4) and premixed availability models (Models 6 and 9) best estimated the influence of these variables on robbery density.</w:t>
      </w:r>
    </w:p>
    <w:p w14:paraId="17C8BC21" w14:textId="77777777" w:rsidR="000F10DA" w:rsidRDefault="000F10DA" w:rsidP="000F10DA">
      <w:pPr>
        <w:pStyle w:val="NoSpacing"/>
      </w:pPr>
    </w:p>
    <w:p w14:paraId="6D1482DB" w14:textId="0AE5F404" w:rsidR="000F10DA" w:rsidRDefault="000F10DA" w:rsidP="000F10DA">
      <w:pPr>
        <w:pStyle w:val="NoSpacing"/>
      </w:pPr>
      <w:r>
        <w:t>A set of sensitivity analyses were carried out to ensure the stability of the models estimated above. Although off-premise density was a significant predictor of robbery density (Model 2), this variable was not included in the beverage type models (Models 3-9) because of high correlations between off-premise density and the density of alcoholic beverage types. Alternative models (available on request) also included off-premise alcohol outlet density measure in the beverage type models (Models 3-9), and the beverage type densities were statistically insignificant, most likely because the standard errors on the alcohol beverage type variables were likely overestimated due to the collinearity between beverage types and off-premise availability. Therefore, the analyses carried out and reported above include alcoholic beverage type models (Models 3-9) that include beverage type densities one at a time.</w:t>
      </w:r>
    </w:p>
    <w:p w14:paraId="32CEEF82" w14:textId="77777777" w:rsidR="000F10DA" w:rsidRDefault="000F10DA" w:rsidP="000F10DA">
      <w:pPr>
        <w:pStyle w:val="NoSpacing"/>
      </w:pPr>
    </w:p>
    <w:p w14:paraId="46ECF9C7" w14:textId="77777777" w:rsidR="000F10DA" w:rsidRDefault="000F10DA" w:rsidP="000F10DA">
      <w:pPr>
        <w:pStyle w:val="NoSpacing"/>
      </w:pPr>
      <w:r>
        <w:t xml:space="preserve">To better understand which beverage type density was the most important predictor of robbery density and to disentangle the simultaneous impact of beverage types and of off-premise outlets on robbery density, random forests estimations were carried out using R software package </w:t>
      </w:r>
      <w:proofErr w:type="spellStart"/>
      <w:r>
        <w:rPr>
          <w:i/>
          <w:iCs/>
        </w:rPr>
        <w:t>randomForest</w:t>
      </w:r>
      <w:proofErr w:type="spellEnd"/>
      <w:r>
        <w:t xml:space="preserve"> and the results are presented below in </w:t>
      </w:r>
      <w:hyperlink r:id="rId65" w:tooltip="Open Figure Viewer" w:history="1">
        <w:r>
          <w:rPr>
            <w:rStyle w:val="Hyperlink"/>
          </w:rPr>
          <w:t>Figure 1</w:t>
        </w:r>
      </w:hyperlink>
      <w:r>
        <w:t xml:space="preserve">. Random forests allow for a more thorough exploration of the data and provide additional insight into the explanation for variable processes, relative to linear regression analysis (see </w:t>
      </w:r>
      <w:hyperlink r:id="rId66" w:history="1">
        <w:r>
          <w:rPr>
            <w:rStyle w:val="Hyperlink"/>
          </w:rPr>
          <w:t xml:space="preserve">Strobl, Malley, &amp; </w:t>
        </w:r>
        <w:proofErr w:type="spellStart"/>
        <w:r>
          <w:rPr>
            <w:rStyle w:val="Hyperlink"/>
          </w:rPr>
          <w:t>Tutz</w:t>
        </w:r>
        <w:proofErr w:type="spellEnd"/>
        <w:r>
          <w:rPr>
            <w:rStyle w:val="Hyperlink"/>
          </w:rPr>
          <w:t>, 2009</w:t>
        </w:r>
      </w:hyperlink>
      <w:r>
        <w:t xml:space="preserve">), and the results of the random forests show the relative importance of the predictor variables for the dependent variable. In this case, </w:t>
      </w:r>
      <w:hyperlink r:id="rId67" w:tooltip="Open Figure Viewer" w:history="1">
        <w:r>
          <w:rPr>
            <w:rStyle w:val="Hyperlink"/>
          </w:rPr>
          <w:t>Figure 1</w:t>
        </w:r>
      </w:hyperlink>
      <w:r>
        <w:t xml:space="preserve"> shows that the spatial lag term (rho) associated with robbery density is by far the most important predictor of robbery density, a finding also suggested in the tables above. The next most important predictor of robbery density is population density, followed by off-premise density, concentrated disadvantage, proportion Black, and concentrated immigration. </w:t>
      </w:r>
      <w:hyperlink r:id="rId68" w:tooltip="Open Figure Viewer" w:history="1">
        <w:r>
          <w:rPr>
            <w:rStyle w:val="Hyperlink"/>
          </w:rPr>
          <w:t>Figure 1</w:t>
        </w:r>
      </w:hyperlink>
      <w:r>
        <w:t xml:space="preserve"> also shows that certain beverage types were more important variables to predict robbery density, relative to others. Specifically, premixed beverage density is the most important alcohol beverage type predictor of robbery density, followed by beer density, wine density, single premixed density, and single beer density. Spirit density measures, including single spirits, were least important predictors of robbery density, relative to other variables.</w:t>
      </w:r>
    </w:p>
    <w:p w14:paraId="27FAFEDA" w14:textId="300CD21F" w:rsidR="000F10DA" w:rsidRDefault="000F10DA" w:rsidP="000F10DA">
      <w:pPr>
        <w:pStyle w:val="NoSpacing"/>
      </w:pPr>
    </w:p>
    <w:p w14:paraId="76E5AC8D" w14:textId="0878BE33" w:rsidR="00F04506" w:rsidRDefault="00F04506" w:rsidP="000F10DA">
      <w:pPr>
        <w:pStyle w:val="NoSpacing"/>
      </w:pPr>
      <w:r>
        <w:rPr>
          <w:noProof/>
        </w:rPr>
        <w:lastRenderedPageBreak/>
        <w:drawing>
          <wp:inline distT="0" distB="0" distL="0" distR="0" wp14:anchorId="4CEA99BE" wp14:editId="7A7CB71F">
            <wp:extent cx="3657600" cy="2322576"/>
            <wp:effectExtent l="0" t="0" r="0" b="1905"/>
            <wp:docPr id="1" name="Picture 1" descr="Figure 1. Random forest estimations for variable importance for Milwaukee block groups (N = 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0;                        figure&#10;                    "/>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3657600" cy="2322576"/>
                    </a:xfrm>
                    <a:prstGeom prst="rect">
                      <a:avLst/>
                    </a:prstGeom>
                    <a:noFill/>
                    <a:ln>
                      <a:noFill/>
                    </a:ln>
                  </pic:spPr>
                </pic:pic>
              </a:graphicData>
            </a:graphic>
          </wp:inline>
        </w:drawing>
      </w:r>
    </w:p>
    <w:p w14:paraId="1B2568F2" w14:textId="282BA7F9" w:rsidR="00F04506" w:rsidRPr="00F84909" w:rsidRDefault="00F84909" w:rsidP="00F84909">
      <w:pPr>
        <w:pStyle w:val="NoSpacing"/>
      </w:pPr>
      <w:r w:rsidRPr="00F84909">
        <w:rPr>
          <w:rStyle w:val="captionlabel"/>
          <w:b/>
          <w:bCs/>
        </w:rPr>
        <w:t>Figure 1.</w:t>
      </w:r>
      <w:r w:rsidRPr="00F84909">
        <w:t xml:space="preserve"> Random forest estimations for variable importance for Milwaukee block groups (N = 572).</w:t>
      </w:r>
    </w:p>
    <w:p w14:paraId="337C95A2" w14:textId="7F2AF3C9" w:rsidR="00A205A3" w:rsidRDefault="00A205A3" w:rsidP="00A205A3">
      <w:pPr>
        <w:pStyle w:val="Heading1"/>
      </w:pPr>
      <w:r>
        <w:t>Discussion</w:t>
      </w:r>
    </w:p>
    <w:p w14:paraId="740594F4" w14:textId="46048281" w:rsidR="000720FB" w:rsidRDefault="000720FB" w:rsidP="000720FB">
      <w:pPr>
        <w:pStyle w:val="NoSpacing"/>
      </w:pPr>
      <w:r>
        <w:t>Violence presents a social and public health threat in the United States and especially in the city of Milwaukee, Wisconsin. Milwaukee is not only among one of the most violent cities in the nation, but it is also a city that has a long history of beer production and consumption, located in a state whose alcohol consumption patterns are rather high. Therefore, it is an ideal research site within which to carry out the examination of alcohol–violence connection and focus on how different beverages can explain violence in Milwaukee’s neighborhoods.</w:t>
      </w:r>
    </w:p>
    <w:p w14:paraId="360F6E53" w14:textId="77777777" w:rsidR="000720FB" w:rsidRDefault="000720FB" w:rsidP="000720FB">
      <w:pPr>
        <w:pStyle w:val="NoSpacing"/>
      </w:pPr>
    </w:p>
    <w:p w14:paraId="153050A6" w14:textId="0908295E" w:rsidR="000720FB" w:rsidRDefault="000720FB" w:rsidP="000720FB">
      <w:pPr>
        <w:pStyle w:val="NoSpacing"/>
      </w:pPr>
      <w:r>
        <w:t>Using Milwaukee, Wisconsin, block groups as the units of analysis, crime data from the Milwaukee Police Department, and controlling for several neighborhood characteristics associated with crime, a set of spatially lagged regression models were estimated to determine whether (a) neighborhood characteristics are associated with robbery density; (b) the association exists between alcohol outlet density and robbery density; (c) the availability of beer, wine, and spirits is associated with robbery density; and (d) the availability of single-serve beverages is associated with robbery density. The findings of this study show support for the proposed hypotheses. Areas that are socially disorganized have higher densities of robberies. In addition, areas with higher densities of off-premise alcohol outlets appear to have higher densities of robberies even after controlling for neighborhood characteristics that are often found to be associated with crimes (i.e., population density, concentrated disadvantage, etc.). Last, areas that have higher alcohol beverage densities (regardless of beverage types) also appear to have higher densities of robberies, net of control variables.</w:t>
      </w:r>
    </w:p>
    <w:p w14:paraId="1927AC01" w14:textId="77777777" w:rsidR="000720FB" w:rsidRDefault="000720FB" w:rsidP="000720FB">
      <w:pPr>
        <w:pStyle w:val="NoSpacing"/>
      </w:pPr>
    </w:p>
    <w:p w14:paraId="7992BB74" w14:textId="21FE6653" w:rsidR="000720FB" w:rsidRDefault="000720FB" w:rsidP="000720FB">
      <w:pPr>
        <w:pStyle w:val="NoSpacing"/>
      </w:pPr>
      <w:r>
        <w:t>The results of this study suggest that although all alcohol beverages (regardless of the type) were related to robberies in Milwaukee, the importance of certain alcohol beverages in predicting robberies was higher for some beverages than others. In sum, it was the premixed drinks, followed by beer, wine, single premixed drinks, and single beer that were more important beverage type variables for robberies, whereas spirits and single spirits were less important. These findings may reflect the drinking patterns of Wisconsinites, who consume most of their alcohol through beer consumption (</w:t>
      </w:r>
      <w:hyperlink r:id="rId70" w:history="1">
        <w:r>
          <w:rPr>
            <w:rStyle w:val="Hyperlink"/>
          </w:rPr>
          <w:t>Haughwout &amp; Slater, 2018</w:t>
        </w:r>
      </w:hyperlink>
      <w:r>
        <w:t>) and alcohol outlets may provide higher availability of beers to respond to consumption patterns of their customers. The consumption of spirits in Wisconsin is almost as high as that of beer (</w:t>
      </w:r>
      <w:hyperlink r:id="rId71" w:history="1">
        <w:r>
          <w:rPr>
            <w:rStyle w:val="Hyperlink"/>
          </w:rPr>
          <w:t>Haughwout &amp; Slater, 2018</w:t>
        </w:r>
      </w:hyperlink>
      <w:r>
        <w:t>), and although spirit availability predicts robberies across Milwaukee neighborhoods, it was not as important of a variable as beer availability was, suggesting that in spite of Wisconsinites’ high spirits consumption, the role of spirits was less important for robberies than that of beer. Beverage drinking preferences may vary across age groups, with younger individuals preferring beer over spirits, and their lifestyle could explain their experiences of violence or involvement in violent offending. As youth spend more time in public places, among people they do not know (</w:t>
      </w:r>
      <w:proofErr w:type="spellStart"/>
      <w:r>
        <w:fldChar w:fldCharType="begin"/>
      </w:r>
      <w:r>
        <w:instrText xml:space="preserve"> HYPERLINK "https://journals.sagepub.com/doi/10.1177/0022042618812406" </w:instrText>
      </w:r>
      <w:r>
        <w:fldChar w:fldCharType="separate"/>
      </w:r>
      <w:r>
        <w:rPr>
          <w:rStyle w:val="Hyperlink"/>
        </w:rPr>
        <w:t>Hindelang</w:t>
      </w:r>
      <w:proofErr w:type="spellEnd"/>
      <w:r>
        <w:rPr>
          <w:rStyle w:val="Hyperlink"/>
        </w:rPr>
        <w:t>, 1976</w:t>
      </w:r>
      <w:r>
        <w:fldChar w:fldCharType="end"/>
      </w:r>
      <w:r>
        <w:t xml:space="preserve">), they may become vulnerable targets in areas where alcohol availability of beer is higher, especially because increased availability of alcohol is followed by an increase in alcohol consumption, which is followed by </w:t>
      </w:r>
      <w:r>
        <w:lastRenderedPageBreak/>
        <w:t>an increase in violence (</w:t>
      </w:r>
      <w:hyperlink r:id="rId72" w:history="1">
        <w:r>
          <w:rPr>
            <w:rStyle w:val="Hyperlink"/>
          </w:rPr>
          <w:t xml:space="preserve">Gruenewald, Remer, &amp; </w:t>
        </w:r>
        <w:proofErr w:type="spellStart"/>
        <w:r>
          <w:rPr>
            <w:rStyle w:val="Hyperlink"/>
          </w:rPr>
          <w:t>Treno</w:t>
        </w:r>
        <w:proofErr w:type="spellEnd"/>
        <w:r>
          <w:rPr>
            <w:rStyle w:val="Hyperlink"/>
          </w:rPr>
          <w:t>, 2009</w:t>
        </w:r>
      </w:hyperlink>
      <w:r>
        <w:t>). In addition, beverage drinking preferences differ across drinking settings, with spirits consumption more likely to be carried out in private settings, where the risk of robbery victimization is very low, and beer consumption is more common in public settings (</w:t>
      </w:r>
      <w:proofErr w:type="spellStart"/>
      <w:r>
        <w:fldChar w:fldCharType="begin"/>
      </w:r>
      <w:r>
        <w:instrText xml:space="preserve"> HYPERLINK "https://journals.sagepub.com/doi/10.1177/0022042618812406" </w:instrText>
      </w:r>
      <w:r>
        <w:fldChar w:fldCharType="separate"/>
      </w:r>
      <w:r>
        <w:rPr>
          <w:rStyle w:val="Hyperlink"/>
        </w:rPr>
        <w:t>Norstrom</w:t>
      </w:r>
      <w:proofErr w:type="spellEnd"/>
      <w:r>
        <w:rPr>
          <w:rStyle w:val="Hyperlink"/>
        </w:rPr>
        <w:t>, 1998</w:t>
      </w:r>
      <w:r>
        <w:fldChar w:fldCharType="end"/>
      </w:r>
      <w:r>
        <w:t>), which provide ample opportunities for robbery victimization.</w:t>
      </w:r>
    </w:p>
    <w:p w14:paraId="37A84E54" w14:textId="77777777" w:rsidR="000720FB" w:rsidRDefault="000720FB" w:rsidP="000720FB">
      <w:pPr>
        <w:pStyle w:val="NoSpacing"/>
      </w:pPr>
    </w:p>
    <w:p w14:paraId="0D2E5877" w14:textId="77777777" w:rsidR="000720FB" w:rsidRDefault="000720FB" w:rsidP="000720FB">
      <w:pPr>
        <w:pStyle w:val="NoSpacing"/>
      </w:pPr>
      <w:r>
        <w:t xml:space="preserve">These findings are similar to previous studies that examined the associations between neighborhood characteristics, alcohol outlet density, and violence (e.g., </w:t>
      </w:r>
      <w:hyperlink r:id="rId73" w:history="1">
        <w:proofErr w:type="spellStart"/>
        <w:r>
          <w:rPr>
            <w:rStyle w:val="Hyperlink"/>
          </w:rPr>
          <w:t>Drawve</w:t>
        </w:r>
        <w:proofErr w:type="spellEnd"/>
        <w:r>
          <w:rPr>
            <w:rStyle w:val="Hyperlink"/>
          </w:rPr>
          <w:t xml:space="preserve"> et al., 2016</w:t>
        </w:r>
      </w:hyperlink>
      <w:r>
        <w:t xml:space="preserve">; </w:t>
      </w:r>
      <w:hyperlink r:id="rId74" w:history="1">
        <w:r>
          <w:rPr>
            <w:rStyle w:val="Hyperlink"/>
          </w:rPr>
          <w:t>Gruenewald et al., 2006</w:t>
        </w:r>
      </w:hyperlink>
      <w:r>
        <w:t xml:space="preserve">; </w:t>
      </w:r>
      <w:hyperlink r:id="rId75" w:history="1">
        <w:r>
          <w:rPr>
            <w:rStyle w:val="Hyperlink"/>
          </w:rPr>
          <w:t>Snowden, 2018</w:t>
        </w:r>
      </w:hyperlink>
      <w:r>
        <w:t xml:space="preserve">; </w:t>
      </w:r>
      <w:hyperlink r:id="rId76" w:history="1">
        <w:r>
          <w:rPr>
            <w:rStyle w:val="Hyperlink"/>
          </w:rPr>
          <w:t>Snowden et al., 2017</w:t>
        </w:r>
      </w:hyperlink>
      <w:r>
        <w:t xml:space="preserve">). In terms of the alcohol beverage characteristics, the findings of this study that single-serve beverages matter for violence are supported by the findings of a prior study in this area. </w:t>
      </w:r>
      <w:hyperlink r:id="rId77" w:history="1">
        <w:r>
          <w:rPr>
            <w:rStyle w:val="Hyperlink"/>
          </w:rPr>
          <w:t>Parker et al. (2011)</w:t>
        </w:r>
      </w:hyperlink>
      <w:r>
        <w:t xml:space="preserve"> also found that areas that had higher average percentage of single-serve availability also had higher violence rate. The association found in the present study between premixed drinks (including single serve) and robberies may be helpful in light of prior studies that suggested that not only are these high alcohol content drinks ready for immediate consumption but also they are particularly targeted at increasing consumption among young females (</w:t>
      </w:r>
      <w:proofErr w:type="spellStart"/>
      <w:r>
        <w:fldChar w:fldCharType="begin"/>
      </w:r>
      <w:r>
        <w:instrText xml:space="preserve"> HYPERLINK "https://journals.sagepub.com/doi/10.1177/0022042618812406" </w:instrText>
      </w:r>
      <w:r>
        <w:fldChar w:fldCharType="separate"/>
      </w:r>
      <w:r>
        <w:rPr>
          <w:rStyle w:val="Hyperlink"/>
        </w:rPr>
        <w:t>Huckle</w:t>
      </w:r>
      <w:proofErr w:type="spellEnd"/>
      <w:r>
        <w:rPr>
          <w:rStyle w:val="Hyperlink"/>
        </w:rPr>
        <w:t xml:space="preserve"> et al., 2008</w:t>
      </w:r>
      <w:r>
        <w:fldChar w:fldCharType="end"/>
      </w:r>
      <w:r>
        <w:t xml:space="preserve">; </w:t>
      </w:r>
      <w:hyperlink r:id="rId78" w:history="1">
        <w:r>
          <w:rPr>
            <w:rStyle w:val="Hyperlink"/>
          </w:rPr>
          <w:t>Jones-Webb et al., 2008</w:t>
        </w:r>
      </w:hyperlink>
      <w:r>
        <w:t>), who may be at a higher risk of robbery victimization in areas where higher availability of premixed beverages exists.</w:t>
      </w:r>
    </w:p>
    <w:p w14:paraId="2DD77330" w14:textId="77777777" w:rsidR="000720FB" w:rsidRPr="000720FB" w:rsidRDefault="000720FB" w:rsidP="000720FB">
      <w:pPr>
        <w:pStyle w:val="NoSpacing"/>
      </w:pPr>
    </w:p>
    <w:p w14:paraId="40B333F6" w14:textId="142EE3E1" w:rsidR="005E7B3E" w:rsidRDefault="005E7B3E" w:rsidP="005E7B3E">
      <w:pPr>
        <w:pStyle w:val="Heading2"/>
      </w:pPr>
      <w:r>
        <w:t>Limitations</w:t>
      </w:r>
    </w:p>
    <w:p w14:paraId="65E8ED27" w14:textId="7C432C1F" w:rsidR="005E7B3E" w:rsidRPr="005E7B3E" w:rsidRDefault="000720FB" w:rsidP="000720FB">
      <w:pPr>
        <w:pStyle w:val="NoSpacing"/>
      </w:pPr>
      <w:r>
        <w:t xml:space="preserve">There are a few limitations to consider </w:t>
      </w:r>
      <w:proofErr w:type="gramStart"/>
      <w:r>
        <w:t>in light of</w:t>
      </w:r>
      <w:proofErr w:type="gramEnd"/>
      <w:r>
        <w:t xml:space="preserve"> these findings. First, I used data that included incidents that were </w:t>
      </w:r>
      <w:proofErr w:type="gramStart"/>
      <w:r>
        <w:t>actually reported</w:t>
      </w:r>
      <w:proofErr w:type="gramEnd"/>
      <w:r>
        <w:t xml:space="preserve"> to the police, and a large proportion of robberies possibly go unreported. An additional limitation is associated with the unit of analysis (i.e., census block group) used in this study. Although the census block group is a commonly used unit of analysis in neighborhood-level studies of crimes and is better theoretically grounded than the use of census tracts, zip codes, or counties, it contains artificially imposed boundaries that are used to capture neighborhood boundaries, which are typically organically defined. The use of street segments that are comprised of street blocks, or street corners and block faces (e.g., </w:t>
      </w:r>
      <w:hyperlink r:id="rId79" w:history="1">
        <w:r>
          <w:rPr>
            <w:rStyle w:val="Hyperlink"/>
          </w:rPr>
          <w:t xml:space="preserve">Braga, Hureau, &amp; </w:t>
        </w:r>
        <w:proofErr w:type="spellStart"/>
        <w:r>
          <w:rPr>
            <w:rStyle w:val="Hyperlink"/>
          </w:rPr>
          <w:t>Papachristos</w:t>
        </w:r>
        <w:proofErr w:type="spellEnd"/>
        <w:r>
          <w:rPr>
            <w:rStyle w:val="Hyperlink"/>
          </w:rPr>
          <w:t>, 2011</w:t>
        </w:r>
      </w:hyperlink>
      <w:r>
        <w:t xml:space="preserve">; </w:t>
      </w:r>
      <w:hyperlink r:id="rId80" w:history="1">
        <w:r>
          <w:rPr>
            <w:rStyle w:val="Hyperlink"/>
          </w:rPr>
          <w:t>Groff &amp; Lockwood, 2014</w:t>
        </w:r>
      </w:hyperlink>
      <w:r>
        <w:t xml:space="preserve">) might better represent natural neighborhood boundaries and be a more appropriate spatial unit of analysis. In addition, the alcohol beverage type observations were carried out at only one point in time (i.e., the observers noted the beverages once at each outlet during the observation period), but the robbery data analyzed here include the incidents that occurred during the entire year. Finally, this study does not examine the influence of other characteristics of off-premise alcohol outlets that could also contribute to neighborhood-level robberies. </w:t>
      </w:r>
      <w:proofErr w:type="gramStart"/>
      <w:r>
        <w:t>In spite of</w:t>
      </w:r>
      <w:proofErr w:type="gramEnd"/>
      <w:r>
        <w:t xml:space="preserve"> these limitations, however, this study is carefully designed to advance our understanding of the relationship between alcohol outlets and violence using data from a large urban city. This study does so by using spatially informed models, controlling for several neighborhood characteristics, disaggregating alcohol outlets into different types for the purposes of analyses, and directly examining the role that </w:t>
      </w:r>
      <w:proofErr w:type="gramStart"/>
      <w:r>
        <w:t>particular alcohol</w:t>
      </w:r>
      <w:proofErr w:type="gramEnd"/>
      <w:r>
        <w:t xml:space="preserve"> beverage types play in neighborhood rates of violence.</w:t>
      </w:r>
    </w:p>
    <w:p w14:paraId="19FD3947" w14:textId="1E199B57" w:rsidR="00A205A3" w:rsidRDefault="00A205A3" w:rsidP="00A205A3">
      <w:pPr>
        <w:pStyle w:val="Heading1"/>
      </w:pPr>
      <w:r>
        <w:t>Conclusion</w:t>
      </w:r>
    </w:p>
    <w:p w14:paraId="5769142C" w14:textId="7A992B48" w:rsidR="003A7A6B" w:rsidRPr="003A7A6B" w:rsidRDefault="003A7A6B" w:rsidP="003A7A6B">
      <w:pPr>
        <w:pStyle w:val="NoSpacing"/>
      </w:pPr>
      <w:r>
        <w:t xml:space="preserve">Most of the recent empirical studies have examined the role of alcohol outlets and various alcohol outlet types on violent crime (e.g., </w:t>
      </w:r>
      <w:hyperlink r:id="rId81" w:history="1">
        <w:r>
          <w:rPr>
            <w:rStyle w:val="Hyperlink"/>
          </w:rPr>
          <w:t>Livingston, 2008</w:t>
        </w:r>
      </w:hyperlink>
      <w:r>
        <w:t xml:space="preserve">; </w:t>
      </w:r>
      <w:hyperlink r:id="rId82" w:history="1">
        <w:r>
          <w:rPr>
            <w:rStyle w:val="Hyperlink"/>
          </w:rPr>
          <w:t>Sparks, 2011</w:t>
        </w:r>
      </w:hyperlink>
      <w:r>
        <w:t xml:space="preserve">), and less is known about the particular characteristics of off-premise alcohol outlets that may generate or attract crime to their locations and immediate surroundings. This study controlled for several structural variables associated with two major theoretical explanations of </w:t>
      </w:r>
      <w:proofErr w:type="gramStart"/>
      <w:r>
        <w:t>crime, and</w:t>
      </w:r>
      <w:proofErr w:type="gramEnd"/>
      <w:r>
        <w:t xml:space="preserve"> examined whether alcohol beverage types were associated with robbery density. These findings of a consistent relationship between all alcohol beverages (regardless of the type) and robbery have clear policy implications for local jurisdictions. This is especially important because the accumulation of empirical evidence consistently suggests that off-premise alcohol outlets are associated with violent crimes. One way to reduce violence is to influence geographical availability of off-premise alcohol outlets via policy mechanisms, such as reducing the number of outlets that are licensed to operate in the area, limiting new alcohol licenses to operate in close proximity to already existing alcohol outlets, or limiting the hours and days during which off-premise alcohol outlets are licensed to operate. In addition, a prior study of a Little Rock, Arkansas city ordinance that required late-operating bars to employ a minimum of two law enforcement officers in and around the outlet </w:t>
      </w:r>
      <w:r>
        <w:lastRenderedPageBreak/>
        <w:t>suggested that providing an additional level of place managers can reduce crime even in most risky alcohol outlets (</w:t>
      </w:r>
      <w:proofErr w:type="spellStart"/>
      <w:r>
        <w:fldChar w:fldCharType="begin"/>
      </w:r>
      <w:r>
        <w:instrText xml:space="preserve"> HYPERLINK "https://journals.sagepub.com/doi/10.1177/0022042618812406" </w:instrText>
      </w:r>
      <w:r>
        <w:fldChar w:fldCharType="separate"/>
      </w:r>
      <w:r>
        <w:rPr>
          <w:rStyle w:val="Hyperlink"/>
        </w:rPr>
        <w:t>Burgason</w:t>
      </w:r>
      <w:proofErr w:type="spellEnd"/>
      <w:r>
        <w:rPr>
          <w:rStyle w:val="Hyperlink"/>
        </w:rPr>
        <w:t xml:space="preserve">, </w:t>
      </w:r>
      <w:proofErr w:type="spellStart"/>
      <w:r>
        <w:rPr>
          <w:rStyle w:val="Hyperlink"/>
        </w:rPr>
        <w:t>Drawve</w:t>
      </w:r>
      <w:proofErr w:type="spellEnd"/>
      <w:r>
        <w:rPr>
          <w:rStyle w:val="Hyperlink"/>
        </w:rPr>
        <w:t xml:space="preserve">, Brown, &amp; </w:t>
      </w:r>
      <w:proofErr w:type="spellStart"/>
      <w:r>
        <w:rPr>
          <w:rStyle w:val="Hyperlink"/>
        </w:rPr>
        <w:t>Eassey</w:t>
      </w:r>
      <w:proofErr w:type="spellEnd"/>
      <w:r>
        <w:rPr>
          <w:rStyle w:val="Hyperlink"/>
        </w:rPr>
        <w:t>, 2017</w:t>
      </w:r>
      <w:r>
        <w:fldChar w:fldCharType="end"/>
      </w:r>
      <w:r>
        <w:t>). Most important, although all types of alcohol beverages are related to robbery rates in neighborhoods, availability of premixed drinks, beer, and wine, as well as that of single premixed drinks and single beers is more important for robberies than spirits. Alcohol policy mechanisms that aim to reduce availability of alcohol drinks in the neighborhoods may be especially important to implement and enforce in areas where there is a high availability of beer and ready-to-drink beverages, which influence consumption patterns among population at a risk of robbery victimization and offending.</w:t>
      </w:r>
    </w:p>
    <w:p w14:paraId="5893F279" w14:textId="611E7259" w:rsidR="005E7B3E" w:rsidRDefault="005E7B3E" w:rsidP="005E7B3E">
      <w:pPr>
        <w:pStyle w:val="Heading1"/>
      </w:pPr>
      <w:r>
        <w:t>Declaration of Conflicting Interests</w:t>
      </w:r>
    </w:p>
    <w:p w14:paraId="6815B0A6" w14:textId="26A80BF3" w:rsidR="003A7A6B" w:rsidRPr="003A7A6B" w:rsidRDefault="003A7A6B" w:rsidP="003A7A6B">
      <w:pPr>
        <w:pStyle w:val="NoSpacing"/>
      </w:pPr>
      <w:r>
        <w:rPr>
          <w:rStyle w:val="nlmfn"/>
        </w:rPr>
        <w:t>The author(s) declared no potential conflicts of interest with respect to the research, authorship, and/or publication of this article.</w:t>
      </w:r>
    </w:p>
    <w:p w14:paraId="6363E739" w14:textId="17DF2573" w:rsidR="006F4263" w:rsidRDefault="006F4263" w:rsidP="006F4263">
      <w:pPr>
        <w:pStyle w:val="Heading1"/>
      </w:pPr>
      <w:r>
        <w:t>Funding</w:t>
      </w:r>
    </w:p>
    <w:p w14:paraId="66AC5AC8" w14:textId="765CA621" w:rsidR="003A7A6B" w:rsidRPr="003A7A6B" w:rsidRDefault="003A7A6B" w:rsidP="003A7A6B">
      <w:pPr>
        <w:pStyle w:val="NoSpacing"/>
      </w:pPr>
      <w:r>
        <w:rPr>
          <w:rStyle w:val="nlmfn"/>
        </w:rPr>
        <w:t>The author(s) disclosed receipt of the following financial support for the research, authorship, and/or publication of this article: This research was supported by Award Number 101X328 from the UWM Research Growth Initiative.</w:t>
      </w:r>
    </w:p>
    <w:p w14:paraId="21F80661" w14:textId="25329207" w:rsidR="00A205A3" w:rsidRDefault="00A205A3" w:rsidP="00A205A3">
      <w:pPr>
        <w:pStyle w:val="Heading1"/>
      </w:pPr>
      <w:r>
        <w:t>References</w:t>
      </w:r>
    </w:p>
    <w:p w14:paraId="6EC041E8" w14:textId="75B7BAA9" w:rsidR="00221EA8" w:rsidRPr="00992AEC" w:rsidRDefault="00221EA8" w:rsidP="00992AEC">
      <w:pPr>
        <w:pStyle w:val="NoSpacing"/>
        <w:ind w:left="720" w:hanging="720"/>
        <w:rPr>
          <w:rFonts w:cstheme="minorHAnsi"/>
        </w:rPr>
      </w:pPr>
      <w:proofErr w:type="spellStart"/>
      <w:r w:rsidRPr="00992AEC">
        <w:rPr>
          <w:rFonts w:cstheme="minorHAnsi"/>
        </w:rPr>
        <w:t>Anselin</w:t>
      </w:r>
      <w:proofErr w:type="spellEnd"/>
      <w:r w:rsidRPr="00992AEC">
        <w:rPr>
          <w:rFonts w:cstheme="minorHAnsi"/>
        </w:rPr>
        <w:t xml:space="preserve">, L. (2013). </w:t>
      </w:r>
      <w:r w:rsidRPr="00992AEC">
        <w:rPr>
          <w:rFonts w:cstheme="minorHAnsi"/>
          <w:i/>
          <w:iCs/>
        </w:rPr>
        <w:t xml:space="preserve">Spatial econometrics: Methods and models </w:t>
      </w:r>
      <w:r w:rsidRPr="00992AEC">
        <w:rPr>
          <w:rFonts w:cstheme="minorHAnsi"/>
        </w:rPr>
        <w:t>(Vol. 4). Dordrecht, Germany: Springer</w:t>
      </w:r>
      <w:r w:rsidR="00953176" w:rsidRPr="00992AEC">
        <w:rPr>
          <w:rFonts w:cstheme="minorHAnsi"/>
        </w:rPr>
        <w:t xml:space="preserve"> </w:t>
      </w:r>
      <w:r w:rsidRPr="00992AEC">
        <w:rPr>
          <w:rFonts w:cstheme="minorHAnsi"/>
        </w:rPr>
        <w:t>Science &amp; Business Media.</w:t>
      </w:r>
    </w:p>
    <w:p w14:paraId="76A4223D" w14:textId="6A86B674" w:rsidR="00221EA8" w:rsidRPr="00992AEC" w:rsidRDefault="00221EA8" w:rsidP="00992AEC">
      <w:pPr>
        <w:pStyle w:val="NoSpacing"/>
        <w:ind w:left="720" w:hanging="720"/>
        <w:rPr>
          <w:rFonts w:cstheme="minorHAnsi"/>
        </w:rPr>
      </w:pPr>
      <w:proofErr w:type="spellStart"/>
      <w:r w:rsidRPr="00992AEC">
        <w:rPr>
          <w:rFonts w:cstheme="minorHAnsi"/>
        </w:rPr>
        <w:t>Anselin</w:t>
      </w:r>
      <w:proofErr w:type="spellEnd"/>
      <w:r w:rsidRPr="00992AEC">
        <w:rPr>
          <w:rFonts w:cstheme="minorHAnsi"/>
        </w:rPr>
        <w:t xml:space="preserve">, L., </w:t>
      </w:r>
      <w:proofErr w:type="spellStart"/>
      <w:r w:rsidRPr="00992AEC">
        <w:rPr>
          <w:rFonts w:cstheme="minorHAnsi"/>
        </w:rPr>
        <w:t>Syabri</w:t>
      </w:r>
      <w:proofErr w:type="spellEnd"/>
      <w:r w:rsidRPr="00992AEC">
        <w:rPr>
          <w:rFonts w:cstheme="minorHAnsi"/>
        </w:rPr>
        <w:t xml:space="preserve">, I., &amp; Kho, Y. (2006). </w:t>
      </w:r>
      <w:proofErr w:type="spellStart"/>
      <w:r w:rsidRPr="00992AEC">
        <w:rPr>
          <w:rFonts w:cstheme="minorHAnsi"/>
        </w:rPr>
        <w:t>GeoDa</w:t>
      </w:r>
      <w:proofErr w:type="spellEnd"/>
      <w:r w:rsidRPr="00992AEC">
        <w:rPr>
          <w:rFonts w:cstheme="minorHAnsi"/>
        </w:rPr>
        <w:t xml:space="preserve">: An introduction to spatial data analysis. </w:t>
      </w:r>
      <w:r w:rsidRPr="00992AEC">
        <w:rPr>
          <w:rFonts w:cstheme="minorHAnsi"/>
          <w:i/>
          <w:iCs/>
        </w:rPr>
        <w:t>Geographical</w:t>
      </w:r>
      <w:r w:rsidR="00953176" w:rsidRPr="00992AEC">
        <w:rPr>
          <w:rFonts w:cstheme="minorHAnsi"/>
          <w:i/>
          <w:iCs/>
        </w:rPr>
        <w:t xml:space="preserve"> </w:t>
      </w:r>
      <w:r w:rsidRPr="00992AEC">
        <w:rPr>
          <w:rFonts w:cstheme="minorHAnsi"/>
          <w:i/>
          <w:iCs/>
        </w:rPr>
        <w:t>Analysis</w:t>
      </w:r>
      <w:r w:rsidRPr="00992AEC">
        <w:rPr>
          <w:rFonts w:cstheme="minorHAnsi"/>
        </w:rPr>
        <w:t xml:space="preserve">, </w:t>
      </w:r>
      <w:r w:rsidRPr="00992AEC">
        <w:rPr>
          <w:rFonts w:cstheme="minorHAnsi"/>
          <w:i/>
          <w:iCs/>
        </w:rPr>
        <w:t>38</w:t>
      </w:r>
      <w:r w:rsidRPr="00992AEC">
        <w:rPr>
          <w:rFonts w:cstheme="minorHAnsi"/>
        </w:rPr>
        <w:t>, 5-22.</w:t>
      </w:r>
    </w:p>
    <w:p w14:paraId="3075F14E" w14:textId="0D722BB7" w:rsidR="00221EA8" w:rsidRPr="00992AEC" w:rsidRDefault="00221EA8" w:rsidP="00992AEC">
      <w:pPr>
        <w:pStyle w:val="NoSpacing"/>
        <w:ind w:left="720" w:hanging="720"/>
        <w:rPr>
          <w:rFonts w:cstheme="minorHAnsi"/>
        </w:rPr>
      </w:pPr>
      <w:r w:rsidRPr="00992AEC">
        <w:rPr>
          <w:rFonts w:cstheme="minorHAnsi"/>
        </w:rPr>
        <w:t xml:space="preserve">Berthelot, E. R., Brown, T. C., </w:t>
      </w:r>
      <w:proofErr w:type="spellStart"/>
      <w:r w:rsidRPr="00992AEC">
        <w:rPr>
          <w:rFonts w:cstheme="minorHAnsi"/>
        </w:rPr>
        <w:t>Drawve</w:t>
      </w:r>
      <w:proofErr w:type="spellEnd"/>
      <w:r w:rsidRPr="00992AEC">
        <w:rPr>
          <w:rFonts w:cstheme="minorHAnsi"/>
        </w:rPr>
        <w:t xml:space="preserve">, G., &amp; </w:t>
      </w:r>
      <w:proofErr w:type="spellStart"/>
      <w:r w:rsidRPr="00992AEC">
        <w:rPr>
          <w:rFonts w:cstheme="minorHAnsi"/>
        </w:rPr>
        <w:t>Burgason</w:t>
      </w:r>
      <w:proofErr w:type="spellEnd"/>
      <w:r w:rsidRPr="00992AEC">
        <w:rPr>
          <w:rFonts w:cstheme="minorHAnsi"/>
        </w:rPr>
        <w:t>, K. A. (2015). The southern pub crawl and</w:t>
      </w:r>
      <w:r w:rsidR="00953176" w:rsidRPr="00992AEC">
        <w:rPr>
          <w:rFonts w:cstheme="minorHAnsi"/>
        </w:rPr>
        <w:t xml:space="preserve"> </w:t>
      </w:r>
      <w:r w:rsidRPr="00992AEC">
        <w:rPr>
          <w:rFonts w:cstheme="minorHAnsi"/>
        </w:rPr>
        <w:t xml:space="preserve">brawl: An examination of the alcohol–violence nexus in a southern city. </w:t>
      </w:r>
      <w:r w:rsidRPr="00992AEC">
        <w:rPr>
          <w:rFonts w:cstheme="minorHAnsi"/>
          <w:i/>
          <w:iCs/>
        </w:rPr>
        <w:t>Deviant Behavior</w:t>
      </w:r>
      <w:r w:rsidRPr="00992AEC">
        <w:rPr>
          <w:rFonts w:cstheme="minorHAnsi"/>
        </w:rPr>
        <w:t xml:space="preserve">, </w:t>
      </w:r>
      <w:r w:rsidRPr="00992AEC">
        <w:rPr>
          <w:rFonts w:cstheme="minorHAnsi"/>
          <w:i/>
          <w:iCs/>
        </w:rPr>
        <w:t>36</w:t>
      </w:r>
      <w:r w:rsidRPr="00992AEC">
        <w:rPr>
          <w:rFonts w:cstheme="minorHAnsi"/>
        </w:rPr>
        <w:t>,</w:t>
      </w:r>
      <w:r w:rsidR="00953176" w:rsidRPr="00992AEC">
        <w:rPr>
          <w:rFonts w:cstheme="minorHAnsi"/>
        </w:rPr>
        <w:t xml:space="preserve"> </w:t>
      </w:r>
      <w:r w:rsidRPr="00992AEC">
        <w:rPr>
          <w:rFonts w:cstheme="minorHAnsi"/>
        </w:rPr>
        <w:t>605-624.</w:t>
      </w:r>
    </w:p>
    <w:p w14:paraId="5982340E" w14:textId="29B96A8B" w:rsidR="00953176" w:rsidRPr="00992AEC" w:rsidRDefault="00221EA8" w:rsidP="00992AEC">
      <w:pPr>
        <w:pStyle w:val="NoSpacing"/>
        <w:ind w:left="720" w:hanging="720"/>
        <w:rPr>
          <w:rFonts w:cstheme="minorHAnsi"/>
        </w:rPr>
      </w:pPr>
      <w:r w:rsidRPr="00992AEC">
        <w:rPr>
          <w:rFonts w:cstheme="minorHAnsi"/>
        </w:rPr>
        <w:t xml:space="preserve">Braga, A. A., Hureau, D. M., &amp; </w:t>
      </w:r>
      <w:proofErr w:type="spellStart"/>
      <w:r w:rsidRPr="00992AEC">
        <w:rPr>
          <w:rFonts w:cstheme="minorHAnsi"/>
        </w:rPr>
        <w:t>Papachristos</w:t>
      </w:r>
      <w:proofErr w:type="spellEnd"/>
      <w:r w:rsidRPr="00992AEC">
        <w:rPr>
          <w:rFonts w:cstheme="minorHAnsi"/>
        </w:rPr>
        <w:t>, A. V. (2011). The relevance of micro places to citywide robbery</w:t>
      </w:r>
      <w:r w:rsidR="00953176" w:rsidRPr="00992AEC">
        <w:rPr>
          <w:rFonts w:cstheme="minorHAnsi"/>
        </w:rPr>
        <w:t xml:space="preserve"> </w:t>
      </w:r>
      <w:r w:rsidRPr="00992AEC">
        <w:rPr>
          <w:rFonts w:cstheme="minorHAnsi"/>
        </w:rPr>
        <w:t>trends: A longitudinal analysis of robbery incidents at street corners and block faces in Boston.</w:t>
      </w:r>
      <w:r w:rsidR="00953176" w:rsidRPr="00992AEC">
        <w:rPr>
          <w:rFonts w:cstheme="minorHAnsi"/>
        </w:rPr>
        <w:t xml:space="preserve"> </w:t>
      </w:r>
      <w:r w:rsidRPr="00992AEC">
        <w:rPr>
          <w:rFonts w:cstheme="minorHAnsi"/>
          <w:i/>
          <w:iCs/>
        </w:rPr>
        <w:t>Journal of Research in Crime &amp; Delinquency</w:t>
      </w:r>
      <w:r w:rsidRPr="00992AEC">
        <w:rPr>
          <w:rFonts w:cstheme="minorHAnsi"/>
        </w:rPr>
        <w:t xml:space="preserve">, </w:t>
      </w:r>
      <w:r w:rsidRPr="00992AEC">
        <w:rPr>
          <w:rFonts w:cstheme="minorHAnsi"/>
          <w:i/>
          <w:iCs/>
        </w:rPr>
        <w:t>48</w:t>
      </w:r>
      <w:r w:rsidRPr="00992AEC">
        <w:rPr>
          <w:rFonts w:cstheme="minorHAnsi"/>
        </w:rPr>
        <w:t>, 7-32.</w:t>
      </w:r>
      <w:r w:rsidR="00953176" w:rsidRPr="00992AEC">
        <w:rPr>
          <w:rFonts w:cstheme="minorHAnsi"/>
        </w:rPr>
        <w:t xml:space="preserve"> </w:t>
      </w:r>
    </w:p>
    <w:p w14:paraId="081238C7" w14:textId="01C8D86B" w:rsidR="00221EA8" w:rsidRPr="00992AEC" w:rsidRDefault="00221EA8" w:rsidP="00992AEC">
      <w:pPr>
        <w:pStyle w:val="NoSpacing"/>
        <w:ind w:left="720" w:hanging="720"/>
        <w:rPr>
          <w:rFonts w:cstheme="minorHAnsi"/>
        </w:rPr>
      </w:pPr>
      <w:proofErr w:type="spellStart"/>
      <w:r w:rsidRPr="00992AEC">
        <w:rPr>
          <w:rFonts w:cstheme="minorHAnsi"/>
        </w:rPr>
        <w:t>Brantingham</w:t>
      </w:r>
      <w:proofErr w:type="spellEnd"/>
      <w:r w:rsidRPr="00992AEC">
        <w:rPr>
          <w:rFonts w:cstheme="minorHAnsi"/>
        </w:rPr>
        <w:t xml:space="preserve">, P. J., &amp; </w:t>
      </w:r>
      <w:proofErr w:type="spellStart"/>
      <w:r w:rsidRPr="00992AEC">
        <w:rPr>
          <w:rFonts w:cstheme="minorHAnsi"/>
        </w:rPr>
        <w:t>Brantingham</w:t>
      </w:r>
      <w:proofErr w:type="spellEnd"/>
      <w:r w:rsidRPr="00992AEC">
        <w:rPr>
          <w:rFonts w:cstheme="minorHAnsi"/>
        </w:rPr>
        <w:t xml:space="preserve">, P. L. (1995). Criminality of place. </w:t>
      </w:r>
      <w:r w:rsidRPr="00992AEC">
        <w:rPr>
          <w:rFonts w:cstheme="minorHAnsi"/>
          <w:i/>
          <w:iCs/>
        </w:rPr>
        <w:t>European Journal on Criminal</w:t>
      </w:r>
      <w:r w:rsidR="00953176" w:rsidRPr="00992AEC">
        <w:rPr>
          <w:rFonts w:cstheme="minorHAnsi"/>
          <w:i/>
          <w:iCs/>
        </w:rPr>
        <w:t xml:space="preserve"> </w:t>
      </w:r>
      <w:r w:rsidRPr="00992AEC">
        <w:rPr>
          <w:rFonts w:cstheme="minorHAnsi"/>
          <w:i/>
          <w:iCs/>
        </w:rPr>
        <w:t>Policy and Research</w:t>
      </w:r>
      <w:r w:rsidRPr="00992AEC">
        <w:rPr>
          <w:rFonts w:cstheme="minorHAnsi"/>
        </w:rPr>
        <w:t xml:space="preserve">, </w:t>
      </w:r>
      <w:r w:rsidRPr="00992AEC">
        <w:rPr>
          <w:rFonts w:cstheme="minorHAnsi"/>
          <w:i/>
          <w:iCs/>
        </w:rPr>
        <w:t>3</w:t>
      </w:r>
      <w:r w:rsidRPr="00992AEC">
        <w:rPr>
          <w:rFonts w:cstheme="minorHAnsi"/>
        </w:rPr>
        <w:t>(3), 5-26.</w:t>
      </w:r>
    </w:p>
    <w:p w14:paraId="7072861C" w14:textId="116FC080" w:rsidR="00953176" w:rsidRPr="00992AEC" w:rsidRDefault="00221EA8" w:rsidP="00992AEC">
      <w:pPr>
        <w:pStyle w:val="NoSpacing"/>
        <w:ind w:left="720" w:hanging="720"/>
        <w:rPr>
          <w:rFonts w:cstheme="minorHAnsi"/>
        </w:rPr>
      </w:pPr>
      <w:proofErr w:type="spellStart"/>
      <w:r w:rsidRPr="00992AEC">
        <w:rPr>
          <w:rFonts w:cstheme="minorHAnsi"/>
        </w:rPr>
        <w:t>Burgason</w:t>
      </w:r>
      <w:proofErr w:type="spellEnd"/>
      <w:r w:rsidRPr="00992AEC">
        <w:rPr>
          <w:rFonts w:cstheme="minorHAnsi"/>
        </w:rPr>
        <w:t xml:space="preserve">, K. A., </w:t>
      </w:r>
      <w:proofErr w:type="spellStart"/>
      <w:r w:rsidRPr="00992AEC">
        <w:rPr>
          <w:rFonts w:cstheme="minorHAnsi"/>
        </w:rPr>
        <w:t>Drawve</w:t>
      </w:r>
      <w:proofErr w:type="spellEnd"/>
      <w:r w:rsidRPr="00992AEC">
        <w:rPr>
          <w:rFonts w:cstheme="minorHAnsi"/>
        </w:rPr>
        <w:t xml:space="preserve">, G., Brown, T. C., &amp; </w:t>
      </w:r>
      <w:proofErr w:type="spellStart"/>
      <w:r w:rsidRPr="00992AEC">
        <w:rPr>
          <w:rFonts w:cstheme="minorHAnsi"/>
        </w:rPr>
        <w:t>Eassey</w:t>
      </w:r>
      <w:proofErr w:type="spellEnd"/>
      <w:r w:rsidRPr="00992AEC">
        <w:rPr>
          <w:rFonts w:cstheme="minorHAnsi"/>
        </w:rPr>
        <w:t>, J. (2017). Close only counts in alcohol and violence:</w:t>
      </w:r>
      <w:r w:rsidR="00953176" w:rsidRPr="00992AEC">
        <w:rPr>
          <w:rFonts w:cstheme="minorHAnsi"/>
        </w:rPr>
        <w:t xml:space="preserve"> </w:t>
      </w:r>
      <w:r w:rsidRPr="00992AEC">
        <w:rPr>
          <w:rFonts w:cstheme="minorHAnsi"/>
        </w:rPr>
        <w:t xml:space="preserve">Controlling violence near late-night alcohol establishments using a routine activities approach. </w:t>
      </w:r>
      <w:r w:rsidRPr="00992AEC">
        <w:rPr>
          <w:rFonts w:cstheme="minorHAnsi"/>
          <w:i/>
          <w:iCs/>
        </w:rPr>
        <w:t>Journal</w:t>
      </w:r>
      <w:r w:rsidR="00953176" w:rsidRPr="00992AEC">
        <w:rPr>
          <w:rFonts w:cstheme="minorHAnsi"/>
          <w:i/>
          <w:iCs/>
        </w:rPr>
        <w:t xml:space="preserve"> </w:t>
      </w:r>
      <w:r w:rsidRPr="00992AEC">
        <w:rPr>
          <w:rFonts w:cstheme="minorHAnsi"/>
          <w:i/>
          <w:iCs/>
        </w:rPr>
        <w:t>of Criminal Justice</w:t>
      </w:r>
      <w:r w:rsidRPr="00992AEC">
        <w:rPr>
          <w:rFonts w:cstheme="minorHAnsi"/>
        </w:rPr>
        <w:t xml:space="preserve">, </w:t>
      </w:r>
      <w:r w:rsidRPr="00992AEC">
        <w:rPr>
          <w:rFonts w:cstheme="minorHAnsi"/>
          <w:i/>
          <w:iCs/>
        </w:rPr>
        <w:t>50</w:t>
      </w:r>
      <w:r w:rsidRPr="00992AEC">
        <w:rPr>
          <w:rFonts w:cstheme="minorHAnsi"/>
        </w:rPr>
        <w:t>, 62-68.</w:t>
      </w:r>
      <w:r w:rsidR="00953176" w:rsidRPr="00992AEC">
        <w:rPr>
          <w:rFonts w:cstheme="minorHAnsi"/>
        </w:rPr>
        <w:t xml:space="preserve"> </w:t>
      </w:r>
    </w:p>
    <w:p w14:paraId="214740D7" w14:textId="77777777" w:rsidR="00953176" w:rsidRPr="00992AEC" w:rsidRDefault="00221EA8" w:rsidP="00992AEC">
      <w:pPr>
        <w:pStyle w:val="NoSpacing"/>
        <w:ind w:left="720" w:hanging="720"/>
        <w:rPr>
          <w:rFonts w:cstheme="minorHAnsi"/>
        </w:rPr>
      </w:pPr>
      <w:r w:rsidRPr="00992AEC">
        <w:rPr>
          <w:rFonts w:cstheme="minorHAnsi"/>
        </w:rPr>
        <w:t>Cameron, M. P., Cochrane, W., Gordon, C., &amp; Livingston, M. (2016). Alcohol outlet density and violence:</w:t>
      </w:r>
      <w:r w:rsidR="00953176" w:rsidRPr="00992AEC">
        <w:rPr>
          <w:rFonts w:cstheme="minorHAnsi"/>
        </w:rPr>
        <w:t xml:space="preserve"> </w:t>
      </w:r>
      <w:r w:rsidRPr="00992AEC">
        <w:rPr>
          <w:rFonts w:cstheme="minorHAnsi"/>
        </w:rPr>
        <w:t xml:space="preserve">A geographically weighted regression approach. </w:t>
      </w:r>
      <w:r w:rsidRPr="00992AEC">
        <w:rPr>
          <w:rFonts w:cstheme="minorHAnsi"/>
          <w:i/>
          <w:iCs/>
        </w:rPr>
        <w:t>Drug and Alcohol Review</w:t>
      </w:r>
      <w:r w:rsidRPr="00992AEC">
        <w:rPr>
          <w:rFonts w:cstheme="minorHAnsi"/>
        </w:rPr>
        <w:t xml:space="preserve">, </w:t>
      </w:r>
      <w:r w:rsidRPr="00992AEC">
        <w:rPr>
          <w:rFonts w:cstheme="minorHAnsi"/>
          <w:i/>
          <w:iCs/>
        </w:rPr>
        <w:t>35</w:t>
      </w:r>
      <w:r w:rsidRPr="00992AEC">
        <w:rPr>
          <w:rFonts w:cstheme="minorHAnsi"/>
        </w:rPr>
        <w:t>, 280-288.</w:t>
      </w:r>
      <w:r w:rsidR="00953176" w:rsidRPr="00992AEC">
        <w:rPr>
          <w:rFonts w:cstheme="minorHAnsi"/>
        </w:rPr>
        <w:t xml:space="preserve"> </w:t>
      </w:r>
    </w:p>
    <w:p w14:paraId="681DAA3D" w14:textId="232FAA77" w:rsidR="00221EA8" w:rsidRPr="00992AEC" w:rsidRDefault="00221EA8" w:rsidP="00992AEC">
      <w:pPr>
        <w:pStyle w:val="NoSpacing"/>
        <w:ind w:left="720" w:hanging="720"/>
        <w:rPr>
          <w:rFonts w:cstheme="minorHAnsi"/>
        </w:rPr>
      </w:pPr>
      <w:r w:rsidRPr="00992AEC">
        <w:rPr>
          <w:rFonts w:cstheme="minorHAnsi"/>
        </w:rPr>
        <w:t>Cohen, L. E., &amp; Felson, M. (1979). Social change and crime rate trends: A routine activities approach.</w:t>
      </w:r>
      <w:r w:rsidR="00953176" w:rsidRPr="00992AEC">
        <w:rPr>
          <w:rFonts w:cstheme="minorHAnsi"/>
        </w:rPr>
        <w:t xml:space="preserve"> </w:t>
      </w:r>
      <w:r w:rsidRPr="00992AEC">
        <w:rPr>
          <w:rFonts w:cstheme="minorHAnsi"/>
          <w:i/>
          <w:iCs/>
        </w:rPr>
        <w:t>American Sociological Review</w:t>
      </w:r>
      <w:r w:rsidRPr="00992AEC">
        <w:rPr>
          <w:rFonts w:cstheme="minorHAnsi"/>
        </w:rPr>
        <w:t xml:space="preserve">, </w:t>
      </w:r>
      <w:r w:rsidRPr="00992AEC">
        <w:rPr>
          <w:rFonts w:cstheme="minorHAnsi"/>
          <w:i/>
          <w:iCs/>
        </w:rPr>
        <w:t>44</w:t>
      </w:r>
      <w:r w:rsidRPr="00992AEC">
        <w:rPr>
          <w:rFonts w:cstheme="minorHAnsi"/>
        </w:rPr>
        <w:t>, 588-608.</w:t>
      </w:r>
      <w:r w:rsidR="00953176" w:rsidRPr="00992AEC">
        <w:rPr>
          <w:rFonts w:cstheme="minorHAnsi"/>
        </w:rPr>
        <w:t xml:space="preserve"> </w:t>
      </w:r>
    </w:p>
    <w:p w14:paraId="50839168" w14:textId="525813FE" w:rsidR="00221EA8" w:rsidRPr="00992AEC" w:rsidRDefault="00221EA8" w:rsidP="00992AEC">
      <w:pPr>
        <w:pStyle w:val="NoSpacing"/>
        <w:ind w:left="720" w:hanging="720"/>
        <w:rPr>
          <w:rFonts w:cstheme="minorHAnsi"/>
        </w:rPr>
      </w:pPr>
      <w:proofErr w:type="spellStart"/>
      <w:r w:rsidRPr="00992AEC">
        <w:rPr>
          <w:rFonts w:cstheme="minorHAnsi"/>
        </w:rPr>
        <w:t>Drawve</w:t>
      </w:r>
      <w:proofErr w:type="spellEnd"/>
      <w:r w:rsidRPr="00992AEC">
        <w:rPr>
          <w:rFonts w:cstheme="minorHAnsi"/>
        </w:rPr>
        <w:t>, G., Thomas, S. A., &amp; Walker, J. T. (2016). Bringing the physical environment back into neighborhood</w:t>
      </w:r>
      <w:r w:rsidR="00953176" w:rsidRPr="00992AEC">
        <w:rPr>
          <w:rFonts w:cstheme="minorHAnsi"/>
        </w:rPr>
        <w:t xml:space="preserve"> </w:t>
      </w:r>
      <w:r w:rsidRPr="00992AEC">
        <w:rPr>
          <w:rFonts w:cstheme="minorHAnsi"/>
        </w:rPr>
        <w:t>research: The utility of RTM for developing an aggregate neighborhood risk of crime measure.</w:t>
      </w:r>
      <w:r w:rsidR="00953176" w:rsidRPr="00992AEC">
        <w:rPr>
          <w:rFonts w:cstheme="minorHAnsi"/>
        </w:rPr>
        <w:t xml:space="preserve"> </w:t>
      </w:r>
      <w:r w:rsidRPr="00992AEC">
        <w:rPr>
          <w:rFonts w:cstheme="minorHAnsi"/>
          <w:i/>
          <w:iCs/>
        </w:rPr>
        <w:t>Journal of Criminal Justice</w:t>
      </w:r>
      <w:r w:rsidRPr="00992AEC">
        <w:rPr>
          <w:rFonts w:cstheme="minorHAnsi"/>
        </w:rPr>
        <w:t xml:space="preserve">, </w:t>
      </w:r>
      <w:r w:rsidRPr="00992AEC">
        <w:rPr>
          <w:rFonts w:cstheme="minorHAnsi"/>
          <w:i/>
          <w:iCs/>
        </w:rPr>
        <w:t>44</w:t>
      </w:r>
      <w:r w:rsidRPr="00992AEC">
        <w:rPr>
          <w:rFonts w:cstheme="minorHAnsi"/>
        </w:rPr>
        <w:t>, 21-29.</w:t>
      </w:r>
    </w:p>
    <w:p w14:paraId="043B73B1" w14:textId="70C11554" w:rsidR="00221EA8" w:rsidRPr="00992AEC" w:rsidRDefault="00221EA8" w:rsidP="00992AEC">
      <w:pPr>
        <w:pStyle w:val="NoSpacing"/>
        <w:ind w:left="720" w:hanging="720"/>
        <w:rPr>
          <w:rFonts w:cstheme="minorHAnsi"/>
        </w:rPr>
      </w:pPr>
      <w:r w:rsidRPr="00992AEC">
        <w:rPr>
          <w:rFonts w:cstheme="minorHAnsi"/>
        </w:rPr>
        <w:t xml:space="preserve">Furr-Holden, C. D. M., Milam, A. J., </w:t>
      </w:r>
      <w:proofErr w:type="spellStart"/>
      <w:r w:rsidRPr="00992AEC">
        <w:rPr>
          <w:rFonts w:cstheme="minorHAnsi"/>
        </w:rPr>
        <w:t>Nesoff</w:t>
      </w:r>
      <w:proofErr w:type="spellEnd"/>
      <w:r w:rsidRPr="00992AEC">
        <w:rPr>
          <w:rFonts w:cstheme="minorHAnsi"/>
        </w:rPr>
        <w:t xml:space="preserve">, E. D., Johnson, R. M., </w:t>
      </w:r>
      <w:proofErr w:type="spellStart"/>
      <w:r w:rsidRPr="00992AEC">
        <w:rPr>
          <w:rFonts w:cstheme="minorHAnsi"/>
        </w:rPr>
        <w:t>Fakunle</w:t>
      </w:r>
      <w:proofErr w:type="spellEnd"/>
      <w:r w:rsidRPr="00992AEC">
        <w:rPr>
          <w:rFonts w:cstheme="minorHAnsi"/>
        </w:rPr>
        <w:t>, D. O., Jennings, J. M., &amp;</w:t>
      </w:r>
      <w:r w:rsidR="00953176" w:rsidRPr="00992AEC">
        <w:rPr>
          <w:rFonts w:cstheme="minorHAnsi"/>
        </w:rPr>
        <w:t xml:space="preserve"> </w:t>
      </w:r>
      <w:r w:rsidRPr="00992AEC">
        <w:rPr>
          <w:rFonts w:cstheme="minorHAnsi"/>
        </w:rPr>
        <w:t>Thorpe, R. J., Jr. (2016). Not in my back yard: A comparative analysis of crime around publicly funded drug treatment centers, liquor stores, convenience stores, and corner stores in one mid-Atlantic city.</w:t>
      </w:r>
      <w:r w:rsidR="00953176" w:rsidRPr="00992AEC">
        <w:rPr>
          <w:rFonts w:cstheme="minorHAnsi"/>
        </w:rPr>
        <w:t xml:space="preserve"> </w:t>
      </w:r>
      <w:r w:rsidRPr="00992AEC">
        <w:rPr>
          <w:rFonts w:cstheme="minorHAnsi"/>
          <w:i/>
          <w:iCs/>
        </w:rPr>
        <w:t>Journal of Studies on Alcohol and Drugs</w:t>
      </w:r>
      <w:r w:rsidRPr="00992AEC">
        <w:rPr>
          <w:rFonts w:cstheme="minorHAnsi"/>
        </w:rPr>
        <w:t xml:space="preserve">, </w:t>
      </w:r>
      <w:r w:rsidRPr="00992AEC">
        <w:rPr>
          <w:rFonts w:cstheme="minorHAnsi"/>
          <w:i/>
          <w:iCs/>
        </w:rPr>
        <w:t>77</w:t>
      </w:r>
      <w:r w:rsidRPr="00992AEC">
        <w:rPr>
          <w:rFonts w:cstheme="minorHAnsi"/>
        </w:rPr>
        <w:t>, 17-24.</w:t>
      </w:r>
    </w:p>
    <w:p w14:paraId="4D7D6F16" w14:textId="41265053" w:rsidR="00221EA8" w:rsidRPr="00992AEC" w:rsidRDefault="00221EA8" w:rsidP="00992AEC">
      <w:pPr>
        <w:pStyle w:val="NoSpacing"/>
        <w:ind w:left="720" w:hanging="720"/>
        <w:rPr>
          <w:rFonts w:cstheme="minorHAnsi"/>
        </w:rPr>
      </w:pPr>
      <w:r w:rsidRPr="00992AEC">
        <w:rPr>
          <w:rFonts w:cstheme="minorHAnsi"/>
        </w:rPr>
        <w:t>Gibbs, J. P., &amp; Martin, W. T. (1962). Urbanization, technology, and the division of labor: International patterns.</w:t>
      </w:r>
      <w:r w:rsidR="00953176" w:rsidRPr="00992AEC">
        <w:rPr>
          <w:rFonts w:cstheme="minorHAnsi"/>
        </w:rPr>
        <w:t xml:space="preserve"> </w:t>
      </w:r>
      <w:r w:rsidRPr="00992AEC">
        <w:rPr>
          <w:rFonts w:cstheme="minorHAnsi"/>
          <w:i/>
          <w:iCs/>
        </w:rPr>
        <w:t>American Sociological Review</w:t>
      </w:r>
      <w:r w:rsidRPr="00992AEC">
        <w:rPr>
          <w:rFonts w:cstheme="minorHAnsi"/>
        </w:rPr>
        <w:t xml:space="preserve">, </w:t>
      </w:r>
      <w:r w:rsidRPr="00992AEC">
        <w:rPr>
          <w:rFonts w:cstheme="minorHAnsi"/>
          <w:i/>
          <w:iCs/>
        </w:rPr>
        <w:t>27</w:t>
      </w:r>
      <w:r w:rsidRPr="00992AEC">
        <w:rPr>
          <w:rFonts w:cstheme="minorHAnsi"/>
        </w:rPr>
        <w:t>, 667-677.</w:t>
      </w:r>
    </w:p>
    <w:p w14:paraId="5B6EA86D" w14:textId="0A42A84A" w:rsidR="00221EA8" w:rsidRPr="00992AEC" w:rsidRDefault="00221EA8" w:rsidP="00992AEC">
      <w:pPr>
        <w:pStyle w:val="NoSpacing"/>
        <w:ind w:left="720" w:hanging="720"/>
        <w:rPr>
          <w:rFonts w:cstheme="minorHAnsi"/>
        </w:rPr>
      </w:pPr>
      <w:r w:rsidRPr="00992AEC">
        <w:rPr>
          <w:rFonts w:cstheme="minorHAnsi"/>
        </w:rPr>
        <w:t xml:space="preserve">Graham, K., </w:t>
      </w:r>
      <w:proofErr w:type="spellStart"/>
      <w:r w:rsidRPr="00992AEC">
        <w:rPr>
          <w:rFonts w:cstheme="minorHAnsi"/>
        </w:rPr>
        <w:t>Bernards</w:t>
      </w:r>
      <w:proofErr w:type="spellEnd"/>
      <w:r w:rsidRPr="00992AEC">
        <w:rPr>
          <w:rFonts w:cstheme="minorHAnsi"/>
        </w:rPr>
        <w:t>, S., Abbey, A., Dumas, T. M., &amp; Wells, S. (2017). When women do not want it:</w:t>
      </w:r>
      <w:r w:rsidR="00953176" w:rsidRPr="00992AEC">
        <w:rPr>
          <w:rFonts w:cstheme="minorHAnsi"/>
        </w:rPr>
        <w:t xml:space="preserve"> </w:t>
      </w:r>
      <w:r w:rsidRPr="00992AEC">
        <w:rPr>
          <w:rFonts w:cstheme="minorHAnsi"/>
        </w:rPr>
        <w:t>Young female Bargoers’ experiences with and responses to sexual harassment in social drinking contexts.</w:t>
      </w:r>
      <w:r w:rsidR="00953176" w:rsidRPr="00992AEC">
        <w:rPr>
          <w:rFonts w:cstheme="minorHAnsi"/>
        </w:rPr>
        <w:t xml:space="preserve"> </w:t>
      </w:r>
      <w:r w:rsidRPr="00992AEC">
        <w:rPr>
          <w:rFonts w:cstheme="minorHAnsi"/>
          <w:i/>
          <w:iCs/>
        </w:rPr>
        <w:t>Violence Against Women</w:t>
      </w:r>
      <w:r w:rsidRPr="00992AEC">
        <w:rPr>
          <w:rFonts w:cstheme="minorHAnsi"/>
        </w:rPr>
        <w:t xml:space="preserve">, </w:t>
      </w:r>
      <w:r w:rsidRPr="00992AEC">
        <w:rPr>
          <w:rFonts w:cstheme="minorHAnsi"/>
          <w:i/>
          <w:iCs/>
        </w:rPr>
        <w:t>23</w:t>
      </w:r>
      <w:r w:rsidRPr="00992AEC">
        <w:rPr>
          <w:rFonts w:cstheme="minorHAnsi"/>
        </w:rPr>
        <w:t>, 1419-1441.</w:t>
      </w:r>
    </w:p>
    <w:p w14:paraId="07A38F59" w14:textId="68F24067" w:rsidR="00221EA8" w:rsidRPr="00992AEC" w:rsidRDefault="00221EA8" w:rsidP="00992AEC">
      <w:pPr>
        <w:pStyle w:val="NoSpacing"/>
        <w:ind w:left="720" w:hanging="720"/>
        <w:rPr>
          <w:rFonts w:cstheme="minorHAnsi"/>
        </w:rPr>
      </w:pPr>
      <w:r w:rsidRPr="00992AEC">
        <w:rPr>
          <w:rFonts w:cstheme="minorHAnsi"/>
        </w:rPr>
        <w:lastRenderedPageBreak/>
        <w:t xml:space="preserve">Graham, K., </w:t>
      </w:r>
      <w:proofErr w:type="spellStart"/>
      <w:r w:rsidRPr="00992AEC">
        <w:rPr>
          <w:rFonts w:cstheme="minorHAnsi"/>
        </w:rPr>
        <w:t>Bernards</w:t>
      </w:r>
      <w:proofErr w:type="spellEnd"/>
      <w:r w:rsidRPr="00992AEC">
        <w:rPr>
          <w:rFonts w:cstheme="minorHAnsi"/>
        </w:rPr>
        <w:t>, S., Osgood, D. W., &amp; Wells, S. (2006). Bad nights or bad bars? Multi-level analysis</w:t>
      </w:r>
      <w:r w:rsidR="00953176" w:rsidRPr="00992AEC">
        <w:rPr>
          <w:rFonts w:cstheme="minorHAnsi"/>
        </w:rPr>
        <w:t xml:space="preserve"> </w:t>
      </w:r>
      <w:r w:rsidRPr="00992AEC">
        <w:rPr>
          <w:rFonts w:cstheme="minorHAnsi"/>
        </w:rPr>
        <w:t xml:space="preserve">of environmental predictors of aggression in late-night large-capacity bars and clubs. </w:t>
      </w:r>
      <w:r w:rsidRPr="00992AEC">
        <w:rPr>
          <w:rFonts w:cstheme="minorHAnsi"/>
          <w:i/>
          <w:iCs/>
        </w:rPr>
        <w:t>Addiction</w:t>
      </w:r>
      <w:r w:rsidRPr="00992AEC">
        <w:rPr>
          <w:rFonts w:cstheme="minorHAnsi"/>
        </w:rPr>
        <w:t xml:space="preserve">, </w:t>
      </w:r>
      <w:r w:rsidRPr="00992AEC">
        <w:rPr>
          <w:rFonts w:cstheme="minorHAnsi"/>
          <w:i/>
          <w:iCs/>
        </w:rPr>
        <w:t>101</w:t>
      </w:r>
      <w:r w:rsidRPr="00992AEC">
        <w:rPr>
          <w:rFonts w:cstheme="minorHAnsi"/>
        </w:rPr>
        <w:t>,</w:t>
      </w:r>
      <w:r w:rsidR="00953176" w:rsidRPr="00992AEC">
        <w:rPr>
          <w:rFonts w:cstheme="minorHAnsi"/>
        </w:rPr>
        <w:t xml:space="preserve"> </w:t>
      </w:r>
      <w:r w:rsidRPr="00992AEC">
        <w:rPr>
          <w:rFonts w:cstheme="minorHAnsi"/>
        </w:rPr>
        <w:t>1569-1580.</w:t>
      </w:r>
    </w:p>
    <w:p w14:paraId="646A9AED" w14:textId="02A66B60" w:rsidR="00221EA8" w:rsidRPr="00992AEC" w:rsidRDefault="00221EA8" w:rsidP="00992AEC">
      <w:pPr>
        <w:pStyle w:val="NoSpacing"/>
        <w:ind w:left="720" w:hanging="720"/>
        <w:rPr>
          <w:rFonts w:cstheme="minorHAnsi"/>
        </w:rPr>
      </w:pPr>
      <w:r w:rsidRPr="00992AEC">
        <w:rPr>
          <w:rFonts w:cstheme="minorHAnsi"/>
        </w:rPr>
        <w:t xml:space="preserve">Graham, K., Osgood, D. W., </w:t>
      </w:r>
      <w:proofErr w:type="spellStart"/>
      <w:r w:rsidRPr="00992AEC">
        <w:rPr>
          <w:rFonts w:cstheme="minorHAnsi"/>
        </w:rPr>
        <w:t>Zibrowski</w:t>
      </w:r>
      <w:proofErr w:type="spellEnd"/>
      <w:r w:rsidRPr="00992AEC">
        <w:rPr>
          <w:rFonts w:cstheme="minorHAnsi"/>
        </w:rPr>
        <w:t xml:space="preserve">, E., Purcell, J., </w:t>
      </w:r>
      <w:proofErr w:type="spellStart"/>
      <w:r w:rsidRPr="00992AEC">
        <w:rPr>
          <w:rFonts w:cstheme="minorHAnsi"/>
        </w:rPr>
        <w:t>Gliksman</w:t>
      </w:r>
      <w:proofErr w:type="spellEnd"/>
      <w:r w:rsidRPr="00992AEC">
        <w:rPr>
          <w:rFonts w:cstheme="minorHAnsi"/>
        </w:rPr>
        <w:t>, L., Leonard, K., . . . Toomey, T. L.</w:t>
      </w:r>
      <w:r w:rsidR="00953176" w:rsidRPr="00992AEC">
        <w:rPr>
          <w:rFonts w:cstheme="minorHAnsi"/>
        </w:rPr>
        <w:t xml:space="preserve"> </w:t>
      </w:r>
      <w:r w:rsidRPr="00992AEC">
        <w:rPr>
          <w:rFonts w:cstheme="minorHAnsi"/>
        </w:rPr>
        <w:t xml:space="preserve">(2004). The effect of the Safer Bars </w:t>
      </w:r>
      <w:proofErr w:type="spellStart"/>
      <w:r w:rsidRPr="00992AEC">
        <w:rPr>
          <w:rFonts w:cstheme="minorHAnsi"/>
        </w:rPr>
        <w:t>programme</w:t>
      </w:r>
      <w:proofErr w:type="spellEnd"/>
      <w:r w:rsidRPr="00992AEC">
        <w:rPr>
          <w:rFonts w:cstheme="minorHAnsi"/>
        </w:rPr>
        <w:t xml:space="preserve"> on physical aggression in bars: Results of a randomized</w:t>
      </w:r>
      <w:r w:rsidR="00953176" w:rsidRPr="00992AEC">
        <w:rPr>
          <w:rFonts w:cstheme="minorHAnsi"/>
        </w:rPr>
        <w:t xml:space="preserve"> </w:t>
      </w:r>
      <w:r w:rsidRPr="00992AEC">
        <w:rPr>
          <w:rFonts w:cstheme="minorHAnsi"/>
        </w:rPr>
        <w:t xml:space="preserve">controlled trial. </w:t>
      </w:r>
      <w:r w:rsidRPr="00992AEC">
        <w:rPr>
          <w:rFonts w:cstheme="minorHAnsi"/>
          <w:i/>
          <w:iCs/>
        </w:rPr>
        <w:t>Drug and Alcohol Review</w:t>
      </w:r>
      <w:r w:rsidRPr="00992AEC">
        <w:rPr>
          <w:rFonts w:cstheme="minorHAnsi"/>
        </w:rPr>
        <w:t xml:space="preserve">, </w:t>
      </w:r>
      <w:r w:rsidRPr="00992AEC">
        <w:rPr>
          <w:rFonts w:cstheme="minorHAnsi"/>
          <w:i/>
          <w:iCs/>
        </w:rPr>
        <w:t>23</w:t>
      </w:r>
      <w:r w:rsidRPr="00992AEC">
        <w:rPr>
          <w:rFonts w:cstheme="minorHAnsi"/>
        </w:rPr>
        <w:t>, 31-41.</w:t>
      </w:r>
    </w:p>
    <w:p w14:paraId="498589A1" w14:textId="77777777" w:rsidR="00953176" w:rsidRPr="00992AEC" w:rsidRDefault="00221EA8" w:rsidP="00992AEC">
      <w:pPr>
        <w:pStyle w:val="NoSpacing"/>
        <w:ind w:left="720" w:hanging="720"/>
        <w:rPr>
          <w:rFonts w:cstheme="minorHAnsi"/>
        </w:rPr>
      </w:pPr>
      <w:r w:rsidRPr="00992AEC">
        <w:rPr>
          <w:rFonts w:cstheme="minorHAnsi"/>
        </w:rPr>
        <w:t>Groff, E. R., &amp; Lockwood, B. (2014). Criminogenic facilities and crime across street segments in</w:t>
      </w:r>
      <w:r w:rsidR="00953176" w:rsidRPr="00992AEC">
        <w:rPr>
          <w:rFonts w:cstheme="minorHAnsi"/>
        </w:rPr>
        <w:t xml:space="preserve"> </w:t>
      </w:r>
      <w:r w:rsidRPr="00992AEC">
        <w:rPr>
          <w:rFonts w:cstheme="minorHAnsi"/>
        </w:rPr>
        <w:t xml:space="preserve">Philadelphia: Uncovering evidence about the spatial extent of facility influence. </w:t>
      </w:r>
      <w:r w:rsidRPr="00992AEC">
        <w:rPr>
          <w:rFonts w:cstheme="minorHAnsi"/>
          <w:i/>
          <w:iCs/>
        </w:rPr>
        <w:t>Journal of Research in</w:t>
      </w:r>
      <w:r w:rsidR="00953176" w:rsidRPr="00992AEC">
        <w:rPr>
          <w:rFonts w:cstheme="minorHAnsi"/>
          <w:i/>
          <w:iCs/>
        </w:rPr>
        <w:t xml:space="preserve"> </w:t>
      </w:r>
      <w:r w:rsidRPr="00992AEC">
        <w:rPr>
          <w:rFonts w:cstheme="minorHAnsi"/>
          <w:i/>
          <w:iCs/>
        </w:rPr>
        <w:t>Crime &amp; Delinquency</w:t>
      </w:r>
      <w:r w:rsidRPr="00992AEC">
        <w:rPr>
          <w:rFonts w:cstheme="minorHAnsi"/>
        </w:rPr>
        <w:t xml:space="preserve">, </w:t>
      </w:r>
      <w:r w:rsidRPr="00992AEC">
        <w:rPr>
          <w:rFonts w:cstheme="minorHAnsi"/>
          <w:i/>
          <w:iCs/>
        </w:rPr>
        <w:t>51</w:t>
      </w:r>
      <w:r w:rsidRPr="00992AEC">
        <w:rPr>
          <w:rFonts w:cstheme="minorHAnsi"/>
        </w:rPr>
        <w:t>, 277-314.</w:t>
      </w:r>
      <w:r w:rsidR="00953176" w:rsidRPr="00992AEC">
        <w:rPr>
          <w:rFonts w:cstheme="minorHAnsi"/>
        </w:rPr>
        <w:t xml:space="preserve"> </w:t>
      </w:r>
    </w:p>
    <w:p w14:paraId="7EA61BE4" w14:textId="77777777" w:rsidR="00953176" w:rsidRPr="00992AEC" w:rsidRDefault="00221EA8" w:rsidP="00992AEC">
      <w:pPr>
        <w:pStyle w:val="NoSpacing"/>
        <w:ind w:left="720" w:hanging="720"/>
        <w:rPr>
          <w:rFonts w:cstheme="minorHAnsi"/>
        </w:rPr>
      </w:pPr>
      <w:r w:rsidRPr="00992AEC">
        <w:rPr>
          <w:rFonts w:cstheme="minorHAnsi"/>
        </w:rPr>
        <w:t xml:space="preserve">Gruenewald, P. J., </w:t>
      </w:r>
      <w:proofErr w:type="spellStart"/>
      <w:r w:rsidRPr="00992AEC">
        <w:rPr>
          <w:rFonts w:cstheme="minorHAnsi"/>
        </w:rPr>
        <w:t>Freisthler</w:t>
      </w:r>
      <w:proofErr w:type="spellEnd"/>
      <w:r w:rsidRPr="00992AEC">
        <w:rPr>
          <w:rFonts w:cstheme="minorHAnsi"/>
        </w:rPr>
        <w:t xml:space="preserve">, B., Remer, L., </w:t>
      </w:r>
      <w:proofErr w:type="spellStart"/>
      <w:r w:rsidRPr="00992AEC">
        <w:rPr>
          <w:rFonts w:cstheme="minorHAnsi"/>
        </w:rPr>
        <w:t>LaScala</w:t>
      </w:r>
      <w:proofErr w:type="spellEnd"/>
      <w:r w:rsidRPr="00992AEC">
        <w:rPr>
          <w:rFonts w:cstheme="minorHAnsi"/>
        </w:rPr>
        <w:t xml:space="preserve">, E. A., &amp; </w:t>
      </w:r>
      <w:proofErr w:type="spellStart"/>
      <w:r w:rsidRPr="00992AEC">
        <w:rPr>
          <w:rFonts w:cstheme="minorHAnsi"/>
        </w:rPr>
        <w:t>Treno</w:t>
      </w:r>
      <w:proofErr w:type="spellEnd"/>
      <w:r w:rsidRPr="00992AEC">
        <w:rPr>
          <w:rFonts w:cstheme="minorHAnsi"/>
        </w:rPr>
        <w:t>, A. (2006). Ecological models of</w:t>
      </w:r>
      <w:r w:rsidR="00953176" w:rsidRPr="00992AEC">
        <w:rPr>
          <w:rFonts w:cstheme="minorHAnsi"/>
        </w:rPr>
        <w:t xml:space="preserve"> </w:t>
      </w:r>
      <w:r w:rsidRPr="00992AEC">
        <w:rPr>
          <w:rFonts w:cstheme="minorHAnsi"/>
        </w:rPr>
        <w:t xml:space="preserve">alcohol outlets and violent assaults: Crime potentials and geospatial analysis. </w:t>
      </w:r>
      <w:r w:rsidRPr="00992AEC">
        <w:rPr>
          <w:rFonts w:cstheme="minorHAnsi"/>
          <w:i/>
          <w:iCs/>
        </w:rPr>
        <w:t>Addiction</w:t>
      </w:r>
      <w:r w:rsidRPr="00992AEC">
        <w:rPr>
          <w:rFonts w:cstheme="minorHAnsi"/>
        </w:rPr>
        <w:t xml:space="preserve">, </w:t>
      </w:r>
      <w:r w:rsidRPr="00992AEC">
        <w:rPr>
          <w:rFonts w:cstheme="minorHAnsi"/>
          <w:i/>
          <w:iCs/>
        </w:rPr>
        <w:t>101</w:t>
      </w:r>
      <w:r w:rsidRPr="00992AEC">
        <w:rPr>
          <w:rFonts w:cstheme="minorHAnsi"/>
        </w:rPr>
        <w:t>, 666-677.</w:t>
      </w:r>
      <w:r w:rsidR="00953176" w:rsidRPr="00992AEC">
        <w:rPr>
          <w:rFonts w:cstheme="minorHAnsi"/>
        </w:rPr>
        <w:t xml:space="preserve"> </w:t>
      </w:r>
    </w:p>
    <w:p w14:paraId="1AAD3361" w14:textId="77777777" w:rsidR="00953176" w:rsidRPr="00992AEC" w:rsidRDefault="00221EA8" w:rsidP="00992AEC">
      <w:pPr>
        <w:pStyle w:val="NoSpacing"/>
        <w:ind w:left="720" w:hanging="720"/>
        <w:rPr>
          <w:rFonts w:cstheme="minorHAnsi"/>
        </w:rPr>
      </w:pPr>
      <w:r w:rsidRPr="00992AEC">
        <w:rPr>
          <w:rFonts w:cstheme="minorHAnsi"/>
        </w:rPr>
        <w:t xml:space="preserve">Gruenewald, P. J., Remer, L. G., &amp; </w:t>
      </w:r>
      <w:proofErr w:type="spellStart"/>
      <w:r w:rsidRPr="00992AEC">
        <w:rPr>
          <w:rFonts w:cstheme="minorHAnsi"/>
        </w:rPr>
        <w:t>Treno</w:t>
      </w:r>
      <w:proofErr w:type="spellEnd"/>
      <w:r w:rsidRPr="00992AEC">
        <w:rPr>
          <w:rFonts w:cstheme="minorHAnsi"/>
        </w:rPr>
        <w:t>, A. J. (2009). Alcohol outlets, crime and disorder in the United</w:t>
      </w:r>
      <w:r w:rsidR="00953176" w:rsidRPr="00992AEC">
        <w:rPr>
          <w:rFonts w:cstheme="minorHAnsi"/>
        </w:rPr>
        <w:t xml:space="preserve"> </w:t>
      </w:r>
      <w:r w:rsidRPr="00992AEC">
        <w:rPr>
          <w:rFonts w:cstheme="minorHAnsi"/>
        </w:rPr>
        <w:t xml:space="preserve">States of America. In P. Hadfield (Ed.), </w:t>
      </w:r>
      <w:r w:rsidRPr="00992AEC">
        <w:rPr>
          <w:rFonts w:cstheme="minorHAnsi"/>
          <w:i/>
          <w:iCs/>
        </w:rPr>
        <w:t>Nightlife and crime: Social order and governance in international</w:t>
      </w:r>
      <w:r w:rsidR="00953176" w:rsidRPr="00992AEC">
        <w:rPr>
          <w:rFonts w:cstheme="minorHAnsi"/>
          <w:i/>
          <w:iCs/>
        </w:rPr>
        <w:t xml:space="preserve"> </w:t>
      </w:r>
      <w:r w:rsidRPr="00992AEC">
        <w:rPr>
          <w:rFonts w:cstheme="minorHAnsi"/>
          <w:i/>
          <w:iCs/>
        </w:rPr>
        <w:t xml:space="preserve">perspective </w:t>
      </w:r>
      <w:r w:rsidRPr="00992AEC">
        <w:rPr>
          <w:rFonts w:cstheme="minorHAnsi"/>
        </w:rPr>
        <w:t>(pp. 19-50). New York: Oxford University Press.</w:t>
      </w:r>
      <w:r w:rsidR="00953176" w:rsidRPr="00992AEC">
        <w:rPr>
          <w:rFonts w:cstheme="minorHAnsi"/>
        </w:rPr>
        <w:t xml:space="preserve"> </w:t>
      </w:r>
    </w:p>
    <w:p w14:paraId="05E64CE8" w14:textId="77777777" w:rsidR="00953176" w:rsidRPr="00992AEC" w:rsidRDefault="00221EA8" w:rsidP="00992AEC">
      <w:pPr>
        <w:pStyle w:val="NoSpacing"/>
        <w:ind w:left="720" w:hanging="720"/>
        <w:rPr>
          <w:rFonts w:cstheme="minorHAnsi"/>
        </w:rPr>
      </w:pPr>
      <w:r w:rsidRPr="00992AEC">
        <w:rPr>
          <w:rFonts w:cstheme="minorHAnsi"/>
        </w:rPr>
        <w:t xml:space="preserve">Haughwout, S. P., &amp; Slater, M. E. (2018). </w:t>
      </w:r>
      <w:r w:rsidRPr="00992AEC">
        <w:rPr>
          <w:rFonts w:cstheme="minorHAnsi"/>
          <w:i/>
          <w:iCs/>
        </w:rPr>
        <w:t>Surveillance Report #110: Apparent per capita alcohol consumption:</w:t>
      </w:r>
      <w:r w:rsidR="00953176" w:rsidRPr="00992AEC">
        <w:rPr>
          <w:rFonts w:cstheme="minorHAnsi"/>
          <w:i/>
          <w:iCs/>
        </w:rPr>
        <w:t xml:space="preserve"> </w:t>
      </w:r>
      <w:r w:rsidRPr="00992AEC">
        <w:rPr>
          <w:rFonts w:cstheme="minorHAnsi"/>
          <w:i/>
          <w:iCs/>
        </w:rPr>
        <w:t>National, state, and regional trends, 1977–2016</w:t>
      </w:r>
      <w:r w:rsidRPr="00992AEC">
        <w:rPr>
          <w:rFonts w:cstheme="minorHAnsi"/>
        </w:rPr>
        <w:t>. Bethesda, MD: National Institute on Alcohol</w:t>
      </w:r>
      <w:r w:rsidR="00953176" w:rsidRPr="00992AEC">
        <w:rPr>
          <w:rFonts w:cstheme="minorHAnsi"/>
        </w:rPr>
        <w:t xml:space="preserve"> </w:t>
      </w:r>
      <w:r w:rsidRPr="00992AEC">
        <w:rPr>
          <w:rFonts w:cstheme="minorHAnsi"/>
        </w:rPr>
        <w:t>Abuse and Alcoholism.</w:t>
      </w:r>
      <w:r w:rsidR="00953176" w:rsidRPr="00992AEC">
        <w:rPr>
          <w:rFonts w:cstheme="minorHAnsi"/>
        </w:rPr>
        <w:t xml:space="preserve"> </w:t>
      </w:r>
    </w:p>
    <w:p w14:paraId="5138AD1C" w14:textId="77777777" w:rsidR="00953176" w:rsidRPr="00992AEC" w:rsidRDefault="00221EA8" w:rsidP="00992AEC">
      <w:pPr>
        <w:pStyle w:val="NoSpacing"/>
        <w:ind w:left="720" w:hanging="720"/>
        <w:rPr>
          <w:rFonts w:cstheme="minorHAnsi"/>
        </w:rPr>
      </w:pPr>
      <w:proofErr w:type="spellStart"/>
      <w:r w:rsidRPr="00992AEC">
        <w:rPr>
          <w:rFonts w:cstheme="minorHAnsi"/>
        </w:rPr>
        <w:t>Hindelang</w:t>
      </w:r>
      <w:proofErr w:type="spellEnd"/>
      <w:r w:rsidRPr="00992AEC">
        <w:rPr>
          <w:rFonts w:cstheme="minorHAnsi"/>
        </w:rPr>
        <w:t xml:space="preserve">, M. J. (1976). </w:t>
      </w:r>
      <w:r w:rsidRPr="00992AEC">
        <w:rPr>
          <w:rFonts w:cstheme="minorHAnsi"/>
          <w:i/>
          <w:iCs/>
        </w:rPr>
        <w:t>Criminal victimization in eight American cities: A descriptive analysis of common</w:t>
      </w:r>
      <w:r w:rsidR="00953176" w:rsidRPr="00992AEC">
        <w:rPr>
          <w:rFonts w:cstheme="minorHAnsi"/>
          <w:i/>
          <w:iCs/>
        </w:rPr>
        <w:t xml:space="preserve"> </w:t>
      </w:r>
      <w:r w:rsidRPr="00992AEC">
        <w:rPr>
          <w:rFonts w:cstheme="minorHAnsi"/>
          <w:i/>
          <w:iCs/>
        </w:rPr>
        <w:t>theft and assault</w:t>
      </w:r>
      <w:r w:rsidRPr="00992AEC">
        <w:rPr>
          <w:rFonts w:cstheme="minorHAnsi"/>
        </w:rPr>
        <w:t>. Cambridge, MA: Ballinger.</w:t>
      </w:r>
      <w:r w:rsidR="00953176" w:rsidRPr="00992AEC">
        <w:rPr>
          <w:rFonts w:cstheme="minorHAnsi"/>
        </w:rPr>
        <w:t xml:space="preserve"> </w:t>
      </w:r>
    </w:p>
    <w:p w14:paraId="5FB4DA73" w14:textId="77777777" w:rsidR="00953176" w:rsidRPr="00992AEC" w:rsidRDefault="00221EA8" w:rsidP="00992AEC">
      <w:pPr>
        <w:pStyle w:val="NoSpacing"/>
        <w:ind w:left="720" w:hanging="720"/>
        <w:rPr>
          <w:rFonts w:cstheme="minorHAnsi"/>
        </w:rPr>
      </w:pPr>
      <w:proofErr w:type="spellStart"/>
      <w:r w:rsidRPr="00992AEC">
        <w:rPr>
          <w:rFonts w:cstheme="minorHAnsi"/>
        </w:rPr>
        <w:t>Hindelang</w:t>
      </w:r>
      <w:proofErr w:type="spellEnd"/>
      <w:r w:rsidRPr="00992AEC">
        <w:rPr>
          <w:rFonts w:cstheme="minorHAnsi"/>
        </w:rPr>
        <w:t xml:space="preserve">, M. J. (1978). Race and involvement in common law personal crimes. </w:t>
      </w:r>
      <w:r w:rsidRPr="00992AEC">
        <w:rPr>
          <w:rFonts w:cstheme="minorHAnsi"/>
          <w:i/>
          <w:iCs/>
        </w:rPr>
        <w:t>American Sociological</w:t>
      </w:r>
      <w:r w:rsidR="00953176" w:rsidRPr="00992AEC">
        <w:rPr>
          <w:rFonts w:cstheme="minorHAnsi"/>
          <w:i/>
          <w:iCs/>
        </w:rPr>
        <w:t xml:space="preserve"> </w:t>
      </w:r>
      <w:r w:rsidRPr="00992AEC">
        <w:rPr>
          <w:rFonts w:cstheme="minorHAnsi"/>
          <w:i/>
          <w:iCs/>
        </w:rPr>
        <w:t>Review</w:t>
      </w:r>
      <w:r w:rsidRPr="00992AEC">
        <w:rPr>
          <w:rFonts w:cstheme="minorHAnsi"/>
        </w:rPr>
        <w:t xml:space="preserve">, </w:t>
      </w:r>
      <w:r w:rsidRPr="00992AEC">
        <w:rPr>
          <w:rFonts w:cstheme="minorHAnsi"/>
          <w:i/>
          <w:iCs/>
        </w:rPr>
        <w:t>43</w:t>
      </w:r>
      <w:r w:rsidRPr="00992AEC">
        <w:rPr>
          <w:rFonts w:cstheme="minorHAnsi"/>
        </w:rPr>
        <w:t>(1), 93-109.</w:t>
      </w:r>
      <w:r w:rsidR="00953176" w:rsidRPr="00992AEC">
        <w:rPr>
          <w:rFonts w:cstheme="minorHAnsi"/>
        </w:rPr>
        <w:t xml:space="preserve"> </w:t>
      </w:r>
    </w:p>
    <w:p w14:paraId="149B23D3" w14:textId="09219D1E" w:rsidR="00221EA8" w:rsidRPr="00992AEC" w:rsidRDefault="00221EA8" w:rsidP="00992AEC">
      <w:pPr>
        <w:pStyle w:val="NoSpacing"/>
        <w:ind w:left="720" w:hanging="720"/>
        <w:rPr>
          <w:rFonts w:cstheme="minorHAnsi"/>
        </w:rPr>
      </w:pPr>
      <w:proofErr w:type="spellStart"/>
      <w:r w:rsidRPr="00992AEC">
        <w:rPr>
          <w:rFonts w:cstheme="minorHAnsi"/>
        </w:rPr>
        <w:t>Huckle</w:t>
      </w:r>
      <w:proofErr w:type="spellEnd"/>
      <w:r w:rsidRPr="00992AEC">
        <w:rPr>
          <w:rFonts w:cstheme="minorHAnsi"/>
        </w:rPr>
        <w:t xml:space="preserve">, T., </w:t>
      </w:r>
      <w:proofErr w:type="spellStart"/>
      <w:r w:rsidRPr="00992AEC">
        <w:rPr>
          <w:rFonts w:cstheme="minorHAnsi"/>
        </w:rPr>
        <w:t>Sweetsur</w:t>
      </w:r>
      <w:proofErr w:type="spellEnd"/>
      <w:r w:rsidRPr="00992AEC">
        <w:rPr>
          <w:rFonts w:cstheme="minorHAnsi"/>
        </w:rPr>
        <w:t>, P., Moyes, S., &amp; Casswell, S. (2008). Ready to drinks are associated with heavier</w:t>
      </w:r>
      <w:r w:rsidR="00953176" w:rsidRPr="00992AEC">
        <w:rPr>
          <w:rFonts w:cstheme="minorHAnsi"/>
        </w:rPr>
        <w:t xml:space="preserve"> </w:t>
      </w:r>
      <w:r w:rsidRPr="00992AEC">
        <w:rPr>
          <w:rFonts w:cstheme="minorHAnsi"/>
        </w:rPr>
        <w:t xml:space="preserve">drinking patterns among young females. </w:t>
      </w:r>
      <w:r w:rsidRPr="00992AEC">
        <w:rPr>
          <w:rFonts w:cstheme="minorHAnsi"/>
          <w:i/>
          <w:iCs/>
        </w:rPr>
        <w:t>Drug &amp; Alcohol Review</w:t>
      </w:r>
      <w:r w:rsidRPr="00992AEC">
        <w:rPr>
          <w:rFonts w:cstheme="minorHAnsi"/>
        </w:rPr>
        <w:t xml:space="preserve">, </w:t>
      </w:r>
      <w:r w:rsidRPr="00992AEC">
        <w:rPr>
          <w:rFonts w:cstheme="minorHAnsi"/>
          <w:i/>
          <w:iCs/>
        </w:rPr>
        <w:t>27</w:t>
      </w:r>
      <w:r w:rsidRPr="00992AEC">
        <w:rPr>
          <w:rFonts w:cstheme="minorHAnsi"/>
        </w:rPr>
        <w:t>(4), 398-403.</w:t>
      </w:r>
    </w:p>
    <w:p w14:paraId="5279354B" w14:textId="57B03136" w:rsidR="00221EA8" w:rsidRPr="00992AEC" w:rsidRDefault="00221EA8" w:rsidP="00992AEC">
      <w:pPr>
        <w:pStyle w:val="NoSpacing"/>
        <w:ind w:left="720" w:hanging="720"/>
        <w:rPr>
          <w:rFonts w:cstheme="minorHAnsi"/>
        </w:rPr>
      </w:pPr>
      <w:r w:rsidRPr="00992AEC">
        <w:rPr>
          <w:rFonts w:cstheme="minorHAnsi"/>
        </w:rPr>
        <w:t xml:space="preserve">Jones-Webb, R., McKee, P., Hannan, P., Wall, M., Pham, L., Erickson, D., &amp; </w:t>
      </w:r>
      <w:proofErr w:type="spellStart"/>
      <w:r w:rsidRPr="00992AEC">
        <w:rPr>
          <w:rFonts w:cstheme="minorHAnsi"/>
        </w:rPr>
        <w:t>Wagenaar</w:t>
      </w:r>
      <w:proofErr w:type="spellEnd"/>
      <w:r w:rsidRPr="00992AEC">
        <w:rPr>
          <w:rFonts w:cstheme="minorHAnsi"/>
        </w:rPr>
        <w:t>, A. (2008). Alcohol</w:t>
      </w:r>
      <w:r w:rsidR="00953176" w:rsidRPr="00992AEC">
        <w:rPr>
          <w:rFonts w:cstheme="minorHAnsi"/>
        </w:rPr>
        <w:t xml:space="preserve"> </w:t>
      </w:r>
      <w:r w:rsidRPr="00992AEC">
        <w:rPr>
          <w:rFonts w:cstheme="minorHAnsi"/>
        </w:rPr>
        <w:t xml:space="preserve">and Malt Liquor Availability and Promotion and Homicide in Inner Cities. </w:t>
      </w:r>
      <w:r w:rsidRPr="00992AEC">
        <w:rPr>
          <w:rFonts w:cstheme="minorHAnsi"/>
          <w:i/>
          <w:iCs/>
        </w:rPr>
        <w:t>Substance Use &amp; Misuse</w:t>
      </w:r>
      <w:r w:rsidRPr="00992AEC">
        <w:rPr>
          <w:rFonts w:cstheme="minorHAnsi"/>
        </w:rPr>
        <w:t>,</w:t>
      </w:r>
      <w:r w:rsidR="00953176" w:rsidRPr="00992AEC">
        <w:rPr>
          <w:rFonts w:cstheme="minorHAnsi"/>
        </w:rPr>
        <w:t xml:space="preserve"> </w:t>
      </w:r>
      <w:r w:rsidRPr="00992AEC">
        <w:rPr>
          <w:rFonts w:cstheme="minorHAnsi"/>
          <w:i/>
          <w:iCs/>
        </w:rPr>
        <w:t>43</w:t>
      </w:r>
      <w:r w:rsidRPr="00992AEC">
        <w:rPr>
          <w:rFonts w:cstheme="minorHAnsi"/>
        </w:rPr>
        <w:t>(2), 159-177.</w:t>
      </w:r>
    </w:p>
    <w:p w14:paraId="370B7950" w14:textId="77777777" w:rsidR="00953176" w:rsidRPr="00992AEC" w:rsidRDefault="00221EA8" w:rsidP="00992AEC">
      <w:pPr>
        <w:pStyle w:val="NoSpacing"/>
        <w:ind w:left="720" w:hanging="720"/>
        <w:rPr>
          <w:rFonts w:cstheme="minorHAnsi"/>
        </w:rPr>
      </w:pPr>
      <w:r w:rsidRPr="00992AEC">
        <w:rPr>
          <w:rFonts w:cstheme="minorHAnsi"/>
        </w:rPr>
        <w:t xml:space="preserve">Livingston, M. (2008). Alcohol outlet density and assault: A spatial analysis. </w:t>
      </w:r>
      <w:r w:rsidRPr="00992AEC">
        <w:rPr>
          <w:rFonts w:cstheme="minorHAnsi"/>
          <w:i/>
          <w:iCs/>
        </w:rPr>
        <w:t>Addiction</w:t>
      </w:r>
      <w:r w:rsidRPr="00992AEC">
        <w:rPr>
          <w:rFonts w:cstheme="minorHAnsi"/>
        </w:rPr>
        <w:t xml:space="preserve">, </w:t>
      </w:r>
      <w:r w:rsidRPr="00992AEC">
        <w:rPr>
          <w:rFonts w:cstheme="minorHAnsi"/>
          <w:i/>
          <w:iCs/>
        </w:rPr>
        <w:t>103</w:t>
      </w:r>
      <w:r w:rsidRPr="00992AEC">
        <w:rPr>
          <w:rFonts w:cstheme="minorHAnsi"/>
        </w:rPr>
        <w:t>, 619-628.</w:t>
      </w:r>
      <w:r w:rsidR="00953176" w:rsidRPr="00992AEC">
        <w:rPr>
          <w:rFonts w:cstheme="minorHAnsi"/>
        </w:rPr>
        <w:t xml:space="preserve"> </w:t>
      </w:r>
    </w:p>
    <w:p w14:paraId="7207824E" w14:textId="77777777" w:rsidR="00992AEC" w:rsidRDefault="00221EA8" w:rsidP="00992AEC">
      <w:pPr>
        <w:pStyle w:val="NoSpacing"/>
        <w:ind w:left="720" w:hanging="720"/>
        <w:rPr>
          <w:rFonts w:cstheme="minorHAnsi"/>
        </w:rPr>
      </w:pPr>
      <w:r w:rsidRPr="00992AEC">
        <w:rPr>
          <w:rFonts w:cstheme="minorHAnsi"/>
        </w:rPr>
        <w:t>Messner, S. F. (1983). Regional and racial effects on the urban homicide rate: The subculture of violence</w:t>
      </w:r>
      <w:r w:rsidR="00992AEC">
        <w:rPr>
          <w:rFonts w:cstheme="minorHAnsi"/>
        </w:rPr>
        <w:t xml:space="preserve"> </w:t>
      </w:r>
      <w:r w:rsidRPr="00992AEC">
        <w:rPr>
          <w:rFonts w:cstheme="minorHAnsi"/>
        </w:rPr>
        <w:t xml:space="preserve">revisited. </w:t>
      </w:r>
      <w:r w:rsidRPr="00992AEC">
        <w:rPr>
          <w:rFonts w:cstheme="minorHAnsi"/>
          <w:i/>
          <w:iCs/>
        </w:rPr>
        <w:t>American Journal of Sociology</w:t>
      </w:r>
      <w:r w:rsidRPr="00992AEC">
        <w:rPr>
          <w:rFonts w:cstheme="minorHAnsi"/>
        </w:rPr>
        <w:t xml:space="preserve">, </w:t>
      </w:r>
      <w:r w:rsidRPr="00992AEC">
        <w:rPr>
          <w:rFonts w:cstheme="minorHAnsi"/>
          <w:i/>
          <w:iCs/>
        </w:rPr>
        <w:t>88</w:t>
      </w:r>
      <w:r w:rsidRPr="00992AEC">
        <w:rPr>
          <w:rFonts w:cstheme="minorHAnsi"/>
        </w:rPr>
        <w:t>, 997-1007.</w:t>
      </w:r>
      <w:r w:rsidR="00992AEC">
        <w:rPr>
          <w:rFonts w:cstheme="minorHAnsi"/>
        </w:rPr>
        <w:t xml:space="preserve"> </w:t>
      </w:r>
    </w:p>
    <w:p w14:paraId="0017D49A" w14:textId="6D7DD8FC" w:rsidR="00221EA8" w:rsidRPr="00992AEC" w:rsidRDefault="00221EA8" w:rsidP="00992AEC">
      <w:pPr>
        <w:pStyle w:val="NoSpacing"/>
        <w:ind w:left="720" w:hanging="720"/>
        <w:rPr>
          <w:rFonts w:cstheme="minorHAnsi"/>
        </w:rPr>
      </w:pPr>
      <w:r w:rsidRPr="00992AEC">
        <w:rPr>
          <w:rFonts w:cstheme="minorHAnsi"/>
        </w:rPr>
        <w:t xml:space="preserve">Miller, P., </w:t>
      </w:r>
      <w:proofErr w:type="spellStart"/>
      <w:r w:rsidRPr="00992AEC">
        <w:rPr>
          <w:rFonts w:cstheme="minorHAnsi"/>
        </w:rPr>
        <w:t>Zinkiewicz</w:t>
      </w:r>
      <w:proofErr w:type="spellEnd"/>
      <w:r w:rsidRPr="00992AEC">
        <w:rPr>
          <w:rFonts w:cstheme="minorHAnsi"/>
        </w:rPr>
        <w:t xml:space="preserve">, L., Hayley, A., </w:t>
      </w:r>
      <w:proofErr w:type="spellStart"/>
      <w:r w:rsidRPr="00992AEC">
        <w:rPr>
          <w:rFonts w:cstheme="minorHAnsi"/>
        </w:rPr>
        <w:t>Sonderlund</w:t>
      </w:r>
      <w:proofErr w:type="spellEnd"/>
      <w:r w:rsidRPr="00992AEC">
        <w:rPr>
          <w:rFonts w:cstheme="minorHAnsi"/>
        </w:rPr>
        <w:t xml:space="preserve">, A., </w:t>
      </w:r>
      <w:proofErr w:type="spellStart"/>
      <w:r w:rsidRPr="00992AEC">
        <w:rPr>
          <w:rFonts w:cstheme="minorHAnsi"/>
        </w:rPr>
        <w:t>Litherland</w:t>
      </w:r>
      <w:proofErr w:type="spellEnd"/>
      <w:r w:rsidRPr="00992AEC">
        <w:rPr>
          <w:rFonts w:cstheme="minorHAnsi"/>
        </w:rPr>
        <w:t xml:space="preserve">, S., </w:t>
      </w:r>
      <w:proofErr w:type="spellStart"/>
      <w:r w:rsidRPr="00992AEC">
        <w:rPr>
          <w:rFonts w:cstheme="minorHAnsi"/>
        </w:rPr>
        <w:t>Medew</w:t>
      </w:r>
      <w:proofErr w:type="spellEnd"/>
      <w:r w:rsidRPr="00992AEC">
        <w:rPr>
          <w:rFonts w:cstheme="minorHAnsi"/>
        </w:rPr>
        <w:t>-Ewen, T., . . . Graham, K.</w:t>
      </w:r>
      <w:r w:rsidR="00992AEC">
        <w:rPr>
          <w:rFonts w:cstheme="minorHAnsi"/>
        </w:rPr>
        <w:t xml:space="preserve"> </w:t>
      </w:r>
      <w:r w:rsidRPr="00992AEC">
        <w:rPr>
          <w:rFonts w:cstheme="minorHAnsi"/>
        </w:rPr>
        <w:t>(2016). Barroom aggression among Australian men: Associations with heavy episodic drinking, conformity</w:t>
      </w:r>
      <w:r w:rsidR="00992AEC">
        <w:rPr>
          <w:rFonts w:cstheme="minorHAnsi"/>
        </w:rPr>
        <w:t xml:space="preserve"> </w:t>
      </w:r>
      <w:r w:rsidRPr="00992AEC">
        <w:rPr>
          <w:rFonts w:cstheme="minorHAnsi"/>
        </w:rPr>
        <w:t xml:space="preserve">to masculine norms, and personal and perceived peer approval of barroom aggression. </w:t>
      </w:r>
      <w:r w:rsidRPr="00992AEC">
        <w:rPr>
          <w:rFonts w:cstheme="minorHAnsi"/>
          <w:i/>
          <w:iCs/>
        </w:rPr>
        <w:t>Journal</w:t>
      </w:r>
      <w:r w:rsidR="00992AEC">
        <w:rPr>
          <w:rFonts w:cstheme="minorHAnsi"/>
          <w:i/>
          <w:iCs/>
        </w:rPr>
        <w:t xml:space="preserve"> </w:t>
      </w:r>
      <w:r w:rsidRPr="00992AEC">
        <w:rPr>
          <w:rFonts w:cstheme="minorHAnsi"/>
          <w:i/>
          <w:iCs/>
        </w:rPr>
        <w:t>of Studies on Alcohol and Drugs</w:t>
      </w:r>
      <w:r w:rsidRPr="00992AEC">
        <w:rPr>
          <w:rFonts w:cstheme="minorHAnsi"/>
        </w:rPr>
        <w:t xml:space="preserve">, </w:t>
      </w:r>
      <w:r w:rsidRPr="00992AEC">
        <w:rPr>
          <w:rFonts w:cstheme="minorHAnsi"/>
          <w:i/>
          <w:iCs/>
        </w:rPr>
        <w:t>77</w:t>
      </w:r>
      <w:r w:rsidRPr="00992AEC">
        <w:rPr>
          <w:rFonts w:cstheme="minorHAnsi"/>
        </w:rPr>
        <w:t>, 421-430.</w:t>
      </w:r>
    </w:p>
    <w:p w14:paraId="1D4FDADE" w14:textId="15AB2780" w:rsidR="00221EA8" w:rsidRPr="00992AEC" w:rsidRDefault="00221EA8" w:rsidP="00992AEC">
      <w:pPr>
        <w:pStyle w:val="NoSpacing"/>
        <w:ind w:left="720" w:hanging="720"/>
        <w:rPr>
          <w:rFonts w:cstheme="minorHAnsi"/>
        </w:rPr>
      </w:pPr>
      <w:r w:rsidRPr="00992AEC">
        <w:rPr>
          <w:rFonts w:cstheme="minorHAnsi"/>
        </w:rPr>
        <w:t xml:space="preserve">Morrison, C., Smith, K., Gruenewald, P. J., </w:t>
      </w:r>
      <w:proofErr w:type="spellStart"/>
      <w:r w:rsidRPr="00992AEC">
        <w:rPr>
          <w:rFonts w:cstheme="minorHAnsi"/>
        </w:rPr>
        <w:t>Ponicki</w:t>
      </w:r>
      <w:proofErr w:type="spellEnd"/>
      <w:r w:rsidRPr="00992AEC">
        <w:rPr>
          <w:rFonts w:cstheme="minorHAnsi"/>
        </w:rPr>
        <w:t>, W. R., Lee, J. P., &amp; Cameron, P. (2016). Relating</w:t>
      </w:r>
      <w:r w:rsidR="00992AEC">
        <w:rPr>
          <w:rFonts w:cstheme="minorHAnsi"/>
        </w:rPr>
        <w:t xml:space="preserve"> </w:t>
      </w:r>
      <w:r w:rsidRPr="00992AEC">
        <w:rPr>
          <w:rFonts w:cstheme="minorHAnsi"/>
        </w:rPr>
        <w:t xml:space="preserve">off-premises alcohol outlet density to intentional and unintentional injuries. </w:t>
      </w:r>
      <w:r w:rsidRPr="00992AEC">
        <w:rPr>
          <w:rFonts w:cstheme="minorHAnsi"/>
          <w:i/>
          <w:iCs/>
        </w:rPr>
        <w:t>Addiction</w:t>
      </w:r>
      <w:r w:rsidRPr="00992AEC">
        <w:rPr>
          <w:rFonts w:cstheme="minorHAnsi"/>
        </w:rPr>
        <w:t xml:space="preserve">, </w:t>
      </w:r>
      <w:r w:rsidRPr="00992AEC">
        <w:rPr>
          <w:rFonts w:cstheme="minorHAnsi"/>
          <w:i/>
          <w:iCs/>
        </w:rPr>
        <w:t>111</w:t>
      </w:r>
      <w:r w:rsidRPr="00992AEC">
        <w:rPr>
          <w:rFonts w:cstheme="minorHAnsi"/>
        </w:rPr>
        <w:t>(1), 56-64.</w:t>
      </w:r>
    </w:p>
    <w:p w14:paraId="6C1BF514" w14:textId="28450C77" w:rsidR="00221EA8" w:rsidRPr="00992AEC" w:rsidRDefault="00221EA8" w:rsidP="00992AEC">
      <w:pPr>
        <w:pStyle w:val="NoSpacing"/>
        <w:ind w:left="720" w:hanging="720"/>
        <w:rPr>
          <w:rFonts w:cstheme="minorHAnsi"/>
        </w:rPr>
      </w:pPr>
      <w:proofErr w:type="spellStart"/>
      <w:r w:rsidRPr="00992AEC">
        <w:rPr>
          <w:rFonts w:cstheme="minorHAnsi"/>
        </w:rPr>
        <w:t>Norstrom</w:t>
      </w:r>
      <w:proofErr w:type="spellEnd"/>
      <w:r w:rsidRPr="00992AEC">
        <w:rPr>
          <w:rFonts w:cstheme="minorHAnsi"/>
        </w:rPr>
        <w:t>, T. (1998). Effects on criminal violence of different beverage types and private and public drinking.</w:t>
      </w:r>
      <w:r w:rsidR="00992AEC">
        <w:rPr>
          <w:rFonts w:cstheme="minorHAnsi"/>
        </w:rPr>
        <w:t xml:space="preserve"> </w:t>
      </w:r>
      <w:r w:rsidRPr="00992AEC">
        <w:rPr>
          <w:rFonts w:cstheme="minorHAnsi"/>
          <w:i/>
          <w:iCs/>
        </w:rPr>
        <w:t>Addiction</w:t>
      </w:r>
      <w:r w:rsidRPr="00992AEC">
        <w:rPr>
          <w:rFonts w:cstheme="minorHAnsi"/>
        </w:rPr>
        <w:t xml:space="preserve">, </w:t>
      </w:r>
      <w:r w:rsidRPr="00992AEC">
        <w:rPr>
          <w:rFonts w:cstheme="minorHAnsi"/>
          <w:i/>
          <w:iCs/>
        </w:rPr>
        <w:t>93</w:t>
      </w:r>
      <w:r w:rsidRPr="00992AEC">
        <w:rPr>
          <w:rFonts w:cstheme="minorHAnsi"/>
        </w:rPr>
        <w:t>, 689-699.</w:t>
      </w:r>
    </w:p>
    <w:p w14:paraId="1DBFCE3F" w14:textId="6001E6DC" w:rsidR="00221EA8" w:rsidRPr="00992AEC" w:rsidRDefault="00221EA8" w:rsidP="00992AEC">
      <w:pPr>
        <w:pStyle w:val="NoSpacing"/>
        <w:ind w:left="720" w:hanging="720"/>
        <w:rPr>
          <w:rFonts w:cstheme="minorHAnsi"/>
        </w:rPr>
      </w:pPr>
      <w:r w:rsidRPr="00992AEC">
        <w:rPr>
          <w:rFonts w:cstheme="minorHAnsi"/>
        </w:rPr>
        <w:t>Osgood, D. W., &amp; Chambers, J. M. (2000). Social disorganization outside the metropolis: An analysis of</w:t>
      </w:r>
      <w:r w:rsidR="00992AEC">
        <w:rPr>
          <w:rFonts w:cstheme="minorHAnsi"/>
        </w:rPr>
        <w:t xml:space="preserve"> </w:t>
      </w:r>
      <w:r w:rsidRPr="00992AEC">
        <w:rPr>
          <w:rFonts w:cstheme="minorHAnsi"/>
        </w:rPr>
        <w:t xml:space="preserve">rural youth violence. </w:t>
      </w:r>
      <w:r w:rsidRPr="00992AEC">
        <w:rPr>
          <w:rFonts w:cstheme="minorHAnsi"/>
          <w:i/>
          <w:iCs/>
        </w:rPr>
        <w:t>Criminology</w:t>
      </w:r>
      <w:r w:rsidRPr="00992AEC">
        <w:rPr>
          <w:rFonts w:cstheme="minorHAnsi"/>
        </w:rPr>
        <w:t xml:space="preserve">, </w:t>
      </w:r>
      <w:r w:rsidRPr="00992AEC">
        <w:rPr>
          <w:rFonts w:cstheme="minorHAnsi"/>
          <w:i/>
          <w:iCs/>
        </w:rPr>
        <w:t>38</w:t>
      </w:r>
      <w:r w:rsidRPr="00992AEC">
        <w:rPr>
          <w:rFonts w:cstheme="minorHAnsi"/>
        </w:rPr>
        <w:t>, 81-116.</w:t>
      </w:r>
    </w:p>
    <w:p w14:paraId="665D1A3D" w14:textId="3A69ACBB" w:rsidR="00221EA8" w:rsidRPr="00992AEC" w:rsidRDefault="00221EA8" w:rsidP="00992AEC">
      <w:pPr>
        <w:pStyle w:val="NoSpacing"/>
        <w:ind w:left="720" w:hanging="720"/>
        <w:rPr>
          <w:rFonts w:cstheme="minorHAnsi"/>
        </w:rPr>
      </w:pPr>
      <w:r w:rsidRPr="00992AEC">
        <w:rPr>
          <w:rFonts w:cstheme="minorHAnsi"/>
        </w:rPr>
        <w:t xml:space="preserve">Parker, R. N., </w:t>
      </w:r>
      <w:proofErr w:type="spellStart"/>
      <w:r w:rsidRPr="00992AEC">
        <w:rPr>
          <w:rFonts w:cstheme="minorHAnsi"/>
        </w:rPr>
        <w:t>McCaffree</w:t>
      </w:r>
      <w:proofErr w:type="spellEnd"/>
      <w:r w:rsidRPr="00992AEC">
        <w:rPr>
          <w:rFonts w:cstheme="minorHAnsi"/>
        </w:rPr>
        <w:t>, K. J., &amp; Skiles, D. (2011). The impact of retail practices on violence: The case of</w:t>
      </w:r>
      <w:r w:rsidR="00992AEC">
        <w:rPr>
          <w:rFonts w:cstheme="minorHAnsi"/>
        </w:rPr>
        <w:t xml:space="preserve"> </w:t>
      </w:r>
      <w:r w:rsidRPr="00992AEC">
        <w:rPr>
          <w:rFonts w:cstheme="minorHAnsi"/>
        </w:rPr>
        <w:t xml:space="preserve">single serve alcohol beverage containers. </w:t>
      </w:r>
      <w:r w:rsidRPr="00992AEC">
        <w:rPr>
          <w:rFonts w:cstheme="minorHAnsi"/>
          <w:i/>
          <w:iCs/>
        </w:rPr>
        <w:t>Drug and alcohol review</w:t>
      </w:r>
      <w:r w:rsidRPr="00992AEC">
        <w:rPr>
          <w:rFonts w:cstheme="minorHAnsi"/>
        </w:rPr>
        <w:t xml:space="preserve">, </w:t>
      </w:r>
      <w:r w:rsidRPr="00992AEC">
        <w:rPr>
          <w:rFonts w:cstheme="minorHAnsi"/>
          <w:i/>
          <w:iCs/>
        </w:rPr>
        <w:t>30</w:t>
      </w:r>
      <w:r w:rsidRPr="00992AEC">
        <w:rPr>
          <w:rFonts w:cstheme="minorHAnsi"/>
        </w:rPr>
        <w:t>(5), 496-504.</w:t>
      </w:r>
    </w:p>
    <w:p w14:paraId="0E872C95" w14:textId="708064F3" w:rsidR="00221EA8" w:rsidRPr="00992AEC" w:rsidRDefault="00221EA8" w:rsidP="00992AEC">
      <w:pPr>
        <w:pStyle w:val="NoSpacing"/>
        <w:ind w:left="720" w:hanging="720"/>
        <w:rPr>
          <w:rFonts w:cstheme="minorHAnsi"/>
        </w:rPr>
      </w:pPr>
      <w:proofErr w:type="spellStart"/>
      <w:r w:rsidRPr="00992AEC">
        <w:rPr>
          <w:rFonts w:cstheme="minorHAnsi"/>
        </w:rPr>
        <w:t>Pridemore</w:t>
      </w:r>
      <w:proofErr w:type="spellEnd"/>
      <w:r w:rsidRPr="00992AEC">
        <w:rPr>
          <w:rFonts w:cstheme="minorHAnsi"/>
        </w:rPr>
        <w:t>, W. A., &amp; Grubesic, T. (2013). Alcohol outlets and community levels of interpersonal violence:</w:t>
      </w:r>
      <w:r w:rsidR="00992AEC">
        <w:rPr>
          <w:rFonts w:cstheme="minorHAnsi"/>
        </w:rPr>
        <w:t xml:space="preserve"> </w:t>
      </w:r>
      <w:r w:rsidRPr="00992AEC">
        <w:rPr>
          <w:rFonts w:cstheme="minorHAnsi"/>
        </w:rPr>
        <w:t xml:space="preserve">Spatial density, type of outlet, and seriousness of assault. </w:t>
      </w:r>
      <w:r w:rsidRPr="00992AEC">
        <w:rPr>
          <w:rFonts w:cstheme="minorHAnsi"/>
          <w:i/>
          <w:iCs/>
        </w:rPr>
        <w:t>Journal of Research in Crime &amp; Delinquency</w:t>
      </w:r>
      <w:r w:rsidRPr="00992AEC">
        <w:rPr>
          <w:rFonts w:cstheme="minorHAnsi"/>
        </w:rPr>
        <w:t>,</w:t>
      </w:r>
      <w:r w:rsidR="00992AEC">
        <w:rPr>
          <w:rFonts w:cstheme="minorHAnsi"/>
        </w:rPr>
        <w:t xml:space="preserve"> </w:t>
      </w:r>
      <w:r w:rsidRPr="00992AEC">
        <w:rPr>
          <w:rFonts w:cstheme="minorHAnsi"/>
          <w:i/>
          <w:iCs/>
        </w:rPr>
        <w:t>50</w:t>
      </w:r>
      <w:r w:rsidRPr="00992AEC">
        <w:rPr>
          <w:rFonts w:cstheme="minorHAnsi"/>
        </w:rPr>
        <w:t>, 132-159.</w:t>
      </w:r>
    </w:p>
    <w:p w14:paraId="2018E119" w14:textId="77A4FEB1" w:rsidR="00A205A3" w:rsidRPr="00992AEC" w:rsidRDefault="00221EA8" w:rsidP="00992AEC">
      <w:pPr>
        <w:pStyle w:val="NoSpacing"/>
        <w:ind w:left="720" w:hanging="720"/>
        <w:rPr>
          <w:rFonts w:cstheme="minorHAnsi"/>
        </w:rPr>
      </w:pPr>
      <w:r w:rsidRPr="00992AEC">
        <w:rPr>
          <w:rFonts w:cstheme="minorHAnsi"/>
        </w:rPr>
        <w:t>Quick, M., Law, J., &amp; Luan, H. (2017). The influence of on-premise and off-premise alcohol outlets on</w:t>
      </w:r>
      <w:r w:rsidR="00992AEC">
        <w:rPr>
          <w:rFonts w:cstheme="minorHAnsi"/>
        </w:rPr>
        <w:t xml:space="preserve"> </w:t>
      </w:r>
      <w:r w:rsidRPr="00992AEC">
        <w:rPr>
          <w:rFonts w:cstheme="minorHAnsi"/>
        </w:rPr>
        <w:t>reported violent crime in the region of Waterloo, Ontario: applying Bayesian spatial modeling to</w:t>
      </w:r>
      <w:r w:rsidR="00992AEC">
        <w:rPr>
          <w:rFonts w:cstheme="minorHAnsi"/>
        </w:rPr>
        <w:t xml:space="preserve"> </w:t>
      </w:r>
      <w:r w:rsidRPr="00992AEC">
        <w:rPr>
          <w:rFonts w:cstheme="minorHAnsi"/>
        </w:rPr>
        <w:t xml:space="preserve">inform land use planning and policy. </w:t>
      </w:r>
      <w:r w:rsidRPr="00992AEC">
        <w:rPr>
          <w:rFonts w:cstheme="minorHAnsi"/>
          <w:i/>
          <w:iCs/>
        </w:rPr>
        <w:t>Applied Spatial Analysis and Policy</w:t>
      </w:r>
      <w:r w:rsidRPr="00992AEC">
        <w:rPr>
          <w:rFonts w:cstheme="minorHAnsi"/>
        </w:rPr>
        <w:t xml:space="preserve">, </w:t>
      </w:r>
      <w:r w:rsidRPr="00992AEC">
        <w:rPr>
          <w:rFonts w:cstheme="minorHAnsi"/>
          <w:i/>
          <w:iCs/>
        </w:rPr>
        <w:t>10</w:t>
      </w:r>
      <w:r w:rsidRPr="00992AEC">
        <w:rPr>
          <w:rFonts w:cstheme="minorHAnsi"/>
        </w:rPr>
        <w:t>(3), 435-454.</w:t>
      </w:r>
    </w:p>
    <w:p w14:paraId="68A5EBC4" w14:textId="3A915E0F" w:rsidR="00221EA8" w:rsidRPr="00992AEC" w:rsidRDefault="00221EA8" w:rsidP="00992AEC">
      <w:pPr>
        <w:pStyle w:val="NoSpacing"/>
        <w:ind w:left="720" w:hanging="720"/>
        <w:rPr>
          <w:rFonts w:cstheme="minorHAnsi"/>
        </w:rPr>
      </w:pPr>
      <w:r w:rsidRPr="00992AEC">
        <w:rPr>
          <w:rFonts w:cstheme="minorHAnsi"/>
        </w:rPr>
        <w:t>Sampson, R. J., &amp; Groves, W. B. (1989). Community structure and crime: Testing social disorganization</w:t>
      </w:r>
      <w:r w:rsidR="00992AEC">
        <w:rPr>
          <w:rFonts w:cstheme="minorHAnsi"/>
        </w:rPr>
        <w:t xml:space="preserve"> </w:t>
      </w:r>
      <w:r w:rsidRPr="00992AEC">
        <w:rPr>
          <w:rFonts w:cstheme="minorHAnsi"/>
        </w:rPr>
        <w:t xml:space="preserve">theory. </w:t>
      </w:r>
      <w:r w:rsidRPr="00992AEC">
        <w:rPr>
          <w:rFonts w:cstheme="minorHAnsi"/>
          <w:i/>
          <w:iCs/>
        </w:rPr>
        <w:t>The American Journal of Sociology</w:t>
      </w:r>
      <w:r w:rsidRPr="00992AEC">
        <w:rPr>
          <w:rFonts w:cstheme="minorHAnsi"/>
        </w:rPr>
        <w:t xml:space="preserve">, </w:t>
      </w:r>
      <w:r w:rsidRPr="00992AEC">
        <w:rPr>
          <w:rFonts w:cstheme="minorHAnsi"/>
          <w:i/>
          <w:iCs/>
        </w:rPr>
        <w:t>94</w:t>
      </w:r>
      <w:r w:rsidRPr="00992AEC">
        <w:rPr>
          <w:rFonts w:cstheme="minorHAnsi"/>
        </w:rPr>
        <w:t>, 774-802.</w:t>
      </w:r>
      <w:r w:rsidR="00992AEC">
        <w:rPr>
          <w:rFonts w:cstheme="minorHAnsi"/>
        </w:rPr>
        <w:t xml:space="preserve"> </w:t>
      </w:r>
    </w:p>
    <w:p w14:paraId="3BC65B46" w14:textId="77777777" w:rsidR="00992AEC" w:rsidRDefault="00221EA8" w:rsidP="00992AEC">
      <w:pPr>
        <w:pStyle w:val="NoSpacing"/>
        <w:ind w:left="720" w:hanging="720"/>
        <w:rPr>
          <w:rFonts w:cstheme="minorHAnsi"/>
        </w:rPr>
      </w:pPr>
      <w:r w:rsidRPr="00992AEC">
        <w:rPr>
          <w:rFonts w:cstheme="minorHAnsi"/>
        </w:rPr>
        <w:lastRenderedPageBreak/>
        <w:t xml:space="preserve">Sampson, R. J., </w:t>
      </w:r>
      <w:proofErr w:type="spellStart"/>
      <w:r w:rsidRPr="00992AEC">
        <w:rPr>
          <w:rFonts w:cstheme="minorHAnsi"/>
        </w:rPr>
        <w:t>Morenoff</w:t>
      </w:r>
      <w:proofErr w:type="spellEnd"/>
      <w:r w:rsidRPr="00992AEC">
        <w:rPr>
          <w:rFonts w:cstheme="minorHAnsi"/>
        </w:rPr>
        <w:t>, J. D., &amp; Gannon-Rowley, T. (2002). “Neighborhood effects”: Social processes</w:t>
      </w:r>
      <w:r w:rsidR="00992AEC">
        <w:rPr>
          <w:rFonts w:cstheme="minorHAnsi"/>
        </w:rPr>
        <w:t xml:space="preserve"> </w:t>
      </w:r>
      <w:r w:rsidRPr="00992AEC">
        <w:rPr>
          <w:rFonts w:cstheme="minorHAnsi"/>
        </w:rPr>
        <w:t xml:space="preserve">and new directions in research. </w:t>
      </w:r>
      <w:r w:rsidRPr="00992AEC">
        <w:rPr>
          <w:rFonts w:cstheme="minorHAnsi"/>
          <w:i/>
          <w:iCs/>
        </w:rPr>
        <w:t>Annual Review of Sociology</w:t>
      </w:r>
      <w:r w:rsidRPr="00992AEC">
        <w:rPr>
          <w:rFonts w:cstheme="minorHAnsi"/>
        </w:rPr>
        <w:t xml:space="preserve">, </w:t>
      </w:r>
      <w:r w:rsidRPr="00992AEC">
        <w:rPr>
          <w:rFonts w:cstheme="minorHAnsi"/>
          <w:i/>
          <w:iCs/>
        </w:rPr>
        <w:t>28</w:t>
      </w:r>
      <w:r w:rsidRPr="00992AEC">
        <w:rPr>
          <w:rFonts w:cstheme="minorHAnsi"/>
        </w:rPr>
        <w:t>, 443-478.</w:t>
      </w:r>
      <w:r w:rsidR="00992AEC">
        <w:rPr>
          <w:rFonts w:cstheme="minorHAnsi"/>
        </w:rPr>
        <w:t xml:space="preserve"> </w:t>
      </w:r>
    </w:p>
    <w:p w14:paraId="49D8F055" w14:textId="5150951A" w:rsidR="00221EA8" w:rsidRPr="00992AEC" w:rsidRDefault="00221EA8" w:rsidP="00992AEC">
      <w:pPr>
        <w:pStyle w:val="NoSpacing"/>
        <w:ind w:left="720" w:hanging="720"/>
        <w:rPr>
          <w:rFonts w:cstheme="minorHAnsi"/>
        </w:rPr>
      </w:pPr>
      <w:r w:rsidRPr="00992AEC">
        <w:rPr>
          <w:rFonts w:cstheme="minorHAnsi"/>
        </w:rPr>
        <w:t xml:space="preserve">Sampson, R. J., </w:t>
      </w:r>
      <w:proofErr w:type="spellStart"/>
      <w:r w:rsidRPr="00992AEC">
        <w:rPr>
          <w:rFonts w:cstheme="minorHAnsi"/>
        </w:rPr>
        <w:t>Raudenbush</w:t>
      </w:r>
      <w:proofErr w:type="spellEnd"/>
      <w:r w:rsidRPr="00992AEC">
        <w:rPr>
          <w:rFonts w:cstheme="minorHAnsi"/>
        </w:rPr>
        <w:t>, S., &amp; Earls, F. (1997). Neighborhoods and violent crime: A Multilevel study</w:t>
      </w:r>
      <w:r w:rsidR="00992AEC">
        <w:rPr>
          <w:rFonts w:cstheme="minorHAnsi"/>
        </w:rPr>
        <w:t xml:space="preserve"> </w:t>
      </w:r>
      <w:r w:rsidRPr="00992AEC">
        <w:rPr>
          <w:rFonts w:cstheme="minorHAnsi"/>
        </w:rPr>
        <w:t xml:space="preserve">of collective efficacy. </w:t>
      </w:r>
      <w:r w:rsidRPr="00992AEC">
        <w:rPr>
          <w:rFonts w:cstheme="minorHAnsi"/>
          <w:i/>
          <w:iCs/>
        </w:rPr>
        <w:t>Science</w:t>
      </w:r>
      <w:r w:rsidRPr="00992AEC">
        <w:rPr>
          <w:rFonts w:cstheme="minorHAnsi"/>
        </w:rPr>
        <w:t xml:space="preserve">, </w:t>
      </w:r>
      <w:r w:rsidRPr="00992AEC">
        <w:rPr>
          <w:rFonts w:cstheme="minorHAnsi"/>
          <w:i/>
          <w:iCs/>
        </w:rPr>
        <w:t>277</w:t>
      </w:r>
      <w:r w:rsidRPr="00992AEC">
        <w:rPr>
          <w:rFonts w:cstheme="minorHAnsi"/>
        </w:rPr>
        <w:t>, 918-924.</w:t>
      </w:r>
    </w:p>
    <w:p w14:paraId="4623E7F9" w14:textId="77777777" w:rsidR="00992AEC" w:rsidRDefault="00221EA8" w:rsidP="00992AEC">
      <w:pPr>
        <w:pStyle w:val="NoSpacing"/>
        <w:ind w:left="720" w:hanging="720"/>
        <w:rPr>
          <w:rFonts w:cstheme="minorHAnsi"/>
        </w:rPr>
      </w:pPr>
      <w:r w:rsidRPr="00992AEC">
        <w:rPr>
          <w:rFonts w:cstheme="minorHAnsi"/>
        </w:rPr>
        <w:t xml:space="preserve">Shaw, C. R., &amp; McKay, H. D. (1942). </w:t>
      </w:r>
      <w:r w:rsidRPr="00992AEC">
        <w:rPr>
          <w:rFonts w:cstheme="minorHAnsi"/>
          <w:i/>
          <w:iCs/>
        </w:rPr>
        <w:t>Juvenile delinquency and urban areas</w:t>
      </w:r>
      <w:r w:rsidRPr="00992AEC">
        <w:rPr>
          <w:rFonts w:cstheme="minorHAnsi"/>
        </w:rPr>
        <w:t>. Chicago, IL: The University</w:t>
      </w:r>
      <w:r w:rsidR="00992AEC">
        <w:rPr>
          <w:rFonts w:cstheme="minorHAnsi"/>
        </w:rPr>
        <w:t xml:space="preserve"> </w:t>
      </w:r>
      <w:r w:rsidRPr="00992AEC">
        <w:rPr>
          <w:rFonts w:cstheme="minorHAnsi"/>
        </w:rPr>
        <w:t>of Chicago Press.</w:t>
      </w:r>
      <w:r w:rsidR="00992AEC">
        <w:rPr>
          <w:rFonts w:cstheme="minorHAnsi"/>
        </w:rPr>
        <w:t xml:space="preserve"> </w:t>
      </w:r>
    </w:p>
    <w:p w14:paraId="56FDFE64" w14:textId="5685D301" w:rsidR="00221EA8" w:rsidRPr="00992AEC" w:rsidRDefault="00221EA8" w:rsidP="00992AEC">
      <w:pPr>
        <w:pStyle w:val="NoSpacing"/>
        <w:ind w:left="720" w:hanging="720"/>
        <w:rPr>
          <w:rFonts w:cstheme="minorHAnsi"/>
        </w:rPr>
      </w:pPr>
      <w:r w:rsidRPr="00992AEC">
        <w:rPr>
          <w:rFonts w:cstheme="minorHAnsi"/>
        </w:rPr>
        <w:t>Snowden, A. J. (2016). Neighborhood characteristics contribute to urban alcohol availability: Accounting</w:t>
      </w:r>
      <w:r w:rsidR="00992AEC">
        <w:rPr>
          <w:rFonts w:cstheme="minorHAnsi"/>
        </w:rPr>
        <w:t xml:space="preserve"> </w:t>
      </w:r>
      <w:r w:rsidRPr="00992AEC">
        <w:rPr>
          <w:rFonts w:cstheme="minorHAnsi"/>
        </w:rPr>
        <w:t xml:space="preserve">for race/ethnicity and social disorganization. </w:t>
      </w:r>
      <w:r w:rsidRPr="00992AEC">
        <w:rPr>
          <w:rFonts w:cstheme="minorHAnsi"/>
          <w:i/>
          <w:iCs/>
        </w:rPr>
        <w:t>Journal of Ethnicity in Substance Abuse</w:t>
      </w:r>
      <w:r w:rsidRPr="00992AEC">
        <w:rPr>
          <w:rFonts w:cstheme="minorHAnsi"/>
        </w:rPr>
        <w:t xml:space="preserve">, </w:t>
      </w:r>
      <w:r w:rsidRPr="00992AEC">
        <w:rPr>
          <w:rFonts w:cstheme="minorHAnsi"/>
          <w:i/>
          <w:iCs/>
        </w:rPr>
        <w:t>15</w:t>
      </w:r>
      <w:r w:rsidRPr="00992AEC">
        <w:rPr>
          <w:rFonts w:cstheme="minorHAnsi"/>
        </w:rPr>
        <w:t>, 346-366.</w:t>
      </w:r>
    </w:p>
    <w:p w14:paraId="7BCDEA19" w14:textId="77777777" w:rsidR="00992AEC" w:rsidRDefault="00221EA8" w:rsidP="00992AEC">
      <w:pPr>
        <w:pStyle w:val="NoSpacing"/>
        <w:ind w:left="720" w:hanging="720"/>
        <w:rPr>
          <w:rFonts w:cstheme="minorHAnsi"/>
        </w:rPr>
      </w:pPr>
      <w:r w:rsidRPr="00992AEC">
        <w:rPr>
          <w:rFonts w:cstheme="minorHAnsi"/>
        </w:rPr>
        <w:t xml:space="preserve">Snowden, A. J. (2018). Alcohol availability and violence: A closer look at space and time. </w:t>
      </w:r>
      <w:r w:rsidRPr="00992AEC">
        <w:rPr>
          <w:rFonts w:cstheme="minorHAnsi"/>
          <w:i/>
          <w:iCs/>
        </w:rPr>
        <w:t>International</w:t>
      </w:r>
      <w:r w:rsidR="00992AEC">
        <w:rPr>
          <w:rFonts w:cstheme="minorHAnsi"/>
          <w:i/>
          <w:iCs/>
        </w:rPr>
        <w:t xml:space="preserve"> </w:t>
      </w:r>
      <w:r w:rsidRPr="00992AEC">
        <w:rPr>
          <w:rFonts w:cstheme="minorHAnsi"/>
          <w:i/>
          <w:iCs/>
        </w:rPr>
        <w:t>Regional Science Review</w:t>
      </w:r>
      <w:r w:rsidRPr="00992AEC">
        <w:rPr>
          <w:rFonts w:cstheme="minorHAnsi"/>
        </w:rPr>
        <w:t xml:space="preserve">, </w:t>
      </w:r>
      <w:r w:rsidRPr="00992AEC">
        <w:rPr>
          <w:rFonts w:cstheme="minorHAnsi"/>
          <w:i/>
          <w:iCs/>
        </w:rPr>
        <w:t>41</w:t>
      </w:r>
      <w:r w:rsidRPr="00992AEC">
        <w:rPr>
          <w:rFonts w:cstheme="minorHAnsi"/>
        </w:rPr>
        <w:t>, 657-678.</w:t>
      </w:r>
      <w:r w:rsidR="00992AEC">
        <w:rPr>
          <w:rFonts w:cstheme="minorHAnsi"/>
        </w:rPr>
        <w:t xml:space="preserve"> </w:t>
      </w:r>
    </w:p>
    <w:p w14:paraId="793576F9" w14:textId="63A72AC2" w:rsidR="00221EA8" w:rsidRPr="00992AEC" w:rsidRDefault="00221EA8" w:rsidP="00992AEC">
      <w:pPr>
        <w:pStyle w:val="NoSpacing"/>
        <w:ind w:left="720" w:hanging="720"/>
        <w:rPr>
          <w:rFonts w:cstheme="minorHAnsi"/>
        </w:rPr>
      </w:pPr>
      <w:r w:rsidRPr="00992AEC">
        <w:rPr>
          <w:rFonts w:cstheme="minorHAnsi"/>
        </w:rPr>
        <w:t xml:space="preserve">Snowden, A. J., </w:t>
      </w:r>
      <w:proofErr w:type="spellStart"/>
      <w:r w:rsidRPr="00992AEC">
        <w:rPr>
          <w:rFonts w:cstheme="minorHAnsi"/>
        </w:rPr>
        <w:t>Hockin</w:t>
      </w:r>
      <w:proofErr w:type="spellEnd"/>
      <w:r w:rsidRPr="00992AEC">
        <w:rPr>
          <w:rFonts w:cstheme="minorHAnsi"/>
        </w:rPr>
        <w:t xml:space="preserve">, S. M., &amp; </w:t>
      </w:r>
      <w:proofErr w:type="spellStart"/>
      <w:r w:rsidRPr="00992AEC">
        <w:rPr>
          <w:rFonts w:cstheme="minorHAnsi"/>
        </w:rPr>
        <w:t>Pridemore</w:t>
      </w:r>
      <w:proofErr w:type="spellEnd"/>
      <w:r w:rsidRPr="00992AEC">
        <w:rPr>
          <w:rFonts w:cstheme="minorHAnsi"/>
        </w:rPr>
        <w:t>, W. A. (2017). The neighborhood-level association between</w:t>
      </w:r>
      <w:r w:rsidR="00992AEC">
        <w:rPr>
          <w:rFonts w:cstheme="minorHAnsi"/>
        </w:rPr>
        <w:t xml:space="preserve"> </w:t>
      </w:r>
      <w:r w:rsidRPr="00992AEC">
        <w:rPr>
          <w:rFonts w:cstheme="minorHAnsi"/>
        </w:rPr>
        <w:t xml:space="preserve">alcohol outlet density and female criminal victimization rates. </w:t>
      </w:r>
      <w:r w:rsidRPr="00992AEC">
        <w:rPr>
          <w:rFonts w:cstheme="minorHAnsi"/>
          <w:i/>
          <w:iCs/>
        </w:rPr>
        <w:t>Journal of Interpersonal Violence</w:t>
      </w:r>
      <w:r w:rsidRPr="00992AEC">
        <w:rPr>
          <w:rFonts w:cstheme="minorHAnsi"/>
        </w:rPr>
        <w:t>.</w:t>
      </w:r>
      <w:r w:rsidR="00992AEC">
        <w:rPr>
          <w:rFonts w:cstheme="minorHAnsi"/>
        </w:rPr>
        <w:t xml:space="preserve"> </w:t>
      </w:r>
      <w:r w:rsidRPr="00992AEC">
        <w:rPr>
          <w:rFonts w:cstheme="minorHAnsi"/>
        </w:rPr>
        <w:t xml:space="preserve">Advance online publication. </w:t>
      </w:r>
      <w:proofErr w:type="spellStart"/>
      <w:r w:rsidRPr="00992AEC">
        <w:rPr>
          <w:rFonts w:cstheme="minorHAnsi"/>
        </w:rPr>
        <w:t>doi</w:t>
      </w:r>
      <w:proofErr w:type="spellEnd"/>
      <w:r w:rsidRPr="00992AEC">
        <w:rPr>
          <w:rFonts w:cstheme="minorHAnsi"/>
        </w:rPr>
        <w:t>: 10.1177/0886260517719080</w:t>
      </w:r>
    </w:p>
    <w:p w14:paraId="213F7CE6" w14:textId="790D3C65" w:rsidR="00221EA8" w:rsidRPr="00992AEC" w:rsidRDefault="00221EA8" w:rsidP="00992AEC">
      <w:pPr>
        <w:pStyle w:val="NoSpacing"/>
        <w:ind w:left="720" w:hanging="720"/>
        <w:rPr>
          <w:rFonts w:cstheme="minorHAnsi"/>
        </w:rPr>
      </w:pPr>
      <w:r w:rsidRPr="00992AEC">
        <w:rPr>
          <w:rFonts w:cstheme="minorHAnsi"/>
        </w:rPr>
        <w:t xml:space="preserve">Snowden, A. J., &amp; </w:t>
      </w:r>
      <w:proofErr w:type="spellStart"/>
      <w:r w:rsidRPr="00992AEC">
        <w:rPr>
          <w:rFonts w:cstheme="minorHAnsi"/>
        </w:rPr>
        <w:t>Pridemore</w:t>
      </w:r>
      <w:proofErr w:type="spellEnd"/>
      <w:r w:rsidRPr="00992AEC">
        <w:rPr>
          <w:rFonts w:cstheme="minorHAnsi"/>
        </w:rPr>
        <w:t xml:space="preserve">, W. A. (2014). Off-premise alcohol outlet characteristics and violence. </w:t>
      </w:r>
      <w:r w:rsidRPr="00992AEC">
        <w:rPr>
          <w:rFonts w:cstheme="minorHAnsi"/>
          <w:i/>
          <w:iCs/>
        </w:rPr>
        <w:t>The</w:t>
      </w:r>
      <w:r w:rsidR="00992AEC">
        <w:rPr>
          <w:rFonts w:cstheme="minorHAnsi"/>
          <w:i/>
          <w:iCs/>
        </w:rPr>
        <w:t xml:space="preserve"> </w:t>
      </w:r>
      <w:r w:rsidRPr="00992AEC">
        <w:rPr>
          <w:rFonts w:cstheme="minorHAnsi"/>
          <w:i/>
          <w:iCs/>
        </w:rPr>
        <w:t>American journal of drug and alcohol abuse</w:t>
      </w:r>
      <w:r w:rsidRPr="00992AEC">
        <w:rPr>
          <w:rFonts w:cstheme="minorHAnsi"/>
        </w:rPr>
        <w:t xml:space="preserve">, </w:t>
      </w:r>
      <w:r w:rsidRPr="00992AEC">
        <w:rPr>
          <w:rFonts w:cstheme="minorHAnsi"/>
          <w:i/>
          <w:iCs/>
        </w:rPr>
        <w:t>40</w:t>
      </w:r>
      <w:r w:rsidRPr="00992AEC">
        <w:rPr>
          <w:rFonts w:cstheme="minorHAnsi"/>
        </w:rPr>
        <w:t>(4), 327-335.</w:t>
      </w:r>
    </w:p>
    <w:p w14:paraId="28E115E5" w14:textId="77777777" w:rsidR="00992AEC" w:rsidRDefault="00221EA8" w:rsidP="00992AEC">
      <w:pPr>
        <w:pStyle w:val="NoSpacing"/>
        <w:ind w:left="720" w:hanging="720"/>
        <w:rPr>
          <w:rFonts w:cstheme="minorHAnsi"/>
        </w:rPr>
      </w:pPr>
      <w:r w:rsidRPr="00992AEC">
        <w:rPr>
          <w:rFonts w:cstheme="minorHAnsi"/>
        </w:rPr>
        <w:t xml:space="preserve">Snowden, A. J., &amp; </w:t>
      </w:r>
      <w:proofErr w:type="spellStart"/>
      <w:r w:rsidRPr="00992AEC">
        <w:rPr>
          <w:rFonts w:cstheme="minorHAnsi"/>
        </w:rPr>
        <w:t>Pridemore</w:t>
      </w:r>
      <w:proofErr w:type="spellEnd"/>
      <w:r w:rsidRPr="00992AEC">
        <w:rPr>
          <w:rFonts w:cstheme="minorHAnsi"/>
        </w:rPr>
        <w:t>, W. A. (2017). Reducing alcohol-related violence. In N. Giesbrecht &amp; L.</w:t>
      </w:r>
      <w:r w:rsidR="00992AEC">
        <w:rPr>
          <w:rFonts w:cstheme="minorHAnsi"/>
        </w:rPr>
        <w:t xml:space="preserve"> </w:t>
      </w:r>
      <w:proofErr w:type="spellStart"/>
      <w:r w:rsidRPr="00992AEC">
        <w:rPr>
          <w:rFonts w:cstheme="minorHAnsi"/>
        </w:rPr>
        <w:t>Bosma</w:t>
      </w:r>
      <w:proofErr w:type="spellEnd"/>
      <w:r w:rsidRPr="00992AEC">
        <w:rPr>
          <w:rFonts w:cstheme="minorHAnsi"/>
        </w:rPr>
        <w:t xml:space="preserve"> (Eds.), </w:t>
      </w:r>
      <w:r w:rsidRPr="00992AEC">
        <w:rPr>
          <w:rFonts w:cstheme="minorHAnsi"/>
          <w:i/>
          <w:iCs/>
        </w:rPr>
        <w:t xml:space="preserve">Preventing alcohol-related problems: Evidence and community-based initiatives </w:t>
      </w:r>
      <w:r w:rsidRPr="00992AEC">
        <w:rPr>
          <w:rFonts w:cstheme="minorHAnsi"/>
        </w:rPr>
        <w:t>(pp.</w:t>
      </w:r>
      <w:r w:rsidR="00992AEC">
        <w:rPr>
          <w:rFonts w:cstheme="minorHAnsi"/>
        </w:rPr>
        <w:t xml:space="preserve"> </w:t>
      </w:r>
      <w:r w:rsidRPr="00992AEC">
        <w:rPr>
          <w:rFonts w:cstheme="minorHAnsi"/>
        </w:rPr>
        <w:t>101-117). Washington, DC: American Public Health Association Press.</w:t>
      </w:r>
      <w:r w:rsidR="00992AEC">
        <w:rPr>
          <w:rFonts w:cstheme="minorHAnsi"/>
        </w:rPr>
        <w:t xml:space="preserve"> </w:t>
      </w:r>
    </w:p>
    <w:p w14:paraId="0A9EAA8F" w14:textId="2FF8B202" w:rsidR="00221EA8" w:rsidRPr="00992AEC" w:rsidRDefault="00221EA8" w:rsidP="00992AEC">
      <w:pPr>
        <w:pStyle w:val="NoSpacing"/>
        <w:ind w:left="720" w:hanging="720"/>
        <w:rPr>
          <w:rFonts w:cstheme="minorHAnsi"/>
        </w:rPr>
      </w:pPr>
      <w:r w:rsidRPr="00992AEC">
        <w:rPr>
          <w:rFonts w:cstheme="minorHAnsi"/>
        </w:rPr>
        <w:t>Sparks, C. S. (2011). Violent crime in San Antonio, Texas: An application of spatial epidemiological methods.</w:t>
      </w:r>
      <w:r w:rsidR="00992AEC">
        <w:rPr>
          <w:rFonts w:cstheme="minorHAnsi"/>
        </w:rPr>
        <w:t xml:space="preserve"> </w:t>
      </w:r>
      <w:r w:rsidRPr="00992AEC">
        <w:rPr>
          <w:rFonts w:cstheme="minorHAnsi"/>
          <w:i/>
          <w:iCs/>
        </w:rPr>
        <w:t xml:space="preserve">Spatial and </w:t>
      </w:r>
      <w:proofErr w:type="spellStart"/>
      <w:r w:rsidRPr="00992AEC">
        <w:rPr>
          <w:rFonts w:cstheme="minorHAnsi"/>
          <w:i/>
          <w:iCs/>
        </w:rPr>
        <w:t>Spatio</w:t>
      </w:r>
      <w:proofErr w:type="spellEnd"/>
      <w:r w:rsidRPr="00992AEC">
        <w:rPr>
          <w:rFonts w:cstheme="minorHAnsi"/>
          <w:i/>
          <w:iCs/>
        </w:rPr>
        <w:t>-temporal Epidemiology</w:t>
      </w:r>
      <w:r w:rsidRPr="00992AEC">
        <w:rPr>
          <w:rFonts w:cstheme="minorHAnsi"/>
        </w:rPr>
        <w:t xml:space="preserve">, </w:t>
      </w:r>
      <w:r w:rsidRPr="00992AEC">
        <w:rPr>
          <w:rFonts w:cstheme="minorHAnsi"/>
          <w:i/>
          <w:iCs/>
        </w:rPr>
        <w:t>2</w:t>
      </w:r>
      <w:r w:rsidRPr="00992AEC">
        <w:rPr>
          <w:rFonts w:cstheme="minorHAnsi"/>
        </w:rPr>
        <w:t>, 301-309.</w:t>
      </w:r>
    </w:p>
    <w:p w14:paraId="5116DE9C" w14:textId="4D9EC529" w:rsidR="00221EA8" w:rsidRPr="00992AEC" w:rsidRDefault="00221EA8" w:rsidP="00992AEC">
      <w:pPr>
        <w:pStyle w:val="NoSpacing"/>
        <w:ind w:left="720" w:hanging="720"/>
        <w:rPr>
          <w:rFonts w:cstheme="minorHAnsi"/>
        </w:rPr>
      </w:pPr>
      <w:r w:rsidRPr="00992AEC">
        <w:rPr>
          <w:rFonts w:cstheme="minorHAnsi"/>
        </w:rPr>
        <w:t xml:space="preserve">Strobl, C., Malley, J., &amp; </w:t>
      </w:r>
      <w:proofErr w:type="spellStart"/>
      <w:r w:rsidRPr="00992AEC">
        <w:rPr>
          <w:rFonts w:cstheme="minorHAnsi"/>
        </w:rPr>
        <w:t>Tutz</w:t>
      </w:r>
      <w:proofErr w:type="spellEnd"/>
      <w:r w:rsidRPr="00992AEC">
        <w:rPr>
          <w:rFonts w:cstheme="minorHAnsi"/>
        </w:rPr>
        <w:t>, G. (2009). An introduction to recursive partitioning: Rationale, application,</w:t>
      </w:r>
      <w:r w:rsidR="00992AEC">
        <w:rPr>
          <w:rFonts w:cstheme="minorHAnsi"/>
        </w:rPr>
        <w:t xml:space="preserve"> </w:t>
      </w:r>
      <w:r w:rsidRPr="00992AEC">
        <w:rPr>
          <w:rFonts w:cstheme="minorHAnsi"/>
        </w:rPr>
        <w:t xml:space="preserve">and characteristics of classification and regression trees, bagging, and random forests. </w:t>
      </w:r>
      <w:r w:rsidRPr="00992AEC">
        <w:rPr>
          <w:rFonts w:cstheme="minorHAnsi"/>
          <w:i/>
          <w:iCs/>
        </w:rPr>
        <w:t>Psychological</w:t>
      </w:r>
      <w:r w:rsidR="00992AEC">
        <w:rPr>
          <w:rFonts w:cstheme="minorHAnsi"/>
          <w:i/>
          <w:iCs/>
        </w:rPr>
        <w:t xml:space="preserve"> </w:t>
      </w:r>
      <w:r w:rsidRPr="00992AEC">
        <w:rPr>
          <w:rFonts w:cstheme="minorHAnsi"/>
          <w:i/>
          <w:iCs/>
        </w:rPr>
        <w:t>Methods</w:t>
      </w:r>
      <w:r w:rsidRPr="00992AEC">
        <w:rPr>
          <w:rFonts w:cstheme="minorHAnsi"/>
        </w:rPr>
        <w:t xml:space="preserve">, </w:t>
      </w:r>
      <w:r w:rsidRPr="00992AEC">
        <w:rPr>
          <w:rFonts w:cstheme="minorHAnsi"/>
          <w:i/>
          <w:iCs/>
        </w:rPr>
        <w:t>14</w:t>
      </w:r>
      <w:r w:rsidRPr="00992AEC">
        <w:rPr>
          <w:rFonts w:cstheme="minorHAnsi"/>
        </w:rPr>
        <w:t>, 323-348.</w:t>
      </w:r>
    </w:p>
    <w:p w14:paraId="089FDDAB" w14:textId="19894D81" w:rsidR="00221EA8" w:rsidRPr="00992AEC" w:rsidRDefault="00221EA8" w:rsidP="00992AEC">
      <w:pPr>
        <w:pStyle w:val="NoSpacing"/>
        <w:ind w:left="720" w:hanging="720"/>
        <w:rPr>
          <w:rFonts w:cstheme="minorHAnsi"/>
        </w:rPr>
      </w:pPr>
      <w:r w:rsidRPr="00992AEC">
        <w:rPr>
          <w:rFonts w:cstheme="minorHAnsi"/>
        </w:rPr>
        <w:t xml:space="preserve">U.S. Census Bureau. (2016). </w:t>
      </w:r>
      <w:r w:rsidRPr="00992AEC">
        <w:rPr>
          <w:rFonts w:cstheme="minorHAnsi"/>
          <w:i/>
          <w:iCs/>
        </w:rPr>
        <w:t>State and County QuickFacts</w:t>
      </w:r>
      <w:r w:rsidRPr="00992AEC">
        <w:rPr>
          <w:rFonts w:cstheme="minorHAnsi"/>
        </w:rPr>
        <w:t xml:space="preserve">. Retrieved November 2, 2018 from </w:t>
      </w:r>
      <w:hyperlink r:id="rId83" w:history="1">
        <w:r w:rsidR="00A750B8" w:rsidRPr="00595A62">
          <w:rPr>
            <w:rStyle w:val="Hyperlink"/>
            <w:rFonts w:cstheme="minorHAnsi"/>
          </w:rPr>
          <w:t>http://quickfacts</w:t>
        </w:r>
      </w:hyperlink>
      <w:r w:rsidRPr="00992AEC">
        <w:rPr>
          <w:rFonts w:cstheme="minorHAnsi"/>
        </w:rPr>
        <w:t>.</w:t>
      </w:r>
      <w:r w:rsidR="00A750B8">
        <w:rPr>
          <w:rFonts w:cstheme="minorHAnsi"/>
        </w:rPr>
        <w:t xml:space="preserve"> </w:t>
      </w:r>
      <w:r w:rsidRPr="00992AEC">
        <w:rPr>
          <w:rFonts w:cstheme="minorHAnsi"/>
        </w:rPr>
        <w:t>census.gov/</w:t>
      </w:r>
      <w:proofErr w:type="spellStart"/>
      <w:r w:rsidRPr="00992AEC">
        <w:rPr>
          <w:rFonts w:cstheme="minorHAnsi"/>
        </w:rPr>
        <w:t>qfd</w:t>
      </w:r>
      <w:proofErr w:type="spellEnd"/>
      <w:r w:rsidRPr="00992AEC">
        <w:rPr>
          <w:rFonts w:cstheme="minorHAnsi"/>
        </w:rPr>
        <w:t>/states/55/5553000.html</w:t>
      </w:r>
    </w:p>
    <w:p w14:paraId="045BD262" w14:textId="77777777" w:rsidR="00A750B8" w:rsidRDefault="00221EA8" w:rsidP="00992AEC">
      <w:pPr>
        <w:pStyle w:val="NoSpacing"/>
        <w:ind w:left="720" w:hanging="720"/>
        <w:rPr>
          <w:rFonts w:cstheme="minorHAnsi"/>
        </w:rPr>
      </w:pPr>
      <w:r w:rsidRPr="00992AEC">
        <w:rPr>
          <w:rFonts w:cstheme="minorHAnsi"/>
        </w:rPr>
        <w:t xml:space="preserve">U.S. Department of Justice, Federal Bureau of Investigation. (2016). </w:t>
      </w:r>
      <w:r w:rsidRPr="00992AEC">
        <w:rPr>
          <w:rFonts w:cstheme="minorHAnsi"/>
          <w:i/>
          <w:iCs/>
        </w:rPr>
        <w:t>Crime in the United States, 2016.</w:t>
      </w:r>
      <w:r w:rsidR="00A750B8">
        <w:rPr>
          <w:rFonts w:cstheme="minorHAnsi"/>
          <w:i/>
          <w:iCs/>
        </w:rPr>
        <w:t xml:space="preserve"> </w:t>
      </w:r>
      <w:r w:rsidRPr="00992AEC">
        <w:rPr>
          <w:rFonts w:cstheme="minorHAnsi"/>
        </w:rPr>
        <w:t xml:space="preserve">Retrieved November 2, 2018, from </w:t>
      </w:r>
      <w:hyperlink r:id="rId84" w:history="1">
        <w:r w:rsidR="00A750B8" w:rsidRPr="00595A62">
          <w:rPr>
            <w:rStyle w:val="Hyperlink"/>
            <w:rFonts w:cstheme="minorHAnsi"/>
          </w:rPr>
          <w:t>https://ucr.fbi.gov/crime-in-the-u.s/2016/crime-in-the-u.s.-2016</w:t>
        </w:r>
      </w:hyperlink>
      <w:r w:rsidR="00A750B8">
        <w:rPr>
          <w:rFonts w:cstheme="minorHAnsi"/>
        </w:rPr>
        <w:t xml:space="preserve"> </w:t>
      </w:r>
    </w:p>
    <w:p w14:paraId="3485F7DD" w14:textId="5AA2F9B1" w:rsidR="00221EA8" w:rsidRPr="00992AEC" w:rsidRDefault="00221EA8" w:rsidP="00992AEC">
      <w:pPr>
        <w:pStyle w:val="NoSpacing"/>
        <w:ind w:left="720" w:hanging="720"/>
        <w:rPr>
          <w:rFonts w:cstheme="minorHAnsi"/>
        </w:rPr>
      </w:pPr>
      <w:r w:rsidRPr="00992AEC">
        <w:rPr>
          <w:rFonts w:cstheme="minorHAnsi"/>
        </w:rPr>
        <w:t>Wilson, I. M., Graham, K., &amp; Taft, A. (2014). Alcohol interventions, alcohol policy and intimate partner</w:t>
      </w:r>
      <w:r w:rsidR="00A750B8">
        <w:rPr>
          <w:rFonts w:cstheme="minorHAnsi"/>
        </w:rPr>
        <w:t xml:space="preserve"> </w:t>
      </w:r>
      <w:r w:rsidRPr="00992AEC">
        <w:rPr>
          <w:rFonts w:cstheme="minorHAnsi"/>
        </w:rPr>
        <w:t xml:space="preserve">violence: A systematic review. </w:t>
      </w:r>
      <w:r w:rsidRPr="00992AEC">
        <w:rPr>
          <w:rFonts w:cstheme="minorHAnsi"/>
          <w:i/>
          <w:iCs/>
        </w:rPr>
        <w:t>BMC Public Health</w:t>
      </w:r>
      <w:r w:rsidRPr="00992AEC">
        <w:rPr>
          <w:rFonts w:cstheme="minorHAnsi"/>
        </w:rPr>
        <w:t xml:space="preserve">, </w:t>
      </w:r>
      <w:r w:rsidRPr="00992AEC">
        <w:rPr>
          <w:rFonts w:cstheme="minorHAnsi"/>
          <w:i/>
          <w:iCs/>
        </w:rPr>
        <w:t>14</w:t>
      </w:r>
      <w:r w:rsidRPr="00992AEC">
        <w:rPr>
          <w:rFonts w:cstheme="minorHAnsi"/>
        </w:rPr>
        <w:t>(1), Article 881.</w:t>
      </w:r>
    </w:p>
    <w:p w14:paraId="2B3E2B3E" w14:textId="1226D14E" w:rsidR="00721876" w:rsidRPr="00992AEC" w:rsidRDefault="00221EA8" w:rsidP="00992AEC">
      <w:pPr>
        <w:pStyle w:val="NoSpacing"/>
        <w:ind w:left="720" w:hanging="720"/>
        <w:rPr>
          <w:rFonts w:cstheme="minorHAnsi"/>
        </w:rPr>
      </w:pPr>
      <w:r w:rsidRPr="00992AEC">
        <w:rPr>
          <w:rFonts w:cstheme="minorHAnsi"/>
        </w:rPr>
        <w:t xml:space="preserve">World Health Organization. (2015). </w:t>
      </w:r>
      <w:r w:rsidRPr="00992AEC">
        <w:rPr>
          <w:rFonts w:cstheme="minorHAnsi"/>
          <w:i/>
          <w:iCs/>
        </w:rPr>
        <w:t>Global health observatory data repository</w:t>
      </w:r>
      <w:r w:rsidRPr="00992AEC">
        <w:rPr>
          <w:rFonts w:cstheme="minorHAnsi"/>
        </w:rPr>
        <w:t xml:space="preserve">. Retrieved from </w:t>
      </w:r>
      <w:hyperlink r:id="rId85" w:history="1">
        <w:r w:rsidR="00A750B8" w:rsidRPr="00595A62">
          <w:rPr>
            <w:rStyle w:val="Hyperlink"/>
            <w:rFonts w:cstheme="minorHAnsi"/>
          </w:rPr>
          <w:t>http://www</w:t>
        </w:r>
      </w:hyperlink>
      <w:r w:rsidRPr="00992AEC">
        <w:rPr>
          <w:rFonts w:cstheme="minorHAnsi"/>
        </w:rPr>
        <w:t>.</w:t>
      </w:r>
      <w:r w:rsidR="00A750B8">
        <w:rPr>
          <w:rFonts w:cstheme="minorHAnsi"/>
        </w:rPr>
        <w:t xml:space="preserve"> </w:t>
      </w:r>
      <w:r w:rsidRPr="00992AEC">
        <w:rPr>
          <w:rFonts w:cstheme="minorHAnsi"/>
        </w:rPr>
        <w:t>who.int/</w:t>
      </w:r>
      <w:proofErr w:type="spellStart"/>
      <w:r w:rsidRPr="00992AEC">
        <w:rPr>
          <w:rFonts w:cstheme="minorHAnsi"/>
        </w:rPr>
        <w:t>gho</w:t>
      </w:r>
      <w:proofErr w:type="spellEnd"/>
      <w:r w:rsidRPr="00992AEC">
        <w:rPr>
          <w:rFonts w:cstheme="minorHAnsi"/>
        </w:rPr>
        <w:t>/</w:t>
      </w:r>
      <w:proofErr w:type="spellStart"/>
      <w:r w:rsidRPr="00992AEC">
        <w:rPr>
          <w:rFonts w:cstheme="minorHAnsi"/>
        </w:rPr>
        <w:t>en</w:t>
      </w:r>
      <w:proofErr w:type="spellEnd"/>
      <w:r w:rsidRPr="00992AEC">
        <w:rPr>
          <w:rFonts w:cstheme="minorHAnsi"/>
        </w:rPr>
        <w:t>/</w:t>
      </w:r>
    </w:p>
    <w:sectPr w:rsidR="00721876" w:rsidRPr="00992AEC" w:rsidSect="00D161E0">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illSansStd-Bold">
    <w:altName w:val="Calibri"/>
    <w:panose1 w:val="00000000000000000000"/>
    <w:charset w:val="00"/>
    <w:family w:val="swiss"/>
    <w:notTrueType/>
    <w:pitch w:val="default"/>
    <w:sig w:usb0="00000003" w:usb1="00000000" w:usb2="00000000" w:usb3="00000000" w:csb0="00000001" w:csb1="00000000"/>
  </w:font>
  <w:font w:name="GillSansStd-Italic">
    <w:altName w:val="Calibri"/>
    <w:panose1 w:val="00000000000000000000"/>
    <w:charset w:val="00"/>
    <w:family w:val="swiss"/>
    <w:notTrueType/>
    <w:pitch w:val="default"/>
    <w:sig w:usb0="00000003" w:usb1="00000000" w:usb2="00000000" w:usb3="00000000" w:csb0="00000001" w:csb1="00000000"/>
  </w:font>
  <w:font w:name="MathematicalPiLTStd">
    <w:altName w:val="Calibri"/>
    <w:panose1 w:val="00000000000000000000"/>
    <w:charset w:val="A1"/>
    <w:family w:val="auto"/>
    <w:notTrueType/>
    <w:pitch w:val="default"/>
    <w:sig w:usb0="00000081" w:usb1="00000000" w:usb2="00000000" w:usb3="00000000" w:csb0="00000008"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43D01"/>
    <w:multiLevelType w:val="multilevel"/>
    <w:tmpl w:val="FCC49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55173A"/>
    <w:multiLevelType w:val="multilevel"/>
    <w:tmpl w:val="99E6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6F2883"/>
    <w:multiLevelType w:val="multilevel"/>
    <w:tmpl w:val="BECC4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6B4BA5"/>
    <w:multiLevelType w:val="multilevel"/>
    <w:tmpl w:val="6750C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6A6659"/>
    <w:multiLevelType w:val="multilevel"/>
    <w:tmpl w:val="4E36C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113704"/>
    <w:multiLevelType w:val="hybridMultilevel"/>
    <w:tmpl w:val="9D8A4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B60D43"/>
    <w:multiLevelType w:val="multilevel"/>
    <w:tmpl w:val="EBEE8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5F76CB4"/>
    <w:multiLevelType w:val="multilevel"/>
    <w:tmpl w:val="FA94B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B677A6"/>
    <w:multiLevelType w:val="hybridMultilevel"/>
    <w:tmpl w:val="B6705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BC15EB"/>
    <w:multiLevelType w:val="hybridMultilevel"/>
    <w:tmpl w:val="3C7A66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04370E"/>
    <w:multiLevelType w:val="multilevel"/>
    <w:tmpl w:val="8AECF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690798"/>
    <w:multiLevelType w:val="multilevel"/>
    <w:tmpl w:val="227E8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A566633"/>
    <w:multiLevelType w:val="multilevel"/>
    <w:tmpl w:val="E3861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C6F61DF"/>
    <w:multiLevelType w:val="multilevel"/>
    <w:tmpl w:val="D55CE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E720ABC"/>
    <w:multiLevelType w:val="multilevel"/>
    <w:tmpl w:val="0C0EE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0BE252F"/>
    <w:multiLevelType w:val="multilevel"/>
    <w:tmpl w:val="86DC2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3AE4C40"/>
    <w:multiLevelType w:val="hybridMultilevel"/>
    <w:tmpl w:val="776CF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F52473"/>
    <w:multiLevelType w:val="multilevel"/>
    <w:tmpl w:val="25D27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A5624DE"/>
    <w:multiLevelType w:val="multilevel"/>
    <w:tmpl w:val="243ED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A9B7A36"/>
    <w:multiLevelType w:val="multilevel"/>
    <w:tmpl w:val="93164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E3C45AC"/>
    <w:multiLevelType w:val="multilevel"/>
    <w:tmpl w:val="369A2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FBA0BDB"/>
    <w:multiLevelType w:val="multilevel"/>
    <w:tmpl w:val="12D60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32C37DA"/>
    <w:multiLevelType w:val="multilevel"/>
    <w:tmpl w:val="A4888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4B940E9"/>
    <w:multiLevelType w:val="multilevel"/>
    <w:tmpl w:val="C5EC8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A2A0078"/>
    <w:multiLevelType w:val="multilevel"/>
    <w:tmpl w:val="35289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BC620B4"/>
    <w:multiLevelType w:val="multilevel"/>
    <w:tmpl w:val="A5BA5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9AA1302"/>
    <w:multiLevelType w:val="multilevel"/>
    <w:tmpl w:val="A8F8D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C061F5B"/>
    <w:multiLevelType w:val="multilevel"/>
    <w:tmpl w:val="4BC2D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EAE7D1B"/>
    <w:multiLevelType w:val="hybridMultilevel"/>
    <w:tmpl w:val="A2B6A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C91989"/>
    <w:multiLevelType w:val="multilevel"/>
    <w:tmpl w:val="A3CC6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3E64B7F"/>
    <w:multiLevelType w:val="multilevel"/>
    <w:tmpl w:val="2B687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589175B"/>
    <w:multiLevelType w:val="multilevel"/>
    <w:tmpl w:val="60C01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6C856D5"/>
    <w:multiLevelType w:val="multilevel"/>
    <w:tmpl w:val="C220D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92A3D82"/>
    <w:multiLevelType w:val="multilevel"/>
    <w:tmpl w:val="DF30E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F0E3D9B"/>
    <w:multiLevelType w:val="multilevel"/>
    <w:tmpl w:val="55EE1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3F839CE"/>
    <w:multiLevelType w:val="multilevel"/>
    <w:tmpl w:val="C0E49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E7362BD"/>
    <w:multiLevelType w:val="multilevel"/>
    <w:tmpl w:val="642C7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29"/>
  </w:num>
  <w:num w:numId="3">
    <w:abstractNumId w:val="12"/>
  </w:num>
  <w:num w:numId="4">
    <w:abstractNumId w:val="13"/>
  </w:num>
  <w:num w:numId="5">
    <w:abstractNumId w:val="15"/>
  </w:num>
  <w:num w:numId="6">
    <w:abstractNumId w:val="7"/>
  </w:num>
  <w:num w:numId="7">
    <w:abstractNumId w:val="19"/>
  </w:num>
  <w:num w:numId="8">
    <w:abstractNumId w:val="25"/>
  </w:num>
  <w:num w:numId="9">
    <w:abstractNumId w:val="21"/>
  </w:num>
  <w:num w:numId="10">
    <w:abstractNumId w:val="22"/>
  </w:num>
  <w:num w:numId="11">
    <w:abstractNumId w:val="6"/>
  </w:num>
  <w:num w:numId="12">
    <w:abstractNumId w:val="24"/>
  </w:num>
  <w:num w:numId="13">
    <w:abstractNumId w:val="18"/>
  </w:num>
  <w:num w:numId="14">
    <w:abstractNumId w:val="23"/>
  </w:num>
  <w:num w:numId="15">
    <w:abstractNumId w:val="30"/>
  </w:num>
  <w:num w:numId="16">
    <w:abstractNumId w:val="14"/>
  </w:num>
  <w:num w:numId="17">
    <w:abstractNumId w:val="33"/>
  </w:num>
  <w:num w:numId="18">
    <w:abstractNumId w:val="20"/>
  </w:num>
  <w:num w:numId="19">
    <w:abstractNumId w:val="1"/>
  </w:num>
  <w:num w:numId="20">
    <w:abstractNumId w:val="27"/>
  </w:num>
  <w:num w:numId="21">
    <w:abstractNumId w:val="26"/>
  </w:num>
  <w:num w:numId="22">
    <w:abstractNumId w:val="3"/>
  </w:num>
  <w:num w:numId="23">
    <w:abstractNumId w:val="32"/>
  </w:num>
  <w:num w:numId="24">
    <w:abstractNumId w:val="11"/>
  </w:num>
  <w:num w:numId="25">
    <w:abstractNumId w:val="36"/>
  </w:num>
  <w:num w:numId="26">
    <w:abstractNumId w:val="2"/>
  </w:num>
  <w:num w:numId="27">
    <w:abstractNumId w:val="35"/>
  </w:num>
  <w:num w:numId="28">
    <w:abstractNumId w:val="34"/>
  </w:num>
  <w:num w:numId="29">
    <w:abstractNumId w:val="31"/>
  </w:num>
  <w:num w:numId="30">
    <w:abstractNumId w:val="17"/>
  </w:num>
  <w:num w:numId="31">
    <w:abstractNumId w:val="8"/>
  </w:num>
  <w:num w:numId="32">
    <w:abstractNumId w:val="5"/>
  </w:num>
  <w:num w:numId="33">
    <w:abstractNumId w:val="28"/>
  </w:num>
  <w:num w:numId="34">
    <w:abstractNumId w:val="4"/>
  </w:num>
  <w:num w:numId="35">
    <w:abstractNumId w:val="16"/>
  </w:num>
  <w:num w:numId="36">
    <w:abstractNumId w:val="0"/>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ocumentProtection w:edit="readOnly" w:formatting="1" w:enforcement="1" w:cryptProviderType="rsaAES" w:cryptAlgorithmClass="hash" w:cryptAlgorithmType="typeAny" w:cryptAlgorithmSid="14" w:cryptSpinCount="100000" w:hash="SBzCuac/c1EQcgFoLqPg15pwo/Lp6Ifvqc4B9iFHNxSb+eHs5fGu10I38q+vDvL3lDt+REbmXcj9syMQaNI7gA==" w:salt="AtgVmsV6iQfMhGB6SSwqf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279B"/>
    <w:rsid w:val="00014622"/>
    <w:rsid w:val="00014F38"/>
    <w:rsid w:val="000233C1"/>
    <w:rsid w:val="00024048"/>
    <w:rsid w:val="0002511F"/>
    <w:rsid w:val="00026BC7"/>
    <w:rsid w:val="0003036D"/>
    <w:rsid w:val="00030E72"/>
    <w:rsid w:val="00032629"/>
    <w:rsid w:val="00034205"/>
    <w:rsid w:val="00035704"/>
    <w:rsid w:val="000404D8"/>
    <w:rsid w:val="00041C27"/>
    <w:rsid w:val="000437DE"/>
    <w:rsid w:val="00043C8E"/>
    <w:rsid w:val="00044EBA"/>
    <w:rsid w:val="0004637E"/>
    <w:rsid w:val="0004717F"/>
    <w:rsid w:val="000525F1"/>
    <w:rsid w:val="0005413F"/>
    <w:rsid w:val="000551CC"/>
    <w:rsid w:val="000575B3"/>
    <w:rsid w:val="00057D20"/>
    <w:rsid w:val="000606A8"/>
    <w:rsid w:val="00061102"/>
    <w:rsid w:val="0006495D"/>
    <w:rsid w:val="00064ECB"/>
    <w:rsid w:val="00071537"/>
    <w:rsid w:val="000720FB"/>
    <w:rsid w:val="00072612"/>
    <w:rsid w:val="000735D6"/>
    <w:rsid w:val="00074B64"/>
    <w:rsid w:val="000769FD"/>
    <w:rsid w:val="00077000"/>
    <w:rsid w:val="00082637"/>
    <w:rsid w:val="00083102"/>
    <w:rsid w:val="000846CC"/>
    <w:rsid w:val="00085797"/>
    <w:rsid w:val="00086C2C"/>
    <w:rsid w:val="00087367"/>
    <w:rsid w:val="0009064A"/>
    <w:rsid w:val="00091815"/>
    <w:rsid w:val="00092DFF"/>
    <w:rsid w:val="00093C1A"/>
    <w:rsid w:val="0009796F"/>
    <w:rsid w:val="00097FBC"/>
    <w:rsid w:val="000A0975"/>
    <w:rsid w:val="000A266C"/>
    <w:rsid w:val="000A7622"/>
    <w:rsid w:val="000A7F84"/>
    <w:rsid w:val="000B1049"/>
    <w:rsid w:val="000B1D71"/>
    <w:rsid w:val="000B1EEB"/>
    <w:rsid w:val="000B22D3"/>
    <w:rsid w:val="000B2768"/>
    <w:rsid w:val="000B3464"/>
    <w:rsid w:val="000B389E"/>
    <w:rsid w:val="000B41D8"/>
    <w:rsid w:val="000B501D"/>
    <w:rsid w:val="000B5170"/>
    <w:rsid w:val="000B7BF6"/>
    <w:rsid w:val="000C0E5B"/>
    <w:rsid w:val="000C43B7"/>
    <w:rsid w:val="000C6BA7"/>
    <w:rsid w:val="000D3573"/>
    <w:rsid w:val="000D4F0B"/>
    <w:rsid w:val="000D6BF2"/>
    <w:rsid w:val="000E0FC0"/>
    <w:rsid w:val="000E2076"/>
    <w:rsid w:val="000E69EF"/>
    <w:rsid w:val="000E75C5"/>
    <w:rsid w:val="000E7C46"/>
    <w:rsid w:val="000F0449"/>
    <w:rsid w:val="000F08DA"/>
    <w:rsid w:val="000F10DA"/>
    <w:rsid w:val="000F14F0"/>
    <w:rsid w:val="000F1D5E"/>
    <w:rsid w:val="000F33D0"/>
    <w:rsid w:val="00101A98"/>
    <w:rsid w:val="00104CE6"/>
    <w:rsid w:val="00107EA8"/>
    <w:rsid w:val="00114114"/>
    <w:rsid w:val="00115F37"/>
    <w:rsid w:val="00116656"/>
    <w:rsid w:val="0011747E"/>
    <w:rsid w:val="00117F89"/>
    <w:rsid w:val="00120313"/>
    <w:rsid w:val="001233A5"/>
    <w:rsid w:val="00123BC0"/>
    <w:rsid w:val="00123E80"/>
    <w:rsid w:val="00125F2C"/>
    <w:rsid w:val="00131A15"/>
    <w:rsid w:val="00131C28"/>
    <w:rsid w:val="0013311A"/>
    <w:rsid w:val="001346A0"/>
    <w:rsid w:val="00134CF7"/>
    <w:rsid w:val="001361DA"/>
    <w:rsid w:val="0014182B"/>
    <w:rsid w:val="0014490B"/>
    <w:rsid w:val="00146A5C"/>
    <w:rsid w:val="00146E50"/>
    <w:rsid w:val="00150DB6"/>
    <w:rsid w:val="001530C5"/>
    <w:rsid w:val="0015343A"/>
    <w:rsid w:val="00154D34"/>
    <w:rsid w:val="0015757F"/>
    <w:rsid w:val="00160E1F"/>
    <w:rsid w:val="00161372"/>
    <w:rsid w:val="0016166A"/>
    <w:rsid w:val="001622DB"/>
    <w:rsid w:val="00163F71"/>
    <w:rsid w:val="00164B07"/>
    <w:rsid w:val="00173556"/>
    <w:rsid w:val="00177615"/>
    <w:rsid w:val="00180DC4"/>
    <w:rsid w:val="0018114F"/>
    <w:rsid w:val="00181ADF"/>
    <w:rsid w:val="0018352B"/>
    <w:rsid w:val="00183A38"/>
    <w:rsid w:val="001854EA"/>
    <w:rsid w:val="00185C26"/>
    <w:rsid w:val="00192D40"/>
    <w:rsid w:val="00194D61"/>
    <w:rsid w:val="00195D7A"/>
    <w:rsid w:val="00196C7C"/>
    <w:rsid w:val="00197E1D"/>
    <w:rsid w:val="001A17CB"/>
    <w:rsid w:val="001A1C71"/>
    <w:rsid w:val="001A1DF4"/>
    <w:rsid w:val="001A34C4"/>
    <w:rsid w:val="001B12F5"/>
    <w:rsid w:val="001B1F29"/>
    <w:rsid w:val="001B3B99"/>
    <w:rsid w:val="001B6E76"/>
    <w:rsid w:val="001B7C24"/>
    <w:rsid w:val="001C3A3F"/>
    <w:rsid w:val="001D1087"/>
    <w:rsid w:val="001D11AB"/>
    <w:rsid w:val="001D16F2"/>
    <w:rsid w:val="001D2448"/>
    <w:rsid w:val="001D3ADE"/>
    <w:rsid w:val="001D3F5D"/>
    <w:rsid w:val="001D528A"/>
    <w:rsid w:val="001D58D3"/>
    <w:rsid w:val="001D5F1F"/>
    <w:rsid w:val="001D69BB"/>
    <w:rsid w:val="001D776C"/>
    <w:rsid w:val="001D7BCC"/>
    <w:rsid w:val="001E18FE"/>
    <w:rsid w:val="001F2E45"/>
    <w:rsid w:val="001F5361"/>
    <w:rsid w:val="001F60E6"/>
    <w:rsid w:val="001F70BC"/>
    <w:rsid w:val="001F7FBE"/>
    <w:rsid w:val="002016B1"/>
    <w:rsid w:val="00201875"/>
    <w:rsid w:val="00201AFD"/>
    <w:rsid w:val="00201FDC"/>
    <w:rsid w:val="002022D8"/>
    <w:rsid w:val="00206486"/>
    <w:rsid w:val="00206CC8"/>
    <w:rsid w:val="00211422"/>
    <w:rsid w:val="00212109"/>
    <w:rsid w:val="00221EA8"/>
    <w:rsid w:val="0022403A"/>
    <w:rsid w:val="00224240"/>
    <w:rsid w:val="00226FA2"/>
    <w:rsid w:val="0024134B"/>
    <w:rsid w:val="00242F22"/>
    <w:rsid w:val="00251132"/>
    <w:rsid w:val="002535DF"/>
    <w:rsid w:val="002558EB"/>
    <w:rsid w:val="00255B43"/>
    <w:rsid w:val="00255BDC"/>
    <w:rsid w:val="00255BEA"/>
    <w:rsid w:val="00261403"/>
    <w:rsid w:val="00261F59"/>
    <w:rsid w:val="002705A4"/>
    <w:rsid w:val="00272AF4"/>
    <w:rsid w:val="00276C06"/>
    <w:rsid w:val="00280198"/>
    <w:rsid w:val="00282094"/>
    <w:rsid w:val="002843BC"/>
    <w:rsid w:val="00284A84"/>
    <w:rsid w:val="00290107"/>
    <w:rsid w:val="0029129F"/>
    <w:rsid w:val="0029206A"/>
    <w:rsid w:val="00296B90"/>
    <w:rsid w:val="00297296"/>
    <w:rsid w:val="002A0668"/>
    <w:rsid w:val="002A6B8B"/>
    <w:rsid w:val="002A6F7A"/>
    <w:rsid w:val="002A7FBB"/>
    <w:rsid w:val="002B1ED8"/>
    <w:rsid w:val="002B45EC"/>
    <w:rsid w:val="002B463B"/>
    <w:rsid w:val="002B62C6"/>
    <w:rsid w:val="002C17A7"/>
    <w:rsid w:val="002C2DA5"/>
    <w:rsid w:val="002C415E"/>
    <w:rsid w:val="002C4714"/>
    <w:rsid w:val="002C6160"/>
    <w:rsid w:val="002D02F2"/>
    <w:rsid w:val="002D28EA"/>
    <w:rsid w:val="002D51BB"/>
    <w:rsid w:val="002D5BAE"/>
    <w:rsid w:val="002D5DDC"/>
    <w:rsid w:val="002D6202"/>
    <w:rsid w:val="002D6AA3"/>
    <w:rsid w:val="002E4C15"/>
    <w:rsid w:val="002E5C33"/>
    <w:rsid w:val="002E5D29"/>
    <w:rsid w:val="002F2BA2"/>
    <w:rsid w:val="002F68F9"/>
    <w:rsid w:val="00300411"/>
    <w:rsid w:val="00300C69"/>
    <w:rsid w:val="00300EE4"/>
    <w:rsid w:val="0030197F"/>
    <w:rsid w:val="0030223E"/>
    <w:rsid w:val="00303A1E"/>
    <w:rsid w:val="00303BBD"/>
    <w:rsid w:val="0030546B"/>
    <w:rsid w:val="00313440"/>
    <w:rsid w:val="00314FCD"/>
    <w:rsid w:val="00323243"/>
    <w:rsid w:val="00324290"/>
    <w:rsid w:val="003253AA"/>
    <w:rsid w:val="00331737"/>
    <w:rsid w:val="0033243D"/>
    <w:rsid w:val="0033428B"/>
    <w:rsid w:val="0033652E"/>
    <w:rsid w:val="00336791"/>
    <w:rsid w:val="00340617"/>
    <w:rsid w:val="00340B13"/>
    <w:rsid w:val="00340CDB"/>
    <w:rsid w:val="003427C6"/>
    <w:rsid w:val="00343472"/>
    <w:rsid w:val="003455AA"/>
    <w:rsid w:val="00347634"/>
    <w:rsid w:val="00351E90"/>
    <w:rsid w:val="00353AFC"/>
    <w:rsid w:val="00354B1F"/>
    <w:rsid w:val="00360206"/>
    <w:rsid w:val="003624EE"/>
    <w:rsid w:val="003632E1"/>
    <w:rsid w:val="00363CD3"/>
    <w:rsid w:val="003656A9"/>
    <w:rsid w:val="00366852"/>
    <w:rsid w:val="00366CF9"/>
    <w:rsid w:val="003706EF"/>
    <w:rsid w:val="00370BE4"/>
    <w:rsid w:val="00371D56"/>
    <w:rsid w:val="00376741"/>
    <w:rsid w:val="0037755D"/>
    <w:rsid w:val="00381F0E"/>
    <w:rsid w:val="0038492E"/>
    <w:rsid w:val="0038549B"/>
    <w:rsid w:val="0038628A"/>
    <w:rsid w:val="0038634F"/>
    <w:rsid w:val="00391C48"/>
    <w:rsid w:val="00394337"/>
    <w:rsid w:val="003A437A"/>
    <w:rsid w:val="003A503E"/>
    <w:rsid w:val="003A6039"/>
    <w:rsid w:val="003A6253"/>
    <w:rsid w:val="003A76B2"/>
    <w:rsid w:val="003A7A6B"/>
    <w:rsid w:val="003B232A"/>
    <w:rsid w:val="003B47FA"/>
    <w:rsid w:val="003B6208"/>
    <w:rsid w:val="003B7F8F"/>
    <w:rsid w:val="003C4172"/>
    <w:rsid w:val="003C437D"/>
    <w:rsid w:val="003C4456"/>
    <w:rsid w:val="003D1743"/>
    <w:rsid w:val="003D3301"/>
    <w:rsid w:val="003D3872"/>
    <w:rsid w:val="003D4641"/>
    <w:rsid w:val="003E05B7"/>
    <w:rsid w:val="003E0C0A"/>
    <w:rsid w:val="003E3055"/>
    <w:rsid w:val="003E6CFF"/>
    <w:rsid w:val="004010E3"/>
    <w:rsid w:val="00401588"/>
    <w:rsid w:val="00402FC5"/>
    <w:rsid w:val="004055B8"/>
    <w:rsid w:val="0040709D"/>
    <w:rsid w:val="00411905"/>
    <w:rsid w:val="004122F9"/>
    <w:rsid w:val="004124D3"/>
    <w:rsid w:val="004139BA"/>
    <w:rsid w:val="00421CBC"/>
    <w:rsid w:val="0042374C"/>
    <w:rsid w:val="0043008C"/>
    <w:rsid w:val="00430B91"/>
    <w:rsid w:val="004349B9"/>
    <w:rsid w:val="004374EF"/>
    <w:rsid w:val="00440F61"/>
    <w:rsid w:val="004441CB"/>
    <w:rsid w:val="00450DB8"/>
    <w:rsid w:val="00451C14"/>
    <w:rsid w:val="00453D2C"/>
    <w:rsid w:val="00454851"/>
    <w:rsid w:val="00456070"/>
    <w:rsid w:val="00456B26"/>
    <w:rsid w:val="004570E7"/>
    <w:rsid w:val="00460A1D"/>
    <w:rsid w:val="004613DF"/>
    <w:rsid w:val="00461BB2"/>
    <w:rsid w:val="00463F96"/>
    <w:rsid w:val="004660BE"/>
    <w:rsid w:val="0046696C"/>
    <w:rsid w:val="00466C95"/>
    <w:rsid w:val="00466DD7"/>
    <w:rsid w:val="00471F7D"/>
    <w:rsid w:val="00473B19"/>
    <w:rsid w:val="00474C3C"/>
    <w:rsid w:val="00474CB3"/>
    <w:rsid w:val="00474ECD"/>
    <w:rsid w:val="004757B5"/>
    <w:rsid w:val="004806AE"/>
    <w:rsid w:val="004816ED"/>
    <w:rsid w:val="0048309F"/>
    <w:rsid w:val="004834F0"/>
    <w:rsid w:val="00487185"/>
    <w:rsid w:val="004873AE"/>
    <w:rsid w:val="00487718"/>
    <w:rsid w:val="00490ABE"/>
    <w:rsid w:val="004932A8"/>
    <w:rsid w:val="00493B34"/>
    <w:rsid w:val="00497E47"/>
    <w:rsid w:val="004A0368"/>
    <w:rsid w:val="004A2715"/>
    <w:rsid w:val="004A2894"/>
    <w:rsid w:val="004A2B41"/>
    <w:rsid w:val="004A3B3E"/>
    <w:rsid w:val="004B1038"/>
    <w:rsid w:val="004B2226"/>
    <w:rsid w:val="004B6BED"/>
    <w:rsid w:val="004B77C2"/>
    <w:rsid w:val="004C0B3D"/>
    <w:rsid w:val="004C2D7B"/>
    <w:rsid w:val="004C45D2"/>
    <w:rsid w:val="004C4673"/>
    <w:rsid w:val="004C5EEF"/>
    <w:rsid w:val="004D0DD5"/>
    <w:rsid w:val="004D118A"/>
    <w:rsid w:val="004D1CB9"/>
    <w:rsid w:val="004D21C9"/>
    <w:rsid w:val="004D3F95"/>
    <w:rsid w:val="004E34F8"/>
    <w:rsid w:val="004E3C84"/>
    <w:rsid w:val="004E528B"/>
    <w:rsid w:val="004F146C"/>
    <w:rsid w:val="004F1F3C"/>
    <w:rsid w:val="0050408D"/>
    <w:rsid w:val="00504C6A"/>
    <w:rsid w:val="00510364"/>
    <w:rsid w:val="005116C9"/>
    <w:rsid w:val="00511BEE"/>
    <w:rsid w:val="005175E9"/>
    <w:rsid w:val="00520368"/>
    <w:rsid w:val="0052658A"/>
    <w:rsid w:val="005272B3"/>
    <w:rsid w:val="00533270"/>
    <w:rsid w:val="00540146"/>
    <w:rsid w:val="005404D4"/>
    <w:rsid w:val="00543C22"/>
    <w:rsid w:val="0054405B"/>
    <w:rsid w:val="0054567F"/>
    <w:rsid w:val="00546B44"/>
    <w:rsid w:val="005501FC"/>
    <w:rsid w:val="00553291"/>
    <w:rsid w:val="005546FF"/>
    <w:rsid w:val="00555711"/>
    <w:rsid w:val="00556B72"/>
    <w:rsid w:val="005605E4"/>
    <w:rsid w:val="00563D7B"/>
    <w:rsid w:val="00563E3B"/>
    <w:rsid w:val="005643C8"/>
    <w:rsid w:val="005673D1"/>
    <w:rsid w:val="00570F38"/>
    <w:rsid w:val="00573955"/>
    <w:rsid w:val="00577151"/>
    <w:rsid w:val="00580E33"/>
    <w:rsid w:val="00583225"/>
    <w:rsid w:val="0058724D"/>
    <w:rsid w:val="00596593"/>
    <w:rsid w:val="00596A35"/>
    <w:rsid w:val="005979CD"/>
    <w:rsid w:val="005A12F0"/>
    <w:rsid w:val="005A5291"/>
    <w:rsid w:val="005A6FD1"/>
    <w:rsid w:val="005B08F1"/>
    <w:rsid w:val="005B12D4"/>
    <w:rsid w:val="005B47BC"/>
    <w:rsid w:val="005B4FF8"/>
    <w:rsid w:val="005C00EC"/>
    <w:rsid w:val="005C15C9"/>
    <w:rsid w:val="005C30E9"/>
    <w:rsid w:val="005C663B"/>
    <w:rsid w:val="005C7E54"/>
    <w:rsid w:val="005D1C38"/>
    <w:rsid w:val="005D1ED6"/>
    <w:rsid w:val="005D767A"/>
    <w:rsid w:val="005E2628"/>
    <w:rsid w:val="005E5F66"/>
    <w:rsid w:val="005E7B3E"/>
    <w:rsid w:val="005F46EC"/>
    <w:rsid w:val="005F49C9"/>
    <w:rsid w:val="005F71CE"/>
    <w:rsid w:val="005F7A68"/>
    <w:rsid w:val="00601529"/>
    <w:rsid w:val="00601980"/>
    <w:rsid w:val="0060332C"/>
    <w:rsid w:val="00604C5A"/>
    <w:rsid w:val="00607F1D"/>
    <w:rsid w:val="006103F8"/>
    <w:rsid w:val="00612DE8"/>
    <w:rsid w:val="00615A83"/>
    <w:rsid w:val="00620EA0"/>
    <w:rsid w:val="00621B70"/>
    <w:rsid w:val="00623E47"/>
    <w:rsid w:val="00624CD2"/>
    <w:rsid w:val="0062795C"/>
    <w:rsid w:val="00631A06"/>
    <w:rsid w:val="00632F23"/>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E0E"/>
    <w:rsid w:val="00666FD4"/>
    <w:rsid w:val="00667217"/>
    <w:rsid w:val="006702C6"/>
    <w:rsid w:val="0067490E"/>
    <w:rsid w:val="006769E6"/>
    <w:rsid w:val="00676C63"/>
    <w:rsid w:val="00682333"/>
    <w:rsid w:val="006844CA"/>
    <w:rsid w:val="006871E0"/>
    <w:rsid w:val="00687A0F"/>
    <w:rsid w:val="00693B53"/>
    <w:rsid w:val="00697377"/>
    <w:rsid w:val="006A147C"/>
    <w:rsid w:val="006A1F61"/>
    <w:rsid w:val="006A533C"/>
    <w:rsid w:val="006A5409"/>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6F4263"/>
    <w:rsid w:val="006F7E70"/>
    <w:rsid w:val="00703D2B"/>
    <w:rsid w:val="007065D3"/>
    <w:rsid w:val="007071B1"/>
    <w:rsid w:val="00707EC1"/>
    <w:rsid w:val="00710582"/>
    <w:rsid w:val="00714EE9"/>
    <w:rsid w:val="00721876"/>
    <w:rsid w:val="007246B0"/>
    <w:rsid w:val="007258CB"/>
    <w:rsid w:val="00730E29"/>
    <w:rsid w:val="00731E5A"/>
    <w:rsid w:val="00732FF6"/>
    <w:rsid w:val="00735393"/>
    <w:rsid w:val="00735C37"/>
    <w:rsid w:val="007379B7"/>
    <w:rsid w:val="00745E32"/>
    <w:rsid w:val="007466F7"/>
    <w:rsid w:val="00757D89"/>
    <w:rsid w:val="0076194B"/>
    <w:rsid w:val="00763676"/>
    <w:rsid w:val="00765C79"/>
    <w:rsid w:val="00766245"/>
    <w:rsid w:val="00772776"/>
    <w:rsid w:val="00774A9F"/>
    <w:rsid w:val="00776E56"/>
    <w:rsid w:val="00781619"/>
    <w:rsid w:val="007867AB"/>
    <w:rsid w:val="0079146B"/>
    <w:rsid w:val="00791DD5"/>
    <w:rsid w:val="00796875"/>
    <w:rsid w:val="0079756E"/>
    <w:rsid w:val="007A1233"/>
    <w:rsid w:val="007A258F"/>
    <w:rsid w:val="007A3B3A"/>
    <w:rsid w:val="007B0A67"/>
    <w:rsid w:val="007B0BBA"/>
    <w:rsid w:val="007C16E2"/>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3A5E"/>
    <w:rsid w:val="00834DF7"/>
    <w:rsid w:val="00836F01"/>
    <w:rsid w:val="008406F5"/>
    <w:rsid w:val="00841F1E"/>
    <w:rsid w:val="00842203"/>
    <w:rsid w:val="00850E3E"/>
    <w:rsid w:val="00855CDB"/>
    <w:rsid w:val="00864432"/>
    <w:rsid w:val="008649A3"/>
    <w:rsid w:val="0086670A"/>
    <w:rsid w:val="00870BA1"/>
    <w:rsid w:val="00873CDE"/>
    <w:rsid w:val="00874421"/>
    <w:rsid w:val="0087538D"/>
    <w:rsid w:val="00875997"/>
    <w:rsid w:val="008760DA"/>
    <w:rsid w:val="0087796C"/>
    <w:rsid w:val="00880932"/>
    <w:rsid w:val="008825B5"/>
    <w:rsid w:val="00884A5A"/>
    <w:rsid w:val="00885E74"/>
    <w:rsid w:val="00886B14"/>
    <w:rsid w:val="008927F4"/>
    <w:rsid w:val="00893B58"/>
    <w:rsid w:val="00894E4C"/>
    <w:rsid w:val="0089642A"/>
    <w:rsid w:val="008A1743"/>
    <w:rsid w:val="008A23DD"/>
    <w:rsid w:val="008A6C51"/>
    <w:rsid w:val="008B15CF"/>
    <w:rsid w:val="008B1B6F"/>
    <w:rsid w:val="008B2242"/>
    <w:rsid w:val="008B386C"/>
    <w:rsid w:val="008B3EC6"/>
    <w:rsid w:val="008B4AD1"/>
    <w:rsid w:val="008B6D93"/>
    <w:rsid w:val="008B7AF1"/>
    <w:rsid w:val="008C3543"/>
    <w:rsid w:val="008C7216"/>
    <w:rsid w:val="008D0F0D"/>
    <w:rsid w:val="008D0FF2"/>
    <w:rsid w:val="008D14D6"/>
    <w:rsid w:val="008D1D7F"/>
    <w:rsid w:val="008D3526"/>
    <w:rsid w:val="008D7C0C"/>
    <w:rsid w:val="008E1269"/>
    <w:rsid w:val="008E2259"/>
    <w:rsid w:val="008F0401"/>
    <w:rsid w:val="008F04C1"/>
    <w:rsid w:val="008F2457"/>
    <w:rsid w:val="008F252A"/>
    <w:rsid w:val="008F493C"/>
    <w:rsid w:val="008F6AFD"/>
    <w:rsid w:val="008F7645"/>
    <w:rsid w:val="00900D37"/>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1CE6"/>
    <w:rsid w:val="00932185"/>
    <w:rsid w:val="009346E4"/>
    <w:rsid w:val="00935F23"/>
    <w:rsid w:val="009372D8"/>
    <w:rsid w:val="00937D12"/>
    <w:rsid w:val="00940ED2"/>
    <w:rsid w:val="00946997"/>
    <w:rsid w:val="0094725C"/>
    <w:rsid w:val="0094737A"/>
    <w:rsid w:val="00950094"/>
    <w:rsid w:val="0095139E"/>
    <w:rsid w:val="00951536"/>
    <w:rsid w:val="00952B32"/>
    <w:rsid w:val="00952C61"/>
    <w:rsid w:val="00953176"/>
    <w:rsid w:val="00954B3E"/>
    <w:rsid w:val="009554A6"/>
    <w:rsid w:val="00956FEB"/>
    <w:rsid w:val="00961BD2"/>
    <w:rsid w:val="00963E52"/>
    <w:rsid w:val="009650D5"/>
    <w:rsid w:val="0096535F"/>
    <w:rsid w:val="00965F35"/>
    <w:rsid w:val="00966500"/>
    <w:rsid w:val="009729A3"/>
    <w:rsid w:val="00977F1D"/>
    <w:rsid w:val="00982217"/>
    <w:rsid w:val="00984AD1"/>
    <w:rsid w:val="00984B39"/>
    <w:rsid w:val="00986A83"/>
    <w:rsid w:val="00990645"/>
    <w:rsid w:val="00992AEC"/>
    <w:rsid w:val="009A130B"/>
    <w:rsid w:val="009A2639"/>
    <w:rsid w:val="009A397F"/>
    <w:rsid w:val="009A7D12"/>
    <w:rsid w:val="009B4F83"/>
    <w:rsid w:val="009B6983"/>
    <w:rsid w:val="009C2FA8"/>
    <w:rsid w:val="009C5450"/>
    <w:rsid w:val="009C5716"/>
    <w:rsid w:val="009D316A"/>
    <w:rsid w:val="009D3527"/>
    <w:rsid w:val="009D5368"/>
    <w:rsid w:val="009D54DF"/>
    <w:rsid w:val="009D62ED"/>
    <w:rsid w:val="009E56AC"/>
    <w:rsid w:val="009E56AF"/>
    <w:rsid w:val="009E5E22"/>
    <w:rsid w:val="009E678D"/>
    <w:rsid w:val="009F28E2"/>
    <w:rsid w:val="009F4BDF"/>
    <w:rsid w:val="009F60BA"/>
    <w:rsid w:val="009F7F44"/>
    <w:rsid w:val="00A01B8D"/>
    <w:rsid w:val="00A034AE"/>
    <w:rsid w:val="00A035F5"/>
    <w:rsid w:val="00A03D4A"/>
    <w:rsid w:val="00A11F34"/>
    <w:rsid w:val="00A1350A"/>
    <w:rsid w:val="00A205A3"/>
    <w:rsid w:val="00A231A4"/>
    <w:rsid w:val="00A27850"/>
    <w:rsid w:val="00A310DA"/>
    <w:rsid w:val="00A32FCB"/>
    <w:rsid w:val="00A3561C"/>
    <w:rsid w:val="00A400BC"/>
    <w:rsid w:val="00A40701"/>
    <w:rsid w:val="00A42169"/>
    <w:rsid w:val="00A424F1"/>
    <w:rsid w:val="00A426B2"/>
    <w:rsid w:val="00A42DA7"/>
    <w:rsid w:val="00A45EE8"/>
    <w:rsid w:val="00A465FC"/>
    <w:rsid w:val="00A47B50"/>
    <w:rsid w:val="00A50459"/>
    <w:rsid w:val="00A506CB"/>
    <w:rsid w:val="00A52369"/>
    <w:rsid w:val="00A52A88"/>
    <w:rsid w:val="00A55701"/>
    <w:rsid w:val="00A56ED1"/>
    <w:rsid w:val="00A648A4"/>
    <w:rsid w:val="00A650B2"/>
    <w:rsid w:val="00A6640D"/>
    <w:rsid w:val="00A7290A"/>
    <w:rsid w:val="00A7438E"/>
    <w:rsid w:val="00A75006"/>
    <w:rsid w:val="00A750B8"/>
    <w:rsid w:val="00A81E28"/>
    <w:rsid w:val="00A82932"/>
    <w:rsid w:val="00A82D07"/>
    <w:rsid w:val="00A82EA2"/>
    <w:rsid w:val="00A868FB"/>
    <w:rsid w:val="00A915ED"/>
    <w:rsid w:val="00A91CF2"/>
    <w:rsid w:val="00A93BA4"/>
    <w:rsid w:val="00A9416E"/>
    <w:rsid w:val="00AA493D"/>
    <w:rsid w:val="00AA4AFD"/>
    <w:rsid w:val="00AB4807"/>
    <w:rsid w:val="00AB4813"/>
    <w:rsid w:val="00AC0052"/>
    <w:rsid w:val="00AC04D6"/>
    <w:rsid w:val="00AC20A5"/>
    <w:rsid w:val="00AD0685"/>
    <w:rsid w:val="00AD0902"/>
    <w:rsid w:val="00AD38C1"/>
    <w:rsid w:val="00AD5A78"/>
    <w:rsid w:val="00AD7EC2"/>
    <w:rsid w:val="00AE1456"/>
    <w:rsid w:val="00AE1517"/>
    <w:rsid w:val="00AE4078"/>
    <w:rsid w:val="00AE4230"/>
    <w:rsid w:val="00AE69D7"/>
    <w:rsid w:val="00AE71AA"/>
    <w:rsid w:val="00AF1374"/>
    <w:rsid w:val="00AF1E8A"/>
    <w:rsid w:val="00AF2DE8"/>
    <w:rsid w:val="00AF5947"/>
    <w:rsid w:val="00AF692A"/>
    <w:rsid w:val="00AF6D69"/>
    <w:rsid w:val="00AF7626"/>
    <w:rsid w:val="00B03D08"/>
    <w:rsid w:val="00B042B5"/>
    <w:rsid w:val="00B05BF7"/>
    <w:rsid w:val="00B05C24"/>
    <w:rsid w:val="00B079F6"/>
    <w:rsid w:val="00B1094A"/>
    <w:rsid w:val="00B10D81"/>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024"/>
    <w:rsid w:val="00B525D3"/>
    <w:rsid w:val="00B55B5C"/>
    <w:rsid w:val="00B56290"/>
    <w:rsid w:val="00B611B3"/>
    <w:rsid w:val="00B61B54"/>
    <w:rsid w:val="00B62874"/>
    <w:rsid w:val="00B6351D"/>
    <w:rsid w:val="00B64203"/>
    <w:rsid w:val="00B6519E"/>
    <w:rsid w:val="00B66AF1"/>
    <w:rsid w:val="00B70245"/>
    <w:rsid w:val="00B703C2"/>
    <w:rsid w:val="00B729E8"/>
    <w:rsid w:val="00B74E41"/>
    <w:rsid w:val="00B75BDF"/>
    <w:rsid w:val="00B7740D"/>
    <w:rsid w:val="00B80210"/>
    <w:rsid w:val="00B82F58"/>
    <w:rsid w:val="00B839A9"/>
    <w:rsid w:val="00B84C63"/>
    <w:rsid w:val="00B85BAE"/>
    <w:rsid w:val="00B86814"/>
    <w:rsid w:val="00B910CB"/>
    <w:rsid w:val="00B91743"/>
    <w:rsid w:val="00B91C4A"/>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596D"/>
    <w:rsid w:val="00BC63C5"/>
    <w:rsid w:val="00BC7302"/>
    <w:rsid w:val="00BD01F3"/>
    <w:rsid w:val="00BD0D8D"/>
    <w:rsid w:val="00BD168E"/>
    <w:rsid w:val="00BD439F"/>
    <w:rsid w:val="00BD4F14"/>
    <w:rsid w:val="00BE2644"/>
    <w:rsid w:val="00BE42F3"/>
    <w:rsid w:val="00BE551C"/>
    <w:rsid w:val="00BF6ECD"/>
    <w:rsid w:val="00BF790B"/>
    <w:rsid w:val="00C019BB"/>
    <w:rsid w:val="00C01E67"/>
    <w:rsid w:val="00C04590"/>
    <w:rsid w:val="00C05302"/>
    <w:rsid w:val="00C06B6B"/>
    <w:rsid w:val="00C06F37"/>
    <w:rsid w:val="00C0799A"/>
    <w:rsid w:val="00C13438"/>
    <w:rsid w:val="00C170FF"/>
    <w:rsid w:val="00C173E1"/>
    <w:rsid w:val="00C2019E"/>
    <w:rsid w:val="00C27AEF"/>
    <w:rsid w:val="00C3110E"/>
    <w:rsid w:val="00C3466C"/>
    <w:rsid w:val="00C34E4E"/>
    <w:rsid w:val="00C355FF"/>
    <w:rsid w:val="00C41A64"/>
    <w:rsid w:val="00C47122"/>
    <w:rsid w:val="00C47959"/>
    <w:rsid w:val="00C47CEA"/>
    <w:rsid w:val="00C515E0"/>
    <w:rsid w:val="00C531A3"/>
    <w:rsid w:val="00C57F24"/>
    <w:rsid w:val="00C63EA6"/>
    <w:rsid w:val="00C6619F"/>
    <w:rsid w:val="00C6624A"/>
    <w:rsid w:val="00C70110"/>
    <w:rsid w:val="00C73423"/>
    <w:rsid w:val="00C742C3"/>
    <w:rsid w:val="00C75559"/>
    <w:rsid w:val="00C76D88"/>
    <w:rsid w:val="00C7785D"/>
    <w:rsid w:val="00C77A26"/>
    <w:rsid w:val="00C819CF"/>
    <w:rsid w:val="00C82229"/>
    <w:rsid w:val="00C85BDD"/>
    <w:rsid w:val="00C86B81"/>
    <w:rsid w:val="00C90C43"/>
    <w:rsid w:val="00C91557"/>
    <w:rsid w:val="00C92F74"/>
    <w:rsid w:val="00CA1C19"/>
    <w:rsid w:val="00CA204D"/>
    <w:rsid w:val="00CA2E14"/>
    <w:rsid w:val="00CA60CD"/>
    <w:rsid w:val="00CB10E9"/>
    <w:rsid w:val="00CB11D6"/>
    <w:rsid w:val="00CB5475"/>
    <w:rsid w:val="00CB665E"/>
    <w:rsid w:val="00CB6661"/>
    <w:rsid w:val="00CB6E09"/>
    <w:rsid w:val="00CC09A7"/>
    <w:rsid w:val="00CC0FD9"/>
    <w:rsid w:val="00CC1F8F"/>
    <w:rsid w:val="00CD12DD"/>
    <w:rsid w:val="00CD139B"/>
    <w:rsid w:val="00CD5E59"/>
    <w:rsid w:val="00CD7831"/>
    <w:rsid w:val="00CE05D4"/>
    <w:rsid w:val="00CE4712"/>
    <w:rsid w:val="00CF53EE"/>
    <w:rsid w:val="00D01E5B"/>
    <w:rsid w:val="00D02378"/>
    <w:rsid w:val="00D02BE9"/>
    <w:rsid w:val="00D101DD"/>
    <w:rsid w:val="00D14423"/>
    <w:rsid w:val="00D15F27"/>
    <w:rsid w:val="00D161E0"/>
    <w:rsid w:val="00D17394"/>
    <w:rsid w:val="00D17B7F"/>
    <w:rsid w:val="00D21541"/>
    <w:rsid w:val="00D22C7B"/>
    <w:rsid w:val="00D23FFF"/>
    <w:rsid w:val="00D2778A"/>
    <w:rsid w:val="00D31043"/>
    <w:rsid w:val="00D32077"/>
    <w:rsid w:val="00D324C0"/>
    <w:rsid w:val="00D34914"/>
    <w:rsid w:val="00D34A13"/>
    <w:rsid w:val="00D35075"/>
    <w:rsid w:val="00D3640D"/>
    <w:rsid w:val="00D42AE0"/>
    <w:rsid w:val="00D43F4A"/>
    <w:rsid w:val="00D45330"/>
    <w:rsid w:val="00D45705"/>
    <w:rsid w:val="00D45A48"/>
    <w:rsid w:val="00D45DB8"/>
    <w:rsid w:val="00D45FAE"/>
    <w:rsid w:val="00D505CD"/>
    <w:rsid w:val="00D50821"/>
    <w:rsid w:val="00D52D25"/>
    <w:rsid w:val="00D54DFC"/>
    <w:rsid w:val="00D632EF"/>
    <w:rsid w:val="00D65A57"/>
    <w:rsid w:val="00D661C4"/>
    <w:rsid w:val="00D66306"/>
    <w:rsid w:val="00D66B18"/>
    <w:rsid w:val="00D726DB"/>
    <w:rsid w:val="00D73164"/>
    <w:rsid w:val="00D77E53"/>
    <w:rsid w:val="00D8135F"/>
    <w:rsid w:val="00D81DD5"/>
    <w:rsid w:val="00D87BB8"/>
    <w:rsid w:val="00D90BD9"/>
    <w:rsid w:val="00D911EC"/>
    <w:rsid w:val="00D932C5"/>
    <w:rsid w:val="00D939A7"/>
    <w:rsid w:val="00D9581C"/>
    <w:rsid w:val="00D95DCB"/>
    <w:rsid w:val="00D96228"/>
    <w:rsid w:val="00DA32CF"/>
    <w:rsid w:val="00DA5459"/>
    <w:rsid w:val="00DA6E5A"/>
    <w:rsid w:val="00DB357A"/>
    <w:rsid w:val="00DB41A5"/>
    <w:rsid w:val="00DB4233"/>
    <w:rsid w:val="00DB5097"/>
    <w:rsid w:val="00DB64BD"/>
    <w:rsid w:val="00DC4F7C"/>
    <w:rsid w:val="00DC7134"/>
    <w:rsid w:val="00DC74F2"/>
    <w:rsid w:val="00DC7C2C"/>
    <w:rsid w:val="00DD2256"/>
    <w:rsid w:val="00DD4B55"/>
    <w:rsid w:val="00DD5871"/>
    <w:rsid w:val="00DE2F66"/>
    <w:rsid w:val="00DE4173"/>
    <w:rsid w:val="00DE4592"/>
    <w:rsid w:val="00DF5B62"/>
    <w:rsid w:val="00DF6125"/>
    <w:rsid w:val="00E04175"/>
    <w:rsid w:val="00E05332"/>
    <w:rsid w:val="00E13E05"/>
    <w:rsid w:val="00E14F85"/>
    <w:rsid w:val="00E15784"/>
    <w:rsid w:val="00E16734"/>
    <w:rsid w:val="00E179BE"/>
    <w:rsid w:val="00E20401"/>
    <w:rsid w:val="00E229E0"/>
    <w:rsid w:val="00E264D8"/>
    <w:rsid w:val="00E319F9"/>
    <w:rsid w:val="00E331C7"/>
    <w:rsid w:val="00E33BB8"/>
    <w:rsid w:val="00E35240"/>
    <w:rsid w:val="00E36E18"/>
    <w:rsid w:val="00E37099"/>
    <w:rsid w:val="00E40A15"/>
    <w:rsid w:val="00E40CCE"/>
    <w:rsid w:val="00E43654"/>
    <w:rsid w:val="00E459FA"/>
    <w:rsid w:val="00E45A4B"/>
    <w:rsid w:val="00E46996"/>
    <w:rsid w:val="00E50522"/>
    <w:rsid w:val="00E52F87"/>
    <w:rsid w:val="00E6120D"/>
    <w:rsid w:val="00E61D06"/>
    <w:rsid w:val="00E648B0"/>
    <w:rsid w:val="00E64908"/>
    <w:rsid w:val="00E7043E"/>
    <w:rsid w:val="00E747D9"/>
    <w:rsid w:val="00E75D5D"/>
    <w:rsid w:val="00E766CA"/>
    <w:rsid w:val="00E77E7C"/>
    <w:rsid w:val="00E81F85"/>
    <w:rsid w:val="00E8413D"/>
    <w:rsid w:val="00E84C2A"/>
    <w:rsid w:val="00E863CE"/>
    <w:rsid w:val="00E90CA1"/>
    <w:rsid w:val="00E91D25"/>
    <w:rsid w:val="00E94465"/>
    <w:rsid w:val="00E94720"/>
    <w:rsid w:val="00E95F4D"/>
    <w:rsid w:val="00E97067"/>
    <w:rsid w:val="00EA6E8E"/>
    <w:rsid w:val="00EA7978"/>
    <w:rsid w:val="00EA7D19"/>
    <w:rsid w:val="00EB4D40"/>
    <w:rsid w:val="00EB7F70"/>
    <w:rsid w:val="00EC4657"/>
    <w:rsid w:val="00EC4C2A"/>
    <w:rsid w:val="00EC6764"/>
    <w:rsid w:val="00EC726F"/>
    <w:rsid w:val="00EC7743"/>
    <w:rsid w:val="00EC7B8C"/>
    <w:rsid w:val="00ED055B"/>
    <w:rsid w:val="00ED2540"/>
    <w:rsid w:val="00ED48A6"/>
    <w:rsid w:val="00ED48F0"/>
    <w:rsid w:val="00ED521A"/>
    <w:rsid w:val="00ED6537"/>
    <w:rsid w:val="00EE1F48"/>
    <w:rsid w:val="00EE3C5A"/>
    <w:rsid w:val="00EE4E0F"/>
    <w:rsid w:val="00EE504D"/>
    <w:rsid w:val="00EE66A2"/>
    <w:rsid w:val="00EE75E3"/>
    <w:rsid w:val="00EE7777"/>
    <w:rsid w:val="00EF0C86"/>
    <w:rsid w:val="00EF2D7A"/>
    <w:rsid w:val="00EF5378"/>
    <w:rsid w:val="00EF586D"/>
    <w:rsid w:val="00F00B9A"/>
    <w:rsid w:val="00F0246E"/>
    <w:rsid w:val="00F026DB"/>
    <w:rsid w:val="00F04133"/>
    <w:rsid w:val="00F04506"/>
    <w:rsid w:val="00F05BCE"/>
    <w:rsid w:val="00F12233"/>
    <w:rsid w:val="00F12CE1"/>
    <w:rsid w:val="00F14096"/>
    <w:rsid w:val="00F14820"/>
    <w:rsid w:val="00F30DED"/>
    <w:rsid w:val="00F31DB2"/>
    <w:rsid w:val="00F33F5D"/>
    <w:rsid w:val="00F37720"/>
    <w:rsid w:val="00F4046D"/>
    <w:rsid w:val="00F40A6C"/>
    <w:rsid w:val="00F42D15"/>
    <w:rsid w:val="00F44EA5"/>
    <w:rsid w:val="00F4518D"/>
    <w:rsid w:val="00F454F6"/>
    <w:rsid w:val="00F46AEA"/>
    <w:rsid w:val="00F46C28"/>
    <w:rsid w:val="00F46CF6"/>
    <w:rsid w:val="00F51019"/>
    <w:rsid w:val="00F52179"/>
    <w:rsid w:val="00F52B79"/>
    <w:rsid w:val="00F559A5"/>
    <w:rsid w:val="00F55F9D"/>
    <w:rsid w:val="00F56E1A"/>
    <w:rsid w:val="00F60EEE"/>
    <w:rsid w:val="00F6204B"/>
    <w:rsid w:val="00F62B71"/>
    <w:rsid w:val="00F62CDA"/>
    <w:rsid w:val="00F6448C"/>
    <w:rsid w:val="00F65D8A"/>
    <w:rsid w:val="00F72B98"/>
    <w:rsid w:val="00F74422"/>
    <w:rsid w:val="00F76222"/>
    <w:rsid w:val="00F83712"/>
    <w:rsid w:val="00F84909"/>
    <w:rsid w:val="00F85F61"/>
    <w:rsid w:val="00F86BEC"/>
    <w:rsid w:val="00F87C43"/>
    <w:rsid w:val="00F90084"/>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BF3"/>
    <w:rsid w:val="00FC0EED"/>
    <w:rsid w:val="00FC11D2"/>
    <w:rsid w:val="00FC1405"/>
    <w:rsid w:val="00FD0FFF"/>
    <w:rsid w:val="00FE03F8"/>
    <w:rsid w:val="00FE2208"/>
    <w:rsid w:val="00FE2769"/>
    <w:rsid w:val="00FE2ED0"/>
    <w:rsid w:val="00FE3038"/>
    <w:rsid w:val="00FE3C8C"/>
    <w:rsid w:val="00FE430B"/>
    <w:rsid w:val="00FE46AF"/>
    <w:rsid w:val="00FE73C3"/>
    <w:rsid w:val="00FE750D"/>
    <w:rsid w:val="00FE75CD"/>
    <w:rsid w:val="00FE7BAB"/>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C71"/>
  </w:style>
  <w:style w:type="paragraph" w:styleId="Heading1">
    <w:name w:val="heading 1"/>
    <w:basedOn w:val="Normal"/>
    <w:next w:val="Normal"/>
    <w:link w:val="Heading1Char"/>
    <w:uiPriority w:val="9"/>
    <w:qFormat/>
    <w:rsid w:val="001A1C7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A1C7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A1C7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A1C71"/>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unhideWhenUsed/>
    <w:qFormat/>
    <w:rsid w:val="001A1C71"/>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1A1C71"/>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A1C7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A1C7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A1C7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C7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A1C7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A1C7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A1C71"/>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rsid w:val="001A1C71"/>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1A1C71"/>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A1C7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A1C71"/>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A1C7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A1C7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A1C7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A1C7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A1C7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A1C71"/>
    <w:rPr>
      <w:color w:val="5A5A5A" w:themeColor="text1" w:themeTint="A5"/>
      <w:spacing w:val="15"/>
    </w:rPr>
  </w:style>
  <w:style w:type="character" w:styleId="Strong">
    <w:name w:val="Strong"/>
    <w:basedOn w:val="DefaultParagraphFont"/>
    <w:uiPriority w:val="22"/>
    <w:qFormat/>
    <w:rsid w:val="001A1C71"/>
    <w:rPr>
      <w:b/>
      <w:bCs/>
      <w:color w:val="auto"/>
    </w:rPr>
  </w:style>
  <w:style w:type="character" w:styleId="Emphasis">
    <w:name w:val="Emphasis"/>
    <w:basedOn w:val="DefaultParagraphFont"/>
    <w:uiPriority w:val="20"/>
    <w:qFormat/>
    <w:rsid w:val="001A1C71"/>
    <w:rPr>
      <w:i/>
      <w:iCs/>
      <w:color w:val="auto"/>
    </w:rPr>
  </w:style>
  <w:style w:type="paragraph" w:styleId="NoSpacing">
    <w:name w:val="No Spacing"/>
    <w:uiPriority w:val="1"/>
    <w:qFormat/>
    <w:rsid w:val="001A1C71"/>
    <w:pPr>
      <w:spacing w:after="0" w:line="240" w:lineRule="auto"/>
    </w:pPr>
  </w:style>
  <w:style w:type="paragraph" w:styleId="ListParagraph">
    <w:name w:val="List Paragraph"/>
    <w:basedOn w:val="Normal"/>
    <w:uiPriority w:val="1"/>
    <w:qFormat/>
    <w:rsid w:val="00061102"/>
    <w:pPr>
      <w:ind w:left="720"/>
      <w:contextualSpacing/>
    </w:pPr>
  </w:style>
  <w:style w:type="paragraph" w:styleId="Quote">
    <w:name w:val="Quote"/>
    <w:basedOn w:val="Normal"/>
    <w:next w:val="Normal"/>
    <w:link w:val="QuoteChar"/>
    <w:uiPriority w:val="29"/>
    <w:qFormat/>
    <w:rsid w:val="001A1C7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A1C71"/>
    <w:rPr>
      <w:i/>
      <w:iCs/>
      <w:color w:val="404040" w:themeColor="text1" w:themeTint="BF"/>
    </w:rPr>
  </w:style>
  <w:style w:type="paragraph" w:styleId="IntenseQuote">
    <w:name w:val="Intense Quote"/>
    <w:basedOn w:val="Normal"/>
    <w:next w:val="Normal"/>
    <w:link w:val="IntenseQuoteChar"/>
    <w:uiPriority w:val="30"/>
    <w:qFormat/>
    <w:rsid w:val="001A1C7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A1C71"/>
    <w:rPr>
      <w:i/>
      <w:iCs/>
      <w:color w:val="404040" w:themeColor="text1" w:themeTint="BF"/>
    </w:rPr>
  </w:style>
  <w:style w:type="character" w:styleId="SubtleEmphasis">
    <w:name w:val="Subtle Emphasis"/>
    <w:basedOn w:val="DefaultParagraphFont"/>
    <w:uiPriority w:val="19"/>
    <w:qFormat/>
    <w:rsid w:val="001A1C71"/>
    <w:rPr>
      <w:i/>
      <w:iCs/>
      <w:color w:val="404040" w:themeColor="text1" w:themeTint="BF"/>
    </w:rPr>
  </w:style>
  <w:style w:type="character" w:styleId="IntenseEmphasis">
    <w:name w:val="Intense Emphasis"/>
    <w:basedOn w:val="DefaultParagraphFont"/>
    <w:uiPriority w:val="21"/>
    <w:qFormat/>
    <w:rsid w:val="001A1C71"/>
    <w:rPr>
      <w:b/>
      <w:bCs/>
      <w:i/>
      <w:iCs/>
      <w:color w:val="auto"/>
    </w:rPr>
  </w:style>
  <w:style w:type="character" w:styleId="SubtleReference">
    <w:name w:val="Subtle Reference"/>
    <w:basedOn w:val="DefaultParagraphFont"/>
    <w:uiPriority w:val="31"/>
    <w:qFormat/>
    <w:rsid w:val="001A1C71"/>
    <w:rPr>
      <w:smallCaps/>
      <w:color w:val="404040" w:themeColor="text1" w:themeTint="BF"/>
    </w:rPr>
  </w:style>
  <w:style w:type="character" w:styleId="IntenseReference">
    <w:name w:val="Intense Reference"/>
    <w:basedOn w:val="DefaultParagraphFont"/>
    <w:uiPriority w:val="32"/>
    <w:qFormat/>
    <w:rsid w:val="001A1C71"/>
    <w:rPr>
      <w:b/>
      <w:bCs/>
      <w:smallCaps/>
      <w:color w:val="404040" w:themeColor="text1" w:themeTint="BF"/>
      <w:spacing w:val="5"/>
    </w:rPr>
  </w:style>
  <w:style w:type="character" w:styleId="BookTitle">
    <w:name w:val="Book Title"/>
    <w:basedOn w:val="DefaultParagraphFont"/>
    <w:uiPriority w:val="33"/>
    <w:qFormat/>
    <w:rsid w:val="001A1C71"/>
    <w:rPr>
      <w:b/>
      <w:bCs/>
      <w:i/>
      <w:iCs/>
      <w:spacing w:val="5"/>
    </w:rPr>
  </w:style>
  <w:style w:type="paragraph" w:styleId="TOCHeading">
    <w:name w:val="TOC Heading"/>
    <w:basedOn w:val="Heading1"/>
    <w:next w:val="Normal"/>
    <w:uiPriority w:val="39"/>
    <w:semiHidden/>
    <w:unhideWhenUsed/>
    <w:qFormat/>
    <w:rsid w:val="001A1C7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3038"/>
    <w:rPr>
      <w:color w:val="0000FF"/>
      <w:u w:val="single"/>
    </w:rPr>
  </w:style>
  <w:style w:type="character" w:customStyle="1" w:styleId="button-alternative-text">
    <w:name w:val="button-alternative-text"/>
    <w:basedOn w:val="DefaultParagraphFont"/>
    <w:rsid w:val="00FE3038"/>
  </w:style>
  <w:style w:type="character" w:customStyle="1" w:styleId="extra-detail-1">
    <w:name w:val="extra-detail-1"/>
    <w:basedOn w:val="DefaultParagraphFont"/>
    <w:rsid w:val="00FE3038"/>
  </w:style>
  <w:style w:type="paragraph" w:customStyle="1" w:styleId="next">
    <w:name w:val="next"/>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E3038"/>
  </w:style>
  <w:style w:type="character" w:customStyle="1" w:styleId="label">
    <w:name w:val="label"/>
    <w:basedOn w:val="DefaultParagraphFont"/>
    <w:rsid w:val="00FE3038"/>
  </w:style>
  <w:style w:type="character" w:customStyle="1" w:styleId="button-text">
    <w:name w:val="button-text"/>
    <w:basedOn w:val="DefaultParagraphFont"/>
    <w:rsid w:val="00FE3038"/>
  </w:style>
  <w:style w:type="character" w:styleId="UnresolvedMention">
    <w:name w:val="Unresolved Mention"/>
    <w:basedOn w:val="DefaultParagraphFont"/>
    <w:uiPriority w:val="99"/>
    <w:semiHidden/>
    <w:unhideWhenUsed/>
    <w:rsid w:val="00FE3038"/>
    <w:rPr>
      <w:color w:val="605E5C"/>
      <w:shd w:val="clear" w:color="auto" w:fill="E1DFDD"/>
    </w:rPr>
  </w:style>
  <w:style w:type="table" w:styleId="TableGridLight">
    <w:name w:val="Grid Table Light"/>
    <w:basedOn w:val="TableNormal"/>
    <w:uiPriority w:val="40"/>
    <w:rsid w:val="00884A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text">
    <w:name w:val="title-text"/>
    <w:basedOn w:val="DefaultParagraphFont"/>
    <w:rsid w:val="00115F37"/>
  </w:style>
  <w:style w:type="paragraph" w:styleId="NormalWeb">
    <w:name w:val="Normal (Web)"/>
    <w:basedOn w:val="Normal"/>
    <w:uiPriority w:val="99"/>
    <w:unhideWhenUsed/>
    <w:rsid w:val="004830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paragraph">
    <w:name w:val="body-paragraph"/>
    <w:basedOn w:val="Normal"/>
    <w:rsid w:val="00731E5A"/>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1"/>
    <w:rsid w:val="00E05332"/>
    <w:pPr>
      <w:autoSpaceDE w:val="0"/>
      <w:autoSpaceDN w:val="0"/>
      <w:adjustRightInd w:val="0"/>
      <w:spacing w:after="0" w:line="240" w:lineRule="auto"/>
    </w:pPr>
    <w:rPr>
      <w:rFonts w:ascii="Times New Roman" w:hAnsi="Times New Roman" w:cs="Times New Roman"/>
      <w:sz w:val="16"/>
      <w:szCs w:val="16"/>
    </w:rPr>
  </w:style>
  <w:style w:type="character" w:customStyle="1" w:styleId="BodyTextChar">
    <w:name w:val="Body Text Char"/>
    <w:basedOn w:val="DefaultParagraphFont"/>
    <w:link w:val="BodyText"/>
    <w:uiPriority w:val="1"/>
    <w:rsid w:val="00E05332"/>
    <w:rPr>
      <w:rFonts w:ascii="Times New Roman" w:hAnsi="Times New Roman" w:cs="Times New Roman"/>
      <w:sz w:val="16"/>
      <w:szCs w:val="16"/>
    </w:rPr>
  </w:style>
  <w:style w:type="paragraph" w:customStyle="1" w:styleId="TableParagraph">
    <w:name w:val="Table Paragraph"/>
    <w:basedOn w:val="Normal"/>
    <w:uiPriority w:val="1"/>
    <w:qFormat/>
    <w:rsid w:val="00E05332"/>
    <w:pPr>
      <w:autoSpaceDE w:val="0"/>
      <w:autoSpaceDN w:val="0"/>
      <w:adjustRightInd w:val="0"/>
      <w:spacing w:after="0" w:line="160" w:lineRule="exact"/>
    </w:pPr>
    <w:rPr>
      <w:rFonts w:ascii="Times New Roman" w:hAnsi="Times New Roman" w:cs="Times New Roman"/>
      <w:sz w:val="24"/>
      <w:szCs w:val="24"/>
    </w:rPr>
  </w:style>
  <w:style w:type="character" w:customStyle="1" w:styleId="medium-normal">
    <w:name w:val="medium-normal"/>
    <w:basedOn w:val="DefaultParagraphFont"/>
    <w:rsid w:val="0001279B"/>
  </w:style>
  <w:style w:type="character" w:customStyle="1" w:styleId="contribdegrees">
    <w:name w:val="contribdegrees"/>
    <w:basedOn w:val="DefaultParagraphFont"/>
    <w:rsid w:val="00ED6537"/>
  </w:style>
  <w:style w:type="character" w:customStyle="1" w:styleId="mi">
    <w:name w:val="mi"/>
    <w:basedOn w:val="DefaultParagraphFont"/>
    <w:rsid w:val="00666E0E"/>
  </w:style>
  <w:style w:type="character" w:customStyle="1" w:styleId="mo">
    <w:name w:val="mo"/>
    <w:basedOn w:val="DefaultParagraphFont"/>
    <w:rsid w:val="00666E0E"/>
  </w:style>
  <w:style w:type="character" w:customStyle="1" w:styleId="mn">
    <w:name w:val="mn"/>
    <w:basedOn w:val="DefaultParagraphFont"/>
    <w:rsid w:val="00666E0E"/>
  </w:style>
  <w:style w:type="character" w:customStyle="1" w:styleId="msqrt">
    <w:name w:val="msqrt"/>
    <w:basedOn w:val="DefaultParagraphFont"/>
    <w:rsid w:val="00666E0E"/>
  </w:style>
  <w:style w:type="character" w:customStyle="1" w:styleId="nlmfn">
    <w:name w:val="nlm_fn"/>
    <w:basedOn w:val="DefaultParagraphFont"/>
    <w:rsid w:val="007B0A67"/>
  </w:style>
  <w:style w:type="character" w:customStyle="1" w:styleId="fn-label">
    <w:name w:val="fn-label"/>
    <w:basedOn w:val="DefaultParagraphFont"/>
    <w:rsid w:val="007B0A67"/>
  </w:style>
  <w:style w:type="character" w:customStyle="1" w:styleId="nlmyear">
    <w:name w:val="nlm_year"/>
    <w:basedOn w:val="DefaultParagraphFont"/>
    <w:rsid w:val="008B386C"/>
  </w:style>
  <w:style w:type="character" w:customStyle="1" w:styleId="nlmarticle-title">
    <w:name w:val="nlm_article-title"/>
    <w:basedOn w:val="DefaultParagraphFont"/>
    <w:rsid w:val="008B386C"/>
  </w:style>
  <w:style w:type="character" w:customStyle="1" w:styleId="nlmfpage">
    <w:name w:val="nlm_fpage"/>
    <w:basedOn w:val="DefaultParagraphFont"/>
    <w:rsid w:val="008B386C"/>
  </w:style>
  <w:style w:type="character" w:customStyle="1" w:styleId="nlmlpage">
    <w:name w:val="nlm_lpage"/>
    <w:basedOn w:val="DefaultParagraphFont"/>
    <w:rsid w:val="008B386C"/>
  </w:style>
  <w:style w:type="character" w:customStyle="1" w:styleId="figure">
    <w:name w:val="figure"/>
    <w:basedOn w:val="DefaultParagraphFont"/>
    <w:rsid w:val="000F10DA"/>
  </w:style>
  <w:style w:type="character" w:customStyle="1" w:styleId="captionlabel">
    <w:name w:val="captionlabel"/>
    <w:basedOn w:val="DefaultParagraphFont"/>
    <w:rsid w:val="00F849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5931">
      <w:bodyDiv w:val="1"/>
      <w:marLeft w:val="0"/>
      <w:marRight w:val="0"/>
      <w:marTop w:val="0"/>
      <w:marBottom w:val="0"/>
      <w:divBdr>
        <w:top w:val="none" w:sz="0" w:space="0" w:color="auto"/>
        <w:left w:val="none" w:sz="0" w:space="0" w:color="auto"/>
        <w:bottom w:val="none" w:sz="0" w:space="0" w:color="auto"/>
        <w:right w:val="none" w:sz="0" w:space="0" w:color="auto"/>
      </w:divBdr>
    </w:div>
    <w:div w:id="26029645">
      <w:bodyDiv w:val="1"/>
      <w:marLeft w:val="0"/>
      <w:marRight w:val="0"/>
      <w:marTop w:val="0"/>
      <w:marBottom w:val="0"/>
      <w:divBdr>
        <w:top w:val="none" w:sz="0" w:space="0" w:color="auto"/>
        <w:left w:val="none" w:sz="0" w:space="0" w:color="auto"/>
        <w:bottom w:val="none" w:sz="0" w:space="0" w:color="auto"/>
        <w:right w:val="none" w:sz="0" w:space="0" w:color="auto"/>
      </w:divBdr>
    </w:div>
    <w:div w:id="51848910">
      <w:bodyDiv w:val="1"/>
      <w:marLeft w:val="0"/>
      <w:marRight w:val="0"/>
      <w:marTop w:val="0"/>
      <w:marBottom w:val="0"/>
      <w:divBdr>
        <w:top w:val="none" w:sz="0" w:space="0" w:color="auto"/>
        <w:left w:val="none" w:sz="0" w:space="0" w:color="auto"/>
        <w:bottom w:val="none" w:sz="0" w:space="0" w:color="auto"/>
        <w:right w:val="none" w:sz="0" w:space="0" w:color="auto"/>
      </w:divBdr>
    </w:div>
    <w:div w:id="87428456">
      <w:bodyDiv w:val="1"/>
      <w:marLeft w:val="0"/>
      <w:marRight w:val="0"/>
      <w:marTop w:val="0"/>
      <w:marBottom w:val="0"/>
      <w:divBdr>
        <w:top w:val="none" w:sz="0" w:space="0" w:color="auto"/>
        <w:left w:val="none" w:sz="0" w:space="0" w:color="auto"/>
        <w:bottom w:val="none" w:sz="0" w:space="0" w:color="auto"/>
        <w:right w:val="none" w:sz="0" w:space="0" w:color="auto"/>
      </w:divBdr>
    </w:div>
    <w:div w:id="102459511">
      <w:bodyDiv w:val="1"/>
      <w:marLeft w:val="0"/>
      <w:marRight w:val="0"/>
      <w:marTop w:val="0"/>
      <w:marBottom w:val="0"/>
      <w:divBdr>
        <w:top w:val="none" w:sz="0" w:space="0" w:color="auto"/>
        <w:left w:val="none" w:sz="0" w:space="0" w:color="auto"/>
        <w:bottom w:val="none" w:sz="0" w:space="0" w:color="auto"/>
        <w:right w:val="none" w:sz="0" w:space="0" w:color="auto"/>
      </w:divBdr>
    </w:div>
    <w:div w:id="155801511">
      <w:bodyDiv w:val="1"/>
      <w:marLeft w:val="0"/>
      <w:marRight w:val="0"/>
      <w:marTop w:val="0"/>
      <w:marBottom w:val="0"/>
      <w:divBdr>
        <w:top w:val="none" w:sz="0" w:space="0" w:color="auto"/>
        <w:left w:val="none" w:sz="0" w:space="0" w:color="auto"/>
        <w:bottom w:val="none" w:sz="0" w:space="0" w:color="auto"/>
        <w:right w:val="none" w:sz="0" w:space="0" w:color="auto"/>
      </w:divBdr>
    </w:div>
    <w:div w:id="177161492">
      <w:bodyDiv w:val="1"/>
      <w:marLeft w:val="0"/>
      <w:marRight w:val="0"/>
      <w:marTop w:val="0"/>
      <w:marBottom w:val="0"/>
      <w:divBdr>
        <w:top w:val="none" w:sz="0" w:space="0" w:color="auto"/>
        <w:left w:val="none" w:sz="0" w:space="0" w:color="auto"/>
        <w:bottom w:val="none" w:sz="0" w:space="0" w:color="auto"/>
        <w:right w:val="none" w:sz="0" w:space="0" w:color="auto"/>
      </w:divBdr>
    </w:div>
    <w:div w:id="178393380">
      <w:bodyDiv w:val="1"/>
      <w:marLeft w:val="0"/>
      <w:marRight w:val="0"/>
      <w:marTop w:val="0"/>
      <w:marBottom w:val="0"/>
      <w:divBdr>
        <w:top w:val="none" w:sz="0" w:space="0" w:color="auto"/>
        <w:left w:val="none" w:sz="0" w:space="0" w:color="auto"/>
        <w:bottom w:val="none" w:sz="0" w:space="0" w:color="auto"/>
        <w:right w:val="none" w:sz="0" w:space="0" w:color="auto"/>
      </w:divBdr>
    </w:div>
    <w:div w:id="232743977">
      <w:bodyDiv w:val="1"/>
      <w:marLeft w:val="0"/>
      <w:marRight w:val="0"/>
      <w:marTop w:val="0"/>
      <w:marBottom w:val="0"/>
      <w:divBdr>
        <w:top w:val="none" w:sz="0" w:space="0" w:color="auto"/>
        <w:left w:val="none" w:sz="0" w:space="0" w:color="auto"/>
        <w:bottom w:val="none" w:sz="0" w:space="0" w:color="auto"/>
        <w:right w:val="none" w:sz="0" w:space="0" w:color="auto"/>
      </w:divBdr>
    </w:div>
    <w:div w:id="281573472">
      <w:bodyDiv w:val="1"/>
      <w:marLeft w:val="0"/>
      <w:marRight w:val="0"/>
      <w:marTop w:val="0"/>
      <w:marBottom w:val="0"/>
      <w:divBdr>
        <w:top w:val="none" w:sz="0" w:space="0" w:color="auto"/>
        <w:left w:val="none" w:sz="0" w:space="0" w:color="auto"/>
        <w:bottom w:val="none" w:sz="0" w:space="0" w:color="auto"/>
        <w:right w:val="none" w:sz="0" w:space="0" w:color="auto"/>
      </w:divBdr>
    </w:div>
    <w:div w:id="367486127">
      <w:bodyDiv w:val="1"/>
      <w:marLeft w:val="0"/>
      <w:marRight w:val="0"/>
      <w:marTop w:val="0"/>
      <w:marBottom w:val="0"/>
      <w:divBdr>
        <w:top w:val="none" w:sz="0" w:space="0" w:color="auto"/>
        <w:left w:val="none" w:sz="0" w:space="0" w:color="auto"/>
        <w:bottom w:val="none" w:sz="0" w:space="0" w:color="auto"/>
        <w:right w:val="none" w:sz="0" w:space="0" w:color="auto"/>
      </w:divBdr>
    </w:div>
    <w:div w:id="381291373">
      <w:bodyDiv w:val="1"/>
      <w:marLeft w:val="0"/>
      <w:marRight w:val="0"/>
      <w:marTop w:val="0"/>
      <w:marBottom w:val="0"/>
      <w:divBdr>
        <w:top w:val="none" w:sz="0" w:space="0" w:color="auto"/>
        <w:left w:val="none" w:sz="0" w:space="0" w:color="auto"/>
        <w:bottom w:val="none" w:sz="0" w:space="0" w:color="auto"/>
        <w:right w:val="none" w:sz="0" w:space="0" w:color="auto"/>
      </w:divBdr>
    </w:div>
    <w:div w:id="390151307">
      <w:bodyDiv w:val="1"/>
      <w:marLeft w:val="0"/>
      <w:marRight w:val="0"/>
      <w:marTop w:val="0"/>
      <w:marBottom w:val="0"/>
      <w:divBdr>
        <w:top w:val="none" w:sz="0" w:space="0" w:color="auto"/>
        <w:left w:val="none" w:sz="0" w:space="0" w:color="auto"/>
        <w:bottom w:val="none" w:sz="0" w:space="0" w:color="auto"/>
        <w:right w:val="none" w:sz="0" w:space="0" w:color="auto"/>
      </w:divBdr>
    </w:div>
    <w:div w:id="397943517">
      <w:bodyDiv w:val="1"/>
      <w:marLeft w:val="0"/>
      <w:marRight w:val="0"/>
      <w:marTop w:val="0"/>
      <w:marBottom w:val="0"/>
      <w:divBdr>
        <w:top w:val="none" w:sz="0" w:space="0" w:color="auto"/>
        <w:left w:val="none" w:sz="0" w:space="0" w:color="auto"/>
        <w:bottom w:val="none" w:sz="0" w:space="0" w:color="auto"/>
        <w:right w:val="none" w:sz="0" w:space="0" w:color="auto"/>
      </w:divBdr>
    </w:div>
    <w:div w:id="441150390">
      <w:bodyDiv w:val="1"/>
      <w:marLeft w:val="0"/>
      <w:marRight w:val="0"/>
      <w:marTop w:val="0"/>
      <w:marBottom w:val="0"/>
      <w:divBdr>
        <w:top w:val="none" w:sz="0" w:space="0" w:color="auto"/>
        <w:left w:val="none" w:sz="0" w:space="0" w:color="auto"/>
        <w:bottom w:val="none" w:sz="0" w:space="0" w:color="auto"/>
        <w:right w:val="none" w:sz="0" w:space="0" w:color="auto"/>
      </w:divBdr>
    </w:div>
    <w:div w:id="498469569">
      <w:bodyDiv w:val="1"/>
      <w:marLeft w:val="0"/>
      <w:marRight w:val="0"/>
      <w:marTop w:val="0"/>
      <w:marBottom w:val="0"/>
      <w:divBdr>
        <w:top w:val="none" w:sz="0" w:space="0" w:color="auto"/>
        <w:left w:val="none" w:sz="0" w:space="0" w:color="auto"/>
        <w:bottom w:val="none" w:sz="0" w:space="0" w:color="auto"/>
        <w:right w:val="none" w:sz="0" w:space="0" w:color="auto"/>
      </w:divBdr>
    </w:div>
    <w:div w:id="499738918">
      <w:bodyDiv w:val="1"/>
      <w:marLeft w:val="0"/>
      <w:marRight w:val="0"/>
      <w:marTop w:val="0"/>
      <w:marBottom w:val="0"/>
      <w:divBdr>
        <w:top w:val="none" w:sz="0" w:space="0" w:color="auto"/>
        <w:left w:val="none" w:sz="0" w:space="0" w:color="auto"/>
        <w:bottom w:val="none" w:sz="0" w:space="0" w:color="auto"/>
        <w:right w:val="none" w:sz="0" w:space="0" w:color="auto"/>
      </w:divBdr>
    </w:div>
    <w:div w:id="513544384">
      <w:bodyDiv w:val="1"/>
      <w:marLeft w:val="0"/>
      <w:marRight w:val="0"/>
      <w:marTop w:val="0"/>
      <w:marBottom w:val="0"/>
      <w:divBdr>
        <w:top w:val="none" w:sz="0" w:space="0" w:color="auto"/>
        <w:left w:val="none" w:sz="0" w:space="0" w:color="auto"/>
        <w:bottom w:val="none" w:sz="0" w:space="0" w:color="auto"/>
        <w:right w:val="none" w:sz="0" w:space="0" w:color="auto"/>
      </w:divBdr>
    </w:div>
    <w:div w:id="528613902">
      <w:bodyDiv w:val="1"/>
      <w:marLeft w:val="0"/>
      <w:marRight w:val="0"/>
      <w:marTop w:val="0"/>
      <w:marBottom w:val="0"/>
      <w:divBdr>
        <w:top w:val="none" w:sz="0" w:space="0" w:color="auto"/>
        <w:left w:val="none" w:sz="0" w:space="0" w:color="auto"/>
        <w:bottom w:val="none" w:sz="0" w:space="0" w:color="auto"/>
        <w:right w:val="none" w:sz="0" w:space="0" w:color="auto"/>
      </w:divBdr>
      <w:divsChild>
        <w:div w:id="4086216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6991819">
      <w:bodyDiv w:val="1"/>
      <w:marLeft w:val="0"/>
      <w:marRight w:val="0"/>
      <w:marTop w:val="0"/>
      <w:marBottom w:val="0"/>
      <w:divBdr>
        <w:top w:val="none" w:sz="0" w:space="0" w:color="auto"/>
        <w:left w:val="none" w:sz="0" w:space="0" w:color="auto"/>
        <w:bottom w:val="none" w:sz="0" w:space="0" w:color="auto"/>
        <w:right w:val="none" w:sz="0" w:space="0" w:color="auto"/>
      </w:divBdr>
    </w:div>
    <w:div w:id="571736526">
      <w:bodyDiv w:val="1"/>
      <w:marLeft w:val="0"/>
      <w:marRight w:val="0"/>
      <w:marTop w:val="0"/>
      <w:marBottom w:val="0"/>
      <w:divBdr>
        <w:top w:val="none" w:sz="0" w:space="0" w:color="auto"/>
        <w:left w:val="none" w:sz="0" w:space="0" w:color="auto"/>
        <w:bottom w:val="none" w:sz="0" w:space="0" w:color="auto"/>
        <w:right w:val="none" w:sz="0" w:space="0" w:color="auto"/>
      </w:divBdr>
      <w:divsChild>
        <w:div w:id="913393089">
          <w:marLeft w:val="0"/>
          <w:marRight w:val="0"/>
          <w:marTop w:val="0"/>
          <w:marBottom w:val="0"/>
          <w:divBdr>
            <w:top w:val="none" w:sz="0" w:space="0" w:color="auto"/>
            <w:left w:val="none" w:sz="0" w:space="0" w:color="auto"/>
            <w:bottom w:val="none" w:sz="0" w:space="0" w:color="auto"/>
            <w:right w:val="none" w:sz="0" w:space="0" w:color="auto"/>
          </w:divBdr>
        </w:div>
        <w:div w:id="371156624">
          <w:marLeft w:val="0"/>
          <w:marRight w:val="0"/>
          <w:marTop w:val="0"/>
          <w:marBottom w:val="0"/>
          <w:divBdr>
            <w:top w:val="none" w:sz="0" w:space="0" w:color="auto"/>
            <w:left w:val="none" w:sz="0" w:space="0" w:color="auto"/>
            <w:bottom w:val="none" w:sz="0" w:space="0" w:color="auto"/>
            <w:right w:val="none" w:sz="0" w:space="0" w:color="auto"/>
          </w:divBdr>
        </w:div>
        <w:div w:id="1027874414">
          <w:marLeft w:val="0"/>
          <w:marRight w:val="0"/>
          <w:marTop w:val="0"/>
          <w:marBottom w:val="0"/>
          <w:divBdr>
            <w:top w:val="none" w:sz="0" w:space="0" w:color="auto"/>
            <w:left w:val="none" w:sz="0" w:space="0" w:color="auto"/>
            <w:bottom w:val="none" w:sz="0" w:space="0" w:color="auto"/>
            <w:right w:val="none" w:sz="0" w:space="0" w:color="auto"/>
          </w:divBdr>
        </w:div>
        <w:div w:id="38480269">
          <w:marLeft w:val="0"/>
          <w:marRight w:val="0"/>
          <w:marTop w:val="0"/>
          <w:marBottom w:val="0"/>
          <w:divBdr>
            <w:top w:val="none" w:sz="0" w:space="0" w:color="auto"/>
            <w:left w:val="none" w:sz="0" w:space="0" w:color="auto"/>
            <w:bottom w:val="none" w:sz="0" w:space="0" w:color="auto"/>
            <w:right w:val="none" w:sz="0" w:space="0" w:color="auto"/>
          </w:divBdr>
        </w:div>
      </w:divsChild>
    </w:div>
    <w:div w:id="576941631">
      <w:bodyDiv w:val="1"/>
      <w:marLeft w:val="0"/>
      <w:marRight w:val="0"/>
      <w:marTop w:val="0"/>
      <w:marBottom w:val="0"/>
      <w:divBdr>
        <w:top w:val="none" w:sz="0" w:space="0" w:color="auto"/>
        <w:left w:val="none" w:sz="0" w:space="0" w:color="auto"/>
        <w:bottom w:val="none" w:sz="0" w:space="0" w:color="auto"/>
        <w:right w:val="none" w:sz="0" w:space="0" w:color="auto"/>
      </w:divBdr>
    </w:div>
    <w:div w:id="596640159">
      <w:bodyDiv w:val="1"/>
      <w:marLeft w:val="0"/>
      <w:marRight w:val="0"/>
      <w:marTop w:val="0"/>
      <w:marBottom w:val="0"/>
      <w:divBdr>
        <w:top w:val="none" w:sz="0" w:space="0" w:color="auto"/>
        <w:left w:val="none" w:sz="0" w:space="0" w:color="auto"/>
        <w:bottom w:val="none" w:sz="0" w:space="0" w:color="auto"/>
        <w:right w:val="none" w:sz="0" w:space="0" w:color="auto"/>
      </w:divBdr>
    </w:div>
    <w:div w:id="603223099">
      <w:bodyDiv w:val="1"/>
      <w:marLeft w:val="0"/>
      <w:marRight w:val="0"/>
      <w:marTop w:val="0"/>
      <w:marBottom w:val="0"/>
      <w:divBdr>
        <w:top w:val="none" w:sz="0" w:space="0" w:color="auto"/>
        <w:left w:val="none" w:sz="0" w:space="0" w:color="auto"/>
        <w:bottom w:val="none" w:sz="0" w:space="0" w:color="auto"/>
        <w:right w:val="none" w:sz="0" w:space="0" w:color="auto"/>
      </w:divBdr>
    </w:div>
    <w:div w:id="613288065">
      <w:bodyDiv w:val="1"/>
      <w:marLeft w:val="0"/>
      <w:marRight w:val="0"/>
      <w:marTop w:val="0"/>
      <w:marBottom w:val="0"/>
      <w:divBdr>
        <w:top w:val="none" w:sz="0" w:space="0" w:color="auto"/>
        <w:left w:val="none" w:sz="0" w:space="0" w:color="auto"/>
        <w:bottom w:val="none" w:sz="0" w:space="0" w:color="auto"/>
        <w:right w:val="none" w:sz="0" w:space="0" w:color="auto"/>
      </w:divBdr>
    </w:div>
    <w:div w:id="636573447">
      <w:bodyDiv w:val="1"/>
      <w:marLeft w:val="0"/>
      <w:marRight w:val="0"/>
      <w:marTop w:val="0"/>
      <w:marBottom w:val="0"/>
      <w:divBdr>
        <w:top w:val="none" w:sz="0" w:space="0" w:color="auto"/>
        <w:left w:val="none" w:sz="0" w:space="0" w:color="auto"/>
        <w:bottom w:val="none" w:sz="0" w:space="0" w:color="auto"/>
        <w:right w:val="none" w:sz="0" w:space="0" w:color="auto"/>
      </w:divBdr>
    </w:div>
    <w:div w:id="676275175">
      <w:bodyDiv w:val="1"/>
      <w:marLeft w:val="0"/>
      <w:marRight w:val="0"/>
      <w:marTop w:val="0"/>
      <w:marBottom w:val="0"/>
      <w:divBdr>
        <w:top w:val="none" w:sz="0" w:space="0" w:color="auto"/>
        <w:left w:val="none" w:sz="0" w:space="0" w:color="auto"/>
        <w:bottom w:val="none" w:sz="0" w:space="0" w:color="auto"/>
        <w:right w:val="none" w:sz="0" w:space="0" w:color="auto"/>
      </w:divBdr>
    </w:div>
    <w:div w:id="717974945">
      <w:bodyDiv w:val="1"/>
      <w:marLeft w:val="0"/>
      <w:marRight w:val="0"/>
      <w:marTop w:val="0"/>
      <w:marBottom w:val="0"/>
      <w:divBdr>
        <w:top w:val="none" w:sz="0" w:space="0" w:color="auto"/>
        <w:left w:val="none" w:sz="0" w:space="0" w:color="auto"/>
        <w:bottom w:val="none" w:sz="0" w:space="0" w:color="auto"/>
        <w:right w:val="none" w:sz="0" w:space="0" w:color="auto"/>
      </w:divBdr>
    </w:div>
    <w:div w:id="732196370">
      <w:bodyDiv w:val="1"/>
      <w:marLeft w:val="0"/>
      <w:marRight w:val="0"/>
      <w:marTop w:val="0"/>
      <w:marBottom w:val="0"/>
      <w:divBdr>
        <w:top w:val="none" w:sz="0" w:space="0" w:color="auto"/>
        <w:left w:val="none" w:sz="0" w:space="0" w:color="auto"/>
        <w:bottom w:val="none" w:sz="0" w:space="0" w:color="auto"/>
        <w:right w:val="none" w:sz="0" w:space="0" w:color="auto"/>
      </w:divBdr>
    </w:div>
    <w:div w:id="783159486">
      <w:bodyDiv w:val="1"/>
      <w:marLeft w:val="0"/>
      <w:marRight w:val="0"/>
      <w:marTop w:val="0"/>
      <w:marBottom w:val="0"/>
      <w:divBdr>
        <w:top w:val="none" w:sz="0" w:space="0" w:color="auto"/>
        <w:left w:val="none" w:sz="0" w:space="0" w:color="auto"/>
        <w:bottom w:val="none" w:sz="0" w:space="0" w:color="auto"/>
        <w:right w:val="none" w:sz="0" w:space="0" w:color="auto"/>
      </w:divBdr>
    </w:div>
    <w:div w:id="811942682">
      <w:bodyDiv w:val="1"/>
      <w:marLeft w:val="0"/>
      <w:marRight w:val="0"/>
      <w:marTop w:val="0"/>
      <w:marBottom w:val="0"/>
      <w:divBdr>
        <w:top w:val="none" w:sz="0" w:space="0" w:color="auto"/>
        <w:left w:val="none" w:sz="0" w:space="0" w:color="auto"/>
        <w:bottom w:val="none" w:sz="0" w:space="0" w:color="auto"/>
        <w:right w:val="none" w:sz="0" w:space="0" w:color="auto"/>
      </w:divBdr>
    </w:div>
    <w:div w:id="855996175">
      <w:bodyDiv w:val="1"/>
      <w:marLeft w:val="0"/>
      <w:marRight w:val="0"/>
      <w:marTop w:val="0"/>
      <w:marBottom w:val="0"/>
      <w:divBdr>
        <w:top w:val="none" w:sz="0" w:space="0" w:color="auto"/>
        <w:left w:val="none" w:sz="0" w:space="0" w:color="auto"/>
        <w:bottom w:val="none" w:sz="0" w:space="0" w:color="auto"/>
        <w:right w:val="none" w:sz="0" w:space="0" w:color="auto"/>
      </w:divBdr>
      <w:divsChild>
        <w:div w:id="1666397655">
          <w:marLeft w:val="0"/>
          <w:marRight w:val="0"/>
          <w:marTop w:val="0"/>
          <w:marBottom w:val="0"/>
          <w:divBdr>
            <w:top w:val="none" w:sz="0" w:space="0" w:color="auto"/>
            <w:left w:val="none" w:sz="0" w:space="0" w:color="auto"/>
            <w:bottom w:val="none" w:sz="0" w:space="0" w:color="auto"/>
            <w:right w:val="none" w:sz="0" w:space="0" w:color="auto"/>
          </w:divBdr>
          <w:divsChild>
            <w:div w:id="871652341">
              <w:marLeft w:val="0"/>
              <w:marRight w:val="0"/>
              <w:marTop w:val="0"/>
              <w:marBottom w:val="120"/>
              <w:divBdr>
                <w:top w:val="none" w:sz="0" w:space="0" w:color="auto"/>
                <w:left w:val="none" w:sz="0" w:space="0" w:color="auto"/>
                <w:bottom w:val="none" w:sz="0" w:space="0" w:color="auto"/>
                <w:right w:val="none" w:sz="0" w:space="0" w:color="auto"/>
              </w:divBdr>
              <w:divsChild>
                <w:div w:id="12765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0921">
          <w:marLeft w:val="0"/>
          <w:marRight w:val="0"/>
          <w:marTop w:val="0"/>
          <w:marBottom w:val="0"/>
          <w:divBdr>
            <w:top w:val="none" w:sz="0" w:space="0" w:color="auto"/>
            <w:left w:val="none" w:sz="0" w:space="0" w:color="auto"/>
            <w:bottom w:val="none" w:sz="0" w:space="0" w:color="auto"/>
            <w:right w:val="none" w:sz="0" w:space="0" w:color="auto"/>
          </w:divBdr>
          <w:divsChild>
            <w:div w:id="337659900">
              <w:marLeft w:val="0"/>
              <w:marRight w:val="0"/>
              <w:marTop w:val="0"/>
              <w:marBottom w:val="0"/>
              <w:divBdr>
                <w:top w:val="none" w:sz="0" w:space="0" w:color="auto"/>
                <w:left w:val="none" w:sz="0" w:space="0" w:color="auto"/>
                <w:bottom w:val="none" w:sz="0" w:space="0" w:color="auto"/>
                <w:right w:val="none" w:sz="0" w:space="0" w:color="auto"/>
              </w:divBdr>
              <w:divsChild>
                <w:div w:id="43795919">
                  <w:marLeft w:val="0"/>
                  <w:marRight w:val="0"/>
                  <w:marTop w:val="0"/>
                  <w:marBottom w:val="0"/>
                  <w:divBdr>
                    <w:top w:val="none" w:sz="0" w:space="0" w:color="auto"/>
                    <w:left w:val="none" w:sz="0" w:space="0" w:color="auto"/>
                    <w:bottom w:val="none" w:sz="0" w:space="0" w:color="auto"/>
                    <w:right w:val="none" w:sz="0" w:space="0" w:color="auto"/>
                  </w:divBdr>
                  <w:divsChild>
                    <w:div w:id="168101236">
                      <w:marLeft w:val="360"/>
                      <w:marRight w:val="360"/>
                      <w:marTop w:val="240"/>
                      <w:marBottom w:val="240"/>
                      <w:divBdr>
                        <w:top w:val="none" w:sz="0" w:space="0" w:color="auto"/>
                        <w:left w:val="none" w:sz="0" w:space="0" w:color="auto"/>
                        <w:bottom w:val="none" w:sz="0" w:space="0" w:color="auto"/>
                        <w:right w:val="none" w:sz="0" w:space="0" w:color="auto"/>
                      </w:divBdr>
                    </w:div>
                    <w:div w:id="968778432">
                      <w:marLeft w:val="360"/>
                      <w:marRight w:val="360"/>
                      <w:marTop w:val="240"/>
                      <w:marBottom w:val="240"/>
                      <w:divBdr>
                        <w:top w:val="none" w:sz="0" w:space="0" w:color="auto"/>
                        <w:left w:val="none" w:sz="0" w:space="0" w:color="auto"/>
                        <w:bottom w:val="none" w:sz="0" w:space="0" w:color="auto"/>
                        <w:right w:val="none" w:sz="0" w:space="0" w:color="auto"/>
                      </w:divBdr>
                    </w:div>
                  </w:divsChild>
                </w:div>
                <w:div w:id="1788743122">
                  <w:marLeft w:val="0"/>
                  <w:marRight w:val="0"/>
                  <w:marTop w:val="0"/>
                  <w:marBottom w:val="0"/>
                  <w:divBdr>
                    <w:top w:val="none" w:sz="0" w:space="0" w:color="auto"/>
                    <w:left w:val="none" w:sz="0" w:space="0" w:color="auto"/>
                    <w:bottom w:val="none" w:sz="0" w:space="0" w:color="auto"/>
                    <w:right w:val="none" w:sz="0" w:space="0" w:color="auto"/>
                  </w:divBdr>
                  <w:divsChild>
                    <w:div w:id="160316920">
                      <w:marLeft w:val="360"/>
                      <w:marRight w:val="360"/>
                      <w:marTop w:val="240"/>
                      <w:marBottom w:val="240"/>
                      <w:divBdr>
                        <w:top w:val="none" w:sz="0" w:space="0" w:color="auto"/>
                        <w:left w:val="none" w:sz="0" w:space="0" w:color="auto"/>
                        <w:bottom w:val="none" w:sz="0" w:space="0" w:color="auto"/>
                        <w:right w:val="none" w:sz="0" w:space="0" w:color="auto"/>
                      </w:divBdr>
                    </w:div>
                  </w:divsChild>
                </w:div>
                <w:div w:id="731123693">
                  <w:marLeft w:val="0"/>
                  <w:marRight w:val="0"/>
                  <w:marTop w:val="0"/>
                  <w:marBottom w:val="0"/>
                  <w:divBdr>
                    <w:top w:val="none" w:sz="0" w:space="0" w:color="auto"/>
                    <w:left w:val="none" w:sz="0" w:space="0" w:color="auto"/>
                    <w:bottom w:val="none" w:sz="0" w:space="0" w:color="auto"/>
                    <w:right w:val="none" w:sz="0" w:space="0" w:color="auto"/>
                  </w:divBdr>
                  <w:divsChild>
                    <w:div w:id="257255122">
                      <w:marLeft w:val="360"/>
                      <w:marRight w:val="360"/>
                      <w:marTop w:val="240"/>
                      <w:marBottom w:val="240"/>
                      <w:divBdr>
                        <w:top w:val="none" w:sz="0" w:space="0" w:color="auto"/>
                        <w:left w:val="none" w:sz="0" w:space="0" w:color="auto"/>
                        <w:bottom w:val="none" w:sz="0" w:space="0" w:color="auto"/>
                        <w:right w:val="none" w:sz="0" w:space="0" w:color="auto"/>
                      </w:divBdr>
                    </w:div>
                  </w:divsChild>
                </w:div>
                <w:div w:id="1560361930">
                  <w:marLeft w:val="0"/>
                  <w:marRight w:val="0"/>
                  <w:marTop w:val="0"/>
                  <w:marBottom w:val="0"/>
                  <w:divBdr>
                    <w:top w:val="none" w:sz="0" w:space="0" w:color="auto"/>
                    <w:left w:val="none" w:sz="0" w:space="0" w:color="auto"/>
                    <w:bottom w:val="none" w:sz="0" w:space="0" w:color="auto"/>
                    <w:right w:val="none" w:sz="0" w:space="0" w:color="auto"/>
                  </w:divBdr>
                  <w:divsChild>
                    <w:div w:id="1633248101">
                      <w:marLeft w:val="360"/>
                      <w:marRight w:val="360"/>
                      <w:marTop w:val="240"/>
                      <w:marBottom w:val="240"/>
                      <w:divBdr>
                        <w:top w:val="none" w:sz="0" w:space="0" w:color="auto"/>
                        <w:left w:val="none" w:sz="0" w:space="0" w:color="auto"/>
                        <w:bottom w:val="none" w:sz="0" w:space="0" w:color="auto"/>
                        <w:right w:val="none" w:sz="0" w:space="0" w:color="auto"/>
                      </w:divBdr>
                    </w:div>
                    <w:div w:id="517280328">
                      <w:marLeft w:val="360"/>
                      <w:marRight w:val="360"/>
                      <w:marTop w:val="240"/>
                      <w:marBottom w:val="240"/>
                      <w:divBdr>
                        <w:top w:val="none" w:sz="0" w:space="0" w:color="auto"/>
                        <w:left w:val="none" w:sz="0" w:space="0" w:color="auto"/>
                        <w:bottom w:val="none" w:sz="0" w:space="0" w:color="auto"/>
                        <w:right w:val="none" w:sz="0" w:space="0" w:color="auto"/>
                      </w:divBdr>
                    </w:div>
                  </w:divsChild>
                </w:div>
                <w:div w:id="1245190461">
                  <w:marLeft w:val="0"/>
                  <w:marRight w:val="0"/>
                  <w:marTop w:val="0"/>
                  <w:marBottom w:val="0"/>
                  <w:divBdr>
                    <w:top w:val="none" w:sz="0" w:space="0" w:color="auto"/>
                    <w:left w:val="none" w:sz="0" w:space="0" w:color="auto"/>
                    <w:bottom w:val="none" w:sz="0" w:space="0" w:color="auto"/>
                    <w:right w:val="none" w:sz="0" w:space="0" w:color="auto"/>
                  </w:divBdr>
                  <w:divsChild>
                    <w:div w:id="204757080">
                      <w:marLeft w:val="360"/>
                      <w:marRight w:val="360"/>
                      <w:marTop w:val="240"/>
                      <w:marBottom w:val="240"/>
                      <w:divBdr>
                        <w:top w:val="none" w:sz="0" w:space="0" w:color="auto"/>
                        <w:left w:val="none" w:sz="0" w:space="0" w:color="auto"/>
                        <w:bottom w:val="none" w:sz="0" w:space="0" w:color="auto"/>
                        <w:right w:val="none" w:sz="0" w:space="0" w:color="auto"/>
                      </w:divBdr>
                    </w:div>
                  </w:divsChild>
                </w:div>
                <w:div w:id="1811435127">
                  <w:marLeft w:val="0"/>
                  <w:marRight w:val="0"/>
                  <w:marTop w:val="0"/>
                  <w:marBottom w:val="0"/>
                  <w:divBdr>
                    <w:top w:val="none" w:sz="0" w:space="0" w:color="auto"/>
                    <w:left w:val="none" w:sz="0" w:space="0" w:color="auto"/>
                    <w:bottom w:val="none" w:sz="0" w:space="0" w:color="auto"/>
                    <w:right w:val="none" w:sz="0" w:space="0" w:color="auto"/>
                  </w:divBdr>
                  <w:divsChild>
                    <w:div w:id="1273977158">
                      <w:marLeft w:val="360"/>
                      <w:marRight w:val="360"/>
                      <w:marTop w:val="240"/>
                      <w:marBottom w:val="240"/>
                      <w:divBdr>
                        <w:top w:val="none" w:sz="0" w:space="0" w:color="auto"/>
                        <w:left w:val="none" w:sz="0" w:space="0" w:color="auto"/>
                        <w:bottom w:val="none" w:sz="0" w:space="0" w:color="auto"/>
                        <w:right w:val="none" w:sz="0" w:space="0" w:color="auto"/>
                      </w:divBdr>
                    </w:div>
                  </w:divsChild>
                </w:div>
                <w:div w:id="1993943545">
                  <w:marLeft w:val="0"/>
                  <w:marRight w:val="0"/>
                  <w:marTop w:val="0"/>
                  <w:marBottom w:val="0"/>
                  <w:divBdr>
                    <w:top w:val="none" w:sz="0" w:space="0" w:color="auto"/>
                    <w:left w:val="none" w:sz="0" w:space="0" w:color="auto"/>
                    <w:bottom w:val="none" w:sz="0" w:space="0" w:color="auto"/>
                    <w:right w:val="none" w:sz="0" w:space="0" w:color="auto"/>
                  </w:divBdr>
                  <w:divsChild>
                    <w:div w:id="62217680">
                      <w:marLeft w:val="360"/>
                      <w:marRight w:val="360"/>
                      <w:marTop w:val="240"/>
                      <w:marBottom w:val="240"/>
                      <w:divBdr>
                        <w:top w:val="none" w:sz="0" w:space="0" w:color="auto"/>
                        <w:left w:val="none" w:sz="0" w:space="0" w:color="auto"/>
                        <w:bottom w:val="none" w:sz="0" w:space="0" w:color="auto"/>
                        <w:right w:val="none" w:sz="0" w:space="0" w:color="auto"/>
                      </w:divBdr>
                    </w:div>
                    <w:div w:id="1099057003">
                      <w:marLeft w:val="360"/>
                      <w:marRight w:val="360"/>
                      <w:marTop w:val="240"/>
                      <w:marBottom w:val="240"/>
                      <w:divBdr>
                        <w:top w:val="none" w:sz="0" w:space="0" w:color="auto"/>
                        <w:left w:val="none" w:sz="0" w:space="0" w:color="auto"/>
                        <w:bottom w:val="none" w:sz="0" w:space="0" w:color="auto"/>
                        <w:right w:val="none" w:sz="0" w:space="0" w:color="auto"/>
                      </w:divBdr>
                    </w:div>
                  </w:divsChild>
                </w:div>
                <w:div w:id="2066948411">
                  <w:marLeft w:val="0"/>
                  <w:marRight w:val="0"/>
                  <w:marTop w:val="0"/>
                  <w:marBottom w:val="0"/>
                  <w:divBdr>
                    <w:top w:val="none" w:sz="0" w:space="0" w:color="auto"/>
                    <w:left w:val="none" w:sz="0" w:space="0" w:color="auto"/>
                    <w:bottom w:val="none" w:sz="0" w:space="0" w:color="auto"/>
                    <w:right w:val="none" w:sz="0" w:space="0" w:color="auto"/>
                  </w:divBdr>
                  <w:divsChild>
                    <w:div w:id="979919170">
                      <w:marLeft w:val="360"/>
                      <w:marRight w:val="360"/>
                      <w:marTop w:val="240"/>
                      <w:marBottom w:val="240"/>
                      <w:divBdr>
                        <w:top w:val="none" w:sz="0" w:space="0" w:color="auto"/>
                        <w:left w:val="none" w:sz="0" w:space="0" w:color="auto"/>
                        <w:bottom w:val="none" w:sz="0" w:space="0" w:color="auto"/>
                        <w:right w:val="none" w:sz="0" w:space="0" w:color="auto"/>
                      </w:divBdr>
                    </w:div>
                    <w:div w:id="1714957405">
                      <w:marLeft w:val="360"/>
                      <w:marRight w:val="360"/>
                      <w:marTop w:val="240"/>
                      <w:marBottom w:val="240"/>
                      <w:divBdr>
                        <w:top w:val="none" w:sz="0" w:space="0" w:color="auto"/>
                        <w:left w:val="none" w:sz="0" w:space="0" w:color="auto"/>
                        <w:bottom w:val="none" w:sz="0" w:space="0" w:color="auto"/>
                        <w:right w:val="none" w:sz="0" w:space="0" w:color="auto"/>
                      </w:divBdr>
                    </w:div>
                  </w:divsChild>
                </w:div>
                <w:div w:id="1970864511">
                  <w:marLeft w:val="0"/>
                  <w:marRight w:val="0"/>
                  <w:marTop w:val="0"/>
                  <w:marBottom w:val="0"/>
                  <w:divBdr>
                    <w:top w:val="none" w:sz="0" w:space="0" w:color="auto"/>
                    <w:left w:val="none" w:sz="0" w:space="0" w:color="auto"/>
                    <w:bottom w:val="none" w:sz="0" w:space="0" w:color="auto"/>
                    <w:right w:val="none" w:sz="0" w:space="0" w:color="auto"/>
                  </w:divBdr>
                  <w:divsChild>
                    <w:div w:id="580987389">
                      <w:marLeft w:val="0"/>
                      <w:marRight w:val="0"/>
                      <w:marTop w:val="240"/>
                      <w:marBottom w:val="240"/>
                      <w:divBdr>
                        <w:top w:val="single" w:sz="12" w:space="0" w:color="EBEBEB"/>
                        <w:left w:val="none" w:sz="0" w:space="0" w:color="auto"/>
                        <w:bottom w:val="single" w:sz="12" w:space="0" w:color="EBEBEB"/>
                        <w:right w:val="none" w:sz="0" w:space="0" w:color="auto"/>
                      </w:divBdr>
                      <w:divsChild>
                        <w:div w:id="1918007851">
                          <w:marLeft w:val="360"/>
                          <w:marRight w:val="360"/>
                          <w:marTop w:val="240"/>
                          <w:marBottom w:val="240"/>
                          <w:divBdr>
                            <w:top w:val="none" w:sz="0" w:space="0" w:color="auto"/>
                            <w:left w:val="none" w:sz="0" w:space="0" w:color="auto"/>
                            <w:bottom w:val="none" w:sz="0" w:space="0" w:color="auto"/>
                            <w:right w:val="none" w:sz="0" w:space="0" w:color="auto"/>
                          </w:divBdr>
                        </w:div>
                        <w:div w:id="11786926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1143919">
                  <w:marLeft w:val="0"/>
                  <w:marRight w:val="0"/>
                  <w:marTop w:val="0"/>
                  <w:marBottom w:val="0"/>
                  <w:divBdr>
                    <w:top w:val="none" w:sz="0" w:space="0" w:color="auto"/>
                    <w:left w:val="none" w:sz="0" w:space="0" w:color="auto"/>
                    <w:bottom w:val="none" w:sz="0" w:space="0" w:color="auto"/>
                    <w:right w:val="none" w:sz="0" w:space="0" w:color="auto"/>
                  </w:divBdr>
                  <w:divsChild>
                    <w:div w:id="1377120694">
                      <w:marLeft w:val="0"/>
                      <w:marRight w:val="0"/>
                      <w:marTop w:val="240"/>
                      <w:marBottom w:val="240"/>
                      <w:divBdr>
                        <w:top w:val="single" w:sz="12" w:space="0" w:color="EBEBEB"/>
                        <w:left w:val="none" w:sz="0" w:space="0" w:color="auto"/>
                        <w:bottom w:val="single" w:sz="12" w:space="0" w:color="EBEBEB"/>
                        <w:right w:val="none" w:sz="0" w:space="0" w:color="auto"/>
                      </w:divBdr>
                      <w:divsChild>
                        <w:div w:id="2114088603">
                          <w:marLeft w:val="360"/>
                          <w:marRight w:val="360"/>
                          <w:marTop w:val="240"/>
                          <w:marBottom w:val="240"/>
                          <w:divBdr>
                            <w:top w:val="none" w:sz="0" w:space="0" w:color="auto"/>
                            <w:left w:val="none" w:sz="0" w:space="0" w:color="auto"/>
                            <w:bottom w:val="none" w:sz="0" w:space="0" w:color="auto"/>
                            <w:right w:val="none" w:sz="0" w:space="0" w:color="auto"/>
                          </w:divBdr>
                        </w:div>
                        <w:div w:id="2729853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4517225">
                  <w:marLeft w:val="0"/>
                  <w:marRight w:val="0"/>
                  <w:marTop w:val="0"/>
                  <w:marBottom w:val="0"/>
                  <w:divBdr>
                    <w:top w:val="none" w:sz="0" w:space="0" w:color="auto"/>
                    <w:left w:val="none" w:sz="0" w:space="0" w:color="auto"/>
                    <w:bottom w:val="none" w:sz="0" w:space="0" w:color="auto"/>
                    <w:right w:val="none" w:sz="0" w:space="0" w:color="auto"/>
                  </w:divBdr>
                  <w:divsChild>
                    <w:div w:id="1600212741">
                      <w:marLeft w:val="0"/>
                      <w:marRight w:val="0"/>
                      <w:marTop w:val="240"/>
                      <w:marBottom w:val="240"/>
                      <w:divBdr>
                        <w:top w:val="single" w:sz="12" w:space="0" w:color="EBEBEB"/>
                        <w:left w:val="none" w:sz="0" w:space="0" w:color="auto"/>
                        <w:bottom w:val="single" w:sz="12" w:space="0" w:color="EBEBEB"/>
                        <w:right w:val="none" w:sz="0" w:space="0" w:color="auto"/>
                      </w:divBdr>
                      <w:divsChild>
                        <w:div w:id="658073775">
                          <w:marLeft w:val="360"/>
                          <w:marRight w:val="360"/>
                          <w:marTop w:val="240"/>
                          <w:marBottom w:val="240"/>
                          <w:divBdr>
                            <w:top w:val="none" w:sz="0" w:space="0" w:color="auto"/>
                            <w:left w:val="none" w:sz="0" w:space="0" w:color="auto"/>
                            <w:bottom w:val="none" w:sz="0" w:space="0" w:color="auto"/>
                            <w:right w:val="none" w:sz="0" w:space="0" w:color="auto"/>
                          </w:divBdr>
                        </w:div>
                        <w:div w:id="384529175">
                          <w:marLeft w:val="0"/>
                          <w:marRight w:val="0"/>
                          <w:marTop w:val="240"/>
                          <w:marBottom w:val="240"/>
                          <w:divBdr>
                            <w:top w:val="none" w:sz="0" w:space="0" w:color="auto"/>
                            <w:left w:val="none" w:sz="0" w:space="0" w:color="auto"/>
                            <w:bottom w:val="none" w:sz="0" w:space="0" w:color="auto"/>
                            <w:right w:val="none" w:sz="0" w:space="0" w:color="auto"/>
                          </w:divBdr>
                        </w:div>
                      </w:divsChild>
                    </w:div>
                    <w:div w:id="1912158518">
                      <w:marLeft w:val="0"/>
                      <w:marRight w:val="0"/>
                      <w:marTop w:val="240"/>
                      <w:marBottom w:val="240"/>
                      <w:divBdr>
                        <w:top w:val="single" w:sz="12" w:space="0" w:color="EBEBEB"/>
                        <w:left w:val="none" w:sz="0" w:space="0" w:color="auto"/>
                        <w:bottom w:val="single" w:sz="12" w:space="0" w:color="EBEBEB"/>
                        <w:right w:val="none" w:sz="0" w:space="0" w:color="auto"/>
                      </w:divBdr>
                      <w:divsChild>
                        <w:div w:id="74864716">
                          <w:marLeft w:val="360"/>
                          <w:marRight w:val="360"/>
                          <w:marTop w:val="240"/>
                          <w:marBottom w:val="240"/>
                          <w:divBdr>
                            <w:top w:val="none" w:sz="0" w:space="0" w:color="auto"/>
                            <w:left w:val="none" w:sz="0" w:space="0" w:color="auto"/>
                            <w:bottom w:val="none" w:sz="0" w:space="0" w:color="auto"/>
                            <w:right w:val="none" w:sz="0" w:space="0" w:color="auto"/>
                          </w:divBdr>
                        </w:div>
                        <w:div w:id="493298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7858671">
                  <w:marLeft w:val="0"/>
                  <w:marRight w:val="0"/>
                  <w:marTop w:val="0"/>
                  <w:marBottom w:val="0"/>
                  <w:divBdr>
                    <w:top w:val="none" w:sz="0" w:space="0" w:color="auto"/>
                    <w:left w:val="none" w:sz="0" w:space="0" w:color="auto"/>
                    <w:bottom w:val="none" w:sz="0" w:space="0" w:color="auto"/>
                    <w:right w:val="none" w:sz="0" w:space="0" w:color="auto"/>
                  </w:divBdr>
                  <w:divsChild>
                    <w:div w:id="1237009702">
                      <w:marLeft w:val="0"/>
                      <w:marRight w:val="0"/>
                      <w:marTop w:val="240"/>
                      <w:marBottom w:val="240"/>
                      <w:divBdr>
                        <w:top w:val="single" w:sz="12" w:space="0" w:color="EBEBEB"/>
                        <w:left w:val="none" w:sz="0" w:space="0" w:color="auto"/>
                        <w:bottom w:val="single" w:sz="12" w:space="0" w:color="EBEBEB"/>
                        <w:right w:val="none" w:sz="0" w:space="0" w:color="auto"/>
                      </w:divBdr>
                      <w:divsChild>
                        <w:div w:id="966737639">
                          <w:marLeft w:val="360"/>
                          <w:marRight w:val="360"/>
                          <w:marTop w:val="240"/>
                          <w:marBottom w:val="240"/>
                          <w:divBdr>
                            <w:top w:val="none" w:sz="0" w:space="0" w:color="auto"/>
                            <w:left w:val="none" w:sz="0" w:space="0" w:color="auto"/>
                            <w:bottom w:val="none" w:sz="0" w:space="0" w:color="auto"/>
                            <w:right w:val="none" w:sz="0" w:space="0" w:color="auto"/>
                          </w:divBdr>
                        </w:div>
                        <w:div w:id="14743242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2434607">
                  <w:marLeft w:val="0"/>
                  <w:marRight w:val="0"/>
                  <w:marTop w:val="0"/>
                  <w:marBottom w:val="0"/>
                  <w:divBdr>
                    <w:top w:val="none" w:sz="0" w:space="0" w:color="auto"/>
                    <w:left w:val="none" w:sz="0" w:space="0" w:color="auto"/>
                    <w:bottom w:val="none" w:sz="0" w:space="0" w:color="auto"/>
                    <w:right w:val="none" w:sz="0" w:space="0" w:color="auto"/>
                  </w:divBdr>
                  <w:divsChild>
                    <w:div w:id="1406493391">
                      <w:marLeft w:val="0"/>
                      <w:marRight w:val="0"/>
                      <w:marTop w:val="240"/>
                      <w:marBottom w:val="240"/>
                      <w:divBdr>
                        <w:top w:val="single" w:sz="12" w:space="0" w:color="EBEBEB"/>
                        <w:left w:val="none" w:sz="0" w:space="0" w:color="auto"/>
                        <w:bottom w:val="single" w:sz="12" w:space="0" w:color="EBEBEB"/>
                        <w:right w:val="none" w:sz="0" w:space="0" w:color="auto"/>
                      </w:divBdr>
                      <w:divsChild>
                        <w:div w:id="967707463">
                          <w:marLeft w:val="360"/>
                          <w:marRight w:val="360"/>
                          <w:marTop w:val="240"/>
                          <w:marBottom w:val="240"/>
                          <w:divBdr>
                            <w:top w:val="none" w:sz="0" w:space="0" w:color="auto"/>
                            <w:left w:val="none" w:sz="0" w:space="0" w:color="auto"/>
                            <w:bottom w:val="none" w:sz="0" w:space="0" w:color="auto"/>
                            <w:right w:val="none" w:sz="0" w:space="0" w:color="auto"/>
                          </w:divBdr>
                        </w:div>
                        <w:div w:id="1262181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2905952">
          <w:marLeft w:val="0"/>
          <w:marRight w:val="0"/>
          <w:marTop w:val="300"/>
          <w:marBottom w:val="300"/>
          <w:divBdr>
            <w:top w:val="none" w:sz="0" w:space="0" w:color="auto"/>
            <w:left w:val="none" w:sz="0" w:space="0" w:color="auto"/>
            <w:bottom w:val="none" w:sz="0" w:space="0" w:color="auto"/>
            <w:right w:val="none" w:sz="0" w:space="0" w:color="auto"/>
          </w:divBdr>
        </w:div>
        <w:div w:id="1685934145">
          <w:marLeft w:val="0"/>
          <w:marRight w:val="0"/>
          <w:marTop w:val="0"/>
          <w:marBottom w:val="0"/>
          <w:divBdr>
            <w:top w:val="none" w:sz="0" w:space="0" w:color="auto"/>
            <w:left w:val="none" w:sz="0" w:space="0" w:color="auto"/>
            <w:bottom w:val="none" w:sz="0" w:space="0" w:color="auto"/>
            <w:right w:val="none" w:sz="0" w:space="0" w:color="auto"/>
          </w:divBdr>
        </w:div>
        <w:div w:id="1744835456">
          <w:marLeft w:val="0"/>
          <w:marRight w:val="0"/>
          <w:marTop w:val="0"/>
          <w:marBottom w:val="0"/>
          <w:divBdr>
            <w:top w:val="none" w:sz="0" w:space="0" w:color="auto"/>
            <w:left w:val="none" w:sz="0" w:space="0" w:color="auto"/>
            <w:bottom w:val="none" w:sz="0" w:space="0" w:color="auto"/>
            <w:right w:val="none" w:sz="0" w:space="0" w:color="auto"/>
          </w:divBdr>
        </w:div>
        <w:div w:id="558563732">
          <w:marLeft w:val="0"/>
          <w:marRight w:val="0"/>
          <w:marTop w:val="0"/>
          <w:marBottom w:val="0"/>
          <w:divBdr>
            <w:top w:val="none" w:sz="0" w:space="0" w:color="auto"/>
            <w:left w:val="none" w:sz="0" w:space="0" w:color="auto"/>
            <w:bottom w:val="none" w:sz="0" w:space="0" w:color="auto"/>
            <w:right w:val="none" w:sz="0" w:space="0" w:color="auto"/>
          </w:divBdr>
        </w:div>
        <w:div w:id="543256183">
          <w:marLeft w:val="0"/>
          <w:marRight w:val="0"/>
          <w:marTop w:val="0"/>
          <w:marBottom w:val="0"/>
          <w:divBdr>
            <w:top w:val="none" w:sz="0" w:space="0" w:color="auto"/>
            <w:left w:val="none" w:sz="0" w:space="0" w:color="auto"/>
            <w:bottom w:val="none" w:sz="0" w:space="0" w:color="auto"/>
            <w:right w:val="none" w:sz="0" w:space="0" w:color="auto"/>
          </w:divBdr>
        </w:div>
        <w:div w:id="2070415004">
          <w:marLeft w:val="0"/>
          <w:marRight w:val="0"/>
          <w:marTop w:val="0"/>
          <w:marBottom w:val="0"/>
          <w:divBdr>
            <w:top w:val="none" w:sz="0" w:space="0" w:color="auto"/>
            <w:left w:val="none" w:sz="0" w:space="0" w:color="auto"/>
            <w:bottom w:val="none" w:sz="0" w:space="0" w:color="auto"/>
            <w:right w:val="none" w:sz="0" w:space="0" w:color="auto"/>
          </w:divBdr>
        </w:div>
        <w:div w:id="699011875">
          <w:marLeft w:val="0"/>
          <w:marRight w:val="0"/>
          <w:marTop w:val="0"/>
          <w:marBottom w:val="0"/>
          <w:divBdr>
            <w:top w:val="none" w:sz="0" w:space="0" w:color="auto"/>
            <w:left w:val="none" w:sz="0" w:space="0" w:color="auto"/>
            <w:bottom w:val="none" w:sz="0" w:space="0" w:color="auto"/>
            <w:right w:val="none" w:sz="0" w:space="0" w:color="auto"/>
          </w:divBdr>
        </w:div>
        <w:div w:id="998576169">
          <w:marLeft w:val="0"/>
          <w:marRight w:val="0"/>
          <w:marTop w:val="0"/>
          <w:marBottom w:val="0"/>
          <w:divBdr>
            <w:top w:val="none" w:sz="0" w:space="0" w:color="auto"/>
            <w:left w:val="none" w:sz="0" w:space="0" w:color="auto"/>
            <w:bottom w:val="none" w:sz="0" w:space="0" w:color="auto"/>
            <w:right w:val="none" w:sz="0" w:space="0" w:color="auto"/>
          </w:divBdr>
        </w:div>
        <w:div w:id="141434178">
          <w:marLeft w:val="0"/>
          <w:marRight w:val="0"/>
          <w:marTop w:val="0"/>
          <w:marBottom w:val="0"/>
          <w:divBdr>
            <w:top w:val="none" w:sz="0" w:space="0" w:color="auto"/>
            <w:left w:val="none" w:sz="0" w:space="0" w:color="auto"/>
            <w:bottom w:val="none" w:sz="0" w:space="0" w:color="auto"/>
            <w:right w:val="none" w:sz="0" w:space="0" w:color="auto"/>
          </w:divBdr>
        </w:div>
        <w:div w:id="177817353">
          <w:marLeft w:val="0"/>
          <w:marRight w:val="0"/>
          <w:marTop w:val="0"/>
          <w:marBottom w:val="0"/>
          <w:divBdr>
            <w:top w:val="none" w:sz="0" w:space="0" w:color="auto"/>
            <w:left w:val="none" w:sz="0" w:space="0" w:color="auto"/>
            <w:bottom w:val="none" w:sz="0" w:space="0" w:color="auto"/>
            <w:right w:val="none" w:sz="0" w:space="0" w:color="auto"/>
          </w:divBdr>
        </w:div>
        <w:div w:id="1306927972">
          <w:marLeft w:val="0"/>
          <w:marRight w:val="0"/>
          <w:marTop w:val="0"/>
          <w:marBottom w:val="0"/>
          <w:divBdr>
            <w:top w:val="none" w:sz="0" w:space="0" w:color="auto"/>
            <w:left w:val="none" w:sz="0" w:space="0" w:color="auto"/>
            <w:bottom w:val="none" w:sz="0" w:space="0" w:color="auto"/>
            <w:right w:val="none" w:sz="0" w:space="0" w:color="auto"/>
          </w:divBdr>
        </w:div>
        <w:div w:id="1075738728">
          <w:marLeft w:val="0"/>
          <w:marRight w:val="0"/>
          <w:marTop w:val="0"/>
          <w:marBottom w:val="0"/>
          <w:divBdr>
            <w:top w:val="none" w:sz="0" w:space="0" w:color="auto"/>
            <w:left w:val="none" w:sz="0" w:space="0" w:color="auto"/>
            <w:bottom w:val="none" w:sz="0" w:space="0" w:color="auto"/>
            <w:right w:val="none" w:sz="0" w:space="0" w:color="auto"/>
          </w:divBdr>
        </w:div>
        <w:div w:id="1287195689">
          <w:marLeft w:val="0"/>
          <w:marRight w:val="0"/>
          <w:marTop w:val="0"/>
          <w:marBottom w:val="0"/>
          <w:divBdr>
            <w:top w:val="none" w:sz="0" w:space="0" w:color="auto"/>
            <w:left w:val="none" w:sz="0" w:space="0" w:color="auto"/>
            <w:bottom w:val="none" w:sz="0" w:space="0" w:color="auto"/>
            <w:right w:val="none" w:sz="0" w:space="0" w:color="auto"/>
          </w:divBdr>
        </w:div>
        <w:div w:id="2144229899">
          <w:marLeft w:val="0"/>
          <w:marRight w:val="0"/>
          <w:marTop w:val="0"/>
          <w:marBottom w:val="0"/>
          <w:divBdr>
            <w:top w:val="none" w:sz="0" w:space="0" w:color="auto"/>
            <w:left w:val="none" w:sz="0" w:space="0" w:color="auto"/>
            <w:bottom w:val="none" w:sz="0" w:space="0" w:color="auto"/>
            <w:right w:val="none" w:sz="0" w:space="0" w:color="auto"/>
          </w:divBdr>
        </w:div>
        <w:div w:id="1966544576">
          <w:marLeft w:val="0"/>
          <w:marRight w:val="0"/>
          <w:marTop w:val="0"/>
          <w:marBottom w:val="0"/>
          <w:divBdr>
            <w:top w:val="none" w:sz="0" w:space="0" w:color="auto"/>
            <w:left w:val="none" w:sz="0" w:space="0" w:color="auto"/>
            <w:bottom w:val="none" w:sz="0" w:space="0" w:color="auto"/>
            <w:right w:val="none" w:sz="0" w:space="0" w:color="auto"/>
          </w:divBdr>
        </w:div>
        <w:div w:id="1399749751">
          <w:marLeft w:val="0"/>
          <w:marRight w:val="0"/>
          <w:marTop w:val="0"/>
          <w:marBottom w:val="0"/>
          <w:divBdr>
            <w:top w:val="none" w:sz="0" w:space="0" w:color="auto"/>
            <w:left w:val="none" w:sz="0" w:space="0" w:color="auto"/>
            <w:bottom w:val="none" w:sz="0" w:space="0" w:color="auto"/>
            <w:right w:val="none" w:sz="0" w:space="0" w:color="auto"/>
          </w:divBdr>
        </w:div>
        <w:div w:id="372267076">
          <w:marLeft w:val="0"/>
          <w:marRight w:val="0"/>
          <w:marTop w:val="0"/>
          <w:marBottom w:val="0"/>
          <w:divBdr>
            <w:top w:val="none" w:sz="0" w:space="0" w:color="auto"/>
            <w:left w:val="none" w:sz="0" w:space="0" w:color="auto"/>
            <w:bottom w:val="none" w:sz="0" w:space="0" w:color="auto"/>
            <w:right w:val="none" w:sz="0" w:space="0" w:color="auto"/>
          </w:divBdr>
        </w:div>
        <w:div w:id="1421367499">
          <w:marLeft w:val="0"/>
          <w:marRight w:val="0"/>
          <w:marTop w:val="0"/>
          <w:marBottom w:val="0"/>
          <w:divBdr>
            <w:top w:val="none" w:sz="0" w:space="0" w:color="auto"/>
            <w:left w:val="none" w:sz="0" w:space="0" w:color="auto"/>
            <w:bottom w:val="none" w:sz="0" w:space="0" w:color="auto"/>
            <w:right w:val="none" w:sz="0" w:space="0" w:color="auto"/>
          </w:divBdr>
        </w:div>
        <w:div w:id="134371551">
          <w:marLeft w:val="0"/>
          <w:marRight w:val="0"/>
          <w:marTop w:val="0"/>
          <w:marBottom w:val="0"/>
          <w:divBdr>
            <w:top w:val="none" w:sz="0" w:space="0" w:color="auto"/>
            <w:left w:val="none" w:sz="0" w:space="0" w:color="auto"/>
            <w:bottom w:val="none" w:sz="0" w:space="0" w:color="auto"/>
            <w:right w:val="none" w:sz="0" w:space="0" w:color="auto"/>
          </w:divBdr>
        </w:div>
        <w:div w:id="245312307">
          <w:marLeft w:val="0"/>
          <w:marRight w:val="0"/>
          <w:marTop w:val="0"/>
          <w:marBottom w:val="0"/>
          <w:divBdr>
            <w:top w:val="none" w:sz="0" w:space="0" w:color="auto"/>
            <w:left w:val="none" w:sz="0" w:space="0" w:color="auto"/>
            <w:bottom w:val="none" w:sz="0" w:space="0" w:color="auto"/>
            <w:right w:val="none" w:sz="0" w:space="0" w:color="auto"/>
          </w:divBdr>
        </w:div>
        <w:div w:id="1758290035">
          <w:marLeft w:val="0"/>
          <w:marRight w:val="0"/>
          <w:marTop w:val="0"/>
          <w:marBottom w:val="0"/>
          <w:divBdr>
            <w:top w:val="none" w:sz="0" w:space="0" w:color="auto"/>
            <w:left w:val="none" w:sz="0" w:space="0" w:color="auto"/>
            <w:bottom w:val="none" w:sz="0" w:space="0" w:color="auto"/>
            <w:right w:val="none" w:sz="0" w:space="0" w:color="auto"/>
          </w:divBdr>
        </w:div>
        <w:div w:id="1053115905">
          <w:marLeft w:val="0"/>
          <w:marRight w:val="0"/>
          <w:marTop w:val="0"/>
          <w:marBottom w:val="0"/>
          <w:divBdr>
            <w:top w:val="none" w:sz="0" w:space="0" w:color="auto"/>
            <w:left w:val="none" w:sz="0" w:space="0" w:color="auto"/>
            <w:bottom w:val="none" w:sz="0" w:space="0" w:color="auto"/>
            <w:right w:val="none" w:sz="0" w:space="0" w:color="auto"/>
          </w:divBdr>
        </w:div>
        <w:div w:id="555623851">
          <w:marLeft w:val="0"/>
          <w:marRight w:val="0"/>
          <w:marTop w:val="0"/>
          <w:marBottom w:val="0"/>
          <w:divBdr>
            <w:top w:val="none" w:sz="0" w:space="0" w:color="auto"/>
            <w:left w:val="none" w:sz="0" w:space="0" w:color="auto"/>
            <w:bottom w:val="none" w:sz="0" w:space="0" w:color="auto"/>
            <w:right w:val="none" w:sz="0" w:space="0" w:color="auto"/>
          </w:divBdr>
        </w:div>
        <w:div w:id="881673257">
          <w:marLeft w:val="0"/>
          <w:marRight w:val="0"/>
          <w:marTop w:val="0"/>
          <w:marBottom w:val="0"/>
          <w:divBdr>
            <w:top w:val="none" w:sz="0" w:space="0" w:color="auto"/>
            <w:left w:val="none" w:sz="0" w:space="0" w:color="auto"/>
            <w:bottom w:val="none" w:sz="0" w:space="0" w:color="auto"/>
            <w:right w:val="none" w:sz="0" w:space="0" w:color="auto"/>
          </w:divBdr>
        </w:div>
        <w:div w:id="1696348701">
          <w:marLeft w:val="0"/>
          <w:marRight w:val="0"/>
          <w:marTop w:val="0"/>
          <w:marBottom w:val="0"/>
          <w:divBdr>
            <w:top w:val="none" w:sz="0" w:space="0" w:color="auto"/>
            <w:left w:val="none" w:sz="0" w:space="0" w:color="auto"/>
            <w:bottom w:val="none" w:sz="0" w:space="0" w:color="auto"/>
            <w:right w:val="none" w:sz="0" w:space="0" w:color="auto"/>
          </w:divBdr>
        </w:div>
        <w:div w:id="12345130">
          <w:marLeft w:val="0"/>
          <w:marRight w:val="0"/>
          <w:marTop w:val="0"/>
          <w:marBottom w:val="0"/>
          <w:divBdr>
            <w:top w:val="none" w:sz="0" w:space="0" w:color="auto"/>
            <w:left w:val="none" w:sz="0" w:space="0" w:color="auto"/>
            <w:bottom w:val="none" w:sz="0" w:space="0" w:color="auto"/>
            <w:right w:val="none" w:sz="0" w:space="0" w:color="auto"/>
          </w:divBdr>
        </w:div>
        <w:div w:id="7028223">
          <w:marLeft w:val="0"/>
          <w:marRight w:val="0"/>
          <w:marTop w:val="0"/>
          <w:marBottom w:val="0"/>
          <w:divBdr>
            <w:top w:val="none" w:sz="0" w:space="0" w:color="auto"/>
            <w:left w:val="none" w:sz="0" w:space="0" w:color="auto"/>
            <w:bottom w:val="none" w:sz="0" w:space="0" w:color="auto"/>
            <w:right w:val="none" w:sz="0" w:space="0" w:color="auto"/>
          </w:divBdr>
        </w:div>
        <w:div w:id="1814563391">
          <w:marLeft w:val="0"/>
          <w:marRight w:val="0"/>
          <w:marTop w:val="0"/>
          <w:marBottom w:val="0"/>
          <w:divBdr>
            <w:top w:val="none" w:sz="0" w:space="0" w:color="auto"/>
            <w:left w:val="none" w:sz="0" w:space="0" w:color="auto"/>
            <w:bottom w:val="none" w:sz="0" w:space="0" w:color="auto"/>
            <w:right w:val="none" w:sz="0" w:space="0" w:color="auto"/>
          </w:divBdr>
        </w:div>
        <w:div w:id="282155990">
          <w:marLeft w:val="0"/>
          <w:marRight w:val="0"/>
          <w:marTop w:val="0"/>
          <w:marBottom w:val="0"/>
          <w:divBdr>
            <w:top w:val="none" w:sz="0" w:space="0" w:color="auto"/>
            <w:left w:val="none" w:sz="0" w:space="0" w:color="auto"/>
            <w:bottom w:val="none" w:sz="0" w:space="0" w:color="auto"/>
            <w:right w:val="none" w:sz="0" w:space="0" w:color="auto"/>
          </w:divBdr>
        </w:div>
        <w:div w:id="854878652">
          <w:marLeft w:val="0"/>
          <w:marRight w:val="0"/>
          <w:marTop w:val="0"/>
          <w:marBottom w:val="0"/>
          <w:divBdr>
            <w:top w:val="none" w:sz="0" w:space="0" w:color="auto"/>
            <w:left w:val="none" w:sz="0" w:space="0" w:color="auto"/>
            <w:bottom w:val="none" w:sz="0" w:space="0" w:color="auto"/>
            <w:right w:val="none" w:sz="0" w:space="0" w:color="auto"/>
          </w:divBdr>
        </w:div>
        <w:div w:id="81217850">
          <w:marLeft w:val="0"/>
          <w:marRight w:val="0"/>
          <w:marTop w:val="0"/>
          <w:marBottom w:val="0"/>
          <w:divBdr>
            <w:top w:val="none" w:sz="0" w:space="0" w:color="auto"/>
            <w:left w:val="none" w:sz="0" w:space="0" w:color="auto"/>
            <w:bottom w:val="none" w:sz="0" w:space="0" w:color="auto"/>
            <w:right w:val="none" w:sz="0" w:space="0" w:color="auto"/>
          </w:divBdr>
        </w:div>
        <w:div w:id="1540580520">
          <w:marLeft w:val="0"/>
          <w:marRight w:val="0"/>
          <w:marTop w:val="0"/>
          <w:marBottom w:val="0"/>
          <w:divBdr>
            <w:top w:val="none" w:sz="0" w:space="0" w:color="auto"/>
            <w:left w:val="none" w:sz="0" w:space="0" w:color="auto"/>
            <w:bottom w:val="none" w:sz="0" w:space="0" w:color="auto"/>
            <w:right w:val="none" w:sz="0" w:space="0" w:color="auto"/>
          </w:divBdr>
        </w:div>
        <w:div w:id="875308951">
          <w:marLeft w:val="0"/>
          <w:marRight w:val="0"/>
          <w:marTop w:val="0"/>
          <w:marBottom w:val="0"/>
          <w:divBdr>
            <w:top w:val="none" w:sz="0" w:space="0" w:color="auto"/>
            <w:left w:val="none" w:sz="0" w:space="0" w:color="auto"/>
            <w:bottom w:val="none" w:sz="0" w:space="0" w:color="auto"/>
            <w:right w:val="none" w:sz="0" w:space="0" w:color="auto"/>
          </w:divBdr>
        </w:div>
        <w:div w:id="1665275886">
          <w:marLeft w:val="0"/>
          <w:marRight w:val="0"/>
          <w:marTop w:val="0"/>
          <w:marBottom w:val="0"/>
          <w:divBdr>
            <w:top w:val="none" w:sz="0" w:space="0" w:color="auto"/>
            <w:left w:val="none" w:sz="0" w:space="0" w:color="auto"/>
            <w:bottom w:val="none" w:sz="0" w:space="0" w:color="auto"/>
            <w:right w:val="none" w:sz="0" w:space="0" w:color="auto"/>
          </w:divBdr>
        </w:div>
        <w:div w:id="653028999">
          <w:marLeft w:val="0"/>
          <w:marRight w:val="0"/>
          <w:marTop w:val="0"/>
          <w:marBottom w:val="0"/>
          <w:divBdr>
            <w:top w:val="none" w:sz="0" w:space="0" w:color="auto"/>
            <w:left w:val="none" w:sz="0" w:space="0" w:color="auto"/>
            <w:bottom w:val="none" w:sz="0" w:space="0" w:color="auto"/>
            <w:right w:val="none" w:sz="0" w:space="0" w:color="auto"/>
          </w:divBdr>
        </w:div>
        <w:div w:id="1415935249">
          <w:marLeft w:val="0"/>
          <w:marRight w:val="0"/>
          <w:marTop w:val="0"/>
          <w:marBottom w:val="0"/>
          <w:divBdr>
            <w:top w:val="none" w:sz="0" w:space="0" w:color="auto"/>
            <w:left w:val="none" w:sz="0" w:space="0" w:color="auto"/>
            <w:bottom w:val="none" w:sz="0" w:space="0" w:color="auto"/>
            <w:right w:val="none" w:sz="0" w:space="0" w:color="auto"/>
          </w:divBdr>
        </w:div>
        <w:div w:id="716048691">
          <w:marLeft w:val="0"/>
          <w:marRight w:val="0"/>
          <w:marTop w:val="0"/>
          <w:marBottom w:val="0"/>
          <w:divBdr>
            <w:top w:val="none" w:sz="0" w:space="0" w:color="auto"/>
            <w:left w:val="none" w:sz="0" w:space="0" w:color="auto"/>
            <w:bottom w:val="none" w:sz="0" w:space="0" w:color="auto"/>
            <w:right w:val="none" w:sz="0" w:space="0" w:color="auto"/>
          </w:divBdr>
        </w:div>
        <w:div w:id="1703902538">
          <w:marLeft w:val="0"/>
          <w:marRight w:val="0"/>
          <w:marTop w:val="0"/>
          <w:marBottom w:val="0"/>
          <w:divBdr>
            <w:top w:val="none" w:sz="0" w:space="0" w:color="auto"/>
            <w:left w:val="none" w:sz="0" w:space="0" w:color="auto"/>
            <w:bottom w:val="none" w:sz="0" w:space="0" w:color="auto"/>
            <w:right w:val="none" w:sz="0" w:space="0" w:color="auto"/>
          </w:divBdr>
        </w:div>
        <w:div w:id="991913410">
          <w:marLeft w:val="0"/>
          <w:marRight w:val="0"/>
          <w:marTop w:val="0"/>
          <w:marBottom w:val="0"/>
          <w:divBdr>
            <w:top w:val="none" w:sz="0" w:space="0" w:color="auto"/>
            <w:left w:val="none" w:sz="0" w:space="0" w:color="auto"/>
            <w:bottom w:val="none" w:sz="0" w:space="0" w:color="auto"/>
            <w:right w:val="none" w:sz="0" w:space="0" w:color="auto"/>
          </w:divBdr>
        </w:div>
        <w:div w:id="1480920932">
          <w:marLeft w:val="0"/>
          <w:marRight w:val="0"/>
          <w:marTop w:val="0"/>
          <w:marBottom w:val="0"/>
          <w:divBdr>
            <w:top w:val="none" w:sz="0" w:space="0" w:color="auto"/>
            <w:left w:val="none" w:sz="0" w:space="0" w:color="auto"/>
            <w:bottom w:val="none" w:sz="0" w:space="0" w:color="auto"/>
            <w:right w:val="none" w:sz="0" w:space="0" w:color="auto"/>
          </w:divBdr>
        </w:div>
        <w:div w:id="2067606389">
          <w:marLeft w:val="0"/>
          <w:marRight w:val="0"/>
          <w:marTop w:val="0"/>
          <w:marBottom w:val="0"/>
          <w:divBdr>
            <w:top w:val="none" w:sz="0" w:space="0" w:color="auto"/>
            <w:left w:val="none" w:sz="0" w:space="0" w:color="auto"/>
            <w:bottom w:val="none" w:sz="0" w:space="0" w:color="auto"/>
            <w:right w:val="none" w:sz="0" w:space="0" w:color="auto"/>
          </w:divBdr>
        </w:div>
        <w:div w:id="1238976404">
          <w:marLeft w:val="0"/>
          <w:marRight w:val="0"/>
          <w:marTop w:val="0"/>
          <w:marBottom w:val="0"/>
          <w:divBdr>
            <w:top w:val="none" w:sz="0" w:space="0" w:color="auto"/>
            <w:left w:val="none" w:sz="0" w:space="0" w:color="auto"/>
            <w:bottom w:val="none" w:sz="0" w:space="0" w:color="auto"/>
            <w:right w:val="none" w:sz="0" w:space="0" w:color="auto"/>
          </w:divBdr>
        </w:div>
        <w:div w:id="87045304">
          <w:marLeft w:val="0"/>
          <w:marRight w:val="0"/>
          <w:marTop w:val="0"/>
          <w:marBottom w:val="0"/>
          <w:divBdr>
            <w:top w:val="none" w:sz="0" w:space="0" w:color="auto"/>
            <w:left w:val="none" w:sz="0" w:space="0" w:color="auto"/>
            <w:bottom w:val="none" w:sz="0" w:space="0" w:color="auto"/>
            <w:right w:val="none" w:sz="0" w:space="0" w:color="auto"/>
          </w:divBdr>
        </w:div>
        <w:div w:id="409733622">
          <w:marLeft w:val="0"/>
          <w:marRight w:val="0"/>
          <w:marTop w:val="0"/>
          <w:marBottom w:val="0"/>
          <w:divBdr>
            <w:top w:val="none" w:sz="0" w:space="0" w:color="auto"/>
            <w:left w:val="none" w:sz="0" w:space="0" w:color="auto"/>
            <w:bottom w:val="none" w:sz="0" w:space="0" w:color="auto"/>
            <w:right w:val="none" w:sz="0" w:space="0" w:color="auto"/>
          </w:divBdr>
        </w:div>
        <w:div w:id="791900452">
          <w:marLeft w:val="0"/>
          <w:marRight w:val="0"/>
          <w:marTop w:val="0"/>
          <w:marBottom w:val="0"/>
          <w:divBdr>
            <w:top w:val="none" w:sz="0" w:space="0" w:color="auto"/>
            <w:left w:val="none" w:sz="0" w:space="0" w:color="auto"/>
            <w:bottom w:val="none" w:sz="0" w:space="0" w:color="auto"/>
            <w:right w:val="none" w:sz="0" w:space="0" w:color="auto"/>
          </w:divBdr>
        </w:div>
        <w:div w:id="291526011">
          <w:marLeft w:val="0"/>
          <w:marRight w:val="0"/>
          <w:marTop w:val="0"/>
          <w:marBottom w:val="0"/>
          <w:divBdr>
            <w:top w:val="none" w:sz="0" w:space="0" w:color="auto"/>
            <w:left w:val="none" w:sz="0" w:space="0" w:color="auto"/>
            <w:bottom w:val="none" w:sz="0" w:space="0" w:color="auto"/>
            <w:right w:val="none" w:sz="0" w:space="0" w:color="auto"/>
          </w:divBdr>
        </w:div>
        <w:div w:id="2139252414">
          <w:marLeft w:val="0"/>
          <w:marRight w:val="0"/>
          <w:marTop w:val="0"/>
          <w:marBottom w:val="0"/>
          <w:divBdr>
            <w:top w:val="none" w:sz="0" w:space="0" w:color="auto"/>
            <w:left w:val="none" w:sz="0" w:space="0" w:color="auto"/>
            <w:bottom w:val="none" w:sz="0" w:space="0" w:color="auto"/>
            <w:right w:val="none" w:sz="0" w:space="0" w:color="auto"/>
          </w:divBdr>
        </w:div>
        <w:div w:id="474680939">
          <w:marLeft w:val="0"/>
          <w:marRight w:val="0"/>
          <w:marTop w:val="0"/>
          <w:marBottom w:val="0"/>
          <w:divBdr>
            <w:top w:val="none" w:sz="0" w:space="0" w:color="auto"/>
            <w:left w:val="none" w:sz="0" w:space="0" w:color="auto"/>
            <w:bottom w:val="none" w:sz="0" w:space="0" w:color="auto"/>
            <w:right w:val="none" w:sz="0" w:space="0" w:color="auto"/>
          </w:divBdr>
        </w:div>
        <w:div w:id="573128812">
          <w:marLeft w:val="0"/>
          <w:marRight w:val="0"/>
          <w:marTop w:val="0"/>
          <w:marBottom w:val="0"/>
          <w:divBdr>
            <w:top w:val="none" w:sz="0" w:space="0" w:color="auto"/>
            <w:left w:val="none" w:sz="0" w:space="0" w:color="auto"/>
            <w:bottom w:val="none" w:sz="0" w:space="0" w:color="auto"/>
            <w:right w:val="none" w:sz="0" w:space="0" w:color="auto"/>
          </w:divBdr>
        </w:div>
        <w:div w:id="2069838473">
          <w:marLeft w:val="0"/>
          <w:marRight w:val="0"/>
          <w:marTop w:val="0"/>
          <w:marBottom w:val="0"/>
          <w:divBdr>
            <w:top w:val="none" w:sz="0" w:space="0" w:color="auto"/>
            <w:left w:val="none" w:sz="0" w:space="0" w:color="auto"/>
            <w:bottom w:val="none" w:sz="0" w:space="0" w:color="auto"/>
            <w:right w:val="none" w:sz="0" w:space="0" w:color="auto"/>
          </w:divBdr>
        </w:div>
        <w:div w:id="1127242757">
          <w:marLeft w:val="0"/>
          <w:marRight w:val="0"/>
          <w:marTop w:val="0"/>
          <w:marBottom w:val="0"/>
          <w:divBdr>
            <w:top w:val="none" w:sz="0" w:space="0" w:color="auto"/>
            <w:left w:val="none" w:sz="0" w:space="0" w:color="auto"/>
            <w:bottom w:val="none" w:sz="0" w:space="0" w:color="auto"/>
            <w:right w:val="none" w:sz="0" w:space="0" w:color="auto"/>
          </w:divBdr>
        </w:div>
        <w:div w:id="1098018592">
          <w:marLeft w:val="0"/>
          <w:marRight w:val="0"/>
          <w:marTop w:val="0"/>
          <w:marBottom w:val="0"/>
          <w:divBdr>
            <w:top w:val="none" w:sz="0" w:space="0" w:color="auto"/>
            <w:left w:val="none" w:sz="0" w:space="0" w:color="auto"/>
            <w:bottom w:val="none" w:sz="0" w:space="0" w:color="auto"/>
            <w:right w:val="none" w:sz="0" w:space="0" w:color="auto"/>
          </w:divBdr>
        </w:div>
        <w:div w:id="1308630528">
          <w:marLeft w:val="0"/>
          <w:marRight w:val="0"/>
          <w:marTop w:val="0"/>
          <w:marBottom w:val="0"/>
          <w:divBdr>
            <w:top w:val="none" w:sz="0" w:space="0" w:color="auto"/>
            <w:left w:val="none" w:sz="0" w:space="0" w:color="auto"/>
            <w:bottom w:val="none" w:sz="0" w:space="0" w:color="auto"/>
            <w:right w:val="none" w:sz="0" w:space="0" w:color="auto"/>
          </w:divBdr>
        </w:div>
        <w:div w:id="1995983609">
          <w:marLeft w:val="0"/>
          <w:marRight w:val="0"/>
          <w:marTop w:val="0"/>
          <w:marBottom w:val="0"/>
          <w:divBdr>
            <w:top w:val="none" w:sz="0" w:space="0" w:color="auto"/>
            <w:left w:val="none" w:sz="0" w:space="0" w:color="auto"/>
            <w:bottom w:val="none" w:sz="0" w:space="0" w:color="auto"/>
            <w:right w:val="none" w:sz="0" w:space="0" w:color="auto"/>
          </w:divBdr>
        </w:div>
        <w:div w:id="1454707634">
          <w:marLeft w:val="0"/>
          <w:marRight w:val="0"/>
          <w:marTop w:val="0"/>
          <w:marBottom w:val="0"/>
          <w:divBdr>
            <w:top w:val="none" w:sz="0" w:space="0" w:color="auto"/>
            <w:left w:val="none" w:sz="0" w:space="0" w:color="auto"/>
            <w:bottom w:val="none" w:sz="0" w:space="0" w:color="auto"/>
            <w:right w:val="none" w:sz="0" w:space="0" w:color="auto"/>
          </w:divBdr>
        </w:div>
        <w:div w:id="741294779">
          <w:marLeft w:val="0"/>
          <w:marRight w:val="0"/>
          <w:marTop w:val="0"/>
          <w:marBottom w:val="0"/>
          <w:divBdr>
            <w:top w:val="none" w:sz="0" w:space="0" w:color="auto"/>
            <w:left w:val="none" w:sz="0" w:space="0" w:color="auto"/>
            <w:bottom w:val="none" w:sz="0" w:space="0" w:color="auto"/>
            <w:right w:val="none" w:sz="0" w:space="0" w:color="auto"/>
          </w:divBdr>
        </w:div>
        <w:div w:id="189421986">
          <w:marLeft w:val="0"/>
          <w:marRight w:val="0"/>
          <w:marTop w:val="0"/>
          <w:marBottom w:val="0"/>
          <w:divBdr>
            <w:top w:val="none" w:sz="0" w:space="0" w:color="auto"/>
            <w:left w:val="none" w:sz="0" w:space="0" w:color="auto"/>
            <w:bottom w:val="none" w:sz="0" w:space="0" w:color="auto"/>
            <w:right w:val="none" w:sz="0" w:space="0" w:color="auto"/>
          </w:divBdr>
        </w:div>
        <w:div w:id="1294942043">
          <w:marLeft w:val="0"/>
          <w:marRight w:val="0"/>
          <w:marTop w:val="0"/>
          <w:marBottom w:val="0"/>
          <w:divBdr>
            <w:top w:val="none" w:sz="0" w:space="0" w:color="auto"/>
            <w:left w:val="none" w:sz="0" w:space="0" w:color="auto"/>
            <w:bottom w:val="none" w:sz="0" w:space="0" w:color="auto"/>
            <w:right w:val="none" w:sz="0" w:space="0" w:color="auto"/>
          </w:divBdr>
        </w:div>
        <w:div w:id="288778717">
          <w:marLeft w:val="0"/>
          <w:marRight w:val="0"/>
          <w:marTop w:val="0"/>
          <w:marBottom w:val="0"/>
          <w:divBdr>
            <w:top w:val="none" w:sz="0" w:space="0" w:color="auto"/>
            <w:left w:val="none" w:sz="0" w:space="0" w:color="auto"/>
            <w:bottom w:val="none" w:sz="0" w:space="0" w:color="auto"/>
            <w:right w:val="none" w:sz="0" w:space="0" w:color="auto"/>
          </w:divBdr>
        </w:div>
        <w:div w:id="1714650858">
          <w:marLeft w:val="0"/>
          <w:marRight w:val="0"/>
          <w:marTop w:val="0"/>
          <w:marBottom w:val="0"/>
          <w:divBdr>
            <w:top w:val="none" w:sz="0" w:space="0" w:color="auto"/>
            <w:left w:val="none" w:sz="0" w:space="0" w:color="auto"/>
            <w:bottom w:val="none" w:sz="0" w:space="0" w:color="auto"/>
            <w:right w:val="none" w:sz="0" w:space="0" w:color="auto"/>
          </w:divBdr>
        </w:div>
        <w:div w:id="386875182">
          <w:marLeft w:val="0"/>
          <w:marRight w:val="0"/>
          <w:marTop w:val="0"/>
          <w:marBottom w:val="0"/>
          <w:divBdr>
            <w:top w:val="none" w:sz="0" w:space="0" w:color="auto"/>
            <w:left w:val="none" w:sz="0" w:space="0" w:color="auto"/>
            <w:bottom w:val="none" w:sz="0" w:space="0" w:color="auto"/>
            <w:right w:val="none" w:sz="0" w:space="0" w:color="auto"/>
          </w:divBdr>
        </w:div>
        <w:div w:id="1849980090">
          <w:marLeft w:val="0"/>
          <w:marRight w:val="0"/>
          <w:marTop w:val="0"/>
          <w:marBottom w:val="0"/>
          <w:divBdr>
            <w:top w:val="none" w:sz="0" w:space="0" w:color="auto"/>
            <w:left w:val="none" w:sz="0" w:space="0" w:color="auto"/>
            <w:bottom w:val="none" w:sz="0" w:space="0" w:color="auto"/>
            <w:right w:val="none" w:sz="0" w:space="0" w:color="auto"/>
          </w:divBdr>
        </w:div>
        <w:div w:id="602765106">
          <w:marLeft w:val="0"/>
          <w:marRight w:val="0"/>
          <w:marTop w:val="0"/>
          <w:marBottom w:val="0"/>
          <w:divBdr>
            <w:top w:val="none" w:sz="0" w:space="0" w:color="auto"/>
            <w:left w:val="none" w:sz="0" w:space="0" w:color="auto"/>
            <w:bottom w:val="none" w:sz="0" w:space="0" w:color="auto"/>
            <w:right w:val="none" w:sz="0" w:space="0" w:color="auto"/>
          </w:divBdr>
        </w:div>
        <w:div w:id="1879199511">
          <w:marLeft w:val="0"/>
          <w:marRight w:val="0"/>
          <w:marTop w:val="0"/>
          <w:marBottom w:val="0"/>
          <w:divBdr>
            <w:top w:val="none" w:sz="0" w:space="0" w:color="auto"/>
            <w:left w:val="none" w:sz="0" w:space="0" w:color="auto"/>
            <w:bottom w:val="none" w:sz="0" w:space="0" w:color="auto"/>
            <w:right w:val="none" w:sz="0" w:space="0" w:color="auto"/>
          </w:divBdr>
        </w:div>
        <w:div w:id="1269199978">
          <w:marLeft w:val="0"/>
          <w:marRight w:val="0"/>
          <w:marTop w:val="0"/>
          <w:marBottom w:val="0"/>
          <w:divBdr>
            <w:top w:val="none" w:sz="0" w:space="0" w:color="auto"/>
            <w:left w:val="none" w:sz="0" w:space="0" w:color="auto"/>
            <w:bottom w:val="none" w:sz="0" w:space="0" w:color="auto"/>
            <w:right w:val="none" w:sz="0" w:space="0" w:color="auto"/>
          </w:divBdr>
        </w:div>
        <w:div w:id="940258846">
          <w:marLeft w:val="0"/>
          <w:marRight w:val="0"/>
          <w:marTop w:val="0"/>
          <w:marBottom w:val="0"/>
          <w:divBdr>
            <w:top w:val="none" w:sz="0" w:space="0" w:color="auto"/>
            <w:left w:val="none" w:sz="0" w:space="0" w:color="auto"/>
            <w:bottom w:val="none" w:sz="0" w:space="0" w:color="auto"/>
            <w:right w:val="none" w:sz="0" w:space="0" w:color="auto"/>
          </w:divBdr>
        </w:div>
        <w:div w:id="1084255432">
          <w:marLeft w:val="0"/>
          <w:marRight w:val="0"/>
          <w:marTop w:val="0"/>
          <w:marBottom w:val="0"/>
          <w:divBdr>
            <w:top w:val="none" w:sz="0" w:space="0" w:color="auto"/>
            <w:left w:val="none" w:sz="0" w:space="0" w:color="auto"/>
            <w:bottom w:val="none" w:sz="0" w:space="0" w:color="auto"/>
            <w:right w:val="none" w:sz="0" w:space="0" w:color="auto"/>
          </w:divBdr>
        </w:div>
        <w:div w:id="1330912207">
          <w:marLeft w:val="0"/>
          <w:marRight w:val="0"/>
          <w:marTop w:val="0"/>
          <w:marBottom w:val="0"/>
          <w:divBdr>
            <w:top w:val="none" w:sz="0" w:space="0" w:color="auto"/>
            <w:left w:val="none" w:sz="0" w:space="0" w:color="auto"/>
            <w:bottom w:val="none" w:sz="0" w:space="0" w:color="auto"/>
            <w:right w:val="none" w:sz="0" w:space="0" w:color="auto"/>
          </w:divBdr>
        </w:div>
        <w:div w:id="1978760732">
          <w:marLeft w:val="0"/>
          <w:marRight w:val="0"/>
          <w:marTop w:val="0"/>
          <w:marBottom w:val="0"/>
          <w:divBdr>
            <w:top w:val="none" w:sz="0" w:space="0" w:color="auto"/>
            <w:left w:val="none" w:sz="0" w:space="0" w:color="auto"/>
            <w:bottom w:val="none" w:sz="0" w:space="0" w:color="auto"/>
            <w:right w:val="none" w:sz="0" w:space="0" w:color="auto"/>
          </w:divBdr>
        </w:div>
        <w:div w:id="339041360">
          <w:marLeft w:val="0"/>
          <w:marRight w:val="0"/>
          <w:marTop w:val="0"/>
          <w:marBottom w:val="0"/>
          <w:divBdr>
            <w:top w:val="none" w:sz="0" w:space="0" w:color="auto"/>
            <w:left w:val="none" w:sz="0" w:space="0" w:color="auto"/>
            <w:bottom w:val="none" w:sz="0" w:space="0" w:color="auto"/>
            <w:right w:val="none" w:sz="0" w:space="0" w:color="auto"/>
          </w:divBdr>
        </w:div>
        <w:div w:id="2134130087">
          <w:marLeft w:val="0"/>
          <w:marRight w:val="0"/>
          <w:marTop w:val="0"/>
          <w:marBottom w:val="0"/>
          <w:divBdr>
            <w:top w:val="none" w:sz="0" w:space="0" w:color="auto"/>
            <w:left w:val="none" w:sz="0" w:space="0" w:color="auto"/>
            <w:bottom w:val="none" w:sz="0" w:space="0" w:color="auto"/>
            <w:right w:val="none" w:sz="0" w:space="0" w:color="auto"/>
          </w:divBdr>
        </w:div>
        <w:div w:id="1055659107">
          <w:marLeft w:val="0"/>
          <w:marRight w:val="0"/>
          <w:marTop w:val="0"/>
          <w:marBottom w:val="0"/>
          <w:divBdr>
            <w:top w:val="none" w:sz="0" w:space="0" w:color="auto"/>
            <w:left w:val="none" w:sz="0" w:space="0" w:color="auto"/>
            <w:bottom w:val="none" w:sz="0" w:space="0" w:color="auto"/>
            <w:right w:val="none" w:sz="0" w:space="0" w:color="auto"/>
          </w:divBdr>
        </w:div>
        <w:div w:id="662198374">
          <w:marLeft w:val="0"/>
          <w:marRight w:val="0"/>
          <w:marTop w:val="0"/>
          <w:marBottom w:val="0"/>
          <w:divBdr>
            <w:top w:val="none" w:sz="0" w:space="0" w:color="auto"/>
            <w:left w:val="none" w:sz="0" w:space="0" w:color="auto"/>
            <w:bottom w:val="none" w:sz="0" w:space="0" w:color="auto"/>
            <w:right w:val="none" w:sz="0" w:space="0" w:color="auto"/>
          </w:divBdr>
        </w:div>
        <w:div w:id="1925455755">
          <w:marLeft w:val="0"/>
          <w:marRight w:val="0"/>
          <w:marTop w:val="0"/>
          <w:marBottom w:val="0"/>
          <w:divBdr>
            <w:top w:val="none" w:sz="0" w:space="0" w:color="auto"/>
            <w:left w:val="none" w:sz="0" w:space="0" w:color="auto"/>
            <w:bottom w:val="none" w:sz="0" w:space="0" w:color="auto"/>
            <w:right w:val="none" w:sz="0" w:space="0" w:color="auto"/>
          </w:divBdr>
        </w:div>
        <w:div w:id="491876158">
          <w:marLeft w:val="0"/>
          <w:marRight w:val="0"/>
          <w:marTop w:val="0"/>
          <w:marBottom w:val="0"/>
          <w:divBdr>
            <w:top w:val="none" w:sz="0" w:space="0" w:color="auto"/>
            <w:left w:val="none" w:sz="0" w:space="0" w:color="auto"/>
            <w:bottom w:val="none" w:sz="0" w:space="0" w:color="auto"/>
            <w:right w:val="none" w:sz="0" w:space="0" w:color="auto"/>
          </w:divBdr>
        </w:div>
        <w:div w:id="1018849756">
          <w:marLeft w:val="0"/>
          <w:marRight w:val="0"/>
          <w:marTop w:val="0"/>
          <w:marBottom w:val="0"/>
          <w:divBdr>
            <w:top w:val="none" w:sz="0" w:space="0" w:color="auto"/>
            <w:left w:val="none" w:sz="0" w:space="0" w:color="auto"/>
            <w:bottom w:val="none" w:sz="0" w:space="0" w:color="auto"/>
            <w:right w:val="none" w:sz="0" w:space="0" w:color="auto"/>
          </w:divBdr>
        </w:div>
        <w:div w:id="1289552923">
          <w:marLeft w:val="0"/>
          <w:marRight w:val="0"/>
          <w:marTop w:val="0"/>
          <w:marBottom w:val="0"/>
          <w:divBdr>
            <w:top w:val="none" w:sz="0" w:space="0" w:color="auto"/>
            <w:left w:val="none" w:sz="0" w:space="0" w:color="auto"/>
            <w:bottom w:val="none" w:sz="0" w:space="0" w:color="auto"/>
            <w:right w:val="none" w:sz="0" w:space="0" w:color="auto"/>
          </w:divBdr>
        </w:div>
        <w:div w:id="2122332085">
          <w:marLeft w:val="0"/>
          <w:marRight w:val="0"/>
          <w:marTop w:val="0"/>
          <w:marBottom w:val="0"/>
          <w:divBdr>
            <w:top w:val="none" w:sz="0" w:space="0" w:color="auto"/>
            <w:left w:val="none" w:sz="0" w:space="0" w:color="auto"/>
            <w:bottom w:val="none" w:sz="0" w:space="0" w:color="auto"/>
            <w:right w:val="none" w:sz="0" w:space="0" w:color="auto"/>
          </w:divBdr>
        </w:div>
        <w:div w:id="682055841">
          <w:marLeft w:val="0"/>
          <w:marRight w:val="0"/>
          <w:marTop w:val="0"/>
          <w:marBottom w:val="0"/>
          <w:divBdr>
            <w:top w:val="none" w:sz="0" w:space="0" w:color="auto"/>
            <w:left w:val="none" w:sz="0" w:space="0" w:color="auto"/>
            <w:bottom w:val="none" w:sz="0" w:space="0" w:color="auto"/>
            <w:right w:val="none" w:sz="0" w:space="0" w:color="auto"/>
          </w:divBdr>
        </w:div>
        <w:div w:id="1301306300">
          <w:marLeft w:val="0"/>
          <w:marRight w:val="0"/>
          <w:marTop w:val="0"/>
          <w:marBottom w:val="0"/>
          <w:divBdr>
            <w:top w:val="none" w:sz="0" w:space="0" w:color="auto"/>
            <w:left w:val="none" w:sz="0" w:space="0" w:color="auto"/>
            <w:bottom w:val="none" w:sz="0" w:space="0" w:color="auto"/>
            <w:right w:val="none" w:sz="0" w:space="0" w:color="auto"/>
          </w:divBdr>
        </w:div>
        <w:div w:id="1590767968">
          <w:marLeft w:val="0"/>
          <w:marRight w:val="0"/>
          <w:marTop w:val="0"/>
          <w:marBottom w:val="0"/>
          <w:divBdr>
            <w:top w:val="none" w:sz="0" w:space="0" w:color="auto"/>
            <w:left w:val="none" w:sz="0" w:space="0" w:color="auto"/>
            <w:bottom w:val="none" w:sz="0" w:space="0" w:color="auto"/>
            <w:right w:val="none" w:sz="0" w:space="0" w:color="auto"/>
          </w:divBdr>
        </w:div>
        <w:div w:id="959335276">
          <w:marLeft w:val="0"/>
          <w:marRight w:val="0"/>
          <w:marTop w:val="0"/>
          <w:marBottom w:val="0"/>
          <w:divBdr>
            <w:top w:val="none" w:sz="0" w:space="0" w:color="auto"/>
            <w:left w:val="none" w:sz="0" w:space="0" w:color="auto"/>
            <w:bottom w:val="none" w:sz="0" w:space="0" w:color="auto"/>
            <w:right w:val="none" w:sz="0" w:space="0" w:color="auto"/>
          </w:divBdr>
        </w:div>
        <w:div w:id="20740539">
          <w:marLeft w:val="0"/>
          <w:marRight w:val="0"/>
          <w:marTop w:val="0"/>
          <w:marBottom w:val="0"/>
          <w:divBdr>
            <w:top w:val="none" w:sz="0" w:space="0" w:color="auto"/>
            <w:left w:val="none" w:sz="0" w:space="0" w:color="auto"/>
            <w:bottom w:val="none" w:sz="0" w:space="0" w:color="auto"/>
            <w:right w:val="none" w:sz="0" w:space="0" w:color="auto"/>
          </w:divBdr>
        </w:div>
        <w:div w:id="667751297">
          <w:marLeft w:val="0"/>
          <w:marRight w:val="0"/>
          <w:marTop w:val="0"/>
          <w:marBottom w:val="0"/>
          <w:divBdr>
            <w:top w:val="none" w:sz="0" w:space="0" w:color="auto"/>
            <w:left w:val="none" w:sz="0" w:space="0" w:color="auto"/>
            <w:bottom w:val="none" w:sz="0" w:space="0" w:color="auto"/>
            <w:right w:val="none" w:sz="0" w:space="0" w:color="auto"/>
          </w:divBdr>
        </w:div>
        <w:div w:id="1425762186">
          <w:marLeft w:val="0"/>
          <w:marRight w:val="0"/>
          <w:marTop w:val="0"/>
          <w:marBottom w:val="0"/>
          <w:divBdr>
            <w:top w:val="none" w:sz="0" w:space="0" w:color="auto"/>
            <w:left w:val="none" w:sz="0" w:space="0" w:color="auto"/>
            <w:bottom w:val="none" w:sz="0" w:space="0" w:color="auto"/>
            <w:right w:val="none" w:sz="0" w:space="0" w:color="auto"/>
          </w:divBdr>
        </w:div>
        <w:div w:id="1137529314">
          <w:marLeft w:val="0"/>
          <w:marRight w:val="0"/>
          <w:marTop w:val="0"/>
          <w:marBottom w:val="0"/>
          <w:divBdr>
            <w:top w:val="none" w:sz="0" w:space="0" w:color="auto"/>
            <w:left w:val="none" w:sz="0" w:space="0" w:color="auto"/>
            <w:bottom w:val="none" w:sz="0" w:space="0" w:color="auto"/>
            <w:right w:val="none" w:sz="0" w:space="0" w:color="auto"/>
          </w:divBdr>
        </w:div>
        <w:div w:id="1995521061">
          <w:marLeft w:val="0"/>
          <w:marRight w:val="0"/>
          <w:marTop w:val="0"/>
          <w:marBottom w:val="0"/>
          <w:divBdr>
            <w:top w:val="none" w:sz="0" w:space="0" w:color="auto"/>
            <w:left w:val="none" w:sz="0" w:space="0" w:color="auto"/>
            <w:bottom w:val="none" w:sz="0" w:space="0" w:color="auto"/>
            <w:right w:val="none" w:sz="0" w:space="0" w:color="auto"/>
          </w:divBdr>
        </w:div>
        <w:div w:id="1580360962">
          <w:marLeft w:val="0"/>
          <w:marRight w:val="0"/>
          <w:marTop w:val="0"/>
          <w:marBottom w:val="0"/>
          <w:divBdr>
            <w:top w:val="none" w:sz="0" w:space="0" w:color="auto"/>
            <w:left w:val="none" w:sz="0" w:space="0" w:color="auto"/>
            <w:bottom w:val="none" w:sz="0" w:space="0" w:color="auto"/>
            <w:right w:val="none" w:sz="0" w:space="0" w:color="auto"/>
          </w:divBdr>
        </w:div>
      </w:divsChild>
    </w:div>
    <w:div w:id="895703811">
      <w:bodyDiv w:val="1"/>
      <w:marLeft w:val="0"/>
      <w:marRight w:val="0"/>
      <w:marTop w:val="0"/>
      <w:marBottom w:val="0"/>
      <w:divBdr>
        <w:top w:val="none" w:sz="0" w:space="0" w:color="auto"/>
        <w:left w:val="none" w:sz="0" w:space="0" w:color="auto"/>
        <w:bottom w:val="none" w:sz="0" w:space="0" w:color="auto"/>
        <w:right w:val="none" w:sz="0" w:space="0" w:color="auto"/>
      </w:divBdr>
    </w:div>
    <w:div w:id="904950334">
      <w:bodyDiv w:val="1"/>
      <w:marLeft w:val="0"/>
      <w:marRight w:val="0"/>
      <w:marTop w:val="0"/>
      <w:marBottom w:val="0"/>
      <w:divBdr>
        <w:top w:val="none" w:sz="0" w:space="0" w:color="auto"/>
        <w:left w:val="none" w:sz="0" w:space="0" w:color="auto"/>
        <w:bottom w:val="none" w:sz="0" w:space="0" w:color="auto"/>
        <w:right w:val="none" w:sz="0" w:space="0" w:color="auto"/>
      </w:divBdr>
    </w:div>
    <w:div w:id="1006712145">
      <w:bodyDiv w:val="1"/>
      <w:marLeft w:val="0"/>
      <w:marRight w:val="0"/>
      <w:marTop w:val="0"/>
      <w:marBottom w:val="0"/>
      <w:divBdr>
        <w:top w:val="none" w:sz="0" w:space="0" w:color="auto"/>
        <w:left w:val="none" w:sz="0" w:space="0" w:color="auto"/>
        <w:bottom w:val="none" w:sz="0" w:space="0" w:color="auto"/>
        <w:right w:val="none" w:sz="0" w:space="0" w:color="auto"/>
      </w:divBdr>
    </w:div>
    <w:div w:id="1021205277">
      <w:bodyDiv w:val="1"/>
      <w:marLeft w:val="0"/>
      <w:marRight w:val="0"/>
      <w:marTop w:val="0"/>
      <w:marBottom w:val="0"/>
      <w:divBdr>
        <w:top w:val="none" w:sz="0" w:space="0" w:color="auto"/>
        <w:left w:val="none" w:sz="0" w:space="0" w:color="auto"/>
        <w:bottom w:val="none" w:sz="0" w:space="0" w:color="auto"/>
        <w:right w:val="none" w:sz="0" w:space="0" w:color="auto"/>
      </w:divBdr>
    </w:div>
    <w:div w:id="1023898975">
      <w:bodyDiv w:val="1"/>
      <w:marLeft w:val="0"/>
      <w:marRight w:val="0"/>
      <w:marTop w:val="0"/>
      <w:marBottom w:val="0"/>
      <w:divBdr>
        <w:top w:val="none" w:sz="0" w:space="0" w:color="auto"/>
        <w:left w:val="none" w:sz="0" w:space="0" w:color="auto"/>
        <w:bottom w:val="none" w:sz="0" w:space="0" w:color="auto"/>
        <w:right w:val="none" w:sz="0" w:space="0" w:color="auto"/>
      </w:divBdr>
    </w:div>
    <w:div w:id="1039281618">
      <w:bodyDiv w:val="1"/>
      <w:marLeft w:val="0"/>
      <w:marRight w:val="0"/>
      <w:marTop w:val="0"/>
      <w:marBottom w:val="0"/>
      <w:divBdr>
        <w:top w:val="none" w:sz="0" w:space="0" w:color="auto"/>
        <w:left w:val="none" w:sz="0" w:space="0" w:color="auto"/>
        <w:bottom w:val="none" w:sz="0" w:space="0" w:color="auto"/>
        <w:right w:val="none" w:sz="0" w:space="0" w:color="auto"/>
      </w:divBdr>
    </w:div>
    <w:div w:id="1046876314">
      <w:bodyDiv w:val="1"/>
      <w:marLeft w:val="0"/>
      <w:marRight w:val="0"/>
      <w:marTop w:val="0"/>
      <w:marBottom w:val="0"/>
      <w:divBdr>
        <w:top w:val="none" w:sz="0" w:space="0" w:color="auto"/>
        <w:left w:val="none" w:sz="0" w:space="0" w:color="auto"/>
        <w:bottom w:val="none" w:sz="0" w:space="0" w:color="auto"/>
        <w:right w:val="none" w:sz="0" w:space="0" w:color="auto"/>
      </w:divBdr>
    </w:div>
    <w:div w:id="1131702651">
      <w:bodyDiv w:val="1"/>
      <w:marLeft w:val="0"/>
      <w:marRight w:val="0"/>
      <w:marTop w:val="0"/>
      <w:marBottom w:val="0"/>
      <w:divBdr>
        <w:top w:val="none" w:sz="0" w:space="0" w:color="auto"/>
        <w:left w:val="none" w:sz="0" w:space="0" w:color="auto"/>
        <w:bottom w:val="none" w:sz="0" w:space="0" w:color="auto"/>
        <w:right w:val="none" w:sz="0" w:space="0" w:color="auto"/>
      </w:divBdr>
    </w:div>
    <w:div w:id="1172140981">
      <w:bodyDiv w:val="1"/>
      <w:marLeft w:val="0"/>
      <w:marRight w:val="0"/>
      <w:marTop w:val="0"/>
      <w:marBottom w:val="0"/>
      <w:divBdr>
        <w:top w:val="none" w:sz="0" w:space="0" w:color="auto"/>
        <w:left w:val="none" w:sz="0" w:space="0" w:color="auto"/>
        <w:bottom w:val="none" w:sz="0" w:space="0" w:color="auto"/>
        <w:right w:val="none" w:sz="0" w:space="0" w:color="auto"/>
      </w:divBdr>
    </w:div>
    <w:div w:id="1218669151">
      <w:bodyDiv w:val="1"/>
      <w:marLeft w:val="0"/>
      <w:marRight w:val="0"/>
      <w:marTop w:val="0"/>
      <w:marBottom w:val="0"/>
      <w:divBdr>
        <w:top w:val="none" w:sz="0" w:space="0" w:color="auto"/>
        <w:left w:val="none" w:sz="0" w:space="0" w:color="auto"/>
        <w:bottom w:val="none" w:sz="0" w:space="0" w:color="auto"/>
        <w:right w:val="none" w:sz="0" w:space="0" w:color="auto"/>
      </w:divBdr>
    </w:div>
    <w:div w:id="1330057472">
      <w:bodyDiv w:val="1"/>
      <w:marLeft w:val="0"/>
      <w:marRight w:val="0"/>
      <w:marTop w:val="0"/>
      <w:marBottom w:val="0"/>
      <w:divBdr>
        <w:top w:val="none" w:sz="0" w:space="0" w:color="auto"/>
        <w:left w:val="none" w:sz="0" w:space="0" w:color="auto"/>
        <w:bottom w:val="none" w:sz="0" w:space="0" w:color="auto"/>
        <w:right w:val="none" w:sz="0" w:space="0" w:color="auto"/>
      </w:divBdr>
    </w:div>
    <w:div w:id="1365205876">
      <w:bodyDiv w:val="1"/>
      <w:marLeft w:val="0"/>
      <w:marRight w:val="0"/>
      <w:marTop w:val="0"/>
      <w:marBottom w:val="0"/>
      <w:divBdr>
        <w:top w:val="none" w:sz="0" w:space="0" w:color="auto"/>
        <w:left w:val="none" w:sz="0" w:space="0" w:color="auto"/>
        <w:bottom w:val="none" w:sz="0" w:space="0" w:color="auto"/>
        <w:right w:val="none" w:sz="0" w:space="0" w:color="auto"/>
      </w:divBdr>
    </w:div>
    <w:div w:id="1373531886">
      <w:bodyDiv w:val="1"/>
      <w:marLeft w:val="0"/>
      <w:marRight w:val="0"/>
      <w:marTop w:val="0"/>
      <w:marBottom w:val="0"/>
      <w:divBdr>
        <w:top w:val="none" w:sz="0" w:space="0" w:color="auto"/>
        <w:left w:val="none" w:sz="0" w:space="0" w:color="auto"/>
        <w:bottom w:val="none" w:sz="0" w:space="0" w:color="auto"/>
        <w:right w:val="none" w:sz="0" w:space="0" w:color="auto"/>
      </w:divBdr>
    </w:div>
    <w:div w:id="1377968940">
      <w:bodyDiv w:val="1"/>
      <w:marLeft w:val="0"/>
      <w:marRight w:val="0"/>
      <w:marTop w:val="0"/>
      <w:marBottom w:val="0"/>
      <w:divBdr>
        <w:top w:val="none" w:sz="0" w:space="0" w:color="auto"/>
        <w:left w:val="none" w:sz="0" w:space="0" w:color="auto"/>
        <w:bottom w:val="none" w:sz="0" w:space="0" w:color="auto"/>
        <w:right w:val="none" w:sz="0" w:space="0" w:color="auto"/>
      </w:divBdr>
    </w:div>
    <w:div w:id="1490289266">
      <w:bodyDiv w:val="1"/>
      <w:marLeft w:val="0"/>
      <w:marRight w:val="0"/>
      <w:marTop w:val="0"/>
      <w:marBottom w:val="0"/>
      <w:divBdr>
        <w:top w:val="none" w:sz="0" w:space="0" w:color="auto"/>
        <w:left w:val="none" w:sz="0" w:space="0" w:color="auto"/>
        <w:bottom w:val="none" w:sz="0" w:space="0" w:color="auto"/>
        <w:right w:val="none" w:sz="0" w:space="0" w:color="auto"/>
      </w:divBdr>
    </w:div>
    <w:div w:id="1494637353">
      <w:bodyDiv w:val="1"/>
      <w:marLeft w:val="0"/>
      <w:marRight w:val="0"/>
      <w:marTop w:val="0"/>
      <w:marBottom w:val="0"/>
      <w:divBdr>
        <w:top w:val="none" w:sz="0" w:space="0" w:color="auto"/>
        <w:left w:val="none" w:sz="0" w:space="0" w:color="auto"/>
        <w:bottom w:val="none" w:sz="0" w:space="0" w:color="auto"/>
        <w:right w:val="none" w:sz="0" w:space="0" w:color="auto"/>
      </w:divBdr>
      <w:divsChild>
        <w:div w:id="268005012">
          <w:marLeft w:val="0"/>
          <w:marRight w:val="0"/>
          <w:marTop w:val="0"/>
          <w:marBottom w:val="0"/>
          <w:divBdr>
            <w:top w:val="none" w:sz="0" w:space="0" w:color="auto"/>
            <w:left w:val="none" w:sz="0" w:space="0" w:color="auto"/>
            <w:bottom w:val="none" w:sz="0" w:space="0" w:color="auto"/>
            <w:right w:val="none" w:sz="0" w:space="0" w:color="auto"/>
          </w:divBdr>
        </w:div>
      </w:divsChild>
    </w:div>
    <w:div w:id="1513837854">
      <w:bodyDiv w:val="1"/>
      <w:marLeft w:val="0"/>
      <w:marRight w:val="0"/>
      <w:marTop w:val="0"/>
      <w:marBottom w:val="0"/>
      <w:divBdr>
        <w:top w:val="none" w:sz="0" w:space="0" w:color="auto"/>
        <w:left w:val="none" w:sz="0" w:space="0" w:color="auto"/>
        <w:bottom w:val="none" w:sz="0" w:space="0" w:color="auto"/>
        <w:right w:val="none" w:sz="0" w:space="0" w:color="auto"/>
      </w:divBdr>
      <w:divsChild>
        <w:div w:id="2624248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51261437">
      <w:bodyDiv w:val="1"/>
      <w:marLeft w:val="0"/>
      <w:marRight w:val="0"/>
      <w:marTop w:val="0"/>
      <w:marBottom w:val="0"/>
      <w:divBdr>
        <w:top w:val="none" w:sz="0" w:space="0" w:color="auto"/>
        <w:left w:val="none" w:sz="0" w:space="0" w:color="auto"/>
        <w:bottom w:val="none" w:sz="0" w:space="0" w:color="auto"/>
        <w:right w:val="none" w:sz="0" w:space="0" w:color="auto"/>
      </w:divBdr>
    </w:div>
    <w:div w:id="1567692085">
      <w:bodyDiv w:val="1"/>
      <w:marLeft w:val="0"/>
      <w:marRight w:val="0"/>
      <w:marTop w:val="0"/>
      <w:marBottom w:val="0"/>
      <w:divBdr>
        <w:top w:val="none" w:sz="0" w:space="0" w:color="auto"/>
        <w:left w:val="none" w:sz="0" w:space="0" w:color="auto"/>
        <w:bottom w:val="none" w:sz="0" w:space="0" w:color="auto"/>
        <w:right w:val="none" w:sz="0" w:space="0" w:color="auto"/>
      </w:divBdr>
    </w:div>
    <w:div w:id="1572154286">
      <w:bodyDiv w:val="1"/>
      <w:marLeft w:val="0"/>
      <w:marRight w:val="0"/>
      <w:marTop w:val="0"/>
      <w:marBottom w:val="0"/>
      <w:divBdr>
        <w:top w:val="none" w:sz="0" w:space="0" w:color="auto"/>
        <w:left w:val="none" w:sz="0" w:space="0" w:color="auto"/>
        <w:bottom w:val="none" w:sz="0" w:space="0" w:color="auto"/>
        <w:right w:val="none" w:sz="0" w:space="0" w:color="auto"/>
      </w:divBdr>
    </w:div>
    <w:div w:id="1583487260">
      <w:bodyDiv w:val="1"/>
      <w:marLeft w:val="0"/>
      <w:marRight w:val="0"/>
      <w:marTop w:val="0"/>
      <w:marBottom w:val="0"/>
      <w:divBdr>
        <w:top w:val="none" w:sz="0" w:space="0" w:color="auto"/>
        <w:left w:val="none" w:sz="0" w:space="0" w:color="auto"/>
        <w:bottom w:val="none" w:sz="0" w:space="0" w:color="auto"/>
        <w:right w:val="none" w:sz="0" w:space="0" w:color="auto"/>
      </w:divBdr>
    </w:div>
    <w:div w:id="1627077462">
      <w:bodyDiv w:val="1"/>
      <w:marLeft w:val="0"/>
      <w:marRight w:val="0"/>
      <w:marTop w:val="0"/>
      <w:marBottom w:val="0"/>
      <w:divBdr>
        <w:top w:val="none" w:sz="0" w:space="0" w:color="auto"/>
        <w:left w:val="none" w:sz="0" w:space="0" w:color="auto"/>
        <w:bottom w:val="none" w:sz="0" w:space="0" w:color="auto"/>
        <w:right w:val="none" w:sz="0" w:space="0" w:color="auto"/>
      </w:divBdr>
    </w:div>
    <w:div w:id="1628855998">
      <w:bodyDiv w:val="1"/>
      <w:marLeft w:val="0"/>
      <w:marRight w:val="0"/>
      <w:marTop w:val="0"/>
      <w:marBottom w:val="0"/>
      <w:divBdr>
        <w:top w:val="none" w:sz="0" w:space="0" w:color="auto"/>
        <w:left w:val="none" w:sz="0" w:space="0" w:color="auto"/>
        <w:bottom w:val="none" w:sz="0" w:space="0" w:color="auto"/>
        <w:right w:val="none" w:sz="0" w:space="0" w:color="auto"/>
      </w:divBdr>
    </w:div>
    <w:div w:id="1637955858">
      <w:bodyDiv w:val="1"/>
      <w:marLeft w:val="0"/>
      <w:marRight w:val="0"/>
      <w:marTop w:val="0"/>
      <w:marBottom w:val="0"/>
      <w:divBdr>
        <w:top w:val="none" w:sz="0" w:space="0" w:color="auto"/>
        <w:left w:val="none" w:sz="0" w:space="0" w:color="auto"/>
        <w:bottom w:val="none" w:sz="0" w:space="0" w:color="auto"/>
        <w:right w:val="none" w:sz="0" w:space="0" w:color="auto"/>
      </w:divBdr>
    </w:div>
    <w:div w:id="1658918926">
      <w:bodyDiv w:val="1"/>
      <w:marLeft w:val="0"/>
      <w:marRight w:val="0"/>
      <w:marTop w:val="0"/>
      <w:marBottom w:val="0"/>
      <w:divBdr>
        <w:top w:val="none" w:sz="0" w:space="0" w:color="auto"/>
        <w:left w:val="none" w:sz="0" w:space="0" w:color="auto"/>
        <w:bottom w:val="none" w:sz="0" w:space="0" w:color="auto"/>
        <w:right w:val="none" w:sz="0" w:space="0" w:color="auto"/>
      </w:divBdr>
    </w:div>
    <w:div w:id="1665425832">
      <w:bodyDiv w:val="1"/>
      <w:marLeft w:val="0"/>
      <w:marRight w:val="0"/>
      <w:marTop w:val="0"/>
      <w:marBottom w:val="0"/>
      <w:divBdr>
        <w:top w:val="none" w:sz="0" w:space="0" w:color="auto"/>
        <w:left w:val="none" w:sz="0" w:space="0" w:color="auto"/>
        <w:bottom w:val="none" w:sz="0" w:space="0" w:color="auto"/>
        <w:right w:val="none" w:sz="0" w:space="0" w:color="auto"/>
      </w:divBdr>
    </w:div>
    <w:div w:id="1724207394">
      <w:bodyDiv w:val="1"/>
      <w:marLeft w:val="0"/>
      <w:marRight w:val="0"/>
      <w:marTop w:val="0"/>
      <w:marBottom w:val="0"/>
      <w:divBdr>
        <w:top w:val="none" w:sz="0" w:space="0" w:color="auto"/>
        <w:left w:val="none" w:sz="0" w:space="0" w:color="auto"/>
        <w:bottom w:val="none" w:sz="0" w:space="0" w:color="auto"/>
        <w:right w:val="none" w:sz="0" w:space="0" w:color="auto"/>
      </w:divBdr>
    </w:div>
    <w:div w:id="1735277872">
      <w:bodyDiv w:val="1"/>
      <w:marLeft w:val="0"/>
      <w:marRight w:val="0"/>
      <w:marTop w:val="0"/>
      <w:marBottom w:val="0"/>
      <w:divBdr>
        <w:top w:val="none" w:sz="0" w:space="0" w:color="auto"/>
        <w:left w:val="none" w:sz="0" w:space="0" w:color="auto"/>
        <w:bottom w:val="none" w:sz="0" w:space="0" w:color="auto"/>
        <w:right w:val="none" w:sz="0" w:space="0" w:color="auto"/>
      </w:divBdr>
    </w:div>
    <w:div w:id="1736851602">
      <w:bodyDiv w:val="1"/>
      <w:marLeft w:val="0"/>
      <w:marRight w:val="0"/>
      <w:marTop w:val="0"/>
      <w:marBottom w:val="0"/>
      <w:divBdr>
        <w:top w:val="none" w:sz="0" w:space="0" w:color="auto"/>
        <w:left w:val="none" w:sz="0" w:space="0" w:color="auto"/>
        <w:bottom w:val="none" w:sz="0" w:space="0" w:color="auto"/>
        <w:right w:val="none" w:sz="0" w:space="0" w:color="auto"/>
      </w:divBdr>
    </w:div>
    <w:div w:id="1737363650">
      <w:bodyDiv w:val="1"/>
      <w:marLeft w:val="0"/>
      <w:marRight w:val="0"/>
      <w:marTop w:val="0"/>
      <w:marBottom w:val="0"/>
      <w:divBdr>
        <w:top w:val="none" w:sz="0" w:space="0" w:color="auto"/>
        <w:left w:val="none" w:sz="0" w:space="0" w:color="auto"/>
        <w:bottom w:val="none" w:sz="0" w:space="0" w:color="auto"/>
        <w:right w:val="none" w:sz="0" w:space="0" w:color="auto"/>
      </w:divBdr>
    </w:div>
    <w:div w:id="1749035542">
      <w:bodyDiv w:val="1"/>
      <w:marLeft w:val="0"/>
      <w:marRight w:val="0"/>
      <w:marTop w:val="0"/>
      <w:marBottom w:val="0"/>
      <w:divBdr>
        <w:top w:val="none" w:sz="0" w:space="0" w:color="auto"/>
        <w:left w:val="none" w:sz="0" w:space="0" w:color="auto"/>
        <w:bottom w:val="none" w:sz="0" w:space="0" w:color="auto"/>
        <w:right w:val="none" w:sz="0" w:space="0" w:color="auto"/>
      </w:divBdr>
    </w:div>
    <w:div w:id="1756432827">
      <w:bodyDiv w:val="1"/>
      <w:marLeft w:val="0"/>
      <w:marRight w:val="0"/>
      <w:marTop w:val="0"/>
      <w:marBottom w:val="0"/>
      <w:divBdr>
        <w:top w:val="none" w:sz="0" w:space="0" w:color="auto"/>
        <w:left w:val="none" w:sz="0" w:space="0" w:color="auto"/>
        <w:bottom w:val="none" w:sz="0" w:space="0" w:color="auto"/>
        <w:right w:val="none" w:sz="0" w:space="0" w:color="auto"/>
      </w:divBdr>
    </w:div>
    <w:div w:id="1775518244">
      <w:bodyDiv w:val="1"/>
      <w:marLeft w:val="0"/>
      <w:marRight w:val="0"/>
      <w:marTop w:val="0"/>
      <w:marBottom w:val="0"/>
      <w:divBdr>
        <w:top w:val="none" w:sz="0" w:space="0" w:color="auto"/>
        <w:left w:val="none" w:sz="0" w:space="0" w:color="auto"/>
        <w:bottom w:val="none" w:sz="0" w:space="0" w:color="auto"/>
        <w:right w:val="none" w:sz="0" w:space="0" w:color="auto"/>
      </w:divBdr>
    </w:div>
    <w:div w:id="1796555631">
      <w:bodyDiv w:val="1"/>
      <w:marLeft w:val="0"/>
      <w:marRight w:val="0"/>
      <w:marTop w:val="0"/>
      <w:marBottom w:val="0"/>
      <w:divBdr>
        <w:top w:val="none" w:sz="0" w:space="0" w:color="auto"/>
        <w:left w:val="none" w:sz="0" w:space="0" w:color="auto"/>
        <w:bottom w:val="none" w:sz="0" w:space="0" w:color="auto"/>
        <w:right w:val="none" w:sz="0" w:space="0" w:color="auto"/>
      </w:divBdr>
    </w:div>
    <w:div w:id="1813331635">
      <w:bodyDiv w:val="1"/>
      <w:marLeft w:val="0"/>
      <w:marRight w:val="0"/>
      <w:marTop w:val="0"/>
      <w:marBottom w:val="0"/>
      <w:divBdr>
        <w:top w:val="none" w:sz="0" w:space="0" w:color="auto"/>
        <w:left w:val="none" w:sz="0" w:space="0" w:color="auto"/>
        <w:bottom w:val="none" w:sz="0" w:space="0" w:color="auto"/>
        <w:right w:val="none" w:sz="0" w:space="0" w:color="auto"/>
      </w:divBdr>
    </w:div>
    <w:div w:id="1846824509">
      <w:bodyDiv w:val="1"/>
      <w:marLeft w:val="0"/>
      <w:marRight w:val="0"/>
      <w:marTop w:val="0"/>
      <w:marBottom w:val="0"/>
      <w:divBdr>
        <w:top w:val="none" w:sz="0" w:space="0" w:color="auto"/>
        <w:left w:val="none" w:sz="0" w:space="0" w:color="auto"/>
        <w:bottom w:val="none" w:sz="0" w:space="0" w:color="auto"/>
        <w:right w:val="none" w:sz="0" w:space="0" w:color="auto"/>
      </w:divBdr>
      <w:divsChild>
        <w:div w:id="386103296">
          <w:marLeft w:val="0"/>
          <w:marRight w:val="0"/>
          <w:marTop w:val="0"/>
          <w:marBottom w:val="0"/>
          <w:divBdr>
            <w:top w:val="none" w:sz="0" w:space="0" w:color="auto"/>
            <w:left w:val="none" w:sz="0" w:space="0" w:color="auto"/>
            <w:bottom w:val="none" w:sz="0" w:space="0" w:color="auto"/>
            <w:right w:val="none" w:sz="0" w:space="0" w:color="auto"/>
          </w:divBdr>
          <w:divsChild>
            <w:div w:id="272369765">
              <w:marLeft w:val="0"/>
              <w:marRight w:val="0"/>
              <w:marTop w:val="0"/>
              <w:marBottom w:val="0"/>
              <w:divBdr>
                <w:top w:val="none" w:sz="0" w:space="0" w:color="auto"/>
                <w:left w:val="none" w:sz="0" w:space="0" w:color="auto"/>
                <w:bottom w:val="none" w:sz="0" w:space="0" w:color="auto"/>
                <w:right w:val="none" w:sz="0" w:space="0" w:color="auto"/>
              </w:divBdr>
              <w:divsChild>
                <w:div w:id="1985617350">
                  <w:marLeft w:val="0"/>
                  <w:marRight w:val="0"/>
                  <w:marTop w:val="0"/>
                  <w:marBottom w:val="0"/>
                  <w:divBdr>
                    <w:top w:val="none" w:sz="0" w:space="0" w:color="auto"/>
                    <w:left w:val="none" w:sz="0" w:space="0" w:color="auto"/>
                    <w:bottom w:val="none" w:sz="0" w:space="0" w:color="auto"/>
                    <w:right w:val="none" w:sz="0" w:space="0" w:color="auto"/>
                  </w:divBdr>
                  <w:divsChild>
                    <w:div w:id="2144301964">
                      <w:marLeft w:val="360"/>
                      <w:marRight w:val="360"/>
                      <w:marTop w:val="240"/>
                      <w:marBottom w:val="240"/>
                      <w:divBdr>
                        <w:top w:val="none" w:sz="0" w:space="0" w:color="auto"/>
                        <w:left w:val="none" w:sz="0" w:space="0" w:color="auto"/>
                        <w:bottom w:val="none" w:sz="0" w:space="0" w:color="auto"/>
                        <w:right w:val="none" w:sz="0" w:space="0" w:color="auto"/>
                      </w:divBdr>
                    </w:div>
                    <w:div w:id="735980355">
                      <w:marLeft w:val="360"/>
                      <w:marRight w:val="360"/>
                      <w:marTop w:val="240"/>
                      <w:marBottom w:val="240"/>
                      <w:divBdr>
                        <w:top w:val="none" w:sz="0" w:space="0" w:color="auto"/>
                        <w:left w:val="none" w:sz="0" w:space="0" w:color="auto"/>
                        <w:bottom w:val="none" w:sz="0" w:space="0" w:color="auto"/>
                        <w:right w:val="none" w:sz="0" w:space="0" w:color="auto"/>
                      </w:divBdr>
                    </w:div>
                    <w:div w:id="945388028">
                      <w:marLeft w:val="360"/>
                      <w:marRight w:val="360"/>
                      <w:marTop w:val="240"/>
                      <w:marBottom w:val="240"/>
                      <w:divBdr>
                        <w:top w:val="none" w:sz="0" w:space="0" w:color="auto"/>
                        <w:left w:val="none" w:sz="0" w:space="0" w:color="auto"/>
                        <w:bottom w:val="none" w:sz="0" w:space="0" w:color="auto"/>
                        <w:right w:val="none" w:sz="0" w:space="0" w:color="auto"/>
                      </w:divBdr>
                    </w:div>
                    <w:div w:id="1804423150">
                      <w:marLeft w:val="360"/>
                      <w:marRight w:val="360"/>
                      <w:marTop w:val="240"/>
                      <w:marBottom w:val="240"/>
                      <w:divBdr>
                        <w:top w:val="none" w:sz="0" w:space="0" w:color="auto"/>
                        <w:left w:val="none" w:sz="0" w:space="0" w:color="auto"/>
                        <w:bottom w:val="none" w:sz="0" w:space="0" w:color="auto"/>
                        <w:right w:val="none" w:sz="0" w:space="0" w:color="auto"/>
                      </w:divBdr>
                    </w:div>
                  </w:divsChild>
                </w:div>
                <w:div w:id="757480698">
                  <w:marLeft w:val="0"/>
                  <w:marRight w:val="0"/>
                  <w:marTop w:val="0"/>
                  <w:marBottom w:val="0"/>
                  <w:divBdr>
                    <w:top w:val="none" w:sz="0" w:space="0" w:color="auto"/>
                    <w:left w:val="none" w:sz="0" w:space="0" w:color="auto"/>
                    <w:bottom w:val="none" w:sz="0" w:space="0" w:color="auto"/>
                    <w:right w:val="none" w:sz="0" w:space="0" w:color="auto"/>
                  </w:divBdr>
                  <w:divsChild>
                    <w:div w:id="855001263">
                      <w:marLeft w:val="360"/>
                      <w:marRight w:val="360"/>
                      <w:marTop w:val="240"/>
                      <w:marBottom w:val="240"/>
                      <w:divBdr>
                        <w:top w:val="none" w:sz="0" w:space="0" w:color="auto"/>
                        <w:left w:val="none" w:sz="0" w:space="0" w:color="auto"/>
                        <w:bottom w:val="none" w:sz="0" w:space="0" w:color="auto"/>
                        <w:right w:val="none" w:sz="0" w:space="0" w:color="auto"/>
                      </w:divBdr>
                    </w:div>
                    <w:div w:id="2123987435">
                      <w:marLeft w:val="360"/>
                      <w:marRight w:val="360"/>
                      <w:marTop w:val="240"/>
                      <w:marBottom w:val="240"/>
                      <w:divBdr>
                        <w:top w:val="none" w:sz="0" w:space="0" w:color="auto"/>
                        <w:left w:val="none" w:sz="0" w:space="0" w:color="auto"/>
                        <w:bottom w:val="none" w:sz="0" w:space="0" w:color="auto"/>
                        <w:right w:val="none" w:sz="0" w:space="0" w:color="auto"/>
                      </w:divBdr>
                    </w:div>
                    <w:div w:id="592858593">
                      <w:marLeft w:val="360"/>
                      <w:marRight w:val="360"/>
                      <w:marTop w:val="240"/>
                      <w:marBottom w:val="240"/>
                      <w:divBdr>
                        <w:top w:val="none" w:sz="0" w:space="0" w:color="auto"/>
                        <w:left w:val="none" w:sz="0" w:space="0" w:color="auto"/>
                        <w:bottom w:val="none" w:sz="0" w:space="0" w:color="auto"/>
                        <w:right w:val="none" w:sz="0" w:space="0" w:color="auto"/>
                      </w:divBdr>
                    </w:div>
                    <w:div w:id="1319460014">
                      <w:marLeft w:val="360"/>
                      <w:marRight w:val="360"/>
                      <w:marTop w:val="240"/>
                      <w:marBottom w:val="240"/>
                      <w:divBdr>
                        <w:top w:val="none" w:sz="0" w:space="0" w:color="auto"/>
                        <w:left w:val="none" w:sz="0" w:space="0" w:color="auto"/>
                        <w:bottom w:val="none" w:sz="0" w:space="0" w:color="auto"/>
                        <w:right w:val="none" w:sz="0" w:space="0" w:color="auto"/>
                      </w:divBdr>
                    </w:div>
                  </w:divsChild>
                </w:div>
                <w:div w:id="749618514">
                  <w:marLeft w:val="0"/>
                  <w:marRight w:val="0"/>
                  <w:marTop w:val="0"/>
                  <w:marBottom w:val="0"/>
                  <w:divBdr>
                    <w:top w:val="none" w:sz="0" w:space="0" w:color="auto"/>
                    <w:left w:val="none" w:sz="0" w:space="0" w:color="auto"/>
                    <w:bottom w:val="none" w:sz="0" w:space="0" w:color="auto"/>
                    <w:right w:val="none" w:sz="0" w:space="0" w:color="auto"/>
                  </w:divBdr>
                  <w:divsChild>
                    <w:div w:id="2104379634">
                      <w:marLeft w:val="0"/>
                      <w:marRight w:val="0"/>
                      <w:marTop w:val="240"/>
                      <w:marBottom w:val="240"/>
                      <w:divBdr>
                        <w:top w:val="single" w:sz="12" w:space="0" w:color="EBEBEB"/>
                        <w:left w:val="none" w:sz="0" w:space="0" w:color="auto"/>
                        <w:bottom w:val="single" w:sz="12" w:space="0" w:color="EBEBEB"/>
                        <w:right w:val="none" w:sz="0" w:space="0" w:color="auto"/>
                      </w:divBdr>
                      <w:divsChild>
                        <w:div w:id="1259682515">
                          <w:marLeft w:val="360"/>
                          <w:marRight w:val="360"/>
                          <w:marTop w:val="240"/>
                          <w:marBottom w:val="240"/>
                          <w:divBdr>
                            <w:top w:val="none" w:sz="0" w:space="0" w:color="auto"/>
                            <w:left w:val="none" w:sz="0" w:space="0" w:color="auto"/>
                            <w:bottom w:val="none" w:sz="0" w:space="0" w:color="auto"/>
                            <w:right w:val="none" w:sz="0" w:space="0" w:color="auto"/>
                          </w:divBdr>
                        </w:div>
                        <w:div w:id="1309482189">
                          <w:marLeft w:val="0"/>
                          <w:marRight w:val="0"/>
                          <w:marTop w:val="240"/>
                          <w:marBottom w:val="240"/>
                          <w:divBdr>
                            <w:top w:val="none" w:sz="0" w:space="0" w:color="auto"/>
                            <w:left w:val="none" w:sz="0" w:space="0" w:color="auto"/>
                            <w:bottom w:val="none" w:sz="0" w:space="0" w:color="auto"/>
                            <w:right w:val="none" w:sz="0" w:space="0" w:color="auto"/>
                          </w:divBdr>
                        </w:div>
                      </w:divsChild>
                    </w:div>
                    <w:div w:id="23793741">
                      <w:marLeft w:val="360"/>
                      <w:marRight w:val="360"/>
                      <w:marTop w:val="240"/>
                      <w:marBottom w:val="240"/>
                      <w:divBdr>
                        <w:top w:val="none" w:sz="0" w:space="0" w:color="auto"/>
                        <w:left w:val="none" w:sz="0" w:space="0" w:color="auto"/>
                        <w:bottom w:val="none" w:sz="0" w:space="0" w:color="auto"/>
                        <w:right w:val="none" w:sz="0" w:space="0" w:color="auto"/>
                      </w:divBdr>
                    </w:div>
                    <w:div w:id="136729797">
                      <w:marLeft w:val="360"/>
                      <w:marRight w:val="360"/>
                      <w:marTop w:val="240"/>
                      <w:marBottom w:val="240"/>
                      <w:divBdr>
                        <w:top w:val="none" w:sz="0" w:space="0" w:color="auto"/>
                        <w:left w:val="none" w:sz="0" w:space="0" w:color="auto"/>
                        <w:bottom w:val="none" w:sz="0" w:space="0" w:color="auto"/>
                        <w:right w:val="none" w:sz="0" w:space="0" w:color="auto"/>
                      </w:divBdr>
                    </w:div>
                    <w:div w:id="193035936">
                      <w:marLeft w:val="360"/>
                      <w:marRight w:val="360"/>
                      <w:marTop w:val="240"/>
                      <w:marBottom w:val="240"/>
                      <w:divBdr>
                        <w:top w:val="none" w:sz="0" w:space="0" w:color="auto"/>
                        <w:left w:val="none" w:sz="0" w:space="0" w:color="auto"/>
                        <w:bottom w:val="none" w:sz="0" w:space="0" w:color="auto"/>
                        <w:right w:val="none" w:sz="0" w:space="0" w:color="auto"/>
                      </w:divBdr>
                    </w:div>
                    <w:div w:id="1076780646">
                      <w:marLeft w:val="360"/>
                      <w:marRight w:val="360"/>
                      <w:marTop w:val="240"/>
                      <w:marBottom w:val="240"/>
                      <w:divBdr>
                        <w:top w:val="none" w:sz="0" w:space="0" w:color="auto"/>
                        <w:left w:val="none" w:sz="0" w:space="0" w:color="auto"/>
                        <w:bottom w:val="none" w:sz="0" w:space="0" w:color="auto"/>
                        <w:right w:val="none" w:sz="0" w:space="0" w:color="auto"/>
                      </w:divBdr>
                    </w:div>
                    <w:div w:id="1238708344">
                      <w:marLeft w:val="360"/>
                      <w:marRight w:val="360"/>
                      <w:marTop w:val="240"/>
                      <w:marBottom w:val="240"/>
                      <w:divBdr>
                        <w:top w:val="none" w:sz="0" w:space="0" w:color="auto"/>
                        <w:left w:val="none" w:sz="0" w:space="0" w:color="auto"/>
                        <w:bottom w:val="none" w:sz="0" w:space="0" w:color="auto"/>
                        <w:right w:val="none" w:sz="0" w:space="0" w:color="auto"/>
                      </w:divBdr>
                    </w:div>
                    <w:div w:id="415591252">
                      <w:marLeft w:val="360"/>
                      <w:marRight w:val="360"/>
                      <w:marTop w:val="240"/>
                      <w:marBottom w:val="240"/>
                      <w:divBdr>
                        <w:top w:val="none" w:sz="0" w:space="0" w:color="auto"/>
                        <w:left w:val="none" w:sz="0" w:space="0" w:color="auto"/>
                        <w:bottom w:val="none" w:sz="0" w:space="0" w:color="auto"/>
                        <w:right w:val="none" w:sz="0" w:space="0" w:color="auto"/>
                      </w:divBdr>
                    </w:div>
                  </w:divsChild>
                </w:div>
                <w:div w:id="288753257">
                  <w:marLeft w:val="0"/>
                  <w:marRight w:val="0"/>
                  <w:marTop w:val="0"/>
                  <w:marBottom w:val="0"/>
                  <w:divBdr>
                    <w:top w:val="none" w:sz="0" w:space="0" w:color="auto"/>
                    <w:left w:val="none" w:sz="0" w:space="0" w:color="auto"/>
                    <w:bottom w:val="none" w:sz="0" w:space="0" w:color="auto"/>
                    <w:right w:val="none" w:sz="0" w:space="0" w:color="auto"/>
                  </w:divBdr>
                  <w:divsChild>
                    <w:div w:id="558788232">
                      <w:marLeft w:val="0"/>
                      <w:marRight w:val="0"/>
                      <w:marTop w:val="240"/>
                      <w:marBottom w:val="240"/>
                      <w:divBdr>
                        <w:top w:val="single" w:sz="12" w:space="0" w:color="EBEBEB"/>
                        <w:left w:val="none" w:sz="0" w:space="0" w:color="auto"/>
                        <w:bottom w:val="single" w:sz="12" w:space="0" w:color="EBEBEB"/>
                        <w:right w:val="none" w:sz="0" w:space="0" w:color="auto"/>
                      </w:divBdr>
                      <w:divsChild>
                        <w:div w:id="91781255">
                          <w:marLeft w:val="360"/>
                          <w:marRight w:val="360"/>
                          <w:marTop w:val="240"/>
                          <w:marBottom w:val="240"/>
                          <w:divBdr>
                            <w:top w:val="none" w:sz="0" w:space="0" w:color="auto"/>
                            <w:left w:val="none" w:sz="0" w:space="0" w:color="auto"/>
                            <w:bottom w:val="none" w:sz="0" w:space="0" w:color="auto"/>
                            <w:right w:val="none" w:sz="0" w:space="0" w:color="auto"/>
                          </w:divBdr>
                        </w:div>
                        <w:div w:id="19618420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8148681">
                  <w:marLeft w:val="0"/>
                  <w:marRight w:val="0"/>
                  <w:marTop w:val="0"/>
                  <w:marBottom w:val="0"/>
                  <w:divBdr>
                    <w:top w:val="none" w:sz="0" w:space="0" w:color="auto"/>
                    <w:left w:val="none" w:sz="0" w:space="0" w:color="auto"/>
                    <w:bottom w:val="none" w:sz="0" w:space="0" w:color="auto"/>
                    <w:right w:val="none" w:sz="0" w:space="0" w:color="auto"/>
                  </w:divBdr>
                  <w:divsChild>
                    <w:div w:id="527908623">
                      <w:marLeft w:val="0"/>
                      <w:marRight w:val="0"/>
                      <w:marTop w:val="240"/>
                      <w:marBottom w:val="240"/>
                      <w:divBdr>
                        <w:top w:val="single" w:sz="12" w:space="0" w:color="EBEBEB"/>
                        <w:left w:val="none" w:sz="0" w:space="0" w:color="auto"/>
                        <w:bottom w:val="single" w:sz="12" w:space="0" w:color="EBEBEB"/>
                        <w:right w:val="none" w:sz="0" w:space="0" w:color="auto"/>
                      </w:divBdr>
                      <w:divsChild>
                        <w:div w:id="1822112139">
                          <w:marLeft w:val="360"/>
                          <w:marRight w:val="360"/>
                          <w:marTop w:val="240"/>
                          <w:marBottom w:val="240"/>
                          <w:divBdr>
                            <w:top w:val="none" w:sz="0" w:space="0" w:color="auto"/>
                            <w:left w:val="none" w:sz="0" w:space="0" w:color="auto"/>
                            <w:bottom w:val="none" w:sz="0" w:space="0" w:color="auto"/>
                            <w:right w:val="none" w:sz="0" w:space="0" w:color="auto"/>
                          </w:divBdr>
                        </w:div>
                        <w:div w:id="897450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08877515">
          <w:marLeft w:val="0"/>
          <w:marRight w:val="0"/>
          <w:marTop w:val="300"/>
          <w:marBottom w:val="300"/>
          <w:divBdr>
            <w:top w:val="none" w:sz="0" w:space="0" w:color="auto"/>
            <w:left w:val="none" w:sz="0" w:space="0" w:color="auto"/>
            <w:bottom w:val="none" w:sz="0" w:space="0" w:color="auto"/>
            <w:right w:val="none" w:sz="0" w:space="0" w:color="auto"/>
          </w:divBdr>
        </w:div>
        <w:div w:id="1588995025">
          <w:marLeft w:val="0"/>
          <w:marRight w:val="0"/>
          <w:marTop w:val="0"/>
          <w:marBottom w:val="0"/>
          <w:divBdr>
            <w:top w:val="none" w:sz="0" w:space="0" w:color="auto"/>
            <w:left w:val="none" w:sz="0" w:space="0" w:color="auto"/>
            <w:bottom w:val="none" w:sz="0" w:space="0" w:color="auto"/>
            <w:right w:val="none" w:sz="0" w:space="0" w:color="auto"/>
          </w:divBdr>
        </w:div>
        <w:div w:id="407196062">
          <w:marLeft w:val="0"/>
          <w:marRight w:val="0"/>
          <w:marTop w:val="0"/>
          <w:marBottom w:val="0"/>
          <w:divBdr>
            <w:top w:val="none" w:sz="0" w:space="0" w:color="auto"/>
            <w:left w:val="none" w:sz="0" w:space="0" w:color="auto"/>
            <w:bottom w:val="none" w:sz="0" w:space="0" w:color="auto"/>
            <w:right w:val="none" w:sz="0" w:space="0" w:color="auto"/>
          </w:divBdr>
        </w:div>
        <w:div w:id="989139727">
          <w:marLeft w:val="0"/>
          <w:marRight w:val="0"/>
          <w:marTop w:val="0"/>
          <w:marBottom w:val="0"/>
          <w:divBdr>
            <w:top w:val="none" w:sz="0" w:space="0" w:color="auto"/>
            <w:left w:val="none" w:sz="0" w:space="0" w:color="auto"/>
            <w:bottom w:val="none" w:sz="0" w:space="0" w:color="auto"/>
            <w:right w:val="none" w:sz="0" w:space="0" w:color="auto"/>
          </w:divBdr>
        </w:div>
        <w:div w:id="1159812255">
          <w:marLeft w:val="0"/>
          <w:marRight w:val="0"/>
          <w:marTop w:val="0"/>
          <w:marBottom w:val="0"/>
          <w:divBdr>
            <w:top w:val="none" w:sz="0" w:space="0" w:color="auto"/>
            <w:left w:val="none" w:sz="0" w:space="0" w:color="auto"/>
            <w:bottom w:val="none" w:sz="0" w:space="0" w:color="auto"/>
            <w:right w:val="none" w:sz="0" w:space="0" w:color="auto"/>
          </w:divBdr>
        </w:div>
        <w:div w:id="1737972991">
          <w:marLeft w:val="0"/>
          <w:marRight w:val="0"/>
          <w:marTop w:val="0"/>
          <w:marBottom w:val="0"/>
          <w:divBdr>
            <w:top w:val="none" w:sz="0" w:space="0" w:color="auto"/>
            <w:left w:val="none" w:sz="0" w:space="0" w:color="auto"/>
            <w:bottom w:val="none" w:sz="0" w:space="0" w:color="auto"/>
            <w:right w:val="none" w:sz="0" w:space="0" w:color="auto"/>
          </w:divBdr>
        </w:div>
        <w:div w:id="1494294197">
          <w:marLeft w:val="0"/>
          <w:marRight w:val="0"/>
          <w:marTop w:val="0"/>
          <w:marBottom w:val="0"/>
          <w:divBdr>
            <w:top w:val="none" w:sz="0" w:space="0" w:color="auto"/>
            <w:left w:val="none" w:sz="0" w:space="0" w:color="auto"/>
            <w:bottom w:val="none" w:sz="0" w:space="0" w:color="auto"/>
            <w:right w:val="none" w:sz="0" w:space="0" w:color="auto"/>
          </w:divBdr>
        </w:div>
        <w:div w:id="589169097">
          <w:marLeft w:val="0"/>
          <w:marRight w:val="0"/>
          <w:marTop w:val="0"/>
          <w:marBottom w:val="0"/>
          <w:divBdr>
            <w:top w:val="none" w:sz="0" w:space="0" w:color="auto"/>
            <w:left w:val="none" w:sz="0" w:space="0" w:color="auto"/>
            <w:bottom w:val="none" w:sz="0" w:space="0" w:color="auto"/>
            <w:right w:val="none" w:sz="0" w:space="0" w:color="auto"/>
          </w:divBdr>
        </w:div>
        <w:div w:id="307588538">
          <w:marLeft w:val="0"/>
          <w:marRight w:val="0"/>
          <w:marTop w:val="0"/>
          <w:marBottom w:val="0"/>
          <w:divBdr>
            <w:top w:val="none" w:sz="0" w:space="0" w:color="auto"/>
            <w:left w:val="none" w:sz="0" w:space="0" w:color="auto"/>
            <w:bottom w:val="none" w:sz="0" w:space="0" w:color="auto"/>
            <w:right w:val="none" w:sz="0" w:space="0" w:color="auto"/>
          </w:divBdr>
        </w:div>
        <w:div w:id="788933331">
          <w:marLeft w:val="0"/>
          <w:marRight w:val="0"/>
          <w:marTop w:val="0"/>
          <w:marBottom w:val="0"/>
          <w:divBdr>
            <w:top w:val="none" w:sz="0" w:space="0" w:color="auto"/>
            <w:left w:val="none" w:sz="0" w:space="0" w:color="auto"/>
            <w:bottom w:val="none" w:sz="0" w:space="0" w:color="auto"/>
            <w:right w:val="none" w:sz="0" w:space="0" w:color="auto"/>
          </w:divBdr>
        </w:div>
        <w:div w:id="1400266">
          <w:marLeft w:val="0"/>
          <w:marRight w:val="0"/>
          <w:marTop w:val="0"/>
          <w:marBottom w:val="0"/>
          <w:divBdr>
            <w:top w:val="none" w:sz="0" w:space="0" w:color="auto"/>
            <w:left w:val="none" w:sz="0" w:space="0" w:color="auto"/>
            <w:bottom w:val="none" w:sz="0" w:space="0" w:color="auto"/>
            <w:right w:val="none" w:sz="0" w:space="0" w:color="auto"/>
          </w:divBdr>
        </w:div>
        <w:div w:id="1073159645">
          <w:marLeft w:val="0"/>
          <w:marRight w:val="0"/>
          <w:marTop w:val="0"/>
          <w:marBottom w:val="0"/>
          <w:divBdr>
            <w:top w:val="none" w:sz="0" w:space="0" w:color="auto"/>
            <w:left w:val="none" w:sz="0" w:space="0" w:color="auto"/>
            <w:bottom w:val="none" w:sz="0" w:space="0" w:color="auto"/>
            <w:right w:val="none" w:sz="0" w:space="0" w:color="auto"/>
          </w:divBdr>
        </w:div>
        <w:div w:id="943463542">
          <w:marLeft w:val="0"/>
          <w:marRight w:val="0"/>
          <w:marTop w:val="0"/>
          <w:marBottom w:val="0"/>
          <w:divBdr>
            <w:top w:val="none" w:sz="0" w:space="0" w:color="auto"/>
            <w:left w:val="none" w:sz="0" w:space="0" w:color="auto"/>
            <w:bottom w:val="none" w:sz="0" w:space="0" w:color="auto"/>
            <w:right w:val="none" w:sz="0" w:space="0" w:color="auto"/>
          </w:divBdr>
        </w:div>
        <w:div w:id="1945838630">
          <w:marLeft w:val="0"/>
          <w:marRight w:val="0"/>
          <w:marTop w:val="0"/>
          <w:marBottom w:val="0"/>
          <w:divBdr>
            <w:top w:val="none" w:sz="0" w:space="0" w:color="auto"/>
            <w:left w:val="none" w:sz="0" w:space="0" w:color="auto"/>
            <w:bottom w:val="none" w:sz="0" w:space="0" w:color="auto"/>
            <w:right w:val="none" w:sz="0" w:space="0" w:color="auto"/>
          </w:divBdr>
        </w:div>
        <w:div w:id="1413044913">
          <w:marLeft w:val="0"/>
          <w:marRight w:val="0"/>
          <w:marTop w:val="0"/>
          <w:marBottom w:val="0"/>
          <w:divBdr>
            <w:top w:val="none" w:sz="0" w:space="0" w:color="auto"/>
            <w:left w:val="none" w:sz="0" w:space="0" w:color="auto"/>
            <w:bottom w:val="none" w:sz="0" w:space="0" w:color="auto"/>
            <w:right w:val="none" w:sz="0" w:space="0" w:color="auto"/>
          </w:divBdr>
        </w:div>
        <w:div w:id="1739548448">
          <w:marLeft w:val="0"/>
          <w:marRight w:val="0"/>
          <w:marTop w:val="0"/>
          <w:marBottom w:val="0"/>
          <w:divBdr>
            <w:top w:val="none" w:sz="0" w:space="0" w:color="auto"/>
            <w:left w:val="none" w:sz="0" w:space="0" w:color="auto"/>
            <w:bottom w:val="none" w:sz="0" w:space="0" w:color="auto"/>
            <w:right w:val="none" w:sz="0" w:space="0" w:color="auto"/>
          </w:divBdr>
        </w:div>
        <w:div w:id="1389645160">
          <w:marLeft w:val="0"/>
          <w:marRight w:val="0"/>
          <w:marTop w:val="0"/>
          <w:marBottom w:val="0"/>
          <w:divBdr>
            <w:top w:val="none" w:sz="0" w:space="0" w:color="auto"/>
            <w:left w:val="none" w:sz="0" w:space="0" w:color="auto"/>
            <w:bottom w:val="none" w:sz="0" w:space="0" w:color="auto"/>
            <w:right w:val="none" w:sz="0" w:space="0" w:color="auto"/>
          </w:divBdr>
        </w:div>
        <w:div w:id="1090659834">
          <w:marLeft w:val="0"/>
          <w:marRight w:val="0"/>
          <w:marTop w:val="0"/>
          <w:marBottom w:val="0"/>
          <w:divBdr>
            <w:top w:val="none" w:sz="0" w:space="0" w:color="auto"/>
            <w:left w:val="none" w:sz="0" w:space="0" w:color="auto"/>
            <w:bottom w:val="none" w:sz="0" w:space="0" w:color="auto"/>
            <w:right w:val="none" w:sz="0" w:space="0" w:color="auto"/>
          </w:divBdr>
        </w:div>
        <w:div w:id="234097471">
          <w:marLeft w:val="0"/>
          <w:marRight w:val="0"/>
          <w:marTop w:val="0"/>
          <w:marBottom w:val="0"/>
          <w:divBdr>
            <w:top w:val="none" w:sz="0" w:space="0" w:color="auto"/>
            <w:left w:val="none" w:sz="0" w:space="0" w:color="auto"/>
            <w:bottom w:val="none" w:sz="0" w:space="0" w:color="auto"/>
            <w:right w:val="none" w:sz="0" w:space="0" w:color="auto"/>
          </w:divBdr>
        </w:div>
        <w:div w:id="1995991210">
          <w:marLeft w:val="0"/>
          <w:marRight w:val="0"/>
          <w:marTop w:val="0"/>
          <w:marBottom w:val="0"/>
          <w:divBdr>
            <w:top w:val="none" w:sz="0" w:space="0" w:color="auto"/>
            <w:left w:val="none" w:sz="0" w:space="0" w:color="auto"/>
            <w:bottom w:val="none" w:sz="0" w:space="0" w:color="auto"/>
            <w:right w:val="none" w:sz="0" w:space="0" w:color="auto"/>
          </w:divBdr>
        </w:div>
        <w:div w:id="2054574158">
          <w:marLeft w:val="0"/>
          <w:marRight w:val="0"/>
          <w:marTop w:val="0"/>
          <w:marBottom w:val="0"/>
          <w:divBdr>
            <w:top w:val="none" w:sz="0" w:space="0" w:color="auto"/>
            <w:left w:val="none" w:sz="0" w:space="0" w:color="auto"/>
            <w:bottom w:val="none" w:sz="0" w:space="0" w:color="auto"/>
            <w:right w:val="none" w:sz="0" w:space="0" w:color="auto"/>
          </w:divBdr>
        </w:div>
        <w:div w:id="1356537527">
          <w:marLeft w:val="0"/>
          <w:marRight w:val="0"/>
          <w:marTop w:val="0"/>
          <w:marBottom w:val="0"/>
          <w:divBdr>
            <w:top w:val="none" w:sz="0" w:space="0" w:color="auto"/>
            <w:left w:val="none" w:sz="0" w:space="0" w:color="auto"/>
            <w:bottom w:val="none" w:sz="0" w:space="0" w:color="auto"/>
            <w:right w:val="none" w:sz="0" w:space="0" w:color="auto"/>
          </w:divBdr>
        </w:div>
        <w:div w:id="1426917538">
          <w:marLeft w:val="0"/>
          <w:marRight w:val="0"/>
          <w:marTop w:val="0"/>
          <w:marBottom w:val="0"/>
          <w:divBdr>
            <w:top w:val="none" w:sz="0" w:space="0" w:color="auto"/>
            <w:left w:val="none" w:sz="0" w:space="0" w:color="auto"/>
            <w:bottom w:val="none" w:sz="0" w:space="0" w:color="auto"/>
            <w:right w:val="none" w:sz="0" w:space="0" w:color="auto"/>
          </w:divBdr>
        </w:div>
        <w:div w:id="1247612549">
          <w:marLeft w:val="0"/>
          <w:marRight w:val="0"/>
          <w:marTop w:val="0"/>
          <w:marBottom w:val="0"/>
          <w:divBdr>
            <w:top w:val="none" w:sz="0" w:space="0" w:color="auto"/>
            <w:left w:val="none" w:sz="0" w:space="0" w:color="auto"/>
            <w:bottom w:val="none" w:sz="0" w:space="0" w:color="auto"/>
            <w:right w:val="none" w:sz="0" w:space="0" w:color="auto"/>
          </w:divBdr>
        </w:div>
        <w:div w:id="481194322">
          <w:marLeft w:val="0"/>
          <w:marRight w:val="0"/>
          <w:marTop w:val="0"/>
          <w:marBottom w:val="0"/>
          <w:divBdr>
            <w:top w:val="none" w:sz="0" w:space="0" w:color="auto"/>
            <w:left w:val="none" w:sz="0" w:space="0" w:color="auto"/>
            <w:bottom w:val="none" w:sz="0" w:space="0" w:color="auto"/>
            <w:right w:val="none" w:sz="0" w:space="0" w:color="auto"/>
          </w:divBdr>
        </w:div>
        <w:div w:id="2109498915">
          <w:marLeft w:val="0"/>
          <w:marRight w:val="0"/>
          <w:marTop w:val="0"/>
          <w:marBottom w:val="0"/>
          <w:divBdr>
            <w:top w:val="none" w:sz="0" w:space="0" w:color="auto"/>
            <w:left w:val="none" w:sz="0" w:space="0" w:color="auto"/>
            <w:bottom w:val="none" w:sz="0" w:space="0" w:color="auto"/>
            <w:right w:val="none" w:sz="0" w:space="0" w:color="auto"/>
          </w:divBdr>
        </w:div>
        <w:div w:id="2086680863">
          <w:marLeft w:val="0"/>
          <w:marRight w:val="0"/>
          <w:marTop w:val="0"/>
          <w:marBottom w:val="0"/>
          <w:divBdr>
            <w:top w:val="none" w:sz="0" w:space="0" w:color="auto"/>
            <w:left w:val="none" w:sz="0" w:space="0" w:color="auto"/>
            <w:bottom w:val="none" w:sz="0" w:space="0" w:color="auto"/>
            <w:right w:val="none" w:sz="0" w:space="0" w:color="auto"/>
          </w:divBdr>
        </w:div>
        <w:div w:id="2057046069">
          <w:marLeft w:val="0"/>
          <w:marRight w:val="0"/>
          <w:marTop w:val="0"/>
          <w:marBottom w:val="0"/>
          <w:divBdr>
            <w:top w:val="none" w:sz="0" w:space="0" w:color="auto"/>
            <w:left w:val="none" w:sz="0" w:space="0" w:color="auto"/>
            <w:bottom w:val="none" w:sz="0" w:space="0" w:color="auto"/>
            <w:right w:val="none" w:sz="0" w:space="0" w:color="auto"/>
          </w:divBdr>
        </w:div>
        <w:div w:id="1971781781">
          <w:marLeft w:val="0"/>
          <w:marRight w:val="0"/>
          <w:marTop w:val="0"/>
          <w:marBottom w:val="0"/>
          <w:divBdr>
            <w:top w:val="none" w:sz="0" w:space="0" w:color="auto"/>
            <w:left w:val="none" w:sz="0" w:space="0" w:color="auto"/>
            <w:bottom w:val="none" w:sz="0" w:space="0" w:color="auto"/>
            <w:right w:val="none" w:sz="0" w:space="0" w:color="auto"/>
          </w:divBdr>
        </w:div>
        <w:div w:id="1549759739">
          <w:marLeft w:val="0"/>
          <w:marRight w:val="0"/>
          <w:marTop w:val="0"/>
          <w:marBottom w:val="0"/>
          <w:divBdr>
            <w:top w:val="none" w:sz="0" w:space="0" w:color="auto"/>
            <w:left w:val="none" w:sz="0" w:space="0" w:color="auto"/>
            <w:bottom w:val="none" w:sz="0" w:space="0" w:color="auto"/>
            <w:right w:val="none" w:sz="0" w:space="0" w:color="auto"/>
          </w:divBdr>
        </w:div>
        <w:div w:id="1905794920">
          <w:marLeft w:val="0"/>
          <w:marRight w:val="0"/>
          <w:marTop w:val="0"/>
          <w:marBottom w:val="0"/>
          <w:divBdr>
            <w:top w:val="none" w:sz="0" w:space="0" w:color="auto"/>
            <w:left w:val="none" w:sz="0" w:space="0" w:color="auto"/>
            <w:bottom w:val="none" w:sz="0" w:space="0" w:color="auto"/>
            <w:right w:val="none" w:sz="0" w:space="0" w:color="auto"/>
          </w:divBdr>
        </w:div>
        <w:div w:id="1834104337">
          <w:marLeft w:val="0"/>
          <w:marRight w:val="0"/>
          <w:marTop w:val="0"/>
          <w:marBottom w:val="0"/>
          <w:divBdr>
            <w:top w:val="none" w:sz="0" w:space="0" w:color="auto"/>
            <w:left w:val="none" w:sz="0" w:space="0" w:color="auto"/>
            <w:bottom w:val="none" w:sz="0" w:space="0" w:color="auto"/>
            <w:right w:val="none" w:sz="0" w:space="0" w:color="auto"/>
          </w:divBdr>
        </w:div>
        <w:div w:id="1043869366">
          <w:marLeft w:val="0"/>
          <w:marRight w:val="0"/>
          <w:marTop w:val="0"/>
          <w:marBottom w:val="0"/>
          <w:divBdr>
            <w:top w:val="none" w:sz="0" w:space="0" w:color="auto"/>
            <w:left w:val="none" w:sz="0" w:space="0" w:color="auto"/>
            <w:bottom w:val="none" w:sz="0" w:space="0" w:color="auto"/>
            <w:right w:val="none" w:sz="0" w:space="0" w:color="auto"/>
          </w:divBdr>
        </w:div>
        <w:div w:id="510685781">
          <w:marLeft w:val="0"/>
          <w:marRight w:val="0"/>
          <w:marTop w:val="0"/>
          <w:marBottom w:val="0"/>
          <w:divBdr>
            <w:top w:val="none" w:sz="0" w:space="0" w:color="auto"/>
            <w:left w:val="none" w:sz="0" w:space="0" w:color="auto"/>
            <w:bottom w:val="none" w:sz="0" w:space="0" w:color="auto"/>
            <w:right w:val="none" w:sz="0" w:space="0" w:color="auto"/>
          </w:divBdr>
        </w:div>
        <w:div w:id="1401565072">
          <w:marLeft w:val="0"/>
          <w:marRight w:val="0"/>
          <w:marTop w:val="0"/>
          <w:marBottom w:val="0"/>
          <w:divBdr>
            <w:top w:val="none" w:sz="0" w:space="0" w:color="auto"/>
            <w:left w:val="none" w:sz="0" w:space="0" w:color="auto"/>
            <w:bottom w:val="none" w:sz="0" w:space="0" w:color="auto"/>
            <w:right w:val="none" w:sz="0" w:space="0" w:color="auto"/>
          </w:divBdr>
        </w:div>
        <w:div w:id="775372493">
          <w:marLeft w:val="0"/>
          <w:marRight w:val="0"/>
          <w:marTop w:val="0"/>
          <w:marBottom w:val="0"/>
          <w:divBdr>
            <w:top w:val="none" w:sz="0" w:space="0" w:color="auto"/>
            <w:left w:val="none" w:sz="0" w:space="0" w:color="auto"/>
            <w:bottom w:val="none" w:sz="0" w:space="0" w:color="auto"/>
            <w:right w:val="none" w:sz="0" w:space="0" w:color="auto"/>
          </w:divBdr>
        </w:div>
        <w:div w:id="1355502232">
          <w:marLeft w:val="0"/>
          <w:marRight w:val="0"/>
          <w:marTop w:val="0"/>
          <w:marBottom w:val="0"/>
          <w:divBdr>
            <w:top w:val="none" w:sz="0" w:space="0" w:color="auto"/>
            <w:left w:val="none" w:sz="0" w:space="0" w:color="auto"/>
            <w:bottom w:val="none" w:sz="0" w:space="0" w:color="auto"/>
            <w:right w:val="none" w:sz="0" w:space="0" w:color="auto"/>
          </w:divBdr>
        </w:div>
        <w:div w:id="676465094">
          <w:marLeft w:val="0"/>
          <w:marRight w:val="0"/>
          <w:marTop w:val="0"/>
          <w:marBottom w:val="0"/>
          <w:divBdr>
            <w:top w:val="none" w:sz="0" w:space="0" w:color="auto"/>
            <w:left w:val="none" w:sz="0" w:space="0" w:color="auto"/>
            <w:bottom w:val="none" w:sz="0" w:space="0" w:color="auto"/>
            <w:right w:val="none" w:sz="0" w:space="0" w:color="auto"/>
          </w:divBdr>
        </w:div>
        <w:div w:id="1973515021">
          <w:marLeft w:val="0"/>
          <w:marRight w:val="0"/>
          <w:marTop w:val="0"/>
          <w:marBottom w:val="0"/>
          <w:divBdr>
            <w:top w:val="none" w:sz="0" w:space="0" w:color="auto"/>
            <w:left w:val="none" w:sz="0" w:space="0" w:color="auto"/>
            <w:bottom w:val="none" w:sz="0" w:space="0" w:color="auto"/>
            <w:right w:val="none" w:sz="0" w:space="0" w:color="auto"/>
          </w:divBdr>
        </w:div>
        <w:div w:id="1538424446">
          <w:marLeft w:val="0"/>
          <w:marRight w:val="0"/>
          <w:marTop w:val="0"/>
          <w:marBottom w:val="0"/>
          <w:divBdr>
            <w:top w:val="none" w:sz="0" w:space="0" w:color="auto"/>
            <w:left w:val="none" w:sz="0" w:space="0" w:color="auto"/>
            <w:bottom w:val="none" w:sz="0" w:space="0" w:color="auto"/>
            <w:right w:val="none" w:sz="0" w:space="0" w:color="auto"/>
          </w:divBdr>
        </w:div>
        <w:div w:id="1674411293">
          <w:marLeft w:val="0"/>
          <w:marRight w:val="0"/>
          <w:marTop w:val="0"/>
          <w:marBottom w:val="0"/>
          <w:divBdr>
            <w:top w:val="none" w:sz="0" w:space="0" w:color="auto"/>
            <w:left w:val="none" w:sz="0" w:space="0" w:color="auto"/>
            <w:bottom w:val="none" w:sz="0" w:space="0" w:color="auto"/>
            <w:right w:val="none" w:sz="0" w:space="0" w:color="auto"/>
          </w:divBdr>
        </w:div>
        <w:div w:id="1624000748">
          <w:marLeft w:val="0"/>
          <w:marRight w:val="0"/>
          <w:marTop w:val="0"/>
          <w:marBottom w:val="0"/>
          <w:divBdr>
            <w:top w:val="none" w:sz="0" w:space="0" w:color="auto"/>
            <w:left w:val="none" w:sz="0" w:space="0" w:color="auto"/>
            <w:bottom w:val="none" w:sz="0" w:space="0" w:color="auto"/>
            <w:right w:val="none" w:sz="0" w:space="0" w:color="auto"/>
          </w:divBdr>
        </w:div>
        <w:div w:id="824664512">
          <w:marLeft w:val="0"/>
          <w:marRight w:val="0"/>
          <w:marTop w:val="0"/>
          <w:marBottom w:val="0"/>
          <w:divBdr>
            <w:top w:val="none" w:sz="0" w:space="0" w:color="auto"/>
            <w:left w:val="none" w:sz="0" w:space="0" w:color="auto"/>
            <w:bottom w:val="none" w:sz="0" w:space="0" w:color="auto"/>
            <w:right w:val="none" w:sz="0" w:space="0" w:color="auto"/>
          </w:divBdr>
        </w:div>
        <w:div w:id="376975712">
          <w:marLeft w:val="0"/>
          <w:marRight w:val="0"/>
          <w:marTop w:val="0"/>
          <w:marBottom w:val="0"/>
          <w:divBdr>
            <w:top w:val="none" w:sz="0" w:space="0" w:color="auto"/>
            <w:left w:val="none" w:sz="0" w:space="0" w:color="auto"/>
            <w:bottom w:val="none" w:sz="0" w:space="0" w:color="auto"/>
            <w:right w:val="none" w:sz="0" w:space="0" w:color="auto"/>
          </w:divBdr>
        </w:div>
        <w:div w:id="863514567">
          <w:marLeft w:val="0"/>
          <w:marRight w:val="0"/>
          <w:marTop w:val="0"/>
          <w:marBottom w:val="0"/>
          <w:divBdr>
            <w:top w:val="none" w:sz="0" w:space="0" w:color="auto"/>
            <w:left w:val="none" w:sz="0" w:space="0" w:color="auto"/>
            <w:bottom w:val="none" w:sz="0" w:space="0" w:color="auto"/>
            <w:right w:val="none" w:sz="0" w:space="0" w:color="auto"/>
          </w:divBdr>
        </w:div>
      </w:divsChild>
    </w:div>
    <w:div w:id="1854950970">
      <w:bodyDiv w:val="1"/>
      <w:marLeft w:val="0"/>
      <w:marRight w:val="0"/>
      <w:marTop w:val="0"/>
      <w:marBottom w:val="0"/>
      <w:divBdr>
        <w:top w:val="none" w:sz="0" w:space="0" w:color="auto"/>
        <w:left w:val="none" w:sz="0" w:space="0" w:color="auto"/>
        <w:bottom w:val="none" w:sz="0" w:space="0" w:color="auto"/>
        <w:right w:val="none" w:sz="0" w:space="0" w:color="auto"/>
      </w:divBdr>
    </w:div>
    <w:div w:id="1860660658">
      <w:bodyDiv w:val="1"/>
      <w:marLeft w:val="0"/>
      <w:marRight w:val="0"/>
      <w:marTop w:val="0"/>
      <w:marBottom w:val="0"/>
      <w:divBdr>
        <w:top w:val="none" w:sz="0" w:space="0" w:color="auto"/>
        <w:left w:val="none" w:sz="0" w:space="0" w:color="auto"/>
        <w:bottom w:val="none" w:sz="0" w:space="0" w:color="auto"/>
        <w:right w:val="none" w:sz="0" w:space="0" w:color="auto"/>
      </w:divBdr>
    </w:div>
    <w:div w:id="1867401047">
      <w:bodyDiv w:val="1"/>
      <w:marLeft w:val="0"/>
      <w:marRight w:val="0"/>
      <w:marTop w:val="0"/>
      <w:marBottom w:val="0"/>
      <w:divBdr>
        <w:top w:val="none" w:sz="0" w:space="0" w:color="auto"/>
        <w:left w:val="none" w:sz="0" w:space="0" w:color="auto"/>
        <w:bottom w:val="none" w:sz="0" w:space="0" w:color="auto"/>
        <w:right w:val="none" w:sz="0" w:space="0" w:color="auto"/>
      </w:divBdr>
    </w:div>
    <w:div w:id="1870946786">
      <w:bodyDiv w:val="1"/>
      <w:marLeft w:val="0"/>
      <w:marRight w:val="0"/>
      <w:marTop w:val="0"/>
      <w:marBottom w:val="0"/>
      <w:divBdr>
        <w:top w:val="none" w:sz="0" w:space="0" w:color="auto"/>
        <w:left w:val="none" w:sz="0" w:space="0" w:color="auto"/>
        <w:bottom w:val="none" w:sz="0" w:space="0" w:color="auto"/>
        <w:right w:val="none" w:sz="0" w:space="0" w:color="auto"/>
      </w:divBdr>
    </w:div>
    <w:div w:id="1908764926">
      <w:bodyDiv w:val="1"/>
      <w:marLeft w:val="0"/>
      <w:marRight w:val="0"/>
      <w:marTop w:val="0"/>
      <w:marBottom w:val="0"/>
      <w:divBdr>
        <w:top w:val="none" w:sz="0" w:space="0" w:color="auto"/>
        <w:left w:val="none" w:sz="0" w:space="0" w:color="auto"/>
        <w:bottom w:val="none" w:sz="0" w:space="0" w:color="auto"/>
        <w:right w:val="none" w:sz="0" w:space="0" w:color="auto"/>
      </w:divBdr>
    </w:div>
    <w:div w:id="1919514860">
      <w:bodyDiv w:val="1"/>
      <w:marLeft w:val="0"/>
      <w:marRight w:val="0"/>
      <w:marTop w:val="0"/>
      <w:marBottom w:val="0"/>
      <w:divBdr>
        <w:top w:val="none" w:sz="0" w:space="0" w:color="auto"/>
        <w:left w:val="none" w:sz="0" w:space="0" w:color="auto"/>
        <w:bottom w:val="none" w:sz="0" w:space="0" w:color="auto"/>
        <w:right w:val="none" w:sz="0" w:space="0" w:color="auto"/>
      </w:divBdr>
    </w:div>
    <w:div w:id="1948923385">
      <w:bodyDiv w:val="1"/>
      <w:marLeft w:val="0"/>
      <w:marRight w:val="0"/>
      <w:marTop w:val="0"/>
      <w:marBottom w:val="0"/>
      <w:divBdr>
        <w:top w:val="none" w:sz="0" w:space="0" w:color="auto"/>
        <w:left w:val="none" w:sz="0" w:space="0" w:color="auto"/>
        <w:bottom w:val="none" w:sz="0" w:space="0" w:color="auto"/>
        <w:right w:val="none" w:sz="0" w:space="0" w:color="auto"/>
      </w:divBdr>
    </w:div>
    <w:div w:id="1952858098">
      <w:bodyDiv w:val="1"/>
      <w:marLeft w:val="0"/>
      <w:marRight w:val="0"/>
      <w:marTop w:val="0"/>
      <w:marBottom w:val="0"/>
      <w:divBdr>
        <w:top w:val="none" w:sz="0" w:space="0" w:color="auto"/>
        <w:left w:val="none" w:sz="0" w:space="0" w:color="auto"/>
        <w:bottom w:val="none" w:sz="0" w:space="0" w:color="auto"/>
        <w:right w:val="none" w:sz="0" w:space="0" w:color="auto"/>
      </w:divBdr>
    </w:div>
    <w:div w:id="1958370624">
      <w:bodyDiv w:val="1"/>
      <w:marLeft w:val="0"/>
      <w:marRight w:val="0"/>
      <w:marTop w:val="0"/>
      <w:marBottom w:val="0"/>
      <w:divBdr>
        <w:top w:val="none" w:sz="0" w:space="0" w:color="auto"/>
        <w:left w:val="none" w:sz="0" w:space="0" w:color="auto"/>
        <w:bottom w:val="none" w:sz="0" w:space="0" w:color="auto"/>
        <w:right w:val="none" w:sz="0" w:space="0" w:color="auto"/>
      </w:divBdr>
    </w:div>
    <w:div w:id="1962493357">
      <w:bodyDiv w:val="1"/>
      <w:marLeft w:val="0"/>
      <w:marRight w:val="0"/>
      <w:marTop w:val="0"/>
      <w:marBottom w:val="0"/>
      <w:divBdr>
        <w:top w:val="none" w:sz="0" w:space="0" w:color="auto"/>
        <w:left w:val="none" w:sz="0" w:space="0" w:color="auto"/>
        <w:bottom w:val="none" w:sz="0" w:space="0" w:color="auto"/>
        <w:right w:val="none" w:sz="0" w:space="0" w:color="auto"/>
      </w:divBdr>
    </w:div>
    <w:div w:id="1983608527">
      <w:bodyDiv w:val="1"/>
      <w:marLeft w:val="0"/>
      <w:marRight w:val="0"/>
      <w:marTop w:val="0"/>
      <w:marBottom w:val="0"/>
      <w:divBdr>
        <w:top w:val="none" w:sz="0" w:space="0" w:color="auto"/>
        <w:left w:val="none" w:sz="0" w:space="0" w:color="auto"/>
        <w:bottom w:val="none" w:sz="0" w:space="0" w:color="auto"/>
        <w:right w:val="none" w:sz="0" w:space="0" w:color="auto"/>
      </w:divBdr>
    </w:div>
    <w:div w:id="1986159418">
      <w:bodyDiv w:val="1"/>
      <w:marLeft w:val="0"/>
      <w:marRight w:val="0"/>
      <w:marTop w:val="0"/>
      <w:marBottom w:val="0"/>
      <w:divBdr>
        <w:top w:val="none" w:sz="0" w:space="0" w:color="auto"/>
        <w:left w:val="none" w:sz="0" w:space="0" w:color="auto"/>
        <w:bottom w:val="none" w:sz="0" w:space="0" w:color="auto"/>
        <w:right w:val="none" w:sz="0" w:space="0" w:color="auto"/>
      </w:divBdr>
    </w:div>
    <w:div w:id="2065833332">
      <w:bodyDiv w:val="1"/>
      <w:marLeft w:val="0"/>
      <w:marRight w:val="0"/>
      <w:marTop w:val="0"/>
      <w:marBottom w:val="0"/>
      <w:divBdr>
        <w:top w:val="none" w:sz="0" w:space="0" w:color="auto"/>
        <w:left w:val="none" w:sz="0" w:space="0" w:color="auto"/>
        <w:bottom w:val="none" w:sz="0" w:space="0" w:color="auto"/>
        <w:right w:val="none" w:sz="0" w:space="0" w:color="auto"/>
      </w:divBdr>
    </w:div>
    <w:div w:id="2123843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journals.sagepub.com/doi/10.1177/0022042618812406" TargetMode="External"/><Relationship Id="rId21" Type="http://schemas.openxmlformats.org/officeDocument/2006/relationships/hyperlink" Target="https://journals.sagepub.com/doi/10.1177/0022042618812406" TargetMode="External"/><Relationship Id="rId42" Type="http://schemas.openxmlformats.org/officeDocument/2006/relationships/hyperlink" Target="https://journals.sagepub.com/doi/10.1177/0022042618812406" TargetMode="External"/><Relationship Id="rId47" Type="http://schemas.openxmlformats.org/officeDocument/2006/relationships/hyperlink" Target="https://journals.sagepub.com/doi/10.1177/0022042618812406" TargetMode="External"/><Relationship Id="rId63" Type="http://schemas.openxmlformats.org/officeDocument/2006/relationships/hyperlink" Target="https://journals.sagepub.com/doi/10.1177/0022042618812406" TargetMode="External"/><Relationship Id="rId68" Type="http://schemas.openxmlformats.org/officeDocument/2006/relationships/hyperlink" Target="https://journals.sagepub.com/doi/10.1177/0022042618812406" TargetMode="External"/><Relationship Id="rId84" Type="http://schemas.openxmlformats.org/officeDocument/2006/relationships/hyperlink" Target="https://ucr.fbi.gov/crime-in-the-u.s/2016/crime-in-the-u.s.-2016" TargetMode="External"/><Relationship Id="rId16" Type="http://schemas.openxmlformats.org/officeDocument/2006/relationships/hyperlink" Target="https://journals.sagepub.com/doi/10.1177/0022042618812406" TargetMode="External"/><Relationship Id="rId11" Type="http://schemas.openxmlformats.org/officeDocument/2006/relationships/hyperlink" Target="https://journals.sagepub.com/doi/10.1177/0022042618812406" TargetMode="External"/><Relationship Id="rId32" Type="http://schemas.openxmlformats.org/officeDocument/2006/relationships/hyperlink" Target="https://journals.sagepub.com/doi/10.1177/0022042618812406" TargetMode="External"/><Relationship Id="rId37" Type="http://schemas.openxmlformats.org/officeDocument/2006/relationships/hyperlink" Target="https://journals.sagepub.com/doi/10.1177/0022042618812406" TargetMode="External"/><Relationship Id="rId53" Type="http://schemas.openxmlformats.org/officeDocument/2006/relationships/hyperlink" Target="https://journals.sagepub.com/doi/10.1177/0022042618812406" TargetMode="External"/><Relationship Id="rId58" Type="http://schemas.openxmlformats.org/officeDocument/2006/relationships/hyperlink" Target="https://journals.sagepub.com/doi/10.1177/0022042618812406" TargetMode="External"/><Relationship Id="rId74" Type="http://schemas.openxmlformats.org/officeDocument/2006/relationships/hyperlink" Target="https://journals.sagepub.com/doi/10.1177/0022042618812406" TargetMode="External"/><Relationship Id="rId79" Type="http://schemas.openxmlformats.org/officeDocument/2006/relationships/hyperlink" Target="https://journals.sagepub.com/doi/10.1177/0022042618812406" TargetMode="External"/><Relationship Id="rId5" Type="http://schemas.openxmlformats.org/officeDocument/2006/relationships/styles" Target="styles.xml"/><Relationship Id="rId19" Type="http://schemas.openxmlformats.org/officeDocument/2006/relationships/hyperlink" Target="https://journals.sagepub.com/doi/10.1177/0022042618812406" TargetMode="External"/><Relationship Id="rId14" Type="http://schemas.openxmlformats.org/officeDocument/2006/relationships/hyperlink" Target="https://journals.sagepub.com/doi/10.1177/0022042618812406" TargetMode="External"/><Relationship Id="rId22" Type="http://schemas.openxmlformats.org/officeDocument/2006/relationships/hyperlink" Target="https://journals.sagepub.com/doi/10.1177/0022042618812406" TargetMode="External"/><Relationship Id="rId27" Type="http://schemas.openxmlformats.org/officeDocument/2006/relationships/hyperlink" Target="https://journals.sagepub.com/doi/10.1177/0022042618812406" TargetMode="External"/><Relationship Id="rId30" Type="http://schemas.openxmlformats.org/officeDocument/2006/relationships/hyperlink" Target="https://journals.sagepub.com/doi/10.1177/0022042618812406" TargetMode="External"/><Relationship Id="rId35" Type="http://schemas.openxmlformats.org/officeDocument/2006/relationships/hyperlink" Target="https://journals.sagepub.com/doi/10.1177/0022042618812406" TargetMode="External"/><Relationship Id="rId43" Type="http://schemas.openxmlformats.org/officeDocument/2006/relationships/hyperlink" Target="https://journals.sagepub.com/doi/10.1177/0022042618812406" TargetMode="External"/><Relationship Id="rId48" Type="http://schemas.openxmlformats.org/officeDocument/2006/relationships/hyperlink" Target="https://journals.sagepub.com/doi/10.1177/0022042618812406" TargetMode="External"/><Relationship Id="rId56" Type="http://schemas.openxmlformats.org/officeDocument/2006/relationships/hyperlink" Target="https://journals.sagepub.com/doi/10.1177/0022042618812406" TargetMode="External"/><Relationship Id="rId64" Type="http://schemas.openxmlformats.org/officeDocument/2006/relationships/hyperlink" Target="https://journals.sagepub.com/doi/10.1177/0022042618812406" TargetMode="External"/><Relationship Id="rId69" Type="http://schemas.openxmlformats.org/officeDocument/2006/relationships/image" Target="media/image1.gif"/><Relationship Id="rId77" Type="http://schemas.openxmlformats.org/officeDocument/2006/relationships/hyperlink" Target="https://journals.sagepub.com/doi/10.1177/0022042618812406" TargetMode="External"/><Relationship Id="rId8" Type="http://schemas.openxmlformats.org/officeDocument/2006/relationships/hyperlink" Target="10.1177/0022042618812406" TargetMode="External"/><Relationship Id="rId51" Type="http://schemas.openxmlformats.org/officeDocument/2006/relationships/hyperlink" Target="https://journals.sagepub.com/doi/10.1177/0022042618812406" TargetMode="External"/><Relationship Id="rId72" Type="http://schemas.openxmlformats.org/officeDocument/2006/relationships/hyperlink" Target="https://journals.sagepub.com/doi/10.1177/0022042618812406" TargetMode="External"/><Relationship Id="rId80" Type="http://schemas.openxmlformats.org/officeDocument/2006/relationships/hyperlink" Target="https://journals.sagepub.com/doi/10.1177/0022042618812406" TargetMode="External"/><Relationship Id="rId85" Type="http://schemas.openxmlformats.org/officeDocument/2006/relationships/hyperlink" Target="http://www" TargetMode="External"/><Relationship Id="rId3" Type="http://schemas.openxmlformats.org/officeDocument/2006/relationships/customXml" Target="../customXml/item3.xml"/><Relationship Id="rId12" Type="http://schemas.openxmlformats.org/officeDocument/2006/relationships/hyperlink" Target="https://journals.sagepub.com/doi/10.1177/0022042618812406" TargetMode="External"/><Relationship Id="rId17" Type="http://schemas.openxmlformats.org/officeDocument/2006/relationships/hyperlink" Target="https://journals.sagepub.com/doi/10.1177/0022042618812406" TargetMode="External"/><Relationship Id="rId25" Type="http://schemas.openxmlformats.org/officeDocument/2006/relationships/hyperlink" Target="https://journals.sagepub.com/doi/10.1177/0022042618812406" TargetMode="External"/><Relationship Id="rId33" Type="http://schemas.openxmlformats.org/officeDocument/2006/relationships/hyperlink" Target="https://journals.sagepub.com/doi/10.1177/0022042618812406" TargetMode="External"/><Relationship Id="rId38" Type="http://schemas.openxmlformats.org/officeDocument/2006/relationships/hyperlink" Target="https://journals.sagepub.com/doi/10.1177/0022042618812406" TargetMode="External"/><Relationship Id="rId46" Type="http://schemas.openxmlformats.org/officeDocument/2006/relationships/hyperlink" Target="https://journals.sagepub.com/doi/10.1177/0022042618812406" TargetMode="External"/><Relationship Id="rId59" Type="http://schemas.openxmlformats.org/officeDocument/2006/relationships/hyperlink" Target="https://journals.sagepub.com/doi/10.1177/0022042618812406" TargetMode="External"/><Relationship Id="rId67" Type="http://schemas.openxmlformats.org/officeDocument/2006/relationships/hyperlink" Target="https://journals.sagepub.com/doi/10.1177/0022042618812406" TargetMode="External"/><Relationship Id="rId20" Type="http://schemas.openxmlformats.org/officeDocument/2006/relationships/hyperlink" Target="https://journals.sagepub.com/doi/10.1177/0022042618812406" TargetMode="External"/><Relationship Id="rId41" Type="http://schemas.openxmlformats.org/officeDocument/2006/relationships/hyperlink" Target="https://journals.sagepub.com/doi/10.1177/0022042618812406" TargetMode="External"/><Relationship Id="rId54" Type="http://schemas.openxmlformats.org/officeDocument/2006/relationships/hyperlink" Target="https://journals.sagepub.com/doi/10.1177/0022042618812406" TargetMode="External"/><Relationship Id="rId62" Type="http://schemas.openxmlformats.org/officeDocument/2006/relationships/hyperlink" Target="https://journals.sagepub.com/doi/10.1177/0022042618812406" TargetMode="External"/><Relationship Id="rId70" Type="http://schemas.openxmlformats.org/officeDocument/2006/relationships/hyperlink" Target="https://journals.sagepub.com/doi/10.1177/0022042618812406" TargetMode="External"/><Relationship Id="rId75" Type="http://schemas.openxmlformats.org/officeDocument/2006/relationships/hyperlink" Target="https://journals.sagepub.com/doi/10.1177/0022042618812406" TargetMode="External"/><Relationship Id="rId83" Type="http://schemas.openxmlformats.org/officeDocument/2006/relationships/hyperlink" Target="http://quickfacts"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journals.sagepub.com/doi/10.1177/0022042618812406" TargetMode="External"/><Relationship Id="rId23" Type="http://schemas.openxmlformats.org/officeDocument/2006/relationships/hyperlink" Target="https://journals.sagepub.com/doi/10.1177/0022042618812406" TargetMode="External"/><Relationship Id="rId28" Type="http://schemas.openxmlformats.org/officeDocument/2006/relationships/hyperlink" Target="https://journals.sagepub.com/doi/10.1177/0022042618812406" TargetMode="External"/><Relationship Id="rId36" Type="http://schemas.openxmlformats.org/officeDocument/2006/relationships/hyperlink" Target="https://journals.sagepub.com/doi/10.1177/0022042618812406" TargetMode="External"/><Relationship Id="rId49" Type="http://schemas.openxmlformats.org/officeDocument/2006/relationships/hyperlink" Target="https://journals.sagepub.com/doi/10.1177/0022042618812406" TargetMode="External"/><Relationship Id="rId57" Type="http://schemas.openxmlformats.org/officeDocument/2006/relationships/hyperlink" Target="https://journals.sagepub.com/doi/10.1177/0022042618812406" TargetMode="External"/><Relationship Id="rId10" Type="http://schemas.openxmlformats.org/officeDocument/2006/relationships/hyperlink" Target="https://journals.sagepub.com/doi/10.1177/0022042618812406" TargetMode="External"/><Relationship Id="rId31" Type="http://schemas.openxmlformats.org/officeDocument/2006/relationships/hyperlink" Target="https://journals.sagepub.com/doi/10.1177/0022042618812406" TargetMode="External"/><Relationship Id="rId44" Type="http://schemas.openxmlformats.org/officeDocument/2006/relationships/hyperlink" Target="https://journals.sagepub.com/doi/10.1177/0022042618812406" TargetMode="External"/><Relationship Id="rId52" Type="http://schemas.openxmlformats.org/officeDocument/2006/relationships/hyperlink" Target="https://journals.sagepub.com/doi/10.1177/0022042618812406" TargetMode="External"/><Relationship Id="rId60" Type="http://schemas.openxmlformats.org/officeDocument/2006/relationships/hyperlink" Target="https://journals.sagepub.com/doi/10.1177/0022042618812406" TargetMode="External"/><Relationship Id="rId65" Type="http://schemas.openxmlformats.org/officeDocument/2006/relationships/hyperlink" Target="https://journals.sagepub.com/doi/10.1177/0022042618812406" TargetMode="External"/><Relationship Id="rId73" Type="http://schemas.openxmlformats.org/officeDocument/2006/relationships/hyperlink" Target="https://journals.sagepub.com/doi/10.1177/0022042618812406" TargetMode="External"/><Relationship Id="rId78" Type="http://schemas.openxmlformats.org/officeDocument/2006/relationships/hyperlink" Target="https://journals.sagepub.com/doi/10.1177/0022042618812406" TargetMode="External"/><Relationship Id="rId81" Type="http://schemas.openxmlformats.org/officeDocument/2006/relationships/hyperlink" Target="https://journals.sagepub.com/doi/10.1177/0022042618812406" TargetMode="External"/><Relationship Id="rId86"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journals.sagepub.com/doi/10.1177/0022042618812406" TargetMode="External"/><Relationship Id="rId18" Type="http://schemas.openxmlformats.org/officeDocument/2006/relationships/hyperlink" Target="https://journals.sagepub.com/doi/10.1177/0022042618812406" TargetMode="External"/><Relationship Id="rId39" Type="http://schemas.openxmlformats.org/officeDocument/2006/relationships/hyperlink" Target="https://journals.sagepub.com/doi/10.1177/0022042618812406" TargetMode="External"/><Relationship Id="rId34" Type="http://schemas.openxmlformats.org/officeDocument/2006/relationships/hyperlink" Target="https://journals.sagepub.com/doi/10.1177/0022042618812406" TargetMode="External"/><Relationship Id="rId50" Type="http://schemas.openxmlformats.org/officeDocument/2006/relationships/hyperlink" Target="https://journals.sagepub.com/doi/10.1177/0022042618812406" TargetMode="External"/><Relationship Id="rId55" Type="http://schemas.openxmlformats.org/officeDocument/2006/relationships/hyperlink" Target="https://journals.sagepub.com/doi/10.1177/0022042618812406" TargetMode="External"/><Relationship Id="rId76" Type="http://schemas.openxmlformats.org/officeDocument/2006/relationships/hyperlink" Target="https://journals.sagepub.com/doi/10.1177/0022042618812406" TargetMode="External"/><Relationship Id="rId7" Type="http://schemas.openxmlformats.org/officeDocument/2006/relationships/webSettings" Target="webSettings.xml"/><Relationship Id="rId71" Type="http://schemas.openxmlformats.org/officeDocument/2006/relationships/hyperlink" Target="https://journals.sagepub.com/doi/10.1177/0022042618812406" TargetMode="External"/><Relationship Id="rId2" Type="http://schemas.openxmlformats.org/officeDocument/2006/relationships/customXml" Target="../customXml/item2.xml"/><Relationship Id="rId29" Type="http://schemas.openxmlformats.org/officeDocument/2006/relationships/hyperlink" Target="https://journals.sagepub.com/doi/10.1177/0022042618812406" TargetMode="External"/><Relationship Id="rId24" Type="http://schemas.openxmlformats.org/officeDocument/2006/relationships/hyperlink" Target="https://journals.sagepub.com/doi/10.1177/0022042618812406" TargetMode="External"/><Relationship Id="rId40" Type="http://schemas.openxmlformats.org/officeDocument/2006/relationships/hyperlink" Target="https://journals.sagepub.com/doi/10.1177/0022042618812406" TargetMode="External"/><Relationship Id="rId45" Type="http://schemas.openxmlformats.org/officeDocument/2006/relationships/hyperlink" Target="https://journals.sagepub.com/doi/10.1177/0022042618812406" TargetMode="External"/><Relationship Id="rId66" Type="http://schemas.openxmlformats.org/officeDocument/2006/relationships/hyperlink" Target="https://journals.sagepub.com/doi/10.1177/0022042618812406" TargetMode="External"/><Relationship Id="rId87" Type="http://schemas.openxmlformats.org/officeDocument/2006/relationships/theme" Target="theme/theme1.xml"/><Relationship Id="rId61" Type="http://schemas.openxmlformats.org/officeDocument/2006/relationships/hyperlink" Target="https://journals.sagepub.com/doi/10.1177/0022042618812406" TargetMode="External"/><Relationship Id="rId82" Type="http://schemas.openxmlformats.org/officeDocument/2006/relationships/hyperlink" Target="https://journals.sagepub.com/doi/10.1177/00220426188124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050131-8DA2-4781-845E-2B231EEF6B11}">
  <ds:schemaRefs>
    <ds:schemaRef ds:uri="http://purl.org/dc/terms/"/>
    <ds:schemaRef ds:uri="455b151d-75b8-4438-a72d-e06b314124a1"/>
    <ds:schemaRef ds:uri="http://www.w3.org/XML/1998/namespace"/>
    <ds:schemaRef ds:uri="http://schemas.microsoft.com/office/infopath/2007/PartnerControls"/>
    <ds:schemaRef ds:uri="1dc5a16d-a9e1-4107-81af-b56e13c8526c"/>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155EC96F-D7CD-41AD-AC51-A1D8351AC5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909C6E-0ADA-4A11-A32C-1316C3DF45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18</Pages>
  <Words>9608</Words>
  <Characters>55826</Characters>
  <Application>Microsoft Office Word</Application>
  <DocSecurity>8</DocSecurity>
  <Lines>1860</Lines>
  <Paragraphs>1109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Clapham, Danielle</cp:lastModifiedBy>
  <cp:revision>63</cp:revision>
  <dcterms:created xsi:type="dcterms:W3CDTF">2019-08-05T16:28:00Z</dcterms:created>
  <dcterms:modified xsi:type="dcterms:W3CDTF">2019-08-05T17:16:00Z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