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900D37">
      <w:pPr>
        <w:pStyle w:val="Default"/>
        <w:spacing w:line="240" w:lineRule="auto"/>
        <w:rPr>
          <w:rFonts w:asciiTheme="minorHAnsi" w:hAnsiTheme="minorHAnsi" w:cstheme="minorHAnsi"/>
          <w:sz w:val="22"/>
          <w:szCs w:val="22"/>
        </w:rPr>
      </w:pPr>
    </w:p>
    <w:p w14:paraId="2538F7F5" w14:textId="77777777" w:rsidR="000A7622" w:rsidRPr="00C04F25" w:rsidRDefault="000A7622" w:rsidP="00900D37">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900D37">
      <w:pPr>
        <w:autoSpaceDE w:val="0"/>
        <w:autoSpaceDN w:val="0"/>
        <w:adjustRightInd w:val="0"/>
        <w:spacing w:line="240" w:lineRule="auto"/>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900D37">
      <w:pPr>
        <w:autoSpaceDE w:val="0"/>
        <w:autoSpaceDN w:val="0"/>
        <w:adjustRightInd w:val="0"/>
        <w:spacing w:line="240" w:lineRule="auto"/>
        <w:rPr>
          <w:rFonts w:cstheme="minorHAnsi"/>
          <w:b/>
          <w:bCs/>
          <w:i/>
          <w:iCs/>
        </w:rPr>
      </w:pPr>
    </w:p>
    <w:p w14:paraId="161853CC" w14:textId="613E452C" w:rsidR="000A7622" w:rsidRPr="00C04F25" w:rsidRDefault="00EF5378" w:rsidP="00900D37">
      <w:pPr>
        <w:autoSpaceDE w:val="0"/>
        <w:autoSpaceDN w:val="0"/>
        <w:adjustRightInd w:val="0"/>
        <w:spacing w:line="240" w:lineRule="auto"/>
        <w:rPr>
          <w:rFonts w:cstheme="minorHAnsi"/>
          <w:b/>
          <w:bCs/>
          <w:i/>
          <w:iCs/>
          <w:sz w:val="32"/>
          <w:szCs w:val="32"/>
        </w:rPr>
      </w:pPr>
      <w:r>
        <w:rPr>
          <w:rFonts w:cstheme="minorHAnsi"/>
          <w:b/>
          <w:bCs/>
          <w:i/>
          <w:iCs/>
          <w:sz w:val="32"/>
          <w:szCs w:val="32"/>
        </w:rPr>
        <w:t xml:space="preserve">Sociology </w:t>
      </w:r>
      <w:r w:rsidR="000A7622" w:rsidRPr="00C04F25">
        <w:rPr>
          <w:rFonts w:cstheme="minorHAnsi"/>
          <w:b/>
          <w:bCs/>
          <w:i/>
          <w:iCs/>
          <w:sz w:val="32"/>
          <w:szCs w:val="32"/>
        </w:rPr>
        <w:t>Faculty Research and Publications/</w:t>
      </w:r>
      <w:r w:rsidR="00735C37">
        <w:rPr>
          <w:rFonts w:cstheme="minorHAnsi"/>
          <w:b/>
          <w:bCs/>
          <w:i/>
          <w:iCs/>
          <w:sz w:val="32"/>
          <w:szCs w:val="32"/>
        </w:rPr>
        <w:t>College of</w:t>
      </w:r>
      <w:r w:rsidR="00E33BB8">
        <w:rPr>
          <w:rFonts w:cstheme="minorHAnsi"/>
          <w:b/>
          <w:bCs/>
          <w:i/>
          <w:iCs/>
          <w:sz w:val="32"/>
          <w:szCs w:val="32"/>
        </w:rPr>
        <w:t xml:space="preserve"> </w:t>
      </w:r>
      <w:r>
        <w:rPr>
          <w:rFonts w:cstheme="minorHAnsi"/>
          <w:b/>
          <w:bCs/>
          <w:i/>
          <w:iCs/>
          <w:sz w:val="32"/>
          <w:szCs w:val="32"/>
        </w:rPr>
        <w:t>Arts and Sciences</w:t>
      </w:r>
    </w:p>
    <w:bookmarkEnd w:id="0"/>
    <w:p w14:paraId="3E538636" w14:textId="77777777" w:rsidR="000A7622" w:rsidRPr="006F33A4" w:rsidRDefault="000A7622" w:rsidP="00900D37">
      <w:pPr>
        <w:spacing w:line="240" w:lineRule="auto"/>
        <w:jc w:val="center"/>
        <w:rPr>
          <w:rFonts w:cstheme="minorHAnsi"/>
          <w:b/>
          <w:bCs/>
          <w:i/>
          <w:iCs/>
        </w:rPr>
      </w:pPr>
    </w:p>
    <w:p w14:paraId="25509BF0" w14:textId="03C4F5A6" w:rsidR="000A7622" w:rsidRPr="00C04F25" w:rsidRDefault="000A7622" w:rsidP="00900D37">
      <w:pPr>
        <w:spacing w:line="240" w:lineRule="auto"/>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4349B9">
        <w:rPr>
          <w:rFonts w:cstheme="minorHAnsi"/>
          <w:sz w:val="24"/>
          <w:szCs w:val="24"/>
        </w:rPr>
        <w:t>e</w:t>
      </w:r>
      <w:r w:rsidRPr="00C04F25">
        <w:rPr>
          <w:rFonts w:cstheme="minorHAnsi"/>
          <w:sz w:val="24"/>
          <w:szCs w:val="24"/>
        </w:rPr>
        <w:t xml:space="preserve"> citation below.</w:t>
      </w:r>
    </w:p>
    <w:p w14:paraId="567B939A" w14:textId="77777777" w:rsidR="0094725C" w:rsidRDefault="0094725C" w:rsidP="00900D37">
      <w:pPr>
        <w:spacing w:line="240" w:lineRule="auto"/>
        <w:rPr>
          <w:rFonts w:cstheme="minorHAnsi"/>
          <w:sz w:val="24"/>
          <w:szCs w:val="24"/>
        </w:rPr>
      </w:pPr>
    </w:p>
    <w:p w14:paraId="2B3E2B3E" w14:textId="7B110184" w:rsidR="00721876" w:rsidRDefault="002705A4" w:rsidP="00900D37">
      <w:pPr>
        <w:spacing w:line="240" w:lineRule="auto"/>
        <w:rPr>
          <w:rFonts w:cstheme="minorHAnsi"/>
          <w:sz w:val="24"/>
          <w:szCs w:val="24"/>
        </w:rPr>
      </w:pPr>
      <w:r>
        <w:rPr>
          <w:rFonts w:cstheme="minorHAnsi"/>
          <w:i/>
          <w:iCs/>
          <w:sz w:val="24"/>
          <w:szCs w:val="24"/>
        </w:rPr>
        <w:t>Journal of Interpersonal Violence</w:t>
      </w:r>
      <w:r w:rsidR="000A7622" w:rsidRPr="00C04F25">
        <w:rPr>
          <w:rFonts w:cstheme="minorHAnsi"/>
          <w:sz w:val="24"/>
          <w:szCs w:val="24"/>
          <w:lang w:val="fr-FR"/>
        </w:rPr>
        <w:t>,</w:t>
      </w:r>
      <w:r w:rsidR="00F90084">
        <w:rPr>
          <w:rFonts w:cstheme="minorHAnsi"/>
          <w:sz w:val="24"/>
          <w:szCs w:val="24"/>
          <w:lang w:val="fr-FR"/>
        </w:rPr>
        <w:t xml:space="preserve"> </w:t>
      </w:r>
      <w:r w:rsidR="000A7622" w:rsidRPr="00C04F25">
        <w:rPr>
          <w:rFonts w:cstheme="minorHAnsi"/>
          <w:sz w:val="24"/>
          <w:szCs w:val="24"/>
          <w:lang w:val="fr-FR"/>
        </w:rPr>
        <w:t>(</w:t>
      </w:r>
      <w:r>
        <w:rPr>
          <w:rFonts w:cstheme="minorHAnsi"/>
          <w:sz w:val="24"/>
          <w:szCs w:val="24"/>
          <w:lang w:val="fr-FR"/>
        </w:rPr>
        <w:t>2017</w:t>
      </w:r>
      <w:r w:rsidR="000A7622" w:rsidRPr="00C04F25">
        <w:rPr>
          <w:rFonts w:cstheme="minorHAnsi"/>
          <w:sz w:val="24"/>
          <w:szCs w:val="24"/>
          <w:lang w:val="fr-FR"/>
        </w:rPr>
        <w:t xml:space="preserve">): </w:t>
      </w:r>
      <w:r w:rsidR="00ED6537">
        <w:rPr>
          <w:rFonts w:cstheme="minorHAnsi"/>
          <w:sz w:val="24"/>
          <w:szCs w:val="24"/>
          <w:lang w:val="fr-FR"/>
        </w:rPr>
        <w:t>1-24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sidR="00ED6537">
        <w:rPr>
          <w:rFonts w:cstheme="minorHAnsi"/>
          <w:sz w:val="24"/>
          <w:szCs w:val="24"/>
        </w:rPr>
        <w:t>SAGE Publications</w:t>
      </w:r>
      <w:r w:rsidR="00765C79">
        <w:rPr>
          <w:rFonts w:cstheme="minorHAnsi"/>
          <w:sz w:val="24"/>
          <w:szCs w:val="24"/>
        </w:rPr>
        <w:t xml:space="preserve"> </w:t>
      </w:r>
      <w:r w:rsidR="000A7622" w:rsidRPr="00C04F25">
        <w:rPr>
          <w:rFonts w:cstheme="minorHAnsi"/>
          <w:sz w:val="24"/>
          <w:szCs w:val="24"/>
        </w:rPr>
        <w:t xml:space="preserve">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ED6537">
        <w:rPr>
          <w:rFonts w:cstheme="minorHAnsi"/>
          <w:sz w:val="24"/>
          <w:szCs w:val="24"/>
        </w:rPr>
        <w:t xml:space="preserve">SAGE Publications </w:t>
      </w:r>
      <w:r w:rsidR="000A7622" w:rsidRPr="00C04F25">
        <w:rPr>
          <w:rFonts w:cstheme="minorHAnsi"/>
          <w:sz w:val="24"/>
          <w:szCs w:val="24"/>
        </w:rPr>
        <w:t xml:space="preserve">does not grant permission for this article to be further copied/distributed or hosted elsewhere without the express permission from </w:t>
      </w:r>
      <w:bookmarkEnd w:id="1"/>
      <w:r w:rsidR="00ED6537">
        <w:rPr>
          <w:rFonts w:cstheme="minorHAnsi"/>
          <w:sz w:val="24"/>
          <w:szCs w:val="24"/>
        </w:rPr>
        <w:t>SAGE Publications</w:t>
      </w:r>
      <w:r w:rsidR="00765C79">
        <w:rPr>
          <w:rFonts w:cstheme="minorHAnsi"/>
          <w:sz w:val="24"/>
          <w:szCs w:val="24"/>
        </w:rPr>
        <w:t xml:space="preserve">. </w:t>
      </w:r>
    </w:p>
    <w:p w14:paraId="04853316" w14:textId="05059755" w:rsidR="00ED6537" w:rsidRDefault="00ED6537" w:rsidP="00ED6537">
      <w:pPr>
        <w:pStyle w:val="NoSpacing"/>
      </w:pPr>
    </w:p>
    <w:p w14:paraId="428B3E2B" w14:textId="72DCCA7D" w:rsidR="00ED6537" w:rsidRDefault="00ED6537" w:rsidP="00ED6537">
      <w:pPr>
        <w:pStyle w:val="NoSpacing"/>
      </w:pPr>
    </w:p>
    <w:p w14:paraId="1B2DBAEC" w14:textId="77777777" w:rsidR="00ED6537" w:rsidRPr="00ED6537" w:rsidRDefault="00ED6537" w:rsidP="00ED6537">
      <w:pPr>
        <w:pStyle w:val="Title"/>
      </w:pPr>
      <w:r w:rsidRPr="00ED6537">
        <w:t xml:space="preserve">The Neighborhood-Level Association Between Alcohol Outlet Density and Female Criminal Victimization Rates </w:t>
      </w:r>
    </w:p>
    <w:p w14:paraId="70B98E82" w14:textId="77777777" w:rsidR="00ED6537" w:rsidRDefault="00ED6537" w:rsidP="00ED6537">
      <w:pPr>
        <w:pStyle w:val="NoSpacing"/>
      </w:pPr>
    </w:p>
    <w:p w14:paraId="5149E2FD" w14:textId="199D0957" w:rsidR="00ED6537" w:rsidRPr="001D11AB" w:rsidRDefault="00ED6537" w:rsidP="001D11AB">
      <w:pPr>
        <w:pStyle w:val="NoSpacing"/>
        <w:rPr>
          <w:rStyle w:val="contribdegrees"/>
          <w:sz w:val="28"/>
          <w:szCs w:val="28"/>
        </w:rPr>
      </w:pPr>
      <w:r w:rsidRPr="001D11AB">
        <w:rPr>
          <w:rStyle w:val="contribdegrees"/>
          <w:sz w:val="28"/>
          <w:szCs w:val="28"/>
        </w:rPr>
        <w:t>Aleksandra J. Snowden</w:t>
      </w:r>
    </w:p>
    <w:p w14:paraId="039F5275" w14:textId="473E0754" w:rsidR="00ED6537" w:rsidRPr="001D11AB" w:rsidRDefault="001D11AB" w:rsidP="001D11AB">
      <w:pPr>
        <w:pStyle w:val="NoSpacing"/>
        <w:rPr>
          <w:rStyle w:val="contribdegrees"/>
        </w:rPr>
      </w:pPr>
      <w:r w:rsidRPr="001D11AB">
        <w:t>Marquette University, Milwaukee, WI, USA</w:t>
      </w:r>
    </w:p>
    <w:p w14:paraId="1B9B16BE" w14:textId="77777777" w:rsidR="00ED6537" w:rsidRPr="001D11AB" w:rsidRDefault="00ED6537" w:rsidP="001D11AB">
      <w:pPr>
        <w:pStyle w:val="NoSpacing"/>
        <w:rPr>
          <w:rStyle w:val="contribdegrees"/>
        </w:rPr>
      </w:pPr>
    </w:p>
    <w:p w14:paraId="124691DB" w14:textId="556C0F55" w:rsidR="00ED6537" w:rsidRPr="001D11AB" w:rsidRDefault="00ED6537" w:rsidP="001D11AB">
      <w:pPr>
        <w:pStyle w:val="NoSpacing"/>
        <w:rPr>
          <w:rStyle w:val="contribdegrees"/>
          <w:sz w:val="28"/>
          <w:szCs w:val="28"/>
        </w:rPr>
      </w:pPr>
      <w:r w:rsidRPr="001D11AB">
        <w:rPr>
          <w:rStyle w:val="contribdegrees"/>
          <w:sz w:val="28"/>
          <w:szCs w:val="28"/>
        </w:rPr>
        <w:t xml:space="preserve">Sara </w:t>
      </w:r>
      <w:proofErr w:type="spellStart"/>
      <w:r w:rsidRPr="001D11AB">
        <w:rPr>
          <w:rStyle w:val="contribdegrees"/>
          <w:sz w:val="28"/>
          <w:szCs w:val="28"/>
        </w:rPr>
        <w:t>Hockin</w:t>
      </w:r>
      <w:proofErr w:type="spellEnd"/>
    </w:p>
    <w:p w14:paraId="2D9502C0" w14:textId="4799447E" w:rsidR="00ED6537" w:rsidRPr="001D11AB" w:rsidRDefault="001D11AB" w:rsidP="001D11AB">
      <w:pPr>
        <w:pStyle w:val="NoSpacing"/>
        <w:rPr>
          <w:rStyle w:val="contribdegrees"/>
        </w:rPr>
      </w:pPr>
      <w:r w:rsidRPr="001D11AB">
        <w:t>Georgia State University, Atlanta, GA, USA</w:t>
      </w:r>
    </w:p>
    <w:p w14:paraId="5CEFDEC5" w14:textId="77777777" w:rsidR="00ED6537" w:rsidRPr="001D11AB" w:rsidRDefault="00ED6537" w:rsidP="001D11AB">
      <w:pPr>
        <w:pStyle w:val="NoSpacing"/>
        <w:rPr>
          <w:rStyle w:val="contribdegrees"/>
        </w:rPr>
      </w:pPr>
    </w:p>
    <w:p w14:paraId="11AD3FEC" w14:textId="1EA90686" w:rsidR="00ED6537" w:rsidRPr="001D11AB" w:rsidRDefault="00ED6537" w:rsidP="001D11AB">
      <w:pPr>
        <w:pStyle w:val="NoSpacing"/>
        <w:rPr>
          <w:sz w:val="28"/>
          <w:szCs w:val="28"/>
        </w:rPr>
      </w:pPr>
      <w:r w:rsidRPr="001D11AB">
        <w:rPr>
          <w:rStyle w:val="contribdegrees"/>
          <w:sz w:val="28"/>
          <w:szCs w:val="28"/>
        </w:rPr>
        <w:t xml:space="preserve">William Alex </w:t>
      </w:r>
      <w:proofErr w:type="spellStart"/>
      <w:r w:rsidRPr="001D11AB">
        <w:rPr>
          <w:rStyle w:val="contribdegrees"/>
          <w:sz w:val="28"/>
          <w:szCs w:val="28"/>
        </w:rPr>
        <w:t>Pridemore</w:t>
      </w:r>
      <w:proofErr w:type="spellEnd"/>
    </w:p>
    <w:p w14:paraId="67F68926" w14:textId="0C881D2A" w:rsidR="00ED6537" w:rsidRPr="001D11AB" w:rsidRDefault="001D11AB" w:rsidP="001D11AB">
      <w:pPr>
        <w:pStyle w:val="NoSpacing"/>
      </w:pPr>
      <w:r w:rsidRPr="001D11AB">
        <w:t>University at Albany, State University of New York, Albany, NY, USA</w:t>
      </w:r>
    </w:p>
    <w:p w14:paraId="26725BC6" w14:textId="5CD3870F" w:rsidR="0001279B" w:rsidRDefault="0001279B" w:rsidP="001D11AB">
      <w:pPr>
        <w:pStyle w:val="NoSpacing"/>
      </w:pPr>
    </w:p>
    <w:p w14:paraId="39F135A3" w14:textId="642C4699" w:rsidR="001D11AB" w:rsidRDefault="001D11AB" w:rsidP="001D11AB">
      <w:pPr>
        <w:pStyle w:val="Heading1"/>
      </w:pPr>
      <w:r>
        <w:t>Abstract</w:t>
      </w:r>
    </w:p>
    <w:p w14:paraId="119D5139" w14:textId="3279A612" w:rsidR="001D11AB" w:rsidRPr="00300C69" w:rsidRDefault="00300C69" w:rsidP="00300C69">
      <w:pPr>
        <w:pStyle w:val="NoSpacing"/>
      </w:pPr>
      <w:r>
        <w:t xml:space="preserve">The aim of this study was to explore the neighborhood-level association between alcohol outlet density and non–intimate partner violent victimization rates among females. Violent offending and victimization are more prevalent for males than females, and most research on alcohol outlets and violence emphasizes males. Studies that do focus on alcohol outlets and female violent victimization tend to focus on intimate partner violence (IPV), yet non-IPV events are over three quarters of all female violent victimization incidents in the United States. We collected data on violent victimization rates, on- and off-premise alcohol outlet density, and neighborhood-level covariates of violence rates for Milwaukee block groups. We used spatially lagged regression </w:t>
      </w:r>
      <w:r>
        <w:lastRenderedPageBreak/>
        <w:t>models to test this association, to compare non-IPV results with those for overall female violent victimization rates, and to compare results for females with those for males. Our findings showed density of both on- and off-premise alcohol outlets was positively associated with non-IPV female violent victimization rates, which is an important finding given lack of research on this topic. We also found results for females (both overall and non-IPV violent victimization) were generally the same as for males, but the effect of off-premise outlets on non-IPV female violent victimization rates was weaker than the same association for males. Our findings have clear policy implications for local jurisdictions. Alcohol outlet density is important for both female and male violent victimization. Limiting the licensing of alcohol-selling establishments, especially those that engage in irresponsible retail practices, may be a suitable approach to address violent victimization.</w:t>
      </w:r>
    </w:p>
    <w:p w14:paraId="42E6054C" w14:textId="72A92511" w:rsidR="001D11AB" w:rsidRDefault="001D11AB" w:rsidP="001D11AB">
      <w:pPr>
        <w:pStyle w:val="Heading1"/>
      </w:pPr>
      <w:r>
        <w:t>Keywords</w:t>
      </w:r>
    </w:p>
    <w:p w14:paraId="5DFFF1B0" w14:textId="292C4526" w:rsidR="001D11AB" w:rsidRPr="00300C69" w:rsidRDefault="00300C69" w:rsidP="00300C69">
      <w:pPr>
        <w:pStyle w:val="NoSpacing"/>
      </w:pPr>
      <w:bookmarkStart w:id="2" w:name="_GoBack"/>
      <w:r w:rsidRPr="00300C69">
        <w:t>alcohol and drugs, community violence, criminology, violence</w:t>
      </w:r>
    </w:p>
    <w:bookmarkEnd w:id="2"/>
    <w:p w14:paraId="7B6FD205" w14:textId="57C2A94A" w:rsidR="001D11AB" w:rsidRDefault="001D11AB" w:rsidP="001D11AB">
      <w:pPr>
        <w:pStyle w:val="Heading1"/>
      </w:pPr>
      <w:r>
        <w:t>Introduction</w:t>
      </w:r>
    </w:p>
    <w:p w14:paraId="54C863C6" w14:textId="2A513186" w:rsidR="00300C69" w:rsidRDefault="00300C69" w:rsidP="00300C69">
      <w:pPr>
        <w:pStyle w:val="NoSpacing"/>
      </w:pPr>
      <w:r>
        <w:t>There is substantial evidence from multiple disciplines of an ecological association between alcohol outlets</w:t>
      </w:r>
      <w:hyperlink r:id="rId10" w:history="1">
        <w:r>
          <w:rPr>
            <w:rStyle w:val="Hyperlink"/>
            <w:vertAlign w:val="superscript"/>
          </w:rPr>
          <w:t>1</w:t>
        </w:r>
      </w:hyperlink>
      <w:r>
        <w:t xml:space="preserve"> and violent crimes (</w:t>
      </w:r>
      <w:hyperlink r:id="rId11" w:history="1">
        <w:r>
          <w:rPr>
            <w:rStyle w:val="Hyperlink"/>
          </w:rPr>
          <w:t>Snowden, 2015</w:t>
        </w:r>
      </w:hyperlink>
      <w:r>
        <w:t>). Alcohol outlets are associated with homicides (</w:t>
      </w:r>
      <w:hyperlink r:id="rId12" w:history="1">
        <w:r>
          <w:rPr>
            <w:rStyle w:val="Hyperlink"/>
          </w:rPr>
          <w:t>Scribner, Cohen, Kaplan, &amp; Allen, 1999</w:t>
        </w:r>
      </w:hyperlink>
      <w:r>
        <w:t>), simple and aggravated assaults (</w:t>
      </w:r>
      <w:proofErr w:type="spellStart"/>
      <w:r>
        <w:fldChar w:fldCharType="begin"/>
      </w:r>
      <w:r>
        <w:instrText xml:space="preserve"> HYPERLINK "https://journals.sagepub.com/doi/10.1177/0886260517719080" </w:instrText>
      </w:r>
      <w:r>
        <w:fldChar w:fldCharType="separate"/>
      </w:r>
      <w:r>
        <w:rPr>
          <w:rStyle w:val="Hyperlink"/>
        </w:rPr>
        <w:t>Pridemore</w:t>
      </w:r>
      <w:proofErr w:type="spellEnd"/>
      <w:r>
        <w:rPr>
          <w:rStyle w:val="Hyperlink"/>
        </w:rPr>
        <w:t xml:space="preserve"> &amp; Grubesic, 2013</w:t>
      </w:r>
      <w:r>
        <w:fldChar w:fldCharType="end"/>
      </w:r>
      <w:r>
        <w:t xml:space="preserve">; </w:t>
      </w:r>
      <w:hyperlink r:id="rId13" w:history="1">
        <w:r>
          <w:rPr>
            <w:rStyle w:val="Hyperlink"/>
          </w:rPr>
          <w:t xml:space="preserve">Snowden &amp; </w:t>
        </w:r>
        <w:proofErr w:type="spellStart"/>
        <w:r>
          <w:rPr>
            <w:rStyle w:val="Hyperlink"/>
          </w:rPr>
          <w:t>Pridemore</w:t>
        </w:r>
        <w:proofErr w:type="spellEnd"/>
        <w:r>
          <w:rPr>
            <w:rStyle w:val="Hyperlink"/>
          </w:rPr>
          <w:t>, 2013</w:t>
        </w:r>
      </w:hyperlink>
      <w:r>
        <w:t>), and other types of violent crime like robbery and domestic violence (</w:t>
      </w:r>
      <w:hyperlink r:id="rId14" w:history="1">
        <w:r>
          <w:rPr>
            <w:rStyle w:val="Hyperlink"/>
          </w:rPr>
          <w:t>Livingston, 2011</w:t>
        </w:r>
      </w:hyperlink>
      <w:r>
        <w:t xml:space="preserve">; </w:t>
      </w:r>
      <w:hyperlink r:id="rId15" w:history="1">
        <w:r>
          <w:rPr>
            <w:rStyle w:val="Hyperlink"/>
          </w:rPr>
          <w:t>Scribner, MacKinnon, &amp; Dwyer, 1995</w:t>
        </w:r>
      </w:hyperlink>
      <w:r>
        <w:t xml:space="preserve">; </w:t>
      </w:r>
      <w:hyperlink r:id="rId16" w:history="1">
        <w:r>
          <w:rPr>
            <w:rStyle w:val="Hyperlink"/>
          </w:rPr>
          <w:t>Snowden, 2016a</w:t>
        </w:r>
      </w:hyperlink>
      <w:r>
        <w:t xml:space="preserve">; </w:t>
      </w:r>
      <w:hyperlink r:id="rId17" w:history="1">
        <w:r>
          <w:rPr>
            <w:rStyle w:val="Hyperlink"/>
          </w:rPr>
          <w:t xml:space="preserve">Snowden &amp; </w:t>
        </w:r>
        <w:proofErr w:type="spellStart"/>
        <w:r>
          <w:rPr>
            <w:rStyle w:val="Hyperlink"/>
          </w:rPr>
          <w:t>Freiburger</w:t>
        </w:r>
        <w:proofErr w:type="spellEnd"/>
        <w:r>
          <w:rPr>
            <w:rStyle w:val="Hyperlink"/>
          </w:rPr>
          <w:t>, 2015</w:t>
        </w:r>
      </w:hyperlink>
      <w:r>
        <w:t xml:space="preserve">; </w:t>
      </w:r>
      <w:hyperlink r:id="rId18" w:history="1">
        <w:r>
          <w:rPr>
            <w:rStyle w:val="Hyperlink"/>
          </w:rPr>
          <w:t xml:space="preserve">Zhu, Gorman, &amp; </w:t>
        </w:r>
        <w:proofErr w:type="spellStart"/>
        <w:r>
          <w:rPr>
            <w:rStyle w:val="Hyperlink"/>
          </w:rPr>
          <w:t>Horel</w:t>
        </w:r>
        <w:proofErr w:type="spellEnd"/>
        <w:r>
          <w:rPr>
            <w:rStyle w:val="Hyperlink"/>
          </w:rPr>
          <w:t>, 2004</w:t>
        </w:r>
      </w:hyperlink>
      <w:r>
        <w:t xml:space="preserve">). Less is known about the role alcohol outlets play in female victimization. With the exception of a few studies of the effects of outlets on gender-specific intimate partner violence (IPV; for example, </w:t>
      </w:r>
      <w:hyperlink r:id="rId19" w:history="1">
        <w:r>
          <w:rPr>
            <w:rStyle w:val="Hyperlink"/>
          </w:rPr>
          <w:t>Waller et al., 2012</w:t>
        </w:r>
      </w:hyperlink>
      <w:r>
        <w:t xml:space="preserve">) and on rape and domestic violence (e.g., </w:t>
      </w:r>
      <w:hyperlink r:id="rId20" w:history="1">
        <w:r>
          <w:rPr>
            <w:rStyle w:val="Hyperlink"/>
          </w:rPr>
          <w:t>Livingston, 2011</w:t>
        </w:r>
      </w:hyperlink>
      <w:r>
        <w:t>), most prior studies examined overall rather than gender-specific violence. This is important because there are theoretical reasons to believe that relative to male victimization rates, female victimization rates may have unique covariates or may covary with predictors at greater or lesser strength (</w:t>
      </w:r>
      <w:proofErr w:type="spellStart"/>
      <w:r>
        <w:fldChar w:fldCharType="begin"/>
      </w:r>
      <w:r>
        <w:instrText xml:space="preserve"> HYPERLINK "https://journals.sagepub.com/doi/10.1177/0886260517719080" </w:instrText>
      </w:r>
      <w:r>
        <w:fldChar w:fldCharType="separate"/>
      </w:r>
      <w:r>
        <w:rPr>
          <w:rStyle w:val="Hyperlink"/>
        </w:rPr>
        <w:t>Heise</w:t>
      </w:r>
      <w:proofErr w:type="spellEnd"/>
      <w:r>
        <w:rPr>
          <w:rStyle w:val="Hyperlink"/>
        </w:rPr>
        <w:t>, 1998</w:t>
      </w:r>
      <w:r>
        <w:fldChar w:fldCharType="end"/>
      </w:r>
      <w:r>
        <w:t xml:space="preserve">; </w:t>
      </w:r>
      <w:hyperlink r:id="rId21" w:history="1">
        <w:r>
          <w:rPr>
            <w:rStyle w:val="Hyperlink"/>
          </w:rPr>
          <w:t xml:space="preserve">O’Keefe &amp; </w:t>
        </w:r>
        <w:proofErr w:type="spellStart"/>
        <w:r>
          <w:rPr>
            <w:rStyle w:val="Hyperlink"/>
          </w:rPr>
          <w:t>Treister</w:t>
        </w:r>
        <w:proofErr w:type="spellEnd"/>
        <w:r>
          <w:rPr>
            <w:rStyle w:val="Hyperlink"/>
          </w:rPr>
          <w:t>, 1998</w:t>
        </w:r>
      </w:hyperlink>
      <w:r>
        <w:t>). In addition, research on female victimization typically focuses on IPV, which is a serious but less frequent type of victimization. Therefore, the goal of this study was to examine the impact of alcohol outlet density on overall (including IPV victimization) and on non-IPV female victimization rates. The latter is novel to the literature.</w:t>
      </w:r>
    </w:p>
    <w:p w14:paraId="07E59F93" w14:textId="77777777" w:rsidR="00300C69" w:rsidRDefault="00300C69" w:rsidP="00300C69">
      <w:pPr>
        <w:pStyle w:val="NoSpacing"/>
      </w:pPr>
    </w:p>
    <w:p w14:paraId="61E5563F" w14:textId="0F277F3B" w:rsidR="001D11AB" w:rsidRDefault="00300C69" w:rsidP="00300C69">
      <w:pPr>
        <w:pStyle w:val="NoSpacing"/>
      </w:pPr>
      <w:r>
        <w:t>Our study makes several important contributions to the literature on alcohol outlets and violence. First, we focus on overall female victimization, which includes but is not limited to IPV. Second, we examine female non-IPV victimization, which is 81% of total female violent victimization (</w:t>
      </w:r>
      <w:hyperlink r:id="rId22" w:history="1">
        <w:r>
          <w:rPr>
            <w:rStyle w:val="Hyperlink"/>
          </w:rPr>
          <w:t>Truman &amp; Langton, 2015</w:t>
        </w:r>
      </w:hyperlink>
      <w:r>
        <w:t>). Third, we use census block groups as units of analysis, which are generally accepted proxies for neighborhoods, and estimate spatially informed regression models to control for spatial dependence in our spatially referenced data. Last, we compare the effects of alcohol outlets on victimization across genders to better understand if any associations are unique to females or are simply reflecting larger patterns of association.</w:t>
      </w:r>
    </w:p>
    <w:p w14:paraId="6C129D50" w14:textId="33DBBE13" w:rsidR="001D11AB" w:rsidRDefault="001D11AB" w:rsidP="001D11AB">
      <w:pPr>
        <w:pStyle w:val="Heading1"/>
      </w:pPr>
      <w:r>
        <w:t>Literature Review</w:t>
      </w:r>
    </w:p>
    <w:p w14:paraId="10179B86" w14:textId="1DDB167C" w:rsidR="001D11AB" w:rsidRDefault="001B1F29" w:rsidP="001B1F29">
      <w:pPr>
        <w:pStyle w:val="Heading2"/>
      </w:pPr>
      <w:r>
        <w:t>Alcohol Availability</w:t>
      </w:r>
    </w:p>
    <w:p w14:paraId="35376631" w14:textId="20D76261" w:rsidR="001B1F29" w:rsidRDefault="001B1F29" w:rsidP="000B7BF6">
      <w:pPr>
        <w:pStyle w:val="NoSpacing"/>
      </w:pPr>
      <w:r>
        <w:t>Alcohol availability theory suggests an association between alcohol outlet density and female victimization rates because without availability there can be no alcohol use or associated problems (</w:t>
      </w:r>
      <w:proofErr w:type="spellStart"/>
      <w:r>
        <w:fldChar w:fldCharType="begin"/>
      </w:r>
      <w:r>
        <w:instrText xml:space="preserve"> HYPERLINK "https://journals.sagepub.com/doi/10.1177/0886260517719080" </w:instrText>
      </w:r>
      <w:r>
        <w:fldChar w:fldCharType="separate"/>
      </w:r>
      <w:r>
        <w:rPr>
          <w:rStyle w:val="Hyperlink"/>
        </w:rPr>
        <w:t>Birckmayer</w:t>
      </w:r>
      <w:proofErr w:type="spellEnd"/>
      <w:r>
        <w:rPr>
          <w:rStyle w:val="Hyperlink"/>
        </w:rPr>
        <w:t>, Holder, Yacoubian, &amp; Friend, 2004</w:t>
      </w:r>
      <w:r>
        <w:fldChar w:fldCharType="end"/>
      </w:r>
      <w:r>
        <w:t xml:space="preserve">; </w:t>
      </w:r>
      <w:hyperlink r:id="rId23" w:history="1">
        <w:r>
          <w:rPr>
            <w:rStyle w:val="Hyperlink"/>
          </w:rPr>
          <w:t xml:space="preserve">Livingston, </w:t>
        </w:r>
        <w:proofErr w:type="spellStart"/>
        <w:r>
          <w:rPr>
            <w:rStyle w:val="Hyperlink"/>
          </w:rPr>
          <w:t>Chikritzhs</w:t>
        </w:r>
        <w:proofErr w:type="spellEnd"/>
        <w:r>
          <w:rPr>
            <w:rStyle w:val="Hyperlink"/>
          </w:rPr>
          <w:t>, &amp; Room, 2007</w:t>
        </w:r>
      </w:hyperlink>
      <w:r>
        <w:t xml:space="preserve">; </w:t>
      </w:r>
      <w:hyperlink r:id="rId24" w:history="1">
        <w:proofErr w:type="spellStart"/>
        <w:r>
          <w:rPr>
            <w:rStyle w:val="Hyperlink"/>
          </w:rPr>
          <w:t>Stockwell</w:t>
        </w:r>
        <w:proofErr w:type="spellEnd"/>
        <w:r>
          <w:rPr>
            <w:rStyle w:val="Hyperlink"/>
          </w:rPr>
          <w:t xml:space="preserve"> &amp; Gruenewald, 2001</w:t>
        </w:r>
      </w:hyperlink>
      <w:r>
        <w:t>). In general, when alcohol availability increases and becomes readily available through retail outlets, it triggers a range of changes, including (a) greater accessibility and lowered distance to travel to the nearby alcohol outlet to purchase alcohol, (b) increased market competition resulting in lower priced alcohol products, (c) increased exposure to marketing materials that promote alcohol purchase and consumption, and (d) eventual change in the social norms that govern frequency and volume of alcohol consumed by individuals (</w:t>
      </w:r>
      <w:proofErr w:type="spellStart"/>
      <w:r>
        <w:fldChar w:fldCharType="begin"/>
      </w:r>
      <w:r>
        <w:instrText xml:space="preserve"> HYPERLINK "https://journals.sagepub.com/doi/10.1177/0886260517719080" </w:instrText>
      </w:r>
      <w:r>
        <w:fldChar w:fldCharType="separate"/>
      </w:r>
      <w:r>
        <w:rPr>
          <w:rStyle w:val="Hyperlink"/>
        </w:rPr>
        <w:t>Birckmayer</w:t>
      </w:r>
      <w:proofErr w:type="spellEnd"/>
      <w:r>
        <w:rPr>
          <w:rStyle w:val="Hyperlink"/>
        </w:rPr>
        <w:t xml:space="preserve"> et al., 2004</w:t>
      </w:r>
      <w:r>
        <w:fldChar w:fldCharType="end"/>
      </w:r>
      <w:r>
        <w:t xml:space="preserve">; </w:t>
      </w:r>
      <w:hyperlink r:id="rId25" w:history="1">
        <w:r>
          <w:rPr>
            <w:rStyle w:val="Hyperlink"/>
          </w:rPr>
          <w:t>Campbell et al., 2009</w:t>
        </w:r>
      </w:hyperlink>
      <w:r>
        <w:t xml:space="preserve">). Thus, greater alcohol consumption is expected in areas with high alcohol availability (i.e., retail </w:t>
      </w:r>
      <w:r>
        <w:lastRenderedPageBreak/>
        <w:t>establishments that sell alcoholic beverages) relative to areas with lower alcohol availability (</w:t>
      </w:r>
      <w:hyperlink r:id="rId26" w:history="1">
        <w:r>
          <w:rPr>
            <w:rStyle w:val="Hyperlink"/>
          </w:rPr>
          <w:t xml:space="preserve">Douglass, </w:t>
        </w:r>
        <w:proofErr w:type="spellStart"/>
        <w:r>
          <w:rPr>
            <w:rStyle w:val="Hyperlink"/>
          </w:rPr>
          <w:t>Wagenaar</w:t>
        </w:r>
        <w:proofErr w:type="spellEnd"/>
        <w:r>
          <w:rPr>
            <w:rStyle w:val="Hyperlink"/>
          </w:rPr>
          <w:t xml:space="preserve">, &amp; </w:t>
        </w:r>
        <w:proofErr w:type="spellStart"/>
        <w:r>
          <w:rPr>
            <w:rStyle w:val="Hyperlink"/>
          </w:rPr>
          <w:t>Barkey</w:t>
        </w:r>
        <w:proofErr w:type="spellEnd"/>
        <w:r>
          <w:rPr>
            <w:rStyle w:val="Hyperlink"/>
          </w:rPr>
          <w:t>, 1980</w:t>
        </w:r>
      </w:hyperlink>
      <w:r>
        <w:t xml:space="preserve">; </w:t>
      </w:r>
      <w:hyperlink r:id="rId27" w:history="1">
        <w:r>
          <w:rPr>
            <w:rStyle w:val="Hyperlink"/>
          </w:rPr>
          <w:t>Rowland et al., 2014</w:t>
        </w:r>
      </w:hyperlink>
      <w:r>
        <w:t>).</w:t>
      </w:r>
    </w:p>
    <w:p w14:paraId="01E5DF69" w14:textId="77777777" w:rsidR="000B7BF6" w:rsidRDefault="000B7BF6" w:rsidP="000B7BF6">
      <w:pPr>
        <w:pStyle w:val="NoSpacing"/>
      </w:pPr>
    </w:p>
    <w:p w14:paraId="295832D4" w14:textId="60C48EBD" w:rsidR="001B1F29" w:rsidRDefault="001B1F29" w:rsidP="000B7BF6">
      <w:pPr>
        <w:pStyle w:val="NoSpacing"/>
      </w:pPr>
      <w:r>
        <w:t>Consideration of alcohol availability in the context of violence is important because alcohol is no ordinary commodity (</w:t>
      </w:r>
      <w:proofErr w:type="spellStart"/>
      <w:r>
        <w:fldChar w:fldCharType="begin"/>
      </w:r>
      <w:r>
        <w:instrText xml:space="preserve"> HYPERLINK "https://journals.sagepub.com/doi/10.1177/0886260517719080" </w:instrText>
      </w:r>
      <w:r>
        <w:fldChar w:fldCharType="separate"/>
      </w:r>
      <w:r>
        <w:rPr>
          <w:rStyle w:val="Hyperlink"/>
        </w:rPr>
        <w:t>Babor</w:t>
      </w:r>
      <w:proofErr w:type="spellEnd"/>
      <w:r>
        <w:rPr>
          <w:rStyle w:val="Hyperlink"/>
        </w:rPr>
        <w:t xml:space="preserve"> et al., 2010</w:t>
      </w:r>
      <w:r>
        <w:fldChar w:fldCharType="end"/>
      </w:r>
      <w:r>
        <w:t>). The physiological effects of alcohol lower inhibitions, slow cognitive and physical reactions, make people less fully aware of dangerous situational factors, and reduce ability to engage in avoidance behaviors or other defensive actions when confronted with a serious situation (</w:t>
      </w:r>
      <w:proofErr w:type="spellStart"/>
      <w:r>
        <w:fldChar w:fldCharType="begin"/>
      </w:r>
      <w:r>
        <w:instrText xml:space="preserve"> HYPERLINK "https://journals.sagepub.com/doi/10.1177/0886260517719080" </w:instrText>
      </w:r>
      <w:r>
        <w:fldChar w:fldCharType="separate"/>
      </w:r>
      <w:r>
        <w:rPr>
          <w:rStyle w:val="Hyperlink"/>
        </w:rPr>
        <w:t>Buddie</w:t>
      </w:r>
      <w:proofErr w:type="spellEnd"/>
      <w:r>
        <w:rPr>
          <w:rStyle w:val="Hyperlink"/>
        </w:rPr>
        <w:t xml:space="preserve"> &amp; Parks, 2003</w:t>
      </w:r>
      <w:r>
        <w:fldChar w:fldCharType="end"/>
      </w:r>
      <w:r>
        <w:t xml:space="preserve">; </w:t>
      </w:r>
      <w:hyperlink r:id="rId28" w:history="1">
        <w:r>
          <w:rPr>
            <w:rStyle w:val="Hyperlink"/>
          </w:rPr>
          <w:t xml:space="preserve">Room, </w:t>
        </w:r>
        <w:proofErr w:type="spellStart"/>
        <w:r>
          <w:rPr>
            <w:rStyle w:val="Hyperlink"/>
          </w:rPr>
          <w:t>Babor</w:t>
        </w:r>
        <w:proofErr w:type="spellEnd"/>
        <w:r>
          <w:rPr>
            <w:rStyle w:val="Hyperlink"/>
          </w:rPr>
          <w:t>, &amp; Rehm, 2005</w:t>
        </w:r>
      </w:hyperlink>
      <w:r>
        <w:t xml:space="preserve">; </w:t>
      </w:r>
      <w:hyperlink r:id="rId29" w:history="1">
        <w:r>
          <w:rPr>
            <w:rStyle w:val="Hyperlink"/>
          </w:rPr>
          <w:t>Testa &amp; Parks, 1996</w:t>
        </w:r>
      </w:hyperlink>
      <w:r>
        <w:t>). Alcohol consumption at public venues may result in disinhibited decision-making process (e.g., leaving the guarded premise with a stranger) that may increase one’s risk of victimization (</w:t>
      </w:r>
      <w:proofErr w:type="spellStart"/>
      <w:r>
        <w:fldChar w:fldCharType="begin"/>
      </w:r>
      <w:r>
        <w:instrText xml:space="preserve"> HYPERLINK "https://journals.sagepub.com/doi/10.1177/0886260517719080" </w:instrText>
      </w:r>
      <w:r>
        <w:fldChar w:fldCharType="separate"/>
      </w:r>
      <w:r>
        <w:rPr>
          <w:rStyle w:val="Hyperlink"/>
        </w:rPr>
        <w:t>Buddie</w:t>
      </w:r>
      <w:proofErr w:type="spellEnd"/>
      <w:r>
        <w:rPr>
          <w:rStyle w:val="Hyperlink"/>
        </w:rPr>
        <w:t xml:space="preserve"> &amp; Parks, 2003</w:t>
      </w:r>
      <w:r>
        <w:fldChar w:fldCharType="end"/>
      </w:r>
      <w:r>
        <w:t xml:space="preserve">; </w:t>
      </w:r>
      <w:hyperlink r:id="rId30" w:history="1">
        <w:r>
          <w:rPr>
            <w:rStyle w:val="Hyperlink"/>
          </w:rPr>
          <w:t>Cohen &amp; Felson, 1979</w:t>
        </w:r>
      </w:hyperlink>
      <w:r>
        <w:t>).</w:t>
      </w:r>
    </w:p>
    <w:p w14:paraId="6FA4D049" w14:textId="77777777" w:rsidR="000B7BF6" w:rsidRDefault="000B7BF6" w:rsidP="000B7BF6">
      <w:pPr>
        <w:pStyle w:val="NoSpacing"/>
      </w:pPr>
    </w:p>
    <w:p w14:paraId="37A2BE5E" w14:textId="77777777" w:rsidR="001B1F29" w:rsidRDefault="001B1F29" w:rsidP="000B7BF6">
      <w:pPr>
        <w:pStyle w:val="NoSpacing"/>
      </w:pPr>
      <w:r>
        <w:t xml:space="preserve">Alcohol availability can be reduced via policy levers, and prior studies suggest reducing alcohol availability can have positive social effects (e.g., </w:t>
      </w:r>
      <w:hyperlink r:id="rId31" w:history="1">
        <w:proofErr w:type="spellStart"/>
        <w:r>
          <w:rPr>
            <w:rStyle w:val="Hyperlink"/>
          </w:rPr>
          <w:t>Pridemore</w:t>
        </w:r>
        <w:proofErr w:type="spellEnd"/>
        <w:r>
          <w:rPr>
            <w:rStyle w:val="Hyperlink"/>
          </w:rPr>
          <w:t xml:space="preserve"> &amp; Snowden, 2009</w:t>
        </w:r>
      </w:hyperlink>
      <w:r>
        <w:t xml:space="preserve">), but less is known about how alcohol availability influences female-specific victimization. </w:t>
      </w:r>
      <w:hyperlink r:id="rId32" w:history="1">
        <w:proofErr w:type="spellStart"/>
        <w:r>
          <w:rPr>
            <w:rStyle w:val="Hyperlink"/>
          </w:rPr>
          <w:t>Duailibi</w:t>
        </w:r>
        <w:proofErr w:type="spellEnd"/>
        <w:r>
          <w:rPr>
            <w:rStyle w:val="Hyperlink"/>
          </w:rPr>
          <w:t xml:space="preserve"> et al. (2007)</w:t>
        </w:r>
      </w:hyperlink>
      <w:r>
        <w:t xml:space="preserve"> examined both overall (non-gender-specific) homicide and female-specific assaults before and after a restrictive alcohol policy that regulated on-premise alcohol sales, finding a significant decrease in all homicides but a nonsignificant decrease in violence against women following the implementation of the restrictive alcohol availability policy. These findings, together with the more general dearth of studies, point to the lack of information on the relationship between alcohol availability and female victimization. Our study will help to fill this gap.</w:t>
      </w:r>
    </w:p>
    <w:p w14:paraId="78FA65D7" w14:textId="7AD2D3B2" w:rsidR="001B1F29" w:rsidRDefault="001B1F29" w:rsidP="000B7BF6">
      <w:pPr>
        <w:pStyle w:val="NoSpacing"/>
      </w:pPr>
    </w:p>
    <w:p w14:paraId="743D4ACF" w14:textId="77777777" w:rsidR="000B7BF6" w:rsidRDefault="000B7BF6" w:rsidP="000B7BF6">
      <w:pPr>
        <w:pStyle w:val="Heading2"/>
      </w:pPr>
      <w:r>
        <w:t>Routine Activities and Outlet Characteristics</w:t>
      </w:r>
    </w:p>
    <w:p w14:paraId="78916625" w14:textId="69E60E80" w:rsidR="000B7BF6" w:rsidRDefault="000B7BF6" w:rsidP="00DF5B62">
      <w:pPr>
        <w:pStyle w:val="NoSpacing"/>
      </w:pPr>
      <w:r>
        <w:t>Routine activities theory (</w:t>
      </w:r>
      <w:hyperlink r:id="rId33" w:history="1">
        <w:r>
          <w:rPr>
            <w:rStyle w:val="Hyperlink"/>
          </w:rPr>
          <w:t>Cohen &amp; Felson, 1979</w:t>
        </w:r>
      </w:hyperlink>
      <w:r>
        <w:t>) presents reasons for an association between alcohol outlet density and female victimization. According to the theory, crime is a result of convergence in time and space of three elements: a motivated offender, a suitable target, and a lack of capable guardian (</w:t>
      </w:r>
      <w:hyperlink r:id="rId34" w:history="1">
        <w:r>
          <w:rPr>
            <w:rStyle w:val="Hyperlink"/>
          </w:rPr>
          <w:t>Cohen &amp; Felson, 1979</w:t>
        </w:r>
      </w:hyperlink>
      <w:r>
        <w:t>). Opportunities for victimization vary across geographic areas depending on the types of places conducive for convergence in time and space of three elements operating in those areas (</w:t>
      </w:r>
      <w:hyperlink r:id="rId35" w:history="1">
        <w:r>
          <w:rPr>
            <w:rStyle w:val="Hyperlink"/>
          </w:rPr>
          <w:t xml:space="preserve">Sampson &amp; </w:t>
        </w:r>
        <w:proofErr w:type="spellStart"/>
        <w:r>
          <w:rPr>
            <w:rStyle w:val="Hyperlink"/>
          </w:rPr>
          <w:t>Wooldredge</w:t>
        </w:r>
        <w:proofErr w:type="spellEnd"/>
        <w:r>
          <w:rPr>
            <w:rStyle w:val="Hyperlink"/>
          </w:rPr>
          <w:t>, 1987</w:t>
        </w:r>
      </w:hyperlink>
      <w:r>
        <w:t>). For example, on-premise alcohol outlets may create optimal conditions for victimization by providing a flow of intoxicated suitable targets for victimization who are unguarded once they leave the relatively protective nature of these premises. Bars or clubs draw high-risk patrons who become suitable targets for victimization (</w:t>
      </w:r>
      <w:hyperlink r:id="rId36" w:history="1">
        <w:r>
          <w:rPr>
            <w:rStyle w:val="Hyperlink"/>
          </w:rPr>
          <w:t>Livingston et al., 2007</w:t>
        </w:r>
      </w:hyperlink>
      <w:r>
        <w:t>) when alone and intoxicated (</w:t>
      </w:r>
      <w:proofErr w:type="spellStart"/>
      <w:r>
        <w:fldChar w:fldCharType="begin"/>
      </w:r>
      <w:r>
        <w:instrText xml:space="preserve"> HYPERLINK "https://journals.sagepub.com/doi/10.1177/0886260517719080" </w:instrText>
      </w:r>
      <w:r>
        <w:fldChar w:fldCharType="separate"/>
      </w:r>
      <w:r>
        <w:rPr>
          <w:rStyle w:val="Hyperlink"/>
        </w:rPr>
        <w:t>Homel</w:t>
      </w:r>
      <w:proofErr w:type="spellEnd"/>
      <w:r>
        <w:rPr>
          <w:rStyle w:val="Hyperlink"/>
        </w:rPr>
        <w:t xml:space="preserve"> &amp; Clark, 1994</w:t>
      </w:r>
      <w:r>
        <w:fldChar w:fldCharType="end"/>
      </w:r>
      <w:r>
        <w:t>). They also tend to be located in retail areas with less guardianship from nearby residents (</w:t>
      </w:r>
      <w:hyperlink r:id="rId37" w:history="1">
        <w:r>
          <w:rPr>
            <w:rStyle w:val="Hyperlink"/>
          </w:rPr>
          <w:t xml:space="preserve">Gruenewald, </w:t>
        </w:r>
        <w:proofErr w:type="spellStart"/>
        <w:r>
          <w:rPr>
            <w:rStyle w:val="Hyperlink"/>
          </w:rPr>
          <w:t>Freisthler</w:t>
        </w:r>
        <w:proofErr w:type="spellEnd"/>
        <w:r>
          <w:rPr>
            <w:rStyle w:val="Hyperlink"/>
          </w:rPr>
          <w:t xml:space="preserve">, Remer, </w:t>
        </w:r>
        <w:proofErr w:type="spellStart"/>
        <w:r>
          <w:rPr>
            <w:rStyle w:val="Hyperlink"/>
          </w:rPr>
          <w:t>LaScala</w:t>
        </w:r>
        <w:proofErr w:type="spellEnd"/>
        <w:r>
          <w:rPr>
            <w:rStyle w:val="Hyperlink"/>
          </w:rPr>
          <w:t xml:space="preserve">, &amp; </w:t>
        </w:r>
        <w:proofErr w:type="spellStart"/>
        <w:r>
          <w:rPr>
            <w:rStyle w:val="Hyperlink"/>
          </w:rPr>
          <w:t>Treno</w:t>
        </w:r>
        <w:proofErr w:type="spellEnd"/>
        <w:r>
          <w:rPr>
            <w:rStyle w:val="Hyperlink"/>
          </w:rPr>
          <w:t>, 2006</w:t>
        </w:r>
      </w:hyperlink>
      <w:r>
        <w:t>), so when other businesses have closed late at night, local residents are not outside to protect patrons who leave the premises. On the contrary, on-premise outlet employees such as bouncers, security personnel, or waitstaff can serve as capable guardians and their absence can create opportunities for victimization (</w:t>
      </w:r>
      <w:hyperlink r:id="rId38" w:history="1">
        <w:r>
          <w:rPr>
            <w:rStyle w:val="Hyperlink"/>
          </w:rPr>
          <w:t>Cohen &amp; Felson, 1979</w:t>
        </w:r>
      </w:hyperlink>
      <w:r>
        <w:t>). Some bars or clubs may have permissive attitudes toward violence and patrons are attracted to outlets where they believe their behavior will “fit” with the environment, so aggressive individuals (i.e., motivated offenders) are likely to concentrate in such outlets (</w:t>
      </w:r>
      <w:hyperlink r:id="rId39" w:history="1">
        <w:r>
          <w:rPr>
            <w:rStyle w:val="Hyperlink"/>
          </w:rPr>
          <w:t>Leather &amp; Lawrence, 1995</w:t>
        </w:r>
      </w:hyperlink>
      <w:r>
        <w:t>). The permissive attitudes about violence may also be affected by bar or club employees’ biased views against women drinking in bars and talking to strangers (</w:t>
      </w:r>
      <w:proofErr w:type="spellStart"/>
      <w:r>
        <w:fldChar w:fldCharType="begin"/>
      </w:r>
      <w:r>
        <w:instrText xml:space="preserve"> HYPERLINK "https://journals.sagepub.com/doi/10.1177/0886260517719080" </w:instrText>
      </w:r>
      <w:r>
        <w:fldChar w:fldCharType="separate"/>
      </w:r>
      <w:r>
        <w:rPr>
          <w:rStyle w:val="Hyperlink"/>
        </w:rPr>
        <w:t>Buddie</w:t>
      </w:r>
      <w:proofErr w:type="spellEnd"/>
      <w:r>
        <w:rPr>
          <w:rStyle w:val="Hyperlink"/>
        </w:rPr>
        <w:t xml:space="preserve"> &amp; Parks, 2003</w:t>
      </w:r>
      <w:r>
        <w:fldChar w:fldCharType="end"/>
      </w:r>
      <w:r>
        <w:t>) and may reduce the likelihood of intervention by employees. Outlets that serve intoxicated patrons, offer discounted drinks, and permit overcrowding increase the risk of assaults occurring there (</w:t>
      </w:r>
      <w:proofErr w:type="spellStart"/>
      <w:r>
        <w:fldChar w:fldCharType="begin"/>
      </w:r>
      <w:r>
        <w:instrText xml:space="preserve"> HYPERLINK "https://journals.sagepub.com/doi/10.1177/0886260517719080" </w:instrText>
      </w:r>
      <w:r>
        <w:fldChar w:fldCharType="separate"/>
      </w:r>
      <w:r>
        <w:rPr>
          <w:rStyle w:val="Hyperlink"/>
        </w:rPr>
        <w:t>Stockwell</w:t>
      </w:r>
      <w:proofErr w:type="spellEnd"/>
      <w:r>
        <w:rPr>
          <w:rStyle w:val="Hyperlink"/>
        </w:rPr>
        <w:t>, Lang, &amp; Rydon, 1993</w:t>
      </w:r>
      <w:r>
        <w:fldChar w:fldCharType="end"/>
      </w:r>
      <w:r>
        <w:t>), and bars or pubs that serve young patrons have greater levels of female victimization (</w:t>
      </w:r>
      <w:proofErr w:type="spellStart"/>
      <w:r>
        <w:fldChar w:fldCharType="begin"/>
      </w:r>
      <w:r>
        <w:instrText xml:space="preserve"> HYPERLINK "https://journals.sagepub.com/doi/10.1177/0886260517719080" </w:instrText>
      </w:r>
      <w:r>
        <w:fldChar w:fldCharType="separate"/>
      </w:r>
      <w:r>
        <w:rPr>
          <w:rStyle w:val="Hyperlink"/>
        </w:rPr>
        <w:t>Buddie</w:t>
      </w:r>
      <w:proofErr w:type="spellEnd"/>
      <w:r>
        <w:rPr>
          <w:rStyle w:val="Hyperlink"/>
        </w:rPr>
        <w:t xml:space="preserve"> &amp; Parks, 2003</w:t>
      </w:r>
      <w:r>
        <w:fldChar w:fldCharType="end"/>
      </w:r>
      <w:r>
        <w:t>).</w:t>
      </w:r>
    </w:p>
    <w:p w14:paraId="39C7320C" w14:textId="77777777" w:rsidR="00DF5B62" w:rsidRDefault="00DF5B62" w:rsidP="00DF5B62">
      <w:pPr>
        <w:pStyle w:val="NoSpacing"/>
      </w:pPr>
    </w:p>
    <w:p w14:paraId="7D089F7C" w14:textId="7C92BFAE" w:rsidR="000B7BF6" w:rsidRDefault="000B7BF6" w:rsidP="00DF5B62">
      <w:pPr>
        <w:pStyle w:val="NoSpacing"/>
      </w:pPr>
      <w:r>
        <w:t>Off-premise alcohol outlets also may create opportunities for victimization by providing intoxicating beverages consumed in the context of less protected settings relative to guardianship levels in on-premise outlets (</w:t>
      </w:r>
      <w:proofErr w:type="spellStart"/>
      <w:r>
        <w:fldChar w:fldCharType="begin"/>
      </w:r>
      <w:r>
        <w:instrText xml:space="preserve"> HYPERLINK "https://journals.sagepub.com/doi/10.1177/0886260517719080" </w:instrText>
      </w:r>
      <w:r>
        <w:fldChar w:fldCharType="separate"/>
      </w:r>
      <w:r>
        <w:rPr>
          <w:rStyle w:val="Hyperlink"/>
        </w:rPr>
        <w:t>Stockwell</w:t>
      </w:r>
      <w:proofErr w:type="spellEnd"/>
      <w:r>
        <w:rPr>
          <w:rStyle w:val="Hyperlink"/>
        </w:rPr>
        <w:t xml:space="preserve"> et al., 1993</w:t>
      </w:r>
      <w:r>
        <w:fldChar w:fldCharType="end"/>
      </w:r>
      <w:r>
        <w:t>). A recent study found off-premise alcohol outlet density was positively associated with IPV rates, though on-premise outlet density had no association (</w:t>
      </w:r>
      <w:hyperlink r:id="rId40" w:history="1">
        <w:r>
          <w:rPr>
            <w:rStyle w:val="Hyperlink"/>
          </w:rPr>
          <w:t>Snowden, 2016a</w:t>
        </w:r>
      </w:hyperlink>
      <w:r>
        <w:t xml:space="preserve">). </w:t>
      </w:r>
      <w:hyperlink r:id="rId41" w:history="1">
        <w:r>
          <w:rPr>
            <w:rStyle w:val="Hyperlink"/>
          </w:rPr>
          <w:t>Livingston (2011)</w:t>
        </w:r>
      </w:hyperlink>
      <w:r>
        <w:t xml:space="preserve">, however, found on-premise outlets had a positive association while off-premise outlets had a stronger and negative association with domestic violence, though </w:t>
      </w:r>
      <w:hyperlink r:id="rId42" w:history="1">
        <w:r>
          <w:rPr>
            <w:rStyle w:val="Hyperlink"/>
          </w:rPr>
          <w:t>Snowden’s (2016a)</w:t>
        </w:r>
      </w:hyperlink>
      <w:r>
        <w:t xml:space="preserve"> and </w:t>
      </w:r>
      <w:hyperlink r:id="rId43" w:history="1">
        <w:r>
          <w:rPr>
            <w:rStyle w:val="Hyperlink"/>
          </w:rPr>
          <w:t>Livingston’s (2011)</w:t>
        </w:r>
      </w:hyperlink>
      <w:r>
        <w:t xml:space="preserve"> conclusions may be due to methodological differences in the two studies. In any event, availability of alcohol outlets may influence </w:t>
      </w:r>
      <w:r>
        <w:lastRenderedPageBreak/>
        <w:t>routine activities related to where alcohol is consumed and consequently where violence takes place (</w:t>
      </w:r>
      <w:proofErr w:type="spellStart"/>
      <w:r>
        <w:fldChar w:fldCharType="begin"/>
      </w:r>
      <w:r>
        <w:instrText xml:space="preserve"> HYPERLINK "https://journals.sagepub.com/doi/10.1177/0886260517719080" </w:instrText>
      </w:r>
      <w:r>
        <w:fldChar w:fldCharType="separate"/>
      </w:r>
      <w:r>
        <w:rPr>
          <w:rStyle w:val="Hyperlink"/>
        </w:rPr>
        <w:t>Stockwell</w:t>
      </w:r>
      <w:proofErr w:type="spellEnd"/>
      <w:r>
        <w:rPr>
          <w:rStyle w:val="Hyperlink"/>
        </w:rPr>
        <w:t xml:space="preserve"> et al., 1993</w:t>
      </w:r>
      <w:r>
        <w:fldChar w:fldCharType="end"/>
      </w:r>
      <w:r>
        <w:t>). For example, in an area with greater concentration of outlets selling packaged liquor, drinking may occur in places typically out of the public eye and where norms and expectations about violence may not be strictly enforced (</w:t>
      </w:r>
      <w:proofErr w:type="spellStart"/>
      <w:r>
        <w:fldChar w:fldCharType="begin"/>
      </w:r>
      <w:r>
        <w:instrText xml:space="preserve"> HYPERLINK "https://journals.sagepub.com/doi/10.1177/0886260517719080" </w:instrText>
      </w:r>
      <w:r>
        <w:fldChar w:fldCharType="separate"/>
      </w:r>
      <w:r>
        <w:rPr>
          <w:rStyle w:val="Hyperlink"/>
        </w:rPr>
        <w:t>Stockwell</w:t>
      </w:r>
      <w:proofErr w:type="spellEnd"/>
      <w:r>
        <w:rPr>
          <w:rStyle w:val="Hyperlink"/>
        </w:rPr>
        <w:t xml:space="preserve"> et al., 1993</w:t>
      </w:r>
      <w:r>
        <w:fldChar w:fldCharType="end"/>
      </w:r>
      <w:r>
        <w:t>). In addition, a greater concentration of off-premise outlets may encourage heavier consumption relative to on-premise outlets due to the price differences per alcohol beverage unit (</w:t>
      </w:r>
      <w:proofErr w:type="spellStart"/>
      <w:r>
        <w:fldChar w:fldCharType="begin"/>
      </w:r>
      <w:r>
        <w:instrText xml:space="preserve"> HYPERLINK "https://journals.sagepub.com/doi/10.1177/0886260517719080" </w:instrText>
      </w:r>
      <w:r>
        <w:fldChar w:fldCharType="separate"/>
      </w:r>
      <w:r>
        <w:rPr>
          <w:rStyle w:val="Hyperlink"/>
        </w:rPr>
        <w:t>Halonen</w:t>
      </w:r>
      <w:proofErr w:type="spellEnd"/>
      <w:r>
        <w:rPr>
          <w:rStyle w:val="Hyperlink"/>
        </w:rPr>
        <w:t xml:space="preserve"> et al., 2013</w:t>
      </w:r>
      <w:r>
        <w:fldChar w:fldCharType="end"/>
      </w:r>
      <w:r>
        <w:t>).</w:t>
      </w:r>
    </w:p>
    <w:p w14:paraId="24D06602" w14:textId="77777777" w:rsidR="00DF5B62" w:rsidRDefault="00DF5B62" w:rsidP="00DF5B62">
      <w:pPr>
        <w:pStyle w:val="NoSpacing"/>
      </w:pPr>
    </w:p>
    <w:p w14:paraId="4EDB569A" w14:textId="77777777" w:rsidR="000B7BF6" w:rsidRDefault="000B7BF6" w:rsidP="00DF5B62">
      <w:pPr>
        <w:pStyle w:val="NoSpacing"/>
      </w:pPr>
      <w:r>
        <w:t>Finally, alcohol outlets may promote heavy alcohol use among couples already at risk for IPV offending and victimization (</w:t>
      </w:r>
      <w:proofErr w:type="spellStart"/>
      <w:r>
        <w:fldChar w:fldCharType="begin"/>
      </w:r>
      <w:r>
        <w:instrText xml:space="preserve"> HYPERLINK "https://journals.sagepub.com/doi/10.1177/0886260517719080" </w:instrText>
      </w:r>
      <w:r>
        <w:fldChar w:fldCharType="separate"/>
      </w:r>
      <w:r>
        <w:rPr>
          <w:rStyle w:val="Hyperlink"/>
        </w:rPr>
        <w:t>Cunradi</w:t>
      </w:r>
      <w:proofErr w:type="spellEnd"/>
      <w:r>
        <w:rPr>
          <w:rStyle w:val="Hyperlink"/>
        </w:rPr>
        <w:t>, 2007</w:t>
      </w:r>
      <w:r>
        <w:fldChar w:fldCharType="end"/>
      </w:r>
      <w:r>
        <w:t xml:space="preserve">; </w:t>
      </w:r>
      <w:hyperlink r:id="rId44" w:history="1">
        <w:proofErr w:type="spellStart"/>
        <w:r>
          <w:rPr>
            <w:rStyle w:val="Hyperlink"/>
          </w:rPr>
          <w:t>Cunradi</w:t>
        </w:r>
        <w:proofErr w:type="spellEnd"/>
        <w:r>
          <w:rPr>
            <w:rStyle w:val="Hyperlink"/>
          </w:rPr>
          <w:t>, Caetano, Clark, &amp; Schafer, 2000</w:t>
        </w:r>
      </w:hyperlink>
      <w:r>
        <w:t>) and provide places “where groups of persons at risk for IPV may form and mutually reinforce IPV-related attitudes, norms, and problem behaviors” (</w:t>
      </w:r>
      <w:proofErr w:type="spellStart"/>
      <w:r>
        <w:fldChar w:fldCharType="begin"/>
      </w:r>
      <w:r>
        <w:instrText xml:space="preserve"> HYPERLINK "https://journals.sagepub.com/doi/10.1177/0886260517719080" </w:instrText>
      </w:r>
      <w:r>
        <w:fldChar w:fldCharType="separate"/>
      </w:r>
      <w:r>
        <w:rPr>
          <w:rStyle w:val="Hyperlink"/>
        </w:rPr>
        <w:t>Cunradi</w:t>
      </w:r>
      <w:proofErr w:type="spellEnd"/>
      <w:r>
        <w:rPr>
          <w:rStyle w:val="Hyperlink"/>
        </w:rPr>
        <w:t>, 2010</w:t>
      </w:r>
      <w:r>
        <w:fldChar w:fldCharType="end"/>
      </w:r>
      <w:r>
        <w:t>, p. 799), both of which highlight the importance of the role that alcohol availability plays in female victimization.</w:t>
      </w:r>
    </w:p>
    <w:p w14:paraId="05104A34" w14:textId="77777777" w:rsidR="000B7BF6" w:rsidRPr="001B1F29" w:rsidRDefault="000B7BF6" w:rsidP="00DF5B62">
      <w:pPr>
        <w:pStyle w:val="NoSpacing"/>
      </w:pPr>
    </w:p>
    <w:p w14:paraId="168D6A8D" w14:textId="6DC6A1AB" w:rsidR="001D11AB" w:rsidRDefault="00DF5B62" w:rsidP="00DF5B62">
      <w:pPr>
        <w:pStyle w:val="Heading2"/>
      </w:pPr>
      <w:r>
        <w:t>Social Disorganization</w:t>
      </w:r>
    </w:p>
    <w:p w14:paraId="0EF9ACBC" w14:textId="1431486E" w:rsidR="00DF5B62" w:rsidRDefault="00DF5B62" w:rsidP="00DF5B62">
      <w:pPr>
        <w:pStyle w:val="NoSpacing"/>
      </w:pPr>
      <w:r>
        <w:t>Any association between alcohol outlet density and violence may also be explained by social disorganization theory, which argues areas characterized by poverty, rapid population growth, ethnic/racial heterogeneity, and transiency are the same areas where high levels of crime occur (</w:t>
      </w:r>
      <w:hyperlink r:id="rId45" w:history="1">
        <w:r>
          <w:rPr>
            <w:rStyle w:val="Hyperlink"/>
          </w:rPr>
          <w:t>Shaw &amp; McKay, 1942</w:t>
        </w:r>
      </w:hyperlink>
      <w:r>
        <w:t>). This classical criminological theory was underutilized in the 1960s and 1970s when individual-level explanations dominated the field. In the late 1980s and 1990s, the social disorganization theory was revitalized by the Project on Human Development in Chicago Neighborhoods (PHDCN), which examined Chicago’s social, economic, political, and structural changes to explain Chicago crime patterns (</w:t>
      </w:r>
      <w:hyperlink r:id="rId46" w:history="1">
        <w:r>
          <w:rPr>
            <w:rStyle w:val="Hyperlink"/>
          </w:rPr>
          <w:t xml:space="preserve">Sampson, </w:t>
        </w:r>
        <w:proofErr w:type="spellStart"/>
        <w:r>
          <w:rPr>
            <w:rStyle w:val="Hyperlink"/>
          </w:rPr>
          <w:t>Raudenbush</w:t>
        </w:r>
        <w:proofErr w:type="spellEnd"/>
        <w:r>
          <w:rPr>
            <w:rStyle w:val="Hyperlink"/>
          </w:rPr>
          <w:t>, &amp; Earls, 1997</w:t>
        </w:r>
      </w:hyperlink>
      <w:r>
        <w:t>). The PHDCN provided rich neighborhood-level data for a careful assessment of the role that neighborhood characteristics play in crime, resulting in further elaborations of social disorganization theory (</w:t>
      </w:r>
      <w:hyperlink r:id="rId47" w:history="1">
        <w:r>
          <w:rPr>
            <w:rStyle w:val="Hyperlink"/>
          </w:rPr>
          <w:t>Sampson et al., 1997</w:t>
        </w:r>
      </w:hyperlink>
      <w:r>
        <w:t>). Contemporary elaborations of the social disorganization theory propose the importance of collective efficacy for crime control, and that crime rates are higher in communities that are unable to exert informal social control to limit available criminal opportunities (</w:t>
      </w:r>
      <w:proofErr w:type="spellStart"/>
      <w:r>
        <w:fldChar w:fldCharType="begin"/>
      </w:r>
      <w:r>
        <w:instrText xml:space="preserve"> HYPERLINK "https://journals.sagepub.com/doi/10.1177/0886260517719080" </w:instrText>
      </w:r>
      <w:r>
        <w:fldChar w:fldCharType="separate"/>
      </w:r>
      <w:r>
        <w:rPr>
          <w:rStyle w:val="Hyperlink"/>
        </w:rPr>
        <w:t>Bursik</w:t>
      </w:r>
      <w:proofErr w:type="spellEnd"/>
      <w:r>
        <w:rPr>
          <w:rStyle w:val="Hyperlink"/>
        </w:rPr>
        <w:t>, 1988</w:t>
      </w:r>
      <w:r>
        <w:fldChar w:fldCharType="end"/>
      </w:r>
      <w:r>
        <w:t xml:space="preserve">; </w:t>
      </w:r>
      <w:hyperlink r:id="rId48" w:history="1">
        <w:r>
          <w:rPr>
            <w:rStyle w:val="Hyperlink"/>
          </w:rPr>
          <w:t>Sampson &amp; Groves, 1989</w:t>
        </w:r>
      </w:hyperlink>
      <w:r>
        <w:t xml:space="preserve">; </w:t>
      </w:r>
      <w:hyperlink r:id="rId49" w:history="1">
        <w:r>
          <w:rPr>
            <w:rStyle w:val="Hyperlink"/>
          </w:rPr>
          <w:t>Shaw &amp; McKay, 1942</w:t>
        </w:r>
      </w:hyperlink>
      <w:r>
        <w:t>). Communities low in collective efficacy cannot organize as a group to solve commonly identified problems and therefore have high crime rates (</w:t>
      </w:r>
      <w:hyperlink r:id="rId50" w:history="1">
        <w:r>
          <w:rPr>
            <w:rStyle w:val="Hyperlink"/>
          </w:rPr>
          <w:t>Sampson et al., 1997</w:t>
        </w:r>
      </w:hyperlink>
      <w:r>
        <w:t xml:space="preserve">). </w:t>
      </w:r>
      <w:hyperlink r:id="rId51" w:history="1">
        <w:r>
          <w:rPr>
            <w:rStyle w:val="Hyperlink"/>
          </w:rPr>
          <w:t>Snowden (2016b)</w:t>
        </w:r>
      </w:hyperlink>
      <w:r>
        <w:t xml:space="preserve"> found social disorganization in neighborhoods was positively associated with total, on-, and off-premise alcohol outlet density, suggesting socially disorganized communities also may be unable to control the opening of alcohol outlets in their neighborhoods or exert valuable influence over alcohol outlet managers or owners (</w:t>
      </w:r>
      <w:proofErr w:type="spellStart"/>
      <w:r>
        <w:fldChar w:fldCharType="begin"/>
      </w:r>
      <w:r>
        <w:instrText xml:space="preserve"> HYPERLINK "https://journals.sagepub.com/doi/10.1177/0886260517719080" </w:instrText>
      </w:r>
      <w:r>
        <w:fldChar w:fldCharType="separate"/>
      </w:r>
      <w:r>
        <w:rPr>
          <w:rStyle w:val="Hyperlink"/>
        </w:rPr>
        <w:t>Pridemore</w:t>
      </w:r>
      <w:proofErr w:type="spellEnd"/>
      <w:r>
        <w:rPr>
          <w:rStyle w:val="Hyperlink"/>
        </w:rPr>
        <w:t xml:space="preserve"> &amp; Grubesic, 2012</w:t>
      </w:r>
      <w:r>
        <w:fldChar w:fldCharType="end"/>
      </w:r>
      <w:r>
        <w:t>).</w:t>
      </w:r>
    </w:p>
    <w:p w14:paraId="41B460A7" w14:textId="77777777" w:rsidR="00DF5B62" w:rsidRDefault="00DF5B62" w:rsidP="00DF5B62">
      <w:pPr>
        <w:pStyle w:val="NoSpacing"/>
      </w:pPr>
    </w:p>
    <w:p w14:paraId="1B6469A3" w14:textId="76FE4F1B" w:rsidR="00DF5B62" w:rsidRDefault="00DF5B62" w:rsidP="00DF5B62">
      <w:pPr>
        <w:pStyle w:val="NoSpacing"/>
      </w:pPr>
      <w:r>
        <w:t xml:space="preserve">Social disorganization could also matter because of its relationship with neighborhood rates of violence. </w:t>
      </w:r>
      <w:hyperlink r:id="rId52" w:history="1">
        <w:r>
          <w:rPr>
            <w:rStyle w:val="Hyperlink"/>
          </w:rPr>
          <w:t xml:space="preserve">Benson, Fox, </w:t>
        </w:r>
        <w:proofErr w:type="spellStart"/>
        <w:r>
          <w:rPr>
            <w:rStyle w:val="Hyperlink"/>
          </w:rPr>
          <w:t>DeMaris</w:t>
        </w:r>
        <w:proofErr w:type="spellEnd"/>
        <w:r>
          <w:rPr>
            <w:rStyle w:val="Hyperlink"/>
          </w:rPr>
          <w:t xml:space="preserve">, and Van </w:t>
        </w:r>
        <w:proofErr w:type="spellStart"/>
        <w:r>
          <w:rPr>
            <w:rStyle w:val="Hyperlink"/>
          </w:rPr>
          <w:t>Wyk</w:t>
        </w:r>
        <w:proofErr w:type="spellEnd"/>
        <w:r>
          <w:rPr>
            <w:rStyle w:val="Hyperlink"/>
          </w:rPr>
          <w:t xml:space="preserve"> (2003)</w:t>
        </w:r>
      </w:hyperlink>
      <w:r>
        <w:t xml:space="preserve"> studied the association between social disorganization and IPV. They found a stronger relationship in the most disadvantaged neighborhoods, suggesting a concentration of alcohol outlets in such neighborhoods results in greater harm than in socially organized neighborhoods. Disorganized neighborhoods, which may also be neighborhoods with higher concentration of alcohol outlets (</w:t>
      </w:r>
      <w:hyperlink r:id="rId53" w:history="1">
        <w:r>
          <w:rPr>
            <w:rStyle w:val="Hyperlink"/>
          </w:rPr>
          <w:t>Nielsen, Hill, French, &amp; Hernandez, 2010</w:t>
        </w:r>
      </w:hyperlink>
      <w:r>
        <w:t xml:space="preserve">; </w:t>
      </w:r>
      <w:hyperlink r:id="rId54" w:history="1">
        <w:r>
          <w:rPr>
            <w:rStyle w:val="Hyperlink"/>
          </w:rPr>
          <w:t>Snowden, 2016b</w:t>
        </w:r>
      </w:hyperlink>
      <w:r>
        <w:t>), create cognitive landscapes that promote increased alcohol consumption and changes in norms around aggressive behaviors (</w:t>
      </w:r>
      <w:proofErr w:type="spellStart"/>
      <w:r>
        <w:fldChar w:fldCharType="begin"/>
      </w:r>
      <w:r>
        <w:instrText xml:space="preserve"> HYPERLINK "https://journals.sagepub.com/doi/10.1177/0886260517719080" </w:instrText>
      </w:r>
      <w:r>
        <w:fldChar w:fldCharType="separate"/>
      </w:r>
      <w:r>
        <w:rPr>
          <w:rStyle w:val="Hyperlink"/>
        </w:rPr>
        <w:t>Cunradi</w:t>
      </w:r>
      <w:proofErr w:type="spellEnd"/>
      <w:r>
        <w:rPr>
          <w:rStyle w:val="Hyperlink"/>
        </w:rPr>
        <w:t>, 2009</w:t>
      </w:r>
      <w:r>
        <w:fldChar w:fldCharType="end"/>
      </w:r>
      <w:r>
        <w:t>). These neighborhoods also tend to have other characteristics associated with IPV (e.g., unemployment and poverty) that add to the impact of outlets (</w:t>
      </w:r>
      <w:proofErr w:type="spellStart"/>
      <w:r>
        <w:fldChar w:fldCharType="begin"/>
      </w:r>
      <w:r>
        <w:instrText xml:space="preserve"> HYPERLINK "https://journals.sagepub.com/doi/10.1177/0886260517719080" </w:instrText>
      </w:r>
      <w:r>
        <w:fldChar w:fldCharType="separate"/>
      </w:r>
      <w:r>
        <w:rPr>
          <w:rStyle w:val="Hyperlink"/>
        </w:rPr>
        <w:t>Cunradi</w:t>
      </w:r>
      <w:proofErr w:type="spellEnd"/>
      <w:r>
        <w:rPr>
          <w:rStyle w:val="Hyperlink"/>
        </w:rPr>
        <w:t xml:space="preserve">, Mair, </w:t>
      </w:r>
      <w:proofErr w:type="spellStart"/>
      <w:r>
        <w:rPr>
          <w:rStyle w:val="Hyperlink"/>
        </w:rPr>
        <w:t>Ponicki</w:t>
      </w:r>
      <w:proofErr w:type="spellEnd"/>
      <w:r>
        <w:rPr>
          <w:rStyle w:val="Hyperlink"/>
        </w:rPr>
        <w:t>, &amp; Remer, 2011</w:t>
      </w:r>
      <w:r>
        <w:fldChar w:fldCharType="end"/>
      </w:r>
      <w:r>
        <w:t>) so the effect of outlet density on violence may be stronger in disorganized neighborhoods (</w:t>
      </w:r>
      <w:proofErr w:type="spellStart"/>
      <w:r>
        <w:fldChar w:fldCharType="begin"/>
      </w:r>
      <w:r>
        <w:instrText xml:space="preserve"> HYPERLINK "https://journals.sagepub.com/doi/10.1177/0886260517719080" </w:instrText>
      </w:r>
      <w:r>
        <w:fldChar w:fldCharType="separate"/>
      </w:r>
      <w:r>
        <w:rPr>
          <w:rStyle w:val="Hyperlink"/>
        </w:rPr>
        <w:t>Pridemore</w:t>
      </w:r>
      <w:proofErr w:type="spellEnd"/>
      <w:r>
        <w:rPr>
          <w:rStyle w:val="Hyperlink"/>
        </w:rPr>
        <w:t xml:space="preserve"> &amp; Grubesic, 2012</w:t>
      </w:r>
      <w:r>
        <w:fldChar w:fldCharType="end"/>
      </w:r>
      <w:r>
        <w:t>). This interaction effect may occur because disorganized neighborhoods have fewer sources of support for residents experiencing conflict, and norms about intolerance for IPV are not as salient in neighborhoods with low collective efficacy (</w:t>
      </w:r>
      <w:hyperlink r:id="rId55" w:history="1">
        <w:r>
          <w:rPr>
            <w:rStyle w:val="Hyperlink"/>
          </w:rPr>
          <w:t>Browning, 2002</w:t>
        </w:r>
      </w:hyperlink>
      <w:r>
        <w:t>). In addition, off-premise outlets in socially disorganized neighborhoods are more likely to provide large single bottles of refrigerated drinks marketed for immediate consumption (</w:t>
      </w:r>
      <w:proofErr w:type="spellStart"/>
      <w:r>
        <w:fldChar w:fldCharType="begin"/>
      </w:r>
      <w:r>
        <w:instrText xml:space="preserve"> HYPERLINK "https://journals.sagepub.com/doi/10.1177/0886260517719080" </w:instrText>
      </w:r>
      <w:r>
        <w:fldChar w:fldCharType="separate"/>
      </w:r>
      <w:r>
        <w:rPr>
          <w:rStyle w:val="Hyperlink"/>
        </w:rPr>
        <w:t>Cunradi</w:t>
      </w:r>
      <w:proofErr w:type="spellEnd"/>
      <w:r>
        <w:rPr>
          <w:rStyle w:val="Hyperlink"/>
        </w:rPr>
        <w:t>, 2010</w:t>
      </w:r>
      <w:r>
        <w:fldChar w:fldCharType="end"/>
      </w:r>
      <w:r>
        <w:t>) that may influence the amount of alcohol consumed in private settings.</w:t>
      </w:r>
    </w:p>
    <w:p w14:paraId="152DAC22" w14:textId="77777777" w:rsidR="00DF5B62" w:rsidRDefault="00DF5B62" w:rsidP="00DF5B62">
      <w:pPr>
        <w:pStyle w:val="NoSpacing"/>
      </w:pPr>
    </w:p>
    <w:p w14:paraId="763554AC" w14:textId="77777777" w:rsidR="00DF5B62" w:rsidRDefault="00DF5B62" w:rsidP="00DF5B62">
      <w:pPr>
        <w:pStyle w:val="NoSpacing"/>
      </w:pPr>
      <w:r>
        <w:lastRenderedPageBreak/>
        <w:t xml:space="preserve">Research focusing on how social disorganization impacts non-IPV female victimization is limited, but the mechanisms suggested by </w:t>
      </w:r>
      <w:hyperlink r:id="rId56" w:history="1">
        <w:proofErr w:type="spellStart"/>
        <w:r>
          <w:rPr>
            <w:rStyle w:val="Hyperlink"/>
          </w:rPr>
          <w:t>Cunradi</w:t>
        </w:r>
        <w:proofErr w:type="spellEnd"/>
        <w:r>
          <w:rPr>
            <w:rStyle w:val="Hyperlink"/>
          </w:rPr>
          <w:t xml:space="preserve"> (2009)</w:t>
        </w:r>
      </w:hyperlink>
      <w:r>
        <w:t xml:space="preserve"> and </w:t>
      </w:r>
      <w:hyperlink r:id="rId57" w:history="1">
        <w:r>
          <w:rPr>
            <w:rStyle w:val="Hyperlink"/>
          </w:rPr>
          <w:t>Benson et al. (2003)</w:t>
        </w:r>
      </w:hyperlink>
      <w:r>
        <w:t xml:space="preserve"> in relation to IPV may also apply to non-IPV female victimization. Socially disorganized neighborhoods may create more opportunities for violence by providing alcohol-selling establishments that encourage increased alcohol consumption, where norms about consumption and intolerance of IPV encourage such outcomes (</w:t>
      </w:r>
      <w:proofErr w:type="spellStart"/>
      <w:r>
        <w:fldChar w:fldCharType="begin"/>
      </w:r>
      <w:r>
        <w:instrText xml:space="preserve"> HYPERLINK "https://journals.sagepub.com/doi/10.1177/0886260517719080" </w:instrText>
      </w:r>
      <w:r>
        <w:fldChar w:fldCharType="separate"/>
      </w:r>
      <w:r>
        <w:rPr>
          <w:rStyle w:val="Hyperlink"/>
        </w:rPr>
        <w:t>Cunradi</w:t>
      </w:r>
      <w:proofErr w:type="spellEnd"/>
      <w:r>
        <w:rPr>
          <w:rStyle w:val="Hyperlink"/>
        </w:rPr>
        <w:t>, 2009</w:t>
      </w:r>
      <w:r>
        <w:fldChar w:fldCharType="end"/>
      </w:r>
      <w:r>
        <w:t>). In addition, due to high transiency in socially disorganized neighborhoods, neighbors may be less likely to know each other or less likely to intervene in events occurring in their neighborhoods (</w:t>
      </w:r>
      <w:hyperlink r:id="rId58" w:history="1">
        <w:r>
          <w:rPr>
            <w:rStyle w:val="Hyperlink"/>
          </w:rPr>
          <w:t>Shaw &amp; McKay, 1942</w:t>
        </w:r>
      </w:hyperlink>
      <w:r>
        <w:t>). Areas with high outlet density also may create additional flow from nonresidents who likely have little interest in utilizing informal control and serving as capable guardians over events in the area (</w:t>
      </w:r>
      <w:hyperlink r:id="rId59" w:history="1">
        <w:r>
          <w:rPr>
            <w:rStyle w:val="Hyperlink"/>
          </w:rPr>
          <w:t>Sampson, 1986</w:t>
        </w:r>
      </w:hyperlink>
      <w:r>
        <w:t>).</w:t>
      </w:r>
    </w:p>
    <w:p w14:paraId="7835111B" w14:textId="1FE907BF" w:rsidR="00DF5B62" w:rsidRDefault="00DF5B62" w:rsidP="00DF5B62">
      <w:pPr>
        <w:pStyle w:val="NoSpacing"/>
      </w:pPr>
    </w:p>
    <w:p w14:paraId="49DAFBAF" w14:textId="024ADD8C" w:rsidR="008B1B6F" w:rsidRDefault="008B1B6F" w:rsidP="008B1B6F">
      <w:pPr>
        <w:pStyle w:val="Heading2"/>
      </w:pPr>
      <w:r>
        <w:t>Hypotheses</w:t>
      </w:r>
    </w:p>
    <w:p w14:paraId="28A0BB84" w14:textId="77777777" w:rsidR="008B1B6F" w:rsidRPr="008B1B6F" w:rsidRDefault="008B1B6F" w:rsidP="008B1B6F">
      <w:pPr>
        <w:pStyle w:val="NoSpacing"/>
      </w:pPr>
      <w:r w:rsidRPr="008B1B6F">
        <w:t>Given this review of the literature, we tested two main hypotheses:</w:t>
      </w:r>
    </w:p>
    <w:p w14:paraId="394674D8" w14:textId="77777777" w:rsidR="008B1B6F" w:rsidRPr="008B1B6F" w:rsidRDefault="008B1B6F" w:rsidP="008B1B6F">
      <w:pPr>
        <w:pStyle w:val="ListParagraph"/>
        <w:spacing w:after="0"/>
      </w:pPr>
      <w:r w:rsidRPr="008B1B6F">
        <w:rPr>
          <w:b/>
          <w:bCs/>
        </w:rPr>
        <w:t>Hypothesis 1:</w:t>
      </w:r>
      <w:r w:rsidRPr="008B1B6F">
        <w:t xml:space="preserve"> Alcohol outlet density is positively associated with overall female violent victimization rates.</w:t>
      </w:r>
    </w:p>
    <w:p w14:paraId="5EFD5DA8" w14:textId="77777777" w:rsidR="008B1B6F" w:rsidRPr="008B1B6F" w:rsidRDefault="008B1B6F" w:rsidP="008B1B6F">
      <w:pPr>
        <w:pStyle w:val="ListParagraph"/>
        <w:spacing w:after="0"/>
      </w:pPr>
      <w:r w:rsidRPr="008B1B6F">
        <w:rPr>
          <w:b/>
          <w:bCs/>
        </w:rPr>
        <w:t>Hypothesis 2:</w:t>
      </w:r>
      <w:r w:rsidRPr="008B1B6F">
        <w:t xml:space="preserve"> Alcohol outlet density is positively associated with non-IPV female violent victimization rates.</w:t>
      </w:r>
    </w:p>
    <w:p w14:paraId="38FED20B" w14:textId="77777777" w:rsidR="008B1B6F" w:rsidRPr="008B1B6F" w:rsidRDefault="008B1B6F" w:rsidP="008B1B6F">
      <w:pPr>
        <w:pStyle w:val="NoSpacing"/>
      </w:pPr>
      <w:r w:rsidRPr="008B1B6F">
        <w:t>We also carried out further exploratory analyses. While theory and prior research are not strong enough to suggest which may have stronger effects, we tested for differential effects of on- and off-premise alcohol outlet density on overall and non-IPV female violent victimization rates. Finally, to determine whether any effects of on- and off-premise alcohol outlet density on female victimization rates are unique to females or are simply reflecting a more general impact on community violence rates, we tested for effects of alcohol outlet density on male violent victimization rates.</w:t>
      </w:r>
    </w:p>
    <w:p w14:paraId="18C4767D" w14:textId="75E60B14" w:rsidR="008B1B6F" w:rsidRDefault="008B1B6F" w:rsidP="008B1B6F">
      <w:pPr>
        <w:pStyle w:val="Heading1"/>
      </w:pPr>
      <w:r>
        <w:t>Data and Method</w:t>
      </w:r>
    </w:p>
    <w:p w14:paraId="15440238" w14:textId="1957ABCD" w:rsidR="00B729E8" w:rsidRDefault="00B729E8" w:rsidP="00B729E8">
      <w:pPr>
        <w:pStyle w:val="Heading2"/>
      </w:pPr>
      <w:r>
        <w:t>Research Site and Units of Analysis</w:t>
      </w:r>
    </w:p>
    <w:p w14:paraId="61B310AD" w14:textId="142AD70A" w:rsidR="00B729E8" w:rsidRDefault="00B729E8" w:rsidP="00B729E8">
      <w:pPr>
        <w:pStyle w:val="NoSpacing"/>
      </w:pPr>
      <w:r>
        <w:t>Milwaukee, Wisconsin, was the research site for this study. Milwaukee is the largest city in Wisconsin, covering 96 square miles (</w:t>
      </w:r>
      <w:hyperlink r:id="rId60" w:history="1">
        <w:r>
          <w:rPr>
            <w:rStyle w:val="Hyperlink"/>
          </w:rPr>
          <w:t>U.S. Census Bureau, 2014</w:t>
        </w:r>
      </w:hyperlink>
      <w:r>
        <w:t>). Its population of almost 600,000 is ethnically diverse: 40% African American, 37% non-Hispanic or Latino White, 17% Hispanic or Latino, and 3.5% Asian (</w:t>
      </w:r>
      <w:hyperlink r:id="rId61" w:history="1">
        <w:r>
          <w:rPr>
            <w:rStyle w:val="Hyperlink"/>
          </w:rPr>
          <w:t>U.S. Census Bureau, 2014</w:t>
        </w:r>
      </w:hyperlink>
      <w:r>
        <w:t>).</w:t>
      </w:r>
    </w:p>
    <w:p w14:paraId="4A886449" w14:textId="77777777" w:rsidR="00B729E8" w:rsidRDefault="00B729E8" w:rsidP="00B729E8">
      <w:pPr>
        <w:pStyle w:val="NoSpacing"/>
      </w:pPr>
    </w:p>
    <w:p w14:paraId="2D93A4ED" w14:textId="77777777" w:rsidR="00B729E8" w:rsidRDefault="00B729E8" w:rsidP="00B729E8">
      <w:pPr>
        <w:pStyle w:val="NoSpacing"/>
      </w:pPr>
      <w:r>
        <w:t xml:space="preserve">Census block groups within the city of Milwaukee were our units of analysis. We used block groups because they are the smallest and most ecologically meaningful administrative units for approximating neighborhoods. </w:t>
      </w:r>
      <w:hyperlink r:id="rId62" w:history="1">
        <w:r>
          <w:rPr>
            <w:rStyle w:val="Hyperlink"/>
          </w:rPr>
          <w:t xml:space="preserve">Sampson and </w:t>
        </w:r>
        <w:proofErr w:type="spellStart"/>
        <w:r>
          <w:rPr>
            <w:rStyle w:val="Hyperlink"/>
          </w:rPr>
          <w:t>Raudenbush</w:t>
        </w:r>
        <w:proofErr w:type="spellEnd"/>
        <w:r>
          <w:rPr>
            <w:rStyle w:val="Hyperlink"/>
          </w:rPr>
          <w:t xml:space="preserve"> (2004)</w:t>
        </w:r>
      </w:hyperlink>
      <w:r>
        <w:t xml:space="preserve"> and </w:t>
      </w:r>
      <w:hyperlink r:id="rId63" w:history="1">
        <w:r>
          <w:rPr>
            <w:rStyle w:val="Hyperlink"/>
          </w:rPr>
          <w:t>Grannis (1998)</w:t>
        </w:r>
      </w:hyperlink>
      <w:r>
        <w:t xml:space="preserve"> showed block groups adequately reflect the layout of neighborhoods. Moreover, </w:t>
      </w:r>
      <w:hyperlink r:id="rId64" w:history="1">
        <w:r>
          <w:rPr>
            <w:rStyle w:val="Hyperlink"/>
          </w:rPr>
          <w:t xml:space="preserve">Parker and </w:t>
        </w:r>
        <w:proofErr w:type="spellStart"/>
        <w:r>
          <w:rPr>
            <w:rStyle w:val="Hyperlink"/>
          </w:rPr>
          <w:t>Wolz</w:t>
        </w:r>
        <w:proofErr w:type="spellEnd"/>
        <w:r>
          <w:rPr>
            <w:rStyle w:val="Hyperlink"/>
          </w:rPr>
          <w:t xml:space="preserve"> (1979)</w:t>
        </w:r>
      </w:hyperlink>
      <w:r>
        <w:t xml:space="preserve"> argued alcohol outlet density is related to locations small enough to be influenced by varying population structure and geographical stratification (</w:t>
      </w:r>
      <w:hyperlink r:id="rId65" w:history="1">
        <w:r>
          <w:rPr>
            <w:rStyle w:val="Hyperlink"/>
          </w:rPr>
          <w:t xml:space="preserve">Britt, Carlin, Toomey, &amp; </w:t>
        </w:r>
        <w:proofErr w:type="spellStart"/>
        <w:r>
          <w:rPr>
            <w:rStyle w:val="Hyperlink"/>
          </w:rPr>
          <w:t>Wagenaar</w:t>
        </w:r>
        <w:proofErr w:type="spellEnd"/>
        <w:r>
          <w:rPr>
            <w:rStyle w:val="Hyperlink"/>
          </w:rPr>
          <w:t>, 2005</w:t>
        </w:r>
      </w:hyperlink>
      <w:r>
        <w:t>). This is important because using larger units (e.g., zip codes, cities, states) may obscure the fundamental nature of outlet density (</w:t>
      </w:r>
      <w:hyperlink r:id="rId66" w:history="1">
        <w:r>
          <w:rPr>
            <w:rStyle w:val="Hyperlink"/>
          </w:rPr>
          <w:t xml:space="preserve">Parker &amp; </w:t>
        </w:r>
        <w:proofErr w:type="spellStart"/>
        <w:r>
          <w:rPr>
            <w:rStyle w:val="Hyperlink"/>
          </w:rPr>
          <w:t>Wolz</w:t>
        </w:r>
        <w:proofErr w:type="spellEnd"/>
        <w:r>
          <w:rPr>
            <w:rStyle w:val="Hyperlink"/>
          </w:rPr>
          <w:t>, 1979</w:t>
        </w:r>
      </w:hyperlink>
      <w:r>
        <w:t>) and increase the likelihood of aggregation bias.</w:t>
      </w:r>
    </w:p>
    <w:p w14:paraId="53668E2B" w14:textId="6D7C3390" w:rsidR="00B729E8" w:rsidRDefault="00B729E8" w:rsidP="00B729E8">
      <w:pPr>
        <w:pStyle w:val="NoSpacing"/>
      </w:pPr>
    </w:p>
    <w:p w14:paraId="50D2FC7E" w14:textId="3BCE9A44" w:rsidR="00B729E8" w:rsidRPr="00B729E8" w:rsidRDefault="00B729E8" w:rsidP="00B729E8">
      <w:pPr>
        <w:pStyle w:val="Heading2"/>
      </w:pPr>
      <w:r>
        <w:t>Dependent Variables</w:t>
      </w:r>
    </w:p>
    <w:p w14:paraId="030CBEAD" w14:textId="4281D754" w:rsidR="00B729E8" w:rsidRDefault="00B729E8" w:rsidP="00B729E8">
      <w:pPr>
        <w:pStyle w:val="NoSpacing"/>
      </w:pPr>
      <w:r>
        <w:t>The Milwaukee Police Department provided us with individual-level criminal incident data from January 2013 until December 2014. Data included incident number, district number, incident date, National Incident-Based Reporting System (NIBRS) offense code, NIBRS offense code description, crime category (i.e., violent, property, or other), offense sequence number, personal record number, person involvement (i.e., arrested, suspect, or victim), victim sex, if it was a domestic violence incident (i.e., yes, no, or null), incident address, and location type.</w:t>
      </w:r>
    </w:p>
    <w:p w14:paraId="0A2E8464" w14:textId="77777777" w:rsidR="00B729E8" w:rsidRDefault="00B729E8" w:rsidP="00B729E8">
      <w:pPr>
        <w:pStyle w:val="NoSpacing"/>
      </w:pPr>
    </w:p>
    <w:p w14:paraId="1AFBA1FB" w14:textId="77777777" w:rsidR="00B729E8" w:rsidRDefault="00B729E8" w:rsidP="00B729E8">
      <w:pPr>
        <w:pStyle w:val="NoSpacing"/>
      </w:pPr>
      <w:r>
        <w:t xml:space="preserve">We used these data to create four dependent variables: (a) overall female violent victimization, (b) female non-IPV violent victimization, (c) overall male violent victimization, and (d) male non-IPV violent victimization. Violent </w:t>
      </w:r>
      <w:r>
        <w:lastRenderedPageBreak/>
        <w:t>victimization included aggravated assault, nonnegligent murder, and robbery. We classified non-IPV violent victimization as the crimes in which the victim was not victimized in the course of a domestic violence incident. These incidents were geocoded using the City of Milwaukee geolocator and resulted in over 99% successful match for each of these variables. The data were subsequently aggregated to census block groups using data on spatial location. These raw counts were standardized by census block group land area. Finally, we took the square root of the rates per square mile to address skewed distributions (and this transformation worked better than using a log base 10 function).</w:t>
      </w:r>
    </w:p>
    <w:p w14:paraId="103595B5" w14:textId="35999FC2" w:rsidR="00B729E8" w:rsidRDefault="00B729E8" w:rsidP="00B729E8">
      <w:pPr>
        <w:pStyle w:val="NoSpacing"/>
      </w:pPr>
    </w:p>
    <w:p w14:paraId="6192AE7D" w14:textId="57DFA28E" w:rsidR="00B729E8" w:rsidRDefault="00B729E8" w:rsidP="00B729E8">
      <w:pPr>
        <w:pStyle w:val="Heading2"/>
      </w:pPr>
      <w:r>
        <w:t>Main Independent Variables</w:t>
      </w:r>
    </w:p>
    <w:p w14:paraId="396C0B03" w14:textId="06872F95" w:rsidR="000E75C5" w:rsidRDefault="000E75C5" w:rsidP="000E75C5">
      <w:pPr>
        <w:pStyle w:val="NoSpacing"/>
      </w:pPr>
      <w:r>
        <w:t>Wisconsin Department of Revenue provided us with data on active alcohol outlet licenses for fiscal year 2013/2014. These data included license address, which we geocoded using the City of Milwaukee geolocator with a 99.7% successful match. We queried the data for alcohol outlet type, which allowed us to disaggregate into on- and off-premise alcohol outlets. We aggregated these data to census block groups based on spatial location and we divided these raw counts by census block group land area to create density per square mile. We corrected for skewed distributions of each of these densities using a log base 10 function (which resulted in the most acceptable reduction of the skewness value relative to alternative transformations).</w:t>
      </w:r>
    </w:p>
    <w:p w14:paraId="0B3920C1" w14:textId="77777777" w:rsidR="000E75C5" w:rsidRPr="000E75C5" w:rsidRDefault="000E75C5" w:rsidP="000E75C5">
      <w:pPr>
        <w:pStyle w:val="NoSpacing"/>
      </w:pPr>
    </w:p>
    <w:p w14:paraId="4DB4F66B" w14:textId="29AA3361" w:rsidR="00B729E8" w:rsidRDefault="00B729E8" w:rsidP="000E75C5">
      <w:pPr>
        <w:pStyle w:val="Heading2"/>
      </w:pPr>
      <w:r>
        <w:t>Control Variables</w:t>
      </w:r>
    </w:p>
    <w:p w14:paraId="16FBC44E" w14:textId="3CDDCCE9" w:rsidR="000E75C5" w:rsidRDefault="000E75C5" w:rsidP="000E75C5">
      <w:pPr>
        <w:pStyle w:val="NoSpacing"/>
      </w:pPr>
      <w:r>
        <w:t>We obtained socioeconomic data from the 2013 U.S. Census Bureau American Community Survey 5-year estimate database. We followed the social disorganization framework (</w:t>
      </w:r>
      <w:hyperlink r:id="rId67" w:history="1">
        <w:r>
          <w:rPr>
            <w:rStyle w:val="Hyperlink"/>
          </w:rPr>
          <w:t>Sampson et al., 1997</w:t>
        </w:r>
      </w:hyperlink>
      <w:r>
        <w:t xml:space="preserve">) and created four scales to capture social disorganization, including (a) Concentrated Affluence, (b) Concentrated Disadvantage, (c) Cultural Heterogeneity, and (d) Residential Stability. The first scale, Concentrated Affluence (α = .85), consisted of percent of adults with college education or beyond, percent of professionals and managers among those in the civilian labor force, and percent of families with incomes &gt;US$75,000. The second scale, Concentrated Disadvantage (α = .62), included percent African American, percent of households on public assistance, percent unemployed, and percent living below poverty line. The third scale, Cultural Heterogeneity (α = .75), was comprised of percent Hispanic or Latino and percent foreign-born. The last scale, Residential Stability (α = .67), included percent living in the same house 1 year prior and percent owner-occupied housing units. The distributions of these factors were </w:t>
      </w:r>
      <w:proofErr w:type="gramStart"/>
      <w:r>
        <w:t>skewed</w:t>
      </w:r>
      <w:proofErr w:type="gramEnd"/>
      <w:r>
        <w:t xml:space="preserve"> and we transformed them using log base 10 function (which resulted in the most acceptable reduction of the skewness values).</w:t>
      </w:r>
    </w:p>
    <w:p w14:paraId="240AE08F" w14:textId="77777777" w:rsidR="000E75C5" w:rsidRDefault="000E75C5" w:rsidP="000E75C5">
      <w:pPr>
        <w:pStyle w:val="NoSpacing"/>
      </w:pPr>
    </w:p>
    <w:p w14:paraId="53A6B0E9" w14:textId="77777777" w:rsidR="000E75C5" w:rsidRDefault="000E75C5" w:rsidP="000E75C5">
      <w:pPr>
        <w:pStyle w:val="NoSpacing"/>
      </w:pPr>
      <w:r>
        <w:t>Following routine activities theory (</w:t>
      </w:r>
      <w:hyperlink r:id="rId68" w:history="1">
        <w:r>
          <w:rPr>
            <w:rStyle w:val="Hyperlink"/>
          </w:rPr>
          <w:t>Cohen &amp; Felson, 1979</w:t>
        </w:r>
      </w:hyperlink>
      <w:r>
        <w:t xml:space="preserve">) and in line with prior work in this area (e.g., </w:t>
      </w:r>
      <w:hyperlink r:id="rId69" w:history="1">
        <w:proofErr w:type="spellStart"/>
        <w:r>
          <w:rPr>
            <w:rStyle w:val="Hyperlink"/>
          </w:rPr>
          <w:t>Freisthler</w:t>
        </w:r>
        <w:proofErr w:type="spellEnd"/>
        <w:r>
          <w:rPr>
            <w:rStyle w:val="Hyperlink"/>
          </w:rPr>
          <w:t xml:space="preserve">, </w:t>
        </w:r>
        <w:proofErr w:type="spellStart"/>
        <w:r>
          <w:rPr>
            <w:rStyle w:val="Hyperlink"/>
          </w:rPr>
          <w:t>Midanik</w:t>
        </w:r>
        <w:proofErr w:type="spellEnd"/>
        <w:r>
          <w:rPr>
            <w:rStyle w:val="Hyperlink"/>
          </w:rPr>
          <w:t>, &amp; Gruenewald, 2004</w:t>
        </w:r>
      </w:hyperlink>
      <w:r>
        <w:t xml:space="preserve">), we controlled for population density and percent vacant housing units to account for greater availability of vulnerable victims in block groups where population density is higher and reduced guardianship where percent vacant housing units is higher. The data were </w:t>
      </w:r>
      <w:proofErr w:type="gramStart"/>
      <w:r>
        <w:t>skewed</w:t>
      </w:r>
      <w:proofErr w:type="gramEnd"/>
      <w:r>
        <w:t xml:space="preserve"> and we transformed them using a square root function that yielded the most appropriate reduction in the skewness values.</w:t>
      </w:r>
    </w:p>
    <w:p w14:paraId="0181CA9D" w14:textId="77777777" w:rsidR="000E75C5" w:rsidRPr="000E75C5" w:rsidRDefault="000E75C5" w:rsidP="000E75C5">
      <w:pPr>
        <w:pStyle w:val="NoSpacing"/>
      </w:pPr>
    </w:p>
    <w:p w14:paraId="48F5E962" w14:textId="167F3508" w:rsidR="00B729E8" w:rsidRDefault="00B729E8" w:rsidP="000E75C5">
      <w:pPr>
        <w:pStyle w:val="Heading2"/>
      </w:pPr>
      <w:r>
        <w:t>Analytic Strategy</w:t>
      </w:r>
    </w:p>
    <w:p w14:paraId="665F6761" w14:textId="350A2CAB" w:rsidR="000E75C5" w:rsidRDefault="000E75C5" w:rsidP="000E75C5">
      <w:pPr>
        <w:pStyle w:val="NoSpacing"/>
      </w:pPr>
      <w:r>
        <w:t xml:space="preserve">We used IBM SPSS software to test if the control variables exhibited an underlying latent structure; ESRI ArcGIS software to clean, manage, and geocode data; and </w:t>
      </w:r>
      <w:proofErr w:type="spellStart"/>
      <w:r>
        <w:t>GeoDa</w:t>
      </w:r>
      <w:proofErr w:type="spellEnd"/>
      <w:r>
        <w:t xml:space="preserve"> Space software to estimate two-stage least squares spatially lagged regression models, which allowed us to control for spatial autocorrelation of dependent variables across neighboring block groups. To identify the spatial influence of neighboring census block groups on the dependent variable, we estimated spatial regression models with a first-order queen contiguity spatial weight matrix. We chose the contiguity spatial weight matrix because the units of analysis (i.e., census block groups) are arranged in a grid-like manner. We used first-order queen contiguity because we wanted to allow for equal influence of neighboring crime levels on our units of analysis.</w:t>
      </w:r>
    </w:p>
    <w:p w14:paraId="62607463" w14:textId="77777777" w:rsidR="000E75C5" w:rsidRDefault="000E75C5" w:rsidP="000E75C5">
      <w:pPr>
        <w:pStyle w:val="NoSpacing"/>
      </w:pPr>
    </w:p>
    <w:p w14:paraId="750DD4F8" w14:textId="295DD2C2" w:rsidR="000E75C5" w:rsidRDefault="000E75C5" w:rsidP="000E75C5">
      <w:pPr>
        <w:pStyle w:val="NoSpacing"/>
      </w:pPr>
      <w:r>
        <w:lastRenderedPageBreak/>
        <w:t>Spatially informed regression models are appropriate in this context because our dependent variables contain spatially referenced data. Spatial autocorrelation diagnostics indicated the violence levels in one unit of analysis were influenced by the processes from neighboring units, indicating spatial autocorrelation in the dependent variables. This is because spatially distributed data (e.g., locations of female violent victimization) generally exhibit patterned variation, or spatial autocorrelation, so that those data points closer together in space are more likely to have similar characteristics than those that further apart (</w:t>
      </w:r>
      <w:hyperlink r:id="rId70" w:history="1">
        <w:r>
          <w:rPr>
            <w:rStyle w:val="Hyperlink"/>
          </w:rPr>
          <w:t>Tobler, 1970</w:t>
        </w:r>
      </w:hyperlink>
      <w:r>
        <w:t>). Once spatial autocorrelation was identified, we controlled for the effect of this nuisance on parameter estimates (</w:t>
      </w:r>
      <w:proofErr w:type="spellStart"/>
      <w:r>
        <w:fldChar w:fldCharType="begin"/>
      </w:r>
      <w:r>
        <w:instrText xml:space="preserve"> HYPERLINK "https://journals.sagepub.com/doi/10.1177/0886260517719080" </w:instrText>
      </w:r>
      <w:r>
        <w:fldChar w:fldCharType="separate"/>
      </w:r>
      <w:r>
        <w:rPr>
          <w:rStyle w:val="Hyperlink"/>
        </w:rPr>
        <w:t>Anselin</w:t>
      </w:r>
      <w:proofErr w:type="spellEnd"/>
      <w:r>
        <w:rPr>
          <w:rStyle w:val="Hyperlink"/>
        </w:rPr>
        <w:t>, 1988</w:t>
      </w:r>
      <w:r>
        <w:fldChar w:fldCharType="end"/>
      </w:r>
      <w:r>
        <w:t xml:space="preserve">; </w:t>
      </w:r>
      <w:hyperlink r:id="rId71" w:history="1">
        <w:proofErr w:type="spellStart"/>
        <w:r>
          <w:rPr>
            <w:rStyle w:val="Hyperlink"/>
          </w:rPr>
          <w:t>Anselin</w:t>
        </w:r>
        <w:proofErr w:type="spellEnd"/>
        <w:r>
          <w:rPr>
            <w:rStyle w:val="Hyperlink"/>
          </w:rPr>
          <w:t xml:space="preserve"> &amp; </w:t>
        </w:r>
        <w:proofErr w:type="spellStart"/>
        <w:r>
          <w:rPr>
            <w:rStyle w:val="Hyperlink"/>
          </w:rPr>
          <w:t>Bera</w:t>
        </w:r>
        <w:proofErr w:type="spellEnd"/>
        <w:r>
          <w:rPr>
            <w:rStyle w:val="Hyperlink"/>
          </w:rPr>
          <w:t>, 1998</w:t>
        </w:r>
      </w:hyperlink>
      <w:r>
        <w:t>) by adding a term for it (Rho) to the models.</w:t>
      </w:r>
    </w:p>
    <w:p w14:paraId="0F6B1952" w14:textId="77777777" w:rsidR="000E75C5" w:rsidRDefault="000E75C5" w:rsidP="000E75C5">
      <w:pPr>
        <w:pStyle w:val="NoSpacing"/>
      </w:pPr>
    </w:p>
    <w:p w14:paraId="29222C54" w14:textId="1AB72526" w:rsidR="00B729E8" w:rsidRPr="00B729E8" w:rsidRDefault="000E75C5" w:rsidP="000E75C5">
      <w:pPr>
        <w:pStyle w:val="NoSpacing"/>
      </w:pPr>
      <w:r>
        <w:t xml:space="preserve">We carried out four sets of analyses. The first two examined female violent victimization and female non-IPV violent victimization density. The last two examined male violent victimization and male non-IPV violent victimization density. Given theoretical expectations, all </w:t>
      </w:r>
      <w:r>
        <w:rPr>
          <w:i/>
          <w:iCs/>
        </w:rPr>
        <w:t>p</w:t>
      </w:r>
      <w:r>
        <w:t xml:space="preserve"> values were for one-tailed tests.</w:t>
      </w:r>
    </w:p>
    <w:p w14:paraId="0675438D" w14:textId="248B5481" w:rsidR="001D11AB" w:rsidRDefault="001D11AB" w:rsidP="001D11AB">
      <w:pPr>
        <w:pStyle w:val="Heading1"/>
      </w:pPr>
      <w:r>
        <w:t>Results</w:t>
      </w:r>
    </w:p>
    <w:p w14:paraId="421624B9" w14:textId="7D248D00" w:rsidR="001D11AB" w:rsidRDefault="008F6D8D" w:rsidP="001D11AB">
      <w:pPr>
        <w:pStyle w:val="NoSpacing"/>
      </w:pPr>
      <w:hyperlink r:id="rId72" w:history="1">
        <w:r w:rsidR="002F68F9">
          <w:rPr>
            <w:rStyle w:val="Hyperlink"/>
          </w:rPr>
          <w:t>Table 1</w:t>
        </w:r>
      </w:hyperlink>
      <w:r w:rsidR="002F68F9">
        <w:t xml:space="preserve"> shows results of principal components analysis with one varimax rotation of the social disorganization variables. These results show control variables followed the social disorganization framework well, as evident in loadings and separations into each factor.</w:t>
      </w:r>
    </w:p>
    <w:p w14:paraId="7E422378" w14:textId="4A57B724" w:rsidR="002F68F9" w:rsidRDefault="002F68F9" w:rsidP="001D11AB">
      <w:pPr>
        <w:pStyle w:val="NoSpacing"/>
      </w:pPr>
    </w:p>
    <w:p w14:paraId="2219C65B" w14:textId="7E1A76D9" w:rsidR="002F68F9" w:rsidRDefault="002F68F9" w:rsidP="002F68F9">
      <w:pPr>
        <w:pStyle w:val="NoSpacing"/>
      </w:pPr>
      <w:r>
        <w:rPr>
          <w:rFonts w:ascii="GillSansStd-Bold" w:hAnsi="GillSansStd-Bold" w:cs="GillSansStd-Bold"/>
          <w:b/>
          <w:bCs/>
        </w:rPr>
        <w:t xml:space="preserve">Table 1. </w:t>
      </w:r>
      <w:r>
        <w:t xml:space="preserve">Factor Loadings of Census Variables </w:t>
      </w:r>
      <w:proofErr w:type="gramStart"/>
      <w:r>
        <w:t>Into</w:t>
      </w:r>
      <w:proofErr w:type="gramEnd"/>
      <w:r>
        <w:t xml:space="preserve"> Four Factors.</w:t>
      </w:r>
    </w:p>
    <w:p w14:paraId="652458A7" w14:textId="77777777" w:rsidR="002F68F9" w:rsidRPr="002F68F9" w:rsidRDefault="002F68F9" w:rsidP="002F68F9">
      <w:pPr>
        <w:pStyle w:val="NoSpacing"/>
      </w:pPr>
    </w:p>
    <w:tbl>
      <w:tblPr>
        <w:tblStyle w:val="TableGridLight"/>
        <w:tblW w:w="0" w:type="auto"/>
        <w:tblLook w:val="0020" w:firstRow="1" w:lastRow="0" w:firstColumn="0" w:lastColumn="0" w:noHBand="0" w:noVBand="0"/>
      </w:tblPr>
      <w:tblGrid>
        <w:gridCol w:w="4282"/>
        <w:gridCol w:w="791"/>
        <w:gridCol w:w="716"/>
        <w:gridCol w:w="716"/>
        <w:gridCol w:w="716"/>
      </w:tblGrid>
      <w:tr w:rsidR="005501FC" w:rsidRPr="002F68F9" w14:paraId="286E0220" w14:textId="77777777" w:rsidTr="0029206A">
        <w:trPr>
          <w:trHeight w:val="283"/>
        </w:trPr>
        <w:tc>
          <w:tcPr>
            <w:tcW w:w="0" w:type="auto"/>
          </w:tcPr>
          <w:p w14:paraId="3E69DFB3" w14:textId="77777777" w:rsidR="005501FC" w:rsidRPr="002F68F9" w:rsidRDefault="005501FC" w:rsidP="005501FC">
            <w:pPr>
              <w:pStyle w:val="NoSpacing"/>
            </w:pPr>
          </w:p>
        </w:tc>
        <w:tc>
          <w:tcPr>
            <w:tcW w:w="0" w:type="auto"/>
          </w:tcPr>
          <w:p w14:paraId="7EB7B87B" w14:textId="72831132" w:rsidR="005501FC" w:rsidRPr="002F68F9" w:rsidRDefault="005501FC" w:rsidP="005501FC">
            <w:pPr>
              <w:pStyle w:val="NoSpacing"/>
              <w:rPr>
                <w:b/>
                <w:bCs/>
              </w:rPr>
            </w:pPr>
            <w:r w:rsidRPr="002F68F9">
              <w:rPr>
                <w:b/>
                <w:bCs/>
              </w:rPr>
              <w:t>Factor</w:t>
            </w:r>
          </w:p>
        </w:tc>
        <w:tc>
          <w:tcPr>
            <w:tcW w:w="0" w:type="auto"/>
          </w:tcPr>
          <w:p w14:paraId="2956FF84" w14:textId="4A5425F9" w:rsidR="005501FC" w:rsidRPr="0002511F" w:rsidRDefault="005501FC" w:rsidP="005501FC">
            <w:pPr>
              <w:pStyle w:val="NoSpacing"/>
              <w:rPr>
                <w:b/>
                <w:bCs/>
              </w:rPr>
            </w:pPr>
          </w:p>
        </w:tc>
        <w:tc>
          <w:tcPr>
            <w:tcW w:w="0" w:type="auto"/>
          </w:tcPr>
          <w:p w14:paraId="692D3A72" w14:textId="1ED69676" w:rsidR="005501FC" w:rsidRPr="002F68F9" w:rsidRDefault="005501FC" w:rsidP="005501FC">
            <w:pPr>
              <w:pStyle w:val="NoSpacing"/>
              <w:rPr>
                <w:b/>
                <w:bCs/>
              </w:rPr>
            </w:pPr>
          </w:p>
        </w:tc>
        <w:tc>
          <w:tcPr>
            <w:tcW w:w="0" w:type="auto"/>
          </w:tcPr>
          <w:p w14:paraId="072819AF" w14:textId="77777777" w:rsidR="005501FC" w:rsidRPr="002F68F9" w:rsidRDefault="005501FC" w:rsidP="005501FC">
            <w:pPr>
              <w:pStyle w:val="NoSpacing"/>
              <w:rPr>
                <w:b/>
                <w:bCs/>
              </w:rPr>
            </w:pPr>
          </w:p>
        </w:tc>
      </w:tr>
      <w:tr w:rsidR="005501FC" w:rsidRPr="002F68F9" w14:paraId="0EF1C0F4" w14:textId="77777777" w:rsidTr="0029206A">
        <w:trPr>
          <w:trHeight w:val="355"/>
        </w:trPr>
        <w:tc>
          <w:tcPr>
            <w:tcW w:w="0" w:type="auto"/>
          </w:tcPr>
          <w:p w14:paraId="1F545E44" w14:textId="77777777" w:rsidR="005501FC" w:rsidRPr="002F68F9" w:rsidRDefault="005501FC" w:rsidP="005501FC">
            <w:pPr>
              <w:pStyle w:val="NoSpacing"/>
            </w:pPr>
          </w:p>
        </w:tc>
        <w:tc>
          <w:tcPr>
            <w:tcW w:w="0" w:type="auto"/>
          </w:tcPr>
          <w:p w14:paraId="02B12BFA" w14:textId="77777777" w:rsidR="005501FC" w:rsidRPr="002F68F9" w:rsidRDefault="005501FC" w:rsidP="005501FC">
            <w:pPr>
              <w:pStyle w:val="NoSpacing"/>
              <w:rPr>
                <w:b/>
                <w:bCs/>
              </w:rPr>
            </w:pPr>
            <w:r w:rsidRPr="002F68F9">
              <w:rPr>
                <w:b/>
                <w:bCs/>
              </w:rPr>
              <w:t>1</w:t>
            </w:r>
          </w:p>
        </w:tc>
        <w:tc>
          <w:tcPr>
            <w:tcW w:w="0" w:type="auto"/>
          </w:tcPr>
          <w:p w14:paraId="66DB5636" w14:textId="72EC2BCB" w:rsidR="005501FC" w:rsidRPr="0002511F" w:rsidRDefault="005501FC" w:rsidP="005501FC">
            <w:pPr>
              <w:pStyle w:val="NoSpacing"/>
              <w:rPr>
                <w:b/>
                <w:bCs/>
              </w:rPr>
            </w:pPr>
            <w:r w:rsidRPr="002F68F9">
              <w:rPr>
                <w:b/>
                <w:bCs/>
              </w:rPr>
              <w:t xml:space="preserve">2 </w:t>
            </w:r>
          </w:p>
        </w:tc>
        <w:tc>
          <w:tcPr>
            <w:tcW w:w="0" w:type="auto"/>
          </w:tcPr>
          <w:p w14:paraId="61F0BE0E" w14:textId="6958F2D2" w:rsidR="005501FC" w:rsidRPr="002F68F9" w:rsidRDefault="005501FC" w:rsidP="005501FC">
            <w:pPr>
              <w:pStyle w:val="NoSpacing"/>
              <w:rPr>
                <w:b/>
                <w:bCs/>
              </w:rPr>
            </w:pPr>
            <w:r w:rsidRPr="002F68F9">
              <w:rPr>
                <w:b/>
                <w:bCs/>
              </w:rPr>
              <w:t>3</w:t>
            </w:r>
          </w:p>
        </w:tc>
        <w:tc>
          <w:tcPr>
            <w:tcW w:w="0" w:type="auto"/>
          </w:tcPr>
          <w:p w14:paraId="6BB80DAE" w14:textId="77777777" w:rsidR="005501FC" w:rsidRPr="002F68F9" w:rsidRDefault="005501FC" w:rsidP="005501FC">
            <w:pPr>
              <w:pStyle w:val="NoSpacing"/>
              <w:rPr>
                <w:b/>
                <w:bCs/>
              </w:rPr>
            </w:pPr>
            <w:r w:rsidRPr="002F68F9">
              <w:rPr>
                <w:b/>
                <w:bCs/>
              </w:rPr>
              <w:t>4</w:t>
            </w:r>
          </w:p>
        </w:tc>
      </w:tr>
      <w:tr w:rsidR="005501FC" w:rsidRPr="002F68F9" w14:paraId="441090F9" w14:textId="77777777" w:rsidTr="0029206A">
        <w:trPr>
          <w:trHeight w:val="285"/>
        </w:trPr>
        <w:tc>
          <w:tcPr>
            <w:tcW w:w="0" w:type="auto"/>
          </w:tcPr>
          <w:p w14:paraId="6B84041D" w14:textId="77777777" w:rsidR="005501FC" w:rsidRPr="002F68F9" w:rsidRDefault="005501FC" w:rsidP="005501FC">
            <w:pPr>
              <w:pStyle w:val="NoSpacing"/>
            </w:pPr>
            <w:r w:rsidRPr="002F68F9">
              <w:t>Percent of adults with college education</w:t>
            </w:r>
          </w:p>
        </w:tc>
        <w:tc>
          <w:tcPr>
            <w:tcW w:w="0" w:type="auto"/>
          </w:tcPr>
          <w:p w14:paraId="429EC492" w14:textId="77777777" w:rsidR="005501FC" w:rsidRPr="002F68F9" w:rsidRDefault="005501FC" w:rsidP="005501FC">
            <w:pPr>
              <w:pStyle w:val="NoSpacing"/>
            </w:pPr>
            <w:r w:rsidRPr="002F68F9">
              <w:t>.888</w:t>
            </w:r>
          </w:p>
        </w:tc>
        <w:tc>
          <w:tcPr>
            <w:tcW w:w="0" w:type="auto"/>
          </w:tcPr>
          <w:p w14:paraId="22D8DA74" w14:textId="36A40035" w:rsidR="005501FC" w:rsidRPr="002F68F9" w:rsidRDefault="005501FC" w:rsidP="005501FC">
            <w:pPr>
              <w:pStyle w:val="NoSpacing"/>
            </w:pPr>
            <w:r w:rsidRPr="002F68F9">
              <w:t xml:space="preserve">−.270 </w:t>
            </w:r>
          </w:p>
        </w:tc>
        <w:tc>
          <w:tcPr>
            <w:tcW w:w="0" w:type="auto"/>
          </w:tcPr>
          <w:p w14:paraId="5FE7EE94" w14:textId="4CA8C865" w:rsidR="005501FC" w:rsidRPr="002F68F9" w:rsidRDefault="005501FC" w:rsidP="005501FC">
            <w:pPr>
              <w:pStyle w:val="NoSpacing"/>
            </w:pPr>
            <w:r w:rsidRPr="002F68F9">
              <w:t>−.078</w:t>
            </w:r>
          </w:p>
        </w:tc>
        <w:tc>
          <w:tcPr>
            <w:tcW w:w="0" w:type="auto"/>
          </w:tcPr>
          <w:p w14:paraId="5FB87FED" w14:textId="77777777" w:rsidR="005501FC" w:rsidRPr="002F68F9" w:rsidRDefault="005501FC" w:rsidP="005501FC">
            <w:pPr>
              <w:pStyle w:val="NoSpacing"/>
            </w:pPr>
            <w:r w:rsidRPr="002F68F9">
              <w:t>−.101</w:t>
            </w:r>
          </w:p>
        </w:tc>
      </w:tr>
      <w:tr w:rsidR="005501FC" w:rsidRPr="002F68F9" w14:paraId="17EF812C" w14:textId="77777777" w:rsidTr="0029206A">
        <w:trPr>
          <w:trHeight w:val="219"/>
        </w:trPr>
        <w:tc>
          <w:tcPr>
            <w:tcW w:w="0" w:type="auto"/>
          </w:tcPr>
          <w:p w14:paraId="4A966D2F" w14:textId="77777777" w:rsidR="005501FC" w:rsidRPr="002F68F9" w:rsidRDefault="005501FC" w:rsidP="005501FC">
            <w:pPr>
              <w:pStyle w:val="NoSpacing"/>
            </w:pPr>
            <w:r w:rsidRPr="002F68F9">
              <w:t>Percent of professionals and managers</w:t>
            </w:r>
          </w:p>
        </w:tc>
        <w:tc>
          <w:tcPr>
            <w:tcW w:w="0" w:type="auto"/>
          </w:tcPr>
          <w:p w14:paraId="07E77DEB" w14:textId="77777777" w:rsidR="005501FC" w:rsidRPr="002F68F9" w:rsidRDefault="005501FC" w:rsidP="005501FC">
            <w:pPr>
              <w:pStyle w:val="NoSpacing"/>
            </w:pPr>
            <w:r w:rsidRPr="002F68F9">
              <w:t>.854</w:t>
            </w:r>
          </w:p>
        </w:tc>
        <w:tc>
          <w:tcPr>
            <w:tcW w:w="0" w:type="auto"/>
          </w:tcPr>
          <w:p w14:paraId="60505476" w14:textId="136B71F8" w:rsidR="005501FC" w:rsidRPr="002F68F9" w:rsidRDefault="005501FC" w:rsidP="005501FC">
            <w:pPr>
              <w:pStyle w:val="NoSpacing"/>
            </w:pPr>
            <w:r w:rsidRPr="002F68F9">
              <w:t xml:space="preserve">−.132 </w:t>
            </w:r>
          </w:p>
        </w:tc>
        <w:tc>
          <w:tcPr>
            <w:tcW w:w="0" w:type="auto"/>
          </w:tcPr>
          <w:p w14:paraId="56D64BAE" w14:textId="1BFFE254" w:rsidR="005501FC" w:rsidRPr="002F68F9" w:rsidRDefault="005501FC" w:rsidP="005501FC">
            <w:pPr>
              <w:pStyle w:val="NoSpacing"/>
            </w:pPr>
            <w:r w:rsidRPr="002F68F9">
              <w:t>−.245</w:t>
            </w:r>
          </w:p>
        </w:tc>
        <w:tc>
          <w:tcPr>
            <w:tcW w:w="0" w:type="auto"/>
          </w:tcPr>
          <w:p w14:paraId="76222B99" w14:textId="77777777" w:rsidR="005501FC" w:rsidRPr="002F68F9" w:rsidRDefault="005501FC" w:rsidP="005501FC">
            <w:pPr>
              <w:pStyle w:val="NoSpacing"/>
            </w:pPr>
            <w:r w:rsidRPr="002F68F9">
              <w:t>.058</w:t>
            </w:r>
          </w:p>
        </w:tc>
      </w:tr>
      <w:tr w:rsidR="005501FC" w:rsidRPr="002F68F9" w14:paraId="55386496" w14:textId="77777777" w:rsidTr="0029206A">
        <w:trPr>
          <w:trHeight w:val="220"/>
        </w:trPr>
        <w:tc>
          <w:tcPr>
            <w:tcW w:w="0" w:type="auto"/>
          </w:tcPr>
          <w:p w14:paraId="5A3B40BC" w14:textId="77777777" w:rsidR="005501FC" w:rsidRPr="002F68F9" w:rsidRDefault="005501FC" w:rsidP="005501FC">
            <w:pPr>
              <w:pStyle w:val="NoSpacing"/>
            </w:pPr>
            <w:r w:rsidRPr="002F68F9">
              <w:t>among those in the civilian labor force</w:t>
            </w:r>
          </w:p>
        </w:tc>
        <w:tc>
          <w:tcPr>
            <w:tcW w:w="0" w:type="auto"/>
          </w:tcPr>
          <w:p w14:paraId="2E2F5EA4" w14:textId="77777777" w:rsidR="005501FC" w:rsidRPr="002F68F9" w:rsidRDefault="005501FC" w:rsidP="005501FC">
            <w:pPr>
              <w:pStyle w:val="NoSpacing"/>
            </w:pPr>
          </w:p>
        </w:tc>
        <w:tc>
          <w:tcPr>
            <w:tcW w:w="0" w:type="auto"/>
          </w:tcPr>
          <w:p w14:paraId="09B40B89" w14:textId="77777777" w:rsidR="005501FC" w:rsidRPr="002F68F9" w:rsidRDefault="005501FC" w:rsidP="005501FC">
            <w:pPr>
              <w:pStyle w:val="NoSpacing"/>
            </w:pPr>
          </w:p>
        </w:tc>
        <w:tc>
          <w:tcPr>
            <w:tcW w:w="0" w:type="auto"/>
          </w:tcPr>
          <w:p w14:paraId="6A4E7418" w14:textId="4C8E49DA" w:rsidR="005501FC" w:rsidRPr="002F68F9" w:rsidRDefault="005501FC" w:rsidP="005501FC">
            <w:pPr>
              <w:pStyle w:val="NoSpacing"/>
            </w:pPr>
          </w:p>
        </w:tc>
        <w:tc>
          <w:tcPr>
            <w:tcW w:w="0" w:type="auto"/>
          </w:tcPr>
          <w:p w14:paraId="5EC8B799" w14:textId="77777777" w:rsidR="005501FC" w:rsidRPr="002F68F9" w:rsidRDefault="005501FC" w:rsidP="005501FC">
            <w:pPr>
              <w:pStyle w:val="NoSpacing"/>
            </w:pPr>
          </w:p>
        </w:tc>
      </w:tr>
      <w:tr w:rsidR="005501FC" w:rsidRPr="002F68F9" w14:paraId="06A7DB6E" w14:textId="77777777" w:rsidTr="0029206A">
        <w:trPr>
          <w:trHeight w:val="219"/>
        </w:trPr>
        <w:tc>
          <w:tcPr>
            <w:tcW w:w="0" w:type="auto"/>
          </w:tcPr>
          <w:p w14:paraId="6F77BFEE" w14:textId="77777777" w:rsidR="005501FC" w:rsidRPr="002F68F9" w:rsidRDefault="005501FC" w:rsidP="005501FC">
            <w:pPr>
              <w:pStyle w:val="NoSpacing"/>
            </w:pPr>
            <w:r w:rsidRPr="002F68F9">
              <w:t>Percent of families with incomes higher than</w:t>
            </w:r>
          </w:p>
        </w:tc>
        <w:tc>
          <w:tcPr>
            <w:tcW w:w="0" w:type="auto"/>
          </w:tcPr>
          <w:p w14:paraId="600B0DD0" w14:textId="77777777" w:rsidR="005501FC" w:rsidRPr="002F68F9" w:rsidRDefault="005501FC" w:rsidP="005501FC">
            <w:pPr>
              <w:pStyle w:val="NoSpacing"/>
            </w:pPr>
            <w:r w:rsidRPr="002F68F9">
              <w:t>.685</w:t>
            </w:r>
          </w:p>
        </w:tc>
        <w:tc>
          <w:tcPr>
            <w:tcW w:w="0" w:type="auto"/>
          </w:tcPr>
          <w:p w14:paraId="231DC43F" w14:textId="77777777" w:rsidR="005501FC" w:rsidRPr="002F68F9" w:rsidRDefault="005501FC" w:rsidP="005501FC">
            <w:pPr>
              <w:pStyle w:val="NoSpacing"/>
            </w:pPr>
            <w:r w:rsidRPr="002F68F9">
              <w:t>−.332</w:t>
            </w:r>
          </w:p>
        </w:tc>
        <w:tc>
          <w:tcPr>
            <w:tcW w:w="0" w:type="auto"/>
          </w:tcPr>
          <w:p w14:paraId="47FE7D01" w14:textId="77777777" w:rsidR="005501FC" w:rsidRPr="002F68F9" w:rsidRDefault="005501FC" w:rsidP="005501FC">
            <w:pPr>
              <w:pStyle w:val="NoSpacing"/>
            </w:pPr>
            <w:r w:rsidRPr="002F68F9">
              <w:t>−.034</w:t>
            </w:r>
          </w:p>
        </w:tc>
        <w:tc>
          <w:tcPr>
            <w:tcW w:w="0" w:type="auto"/>
          </w:tcPr>
          <w:p w14:paraId="090E5A38" w14:textId="77777777" w:rsidR="005501FC" w:rsidRPr="002F68F9" w:rsidRDefault="005501FC" w:rsidP="005501FC">
            <w:pPr>
              <w:pStyle w:val="NoSpacing"/>
            </w:pPr>
            <w:r w:rsidRPr="002F68F9">
              <w:t>.428</w:t>
            </w:r>
          </w:p>
        </w:tc>
      </w:tr>
      <w:tr w:rsidR="005501FC" w:rsidRPr="002F68F9" w14:paraId="5456C220" w14:textId="77777777" w:rsidTr="0029206A">
        <w:trPr>
          <w:trHeight w:val="220"/>
        </w:trPr>
        <w:tc>
          <w:tcPr>
            <w:tcW w:w="0" w:type="auto"/>
          </w:tcPr>
          <w:p w14:paraId="7099D091" w14:textId="77777777" w:rsidR="005501FC" w:rsidRPr="002F68F9" w:rsidRDefault="005501FC" w:rsidP="005501FC">
            <w:pPr>
              <w:pStyle w:val="NoSpacing"/>
            </w:pPr>
            <w:r w:rsidRPr="002F68F9">
              <w:t>US$75,000</w:t>
            </w:r>
          </w:p>
        </w:tc>
        <w:tc>
          <w:tcPr>
            <w:tcW w:w="0" w:type="auto"/>
          </w:tcPr>
          <w:p w14:paraId="57E34110" w14:textId="77777777" w:rsidR="005501FC" w:rsidRPr="002F68F9" w:rsidRDefault="005501FC" w:rsidP="005501FC">
            <w:pPr>
              <w:pStyle w:val="NoSpacing"/>
            </w:pPr>
          </w:p>
        </w:tc>
        <w:tc>
          <w:tcPr>
            <w:tcW w:w="0" w:type="auto"/>
          </w:tcPr>
          <w:p w14:paraId="4443DC5A" w14:textId="77777777" w:rsidR="005501FC" w:rsidRPr="002F68F9" w:rsidRDefault="005501FC" w:rsidP="005501FC">
            <w:pPr>
              <w:pStyle w:val="NoSpacing"/>
            </w:pPr>
          </w:p>
        </w:tc>
        <w:tc>
          <w:tcPr>
            <w:tcW w:w="0" w:type="auto"/>
          </w:tcPr>
          <w:p w14:paraId="7A6944DB" w14:textId="77777777" w:rsidR="005501FC" w:rsidRPr="002F68F9" w:rsidRDefault="005501FC" w:rsidP="005501FC">
            <w:pPr>
              <w:pStyle w:val="NoSpacing"/>
            </w:pPr>
          </w:p>
        </w:tc>
        <w:tc>
          <w:tcPr>
            <w:tcW w:w="0" w:type="auto"/>
          </w:tcPr>
          <w:p w14:paraId="33836F6F" w14:textId="77777777" w:rsidR="005501FC" w:rsidRPr="002F68F9" w:rsidRDefault="005501FC" w:rsidP="005501FC">
            <w:pPr>
              <w:pStyle w:val="NoSpacing"/>
            </w:pPr>
          </w:p>
        </w:tc>
      </w:tr>
      <w:tr w:rsidR="005501FC" w:rsidRPr="002F68F9" w14:paraId="6156C878" w14:textId="77777777" w:rsidTr="0029206A">
        <w:trPr>
          <w:trHeight w:val="229"/>
        </w:trPr>
        <w:tc>
          <w:tcPr>
            <w:tcW w:w="0" w:type="auto"/>
          </w:tcPr>
          <w:p w14:paraId="1F62266F" w14:textId="77777777" w:rsidR="005501FC" w:rsidRPr="002F68F9" w:rsidRDefault="005501FC" w:rsidP="005501FC">
            <w:pPr>
              <w:pStyle w:val="NoSpacing"/>
            </w:pPr>
            <w:r w:rsidRPr="002F68F9">
              <w:t>Percent female-headed families with children</w:t>
            </w:r>
          </w:p>
        </w:tc>
        <w:tc>
          <w:tcPr>
            <w:tcW w:w="0" w:type="auto"/>
          </w:tcPr>
          <w:p w14:paraId="13693DE1" w14:textId="77777777" w:rsidR="005501FC" w:rsidRPr="002F68F9" w:rsidRDefault="005501FC" w:rsidP="005501FC">
            <w:pPr>
              <w:pStyle w:val="NoSpacing"/>
            </w:pPr>
            <w:r w:rsidRPr="002F68F9">
              <w:t>−.508</w:t>
            </w:r>
          </w:p>
        </w:tc>
        <w:tc>
          <w:tcPr>
            <w:tcW w:w="0" w:type="auto"/>
          </w:tcPr>
          <w:p w14:paraId="47779424" w14:textId="77777777" w:rsidR="005501FC" w:rsidRPr="002F68F9" w:rsidRDefault="005501FC" w:rsidP="005501FC">
            <w:pPr>
              <w:pStyle w:val="NoSpacing"/>
            </w:pPr>
            <w:r w:rsidRPr="002F68F9">
              <w:t>.422</w:t>
            </w:r>
          </w:p>
        </w:tc>
        <w:tc>
          <w:tcPr>
            <w:tcW w:w="0" w:type="auto"/>
          </w:tcPr>
          <w:p w14:paraId="517AF3C8" w14:textId="77777777" w:rsidR="005501FC" w:rsidRPr="002F68F9" w:rsidRDefault="005501FC" w:rsidP="005501FC">
            <w:pPr>
              <w:pStyle w:val="NoSpacing"/>
            </w:pPr>
            <w:r w:rsidRPr="002F68F9">
              <w:t>−.450</w:t>
            </w:r>
          </w:p>
        </w:tc>
        <w:tc>
          <w:tcPr>
            <w:tcW w:w="0" w:type="auto"/>
          </w:tcPr>
          <w:p w14:paraId="74E71D2A" w14:textId="77777777" w:rsidR="005501FC" w:rsidRPr="002F68F9" w:rsidRDefault="005501FC" w:rsidP="005501FC">
            <w:pPr>
              <w:pStyle w:val="NoSpacing"/>
            </w:pPr>
            <w:r w:rsidRPr="002F68F9">
              <w:t>−.196</w:t>
            </w:r>
          </w:p>
        </w:tc>
      </w:tr>
      <w:tr w:rsidR="005501FC" w:rsidRPr="002F68F9" w14:paraId="7EA9D1F5" w14:textId="77777777" w:rsidTr="0029206A">
        <w:trPr>
          <w:trHeight w:val="230"/>
        </w:trPr>
        <w:tc>
          <w:tcPr>
            <w:tcW w:w="0" w:type="auto"/>
          </w:tcPr>
          <w:p w14:paraId="5955994E" w14:textId="77777777" w:rsidR="005501FC" w:rsidRPr="002F68F9" w:rsidRDefault="005501FC" w:rsidP="005501FC">
            <w:pPr>
              <w:pStyle w:val="NoSpacing"/>
            </w:pPr>
            <w:r w:rsidRPr="002F68F9">
              <w:t>Percent Hispanic or Latino</w:t>
            </w:r>
          </w:p>
        </w:tc>
        <w:tc>
          <w:tcPr>
            <w:tcW w:w="0" w:type="auto"/>
          </w:tcPr>
          <w:p w14:paraId="43E72CE3" w14:textId="77777777" w:rsidR="005501FC" w:rsidRPr="002F68F9" w:rsidRDefault="005501FC" w:rsidP="005501FC">
            <w:pPr>
              <w:pStyle w:val="NoSpacing"/>
            </w:pPr>
            <w:r w:rsidRPr="002F68F9">
              <w:t>−.244</w:t>
            </w:r>
          </w:p>
        </w:tc>
        <w:tc>
          <w:tcPr>
            <w:tcW w:w="0" w:type="auto"/>
          </w:tcPr>
          <w:p w14:paraId="16B1DB5B" w14:textId="77777777" w:rsidR="005501FC" w:rsidRPr="002F68F9" w:rsidRDefault="005501FC" w:rsidP="005501FC">
            <w:pPr>
              <w:pStyle w:val="NoSpacing"/>
            </w:pPr>
            <w:r w:rsidRPr="002F68F9">
              <w:t>.084</w:t>
            </w:r>
          </w:p>
        </w:tc>
        <w:tc>
          <w:tcPr>
            <w:tcW w:w="0" w:type="auto"/>
          </w:tcPr>
          <w:p w14:paraId="4038F233" w14:textId="77777777" w:rsidR="005501FC" w:rsidRPr="002F68F9" w:rsidRDefault="005501FC" w:rsidP="005501FC">
            <w:pPr>
              <w:pStyle w:val="NoSpacing"/>
            </w:pPr>
            <w:r w:rsidRPr="002F68F9">
              <w:t>.903</w:t>
            </w:r>
          </w:p>
        </w:tc>
        <w:tc>
          <w:tcPr>
            <w:tcW w:w="0" w:type="auto"/>
          </w:tcPr>
          <w:p w14:paraId="63B05495" w14:textId="77777777" w:rsidR="005501FC" w:rsidRPr="002F68F9" w:rsidRDefault="005501FC" w:rsidP="005501FC">
            <w:pPr>
              <w:pStyle w:val="NoSpacing"/>
            </w:pPr>
            <w:r w:rsidRPr="002F68F9">
              <w:t>−.014</w:t>
            </w:r>
          </w:p>
        </w:tc>
      </w:tr>
      <w:tr w:rsidR="005501FC" w:rsidRPr="002F68F9" w14:paraId="531442C9" w14:textId="77777777" w:rsidTr="0029206A">
        <w:trPr>
          <w:trHeight w:val="230"/>
        </w:trPr>
        <w:tc>
          <w:tcPr>
            <w:tcW w:w="0" w:type="auto"/>
          </w:tcPr>
          <w:p w14:paraId="53E8B18B" w14:textId="77777777" w:rsidR="005501FC" w:rsidRPr="002F68F9" w:rsidRDefault="005501FC" w:rsidP="005501FC">
            <w:pPr>
              <w:pStyle w:val="NoSpacing"/>
            </w:pPr>
            <w:r w:rsidRPr="002F68F9">
              <w:t>Percent foreign-born</w:t>
            </w:r>
          </w:p>
        </w:tc>
        <w:tc>
          <w:tcPr>
            <w:tcW w:w="0" w:type="auto"/>
          </w:tcPr>
          <w:p w14:paraId="20EFFFFC" w14:textId="77777777" w:rsidR="005501FC" w:rsidRPr="002F68F9" w:rsidRDefault="005501FC" w:rsidP="005501FC">
            <w:pPr>
              <w:pStyle w:val="NoSpacing"/>
            </w:pPr>
            <w:r w:rsidRPr="002F68F9">
              <w:t>−.160</w:t>
            </w:r>
          </w:p>
        </w:tc>
        <w:tc>
          <w:tcPr>
            <w:tcW w:w="0" w:type="auto"/>
          </w:tcPr>
          <w:p w14:paraId="323C1BE6" w14:textId="77777777" w:rsidR="005501FC" w:rsidRPr="002F68F9" w:rsidRDefault="005501FC" w:rsidP="005501FC">
            <w:pPr>
              <w:pStyle w:val="NoSpacing"/>
            </w:pPr>
            <w:r w:rsidRPr="002F68F9">
              <w:t>−.011</w:t>
            </w:r>
          </w:p>
        </w:tc>
        <w:tc>
          <w:tcPr>
            <w:tcW w:w="0" w:type="auto"/>
          </w:tcPr>
          <w:p w14:paraId="4707069E" w14:textId="77777777" w:rsidR="005501FC" w:rsidRPr="002F68F9" w:rsidRDefault="005501FC" w:rsidP="005501FC">
            <w:pPr>
              <w:pStyle w:val="NoSpacing"/>
            </w:pPr>
            <w:r w:rsidRPr="002F68F9">
              <w:t>.898</w:t>
            </w:r>
          </w:p>
        </w:tc>
        <w:tc>
          <w:tcPr>
            <w:tcW w:w="0" w:type="auto"/>
          </w:tcPr>
          <w:p w14:paraId="7395C0D9" w14:textId="77777777" w:rsidR="005501FC" w:rsidRPr="002F68F9" w:rsidRDefault="005501FC" w:rsidP="005501FC">
            <w:pPr>
              <w:pStyle w:val="NoSpacing"/>
            </w:pPr>
            <w:r w:rsidRPr="002F68F9">
              <w:t>−.043</w:t>
            </w:r>
          </w:p>
        </w:tc>
      </w:tr>
      <w:tr w:rsidR="005501FC" w:rsidRPr="002F68F9" w14:paraId="2689D466" w14:textId="77777777" w:rsidTr="0029206A">
        <w:trPr>
          <w:trHeight w:val="230"/>
        </w:trPr>
        <w:tc>
          <w:tcPr>
            <w:tcW w:w="0" w:type="auto"/>
          </w:tcPr>
          <w:p w14:paraId="4B52FFE5" w14:textId="77777777" w:rsidR="005501FC" w:rsidRPr="002F68F9" w:rsidRDefault="005501FC" w:rsidP="005501FC">
            <w:pPr>
              <w:pStyle w:val="NoSpacing"/>
            </w:pPr>
            <w:r w:rsidRPr="002F68F9">
              <w:t>Percent African American</w:t>
            </w:r>
          </w:p>
        </w:tc>
        <w:tc>
          <w:tcPr>
            <w:tcW w:w="0" w:type="auto"/>
          </w:tcPr>
          <w:p w14:paraId="4A2FDD17" w14:textId="77777777" w:rsidR="005501FC" w:rsidRPr="002F68F9" w:rsidRDefault="005501FC" w:rsidP="005501FC">
            <w:pPr>
              <w:pStyle w:val="NoSpacing"/>
            </w:pPr>
            <w:r w:rsidRPr="002F68F9">
              <w:t>−.490</w:t>
            </w:r>
          </w:p>
        </w:tc>
        <w:tc>
          <w:tcPr>
            <w:tcW w:w="0" w:type="auto"/>
          </w:tcPr>
          <w:p w14:paraId="2941A096" w14:textId="77777777" w:rsidR="005501FC" w:rsidRPr="002F68F9" w:rsidRDefault="005501FC" w:rsidP="005501FC">
            <w:pPr>
              <w:pStyle w:val="NoSpacing"/>
            </w:pPr>
            <w:r w:rsidRPr="002F68F9">
              <w:t>.356</w:t>
            </w:r>
          </w:p>
        </w:tc>
        <w:tc>
          <w:tcPr>
            <w:tcW w:w="0" w:type="auto"/>
          </w:tcPr>
          <w:p w14:paraId="55BA5D2D" w14:textId="77777777" w:rsidR="005501FC" w:rsidRPr="002F68F9" w:rsidRDefault="005501FC" w:rsidP="005501FC">
            <w:pPr>
              <w:pStyle w:val="NoSpacing"/>
            </w:pPr>
            <w:r w:rsidRPr="002F68F9">
              <w:t>−.703</w:t>
            </w:r>
          </w:p>
        </w:tc>
        <w:tc>
          <w:tcPr>
            <w:tcW w:w="0" w:type="auto"/>
          </w:tcPr>
          <w:p w14:paraId="69957A83" w14:textId="77777777" w:rsidR="005501FC" w:rsidRPr="002F68F9" w:rsidRDefault="005501FC" w:rsidP="005501FC">
            <w:pPr>
              <w:pStyle w:val="NoSpacing"/>
            </w:pPr>
            <w:r w:rsidRPr="002F68F9">
              <w:t>−.077</w:t>
            </w:r>
          </w:p>
        </w:tc>
      </w:tr>
      <w:tr w:rsidR="005501FC" w:rsidRPr="002F68F9" w14:paraId="7EE14659" w14:textId="77777777" w:rsidTr="0029206A">
        <w:trPr>
          <w:trHeight w:val="230"/>
        </w:trPr>
        <w:tc>
          <w:tcPr>
            <w:tcW w:w="0" w:type="auto"/>
          </w:tcPr>
          <w:p w14:paraId="10A61A9C" w14:textId="77777777" w:rsidR="005501FC" w:rsidRPr="002F68F9" w:rsidRDefault="005501FC" w:rsidP="005501FC">
            <w:pPr>
              <w:pStyle w:val="NoSpacing"/>
            </w:pPr>
            <w:r w:rsidRPr="002F68F9">
              <w:t>Percent of households on public assistance</w:t>
            </w:r>
          </w:p>
        </w:tc>
        <w:tc>
          <w:tcPr>
            <w:tcW w:w="0" w:type="auto"/>
          </w:tcPr>
          <w:p w14:paraId="4F578612" w14:textId="77777777" w:rsidR="005501FC" w:rsidRPr="002F68F9" w:rsidRDefault="005501FC" w:rsidP="005501FC">
            <w:pPr>
              <w:pStyle w:val="NoSpacing"/>
            </w:pPr>
            <w:r w:rsidRPr="002F68F9">
              <w:t>−.112</w:t>
            </w:r>
          </w:p>
        </w:tc>
        <w:tc>
          <w:tcPr>
            <w:tcW w:w="0" w:type="auto"/>
          </w:tcPr>
          <w:p w14:paraId="6BBF519A" w14:textId="77777777" w:rsidR="005501FC" w:rsidRPr="002F68F9" w:rsidRDefault="005501FC" w:rsidP="005501FC">
            <w:pPr>
              <w:pStyle w:val="NoSpacing"/>
            </w:pPr>
            <w:r w:rsidRPr="002F68F9">
              <w:t>.884</w:t>
            </w:r>
          </w:p>
        </w:tc>
        <w:tc>
          <w:tcPr>
            <w:tcW w:w="0" w:type="auto"/>
          </w:tcPr>
          <w:p w14:paraId="25AA84D2" w14:textId="77777777" w:rsidR="005501FC" w:rsidRPr="002F68F9" w:rsidRDefault="005501FC" w:rsidP="005501FC">
            <w:pPr>
              <w:pStyle w:val="NoSpacing"/>
            </w:pPr>
            <w:r w:rsidRPr="002F68F9">
              <w:t>.006</w:t>
            </w:r>
          </w:p>
        </w:tc>
        <w:tc>
          <w:tcPr>
            <w:tcW w:w="0" w:type="auto"/>
          </w:tcPr>
          <w:p w14:paraId="19B63A24" w14:textId="77777777" w:rsidR="005501FC" w:rsidRPr="002F68F9" w:rsidRDefault="005501FC" w:rsidP="005501FC">
            <w:pPr>
              <w:pStyle w:val="NoSpacing"/>
            </w:pPr>
            <w:r w:rsidRPr="002F68F9">
              <w:t>−.002</w:t>
            </w:r>
          </w:p>
        </w:tc>
      </w:tr>
      <w:tr w:rsidR="005501FC" w:rsidRPr="002F68F9" w14:paraId="2BDCE0C9" w14:textId="77777777" w:rsidTr="0029206A">
        <w:trPr>
          <w:trHeight w:val="230"/>
        </w:trPr>
        <w:tc>
          <w:tcPr>
            <w:tcW w:w="0" w:type="auto"/>
          </w:tcPr>
          <w:p w14:paraId="2354CB48" w14:textId="77777777" w:rsidR="005501FC" w:rsidRPr="002F68F9" w:rsidRDefault="005501FC" w:rsidP="005501FC">
            <w:pPr>
              <w:pStyle w:val="NoSpacing"/>
            </w:pPr>
            <w:r w:rsidRPr="002F68F9">
              <w:t>Percent unemployed</w:t>
            </w:r>
          </w:p>
        </w:tc>
        <w:tc>
          <w:tcPr>
            <w:tcW w:w="0" w:type="auto"/>
          </w:tcPr>
          <w:p w14:paraId="070741E1" w14:textId="77777777" w:rsidR="005501FC" w:rsidRPr="002F68F9" w:rsidRDefault="005501FC" w:rsidP="005501FC">
            <w:pPr>
              <w:pStyle w:val="NoSpacing"/>
            </w:pPr>
            <w:r w:rsidRPr="002F68F9">
              <w:t>−.413</w:t>
            </w:r>
          </w:p>
        </w:tc>
        <w:tc>
          <w:tcPr>
            <w:tcW w:w="0" w:type="auto"/>
          </w:tcPr>
          <w:p w14:paraId="3C771B79" w14:textId="77777777" w:rsidR="005501FC" w:rsidRPr="002F68F9" w:rsidRDefault="005501FC" w:rsidP="005501FC">
            <w:pPr>
              <w:pStyle w:val="NoSpacing"/>
            </w:pPr>
            <w:r w:rsidRPr="002F68F9">
              <w:t>.670</w:t>
            </w:r>
          </w:p>
        </w:tc>
        <w:tc>
          <w:tcPr>
            <w:tcW w:w="0" w:type="auto"/>
          </w:tcPr>
          <w:p w14:paraId="4065B66A" w14:textId="77777777" w:rsidR="005501FC" w:rsidRPr="002F68F9" w:rsidRDefault="005501FC" w:rsidP="005501FC">
            <w:pPr>
              <w:pStyle w:val="NoSpacing"/>
            </w:pPr>
            <w:r w:rsidRPr="002F68F9">
              <w:t>−.129</w:t>
            </w:r>
          </w:p>
        </w:tc>
        <w:tc>
          <w:tcPr>
            <w:tcW w:w="0" w:type="auto"/>
          </w:tcPr>
          <w:p w14:paraId="1913E8F6" w14:textId="77777777" w:rsidR="005501FC" w:rsidRPr="002F68F9" w:rsidRDefault="005501FC" w:rsidP="005501FC">
            <w:pPr>
              <w:pStyle w:val="NoSpacing"/>
            </w:pPr>
            <w:r w:rsidRPr="002F68F9">
              <w:t>−.110</w:t>
            </w:r>
          </w:p>
        </w:tc>
      </w:tr>
      <w:tr w:rsidR="005501FC" w:rsidRPr="002F68F9" w14:paraId="7FF2F95C" w14:textId="77777777" w:rsidTr="0029206A">
        <w:trPr>
          <w:trHeight w:val="230"/>
        </w:trPr>
        <w:tc>
          <w:tcPr>
            <w:tcW w:w="0" w:type="auto"/>
          </w:tcPr>
          <w:p w14:paraId="53A85A6E" w14:textId="77777777" w:rsidR="005501FC" w:rsidRPr="002F68F9" w:rsidRDefault="005501FC" w:rsidP="005501FC">
            <w:pPr>
              <w:pStyle w:val="NoSpacing"/>
            </w:pPr>
            <w:r w:rsidRPr="002F68F9">
              <w:t>Percent living below poverty line</w:t>
            </w:r>
          </w:p>
        </w:tc>
        <w:tc>
          <w:tcPr>
            <w:tcW w:w="0" w:type="auto"/>
          </w:tcPr>
          <w:p w14:paraId="7CA21EE0" w14:textId="77777777" w:rsidR="005501FC" w:rsidRPr="002F68F9" w:rsidRDefault="005501FC" w:rsidP="005501FC">
            <w:pPr>
              <w:pStyle w:val="NoSpacing"/>
            </w:pPr>
            <w:r w:rsidRPr="002F68F9">
              <w:t>−.452</w:t>
            </w:r>
          </w:p>
        </w:tc>
        <w:tc>
          <w:tcPr>
            <w:tcW w:w="0" w:type="auto"/>
          </w:tcPr>
          <w:p w14:paraId="72876D4F" w14:textId="77777777" w:rsidR="005501FC" w:rsidRPr="002F68F9" w:rsidRDefault="005501FC" w:rsidP="005501FC">
            <w:pPr>
              <w:pStyle w:val="NoSpacing"/>
            </w:pPr>
            <w:r w:rsidRPr="002F68F9">
              <w:t>.621</w:t>
            </w:r>
          </w:p>
        </w:tc>
        <w:tc>
          <w:tcPr>
            <w:tcW w:w="0" w:type="auto"/>
          </w:tcPr>
          <w:p w14:paraId="50796C4E" w14:textId="77777777" w:rsidR="005501FC" w:rsidRPr="002F68F9" w:rsidRDefault="005501FC" w:rsidP="005501FC">
            <w:pPr>
              <w:pStyle w:val="NoSpacing"/>
            </w:pPr>
            <w:r w:rsidRPr="002F68F9">
              <w:t>.021</w:t>
            </w:r>
          </w:p>
        </w:tc>
        <w:tc>
          <w:tcPr>
            <w:tcW w:w="0" w:type="auto"/>
          </w:tcPr>
          <w:p w14:paraId="5D3CC8DF" w14:textId="77777777" w:rsidR="005501FC" w:rsidRPr="002F68F9" w:rsidRDefault="005501FC" w:rsidP="005501FC">
            <w:pPr>
              <w:pStyle w:val="NoSpacing"/>
            </w:pPr>
            <w:r w:rsidRPr="002F68F9">
              <w:t>−.383</w:t>
            </w:r>
          </w:p>
        </w:tc>
      </w:tr>
      <w:tr w:rsidR="005501FC" w:rsidRPr="002F68F9" w14:paraId="21697AB3" w14:textId="77777777" w:rsidTr="0029206A">
        <w:trPr>
          <w:trHeight w:val="230"/>
        </w:trPr>
        <w:tc>
          <w:tcPr>
            <w:tcW w:w="0" w:type="auto"/>
          </w:tcPr>
          <w:p w14:paraId="27554346" w14:textId="77777777" w:rsidR="005501FC" w:rsidRPr="002F68F9" w:rsidRDefault="005501FC" w:rsidP="005501FC">
            <w:pPr>
              <w:pStyle w:val="NoSpacing"/>
            </w:pPr>
            <w:r w:rsidRPr="002F68F9">
              <w:t>Percent living in same house 1 year ago</w:t>
            </w:r>
          </w:p>
        </w:tc>
        <w:tc>
          <w:tcPr>
            <w:tcW w:w="0" w:type="auto"/>
          </w:tcPr>
          <w:p w14:paraId="0D0289DB" w14:textId="77777777" w:rsidR="005501FC" w:rsidRPr="002F68F9" w:rsidRDefault="005501FC" w:rsidP="005501FC">
            <w:pPr>
              <w:pStyle w:val="NoSpacing"/>
            </w:pPr>
            <w:r w:rsidRPr="002F68F9">
              <w:t>−.054</w:t>
            </w:r>
          </w:p>
        </w:tc>
        <w:tc>
          <w:tcPr>
            <w:tcW w:w="0" w:type="auto"/>
          </w:tcPr>
          <w:p w14:paraId="356F5D97" w14:textId="77777777" w:rsidR="005501FC" w:rsidRPr="002F68F9" w:rsidRDefault="005501FC" w:rsidP="005501FC">
            <w:pPr>
              <w:pStyle w:val="NoSpacing"/>
            </w:pPr>
            <w:r w:rsidRPr="002F68F9">
              <w:t>.074</w:t>
            </w:r>
          </w:p>
        </w:tc>
        <w:tc>
          <w:tcPr>
            <w:tcW w:w="0" w:type="auto"/>
          </w:tcPr>
          <w:p w14:paraId="0C664B31" w14:textId="77777777" w:rsidR="005501FC" w:rsidRPr="002F68F9" w:rsidRDefault="005501FC" w:rsidP="005501FC">
            <w:pPr>
              <w:pStyle w:val="NoSpacing"/>
            </w:pPr>
            <w:r w:rsidRPr="002F68F9">
              <w:t>.070</w:t>
            </w:r>
          </w:p>
        </w:tc>
        <w:tc>
          <w:tcPr>
            <w:tcW w:w="0" w:type="auto"/>
          </w:tcPr>
          <w:p w14:paraId="4B5F4867" w14:textId="77777777" w:rsidR="005501FC" w:rsidRPr="002F68F9" w:rsidRDefault="005501FC" w:rsidP="005501FC">
            <w:pPr>
              <w:pStyle w:val="NoSpacing"/>
            </w:pPr>
            <w:r w:rsidRPr="002F68F9">
              <w:t>.890</w:t>
            </w:r>
          </w:p>
        </w:tc>
      </w:tr>
      <w:tr w:rsidR="005501FC" w:rsidRPr="002F68F9" w14:paraId="7B34FECD" w14:textId="77777777" w:rsidTr="0029206A">
        <w:trPr>
          <w:trHeight w:val="289"/>
        </w:trPr>
        <w:tc>
          <w:tcPr>
            <w:tcW w:w="0" w:type="auto"/>
          </w:tcPr>
          <w:p w14:paraId="6694F25A" w14:textId="77777777" w:rsidR="005501FC" w:rsidRPr="002F68F9" w:rsidRDefault="005501FC" w:rsidP="005501FC">
            <w:pPr>
              <w:pStyle w:val="NoSpacing"/>
            </w:pPr>
            <w:r w:rsidRPr="002F68F9">
              <w:t>Percent owner-occupied housing units</w:t>
            </w:r>
          </w:p>
        </w:tc>
        <w:tc>
          <w:tcPr>
            <w:tcW w:w="0" w:type="auto"/>
          </w:tcPr>
          <w:p w14:paraId="7B2251EA" w14:textId="77777777" w:rsidR="005501FC" w:rsidRPr="002F68F9" w:rsidRDefault="005501FC" w:rsidP="005501FC">
            <w:pPr>
              <w:pStyle w:val="NoSpacing"/>
            </w:pPr>
            <w:r w:rsidRPr="002F68F9">
              <w:t>.184</w:t>
            </w:r>
          </w:p>
        </w:tc>
        <w:tc>
          <w:tcPr>
            <w:tcW w:w="0" w:type="auto"/>
          </w:tcPr>
          <w:p w14:paraId="6EAD7B6F" w14:textId="77777777" w:rsidR="005501FC" w:rsidRPr="002F68F9" w:rsidRDefault="005501FC" w:rsidP="005501FC">
            <w:pPr>
              <w:pStyle w:val="NoSpacing"/>
            </w:pPr>
            <w:r w:rsidRPr="002F68F9">
              <w:t>−.304</w:t>
            </w:r>
          </w:p>
        </w:tc>
        <w:tc>
          <w:tcPr>
            <w:tcW w:w="0" w:type="auto"/>
          </w:tcPr>
          <w:p w14:paraId="1065543A" w14:textId="77777777" w:rsidR="005501FC" w:rsidRPr="002F68F9" w:rsidRDefault="005501FC" w:rsidP="005501FC">
            <w:pPr>
              <w:pStyle w:val="NoSpacing"/>
            </w:pPr>
            <w:r w:rsidRPr="002F68F9">
              <w:t>−.079</w:t>
            </w:r>
          </w:p>
        </w:tc>
        <w:tc>
          <w:tcPr>
            <w:tcW w:w="0" w:type="auto"/>
          </w:tcPr>
          <w:p w14:paraId="1A5CF523" w14:textId="77777777" w:rsidR="005501FC" w:rsidRPr="002F68F9" w:rsidRDefault="005501FC" w:rsidP="005501FC">
            <w:pPr>
              <w:pStyle w:val="NoSpacing"/>
            </w:pPr>
            <w:r w:rsidRPr="002F68F9">
              <w:t>.838</w:t>
            </w:r>
          </w:p>
        </w:tc>
      </w:tr>
    </w:tbl>
    <w:p w14:paraId="584E4BCE" w14:textId="146847AC" w:rsidR="002F68F9" w:rsidRDefault="002F68F9" w:rsidP="002F68F9">
      <w:pPr>
        <w:pStyle w:val="NoSpacing"/>
      </w:pPr>
    </w:p>
    <w:p w14:paraId="7F923BBE" w14:textId="29817EBA" w:rsidR="0002511F" w:rsidRDefault="008F6D8D" w:rsidP="0002511F">
      <w:pPr>
        <w:pStyle w:val="NoSpacing"/>
      </w:pPr>
      <w:hyperlink r:id="rId73" w:history="1">
        <w:r w:rsidR="0002511F">
          <w:rPr>
            <w:rStyle w:val="Hyperlink"/>
          </w:rPr>
          <w:t>Tables 2</w:t>
        </w:r>
      </w:hyperlink>
      <w:r w:rsidR="0002511F">
        <w:t xml:space="preserve"> shows descriptive statistics for the untransformed variables. On average, Milwaukee block groups had 151 female violent victimizations per square mile and 106 female non-IPV violent victimizations per square mile, revealing most officially recorded female violent victimization is non-IPV victimization and demonstrating the need for more research on the topic. On average, block groups had 205 male violent victimizations per square mile and 181 male non-IPV violent victimizations per square mile. On average, block groups contained 15 on-premise and six off-premise alcohol outlets per square mile. We transformed the dependent, independent, and control variables to address their skewed distribution, and the descriptive statistics for the transformed variables are shown in </w:t>
      </w:r>
      <w:hyperlink r:id="rId74" w:history="1">
        <w:r w:rsidR="0002511F">
          <w:rPr>
            <w:rStyle w:val="Hyperlink"/>
          </w:rPr>
          <w:t>Table 3</w:t>
        </w:r>
      </w:hyperlink>
      <w:r w:rsidR="0002511F">
        <w:t xml:space="preserve">. As seen in </w:t>
      </w:r>
      <w:hyperlink r:id="rId75" w:history="1">
        <w:r w:rsidR="0002511F">
          <w:rPr>
            <w:rStyle w:val="Hyperlink"/>
          </w:rPr>
          <w:t>Table 3</w:t>
        </w:r>
      </w:hyperlink>
      <w:r w:rsidR="0002511F">
        <w:t>, the transformation of these variables was successful in normalizing the distribution of the data.</w:t>
      </w:r>
    </w:p>
    <w:p w14:paraId="67E7778A" w14:textId="35E1DE66" w:rsidR="0002511F" w:rsidRDefault="0002511F" w:rsidP="0002511F">
      <w:pPr>
        <w:pStyle w:val="NoSpacing"/>
      </w:pPr>
    </w:p>
    <w:p w14:paraId="351DACCC" w14:textId="11EA0508" w:rsidR="0002511F" w:rsidRDefault="00AA4AFD" w:rsidP="00AA4AFD">
      <w:pPr>
        <w:pStyle w:val="NoSpacing"/>
      </w:pPr>
      <w:r w:rsidRPr="00AA4AFD">
        <w:rPr>
          <w:b/>
          <w:bCs/>
        </w:rPr>
        <w:t>Table 2.</w:t>
      </w:r>
      <w:r w:rsidRPr="00AA4AFD">
        <w:t xml:space="preserve"> Descriptive Statistics for Untransformed Variables.</w:t>
      </w:r>
    </w:p>
    <w:tbl>
      <w:tblPr>
        <w:tblStyle w:val="TableGridLight"/>
        <w:tblW w:w="0" w:type="auto"/>
        <w:tblLook w:val="0020" w:firstRow="1" w:lastRow="0" w:firstColumn="0" w:lastColumn="0" w:noHBand="0" w:noVBand="0"/>
      </w:tblPr>
      <w:tblGrid>
        <w:gridCol w:w="2794"/>
        <w:gridCol w:w="1107"/>
        <w:gridCol w:w="996"/>
        <w:gridCol w:w="1111"/>
        <w:gridCol w:w="1148"/>
      </w:tblGrid>
      <w:tr w:rsidR="00AA4AFD" w:rsidRPr="00AA4AFD" w14:paraId="53C38B16" w14:textId="77777777" w:rsidTr="0029206A">
        <w:trPr>
          <w:trHeight w:val="335"/>
        </w:trPr>
        <w:tc>
          <w:tcPr>
            <w:tcW w:w="0" w:type="auto"/>
          </w:tcPr>
          <w:p w14:paraId="554296BB" w14:textId="77777777" w:rsidR="00AA4AFD" w:rsidRPr="00AA4AFD" w:rsidRDefault="00AA4AFD" w:rsidP="00AA4AFD">
            <w:pPr>
              <w:pStyle w:val="NoSpacing"/>
            </w:pPr>
          </w:p>
        </w:tc>
        <w:tc>
          <w:tcPr>
            <w:tcW w:w="0" w:type="auto"/>
          </w:tcPr>
          <w:p w14:paraId="769D57A0" w14:textId="77777777" w:rsidR="00AA4AFD" w:rsidRPr="00AA4AFD" w:rsidRDefault="00AA4AFD" w:rsidP="00AA4AFD">
            <w:pPr>
              <w:pStyle w:val="NoSpacing"/>
              <w:rPr>
                <w:b/>
                <w:bCs/>
                <w:i/>
                <w:iCs/>
              </w:rPr>
            </w:pPr>
            <w:r w:rsidRPr="00AA4AFD">
              <w:rPr>
                <w:b/>
                <w:bCs/>
                <w:i/>
                <w:iCs/>
              </w:rPr>
              <w:t>M</w:t>
            </w:r>
          </w:p>
        </w:tc>
        <w:tc>
          <w:tcPr>
            <w:tcW w:w="0" w:type="auto"/>
          </w:tcPr>
          <w:p w14:paraId="0D379136" w14:textId="77777777" w:rsidR="00AA4AFD" w:rsidRPr="00AA4AFD" w:rsidRDefault="00AA4AFD" w:rsidP="00AA4AFD">
            <w:pPr>
              <w:pStyle w:val="NoSpacing"/>
              <w:rPr>
                <w:b/>
                <w:bCs/>
                <w:i/>
                <w:iCs/>
              </w:rPr>
            </w:pPr>
            <w:r w:rsidRPr="00AA4AFD">
              <w:rPr>
                <w:b/>
                <w:bCs/>
                <w:i/>
                <w:iCs/>
              </w:rPr>
              <w:t>SD</w:t>
            </w:r>
          </w:p>
        </w:tc>
        <w:tc>
          <w:tcPr>
            <w:tcW w:w="0" w:type="auto"/>
          </w:tcPr>
          <w:p w14:paraId="27CA704D" w14:textId="77777777" w:rsidR="00AA4AFD" w:rsidRPr="00AA4AFD" w:rsidRDefault="00AA4AFD" w:rsidP="00AA4AFD">
            <w:pPr>
              <w:pStyle w:val="NoSpacing"/>
              <w:rPr>
                <w:b/>
                <w:bCs/>
              </w:rPr>
            </w:pPr>
            <w:r w:rsidRPr="00AA4AFD">
              <w:rPr>
                <w:b/>
                <w:bCs/>
              </w:rPr>
              <w:t>Minimum</w:t>
            </w:r>
          </w:p>
        </w:tc>
        <w:tc>
          <w:tcPr>
            <w:tcW w:w="0" w:type="auto"/>
          </w:tcPr>
          <w:p w14:paraId="1C430FD8" w14:textId="77777777" w:rsidR="00AA4AFD" w:rsidRPr="00AA4AFD" w:rsidRDefault="00AA4AFD" w:rsidP="00AA4AFD">
            <w:pPr>
              <w:pStyle w:val="NoSpacing"/>
              <w:rPr>
                <w:b/>
                <w:bCs/>
              </w:rPr>
            </w:pPr>
            <w:r w:rsidRPr="00AA4AFD">
              <w:rPr>
                <w:b/>
                <w:bCs/>
              </w:rPr>
              <w:t>Maximum</w:t>
            </w:r>
          </w:p>
        </w:tc>
      </w:tr>
      <w:tr w:rsidR="00AA4AFD" w:rsidRPr="00AA4AFD" w14:paraId="0C4F308C" w14:textId="77777777" w:rsidTr="0029206A">
        <w:trPr>
          <w:trHeight w:val="257"/>
        </w:trPr>
        <w:tc>
          <w:tcPr>
            <w:tcW w:w="0" w:type="auto"/>
          </w:tcPr>
          <w:p w14:paraId="0FBBBEFC" w14:textId="77777777" w:rsidR="00AA4AFD" w:rsidRPr="00AA4AFD" w:rsidRDefault="00AA4AFD" w:rsidP="00AA4AFD">
            <w:pPr>
              <w:pStyle w:val="NoSpacing"/>
            </w:pPr>
            <w:r w:rsidRPr="00AA4AFD">
              <w:lastRenderedPageBreak/>
              <w:t>Dependent variables</w:t>
            </w:r>
          </w:p>
        </w:tc>
        <w:tc>
          <w:tcPr>
            <w:tcW w:w="0" w:type="auto"/>
          </w:tcPr>
          <w:p w14:paraId="309A83EB" w14:textId="77777777" w:rsidR="00AA4AFD" w:rsidRPr="00AA4AFD" w:rsidRDefault="00AA4AFD" w:rsidP="00AA4AFD">
            <w:pPr>
              <w:pStyle w:val="NoSpacing"/>
            </w:pPr>
          </w:p>
        </w:tc>
        <w:tc>
          <w:tcPr>
            <w:tcW w:w="0" w:type="auto"/>
          </w:tcPr>
          <w:p w14:paraId="32C394F4" w14:textId="77777777" w:rsidR="00AA4AFD" w:rsidRPr="00AA4AFD" w:rsidRDefault="00AA4AFD" w:rsidP="00AA4AFD">
            <w:pPr>
              <w:pStyle w:val="NoSpacing"/>
            </w:pPr>
          </w:p>
        </w:tc>
        <w:tc>
          <w:tcPr>
            <w:tcW w:w="0" w:type="auto"/>
          </w:tcPr>
          <w:p w14:paraId="14363287" w14:textId="77777777" w:rsidR="00AA4AFD" w:rsidRPr="00AA4AFD" w:rsidRDefault="00AA4AFD" w:rsidP="00AA4AFD">
            <w:pPr>
              <w:pStyle w:val="NoSpacing"/>
            </w:pPr>
          </w:p>
        </w:tc>
        <w:tc>
          <w:tcPr>
            <w:tcW w:w="0" w:type="auto"/>
          </w:tcPr>
          <w:p w14:paraId="7E3D2F5E" w14:textId="77777777" w:rsidR="00AA4AFD" w:rsidRPr="00AA4AFD" w:rsidRDefault="00AA4AFD" w:rsidP="00AA4AFD">
            <w:pPr>
              <w:pStyle w:val="NoSpacing"/>
            </w:pPr>
          </w:p>
        </w:tc>
      </w:tr>
      <w:tr w:rsidR="00AA4AFD" w:rsidRPr="00AA4AFD" w14:paraId="551783C5" w14:textId="77777777" w:rsidTr="0029206A">
        <w:trPr>
          <w:trHeight w:val="209"/>
        </w:trPr>
        <w:tc>
          <w:tcPr>
            <w:tcW w:w="0" w:type="auto"/>
          </w:tcPr>
          <w:p w14:paraId="55062707" w14:textId="77777777" w:rsidR="00AA4AFD" w:rsidRPr="00AA4AFD" w:rsidRDefault="00AA4AFD" w:rsidP="00AA4AFD">
            <w:pPr>
              <w:pStyle w:val="NoSpacing"/>
            </w:pPr>
            <w:r w:rsidRPr="00AA4AFD">
              <w:t>Female violent density</w:t>
            </w:r>
          </w:p>
        </w:tc>
        <w:tc>
          <w:tcPr>
            <w:tcW w:w="0" w:type="auto"/>
          </w:tcPr>
          <w:p w14:paraId="68140BE9" w14:textId="77777777" w:rsidR="00AA4AFD" w:rsidRPr="00AA4AFD" w:rsidRDefault="00AA4AFD" w:rsidP="00AA4AFD">
            <w:pPr>
              <w:pStyle w:val="NoSpacing"/>
            </w:pPr>
            <w:r w:rsidRPr="00AA4AFD">
              <w:t>151.30</w:t>
            </w:r>
          </w:p>
        </w:tc>
        <w:tc>
          <w:tcPr>
            <w:tcW w:w="0" w:type="auto"/>
          </w:tcPr>
          <w:p w14:paraId="6419D7B6" w14:textId="77777777" w:rsidR="00AA4AFD" w:rsidRPr="00AA4AFD" w:rsidRDefault="00AA4AFD" w:rsidP="00AA4AFD">
            <w:pPr>
              <w:pStyle w:val="NoSpacing"/>
            </w:pPr>
            <w:r w:rsidRPr="00AA4AFD">
              <w:t>153.96</w:t>
            </w:r>
          </w:p>
        </w:tc>
        <w:tc>
          <w:tcPr>
            <w:tcW w:w="0" w:type="auto"/>
          </w:tcPr>
          <w:p w14:paraId="4E755ACD" w14:textId="77777777" w:rsidR="00AA4AFD" w:rsidRPr="00AA4AFD" w:rsidRDefault="00AA4AFD" w:rsidP="00AA4AFD">
            <w:pPr>
              <w:pStyle w:val="NoSpacing"/>
            </w:pPr>
            <w:r w:rsidRPr="00AA4AFD">
              <w:t>0.00</w:t>
            </w:r>
          </w:p>
        </w:tc>
        <w:tc>
          <w:tcPr>
            <w:tcW w:w="0" w:type="auto"/>
          </w:tcPr>
          <w:p w14:paraId="072943B7" w14:textId="77777777" w:rsidR="00AA4AFD" w:rsidRPr="00AA4AFD" w:rsidRDefault="00AA4AFD" w:rsidP="00AA4AFD">
            <w:pPr>
              <w:pStyle w:val="NoSpacing"/>
            </w:pPr>
            <w:r w:rsidRPr="00AA4AFD">
              <w:t>1,054.66</w:t>
            </w:r>
          </w:p>
        </w:tc>
      </w:tr>
      <w:tr w:rsidR="00AA4AFD" w:rsidRPr="00AA4AFD" w14:paraId="0A5B0D05" w14:textId="77777777" w:rsidTr="0029206A">
        <w:trPr>
          <w:trHeight w:val="209"/>
        </w:trPr>
        <w:tc>
          <w:tcPr>
            <w:tcW w:w="0" w:type="auto"/>
          </w:tcPr>
          <w:p w14:paraId="0226F091" w14:textId="77777777" w:rsidR="00AA4AFD" w:rsidRPr="00AA4AFD" w:rsidRDefault="00AA4AFD" w:rsidP="00AA4AFD">
            <w:pPr>
              <w:pStyle w:val="NoSpacing"/>
            </w:pPr>
            <w:r w:rsidRPr="00AA4AFD">
              <w:t>Female non-IPV density</w:t>
            </w:r>
          </w:p>
        </w:tc>
        <w:tc>
          <w:tcPr>
            <w:tcW w:w="0" w:type="auto"/>
          </w:tcPr>
          <w:p w14:paraId="2AE78F8B" w14:textId="77777777" w:rsidR="00AA4AFD" w:rsidRPr="00AA4AFD" w:rsidRDefault="00AA4AFD" w:rsidP="00AA4AFD">
            <w:pPr>
              <w:pStyle w:val="NoSpacing"/>
            </w:pPr>
            <w:r w:rsidRPr="00AA4AFD">
              <w:t>106.22</w:t>
            </w:r>
          </w:p>
        </w:tc>
        <w:tc>
          <w:tcPr>
            <w:tcW w:w="0" w:type="auto"/>
          </w:tcPr>
          <w:p w14:paraId="107A8910" w14:textId="77777777" w:rsidR="00AA4AFD" w:rsidRPr="00AA4AFD" w:rsidRDefault="00AA4AFD" w:rsidP="00AA4AFD">
            <w:pPr>
              <w:pStyle w:val="NoSpacing"/>
            </w:pPr>
            <w:r w:rsidRPr="00AA4AFD">
              <w:t>111.59</w:t>
            </w:r>
          </w:p>
        </w:tc>
        <w:tc>
          <w:tcPr>
            <w:tcW w:w="0" w:type="auto"/>
          </w:tcPr>
          <w:p w14:paraId="47E8F2D2" w14:textId="77777777" w:rsidR="00AA4AFD" w:rsidRPr="00AA4AFD" w:rsidRDefault="00AA4AFD" w:rsidP="00AA4AFD">
            <w:pPr>
              <w:pStyle w:val="NoSpacing"/>
            </w:pPr>
            <w:r w:rsidRPr="00AA4AFD">
              <w:t>0.00</w:t>
            </w:r>
          </w:p>
        </w:tc>
        <w:tc>
          <w:tcPr>
            <w:tcW w:w="0" w:type="auto"/>
          </w:tcPr>
          <w:p w14:paraId="4EB82B1E" w14:textId="77777777" w:rsidR="00AA4AFD" w:rsidRPr="00AA4AFD" w:rsidRDefault="00AA4AFD" w:rsidP="00AA4AFD">
            <w:pPr>
              <w:pStyle w:val="NoSpacing"/>
            </w:pPr>
            <w:r w:rsidRPr="00AA4AFD">
              <w:t>642.20</w:t>
            </w:r>
          </w:p>
        </w:tc>
      </w:tr>
      <w:tr w:rsidR="00AA4AFD" w:rsidRPr="00AA4AFD" w14:paraId="7434F591" w14:textId="77777777" w:rsidTr="0029206A">
        <w:trPr>
          <w:trHeight w:val="209"/>
        </w:trPr>
        <w:tc>
          <w:tcPr>
            <w:tcW w:w="0" w:type="auto"/>
          </w:tcPr>
          <w:p w14:paraId="620F3A9A" w14:textId="77777777" w:rsidR="00AA4AFD" w:rsidRPr="00AA4AFD" w:rsidRDefault="00AA4AFD" w:rsidP="00AA4AFD">
            <w:pPr>
              <w:pStyle w:val="NoSpacing"/>
            </w:pPr>
            <w:r w:rsidRPr="00AA4AFD">
              <w:t>Male violent density</w:t>
            </w:r>
          </w:p>
        </w:tc>
        <w:tc>
          <w:tcPr>
            <w:tcW w:w="0" w:type="auto"/>
          </w:tcPr>
          <w:p w14:paraId="7D481237" w14:textId="77777777" w:rsidR="00AA4AFD" w:rsidRPr="00AA4AFD" w:rsidRDefault="00AA4AFD" w:rsidP="00AA4AFD">
            <w:pPr>
              <w:pStyle w:val="NoSpacing"/>
            </w:pPr>
            <w:r w:rsidRPr="00AA4AFD">
              <w:t>205.01</w:t>
            </w:r>
          </w:p>
        </w:tc>
        <w:tc>
          <w:tcPr>
            <w:tcW w:w="0" w:type="auto"/>
          </w:tcPr>
          <w:p w14:paraId="50EFB3E0" w14:textId="77777777" w:rsidR="00AA4AFD" w:rsidRPr="00AA4AFD" w:rsidRDefault="00AA4AFD" w:rsidP="00AA4AFD">
            <w:pPr>
              <w:pStyle w:val="NoSpacing"/>
            </w:pPr>
            <w:r w:rsidRPr="00AA4AFD">
              <w:t>209.88</w:t>
            </w:r>
          </w:p>
        </w:tc>
        <w:tc>
          <w:tcPr>
            <w:tcW w:w="0" w:type="auto"/>
          </w:tcPr>
          <w:p w14:paraId="16D487CC" w14:textId="77777777" w:rsidR="00AA4AFD" w:rsidRPr="00AA4AFD" w:rsidRDefault="00AA4AFD" w:rsidP="00AA4AFD">
            <w:pPr>
              <w:pStyle w:val="NoSpacing"/>
            </w:pPr>
            <w:r w:rsidRPr="00AA4AFD">
              <w:t>0.00</w:t>
            </w:r>
          </w:p>
        </w:tc>
        <w:tc>
          <w:tcPr>
            <w:tcW w:w="0" w:type="auto"/>
          </w:tcPr>
          <w:p w14:paraId="726A5467" w14:textId="77777777" w:rsidR="00AA4AFD" w:rsidRPr="00AA4AFD" w:rsidRDefault="00AA4AFD" w:rsidP="00AA4AFD">
            <w:pPr>
              <w:pStyle w:val="NoSpacing"/>
            </w:pPr>
            <w:r w:rsidRPr="00AA4AFD">
              <w:t>1,028.65</w:t>
            </w:r>
          </w:p>
        </w:tc>
      </w:tr>
      <w:tr w:rsidR="00AA4AFD" w:rsidRPr="00AA4AFD" w14:paraId="1FB080F0" w14:textId="77777777" w:rsidTr="0029206A">
        <w:trPr>
          <w:trHeight w:val="197"/>
        </w:trPr>
        <w:tc>
          <w:tcPr>
            <w:tcW w:w="0" w:type="auto"/>
          </w:tcPr>
          <w:p w14:paraId="2EBDA926" w14:textId="77777777" w:rsidR="00AA4AFD" w:rsidRPr="00AA4AFD" w:rsidRDefault="00AA4AFD" w:rsidP="00AA4AFD">
            <w:pPr>
              <w:pStyle w:val="NoSpacing"/>
            </w:pPr>
            <w:r w:rsidRPr="00AA4AFD">
              <w:t>Male non-IPV density</w:t>
            </w:r>
          </w:p>
        </w:tc>
        <w:tc>
          <w:tcPr>
            <w:tcW w:w="0" w:type="auto"/>
          </w:tcPr>
          <w:p w14:paraId="3D0ED8D1" w14:textId="77777777" w:rsidR="00AA4AFD" w:rsidRPr="00AA4AFD" w:rsidRDefault="00AA4AFD" w:rsidP="00AA4AFD">
            <w:pPr>
              <w:pStyle w:val="NoSpacing"/>
            </w:pPr>
            <w:r w:rsidRPr="00AA4AFD">
              <w:t>180.71</w:t>
            </w:r>
          </w:p>
        </w:tc>
        <w:tc>
          <w:tcPr>
            <w:tcW w:w="0" w:type="auto"/>
          </w:tcPr>
          <w:p w14:paraId="7DA0A4BC" w14:textId="77777777" w:rsidR="00AA4AFD" w:rsidRPr="00AA4AFD" w:rsidRDefault="00AA4AFD" w:rsidP="00AA4AFD">
            <w:pPr>
              <w:pStyle w:val="NoSpacing"/>
            </w:pPr>
            <w:r w:rsidRPr="00AA4AFD">
              <w:t>188.09</w:t>
            </w:r>
          </w:p>
        </w:tc>
        <w:tc>
          <w:tcPr>
            <w:tcW w:w="0" w:type="auto"/>
          </w:tcPr>
          <w:p w14:paraId="16DCC632" w14:textId="77777777" w:rsidR="00AA4AFD" w:rsidRPr="00AA4AFD" w:rsidRDefault="00AA4AFD" w:rsidP="00AA4AFD">
            <w:pPr>
              <w:pStyle w:val="NoSpacing"/>
            </w:pPr>
            <w:r w:rsidRPr="00AA4AFD">
              <w:t>0.00</w:t>
            </w:r>
          </w:p>
        </w:tc>
        <w:tc>
          <w:tcPr>
            <w:tcW w:w="0" w:type="auto"/>
          </w:tcPr>
          <w:p w14:paraId="2EAC366B" w14:textId="77777777" w:rsidR="00AA4AFD" w:rsidRPr="00AA4AFD" w:rsidRDefault="00AA4AFD" w:rsidP="00AA4AFD">
            <w:pPr>
              <w:pStyle w:val="NoSpacing"/>
            </w:pPr>
            <w:r w:rsidRPr="00AA4AFD">
              <w:t>1,006.29</w:t>
            </w:r>
          </w:p>
        </w:tc>
      </w:tr>
      <w:tr w:rsidR="00AA4AFD" w:rsidRPr="00AA4AFD" w14:paraId="046FC5FD" w14:textId="77777777" w:rsidTr="0029206A">
        <w:trPr>
          <w:trHeight w:val="221"/>
        </w:trPr>
        <w:tc>
          <w:tcPr>
            <w:tcW w:w="0" w:type="auto"/>
          </w:tcPr>
          <w:p w14:paraId="514F3766" w14:textId="77777777" w:rsidR="00AA4AFD" w:rsidRPr="00AA4AFD" w:rsidRDefault="00AA4AFD" w:rsidP="00AA4AFD">
            <w:pPr>
              <w:pStyle w:val="NoSpacing"/>
            </w:pPr>
            <w:r w:rsidRPr="00AA4AFD">
              <w:t>Alcohol outlets</w:t>
            </w:r>
          </w:p>
        </w:tc>
        <w:tc>
          <w:tcPr>
            <w:tcW w:w="0" w:type="auto"/>
          </w:tcPr>
          <w:p w14:paraId="670D3771" w14:textId="77777777" w:rsidR="00AA4AFD" w:rsidRPr="00AA4AFD" w:rsidRDefault="00AA4AFD" w:rsidP="00AA4AFD">
            <w:pPr>
              <w:pStyle w:val="NoSpacing"/>
            </w:pPr>
          </w:p>
        </w:tc>
        <w:tc>
          <w:tcPr>
            <w:tcW w:w="0" w:type="auto"/>
          </w:tcPr>
          <w:p w14:paraId="0114DFC4" w14:textId="77777777" w:rsidR="00AA4AFD" w:rsidRPr="00AA4AFD" w:rsidRDefault="00AA4AFD" w:rsidP="00AA4AFD">
            <w:pPr>
              <w:pStyle w:val="NoSpacing"/>
            </w:pPr>
          </w:p>
        </w:tc>
        <w:tc>
          <w:tcPr>
            <w:tcW w:w="0" w:type="auto"/>
          </w:tcPr>
          <w:p w14:paraId="18D92365" w14:textId="77777777" w:rsidR="00AA4AFD" w:rsidRPr="00AA4AFD" w:rsidRDefault="00AA4AFD" w:rsidP="00AA4AFD">
            <w:pPr>
              <w:pStyle w:val="NoSpacing"/>
            </w:pPr>
          </w:p>
        </w:tc>
        <w:tc>
          <w:tcPr>
            <w:tcW w:w="0" w:type="auto"/>
          </w:tcPr>
          <w:p w14:paraId="5D2F8E37" w14:textId="77777777" w:rsidR="00AA4AFD" w:rsidRPr="00AA4AFD" w:rsidRDefault="00AA4AFD" w:rsidP="00AA4AFD">
            <w:pPr>
              <w:pStyle w:val="NoSpacing"/>
            </w:pPr>
          </w:p>
        </w:tc>
      </w:tr>
      <w:tr w:rsidR="00AA4AFD" w:rsidRPr="00AA4AFD" w14:paraId="678371FB" w14:textId="77777777" w:rsidTr="0029206A">
        <w:trPr>
          <w:trHeight w:val="209"/>
        </w:trPr>
        <w:tc>
          <w:tcPr>
            <w:tcW w:w="0" w:type="auto"/>
          </w:tcPr>
          <w:p w14:paraId="4F0B2937" w14:textId="77777777" w:rsidR="00AA4AFD" w:rsidRPr="00AA4AFD" w:rsidRDefault="00AA4AFD" w:rsidP="00AA4AFD">
            <w:pPr>
              <w:pStyle w:val="NoSpacing"/>
            </w:pPr>
            <w:r w:rsidRPr="00AA4AFD">
              <w:t>On-premise density</w:t>
            </w:r>
          </w:p>
        </w:tc>
        <w:tc>
          <w:tcPr>
            <w:tcW w:w="0" w:type="auto"/>
          </w:tcPr>
          <w:p w14:paraId="7A39068F" w14:textId="77777777" w:rsidR="00AA4AFD" w:rsidRPr="00AA4AFD" w:rsidRDefault="00AA4AFD" w:rsidP="00AA4AFD">
            <w:pPr>
              <w:pStyle w:val="NoSpacing"/>
            </w:pPr>
            <w:r w:rsidRPr="00AA4AFD">
              <w:t>15.00</w:t>
            </w:r>
          </w:p>
        </w:tc>
        <w:tc>
          <w:tcPr>
            <w:tcW w:w="0" w:type="auto"/>
          </w:tcPr>
          <w:p w14:paraId="78BD8525" w14:textId="77777777" w:rsidR="00AA4AFD" w:rsidRPr="00AA4AFD" w:rsidRDefault="00AA4AFD" w:rsidP="00AA4AFD">
            <w:pPr>
              <w:pStyle w:val="NoSpacing"/>
            </w:pPr>
            <w:r w:rsidRPr="00AA4AFD">
              <w:t>32.82</w:t>
            </w:r>
          </w:p>
        </w:tc>
        <w:tc>
          <w:tcPr>
            <w:tcW w:w="0" w:type="auto"/>
          </w:tcPr>
          <w:p w14:paraId="19A9DD8C" w14:textId="77777777" w:rsidR="00AA4AFD" w:rsidRPr="00AA4AFD" w:rsidRDefault="00AA4AFD" w:rsidP="00AA4AFD">
            <w:pPr>
              <w:pStyle w:val="NoSpacing"/>
            </w:pPr>
            <w:r w:rsidRPr="00AA4AFD">
              <w:t>0.00</w:t>
            </w:r>
          </w:p>
        </w:tc>
        <w:tc>
          <w:tcPr>
            <w:tcW w:w="0" w:type="auto"/>
          </w:tcPr>
          <w:p w14:paraId="24A4F623" w14:textId="77777777" w:rsidR="00AA4AFD" w:rsidRPr="00AA4AFD" w:rsidRDefault="00AA4AFD" w:rsidP="00AA4AFD">
            <w:pPr>
              <w:pStyle w:val="NoSpacing"/>
            </w:pPr>
            <w:r w:rsidRPr="00AA4AFD">
              <w:t>329.43</w:t>
            </w:r>
          </w:p>
        </w:tc>
      </w:tr>
      <w:tr w:rsidR="00AA4AFD" w:rsidRPr="00AA4AFD" w14:paraId="03D132B2" w14:textId="77777777" w:rsidTr="0029206A">
        <w:trPr>
          <w:trHeight w:val="209"/>
        </w:trPr>
        <w:tc>
          <w:tcPr>
            <w:tcW w:w="0" w:type="auto"/>
          </w:tcPr>
          <w:p w14:paraId="38B89F26" w14:textId="77777777" w:rsidR="00AA4AFD" w:rsidRPr="00AA4AFD" w:rsidRDefault="00AA4AFD" w:rsidP="00AA4AFD">
            <w:pPr>
              <w:pStyle w:val="NoSpacing"/>
            </w:pPr>
            <w:r w:rsidRPr="00AA4AFD">
              <w:t>Off-premise density</w:t>
            </w:r>
          </w:p>
        </w:tc>
        <w:tc>
          <w:tcPr>
            <w:tcW w:w="0" w:type="auto"/>
          </w:tcPr>
          <w:p w14:paraId="1DBE3D0A" w14:textId="77777777" w:rsidR="00AA4AFD" w:rsidRPr="00AA4AFD" w:rsidRDefault="00AA4AFD" w:rsidP="00AA4AFD">
            <w:pPr>
              <w:pStyle w:val="NoSpacing"/>
            </w:pPr>
            <w:r w:rsidRPr="00AA4AFD">
              <w:t>5.97</w:t>
            </w:r>
          </w:p>
        </w:tc>
        <w:tc>
          <w:tcPr>
            <w:tcW w:w="0" w:type="auto"/>
          </w:tcPr>
          <w:p w14:paraId="26386002" w14:textId="77777777" w:rsidR="00AA4AFD" w:rsidRPr="00AA4AFD" w:rsidRDefault="00AA4AFD" w:rsidP="00AA4AFD">
            <w:pPr>
              <w:pStyle w:val="NoSpacing"/>
            </w:pPr>
            <w:r w:rsidRPr="00AA4AFD">
              <w:t>10.89</w:t>
            </w:r>
          </w:p>
        </w:tc>
        <w:tc>
          <w:tcPr>
            <w:tcW w:w="0" w:type="auto"/>
          </w:tcPr>
          <w:p w14:paraId="5BC7E91E" w14:textId="77777777" w:rsidR="00AA4AFD" w:rsidRPr="00AA4AFD" w:rsidRDefault="00AA4AFD" w:rsidP="00AA4AFD">
            <w:pPr>
              <w:pStyle w:val="NoSpacing"/>
            </w:pPr>
            <w:r w:rsidRPr="00AA4AFD">
              <w:t>0.00</w:t>
            </w:r>
          </w:p>
        </w:tc>
        <w:tc>
          <w:tcPr>
            <w:tcW w:w="0" w:type="auto"/>
          </w:tcPr>
          <w:p w14:paraId="1F470D2D" w14:textId="77777777" w:rsidR="00AA4AFD" w:rsidRPr="00AA4AFD" w:rsidRDefault="00AA4AFD" w:rsidP="00AA4AFD">
            <w:pPr>
              <w:pStyle w:val="NoSpacing"/>
            </w:pPr>
            <w:r w:rsidRPr="00AA4AFD">
              <w:t>65.75</w:t>
            </w:r>
          </w:p>
        </w:tc>
      </w:tr>
      <w:tr w:rsidR="00AA4AFD" w:rsidRPr="00AA4AFD" w14:paraId="5D2D7711" w14:textId="77777777" w:rsidTr="0029206A">
        <w:trPr>
          <w:trHeight w:val="209"/>
        </w:trPr>
        <w:tc>
          <w:tcPr>
            <w:tcW w:w="0" w:type="auto"/>
          </w:tcPr>
          <w:p w14:paraId="0B9284C0" w14:textId="77777777" w:rsidR="00AA4AFD" w:rsidRPr="00AA4AFD" w:rsidRDefault="00AA4AFD" w:rsidP="00AA4AFD">
            <w:pPr>
              <w:pStyle w:val="NoSpacing"/>
            </w:pPr>
            <w:r w:rsidRPr="00AA4AFD">
              <w:t>Social disorganization</w:t>
            </w:r>
          </w:p>
        </w:tc>
        <w:tc>
          <w:tcPr>
            <w:tcW w:w="0" w:type="auto"/>
          </w:tcPr>
          <w:p w14:paraId="0EFB6211" w14:textId="77777777" w:rsidR="00AA4AFD" w:rsidRPr="00AA4AFD" w:rsidRDefault="00AA4AFD" w:rsidP="00AA4AFD">
            <w:pPr>
              <w:pStyle w:val="NoSpacing"/>
            </w:pPr>
          </w:p>
        </w:tc>
        <w:tc>
          <w:tcPr>
            <w:tcW w:w="0" w:type="auto"/>
          </w:tcPr>
          <w:p w14:paraId="5CEDCF03" w14:textId="77777777" w:rsidR="00AA4AFD" w:rsidRPr="00AA4AFD" w:rsidRDefault="00AA4AFD" w:rsidP="00AA4AFD">
            <w:pPr>
              <w:pStyle w:val="NoSpacing"/>
            </w:pPr>
          </w:p>
        </w:tc>
        <w:tc>
          <w:tcPr>
            <w:tcW w:w="0" w:type="auto"/>
          </w:tcPr>
          <w:p w14:paraId="2A2B7FB5" w14:textId="77777777" w:rsidR="00AA4AFD" w:rsidRPr="00AA4AFD" w:rsidRDefault="00AA4AFD" w:rsidP="00AA4AFD">
            <w:pPr>
              <w:pStyle w:val="NoSpacing"/>
            </w:pPr>
          </w:p>
        </w:tc>
        <w:tc>
          <w:tcPr>
            <w:tcW w:w="0" w:type="auto"/>
          </w:tcPr>
          <w:p w14:paraId="61CEFF85" w14:textId="77777777" w:rsidR="00AA4AFD" w:rsidRPr="00AA4AFD" w:rsidRDefault="00AA4AFD" w:rsidP="00AA4AFD">
            <w:pPr>
              <w:pStyle w:val="NoSpacing"/>
            </w:pPr>
          </w:p>
        </w:tc>
      </w:tr>
      <w:tr w:rsidR="00AA4AFD" w:rsidRPr="00AA4AFD" w14:paraId="29FE57B6" w14:textId="77777777" w:rsidTr="0029206A">
        <w:trPr>
          <w:trHeight w:val="209"/>
        </w:trPr>
        <w:tc>
          <w:tcPr>
            <w:tcW w:w="0" w:type="auto"/>
          </w:tcPr>
          <w:p w14:paraId="343DBAA4" w14:textId="77777777" w:rsidR="00AA4AFD" w:rsidRPr="00AA4AFD" w:rsidRDefault="00AA4AFD" w:rsidP="00AA4AFD">
            <w:pPr>
              <w:pStyle w:val="NoSpacing"/>
            </w:pPr>
            <w:r w:rsidRPr="00AA4AFD">
              <w:t>Concentrated affluence</w:t>
            </w:r>
          </w:p>
        </w:tc>
        <w:tc>
          <w:tcPr>
            <w:tcW w:w="0" w:type="auto"/>
          </w:tcPr>
          <w:p w14:paraId="3F2DFBE5" w14:textId="77777777" w:rsidR="00AA4AFD" w:rsidRPr="00AA4AFD" w:rsidRDefault="00AA4AFD" w:rsidP="00AA4AFD">
            <w:pPr>
              <w:pStyle w:val="NoSpacing"/>
            </w:pPr>
            <w:r w:rsidRPr="00AA4AFD">
              <w:t>0.00</w:t>
            </w:r>
          </w:p>
        </w:tc>
        <w:tc>
          <w:tcPr>
            <w:tcW w:w="0" w:type="auto"/>
          </w:tcPr>
          <w:p w14:paraId="6225639F" w14:textId="77777777" w:rsidR="00AA4AFD" w:rsidRPr="00AA4AFD" w:rsidRDefault="00AA4AFD" w:rsidP="00AA4AFD">
            <w:pPr>
              <w:pStyle w:val="NoSpacing"/>
            </w:pPr>
            <w:r w:rsidRPr="00AA4AFD">
              <w:t>1.00</w:t>
            </w:r>
          </w:p>
        </w:tc>
        <w:tc>
          <w:tcPr>
            <w:tcW w:w="0" w:type="auto"/>
          </w:tcPr>
          <w:p w14:paraId="4F6BA606" w14:textId="77777777" w:rsidR="00AA4AFD" w:rsidRPr="00AA4AFD" w:rsidRDefault="00AA4AFD" w:rsidP="00AA4AFD">
            <w:pPr>
              <w:pStyle w:val="NoSpacing"/>
            </w:pPr>
            <w:r w:rsidRPr="00AA4AFD">
              <w:t>−2.06</w:t>
            </w:r>
          </w:p>
        </w:tc>
        <w:tc>
          <w:tcPr>
            <w:tcW w:w="0" w:type="auto"/>
          </w:tcPr>
          <w:p w14:paraId="6FCD1728" w14:textId="77777777" w:rsidR="00AA4AFD" w:rsidRPr="00AA4AFD" w:rsidRDefault="00AA4AFD" w:rsidP="00AA4AFD">
            <w:pPr>
              <w:pStyle w:val="NoSpacing"/>
            </w:pPr>
            <w:r w:rsidRPr="00AA4AFD">
              <w:t>3.40</w:t>
            </w:r>
          </w:p>
        </w:tc>
      </w:tr>
      <w:tr w:rsidR="00AA4AFD" w:rsidRPr="00AA4AFD" w14:paraId="620E476F" w14:textId="77777777" w:rsidTr="0029206A">
        <w:trPr>
          <w:trHeight w:val="209"/>
        </w:trPr>
        <w:tc>
          <w:tcPr>
            <w:tcW w:w="0" w:type="auto"/>
          </w:tcPr>
          <w:p w14:paraId="1D77B677" w14:textId="77777777" w:rsidR="00AA4AFD" w:rsidRPr="00AA4AFD" w:rsidRDefault="00AA4AFD" w:rsidP="00AA4AFD">
            <w:pPr>
              <w:pStyle w:val="NoSpacing"/>
            </w:pPr>
            <w:r w:rsidRPr="00AA4AFD">
              <w:t>Concentrated disadvantage</w:t>
            </w:r>
          </w:p>
        </w:tc>
        <w:tc>
          <w:tcPr>
            <w:tcW w:w="0" w:type="auto"/>
          </w:tcPr>
          <w:p w14:paraId="149FA270" w14:textId="77777777" w:rsidR="00AA4AFD" w:rsidRPr="00AA4AFD" w:rsidRDefault="00AA4AFD" w:rsidP="00AA4AFD">
            <w:pPr>
              <w:pStyle w:val="NoSpacing"/>
            </w:pPr>
            <w:r w:rsidRPr="00AA4AFD">
              <w:t>0.00</w:t>
            </w:r>
          </w:p>
        </w:tc>
        <w:tc>
          <w:tcPr>
            <w:tcW w:w="0" w:type="auto"/>
          </w:tcPr>
          <w:p w14:paraId="4B2766CC" w14:textId="77777777" w:rsidR="00AA4AFD" w:rsidRPr="00AA4AFD" w:rsidRDefault="00AA4AFD" w:rsidP="00AA4AFD">
            <w:pPr>
              <w:pStyle w:val="NoSpacing"/>
            </w:pPr>
            <w:r w:rsidRPr="00AA4AFD">
              <w:t>1.00</w:t>
            </w:r>
          </w:p>
        </w:tc>
        <w:tc>
          <w:tcPr>
            <w:tcW w:w="0" w:type="auto"/>
          </w:tcPr>
          <w:p w14:paraId="419F7E38" w14:textId="77777777" w:rsidR="00AA4AFD" w:rsidRPr="00AA4AFD" w:rsidRDefault="00AA4AFD" w:rsidP="00AA4AFD">
            <w:pPr>
              <w:pStyle w:val="NoSpacing"/>
            </w:pPr>
            <w:r w:rsidRPr="00AA4AFD">
              <w:t>−3.26</w:t>
            </w:r>
          </w:p>
        </w:tc>
        <w:tc>
          <w:tcPr>
            <w:tcW w:w="0" w:type="auto"/>
          </w:tcPr>
          <w:p w14:paraId="1EBA0994" w14:textId="77777777" w:rsidR="00AA4AFD" w:rsidRPr="00AA4AFD" w:rsidRDefault="00AA4AFD" w:rsidP="00AA4AFD">
            <w:pPr>
              <w:pStyle w:val="NoSpacing"/>
            </w:pPr>
            <w:r w:rsidRPr="00AA4AFD">
              <w:t>4.91</w:t>
            </w:r>
          </w:p>
        </w:tc>
      </w:tr>
      <w:tr w:rsidR="00AA4AFD" w:rsidRPr="00AA4AFD" w14:paraId="016B6878" w14:textId="77777777" w:rsidTr="0029206A">
        <w:trPr>
          <w:trHeight w:val="209"/>
        </w:trPr>
        <w:tc>
          <w:tcPr>
            <w:tcW w:w="0" w:type="auto"/>
          </w:tcPr>
          <w:p w14:paraId="58D750E7" w14:textId="77777777" w:rsidR="00AA4AFD" w:rsidRPr="00AA4AFD" w:rsidRDefault="00AA4AFD" w:rsidP="00AA4AFD">
            <w:pPr>
              <w:pStyle w:val="NoSpacing"/>
            </w:pPr>
            <w:r w:rsidRPr="00AA4AFD">
              <w:t>Cultural heterogeneity</w:t>
            </w:r>
          </w:p>
        </w:tc>
        <w:tc>
          <w:tcPr>
            <w:tcW w:w="0" w:type="auto"/>
          </w:tcPr>
          <w:p w14:paraId="5747971E" w14:textId="77777777" w:rsidR="00AA4AFD" w:rsidRPr="00AA4AFD" w:rsidRDefault="00AA4AFD" w:rsidP="00AA4AFD">
            <w:pPr>
              <w:pStyle w:val="NoSpacing"/>
            </w:pPr>
            <w:r w:rsidRPr="00AA4AFD">
              <w:t>0.00</w:t>
            </w:r>
          </w:p>
        </w:tc>
        <w:tc>
          <w:tcPr>
            <w:tcW w:w="0" w:type="auto"/>
          </w:tcPr>
          <w:p w14:paraId="707D34A2" w14:textId="77777777" w:rsidR="00AA4AFD" w:rsidRPr="00AA4AFD" w:rsidRDefault="00AA4AFD" w:rsidP="00AA4AFD">
            <w:pPr>
              <w:pStyle w:val="NoSpacing"/>
            </w:pPr>
            <w:r w:rsidRPr="00AA4AFD">
              <w:t>1.00</w:t>
            </w:r>
          </w:p>
        </w:tc>
        <w:tc>
          <w:tcPr>
            <w:tcW w:w="0" w:type="auto"/>
          </w:tcPr>
          <w:p w14:paraId="0E5929C9" w14:textId="77777777" w:rsidR="00AA4AFD" w:rsidRPr="00AA4AFD" w:rsidRDefault="00AA4AFD" w:rsidP="00AA4AFD">
            <w:pPr>
              <w:pStyle w:val="NoSpacing"/>
            </w:pPr>
            <w:r w:rsidRPr="00AA4AFD">
              <w:t>−1.48</w:t>
            </w:r>
          </w:p>
        </w:tc>
        <w:tc>
          <w:tcPr>
            <w:tcW w:w="0" w:type="auto"/>
          </w:tcPr>
          <w:p w14:paraId="0DA4AC1C" w14:textId="77777777" w:rsidR="00AA4AFD" w:rsidRPr="00AA4AFD" w:rsidRDefault="00AA4AFD" w:rsidP="00AA4AFD">
            <w:pPr>
              <w:pStyle w:val="NoSpacing"/>
            </w:pPr>
            <w:r w:rsidRPr="00AA4AFD">
              <w:t>3.15</w:t>
            </w:r>
          </w:p>
        </w:tc>
      </w:tr>
      <w:tr w:rsidR="00AA4AFD" w:rsidRPr="00AA4AFD" w14:paraId="0C86D6C1" w14:textId="77777777" w:rsidTr="0029206A">
        <w:trPr>
          <w:trHeight w:val="197"/>
        </w:trPr>
        <w:tc>
          <w:tcPr>
            <w:tcW w:w="0" w:type="auto"/>
          </w:tcPr>
          <w:p w14:paraId="10938336" w14:textId="77777777" w:rsidR="00AA4AFD" w:rsidRPr="00AA4AFD" w:rsidRDefault="00AA4AFD" w:rsidP="00AA4AFD">
            <w:pPr>
              <w:pStyle w:val="NoSpacing"/>
            </w:pPr>
            <w:r w:rsidRPr="00AA4AFD">
              <w:t>Residential stability</w:t>
            </w:r>
          </w:p>
        </w:tc>
        <w:tc>
          <w:tcPr>
            <w:tcW w:w="0" w:type="auto"/>
          </w:tcPr>
          <w:p w14:paraId="061D6A44" w14:textId="77777777" w:rsidR="00AA4AFD" w:rsidRPr="00AA4AFD" w:rsidRDefault="00AA4AFD" w:rsidP="00AA4AFD">
            <w:pPr>
              <w:pStyle w:val="NoSpacing"/>
            </w:pPr>
            <w:r w:rsidRPr="00AA4AFD">
              <w:t>0.00</w:t>
            </w:r>
          </w:p>
        </w:tc>
        <w:tc>
          <w:tcPr>
            <w:tcW w:w="0" w:type="auto"/>
          </w:tcPr>
          <w:p w14:paraId="318261CC" w14:textId="77777777" w:rsidR="00AA4AFD" w:rsidRPr="00AA4AFD" w:rsidRDefault="00AA4AFD" w:rsidP="00AA4AFD">
            <w:pPr>
              <w:pStyle w:val="NoSpacing"/>
            </w:pPr>
            <w:r w:rsidRPr="00AA4AFD">
              <w:t>1.00</w:t>
            </w:r>
          </w:p>
        </w:tc>
        <w:tc>
          <w:tcPr>
            <w:tcW w:w="0" w:type="auto"/>
          </w:tcPr>
          <w:p w14:paraId="71EE9BF2" w14:textId="77777777" w:rsidR="00AA4AFD" w:rsidRPr="00AA4AFD" w:rsidRDefault="00AA4AFD" w:rsidP="00AA4AFD">
            <w:pPr>
              <w:pStyle w:val="NoSpacing"/>
            </w:pPr>
            <w:r w:rsidRPr="00AA4AFD">
              <w:t>−4.03</w:t>
            </w:r>
          </w:p>
        </w:tc>
        <w:tc>
          <w:tcPr>
            <w:tcW w:w="0" w:type="auto"/>
          </w:tcPr>
          <w:p w14:paraId="69E18A63" w14:textId="77777777" w:rsidR="00AA4AFD" w:rsidRPr="00AA4AFD" w:rsidRDefault="00AA4AFD" w:rsidP="00AA4AFD">
            <w:pPr>
              <w:pStyle w:val="NoSpacing"/>
            </w:pPr>
            <w:r w:rsidRPr="00AA4AFD">
              <w:t>2.13</w:t>
            </w:r>
          </w:p>
        </w:tc>
      </w:tr>
      <w:tr w:rsidR="00AA4AFD" w:rsidRPr="00AA4AFD" w14:paraId="52D46F8E" w14:textId="77777777" w:rsidTr="0029206A">
        <w:trPr>
          <w:trHeight w:val="221"/>
        </w:trPr>
        <w:tc>
          <w:tcPr>
            <w:tcW w:w="0" w:type="auto"/>
          </w:tcPr>
          <w:p w14:paraId="2BE954F9" w14:textId="77777777" w:rsidR="00AA4AFD" w:rsidRPr="00AA4AFD" w:rsidRDefault="00AA4AFD" w:rsidP="00AA4AFD">
            <w:pPr>
              <w:pStyle w:val="NoSpacing"/>
            </w:pPr>
            <w:r w:rsidRPr="00AA4AFD">
              <w:t>Control variables</w:t>
            </w:r>
          </w:p>
        </w:tc>
        <w:tc>
          <w:tcPr>
            <w:tcW w:w="0" w:type="auto"/>
          </w:tcPr>
          <w:p w14:paraId="316DAA67" w14:textId="77777777" w:rsidR="00AA4AFD" w:rsidRPr="00AA4AFD" w:rsidRDefault="00AA4AFD" w:rsidP="00AA4AFD">
            <w:pPr>
              <w:pStyle w:val="NoSpacing"/>
            </w:pPr>
          </w:p>
        </w:tc>
        <w:tc>
          <w:tcPr>
            <w:tcW w:w="0" w:type="auto"/>
          </w:tcPr>
          <w:p w14:paraId="572EF201" w14:textId="77777777" w:rsidR="00AA4AFD" w:rsidRPr="00AA4AFD" w:rsidRDefault="00AA4AFD" w:rsidP="00AA4AFD">
            <w:pPr>
              <w:pStyle w:val="NoSpacing"/>
            </w:pPr>
          </w:p>
        </w:tc>
        <w:tc>
          <w:tcPr>
            <w:tcW w:w="0" w:type="auto"/>
          </w:tcPr>
          <w:p w14:paraId="3F07003B" w14:textId="77777777" w:rsidR="00AA4AFD" w:rsidRPr="00AA4AFD" w:rsidRDefault="00AA4AFD" w:rsidP="00AA4AFD">
            <w:pPr>
              <w:pStyle w:val="NoSpacing"/>
            </w:pPr>
          </w:p>
        </w:tc>
        <w:tc>
          <w:tcPr>
            <w:tcW w:w="0" w:type="auto"/>
          </w:tcPr>
          <w:p w14:paraId="0AA0B88B" w14:textId="77777777" w:rsidR="00AA4AFD" w:rsidRPr="00AA4AFD" w:rsidRDefault="00AA4AFD" w:rsidP="00AA4AFD">
            <w:pPr>
              <w:pStyle w:val="NoSpacing"/>
            </w:pPr>
          </w:p>
        </w:tc>
      </w:tr>
      <w:tr w:rsidR="00AA4AFD" w:rsidRPr="00AA4AFD" w14:paraId="19C3D7B1" w14:textId="77777777" w:rsidTr="0029206A">
        <w:trPr>
          <w:trHeight w:val="209"/>
        </w:trPr>
        <w:tc>
          <w:tcPr>
            <w:tcW w:w="0" w:type="auto"/>
          </w:tcPr>
          <w:p w14:paraId="3AC88A3B" w14:textId="77777777" w:rsidR="00AA4AFD" w:rsidRPr="00AA4AFD" w:rsidRDefault="00AA4AFD" w:rsidP="00AA4AFD">
            <w:pPr>
              <w:pStyle w:val="NoSpacing"/>
            </w:pPr>
            <w:r w:rsidRPr="00AA4AFD">
              <w:t>Population density</w:t>
            </w:r>
          </w:p>
        </w:tc>
        <w:tc>
          <w:tcPr>
            <w:tcW w:w="0" w:type="auto"/>
          </w:tcPr>
          <w:p w14:paraId="3A6BC5A3" w14:textId="77777777" w:rsidR="00AA4AFD" w:rsidRPr="00AA4AFD" w:rsidRDefault="00AA4AFD" w:rsidP="00AA4AFD">
            <w:pPr>
              <w:pStyle w:val="NoSpacing"/>
            </w:pPr>
            <w:r w:rsidRPr="00AA4AFD">
              <w:t>10,476.20</w:t>
            </w:r>
          </w:p>
        </w:tc>
        <w:tc>
          <w:tcPr>
            <w:tcW w:w="0" w:type="auto"/>
          </w:tcPr>
          <w:p w14:paraId="5389CDA3" w14:textId="77777777" w:rsidR="00AA4AFD" w:rsidRPr="00AA4AFD" w:rsidRDefault="00AA4AFD" w:rsidP="00AA4AFD">
            <w:pPr>
              <w:pStyle w:val="NoSpacing"/>
            </w:pPr>
            <w:r w:rsidRPr="00AA4AFD">
              <w:t>6,662.68</w:t>
            </w:r>
          </w:p>
        </w:tc>
        <w:tc>
          <w:tcPr>
            <w:tcW w:w="0" w:type="auto"/>
          </w:tcPr>
          <w:p w14:paraId="68A2D4BB" w14:textId="77777777" w:rsidR="00AA4AFD" w:rsidRPr="00AA4AFD" w:rsidRDefault="00AA4AFD" w:rsidP="00AA4AFD">
            <w:pPr>
              <w:pStyle w:val="NoSpacing"/>
            </w:pPr>
            <w:r w:rsidRPr="00AA4AFD">
              <w:t>0.00</w:t>
            </w:r>
          </w:p>
        </w:tc>
        <w:tc>
          <w:tcPr>
            <w:tcW w:w="0" w:type="auto"/>
          </w:tcPr>
          <w:p w14:paraId="49C80710" w14:textId="77777777" w:rsidR="00AA4AFD" w:rsidRPr="00AA4AFD" w:rsidRDefault="00AA4AFD" w:rsidP="00AA4AFD">
            <w:pPr>
              <w:pStyle w:val="NoSpacing"/>
            </w:pPr>
            <w:r w:rsidRPr="00AA4AFD">
              <w:t>53,025.00</w:t>
            </w:r>
          </w:p>
        </w:tc>
      </w:tr>
      <w:tr w:rsidR="00AA4AFD" w:rsidRPr="00AA4AFD" w14:paraId="49771D6E" w14:textId="77777777" w:rsidTr="0029206A">
        <w:trPr>
          <w:trHeight w:val="273"/>
        </w:trPr>
        <w:tc>
          <w:tcPr>
            <w:tcW w:w="0" w:type="auto"/>
          </w:tcPr>
          <w:p w14:paraId="093663D7" w14:textId="77777777" w:rsidR="00AA4AFD" w:rsidRPr="00AA4AFD" w:rsidRDefault="00AA4AFD" w:rsidP="00AA4AFD">
            <w:pPr>
              <w:pStyle w:val="NoSpacing"/>
            </w:pPr>
            <w:r w:rsidRPr="00AA4AFD">
              <w:t>Percent vacant housing units</w:t>
            </w:r>
          </w:p>
        </w:tc>
        <w:tc>
          <w:tcPr>
            <w:tcW w:w="0" w:type="auto"/>
          </w:tcPr>
          <w:p w14:paraId="06A0EDF9" w14:textId="77777777" w:rsidR="00AA4AFD" w:rsidRPr="00AA4AFD" w:rsidRDefault="00AA4AFD" w:rsidP="00AA4AFD">
            <w:pPr>
              <w:pStyle w:val="NoSpacing"/>
            </w:pPr>
            <w:r w:rsidRPr="00AA4AFD">
              <w:t>10.14</w:t>
            </w:r>
          </w:p>
        </w:tc>
        <w:tc>
          <w:tcPr>
            <w:tcW w:w="0" w:type="auto"/>
          </w:tcPr>
          <w:p w14:paraId="66D62C24" w14:textId="77777777" w:rsidR="00AA4AFD" w:rsidRPr="00AA4AFD" w:rsidRDefault="00AA4AFD" w:rsidP="00AA4AFD">
            <w:pPr>
              <w:pStyle w:val="NoSpacing"/>
            </w:pPr>
            <w:r w:rsidRPr="00AA4AFD">
              <w:t>6.04</w:t>
            </w:r>
          </w:p>
        </w:tc>
        <w:tc>
          <w:tcPr>
            <w:tcW w:w="0" w:type="auto"/>
          </w:tcPr>
          <w:p w14:paraId="4168543E" w14:textId="77777777" w:rsidR="00AA4AFD" w:rsidRPr="00AA4AFD" w:rsidRDefault="00AA4AFD" w:rsidP="00AA4AFD">
            <w:pPr>
              <w:pStyle w:val="NoSpacing"/>
            </w:pPr>
            <w:r w:rsidRPr="00AA4AFD">
              <w:t>0.00</w:t>
            </w:r>
          </w:p>
        </w:tc>
        <w:tc>
          <w:tcPr>
            <w:tcW w:w="0" w:type="auto"/>
          </w:tcPr>
          <w:p w14:paraId="5A74AF54" w14:textId="77777777" w:rsidR="00AA4AFD" w:rsidRPr="00AA4AFD" w:rsidRDefault="00AA4AFD" w:rsidP="00AA4AFD">
            <w:pPr>
              <w:pStyle w:val="NoSpacing"/>
            </w:pPr>
            <w:r w:rsidRPr="00AA4AFD">
              <w:t>34.67</w:t>
            </w:r>
          </w:p>
        </w:tc>
      </w:tr>
    </w:tbl>
    <w:p w14:paraId="59CFB642" w14:textId="4109035C" w:rsidR="00AA4AFD" w:rsidRDefault="00AA4AFD" w:rsidP="00AA4AFD">
      <w:pPr>
        <w:pStyle w:val="NoSpacing"/>
      </w:pPr>
      <w:r w:rsidRPr="00AA4AFD">
        <w:rPr>
          <w:b/>
          <w:bCs/>
        </w:rPr>
        <w:t>Note.</w:t>
      </w:r>
      <w:r w:rsidRPr="00AA4AFD">
        <w:t xml:space="preserve"> IPV = intimate partner violence.</w:t>
      </w:r>
    </w:p>
    <w:p w14:paraId="11D2BB77" w14:textId="5C6E6BF1" w:rsidR="001D528A" w:rsidRDefault="001D528A" w:rsidP="00AA4AFD">
      <w:pPr>
        <w:pStyle w:val="NoSpacing"/>
      </w:pPr>
    </w:p>
    <w:p w14:paraId="132FE0BC" w14:textId="4129C789" w:rsidR="001D528A" w:rsidRDefault="001D528A" w:rsidP="001D528A">
      <w:pPr>
        <w:pStyle w:val="NoSpacing"/>
      </w:pPr>
      <w:r w:rsidRPr="001D528A">
        <w:rPr>
          <w:b/>
          <w:bCs/>
        </w:rPr>
        <w:t>Table 3.</w:t>
      </w:r>
      <w:r w:rsidRPr="001D528A">
        <w:t xml:space="preserve"> Descriptive Statistics for Transformed Variables.</w:t>
      </w:r>
    </w:p>
    <w:tbl>
      <w:tblPr>
        <w:tblStyle w:val="TableGridLight"/>
        <w:tblW w:w="0" w:type="auto"/>
        <w:tblLook w:val="0020" w:firstRow="1" w:lastRow="0" w:firstColumn="0" w:lastColumn="0" w:noHBand="0" w:noVBand="0"/>
      </w:tblPr>
      <w:tblGrid>
        <w:gridCol w:w="2794"/>
        <w:gridCol w:w="718"/>
        <w:gridCol w:w="718"/>
        <w:gridCol w:w="1111"/>
        <w:gridCol w:w="1148"/>
      </w:tblGrid>
      <w:tr w:rsidR="001D528A" w:rsidRPr="001D528A" w14:paraId="538708FF" w14:textId="77777777" w:rsidTr="0029206A">
        <w:trPr>
          <w:trHeight w:val="355"/>
        </w:trPr>
        <w:tc>
          <w:tcPr>
            <w:tcW w:w="0" w:type="auto"/>
          </w:tcPr>
          <w:p w14:paraId="4E6541B4" w14:textId="77777777" w:rsidR="001D528A" w:rsidRPr="001D528A" w:rsidRDefault="001D528A" w:rsidP="001D528A">
            <w:pPr>
              <w:pStyle w:val="NoSpacing"/>
            </w:pPr>
          </w:p>
        </w:tc>
        <w:tc>
          <w:tcPr>
            <w:tcW w:w="0" w:type="auto"/>
          </w:tcPr>
          <w:p w14:paraId="1D966717" w14:textId="77777777" w:rsidR="001D528A" w:rsidRPr="001D528A" w:rsidRDefault="001D528A" w:rsidP="001D528A">
            <w:pPr>
              <w:pStyle w:val="NoSpacing"/>
              <w:rPr>
                <w:b/>
                <w:bCs/>
                <w:i/>
                <w:iCs/>
              </w:rPr>
            </w:pPr>
            <w:r w:rsidRPr="001D528A">
              <w:rPr>
                <w:b/>
                <w:bCs/>
                <w:i/>
                <w:iCs/>
              </w:rPr>
              <w:t>M</w:t>
            </w:r>
          </w:p>
        </w:tc>
        <w:tc>
          <w:tcPr>
            <w:tcW w:w="0" w:type="auto"/>
          </w:tcPr>
          <w:p w14:paraId="2DFDA8E2" w14:textId="77777777" w:rsidR="001D528A" w:rsidRPr="001D528A" w:rsidRDefault="001D528A" w:rsidP="001D528A">
            <w:pPr>
              <w:pStyle w:val="NoSpacing"/>
              <w:rPr>
                <w:b/>
                <w:bCs/>
                <w:i/>
                <w:iCs/>
              </w:rPr>
            </w:pPr>
            <w:r w:rsidRPr="001D528A">
              <w:rPr>
                <w:b/>
                <w:bCs/>
                <w:i/>
                <w:iCs/>
              </w:rPr>
              <w:t>SD</w:t>
            </w:r>
          </w:p>
        </w:tc>
        <w:tc>
          <w:tcPr>
            <w:tcW w:w="0" w:type="auto"/>
          </w:tcPr>
          <w:p w14:paraId="7744C389" w14:textId="77777777" w:rsidR="001D528A" w:rsidRPr="001D528A" w:rsidRDefault="001D528A" w:rsidP="001D528A">
            <w:pPr>
              <w:pStyle w:val="NoSpacing"/>
              <w:rPr>
                <w:b/>
                <w:bCs/>
              </w:rPr>
            </w:pPr>
            <w:r w:rsidRPr="001D528A">
              <w:rPr>
                <w:b/>
                <w:bCs/>
              </w:rPr>
              <w:t>Minimum</w:t>
            </w:r>
          </w:p>
        </w:tc>
        <w:tc>
          <w:tcPr>
            <w:tcW w:w="0" w:type="auto"/>
          </w:tcPr>
          <w:p w14:paraId="240E4C04" w14:textId="77777777" w:rsidR="001D528A" w:rsidRPr="001D528A" w:rsidRDefault="001D528A" w:rsidP="001D528A">
            <w:pPr>
              <w:pStyle w:val="NoSpacing"/>
              <w:rPr>
                <w:b/>
                <w:bCs/>
              </w:rPr>
            </w:pPr>
            <w:r w:rsidRPr="001D528A">
              <w:rPr>
                <w:b/>
                <w:bCs/>
              </w:rPr>
              <w:t>Maximum</w:t>
            </w:r>
          </w:p>
        </w:tc>
      </w:tr>
      <w:tr w:rsidR="001D528A" w:rsidRPr="001D528A" w14:paraId="66E4B9CC" w14:textId="77777777" w:rsidTr="0029206A">
        <w:trPr>
          <w:trHeight w:val="280"/>
        </w:trPr>
        <w:tc>
          <w:tcPr>
            <w:tcW w:w="0" w:type="auto"/>
          </w:tcPr>
          <w:p w14:paraId="7E710CC7" w14:textId="77777777" w:rsidR="001D528A" w:rsidRPr="001D528A" w:rsidRDefault="001D528A" w:rsidP="001D528A">
            <w:pPr>
              <w:pStyle w:val="NoSpacing"/>
            </w:pPr>
            <w:r w:rsidRPr="001D528A">
              <w:t>Dependent variables</w:t>
            </w:r>
          </w:p>
        </w:tc>
        <w:tc>
          <w:tcPr>
            <w:tcW w:w="0" w:type="auto"/>
          </w:tcPr>
          <w:p w14:paraId="52042EF2" w14:textId="77777777" w:rsidR="001D528A" w:rsidRPr="001D528A" w:rsidRDefault="001D528A" w:rsidP="001D528A">
            <w:pPr>
              <w:pStyle w:val="NoSpacing"/>
            </w:pPr>
          </w:p>
        </w:tc>
        <w:tc>
          <w:tcPr>
            <w:tcW w:w="0" w:type="auto"/>
          </w:tcPr>
          <w:p w14:paraId="0589CF1D" w14:textId="77777777" w:rsidR="001D528A" w:rsidRPr="001D528A" w:rsidRDefault="001D528A" w:rsidP="001D528A">
            <w:pPr>
              <w:pStyle w:val="NoSpacing"/>
            </w:pPr>
          </w:p>
        </w:tc>
        <w:tc>
          <w:tcPr>
            <w:tcW w:w="0" w:type="auto"/>
          </w:tcPr>
          <w:p w14:paraId="12DB2CCE" w14:textId="77777777" w:rsidR="001D528A" w:rsidRPr="001D528A" w:rsidRDefault="001D528A" w:rsidP="001D528A">
            <w:pPr>
              <w:pStyle w:val="NoSpacing"/>
            </w:pPr>
          </w:p>
        </w:tc>
        <w:tc>
          <w:tcPr>
            <w:tcW w:w="0" w:type="auto"/>
          </w:tcPr>
          <w:p w14:paraId="7D52A72F" w14:textId="77777777" w:rsidR="001D528A" w:rsidRPr="001D528A" w:rsidRDefault="001D528A" w:rsidP="001D528A">
            <w:pPr>
              <w:pStyle w:val="NoSpacing"/>
            </w:pPr>
          </w:p>
        </w:tc>
      </w:tr>
      <w:tr w:rsidR="001D528A" w:rsidRPr="001D528A" w14:paraId="0359F2BC" w14:textId="77777777" w:rsidTr="0029206A">
        <w:trPr>
          <w:trHeight w:val="230"/>
        </w:trPr>
        <w:tc>
          <w:tcPr>
            <w:tcW w:w="0" w:type="auto"/>
          </w:tcPr>
          <w:p w14:paraId="6FB8AD89" w14:textId="77777777" w:rsidR="001D528A" w:rsidRPr="001D528A" w:rsidRDefault="001D528A" w:rsidP="001D528A">
            <w:pPr>
              <w:pStyle w:val="NoSpacing"/>
            </w:pPr>
            <w:r w:rsidRPr="001D528A">
              <w:t>Female violent density</w:t>
            </w:r>
          </w:p>
        </w:tc>
        <w:tc>
          <w:tcPr>
            <w:tcW w:w="0" w:type="auto"/>
          </w:tcPr>
          <w:p w14:paraId="1AE6463A" w14:textId="77777777" w:rsidR="001D528A" w:rsidRPr="001D528A" w:rsidRDefault="001D528A" w:rsidP="001D528A">
            <w:pPr>
              <w:pStyle w:val="NoSpacing"/>
            </w:pPr>
            <w:r w:rsidRPr="001D528A">
              <w:t>10.51</w:t>
            </w:r>
          </w:p>
        </w:tc>
        <w:tc>
          <w:tcPr>
            <w:tcW w:w="0" w:type="auto"/>
          </w:tcPr>
          <w:p w14:paraId="0F20D074" w14:textId="77777777" w:rsidR="001D528A" w:rsidRPr="001D528A" w:rsidRDefault="001D528A" w:rsidP="001D528A">
            <w:pPr>
              <w:pStyle w:val="NoSpacing"/>
            </w:pPr>
            <w:r w:rsidRPr="001D528A">
              <w:t>6.39</w:t>
            </w:r>
          </w:p>
        </w:tc>
        <w:tc>
          <w:tcPr>
            <w:tcW w:w="0" w:type="auto"/>
          </w:tcPr>
          <w:p w14:paraId="78E99A26" w14:textId="77777777" w:rsidR="001D528A" w:rsidRPr="001D528A" w:rsidRDefault="001D528A" w:rsidP="001D528A">
            <w:pPr>
              <w:pStyle w:val="NoSpacing"/>
            </w:pPr>
            <w:r w:rsidRPr="001D528A">
              <w:t>0.00</w:t>
            </w:r>
          </w:p>
        </w:tc>
        <w:tc>
          <w:tcPr>
            <w:tcW w:w="0" w:type="auto"/>
          </w:tcPr>
          <w:p w14:paraId="34CBA3DC" w14:textId="77777777" w:rsidR="001D528A" w:rsidRPr="001D528A" w:rsidRDefault="001D528A" w:rsidP="001D528A">
            <w:pPr>
              <w:pStyle w:val="NoSpacing"/>
            </w:pPr>
            <w:r w:rsidRPr="001D528A">
              <w:t>32.48</w:t>
            </w:r>
          </w:p>
        </w:tc>
      </w:tr>
      <w:tr w:rsidR="001D528A" w:rsidRPr="001D528A" w14:paraId="3E36A5E1" w14:textId="77777777" w:rsidTr="0029206A">
        <w:trPr>
          <w:trHeight w:val="230"/>
        </w:trPr>
        <w:tc>
          <w:tcPr>
            <w:tcW w:w="0" w:type="auto"/>
          </w:tcPr>
          <w:p w14:paraId="2CC1D889" w14:textId="77777777" w:rsidR="001D528A" w:rsidRPr="001D528A" w:rsidRDefault="001D528A" w:rsidP="001D528A">
            <w:pPr>
              <w:pStyle w:val="NoSpacing"/>
            </w:pPr>
            <w:r w:rsidRPr="001D528A">
              <w:t>Female non-IPV density</w:t>
            </w:r>
          </w:p>
        </w:tc>
        <w:tc>
          <w:tcPr>
            <w:tcW w:w="0" w:type="auto"/>
          </w:tcPr>
          <w:p w14:paraId="239CC920" w14:textId="77777777" w:rsidR="001D528A" w:rsidRPr="001D528A" w:rsidRDefault="001D528A" w:rsidP="001D528A">
            <w:pPr>
              <w:pStyle w:val="NoSpacing"/>
            </w:pPr>
            <w:r w:rsidRPr="001D528A">
              <w:t>8.65</w:t>
            </w:r>
          </w:p>
        </w:tc>
        <w:tc>
          <w:tcPr>
            <w:tcW w:w="0" w:type="auto"/>
          </w:tcPr>
          <w:p w14:paraId="50DCA3CB" w14:textId="77777777" w:rsidR="001D528A" w:rsidRPr="001D528A" w:rsidRDefault="001D528A" w:rsidP="001D528A">
            <w:pPr>
              <w:pStyle w:val="NoSpacing"/>
            </w:pPr>
            <w:r w:rsidRPr="001D528A">
              <w:t>5.60</w:t>
            </w:r>
          </w:p>
        </w:tc>
        <w:tc>
          <w:tcPr>
            <w:tcW w:w="0" w:type="auto"/>
          </w:tcPr>
          <w:p w14:paraId="3B84946A" w14:textId="77777777" w:rsidR="001D528A" w:rsidRPr="001D528A" w:rsidRDefault="001D528A" w:rsidP="001D528A">
            <w:pPr>
              <w:pStyle w:val="NoSpacing"/>
            </w:pPr>
            <w:r w:rsidRPr="001D528A">
              <w:t>0.00</w:t>
            </w:r>
          </w:p>
        </w:tc>
        <w:tc>
          <w:tcPr>
            <w:tcW w:w="0" w:type="auto"/>
          </w:tcPr>
          <w:p w14:paraId="683E6F09" w14:textId="77777777" w:rsidR="001D528A" w:rsidRPr="001D528A" w:rsidRDefault="001D528A" w:rsidP="001D528A">
            <w:pPr>
              <w:pStyle w:val="NoSpacing"/>
            </w:pPr>
            <w:r w:rsidRPr="001D528A">
              <w:t>25.34</w:t>
            </w:r>
          </w:p>
        </w:tc>
      </w:tr>
      <w:tr w:rsidR="001D528A" w:rsidRPr="001D528A" w14:paraId="630A0257" w14:textId="77777777" w:rsidTr="0029206A">
        <w:trPr>
          <w:trHeight w:val="230"/>
        </w:trPr>
        <w:tc>
          <w:tcPr>
            <w:tcW w:w="0" w:type="auto"/>
          </w:tcPr>
          <w:p w14:paraId="51867B02" w14:textId="77777777" w:rsidR="001D528A" w:rsidRPr="001D528A" w:rsidRDefault="001D528A" w:rsidP="001D528A">
            <w:pPr>
              <w:pStyle w:val="NoSpacing"/>
            </w:pPr>
            <w:r w:rsidRPr="001D528A">
              <w:t>Male violent density</w:t>
            </w:r>
          </w:p>
        </w:tc>
        <w:tc>
          <w:tcPr>
            <w:tcW w:w="0" w:type="auto"/>
          </w:tcPr>
          <w:p w14:paraId="2F29E680" w14:textId="77777777" w:rsidR="001D528A" w:rsidRPr="001D528A" w:rsidRDefault="001D528A" w:rsidP="001D528A">
            <w:pPr>
              <w:pStyle w:val="NoSpacing"/>
            </w:pPr>
            <w:r w:rsidRPr="001D528A">
              <w:t>12.17</w:t>
            </w:r>
          </w:p>
        </w:tc>
        <w:tc>
          <w:tcPr>
            <w:tcW w:w="0" w:type="auto"/>
          </w:tcPr>
          <w:p w14:paraId="757C901E" w14:textId="77777777" w:rsidR="001D528A" w:rsidRPr="001D528A" w:rsidRDefault="001D528A" w:rsidP="001D528A">
            <w:pPr>
              <w:pStyle w:val="NoSpacing"/>
            </w:pPr>
            <w:r w:rsidRPr="001D528A">
              <w:t>7.56</w:t>
            </w:r>
          </w:p>
        </w:tc>
        <w:tc>
          <w:tcPr>
            <w:tcW w:w="0" w:type="auto"/>
          </w:tcPr>
          <w:p w14:paraId="46B1C403" w14:textId="77777777" w:rsidR="001D528A" w:rsidRPr="001D528A" w:rsidRDefault="001D528A" w:rsidP="001D528A">
            <w:pPr>
              <w:pStyle w:val="NoSpacing"/>
            </w:pPr>
            <w:r w:rsidRPr="001D528A">
              <w:t>0.00</w:t>
            </w:r>
          </w:p>
        </w:tc>
        <w:tc>
          <w:tcPr>
            <w:tcW w:w="0" w:type="auto"/>
          </w:tcPr>
          <w:p w14:paraId="2CB97D55" w14:textId="77777777" w:rsidR="001D528A" w:rsidRPr="001D528A" w:rsidRDefault="001D528A" w:rsidP="001D528A">
            <w:pPr>
              <w:pStyle w:val="NoSpacing"/>
            </w:pPr>
            <w:r w:rsidRPr="001D528A">
              <w:t>32.07</w:t>
            </w:r>
          </w:p>
        </w:tc>
      </w:tr>
      <w:tr w:rsidR="001D528A" w:rsidRPr="001D528A" w14:paraId="344A1075" w14:textId="77777777" w:rsidTr="0029206A">
        <w:trPr>
          <w:trHeight w:val="219"/>
        </w:trPr>
        <w:tc>
          <w:tcPr>
            <w:tcW w:w="0" w:type="auto"/>
          </w:tcPr>
          <w:p w14:paraId="1208A2FE" w14:textId="77777777" w:rsidR="001D528A" w:rsidRPr="001D528A" w:rsidRDefault="001D528A" w:rsidP="001D528A">
            <w:pPr>
              <w:pStyle w:val="NoSpacing"/>
            </w:pPr>
            <w:r w:rsidRPr="001D528A">
              <w:t>Male non-IPV density</w:t>
            </w:r>
          </w:p>
        </w:tc>
        <w:tc>
          <w:tcPr>
            <w:tcW w:w="0" w:type="auto"/>
          </w:tcPr>
          <w:p w14:paraId="7061A683" w14:textId="77777777" w:rsidR="001D528A" w:rsidRPr="001D528A" w:rsidRDefault="001D528A" w:rsidP="001D528A">
            <w:pPr>
              <w:pStyle w:val="NoSpacing"/>
            </w:pPr>
            <w:r w:rsidRPr="001D528A">
              <w:t>11.36</w:t>
            </w:r>
          </w:p>
        </w:tc>
        <w:tc>
          <w:tcPr>
            <w:tcW w:w="0" w:type="auto"/>
          </w:tcPr>
          <w:p w14:paraId="6D3DF14A" w14:textId="77777777" w:rsidR="001D528A" w:rsidRPr="001D528A" w:rsidRDefault="001D528A" w:rsidP="001D528A">
            <w:pPr>
              <w:pStyle w:val="NoSpacing"/>
            </w:pPr>
            <w:r w:rsidRPr="001D528A">
              <w:t>7.19</w:t>
            </w:r>
          </w:p>
        </w:tc>
        <w:tc>
          <w:tcPr>
            <w:tcW w:w="0" w:type="auto"/>
          </w:tcPr>
          <w:p w14:paraId="7C5E8DE7" w14:textId="77777777" w:rsidR="001D528A" w:rsidRPr="001D528A" w:rsidRDefault="001D528A" w:rsidP="001D528A">
            <w:pPr>
              <w:pStyle w:val="NoSpacing"/>
            </w:pPr>
            <w:r w:rsidRPr="001D528A">
              <w:t>0.00</w:t>
            </w:r>
          </w:p>
        </w:tc>
        <w:tc>
          <w:tcPr>
            <w:tcW w:w="0" w:type="auto"/>
          </w:tcPr>
          <w:p w14:paraId="5276D805" w14:textId="77777777" w:rsidR="001D528A" w:rsidRPr="001D528A" w:rsidRDefault="001D528A" w:rsidP="001D528A">
            <w:pPr>
              <w:pStyle w:val="NoSpacing"/>
            </w:pPr>
            <w:r w:rsidRPr="001D528A">
              <w:t>31.72</w:t>
            </w:r>
          </w:p>
        </w:tc>
      </w:tr>
      <w:tr w:rsidR="001D528A" w:rsidRPr="001D528A" w14:paraId="50661F20" w14:textId="77777777" w:rsidTr="0029206A">
        <w:trPr>
          <w:trHeight w:val="240"/>
        </w:trPr>
        <w:tc>
          <w:tcPr>
            <w:tcW w:w="0" w:type="auto"/>
          </w:tcPr>
          <w:p w14:paraId="18662DC6" w14:textId="77777777" w:rsidR="001D528A" w:rsidRPr="001D528A" w:rsidRDefault="001D528A" w:rsidP="001D528A">
            <w:pPr>
              <w:pStyle w:val="NoSpacing"/>
            </w:pPr>
            <w:r w:rsidRPr="001D528A">
              <w:t>Alcohol outlets</w:t>
            </w:r>
          </w:p>
        </w:tc>
        <w:tc>
          <w:tcPr>
            <w:tcW w:w="0" w:type="auto"/>
          </w:tcPr>
          <w:p w14:paraId="22F6D388" w14:textId="77777777" w:rsidR="001D528A" w:rsidRPr="001D528A" w:rsidRDefault="001D528A" w:rsidP="001D528A">
            <w:pPr>
              <w:pStyle w:val="NoSpacing"/>
            </w:pPr>
          </w:p>
        </w:tc>
        <w:tc>
          <w:tcPr>
            <w:tcW w:w="0" w:type="auto"/>
          </w:tcPr>
          <w:p w14:paraId="721DD0A2" w14:textId="77777777" w:rsidR="001D528A" w:rsidRPr="001D528A" w:rsidRDefault="001D528A" w:rsidP="001D528A">
            <w:pPr>
              <w:pStyle w:val="NoSpacing"/>
            </w:pPr>
          </w:p>
        </w:tc>
        <w:tc>
          <w:tcPr>
            <w:tcW w:w="0" w:type="auto"/>
          </w:tcPr>
          <w:p w14:paraId="7CD9DAF2" w14:textId="77777777" w:rsidR="001D528A" w:rsidRPr="001D528A" w:rsidRDefault="001D528A" w:rsidP="001D528A">
            <w:pPr>
              <w:pStyle w:val="NoSpacing"/>
            </w:pPr>
          </w:p>
        </w:tc>
        <w:tc>
          <w:tcPr>
            <w:tcW w:w="0" w:type="auto"/>
          </w:tcPr>
          <w:p w14:paraId="4CB17F1B" w14:textId="77777777" w:rsidR="001D528A" w:rsidRPr="001D528A" w:rsidRDefault="001D528A" w:rsidP="001D528A">
            <w:pPr>
              <w:pStyle w:val="NoSpacing"/>
            </w:pPr>
          </w:p>
        </w:tc>
      </w:tr>
      <w:tr w:rsidR="001D528A" w:rsidRPr="001D528A" w14:paraId="72AC3EFE" w14:textId="77777777" w:rsidTr="0029206A">
        <w:trPr>
          <w:trHeight w:val="230"/>
        </w:trPr>
        <w:tc>
          <w:tcPr>
            <w:tcW w:w="0" w:type="auto"/>
          </w:tcPr>
          <w:p w14:paraId="78C4F32D" w14:textId="77777777" w:rsidR="001D528A" w:rsidRPr="001D528A" w:rsidRDefault="001D528A" w:rsidP="001D528A">
            <w:pPr>
              <w:pStyle w:val="NoSpacing"/>
            </w:pPr>
            <w:r w:rsidRPr="001D528A">
              <w:t>On-premise density</w:t>
            </w:r>
          </w:p>
        </w:tc>
        <w:tc>
          <w:tcPr>
            <w:tcW w:w="0" w:type="auto"/>
          </w:tcPr>
          <w:p w14:paraId="36B1FC69" w14:textId="77777777" w:rsidR="001D528A" w:rsidRPr="001D528A" w:rsidRDefault="001D528A" w:rsidP="001D528A">
            <w:pPr>
              <w:pStyle w:val="NoSpacing"/>
            </w:pPr>
            <w:r w:rsidRPr="001D528A">
              <w:t>0.65</w:t>
            </w:r>
          </w:p>
        </w:tc>
        <w:tc>
          <w:tcPr>
            <w:tcW w:w="0" w:type="auto"/>
          </w:tcPr>
          <w:p w14:paraId="652D13BF" w14:textId="77777777" w:rsidR="001D528A" w:rsidRPr="001D528A" w:rsidRDefault="001D528A" w:rsidP="001D528A">
            <w:pPr>
              <w:pStyle w:val="NoSpacing"/>
            </w:pPr>
            <w:r w:rsidRPr="001D528A">
              <w:t>0.70</w:t>
            </w:r>
          </w:p>
        </w:tc>
        <w:tc>
          <w:tcPr>
            <w:tcW w:w="0" w:type="auto"/>
          </w:tcPr>
          <w:p w14:paraId="0D5B6ACB" w14:textId="77777777" w:rsidR="001D528A" w:rsidRPr="001D528A" w:rsidRDefault="001D528A" w:rsidP="001D528A">
            <w:pPr>
              <w:pStyle w:val="NoSpacing"/>
            </w:pPr>
            <w:r w:rsidRPr="001D528A">
              <w:t>0.00</w:t>
            </w:r>
          </w:p>
        </w:tc>
        <w:tc>
          <w:tcPr>
            <w:tcW w:w="0" w:type="auto"/>
          </w:tcPr>
          <w:p w14:paraId="071CB083" w14:textId="77777777" w:rsidR="001D528A" w:rsidRPr="001D528A" w:rsidRDefault="001D528A" w:rsidP="001D528A">
            <w:pPr>
              <w:pStyle w:val="NoSpacing"/>
            </w:pPr>
            <w:r w:rsidRPr="001D528A">
              <w:t>2.52</w:t>
            </w:r>
          </w:p>
        </w:tc>
      </w:tr>
      <w:tr w:rsidR="001D528A" w:rsidRPr="001D528A" w14:paraId="59A8A1C3" w14:textId="77777777" w:rsidTr="0029206A">
        <w:trPr>
          <w:trHeight w:val="230"/>
        </w:trPr>
        <w:tc>
          <w:tcPr>
            <w:tcW w:w="0" w:type="auto"/>
          </w:tcPr>
          <w:p w14:paraId="54F99952" w14:textId="77777777" w:rsidR="001D528A" w:rsidRPr="001D528A" w:rsidRDefault="001D528A" w:rsidP="001D528A">
            <w:pPr>
              <w:pStyle w:val="NoSpacing"/>
            </w:pPr>
            <w:r w:rsidRPr="001D528A">
              <w:t>Off-premise density</w:t>
            </w:r>
          </w:p>
        </w:tc>
        <w:tc>
          <w:tcPr>
            <w:tcW w:w="0" w:type="auto"/>
          </w:tcPr>
          <w:p w14:paraId="067BD328" w14:textId="77777777" w:rsidR="001D528A" w:rsidRPr="001D528A" w:rsidRDefault="001D528A" w:rsidP="001D528A">
            <w:pPr>
              <w:pStyle w:val="NoSpacing"/>
            </w:pPr>
            <w:r w:rsidRPr="001D528A">
              <w:t>0.41</w:t>
            </w:r>
          </w:p>
        </w:tc>
        <w:tc>
          <w:tcPr>
            <w:tcW w:w="0" w:type="auto"/>
          </w:tcPr>
          <w:p w14:paraId="57605C61" w14:textId="77777777" w:rsidR="001D528A" w:rsidRPr="001D528A" w:rsidRDefault="001D528A" w:rsidP="001D528A">
            <w:pPr>
              <w:pStyle w:val="NoSpacing"/>
            </w:pPr>
            <w:r w:rsidRPr="001D528A">
              <w:t>0.58</w:t>
            </w:r>
          </w:p>
        </w:tc>
        <w:tc>
          <w:tcPr>
            <w:tcW w:w="0" w:type="auto"/>
          </w:tcPr>
          <w:p w14:paraId="26C4CD95" w14:textId="77777777" w:rsidR="001D528A" w:rsidRPr="001D528A" w:rsidRDefault="001D528A" w:rsidP="001D528A">
            <w:pPr>
              <w:pStyle w:val="NoSpacing"/>
            </w:pPr>
            <w:r w:rsidRPr="001D528A">
              <w:t>0.00</w:t>
            </w:r>
          </w:p>
        </w:tc>
        <w:tc>
          <w:tcPr>
            <w:tcW w:w="0" w:type="auto"/>
          </w:tcPr>
          <w:p w14:paraId="670F8686" w14:textId="77777777" w:rsidR="001D528A" w:rsidRPr="001D528A" w:rsidRDefault="001D528A" w:rsidP="001D528A">
            <w:pPr>
              <w:pStyle w:val="NoSpacing"/>
            </w:pPr>
            <w:r w:rsidRPr="001D528A">
              <w:t>1.82</w:t>
            </w:r>
          </w:p>
        </w:tc>
      </w:tr>
      <w:tr w:rsidR="001D528A" w:rsidRPr="001D528A" w14:paraId="613ECBEA" w14:textId="77777777" w:rsidTr="0029206A">
        <w:trPr>
          <w:trHeight w:val="230"/>
        </w:trPr>
        <w:tc>
          <w:tcPr>
            <w:tcW w:w="0" w:type="auto"/>
          </w:tcPr>
          <w:p w14:paraId="3552A2F0" w14:textId="77777777" w:rsidR="001D528A" w:rsidRPr="001D528A" w:rsidRDefault="001D528A" w:rsidP="001D528A">
            <w:pPr>
              <w:pStyle w:val="NoSpacing"/>
            </w:pPr>
            <w:r w:rsidRPr="001D528A">
              <w:t>Social disorganization</w:t>
            </w:r>
          </w:p>
        </w:tc>
        <w:tc>
          <w:tcPr>
            <w:tcW w:w="0" w:type="auto"/>
          </w:tcPr>
          <w:p w14:paraId="3E4196A5" w14:textId="77777777" w:rsidR="001D528A" w:rsidRPr="001D528A" w:rsidRDefault="001D528A" w:rsidP="001D528A">
            <w:pPr>
              <w:pStyle w:val="NoSpacing"/>
            </w:pPr>
          </w:p>
        </w:tc>
        <w:tc>
          <w:tcPr>
            <w:tcW w:w="0" w:type="auto"/>
          </w:tcPr>
          <w:p w14:paraId="753D2063" w14:textId="77777777" w:rsidR="001D528A" w:rsidRPr="001D528A" w:rsidRDefault="001D528A" w:rsidP="001D528A">
            <w:pPr>
              <w:pStyle w:val="NoSpacing"/>
            </w:pPr>
          </w:p>
        </w:tc>
        <w:tc>
          <w:tcPr>
            <w:tcW w:w="0" w:type="auto"/>
          </w:tcPr>
          <w:p w14:paraId="45107E1C" w14:textId="77777777" w:rsidR="001D528A" w:rsidRPr="001D528A" w:rsidRDefault="001D528A" w:rsidP="001D528A">
            <w:pPr>
              <w:pStyle w:val="NoSpacing"/>
            </w:pPr>
          </w:p>
        </w:tc>
        <w:tc>
          <w:tcPr>
            <w:tcW w:w="0" w:type="auto"/>
          </w:tcPr>
          <w:p w14:paraId="24C2D3A9" w14:textId="77777777" w:rsidR="001D528A" w:rsidRPr="001D528A" w:rsidRDefault="001D528A" w:rsidP="001D528A">
            <w:pPr>
              <w:pStyle w:val="NoSpacing"/>
            </w:pPr>
          </w:p>
        </w:tc>
      </w:tr>
      <w:tr w:rsidR="001D528A" w:rsidRPr="001D528A" w14:paraId="6C9330F5" w14:textId="77777777" w:rsidTr="0029206A">
        <w:trPr>
          <w:trHeight w:val="230"/>
        </w:trPr>
        <w:tc>
          <w:tcPr>
            <w:tcW w:w="0" w:type="auto"/>
          </w:tcPr>
          <w:p w14:paraId="4121C1D3" w14:textId="77777777" w:rsidR="001D528A" w:rsidRPr="001D528A" w:rsidRDefault="001D528A" w:rsidP="001D528A">
            <w:pPr>
              <w:pStyle w:val="NoSpacing"/>
            </w:pPr>
            <w:r w:rsidRPr="001D528A">
              <w:t>Concentrated affluence</w:t>
            </w:r>
          </w:p>
        </w:tc>
        <w:tc>
          <w:tcPr>
            <w:tcW w:w="0" w:type="auto"/>
          </w:tcPr>
          <w:p w14:paraId="4715921F" w14:textId="77777777" w:rsidR="001D528A" w:rsidRPr="001D528A" w:rsidRDefault="001D528A" w:rsidP="001D528A">
            <w:pPr>
              <w:pStyle w:val="NoSpacing"/>
            </w:pPr>
            <w:r w:rsidRPr="001D528A">
              <w:t>0.46</w:t>
            </w:r>
          </w:p>
        </w:tc>
        <w:tc>
          <w:tcPr>
            <w:tcW w:w="0" w:type="auto"/>
          </w:tcPr>
          <w:p w14:paraId="21937A44" w14:textId="77777777" w:rsidR="001D528A" w:rsidRPr="001D528A" w:rsidRDefault="001D528A" w:rsidP="001D528A">
            <w:pPr>
              <w:pStyle w:val="NoSpacing"/>
            </w:pPr>
            <w:r w:rsidRPr="001D528A">
              <w:t>0.14</w:t>
            </w:r>
          </w:p>
        </w:tc>
        <w:tc>
          <w:tcPr>
            <w:tcW w:w="0" w:type="auto"/>
          </w:tcPr>
          <w:p w14:paraId="31C655BA" w14:textId="77777777" w:rsidR="001D528A" w:rsidRPr="001D528A" w:rsidRDefault="001D528A" w:rsidP="001D528A">
            <w:pPr>
              <w:pStyle w:val="NoSpacing"/>
            </w:pPr>
            <w:r w:rsidRPr="001D528A">
              <w:t>0.00</w:t>
            </w:r>
          </w:p>
        </w:tc>
        <w:tc>
          <w:tcPr>
            <w:tcW w:w="0" w:type="auto"/>
          </w:tcPr>
          <w:p w14:paraId="20D37DF0" w14:textId="77777777" w:rsidR="001D528A" w:rsidRPr="001D528A" w:rsidRDefault="001D528A" w:rsidP="001D528A">
            <w:pPr>
              <w:pStyle w:val="NoSpacing"/>
            </w:pPr>
            <w:r w:rsidRPr="001D528A">
              <w:t>0.81</w:t>
            </w:r>
          </w:p>
        </w:tc>
      </w:tr>
      <w:tr w:rsidR="001D528A" w:rsidRPr="001D528A" w14:paraId="78CE679B" w14:textId="77777777" w:rsidTr="0029206A">
        <w:trPr>
          <w:trHeight w:val="230"/>
        </w:trPr>
        <w:tc>
          <w:tcPr>
            <w:tcW w:w="0" w:type="auto"/>
          </w:tcPr>
          <w:p w14:paraId="65CA1FDC" w14:textId="77777777" w:rsidR="001D528A" w:rsidRPr="001D528A" w:rsidRDefault="001D528A" w:rsidP="001D528A">
            <w:pPr>
              <w:pStyle w:val="NoSpacing"/>
            </w:pPr>
            <w:r w:rsidRPr="001D528A">
              <w:t>Concentrated disadvantage</w:t>
            </w:r>
          </w:p>
        </w:tc>
        <w:tc>
          <w:tcPr>
            <w:tcW w:w="0" w:type="auto"/>
          </w:tcPr>
          <w:p w14:paraId="16353AAD" w14:textId="77777777" w:rsidR="001D528A" w:rsidRPr="001D528A" w:rsidRDefault="001D528A" w:rsidP="001D528A">
            <w:pPr>
              <w:pStyle w:val="NoSpacing"/>
            </w:pPr>
            <w:r w:rsidRPr="001D528A">
              <w:t>0.62</w:t>
            </w:r>
          </w:p>
        </w:tc>
        <w:tc>
          <w:tcPr>
            <w:tcW w:w="0" w:type="auto"/>
          </w:tcPr>
          <w:p w14:paraId="1318CD13" w14:textId="77777777" w:rsidR="001D528A" w:rsidRPr="001D528A" w:rsidRDefault="001D528A" w:rsidP="001D528A">
            <w:pPr>
              <w:pStyle w:val="NoSpacing"/>
            </w:pPr>
            <w:r w:rsidRPr="001D528A">
              <w:t>0.10</w:t>
            </w:r>
          </w:p>
        </w:tc>
        <w:tc>
          <w:tcPr>
            <w:tcW w:w="0" w:type="auto"/>
          </w:tcPr>
          <w:p w14:paraId="39801DA8" w14:textId="77777777" w:rsidR="001D528A" w:rsidRPr="001D528A" w:rsidRDefault="001D528A" w:rsidP="001D528A">
            <w:pPr>
              <w:pStyle w:val="NoSpacing"/>
            </w:pPr>
            <w:r w:rsidRPr="001D528A">
              <w:t>0.00</w:t>
            </w:r>
          </w:p>
        </w:tc>
        <w:tc>
          <w:tcPr>
            <w:tcW w:w="0" w:type="auto"/>
          </w:tcPr>
          <w:p w14:paraId="02FE8203" w14:textId="77777777" w:rsidR="001D528A" w:rsidRPr="001D528A" w:rsidRDefault="001D528A" w:rsidP="001D528A">
            <w:pPr>
              <w:pStyle w:val="NoSpacing"/>
            </w:pPr>
            <w:r w:rsidRPr="001D528A">
              <w:t>0.96</w:t>
            </w:r>
          </w:p>
        </w:tc>
      </w:tr>
      <w:tr w:rsidR="001D528A" w:rsidRPr="001D528A" w14:paraId="6573C65B" w14:textId="77777777" w:rsidTr="0029206A">
        <w:trPr>
          <w:trHeight w:val="230"/>
        </w:trPr>
        <w:tc>
          <w:tcPr>
            <w:tcW w:w="0" w:type="auto"/>
          </w:tcPr>
          <w:p w14:paraId="2169A032" w14:textId="77777777" w:rsidR="001D528A" w:rsidRPr="001D528A" w:rsidRDefault="001D528A" w:rsidP="001D528A">
            <w:pPr>
              <w:pStyle w:val="NoSpacing"/>
            </w:pPr>
            <w:r w:rsidRPr="001D528A">
              <w:t>Cultural heterogeneity</w:t>
            </w:r>
          </w:p>
        </w:tc>
        <w:tc>
          <w:tcPr>
            <w:tcW w:w="0" w:type="auto"/>
          </w:tcPr>
          <w:p w14:paraId="6C336485" w14:textId="77777777" w:rsidR="001D528A" w:rsidRPr="001D528A" w:rsidRDefault="001D528A" w:rsidP="001D528A">
            <w:pPr>
              <w:pStyle w:val="NoSpacing"/>
            </w:pPr>
            <w:r w:rsidRPr="001D528A">
              <w:t>0.36</w:t>
            </w:r>
          </w:p>
        </w:tc>
        <w:tc>
          <w:tcPr>
            <w:tcW w:w="0" w:type="auto"/>
          </w:tcPr>
          <w:p w14:paraId="0AA431AA" w14:textId="77777777" w:rsidR="001D528A" w:rsidRPr="001D528A" w:rsidRDefault="001D528A" w:rsidP="001D528A">
            <w:pPr>
              <w:pStyle w:val="NoSpacing"/>
            </w:pPr>
            <w:r w:rsidRPr="001D528A">
              <w:t>0.16</w:t>
            </w:r>
          </w:p>
        </w:tc>
        <w:tc>
          <w:tcPr>
            <w:tcW w:w="0" w:type="auto"/>
          </w:tcPr>
          <w:p w14:paraId="5811F73C" w14:textId="77777777" w:rsidR="001D528A" w:rsidRPr="001D528A" w:rsidRDefault="001D528A" w:rsidP="001D528A">
            <w:pPr>
              <w:pStyle w:val="NoSpacing"/>
            </w:pPr>
            <w:r w:rsidRPr="001D528A">
              <w:t>0.00</w:t>
            </w:r>
          </w:p>
        </w:tc>
        <w:tc>
          <w:tcPr>
            <w:tcW w:w="0" w:type="auto"/>
          </w:tcPr>
          <w:p w14:paraId="4446A6A4" w14:textId="77777777" w:rsidR="001D528A" w:rsidRPr="001D528A" w:rsidRDefault="001D528A" w:rsidP="001D528A">
            <w:pPr>
              <w:pStyle w:val="NoSpacing"/>
            </w:pPr>
            <w:r w:rsidRPr="001D528A">
              <w:t>0.75</w:t>
            </w:r>
          </w:p>
        </w:tc>
      </w:tr>
      <w:tr w:rsidR="001D528A" w:rsidRPr="001D528A" w14:paraId="70D3DC3E" w14:textId="77777777" w:rsidTr="0029206A">
        <w:trPr>
          <w:trHeight w:val="219"/>
        </w:trPr>
        <w:tc>
          <w:tcPr>
            <w:tcW w:w="0" w:type="auto"/>
          </w:tcPr>
          <w:p w14:paraId="258D76AA" w14:textId="77777777" w:rsidR="001D528A" w:rsidRPr="001D528A" w:rsidRDefault="001D528A" w:rsidP="001D528A">
            <w:pPr>
              <w:pStyle w:val="NoSpacing"/>
            </w:pPr>
            <w:r w:rsidRPr="001D528A">
              <w:t>Residential stability</w:t>
            </w:r>
          </w:p>
        </w:tc>
        <w:tc>
          <w:tcPr>
            <w:tcW w:w="0" w:type="auto"/>
          </w:tcPr>
          <w:p w14:paraId="3F0E16EC" w14:textId="77777777" w:rsidR="001D528A" w:rsidRPr="001D528A" w:rsidRDefault="001D528A" w:rsidP="001D528A">
            <w:pPr>
              <w:pStyle w:val="NoSpacing"/>
            </w:pPr>
            <w:r w:rsidRPr="001D528A">
              <w:t>0.47</w:t>
            </w:r>
          </w:p>
        </w:tc>
        <w:tc>
          <w:tcPr>
            <w:tcW w:w="0" w:type="auto"/>
          </w:tcPr>
          <w:p w14:paraId="1A923A4C" w14:textId="77777777" w:rsidR="001D528A" w:rsidRPr="001D528A" w:rsidRDefault="001D528A" w:rsidP="001D528A">
            <w:pPr>
              <w:pStyle w:val="NoSpacing"/>
            </w:pPr>
            <w:r w:rsidRPr="001D528A">
              <w:t>0.14</w:t>
            </w:r>
          </w:p>
        </w:tc>
        <w:tc>
          <w:tcPr>
            <w:tcW w:w="0" w:type="auto"/>
          </w:tcPr>
          <w:p w14:paraId="76D331EC" w14:textId="77777777" w:rsidR="001D528A" w:rsidRPr="001D528A" w:rsidRDefault="001D528A" w:rsidP="001D528A">
            <w:pPr>
              <w:pStyle w:val="NoSpacing"/>
            </w:pPr>
            <w:r w:rsidRPr="001D528A">
              <w:t>0.00</w:t>
            </w:r>
          </w:p>
        </w:tc>
        <w:tc>
          <w:tcPr>
            <w:tcW w:w="0" w:type="auto"/>
          </w:tcPr>
          <w:p w14:paraId="1F2F3368" w14:textId="77777777" w:rsidR="001D528A" w:rsidRPr="001D528A" w:rsidRDefault="001D528A" w:rsidP="001D528A">
            <w:pPr>
              <w:pStyle w:val="NoSpacing"/>
            </w:pPr>
            <w:r w:rsidRPr="001D528A">
              <w:t>0.85</w:t>
            </w:r>
          </w:p>
        </w:tc>
      </w:tr>
      <w:tr w:rsidR="001D528A" w:rsidRPr="001D528A" w14:paraId="0E3BC625" w14:textId="77777777" w:rsidTr="0029206A">
        <w:trPr>
          <w:trHeight w:val="240"/>
        </w:trPr>
        <w:tc>
          <w:tcPr>
            <w:tcW w:w="0" w:type="auto"/>
          </w:tcPr>
          <w:p w14:paraId="0AB530F6" w14:textId="77777777" w:rsidR="001D528A" w:rsidRPr="001D528A" w:rsidRDefault="001D528A" w:rsidP="001D528A">
            <w:pPr>
              <w:pStyle w:val="NoSpacing"/>
            </w:pPr>
            <w:r w:rsidRPr="001D528A">
              <w:t>Control variables</w:t>
            </w:r>
          </w:p>
        </w:tc>
        <w:tc>
          <w:tcPr>
            <w:tcW w:w="0" w:type="auto"/>
          </w:tcPr>
          <w:p w14:paraId="6423F959" w14:textId="77777777" w:rsidR="001D528A" w:rsidRPr="001D528A" w:rsidRDefault="001D528A" w:rsidP="001D528A">
            <w:pPr>
              <w:pStyle w:val="NoSpacing"/>
            </w:pPr>
          </w:p>
        </w:tc>
        <w:tc>
          <w:tcPr>
            <w:tcW w:w="0" w:type="auto"/>
          </w:tcPr>
          <w:p w14:paraId="5321BD13" w14:textId="77777777" w:rsidR="001D528A" w:rsidRPr="001D528A" w:rsidRDefault="001D528A" w:rsidP="001D528A">
            <w:pPr>
              <w:pStyle w:val="NoSpacing"/>
            </w:pPr>
          </w:p>
        </w:tc>
        <w:tc>
          <w:tcPr>
            <w:tcW w:w="0" w:type="auto"/>
          </w:tcPr>
          <w:p w14:paraId="505F5167" w14:textId="77777777" w:rsidR="001D528A" w:rsidRPr="001D528A" w:rsidRDefault="001D528A" w:rsidP="001D528A">
            <w:pPr>
              <w:pStyle w:val="NoSpacing"/>
            </w:pPr>
          </w:p>
        </w:tc>
        <w:tc>
          <w:tcPr>
            <w:tcW w:w="0" w:type="auto"/>
          </w:tcPr>
          <w:p w14:paraId="73C2AB8A" w14:textId="77777777" w:rsidR="001D528A" w:rsidRPr="001D528A" w:rsidRDefault="001D528A" w:rsidP="001D528A">
            <w:pPr>
              <w:pStyle w:val="NoSpacing"/>
            </w:pPr>
          </w:p>
        </w:tc>
      </w:tr>
      <w:tr w:rsidR="001D528A" w:rsidRPr="001D528A" w14:paraId="7CCC29B8" w14:textId="77777777" w:rsidTr="0029206A">
        <w:trPr>
          <w:trHeight w:val="230"/>
        </w:trPr>
        <w:tc>
          <w:tcPr>
            <w:tcW w:w="0" w:type="auto"/>
          </w:tcPr>
          <w:p w14:paraId="262D3A68" w14:textId="77777777" w:rsidR="001D528A" w:rsidRPr="001D528A" w:rsidRDefault="001D528A" w:rsidP="001D528A">
            <w:pPr>
              <w:pStyle w:val="NoSpacing"/>
            </w:pPr>
            <w:r w:rsidRPr="001D528A">
              <w:t>Population density</w:t>
            </w:r>
          </w:p>
        </w:tc>
        <w:tc>
          <w:tcPr>
            <w:tcW w:w="0" w:type="auto"/>
          </w:tcPr>
          <w:p w14:paraId="30266DC4" w14:textId="77777777" w:rsidR="001D528A" w:rsidRPr="001D528A" w:rsidRDefault="001D528A" w:rsidP="001D528A">
            <w:pPr>
              <w:pStyle w:val="NoSpacing"/>
            </w:pPr>
            <w:r w:rsidRPr="001D528A">
              <w:t>97.57</w:t>
            </w:r>
          </w:p>
        </w:tc>
        <w:tc>
          <w:tcPr>
            <w:tcW w:w="0" w:type="auto"/>
          </w:tcPr>
          <w:p w14:paraId="4D4DC4B4" w14:textId="77777777" w:rsidR="001D528A" w:rsidRPr="001D528A" w:rsidRDefault="001D528A" w:rsidP="001D528A">
            <w:pPr>
              <w:pStyle w:val="NoSpacing"/>
            </w:pPr>
            <w:r w:rsidRPr="001D528A">
              <w:t>30.96</w:t>
            </w:r>
          </w:p>
        </w:tc>
        <w:tc>
          <w:tcPr>
            <w:tcW w:w="0" w:type="auto"/>
          </w:tcPr>
          <w:p w14:paraId="3B8018B0" w14:textId="77777777" w:rsidR="001D528A" w:rsidRPr="001D528A" w:rsidRDefault="001D528A" w:rsidP="001D528A">
            <w:pPr>
              <w:pStyle w:val="NoSpacing"/>
            </w:pPr>
            <w:r w:rsidRPr="001D528A">
              <w:t>0.00</w:t>
            </w:r>
          </w:p>
        </w:tc>
        <w:tc>
          <w:tcPr>
            <w:tcW w:w="0" w:type="auto"/>
          </w:tcPr>
          <w:p w14:paraId="3C3FF5F9" w14:textId="77777777" w:rsidR="001D528A" w:rsidRPr="001D528A" w:rsidRDefault="001D528A" w:rsidP="001D528A">
            <w:pPr>
              <w:pStyle w:val="NoSpacing"/>
            </w:pPr>
            <w:r w:rsidRPr="001D528A">
              <w:t>230.27</w:t>
            </w:r>
          </w:p>
        </w:tc>
      </w:tr>
      <w:tr w:rsidR="001D528A" w:rsidRPr="001D528A" w14:paraId="3B5A16CB" w14:textId="77777777" w:rsidTr="0029206A">
        <w:trPr>
          <w:trHeight w:val="288"/>
        </w:trPr>
        <w:tc>
          <w:tcPr>
            <w:tcW w:w="0" w:type="auto"/>
          </w:tcPr>
          <w:p w14:paraId="3F6976FF" w14:textId="77777777" w:rsidR="001D528A" w:rsidRPr="001D528A" w:rsidRDefault="001D528A" w:rsidP="001D528A">
            <w:pPr>
              <w:pStyle w:val="NoSpacing"/>
            </w:pPr>
            <w:r w:rsidRPr="001D528A">
              <w:t>Percent vacant housing units</w:t>
            </w:r>
          </w:p>
        </w:tc>
        <w:tc>
          <w:tcPr>
            <w:tcW w:w="0" w:type="auto"/>
          </w:tcPr>
          <w:p w14:paraId="4C06F7EB" w14:textId="77777777" w:rsidR="001D528A" w:rsidRPr="001D528A" w:rsidRDefault="001D528A" w:rsidP="001D528A">
            <w:pPr>
              <w:pStyle w:val="NoSpacing"/>
            </w:pPr>
            <w:r w:rsidRPr="001D528A">
              <w:t>3.05</w:t>
            </w:r>
          </w:p>
        </w:tc>
        <w:tc>
          <w:tcPr>
            <w:tcW w:w="0" w:type="auto"/>
          </w:tcPr>
          <w:p w14:paraId="4261BFB3" w14:textId="77777777" w:rsidR="001D528A" w:rsidRPr="001D528A" w:rsidRDefault="001D528A" w:rsidP="001D528A">
            <w:pPr>
              <w:pStyle w:val="NoSpacing"/>
            </w:pPr>
            <w:r w:rsidRPr="001D528A">
              <w:t>0.91</w:t>
            </w:r>
          </w:p>
        </w:tc>
        <w:tc>
          <w:tcPr>
            <w:tcW w:w="0" w:type="auto"/>
          </w:tcPr>
          <w:p w14:paraId="3B03FAE3" w14:textId="77777777" w:rsidR="001D528A" w:rsidRPr="001D528A" w:rsidRDefault="001D528A" w:rsidP="001D528A">
            <w:pPr>
              <w:pStyle w:val="NoSpacing"/>
            </w:pPr>
            <w:r w:rsidRPr="001D528A">
              <w:t>0.00</w:t>
            </w:r>
          </w:p>
        </w:tc>
        <w:tc>
          <w:tcPr>
            <w:tcW w:w="0" w:type="auto"/>
          </w:tcPr>
          <w:p w14:paraId="22BCAD89" w14:textId="77777777" w:rsidR="001D528A" w:rsidRPr="001D528A" w:rsidRDefault="001D528A" w:rsidP="001D528A">
            <w:pPr>
              <w:pStyle w:val="NoSpacing"/>
            </w:pPr>
            <w:r w:rsidRPr="001D528A">
              <w:t>5.89</w:t>
            </w:r>
          </w:p>
        </w:tc>
      </w:tr>
    </w:tbl>
    <w:p w14:paraId="7AD8AB42" w14:textId="2AC16893" w:rsidR="001D528A" w:rsidRDefault="001D528A" w:rsidP="001D528A">
      <w:pPr>
        <w:pStyle w:val="NoSpacing"/>
      </w:pPr>
      <w:r w:rsidRPr="001D528A">
        <w:rPr>
          <w:b/>
          <w:bCs/>
        </w:rPr>
        <w:t>Note.</w:t>
      </w:r>
      <w:r w:rsidRPr="001D528A">
        <w:t xml:space="preserve"> IPV = intimate partner violence.</w:t>
      </w:r>
    </w:p>
    <w:p w14:paraId="58D596A8" w14:textId="1501A145" w:rsidR="001D528A" w:rsidRDefault="001D528A" w:rsidP="001D528A">
      <w:pPr>
        <w:pStyle w:val="NoSpacing"/>
      </w:pPr>
    </w:p>
    <w:p w14:paraId="7A949FAA" w14:textId="1CC58EA5" w:rsidR="001D528A" w:rsidRDefault="008F6D8D" w:rsidP="001D528A">
      <w:pPr>
        <w:pStyle w:val="NoSpacing"/>
      </w:pPr>
      <w:hyperlink r:id="rId76" w:history="1">
        <w:r w:rsidR="001D528A">
          <w:rPr>
            <w:rStyle w:val="Hyperlink"/>
          </w:rPr>
          <w:t>Table 4</w:t>
        </w:r>
      </w:hyperlink>
      <w:r w:rsidR="001D528A">
        <w:t xml:space="preserve"> shows results of two spatially lagged regression models. Model 1 shows results for overall female violent victimization density regressed on alcohol outlet types net of controls. Model 2 shows results for female non-IPV violent victimization density regressed on alcohol outlet types net of controls. Results of Model 1 show female violent victimization density was not associated with on-premise alcohol outlets (</w:t>
      </w:r>
      <w:r w:rsidR="001D528A">
        <w:rPr>
          <w:i/>
          <w:iCs/>
        </w:rPr>
        <w:t>p</w:t>
      </w:r>
      <w:r w:rsidR="001D528A">
        <w:t xml:space="preserve"> = .09), while the association with off-premise outlets was significant (</w:t>
      </w:r>
      <w:r w:rsidR="001D528A">
        <w:rPr>
          <w:i/>
          <w:iCs/>
        </w:rPr>
        <w:t>p</w:t>
      </w:r>
      <w:r w:rsidR="001D528A">
        <w:t xml:space="preserve"> = .03). The variables in this model explained 79% of the variance in female violent victimization density. The multicollinearity condition number suggested multicollinearity was not a problem and that the inclusion of the spatial lag term (Rho) removed any remaining spatial autocorrelation in the model residuals (</w:t>
      </w:r>
      <w:proofErr w:type="spellStart"/>
      <w:r w:rsidR="001D528A">
        <w:t>Anselin</w:t>
      </w:r>
      <w:proofErr w:type="spellEnd"/>
      <w:r w:rsidR="001D528A">
        <w:t>–</w:t>
      </w:r>
      <w:proofErr w:type="spellStart"/>
      <w:r w:rsidR="001D528A">
        <w:t>Kelejian</w:t>
      </w:r>
      <w:proofErr w:type="spellEnd"/>
      <w:r w:rsidR="001D528A">
        <w:t xml:space="preserve"> test, </w:t>
      </w:r>
      <w:r w:rsidR="001D528A">
        <w:rPr>
          <w:i/>
          <w:iCs/>
        </w:rPr>
        <w:t>p</w:t>
      </w:r>
      <w:r w:rsidR="001D528A">
        <w:t xml:space="preserve"> = .24). Model 2 showed female non-IPV violent victimization density was associated with on-premise (</w:t>
      </w:r>
      <w:r w:rsidR="001D528A">
        <w:rPr>
          <w:i/>
          <w:iCs/>
        </w:rPr>
        <w:t>p</w:t>
      </w:r>
      <w:r w:rsidR="001D528A">
        <w:t xml:space="preserve"> = .01) and off-premise (</w:t>
      </w:r>
      <w:r w:rsidR="001D528A">
        <w:rPr>
          <w:i/>
          <w:iCs/>
        </w:rPr>
        <w:t>p</w:t>
      </w:r>
      <w:r w:rsidR="001D528A">
        <w:t xml:space="preserve"> = .03) outlet density. While the spatial autoregressive parameter (Rho) for female non-IPV violent victimization density was associated with female non-IPV violent victimization density (</w:t>
      </w:r>
      <w:r w:rsidR="001D528A">
        <w:rPr>
          <w:i/>
          <w:iCs/>
        </w:rPr>
        <w:t>p</w:t>
      </w:r>
      <w:r w:rsidR="001D528A">
        <w:t xml:space="preserve"> = .00), its inclusion did not remove all spatial autocorrelation in model </w:t>
      </w:r>
      <w:r w:rsidR="001D528A">
        <w:lastRenderedPageBreak/>
        <w:t>residuals (</w:t>
      </w:r>
      <w:proofErr w:type="spellStart"/>
      <w:r w:rsidR="001D528A">
        <w:t>Anselin</w:t>
      </w:r>
      <w:proofErr w:type="spellEnd"/>
      <w:r w:rsidR="001D528A">
        <w:t>–</w:t>
      </w:r>
      <w:proofErr w:type="spellStart"/>
      <w:r w:rsidR="001D528A">
        <w:t>Kelejian</w:t>
      </w:r>
      <w:proofErr w:type="spellEnd"/>
      <w:r w:rsidR="001D528A">
        <w:t xml:space="preserve"> test, </w:t>
      </w:r>
      <w:r w:rsidR="001D528A">
        <w:rPr>
          <w:i/>
          <w:iCs/>
        </w:rPr>
        <w:t>p</w:t>
      </w:r>
      <w:r w:rsidR="001D528A">
        <w:t xml:space="preserve"> = .02). These variables explained 75% of the variance in the female non-IPV violent victimization density and multicollinearity was not a problem.</w:t>
      </w:r>
    </w:p>
    <w:p w14:paraId="61FDFF4B" w14:textId="6837D8A7" w:rsidR="001D528A" w:rsidRDefault="001D528A" w:rsidP="001D528A">
      <w:pPr>
        <w:pStyle w:val="NoSpacing"/>
      </w:pPr>
    </w:p>
    <w:p w14:paraId="67F96ADD" w14:textId="67C7DF54" w:rsidR="001D528A" w:rsidRPr="001D528A" w:rsidRDefault="001D528A" w:rsidP="001D528A">
      <w:pPr>
        <w:pStyle w:val="NoSpacing"/>
      </w:pPr>
      <w:r w:rsidRPr="001D528A">
        <w:rPr>
          <w:b/>
          <w:bCs/>
        </w:rPr>
        <w:t>Table 4.</w:t>
      </w:r>
      <w:r w:rsidRPr="001D528A">
        <w:t xml:space="preserve"> Spatial Lag Regression for Female Violent Victimization Density and</w:t>
      </w:r>
      <w:r>
        <w:t xml:space="preserve"> </w:t>
      </w:r>
      <w:r w:rsidRPr="001D528A">
        <w:t>Female Non-IPV Violent Victimization Density Regressed on Alcohol Outlet Types,</w:t>
      </w:r>
      <w:r>
        <w:t xml:space="preserve"> </w:t>
      </w:r>
      <w:r w:rsidRPr="001D528A">
        <w:t>Social Disorganization, and Control Variables for Milwaukee Block Groups</w:t>
      </w:r>
      <w:r>
        <w:t xml:space="preserve"> </w:t>
      </w:r>
      <w:r w:rsidRPr="001D528A">
        <w:t>(N = 572).</w:t>
      </w:r>
    </w:p>
    <w:tbl>
      <w:tblPr>
        <w:tblStyle w:val="TableGridLight"/>
        <w:tblW w:w="0" w:type="auto"/>
        <w:tblLook w:val="0020" w:firstRow="1" w:lastRow="0" w:firstColumn="0" w:lastColumn="0" w:noHBand="0" w:noVBand="0"/>
      </w:tblPr>
      <w:tblGrid>
        <w:gridCol w:w="2617"/>
        <w:gridCol w:w="2164"/>
        <w:gridCol w:w="937"/>
        <w:gridCol w:w="495"/>
        <w:gridCol w:w="2425"/>
        <w:gridCol w:w="937"/>
        <w:gridCol w:w="495"/>
      </w:tblGrid>
      <w:tr w:rsidR="00F72B98" w:rsidRPr="001D528A" w14:paraId="379D4ED4" w14:textId="77777777" w:rsidTr="0029206A">
        <w:trPr>
          <w:trHeight w:val="315"/>
        </w:trPr>
        <w:tc>
          <w:tcPr>
            <w:tcW w:w="0" w:type="auto"/>
          </w:tcPr>
          <w:p w14:paraId="7F47304A" w14:textId="77777777" w:rsidR="00F72B98" w:rsidRPr="007867AB" w:rsidRDefault="00F72B98" w:rsidP="001D528A">
            <w:pPr>
              <w:pStyle w:val="NoSpacing"/>
              <w:rPr>
                <w:b/>
                <w:bCs/>
              </w:rPr>
            </w:pPr>
          </w:p>
        </w:tc>
        <w:tc>
          <w:tcPr>
            <w:tcW w:w="0" w:type="auto"/>
          </w:tcPr>
          <w:p w14:paraId="135CBCE9" w14:textId="77777777" w:rsidR="00F72B98" w:rsidRPr="001D528A" w:rsidRDefault="00F72B98" w:rsidP="004D3F95">
            <w:pPr>
              <w:pStyle w:val="NoSpacing"/>
              <w:rPr>
                <w:b/>
                <w:bCs/>
              </w:rPr>
            </w:pPr>
            <w:r w:rsidRPr="001D528A">
              <w:rPr>
                <w:b/>
                <w:bCs/>
              </w:rPr>
              <w:t>Model 1: Female Violent Victimization</w:t>
            </w:r>
          </w:p>
          <w:p w14:paraId="69148895" w14:textId="77777777" w:rsidR="00F72B98" w:rsidRPr="007867AB" w:rsidRDefault="00F72B98" w:rsidP="001D528A">
            <w:pPr>
              <w:pStyle w:val="NoSpacing"/>
              <w:rPr>
                <w:b/>
                <w:bCs/>
              </w:rPr>
            </w:pPr>
          </w:p>
        </w:tc>
        <w:tc>
          <w:tcPr>
            <w:tcW w:w="0" w:type="auto"/>
          </w:tcPr>
          <w:p w14:paraId="53C8A627" w14:textId="77777777" w:rsidR="00F72B98" w:rsidRPr="007867AB" w:rsidRDefault="00F72B98" w:rsidP="001D528A">
            <w:pPr>
              <w:pStyle w:val="NoSpacing"/>
              <w:rPr>
                <w:b/>
                <w:bCs/>
              </w:rPr>
            </w:pPr>
          </w:p>
        </w:tc>
        <w:tc>
          <w:tcPr>
            <w:tcW w:w="0" w:type="auto"/>
          </w:tcPr>
          <w:p w14:paraId="539B00D5" w14:textId="77777777" w:rsidR="00F72B98" w:rsidRPr="007867AB" w:rsidRDefault="00F72B98" w:rsidP="001D528A">
            <w:pPr>
              <w:pStyle w:val="NoSpacing"/>
              <w:rPr>
                <w:b/>
                <w:bCs/>
              </w:rPr>
            </w:pPr>
          </w:p>
        </w:tc>
        <w:tc>
          <w:tcPr>
            <w:tcW w:w="0" w:type="auto"/>
          </w:tcPr>
          <w:p w14:paraId="62004BAC" w14:textId="77777777" w:rsidR="00F72B98" w:rsidRPr="001D528A" w:rsidRDefault="00F72B98" w:rsidP="004D3F95">
            <w:pPr>
              <w:pStyle w:val="NoSpacing"/>
              <w:rPr>
                <w:b/>
                <w:bCs/>
              </w:rPr>
            </w:pPr>
            <w:r w:rsidRPr="001D528A">
              <w:rPr>
                <w:b/>
                <w:bCs/>
              </w:rPr>
              <w:t>Model 2: Female Non-IPV Violent Victimization</w:t>
            </w:r>
          </w:p>
          <w:p w14:paraId="320D953E" w14:textId="77777777" w:rsidR="00F72B98" w:rsidRPr="007867AB" w:rsidRDefault="00F72B98" w:rsidP="001D528A">
            <w:pPr>
              <w:pStyle w:val="NoSpacing"/>
              <w:rPr>
                <w:b/>
                <w:bCs/>
              </w:rPr>
            </w:pPr>
          </w:p>
        </w:tc>
        <w:tc>
          <w:tcPr>
            <w:tcW w:w="0" w:type="auto"/>
          </w:tcPr>
          <w:p w14:paraId="4E233DDE" w14:textId="77777777" w:rsidR="00F72B98" w:rsidRPr="007867AB" w:rsidRDefault="00F72B98" w:rsidP="001D528A">
            <w:pPr>
              <w:pStyle w:val="NoSpacing"/>
              <w:rPr>
                <w:b/>
                <w:bCs/>
              </w:rPr>
            </w:pPr>
          </w:p>
        </w:tc>
        <w:tc>
          <w:tcPr>
            <w:tcW w:w="0" w:type="auto"/>
          </w:tcPr>
          <w:p w14:paraId="39095F64" w14:textId="77777777" w:rsidR="00F72B98" w:rsidRPr="007867AB" w:rsidRDefault="00F72B98" w:rsidP="001D528A">
            <w:pPr>
              <w:pStyle w:val="NoSpacing"/>
              <w:rPr>
                <w:b/>
                <w:bCs/>
              </w:rPr>
            </w:pPr>
          </w:p>
        </w:tc>
      </w:tr>
      <w:tr w:rsidR="00F72B98" w:rsidRPr="001D528A" w14:paraId="5F6B02AD" w14:textId="77777777" w:rsidTr="0029206A">
        <w:trPr>
          <w:trHeight w:val="315"/>
        </w:trPr>
        <w:tc>
          <w:tcPr>
            <w:tcW w:w="0" w:type="auto"/>
          </w:tcPr>
          <w:p w14:paraId="66859F23" w14:textId="77777777" w:rsidR="00F72B98" w:rsidRPr="001D528A" w:rsidRDefault="00F72B98" w:rsidP="001D528A">
            <w:pPr>
              <w:pStyle w:val="NoSpacing"/>
              <w:rPr>
                <w:b/>
                <w:bCs/>
              </w:rPr>
            </w:pPr>
          </w:p>
        </w:tc>
        <w:tc>
          <w:tcPr>
            <w:tcW w:w="0" w:type="auto"/>
          </w:tcPr>
          <w:p w14:paraId="2F36EF69" w14:textId="77777777" w:rsidR="00F72B98" w:rsidRPr="001D528A" w:rsidRDefault="00F72B98" w:rsidP="001D528A">
            <w:pPr>
              <w:pStyle w:val="NoSpacing"/>
              <w:rPr>
                <w:b/>
                <w:bCs/>
              </w:rPr>
            </w:pPr>
            <w:r w:rsidRPr="001D528A">
              <w:rPr>
                <w:b/>
                <w:bCs/>
              </w:rPr>
              <w:t>b</w:t>
            </w:r>
          </w:p>
        </w:tc>
        <w:tc>
          <w:tcPr>
            <w:tcW w:w="0" w:type="auto"/>
          </w:tcPr>
          <w:p w14:paraId="698B65FC" w14:textId="77777777" w:rsidR="00F72B98" w:rsidRPr="001D528A" w:rsidRDefault="00F72B98" w:rsidP="001D528A">
            <w:pPr>
              <w:pStyle w:val="NoSpacing"/>
              <w:rPr>
                <w:b/>
                <w:bCs/>
              </w:rPr>
            </w:pPr>
            <w:r w:rsidRPr="001D528A">
              <w:rPr>
                <w:b/>
                <w:bCs/>
              </w:rPr>
              <w:t>SE</w:t>
            </w:r>
          </w:p>
        </w:tc>
        <w:tc>
          <w:tcPr>
            <w:tcW w:w="0" w:type="auto"/>
          </w:tcPr>
          <w:p w14:paraId="23D46265" w14:textId="77777777" w:rsidR="00F72B98" w:rsidRPr="001D528A" w:rsidRDefault="00F72B98" w:rsidP="001D528A">
            <w:pPr>
              <w:pStyle w:val="NoSpacing"/>
              <w:rPr>
                <w:b/>
                <w:bCs/>
              </w:rPr>
            </w:pPr>
            <w:r w:rsidRPr="001D528A">
              <w:rPr>
                <w:b/>
                <w:bCs/>
              </w:rPr>
              <w:t>p</w:t>
            </w:r>
          </w:p>
        </w:tc>
        <w:tc>
          <w:tcPr>
            <w:tcW w:w="0" w:type="auto"/>
          </w:tcPr>
          <w:p w14:paraId="23B2A06A" w14:textId="77777777" w:rsidR="00F72B98" w:rsidRPr="001D528A" w:rsidRDefault="00F72B98" w:rsidP="001D528A">
            <w:pPr>
              <w:pStyle w:val="NoSpacing"/>
              <w:rPr>
                <w:b/>
                <w:bCs/>
              </w:rPr>
            </w:pPr>
            <w:r w:rsidRPr="001D528A">
              <w:rPr>
                <w:b/>
                <w:bCs/>
              </w:rPr>
              <w:t>b</w:t>
            </w:r>
          </w:p>
        </w:tc>
        <w:tc>
          <w:tcPr>
            <w:tcW w:w="0" w:type="auto"/>
          </w:tcPr>
          <w:p w14:paraId="16C0C1AD" w14:textId="77777777" w:rsidR="00F72B98" w:rsidRPr="001D528A" w:rsidRDefault="00F72B98" w:rsidP="001D528A">
            <w:pPr>
              <w:pStyle w:val="NoSpacing"/>
              <w:rPr>
                <w:b/>
                <w:bCs/>
              </w:rPr>
            </w:pPr>
            <w:r w:rsidRPr="001D528A">
              <w:rPr>
                <w:b/>
                <w:bCs/>
              </w:rPr>
              <w:t>SE</w:t>
            </w:r>
          </w:p>
        </w:tc>
        <w:tc>
          <w:tcPr>
            <w:tcW w:w="0" w:type="auto"/>
          </w:tcPr>
          <w:p w14:paraId="7BD2C20A" w14:textId="77777777" w:rsidR="00F72B98" w:rsidRPr="001D528A" w:rsidRDefault="00F72B98" w:rsidP="001D528A">
            <w:pPr>
              <w:pStyle w:val="NoSpacing"/>
              <w:rPr>
                <w:b/>
                <w:bCs/>
              </w:rPr>
            </w:pPr>
            <w:r w:rsidRPr="001D528A">
              <w:rPr>
                <w:b/>
                <w:bCs/>
              </w:rPr>
              <w:t>p</w:t>
            </w:r>
          </w:p>
        </w:tc>
      </w:tr>
      <w:tr w:rsidR="00F72B98" w:rsidRPr="001D528A" w14:paraId="2C108837" w14:textId="77777777" w:rsidTr="0029206A">
        <w:trPr>
          <w:trHeight w:val="238"/>
        </w:trPr>
        <w:tc>
          <w:tcPr>
            <w:tcW w:w="0" w:type="auto"/>
          </w:tcPr>
          <w:p w14:paraId="2752893B" w14:textId="77777777" w:rsidR="00F72B98" w:rsidRPr="001D528A" w:rsidRDefault="00F72B98" w:rsidP="001D528A">
            <w:pPr>
              <w:pStyle w:val="NoSpacing"/>
            </w:pPr>
            <w:r w:rsidRPr="001D528A">
              <w:t>On-premise</w:t>
            </w:r>
          </w:p>
        </w:tc>
        <w:tc>
          <w:tcPr>
            <w:tcW w:w="0" w:type="auto"/>
          </w:tcPr>
          <w:p w14:paraId="246762DE" w14:textId="77777777" w:rsidR="00F72B98" w:rsidRPr="001D528A" w:rsidRDefault="00F72B98" w:rsidP="001D528A">
            <w:pPr>
              <w:pStyle w:val="NoSpacing"/>
            </w:pPr>
            <w:r w:rsidRPr="001D528A">
              <w:t>0.28</w:t>
            </w:r>
          </w:p>
        </w:tc>
        <w:tc>
          <w:tcPr>
            <w:tcW w:w="0" w:type="auto"/>
          </w:tcPr>
          <w:p w14:paraId="2D48AE99" w14:textId="77777777" w:rsidR="00F72B98" w:rsidRPr="001D528A" w:rsidRDefault="00F72B98" w:rsidP="001D528A">
            <w:pPr>
              <w:pStyle w:val="NoSpacing"/>
            </w:pPr>
            <w:r w:rsidRPr="001D528A">
              <w:t>0.21</w:t>
            </w:r>
          </w:p>
        </w:tc>
        <w:tc>
          <w:tcPr>
            <w:tcW w:w="0" w:type="auto"/>
          </w:tcPr>
          <w:p w14:paraId="585EF627" w14:textId="77777777" w:rsidR="00F72B98" w:rsidRPr="001D528A" w:rsidRDefault="00F72B98" w:rsidP="001D528A">
            <w:pPr>
              <w:pStyle w:val="NoSpacing"/>
            </w:pPr>
            <w:r w:rsidRPr="001D528A">
              <w:t>.09</w:t>
            </w:r>
          </w:p>
        </w:tc>
        <w:tc>
          <w:tcPr>
            <w:tcW w:w="0" w:type="auto"/>
          </w:tcPr>
          <w:p w14:paraId="40682347" w14:textId="77777777" w:rsidR="00F72B98" w:rsidRPr="001D528A" w:rsidRDefault="00F72B98" w:rsidP="001D528A">
            <w:pPr>
              <w:pStyle w:val="NoSpacing"/>
            </w:pPr>
            <w:r w:rsidRPr="001D528A">
              <w:t>0.52</w:t>
            </w:r>
          </w:p>
        </w:tc>
        <w:tc>
          <w:tcPr>
            <w:tcW w:w="0" w:type="auto"/>
          </w:tcPr>
          <w:p w14:paraId="761E2B0A" w14:textId="77777777" w:rsidR="00F72B98" w:rsidRPr="001D528A" w:rsidRDefault="00F72B98" w:rsidP="001D528A">
            <w:pPr>
              <w:pStyle w:val="NoSpacing"/>
            </w:pPr>
            <w:r w:rsidRPr="001D528A">
              <w:t>0.20</w:t>
            </w:r>
          </w:p>
        </w:tc>
        <w:tc>
          <w:tcPr>
            <w:tcW w:w="0" w:type="auto"/>
          </w:tcPr>
          <w:p w14:paraId="7E660D13" w14:textId="77777777" w:rsidR="00F72B98" w:rsidRPr="001D528A" w:rsidRDefault="00F72B98" w:rsidP="001D528A">
            <w:pPr>
              <w:pStyle w:val="NoSpacing"/>
            </w:pPr>
            <w:r w:rsidRPr="001D528A">
              <w:t>.01</w:t>
            </w:r>
          </w:p>
        </w:tc>
      </w:tr>
      <w:tr w:rsidR="00F72B98" w:rsidRPr="001D528A" w14:paraId="02662AE8" w14:textId="77777777" w:rsidTr="0029206A">
        <w:trPr>
          <w:trHeight w:val="189"/>
        </w:trPr>
        <w:tc>
          <w:tcPr>
            <w:tcW w:w="0" w:type="auto"/>
          </w:tcPr>
          <w:p w14:paraId="114678A1" w14:textId="77777777" w:rsidR="00F72B98" w:rsidRPr="001D528A" w:rsidRDefault="00F72B98" w:rsidP="001D528A">
            <w:pPr>
              <w:pStyle w:val="NoSpacing"/>
            </w:pPr>
            <w:r w:rsidRPr="001D528A">
              <w:t>Off-premise</w:t>
            </w:r>
          </w:p>
        </w:tc>
        <w:tc>
          <w:tcPr>
            <w:tcW w:w="0" w:type="auto"/>
          </w:tcPr>
          <w:p w14:paraId="578E7960" w14:textId="77777777" w:rsidR="00F72B98" w:rsidRPr="001D528A" w:rsidRDefault="00F72B98" w:rsidP="001D528A">
            <w:pPr>
              <w:pStyle w:val="NoSpacing"/>
            </w:pPr>
            <w:r w:rsidRPr="001D528A">
              <w:t>0.45</w:t>
            </w:r>
          </w:p>
        </w:tc>
        <w:tc>
          <w:tcPr>
            <w:tcW w:w="0" w:type="auto"/>
          </w:tcPr>
          <w:p w14:paraId="0FD33D42" w14:textId="77777777" w:rsidR="00F72B98" w:rsidRPr="001D528A" w:rsidRDefault="00F72B98" w:rsidP="001D528A">
            <w:pPr>
              <w:pStyle w:val="NoSpacing"/>
            </w:pPr>
            <w:r w:rsidRPr="001D528A">
              <w:t>0.24</w:t>
            </w:r>
          </w:p>
        </w:tc>
        <w:tc>
          <w:tcPr>
            <w:tcW w:w="0" w:type="auto"/>
          </w:tcPr>
          <w:p w14:paraId="35E1B73D" w14:textId="77777777" w:rsidR="00F72B98" w:rsidRPr="001D528A" w:rsidRDefault="00F72B98" w:rsidP="001D528A">
            <w:pPr>
              <w:pStyle w:val="NoSpacing"/>
            </w:pPr>
            <w:r w:rsidRPr="001D528A">
              <w:t>.03</w:t>
            </w:r>
          </w:p>
        </w:tc>
        <w:tc>
          <w:tcPr>
            <w:tcW w:w="0" w:type="auto"/>
          </w:tcPr>
          <w:p w14:paraId="2DE16B67" w14:textId="77777777" w:rsidR="00F72B98" w:rsidRPr="001D528A" w:rsidRDefault="00F72B98" w:rsidP="001D528A">
            <w:pPr>
              <w:pStyle w:val="NoSpacing"/>
            </w:pPr>
            <w:r w:rsidRPr="001D528A">
              <w:t>0.44</w:t>
            </w:r>
          </w:p>
        </w:tc>
        <w:tc>
          <w:tcPr>
            <w:tcW w:w="0" w:type="auto"/>
          </w:tcPr>
          <w:p w14:paraId="3BE214ED" w14:textId="77777777" w:rsidR="00F72B98" w:rsidRPr="001D528A" w:rsidRDefault="00F72B98" w:rsidP="001D528A">
            <w:pPr>
              <w:pStyle w:val="NoSpacing"/>
            </w:pPr>
            <w:r w:rsidRPr="001D528A">
              <w:t>0.23</w:t>
            </w:r>
          </w:p>
        </w:tc>
        <w:tc>
          <w:tcPr>
            <w:tcW w:w="0" w:type="auto"/>
          </w:tcPr>
          <w:p w14:paraId="6B499F03" w14:textId="77777777" w:rsidR="00F72B98" w:rsidRPr="001D528A" w:rsidRDefault="00F72B98" w:rsidP="001D528A">
            <w:pPr>
              <w:pStyle w:val="NoSpacing"/>
            </w:pPr>
            <w:r w:rsidRPr="001D528A">
              <w:t>.03</w:t>
            </w:r>
          </w:p>
        </w:tc>
      </w:tr>
      <w:tr w:rsidR="00F72B98" w:rsidRPr="001D528A" w14:paraId="391B239F" w14:textId="77777777" w:rsidTr="0029206A">
        <w:trPr>
          <w:trHeight w:val="189"/>
        </w:trPr>
        <w:tc>
          <w:tcPr>
            <w:tcW w:w="0" w:type="auto"/>
          </w:tcPr>
          <w:p w14:paraId="2488C0A7" w14:textId="77777777" w:rsidR="00F72B98" w:rsidRPr="001D528A" w:rsidRDefault="00F72B98" w:rsidP="001D528A">
            <w:pPr>
              <w:pStyle w:val="NoSpacing"/>
            </w:pPr>
            <w:r w:rsidRPr="001D528A">
              <w:t>Concentrated affluence</w:t>
            </w:r>
          </w:p>
        </w:tc>
        <w:tc>
          <w:tcPr>
            <w:tcW w:w="0" w:type="auto"/>
          </w:tcPr>
          <w:p w14:paraId="2D538D41" w14:textId="77777777" w:rsidR="00F72B98" w:rsidRPr="001D528A" w:rsidRDefault="00F72B98" w:rsidP="001D528A">
            <w:pPr>
              <w:pStyle w:val="NoSpacing"/>
            </w:pPr>
            <w:r w:rsidRPr="001D528A">
              <w:t>−7.85</w:t>
            </w:r>
          </w:p>
        </w:tc>
        <w:tc>
          <w:tcPr>
            <w:tcW w:w="0" w:type="auto"/>
          </w:tcPr>
          <w:p w14:paraId="795EC523" w14:textId="77777777" w:rsidR="00F72B98" w:rsidRPr="001D528A" w:rsidRDefault="00F72B98" w:rsidP="001D528A">
            <w:pPr>
              <w:pStyle w:val="NoSpacing"/>
            </w:pPr>
            <w:r w:rsidRPr="001D528A">
              <w:t>1.15</w:t>
            </w:r>
          </w:p>
        </w:tc>
        <w:tc>
          <w:tcPr>
            <w:tcW w:w="0" w:type="auto"/>
          </w:tcPr>
          <w:p w14:paraId="43BDB757" w14:textId="77777777" w:rsidR="00F72B98" w:rsidRPr="001D528A" w:rsidRDefault="00F72B98" w:rsidP="001D528A">
            <w:pPr>
              <w:pStyle w:val="NoSpacing"/>
            </w:pPr>
            <w:r w:rsidRPr="001D528A">
              <w:t>.00</w:t>
            </w:r>
          </w:p>
        </w:tc>
        <w:tc>
          <w:tcPr>
            <w:tcW w:w="0" w:type="auto"/>
          </w:tcPr>
          <w:p w14:paraId="157D7F1F" w14:textId="77777777" w:rsidR="00F72B98" w:rsidRPr="001D528A" w:rsidRDefault="00F72B98" w:rsidP="001D528A">
            <w:pPr>
              <w:pStyle w:val="NoSpacing"/>
            </w:pPr>
            <w:r w:rsidRPr="001D528A">
              <w:t>−5.11</w:t>
            </w:r>
          </w:p>
        </w:tc>
        <w:tc>
          <w:tcPr>
            <w:tcW w:w="0" w:type="auto"/>
          </w:tcPr>
          <w:p w14:paraId="0A828A94" w14:textId="77777777" w:rsidR="00F72B98" w:rsidRPr="001D528A" w:rsidRDefault="00F72B98" w:rsidP="001D528A">
            <w:pPr>
              <w:pStyle w:val="NoSpacing"/>
            </w:pPr>
            <w:r w:rsidRPr="001D528A">
              <w:t>1.07</w:t>
            </w:r>
          </w:p>
        </w:tc>
        <w:tc>
          <w:tcPr>
            <w:tcW w:w="0" w:type="auto"/>
          </w:tcPr>
          <w:p w14:paraId="4D0AF9BA" w14:textId="77777777" w:rsidR="00F72B98" w:rsidRPr="001D528A" w:rsidRDefault="00F72B98" w:rsidP="001D528A">
            <w:pPr>
              <w:pStyle w:val="NoSpacing"/>
            </w:pPr>
            <w:r w:rsidRPr="001D528A">
              <w:t>.00</w:t>
            </w:r>
          </w:p>
        </w:tc>
      </w:tr>
      <w:tr w:rsidR="00F72B98" w:rsidRPr="001D528A" w14:paraId="2F2E4083" w14:textId="77777777" w:rsidTr="0029206A">
        <w:trPr>
          <w:trHeight w:val="189"/>
        </w:trPr>
        <w:tc>
          <w:tcPr>
            <w:tcW w:w="0" w:type="auto"/>
          </w:tcPr>
          <w:p w14:paraId="61325670" w14:textId="77777777" w:rsidR="00F72B98" w:rsidRPr="001D528A" w:rsidRDefault="00F72B98" w:rsidP="001D528A">
            <w:pPr>
              <w:pStyle w:val="NoSpacing"/>
            </w:pPr>
            <w:r w:rsidRPr="001D528A">
              <w:t>Concentrated disadvantage</w:t>
            </w:r>
          </w:p>
        </w:tc>
        <w:tc>
          <w:tcPr>
            <w:tcW w:w="0" w:type="auto"/>
          </w:tcPr>
          <w:p w14:paraId="632AF20F" w14:textId="77777777" w:rsidR="00F72B98" w:rsidRPr="001D528A" w:rsidRDefault="00F72B98" w:rsidP="001D528A">
            <w:pPr>
              <w:pStyle w:val="NoSpacing"/>
            </w:pPr>
            <w:r w:rsidRPr="001D528A">
              <w:t>7.21</w:t>
            </w:r>
          </w:p>
        </w:tc>
        <w:tc>
          <w:tcPr>
            <w:tcW w:w="0" w:type="auto"/>
          </w:tcPr>
          <w:p w14:paraId="01950E75" w14:textId="77777777" w:rsidR="00F72B98" w:rsidRPr="001D528A" w:rsidRDefault="00F72B98" w:rsidP="001D528A">
            <w:pPr>
              <w:pStyle w:val="NoSpacing"/>
            </w:pPr>
            <w:r w:rsidRPr="001D528A">
              <w:t>1.64</w:t>
            </w:r>
          </w:p>
        </w:tc>
        <w:tc>
          <w:tcPr>
            <w:tcW w:w="0" w:type="auto"/>
          </w:tcPr>
          <w:p w14:paraId="4E584C49" w14:textId="77777777" w:rsidR="00F72B98" w:rsidRPr="001D528A" w:rsidRDefault="00F72B98" w:rsidP="001D528A">
            <w:pPr>
              <w:pStyle w:val="NoSpacing"/>
            </w:pPr>
            <w:r w:rsidRPr="001D528A">
              <w:t>.00</w:t>
            </w:r>
          </w:p>
        </w:tc>
        <w:tc>
          <w:tcPr>
            <w:tcW w:w="0" w:type="auto"/>
          </w:tcPr>
          <w:p w14:paraId="6210D5B8" w14:textId="77777777" w:rsidR="00F72B98" w:rsidRPr="001D528A" w:rsidRDefault="00F72B98" w:rsidP="001D528A">
            <w:pPr>
              <w:pStyle w:val="NoSpacing"/>
            </w:pPr>
            <w:r w:rsidRPr="001D528A">
              <w:t>5.39</w:t>
            </w:r>
          </w:p>
        </w:tc>
        <w:tc>
          <w:tcPr>
            <w:tcW w:w="0" w:type="auto"/>
          </w:tcPr>
          <w:p w14:paraId="3AE3EA4E" w14:textId="77777777" w:rsidR="00F72B98" w:rsidRPr="001D528A" w:rsidRDefault="00F72B98" w:rsidP="001D528A">
            <w:pPr>
              <w:pStyle w:val="NoSpacing"/>
            </w:pPr>
            <w:r w:rsidRPr="001D528A">
              <w:t>1.56</w:t>
            </w:r>
          </w:p>
        </w:tc>
        <w:tc>
          <w:tcPr>
            <w:tcW w:w="0" w:type="auto"/>
          </w:tcPr>
          <w:p w14:paraId="54A092D8" w14:textId="77777777" w:rsidR="00F72B98" w:rsidRPr="001D528A" w:rsidRDefault="00F72B98" w:rsidP="001D528A">
            <w:pPr>
              <w:pStyle w:val="NoSpacing"/>
            </w:pPr>
            <w:r w:rsidRPr="001D528A">
              <w:t>.00</w:t>
            </w:r>
          </w:p>
        </w:tc>
      </w:tr>
      <w:tr w:rsidR="00F72B98" w:rsidRPr="001D528A" w14:paraId="080A996A" w14:textId="77777777" w:rsidTr="0029206A">
        <w:trPr>
          <w:trHeight w:val="189"/>
        </w:trPr>
        <w:tc>
          <w:tcPr>
            <w:tcW w:w="0" w:type="auto"/>
          </w:tcPr>
          <w:p w14:paraId="1C6DA57A" w14:textId="77777777" w:rsidR="00F72B98" w:rsidRPr="001D528A" w:rsidRDefault="00F72B98" w:rsidP="001D528A">
            <w:pPr>
              <w:pStyle w:val="NoSpacing"/>
            </w:pPr>
            <w:r w:rsidRPr="001D528A">
              <w:t>Cultural heterogeneity</w:t>
            </w:r>
          </w:p>
        </w:tc>
        <w:tc>
          <w:tcPr>
            <w:tcW w:w="0" w:type="auto"/>
          </w:tcPr>
          <w:p w14:paraId="35720287" w14:textId="77777777" w:rsidR="00F72B98" w:rsidRPr="001D528A" w:rsidRDefault="00F72B98" w:rsidP="001D528A">
            <w:pPr>
              <w:pStyle w:val="NoSpacing"/>
            </w:pPr>
            <w:r w:rsidRPr="001D528A">
              <w:t>−6.47</w:t>
            </w:r>
          </w:p>
        </w:tc>
        <w:tc>
          <w:tcPr>
            <w:tcW w:w="0" w:type="auto"/>
          </w:tcPr>
          <w:p w14:paraId="71D7BA46" w14:textId="77777777" w:rsidR="00F72B98" w:rsidRPr="001D528A" w:rsidRDefault="00F72B98" w:rsidP="001D528A">
            <w:pPr>
              <w:pStyle w:val="NoSpacing"/>
            </w:pPr>
            <w:r w:rsidRPr="001D528A">
              <w:t>0.97</w:t>
            </w:r>
          </w:p>
        </w:tc>
        <w:tc>
          <w:tcPr>
            <w:tcW w:w="0" w:type="auto"/>
          </w:tcPr>
          <w:p w14:paraId="7C120956" w14:textId="77777777" w:rsidR="00F72B98" w:rsidRPr="001D528A" w:rsidRDefault="00F72B98" w:rsidP="001D528A">
            <w:pPr>
              <w:pStyle w:val="NoSpacing"/>
            </w:pPr>
            <w:r w:rsidRPr="001D528A">
              <w:t>.00</w:t>
            </w:r>
          </w:p>
        </w:tc>
        <w:tc>
          <w:tcPr>
            <w:tcW w:w="0" w:type="auto"/>
          </w:tcPr>
          <w:p w14:paraId="3A538E33" w14:textId="77777777" w:rsidR="00F72B98" w:rsidRPr="001D528A" w:rsidRDefault="00F72B98" w:rsidP="001D528A">
            <w:pPr>
              <w:pStyle w:val="NoSpacing"/>
            </w:pPr>
            <w:r w:rsidRPr="001D528A">
              <w:t>−5.40</w:t>
            </w:r>
          </w:p>
        </w:tc>
        <w:tc>
          <w:tcPr>
            <w:tcW w:w="0" w:type="auto"/>
          </w:tcPr>
          <w:p w14:paraId="3283127F" w14:textId="77777777" w:rsidR="00F72B98" w:rsidRPr="001D528A" w:rsidRDefault="00F72B98" w:rsidP="001D528A">
            <w:pPr>
              <w:pStyle w:val="NoSpacing"/>
            </w:pPr>
            <w:r w:rsidRPr="001D528A">
              <w:t>0.94</w:t>
            </w:r>
          </w:p>
        </w:tc>
        <w:tc>
          <w:tcPr>
            <w:tcW w:w="0" w:type="auto"/>
          </w:tcPr>
          <w:p w14:paraId="69694F0D" w14:textId="77777777" w:rsidR="00F72B98" w:rsidRPr="001D528A" w:rsidRDefault="00F72B98" w:rsidP="001D528A">
            <w:pPr>
              <w:pStyle w:val="NoSpacing"/>
            </w:pPr>
            <w:r w:rsidRPr="001D528A">
              <w:t>.00</w:t>
            </w:r>
          </w:p>
        </w:tc>
      </w:tr>
      <w:tr w:rsidR="00F72B98" w:rsidRPr="001D528A" w14:paraId="29C8F0EA" w14:textId="77777777" w:rsidTr="0029206A">
        <w:trPr>
          <w:trHeight w:val="189"/>
        </w:trPr>
        <w:tc>
          <w:tcPr>
            <w:tcW w:w="0" w:type="auto"/>
          </w:tcPr>
          <w:p w14:paraId="19AC3C5F" w14:textId="77777777" w:rsidR="00F72B98" w:rsidRPr="001D528A" w:rsidRDefault="00F72B98" w:rsidP="001D528A">
            <w:pPr>
              <w:pStyle w:val="NoSpacing"/>
            </w:pPr>
            <w:r w:rsidRPr="001D528A">
              <w:t>Residential stability</w:t>
            </w:r>
          </w:p>
        </w:tc>
        <w:tc>
          <w:tcPr>
            <w:tcW w:w="0" w:type="auto"/>
          </w:tcPr>
          <w:p w14:paraId="7F94B936" w14:textId="77777777" w:rsidR="00F72B98" w:rsidRPr="001D528A" w:rsidRDefault="00F72B98" w:rsidP="001D528A">
            <w:pPr>
              <w:pStyle w:val="NoSpacing"/>
            </w:pPr>
            <w:r w:rsidRPr="001D528A">
              <w:t>1.52</w:t>
            </w:r>
          </w:p>
        </w:tc>
        <w:tc>
          <w:tcPr>
            <w:tcW w:w="0" w:type="auto"/>
          </w:tcPr>
          <w:p w14:paraId="07924F5F" w14:textId="77777777" w:rsidR="00F72B98" w:rsidRPr="001D528A" w:rsidRDefault="00F72B98" w:rsidP="001D528A">
            <w:pPr>
              <w:pStyle w:val="NoSpacing"/>
            </w:pPr>
            <w:r w:rsidRPr="001D528A">
              <w:t>1.02</w:t>
            </w:r>
          </w:p>
        </w:tc>
        <w:tc>
          <w:tcPr>
            <w:tcW w:w="0" w:type="auto"/>
          </w:tcPr>
          <w:p w14:paraId="12FBA1A4" w14:textId="77777777" w:rsidR="00F72B98" w:rsidRPr="001D528A" w:rsidRDefault="00F72B98" w:rsidP="001D528A">
            <w:pPr>
              <w:pStyle w:val="NoSpacing"/>
            </w:pPr>
            <w:r w:rsidRPr="001D528A">
              <w:t>.07</w:t>
            </w:r>
          </w:p>
        </w:tc>
        <w:tc>
          <w:tcPr>
            <w:tcW w:w="0" w:type="auto"/>
          </w:tcPr>
          <w:p w14:paraId="4F8BDC7C" w14:textId="77777777" w:rsidR="00F72B98" w:rsidRPr="001D528A" w:rsidRDefault="00F72B98" w:rsidP="001D528A">
            <w:pPr>
              <w:pStyle w:val="NoSpacing"/>
            </w:pPr>
            <w:r w:rsidRPr="001D528A">
              <w:t>0.83</w:t>
            </w:r>
          </w:p>
        </w:tc>
        <w:tc>
          <w:tcPr>
            <w:tcW w:w="0" w:type="auto"/>
          </w:tcPr>
          <w:p w14:paraId="43966EE4" w14:textId="77777777" w:rsidR="00F72B98" w:rsidRPr="001D528A" w:rsidRDefault="00F72B98" w:rsidP="001D528A">
            <w:pPr>
              <w:pStyle w:val="NoSpacing"/>
            </w:pPr>
            <w:r w:rsidRPr="001D528A">
              <w:t>0.98</w:t>
            </w:r>
          </w:p>
        </w:tc>
        <w:tc>
          <w:tcPr>
            <w:tcW w:w="0" w:type="auto"/>
          </w:tcPr>
          <w:p w14:paraId="7D29059A" w14:textId="77777777" w:rsidR="00F72B98" w:rsidRPr="001D528A" w:rsidRDefault="00F72B98" w:rsidP="001D528A">
            <w:pPr>
              <w:pStyle w:val="NoSpacing"/>
            </w:pPr>
            <w:r w:rsidRPr="001D528A">
              <w:t>.20</w:t>
            </w:r>
          </w:p>
        </w:tc>
      </w:tr>
      <w:tr w:rsidR="00F72B98" w:rsidRPr="001D528A" w14:paraId="06332EE0" w14:textId="77777777" w:rsidTr="0029206A">
        <w:trPr>
          <w:trHeight w:val="189"/>
        </w:trPr>
        <w:tc>
          <w:tcPr>
            <w:tcW w:w="0" w:type="auto"/>
          </w:tcPr>
          <w:p w14:paraId="1CCF002D" w14:textId="77777777" w:rsidR="00F72B98" w:rsidRPr="001D528A" w:rsidRDefault="00F72B98" w:rsidP="001D528A">
            <w:pPr>
              <w:pStyle w:val="NoSpacing"/>
            </w:pPr>
            <w:r w:rsidRPr="001D528A">
              <w:t>Population density</w:t>
            </w:r>
          </w:p>
        </w:tc>
        <w:tc>
          <w:tcPr>
            <w:tcW w:w="0" w:type="auto"/>
          </w:tcPr>
          <w:p w14:paraId="4C46768B" w14:textId="77777777" w:rsidR="00F72B98" w:rsidRPr="001D528A" w:rsidRDefault="00F72B98" w:rsidP="001D528A">
            <w:pPr>
              <w:pStyle w:val="NoSpacing"/>
            </w:pPr>
            <w:r w:rsidRPr="001D528A">
              <w:t>0.06</w:t>
            </w:r>
          </w:p>
        </w:tc>
        <w:tc>
          <w:tcPr>
            <w:tcW w:w="0" w:type="auto"/>
          </w:tcPr>
          <w:p w14:paraId="463E952D" w14:textId="77777777" w:rsidR="00F72B98" w:rsidRPr="001D528A" w:rsidRDefault="00F72B98" w:rsidP="001D528A">
            <w:pPr>
              <w:pStyle w:val="NoSpacing"/>
            </w:pPr>
            <w:r w:rsidRPr="001D528A">
              <w:t>0.01</w:t>
            </w:r>
          </w:p>
        </w:tc>
        <w:tc>
          <w:tcPr>
            <w:tcW w:w="0" w:type="auto"/>
          </w:tcPr>
          <w:p w14:paraId="69EDC1A7" w14:textId="77777777" w:rsidR="00F72B98" w:rsidRPr="001D528A" w:rsidRDefault="00F72B98" w:rsidP="001D528A">
            <w:pPr>
              <w:pStyle w:val="NoSpacing"/>
            </w:pPr>
            <w:r w:rsidRPr="001D528A">
              <w:t>.00</w:t>
            </w:r>
          </w:p>
        </w:tc>
        <w:tc>
          <w:tcPr>
            <w:tcW w:w="0" w:type="auto"/>
          </w:tcPr>
          <w:p w14:paraId="4B182135" w14:textId="77777777" w:rsidR="00F72B98" w:rsidRPr="001D528A" w:rsidRDefault="00F72B98" w:rsidP="001D528A">
            <w:pPr>
              <w:pStyle w:val="NoSpacing"/>
            </w:pPr>
            <w:r w:rsidRPr="001D528A">
              <w:t>0.05</w:t>
            </w:r>
          </w:p>
        </w:tc>
        <w:tc>
          <w:tcPr>
            <w:tcW w:w="0" w:type="auto"/>
          </w:tcPr>
          <w:p w14:paraId="77BEC072" w14:textId="77777777" w:rsidR="00F72B98" w:rsidRPr="001D528A" w:rsidRDefault="00F72B98" w:rsidP="001D528A">
            <w:pPr>
              <w:pStyle w:val="NoSpacing"/>
            </w:pPr>
            <w:r w:rsidRPr="001D528A">
              <w:t>0.01</w:t>
            </w:r>
          </w:p>
        </w:tc>
        <w:tc>
          <w:tcPr>
            <w:tcW w:w="0" w:type="auto"/>
          </w:tcPr>
          <w:p w14:paraId="6BE9DF94" w14:textId="77777777" w:rsidR="00F72B98" w:rsidRPr="001D528A" w:rsidRDefault="00F72B98" w:rsidP="001D528A">
            <w:pPr>
              <w:pStyle w:val="NoSpacing"/>
            </w:pPr>
            <w:r w:rsidRPr="001D528A">
              <w:t>.00</w:t>
            </w:r>
          </w:p>
        </w:tc>
      </w:tr>
      <w:tr w:rsidR="00F72B98" w:rsidRPr="001D528A" w14:paraId="2C1F1EB5" w14:textId="77777777" w:rsidTr="0029206A">
        <w:trPr>
          <w:trHeight w:val="189"/>
        </w:trPr>
        <w:tc>
          <w:tcPr>
            <w:tcW w:w="0" w:type="auto"/>
          </w:tcPr>
          <w:p w14:paraId="7499EF75" w14:textId="77777777" w:rsidR="00F72B98" w:rsidRPr="001D528A" w:rsidRDefault="00F72B98" w:rsidP="001D528A">
            <w:pPr>
              <w:pStyle w:val="NoSpacing"/>
            </w:pPr>
            <w:r w:rsidRPr="001D528A">
              <w:t>Percent vacant housing units</w:t>
            </w:r>
          </w:p>
        </w:tc>
        <w:tc>
          <w:tcPr>
            <w:tcW w:w="0" w:type="auto"/>
          </w:tcPr>
          <w:p w14:paraId="50846286" w14:textId="77777777" w:rsidR="00F72B98" w:rsidRPr="001D528A" w:rsidRDefault="00F72B98" w:rsidP="001D528A">
            <w:pPr>
              <w:pStyle w:val="NoSpacing"/>
            </w:pPr>
            <w:r w:rsidRPr="001D528A">
              <w:t>0.91</w:t>
            </w:r>
          </w:p>
        </w:tc>
        <w:tc>
          <w:tcPr>
            <w:tcW w:w="0" w:type="auto"/>
          </w:tcPr>
          <w:p w14:paraId="01C494D0" w14:textId="77777777" w:rsidR="00F72B98" w:rsidRPr="001D528A" w:rsidRDefault="00F72B98" w:rsidP="001D528A">
            <w:pPr>
              <w:pStyle w:val="NoSpacing"/>
            </w:pPr>
            <w:r w:rsidRPr="001D528A">
              <w:t>0.21</w:t>
            </w:r>
          </w:p>
        </w:tc>
        <w:tc>
          <w:tcPr>
            <w:tcW w:w="0" w:type="auto"/>
          </w:tcPr>
          <w:p w14:paraId="6D8D92C7" w14:textId="77777777" w:rsidR="00F72B98" w:rsidRPr="001D528A" w:rsidRDefault="00F72B98" w:rsidP="001D528A">
            <w:pPr>
              <w:pStyle w:val="NoSpacing"/>
            </w:pPr>
            <w:r w:rsidRPr="001D528A">
              <w:t>.00</w:t>
            </w:r>
          </w:p>
        </w:tc>
        <w:tc>
          <w:tcPr>
            <w:tcW w:w="0" w:type="auto"/>
          </w:tcPr>
          <w:p w14:paraId="482E4674" w14:textId="77777777" w:rsidR="00F72B98" w:rsidRPr="001D528A" w:rsidRDefault="00F72B98" w:rsidP="001D528A">
            <w:pPr>
              <w:pStyle w:val="NoSpacing"/>
            </w:pPr>
            <w:r w:rsidRPr="001D528A">
              <w:t>0.67</w:t>
            </w:r>
          </w:p>
        </w:tc>
        <w:tc>
          <w:tcPr>
            <w:tcW w:w="0" w:type="auto"/>
          </w:tcPr>
          <w:p w14:paraId="3251B72B" w14:textId="77777777" w:rsidR="00F72B98" w:rsidRPr="001D528A" w:rsidRDefault="00F72B98" w:rsidP="001D528A">
            <w:pPr>
              <w:pStyle w:val="NoSpacing"/>
            </w:pPr>
            <w:r w:rsidRPr="001D528A">
              <w:t>0.20</w:t>
            </w:r>
          </w:p>
        </w:tc>
        <w:tc>
          <w:tcPr>
            <w:tcW w:w="0" w:type="auto"/>
          </w:tcPr>
          <w:p w14:paraId="03ECBD19" w14:textId="77777777" w:rsidR="00F72B98" w:rsidRPr="001D528A" w:rsidRDefault="00F72B98" w:rsidP="001D528A">
            <w:pPr>
              <w:pStyle w:val="NoSpacing"/>
            </w:pPr>
            <w:r w:rsidRPr="001D528A">
              <w:t>.00</w:t>
            </w:r>
          </w:p>
        </w:tc>
      </w:tr>
      <w:tr w:rsidR="00F72B98" w:rsidRPr="001D528A" w14:paraId="4BC114FC" w14:textId="77777777" w:rsidTr="0029206A">
        <w:trPr>
          <w:trHeight w:val="332"/>
        </w:trPr>
        <w:tc>
          <w:tcPr>
            <w:tcW w:w="0" w:type="auto"/>
          </w:tcPr>
          <w:p w14:paraId="40E9C931" w14:textId="4375CA1D" w:rsidR="00F72B98" w:rsidRPr="001D528A" w:rsidRDefault="00F72B98" w:rsidP="008760DA">
            <w:pPr>
              <w:pStyle w:val="NoSpacing"/>
            </w:pPr>
            <w:r w:rsidRPr="001D528A">
              <w:t>Rho female violent victimization density</w:t>
            </w:r>
          </w:p>
        </w:tc>
        <w:tc>
          <w:tcPr>
            <w:tcW w:w="0" w:type="auto"/>
          </w:tcPr>
          <w:p w14:paraId="63D8228F" w14:textId="77777777" w:rsidR="00F72B98" w:rsidRPr="001D528A" w:rsidRDefault="00F72B98" w:rsidP="001D528A">
            <w:pPr>
              <w:pStyle w:val="NoSpacing"/>
            </w:pPr>
            <w:r w:rsidRPr="001D528A">
              <w:t>0.51</w:t>
            </w:r>
          </w:p>
        </w:tc>
        <w:tc>
          <w:tcPr>
            <w:tcW w:w="0" w:type="auto"/>
          </w:tcPr>
          <w:p w14:paraId="75B2A5E8" w14:textId="77777777" w:rsidR="00F72B98" w:rsidRPr="001D528A" w:rsidRDefault="00F72B98" w:rsidP="001D528A">
            <w:pPr>
              <w:pStyle w:val="NoSpacing"/>
            </w:pPr>
            <w:r w:rsidRPr="001D528A">
              <w:t>0.05</w:t>
            </w:r>
          </w:p>
        </w:tc>
        <w:tc>
          <w:tcPr>
            <w:tcW w:w="0" w:type="auto"/>
          </w:tcPr>
          <w:p w14:paraId="6193ACF1" w14:textId="77777777" w:rsidR="00F72B98" w:rsidRPr="001D528A" w:rsidRDefault="00F72B98" w:rsidP="001D528A">
            <w:pPr>
              <w:pStyle w:val="NoSpacing"/>
            </w:pPr>
            <w:r w:rsidRPr="001D528A">
              <w:t>.00</w:t>
            </w:r>
          </w:p>
        </w:tc>
        <w:tc>
          <w:tcPr>
            <w:tcW w:w="0" w:type="auto"/>
          </w:tcPr>
          <w:p w14:paraId="37F64F92" w14:textId="77777777" w:rsidR="00F72B98" w:rsidRPr="001D528A" w:rsidRDefault="00F72B98" w:rsidP="001D528A">
            <w:pPr>
              <w:pStyle w:val="NoSpacing"/>
            </w:pPr>
            <w:r w:rsidRPr="001D528A">
              <w:t>—</w:t>
            </w:r>
          </w:p>
        </w:tc>
        <w:tc>
          <w:tcPr>
            <w:tcW w:w="0" w:type="auto"/>
          </w:tcPr>
          <w:p w14:paraId="7F5759CB" w14:textId="77777777" w:rsidR="00F72B98" w:rsidRPr="001D528A" w:rsidRDefault="00F72B98" w:rsidP="001D528A">
            <w:pPr>
              <w:pStyle w:val="NoSpacing"/>
            </w:pPr>
            <w:r w:rsidRPr="001D528A">
              <w:t>—</w:t>
            </w:r>
          </w:p>
        </w:tc>
        <w:tc>
          <w:tcPr>
            <w:tcW w:w="0" w:type="auto"/>
          </w:tcPr>
          <w:p w14:paraId="551CC512" w14:textId="77777777" w:rsidR="00F72B98" w:rsidRPr="001D528A" w:rsidRDefault="00F72B98" w:rsidP="001D528A">
            <w:pPr>
              <w:pStyle w:val="NoSpacing"/>
            </w:pPr>
            <w:r w:rsidRPr="001D528A">
              <w:t>—</w:t>
            </w:r>
          </w:p>
        </w:tc>
      </w:tr>
      <w:tr w:rsidR="00F72B98" w:rsidRPr="001D528A" w14:paraId="2B51A21C" w14:textId="77777777" w:rsidTr="0029206A">
        <w:trPr>
          <w:trHeight w:val="176"/>
        </w:trPr>
        <w:tc>
          <w:tcPr>
            <w:tcW w:w="0" w:type="auto"/>
          </w:tcPr>
          <w:p w14:paraId="51B7D26D" w14:textId="57D955A1" w:rsidR="00F72B98" w:rsidRPr="001D528A" w:rsidRDefault="00F72B98" w:rsidP="008760DA">
            <w:pPr>
              <w:pStyle w:val="NoSpacing"/>
            </w:pPr>
            <w:r w:rsidRPr="001D528A">
              <w:t>Rho female non-IPV violent victimization density</w:t>
            </w:r>
          </w:p>
        </w:tc>
        <w:tc>
          <w:tcPr>
            <w:tcW w:w="0" w:type="auto"/>
          </w:tcPr>
          <w:p w14:paraId="14108654" w14:textId="69CAD5E3" w:rsidR="00F72B98" w:rsidRPr="001D528A" w:rsidRDefault="00F72B98" w:rsidP="008760DA">
            <w:pPr>
              <w:pStyle w:val="NoSpacing"/>
            </w:pPr>
            <w:r w:rsidRPr="001D528A">
              <w:t xml:space="preserve">— </w:t>
            </w:r>
          </w:p>
        </w:tc>
        <w:tc>
          <w:tcPr>
            <w:tcW w:w="0" w:type="auto"/>
          </w:tcPr>
          <w:p w14:paraId="58FDF91D" w14:textId="21648BED" w:rsidR="00F72B98" w:rsidRPr="001D528A" w:rsidRDefault="00F72B98" w:rsidP="001D528A">
            <w:pPr>
              <w:pStyle w:val="NoSpacing"/>
            </w:pPr>
            <w:r w:rsidRPr="001D528A">
              <w:t xml:space="preserve">— </w:t>
            </w:r>
          </w:p>
        </w:tc>
        <w:tc>
          <w:tcPr>
            <w:tcW w:w="0" w:type="auto"/>
          </w:tcPr>
          <w:p w14:paraId="224ABB02" w14:textId="1DD2498D" w:rsidR="00F72B98" w:rsidRPr="001D528A" w:rsidRDefault="00F72B98" w:rsidP="001D528A">
            <w:pPr>
              <w:pStyle w:val="NoSpacing"/>
            </w:pPr>
            <w:r w:rsidRPr="001D528A">
              <w:t xml:space="preserve">— </w:t>
            </w:r>
          </w:p>
        </w:tc>
        <w:tc>
          <w:tcPr>
            <w:tcW w:w="0" w:type="auto"/>
          </w:tcPr>
          <w:p w14:paraId="7CB43699" w14:textId="02B431EE" w:rsidR="00F72B98" w:rsidRPr="001D528A" w:rsidRDefault="00F72B98" w:rsidP="001D528A">
            <w:pPr>
              <w:pStyle w:val="NoSpacing"/>
            </w:pPr>
            <w:r w:rsidRPr="001D528A">
              <w:t>0.58</w:t>
            </w:r>
          </w:p>
        </w:tc>
        <w:tc>
          <w:tcPr>
            <w:tcW w:w="0" w:type="auto"/>
          </w:tcPr>
          <w:p w14:paraId="289F959A" w14:textId="22563B49" w:rsidR="00F72B98" w:rsidRPr="001D528A" w:rsidRDefault="00F72B98" w:rsidP="001D528A">
            <w:pPr>
              <w:pStyle w:val="NoSpacing"/>
            </w:pPr>
            <w:r w:rsidRPr="001D528A">
              <w:t>0.06</w:t>
            </w:r>
          </w:p>
        </w:tc>
        <w:tc>
          <w:tcPr>
            <w:tcW w:w="0" w:type="auto"/>
          </w:tcPr>
          <w:p w14:paraId="0D3AFEE7" w14:textId="04296838" w:rsidR="00F72B98" w:rsidRPr="001D528A" w:rsidRDefault="00F72B98" w:rsidP="001D528A">
            <w:pPr>
              <w:pStyle w:val="NoSpacing"/>
            </w:pPr>
            <w:r w:rsidRPr="001D528A">
              <w:t>.00</w:t>
            </w:r>
          </w:p>
        </w:tc>
      </w:tr>
      <w:tr w:rsidR="00F72B98" w:rsidRPr="001D528A" w14:paraId="4C0E4AE2" w14:textId="77777777" w:rsidTr="0029206A">
        <w:trPr>
          <w:trHeight w:val="176"/>
        </w:trPr>
        <w:tc>
          <w:tcPr>
            <w:tcW w:w="0" w:type="auto"/>
          </w:tcPr>
          <w:p w14:paraId="58B770FA" w14:textId="20D7DE20" w:rsidR="00F72B98" w:rsidRPr="001D528A" w:rsidRDefault="00F72B98" w:rsidP="004D3F95">
            <w:pPr>
              <w:pStyle w:val="NoSpacing"/>
            </w:pPr>
            <w:r w:rsidRPr="001D528A">
              <w:t>Constant</w:t>
            </w:r>
          </w:p>
        </w:tc>
        <w:tc>
          <w:tcPr>
            <w:tcW w:w="0" w:type="auto"/>
          </w:tcPr>
          <w:p w14:paraId="1075FA38" w14:textId="14713B22" w:rsidR="00F72B98" w:rsidRPr="001D528A" w:rsidRDefault="00F72B98" w:rsidP="004D3F95">
            <w:pPr>
              <w:pStyle w:val="NoSpacing"/>
            </w:pPr>
            <w:r w:rsidRPr="001D528A">
              <w:t>−3.01</w:t>
            </w:r>
          </w:p>
        </w:tc>
        <w:tc>
          <w:tcPr>
            <w:tcW w:w="0" w:type="auto"/>
          </w:tcPr>
          <w:p w14:paraId="190CF031" w14:textId="56F64218" w:rsidR="00F72B98" w:rsidRPr="001D528A" w:rsidRDefault="00F72B98" w:rsidP="004D3F95">
            <w:pPr>
              <w:pStyle w:val="NoSpacing"/>
            </w:pPr>
            <w:r w:rsidRPr="001D528A">
              <w:t>1.02</w:t>
            </w:r>
          </w:p>
        </w:tc>
        <w:tc>
          <w:tcPr>
            <w:tcW w:w="0" w:type="auto"/>
          </w:tcPr>
          <w:p w14:paraId="206743F8" w14:textId="40527C25" w:rsidR="00F72B98" w:rsidRPr="001D528A" w:rsidRDefault="00F72B98" w:rsidP="004D3F95">
            <w:pPr>
              <w:pStyle w:val="NoSpacing"/>
            </w:pPr>
            <w:r w:rsidRPr="001D528A">
              <w:t>.00</w:t>
            </w:r>
          </w:p>
        </w:tc>
        <w:tc>
          <w:tcPr>
            <w:tcW w:w="0" w:type="auto"/>
          </w:tcPr>
          <w:p w14:paraId="12867DF1" w14:textId="502B5BE0" w:rsidR="00F72B98" w:rsidRPr="001D528A" w:rsidRDefault="00F72B98" w:rsidP="004D3F95">
            <w:pPr>
              <w:pStyle w:val="NoSpacing"/>
            </w:pPr>
            <w:r w:rsidRPr="001D528A">
              <w:t>−2.75</w:t>
            </w:r>
          </w:p>
        </w:tc>
        <w:tc>
          <w:tcPr>
            <w:tcW w:w="0" w:type="auto"/>
          </w:tcPr>
          <w:p w14:paraId="4C9A3382" w14:textId="4331245D" w:rsidR="00F72B98" w:rsidRPr="001D528A" w:rsidRDefault="00F72B98" w:rsidP="004D3F95">
            <w:pPr>
              <w:pStyle w:val="NoSpacing"/>
            </w:pPr>
            <w:r w:rsidRPr="001D528A">
              <w:t>0.98</w:t>
            </w:r>
          </w:p>
        </w:tc>
        <w:tc>
          <w:tcPr>
            <w:tcW w:w="0" w:type="auto"/>
          </w:tcPr>
          <w:p w14:paraId="52B6DB77" w14:textId="23B92C78" w:rsidR="00F72B98" w:rsidRPr="001D528A" w:rsidRDefault="00F72B98" w:rsidP="004D3F95">
            <w:pPr>
              <w:pStyle w:val="NoSpacing"/>
            </w:pPr>
            <w:r w:rsidRPr="001D528A">
              <w:t>.00</w:t>
            </w:r>
          </w:p>
        </w:tc>
      </w:tr>
      <w:tr w:rsidR="00F72B98" w:rsidRPr="001D528A" w14:paraId="7084EE26" w14:textId="77777777" w:rsidTr="0029206A">
        <w:trPr>
          <w:trHeight w:val="176"/>
        </w:trPr>
        <w:tc>
          <w:tcPr>
            <w:tcW w:w="0" w:type="auto"/>
          </w:tcPr>
          <w:p w14:paraId="7407C8A1" w14:textId="715B7531" w:rsidR="00F72B98" w:rsidRPr="001D528A" w:rsidRDefault="00F72B98" w:rsidP="004D3F95">
            <w:pPr>
              <w:pStyle w:val="NoSpacing"/>
            </w:pPr>
            <w:r w:rsidRPr="001D528A">
              <w:t>Pseudo-</w:t>
            </w:r>
            <w:r w:rsidRPr="001D528A">
              <w:rPr>
                <w:i/>
                <w:iCs/>
              </w:rPr>
              <w:t>R</w:t>
            </w:r>
            <w:r w:rsidRPr="001D528A">
              <w:t>2</w:t>
            </w:r>
          </w:p>
        </w:tc>
        <w:tc>
          <w:tcPr>
            <w:tcW w:w="0" w:type="auto"/>
          </w:tcPr>
          <w:p w14:paraId="69A8B428" w14:textId="77777777" w:rsidR="00F72B98" w:rsidRPr="001D528A" w:rsidRDefault="00F72B98" w:rsidP="004D3F95">
            <w:pPr>
              <w:pStyle w:val="NoSpacing"/>
            </w:pPr>
          </w:p>
        </w:tc>
        <w:tc>
          <w:tcPr>
            <w:tcW w:w="0" w:type="auto"/>
          </w:tcPr>
          <w:p w14:paraId="0814637D" w14:textId="5CABD5EE" w:rsidR="00F72B98" w:rsidRPr="001D528A" w:rsidRDefault="00F72B98" w:rsidP="004D3F95">
            <w:pPr>
              <w:pStyle w:val="NoSpacing"/>
            </w:pPr>
            <w:r w:rsidRPr="001D528A">
              <w:t>.79</w:t>
            </w:r>
          </w:p>
        </w:tc>
        <w:tc>
          <w:tcPr>
            <w:tcW w:w="0" w:type="auto"/>
          </w:tcPr>
          <w:p w14:paraId="113956AE" w14:textId="77777777" w:rsidR="00F72B98" w:rsidRPr="001D528A" w:rsidRDefault="00F72B98" w:rsidP="004D3F95">
            <w:pPr>
              <w:pStyle w:val="NoSpacing"/>
            </w:pPr>
          </w:p>
        </w:tc>
        <w:tc>
          <w:tcPr>
            <w:tcW w:w="0" w:type="auto"/>
          </w:tcPr>
          <w:p w14:paraId="3DA52B4D" w14:textId="68F6CFC2" w:rsidR="00F72B98" w:rsidRPr="001D528A" w:rsidRDefault="00F72B98" w:rsidP="004D3F95">
            <w:pPr>
              <w:pStyle w:val="NoSpacing"/>
            </w:pPr>
          </w:p>
        </w:tc>
        <w:tc>
          <w:tcPr>
            <w:tcW w:w="0" w:type="auto"/>
          </w:tcPr>
          <w:p w14:paraId="047AF7E0" w14:textId="5F8D26CF" w:rsidR="00F72B98" w:rsidRPr="001D528A" w:rsidRDefault="00F72B98" w:rsidP="004D3F95">
            <w:pPr>
              <w:pStyle w:val="NoSpacing"/>
            </w:pPr>
            <w:r w:rsidRPr="001D528A">
              <w:t>.75</w:t>
            </w:r>
          </w:p>
        </w:tc>
        <w:tc>
          <w:tcPr>
            <w:tcW w:w="0" w:type="auto"/>
          </w:tcPr>
          <w:p w14:paraId="7C840A1D" w14:textId="1F7B7F5F" w:rsidR="00F72B98" w:rsidRPr="001D528A" w:rsidRDefault="00F72B98" w:rsidP="004D3F95">
            <w:pPr>
              <w:pStyle w:val="NoSpacing"/>
            </w:pPr>
          </w:p>
        </w:tc>
      </w:tr>
      <w:tr w:rsidR="00F72B98" w:rsidRPr="001D528A" w14:paraId="1E582271" w14:textId="77777777" w:rsidTr="0029206A">
        <w:trPr>
          <w:trHeight w:val="176"/>
        </w:trPr>
        <w:tc>
          <w:tcPr>
            <w:tcW w:w="0" w:type="auto"/>
          </w:tcPr>
          <w:p w14:paraId="57FA5DD0" w14:textId="4AA0FC60" w:rsidR="00F72B98" w:rsidRPr="001D528A" w:rsidRDefault="00F72B98" w:rsidP="00F72B98">
            <w:pPr>
              <w:pStyle w:val="NoSpacing"/>
            </w:pPr>
            <w:r w:rsidRPr="001D528A">
              <w:t xml:space="preserve">Multicollinearity condition number </w:t>
            </w:r>
          </w:p>
        </w:tc>
        <w:tc>
          <w:tcPr>
            <w:tcW w:w="0" w:type="auto"/>
          </w:tcPr>
          <w:p w14:paraId="3AEDD299" w14:textId="77777777" w:rsidR="00F72B98" w:rsidRPr="001D528A" w:rsidRDefault="00F72B98" w:rsidP="00F72B98">
            <w:pPr>
              <w:pStyle w:val="NoSpacing"/>
            </w:pPr>
          </w:p>
        </w:tc>
        <w:tc>
          <w:tcPr>
            <w:tcW w:w="0" w:type="auto"/>
          </w:tcPr>
          <w:p w14:paraId="50B50FD9" w14:textId="191047B3" w:rsidR="00F72B98" w:rsidRPr="001D528A" w:rsidRDefault="00F72B98" w:rsidP="00F72B98">
            <w:pPr>
              <w:pStyle w:val="NoSpacing"/>
            </w:pPr>
            <w:r w:rsidRPr="001D528A">
              <w:t>27.81</w:t>
            </w:r>
          </w:p>
        </w:tc>
        <w:tc>
          <w:tcPr>
            <w:tcW w:w="0" w:type="auto"/>
          </w:tcPr>
          <w:p w14:paraId="4D2DD09F" w14:textId="77777777" w:rsidR="00F72B98" w:rsidRPr="001D528A" w:rsidRDefault="00F72B98" w:rsidP="00F72B98">
            <w:pPr>
              <w:pStyle w:val="NoSpacing"/>
            </w:pPr>
          </w:p>
        </w:tc>
        <w:tc>
          <w:tcPr>
            <w:tcW w:w="0" w:type="auto"/>
          </w:tcPr>
          <w:p w14:paraId="06145E75" w14:textId="02D663D9" w:rsidR="00F72B98" w:rsidRPr="001D528A" w:rsidRDefault="00F72B98" w:rsidP="00F72B98">
            <w:pPr>
              <w:pStyle w:val="NoSpacing"/>
            </w:pPr>
          </w:p>
        </w:tc>
        <w:tc>
          <w:tcPr>
            <w:tcW w:w="0" w:type="auto"/>
          </w:tcPr>
          <w:p w14:paraId="56785132" w14:textId="4D4C4E53" w:rsidR="00F72B98" w:rsidRPr="001D528A" w:rsidRDefault="00F72B98" w:rsidP="00F72B98">
            <w:pPr>
              <w:pStyle w:val="NoSpacing"/>
            </w:pPr>
            <w:r w:rsidRPr="001D528A">
              <w:t>27.81</w:t>
            </w:r>
          </w:p>
        </w:tc>
        <w:tc>
          <w:tcPr>
            <w:tcW w:w="0" w:type="auto"/>
          </w:tcPr>
          <w:p w14:paraId="60CFC8D3" w14:textId="5FD23035" w:rsidR="00F72B98" w:rsidRPr="001D528A" w:rsidRDefault="00F72B98" w:rsidP="00F72B98">
            <w:pPr>
              <w:pStyle w:val="NoSpacing"/>
            </w:pPr>
          </w:p>
        </w:tc>
      </w:tr>
      <w:tr w:rsidR="00F72B98" w:rsidRPr="001D528A" w14:paraId="0180E7F8" w14:textId="77777777" w:rsidTr="0029206A">
        <w:trPr>
          <w:trHeight w:val="176"/>
        </w:trPr>
        <w:tc>
          <w:tcPr>
            <w:tcW w:w="0" w:type="auto"/>
          </w:tcPr>
          <w:p w14:paraId="48ADC68F" w14:textId="1CFEDE12" w:rsidR="00F72B98" w:rsidRPr="001D528A" w:rsidRDefault="00F72B98" w:rsidP="00F72B98">
            <w:pPr>
              <w:pStyle w:val="NoSpacing"/>
            </w:pPr>
            <w:proofErr w:type="spellStart"/>
            <w:r w:rsidRPr="001D528A">
              <w:t>Anselin</w:t>
            </w:r>
            <w:proofErr w:type="spellEnd"/>
            <w:r w:rsidRPr="001D528A">
              <w:t>–</w:t>
            </w:r>
            <w:proofErr w:type="spellStart"/>
            <w:r w:rsidRPr="001D528A">
              <w:t>Kelejian</w:t>
            </w:r>
            <w:proofErr w:type="spellEnd"/>
            <w:r w:rsidRPr="001D528A">
              <w:t xml:space="preserve"> test</w:t>
            </w:r>
          </w:p>
        </w:tc>
        <w:tc>
          <w:tcPr>
            <w:tcW w:w="0" w:type="auto"/>
          </w:tcPr>
          <w:p w14:paraId="4DA742AD" w14:textId="77777777" w:rsidR="00F72B98" w:rsidRPr="001D528A" w:rsidRDefault="00F72B98" w:rsidP="00F72B98">
            <w:pPr>
              <w:pStyle w:val="NoSpacing"/>
            </w:pPr>
          </w:p>
        </w:tc>
        <w:tc>
          <w:tcPr>
            <w:tcW w:w="0" w:type="auto"/>
          </w:tcPr>
          <w:p w14:paraId="24B5C1D0" w14:textId="7BD5A222" w:rsidR="00F72B98" w:rsidRPr="001D528A" w:rsidRDefault="00F72B98" w:rsidP="00F72B98">
            <w:pPr>
              <w:pStyle w:val="NoSpacing"/>
            </w:pPr>
            <w:r w:rsidRPr="001D528A">
              <w:t>1.40 (</w:t>
            </w:r>
            <w:r w:rsidRPr="001D528A">
              <w:rPr>
                <w:i/>
                <w:iCs/>
              </w:rPr>
              <w:t xml:space="preserve">p </w:t>
            </w:r>
            <w:r w:rsidRPr="001D528A">
              <w:t>= .24)</w:t>
            </w:r>
          </w:p>
        </w:tc>
        <w:tc>
          <w:tcPr>
            <w:tcW w:w="0" w:type="auto"/>
          </w:tcPr>
          <w:p w14:paraId="6BD90FAB" w14:textId="77777777" w:rsidR="00F72B98" w:rsidRPr="001D528A" w:rsidRDefault="00F72B98" w:rsidP="00F72B98">
            <w:pPr>
              <w:pStyle w:val="NoSpacing"/>
            </w:pPr>
          </w:p>
        </w:tc>
        <w:tc>
          <w:tcPr>
            <w:tcW w:w="0" w:type="auto"/>
          </w:tcPr>
          <w:p w14:paraId="4ECC3214" w14:textId="75C11C33" w:rsidR="00F72B98" w:rsidRPr="001D528A" w:rsidRDefault="00F72B98" w:rsidP="00F72B98">
            <w:pPr>
              <w:pStyle w:val="NoSpacing"/>
            </w:pPr>
          </w:p>
        </w:tc>
        <w:tc>
          <w:tcPr>
            <w:tcW w:w="0" w:type="auto"/>
          </w:tcPr>
          <w:p w14:paraId="0AAA0CED" w14:textId="036595BB" w:rsidR="00F72B98" w:rsidRPr="001D528A" w:rsidRDefault="00F72B98" w:rsidP="00F72B98">
            <w:pPr>
              <w:pStyle w:val="NoSpacing"/>
            </w:pPr>
            <w:r w:rsidRPr="001D528A">
              <w:t>5.45 (</w:t>
            </w:r>
            <w:r w:rsidRPr="001D528A">
              <w:rPr>
                <w:i/>
                <w:iCs/>
              </w:rPr>
              <w:t xml:space="preserve">p </w:t>
            </w:r>
            <w:r w:rsidRPr="001D528A">
              <w:t>= .02)</w:t>
            </w:r>
          </w:p>
        </w:tc>
        <w:tc>
          <w:tcPr>
            <w:tcW w:w="0" w:type="auto"/>
          </w:tcPr>
          <w:p w14:paraId="38BE8F01" w14:textId="77777777" w:rsidR="00F72B98" w:rsidRPr="001D528A" w:rsidRDefault="00F72B98" w:rsidP="00F72B98">
            <w:pPr>
              <w:pStyle w:val="NoSpacing"/>
            </w:pPr>
          </w:p>
        </w:tc>
      </w:tr>
    </w:tbl>
    <w:p w14:paraId="7C7DF7F4" w14:textId="519AC37E" w:rsidR="001D528A" w:rsidRDefault="00F72B98" w:rsidP="00F72B98">
      <w:pPr>
        <w:pStyle w:val="NoSpacing"/>
      </w:pPr>
      <w:r w:rsidRPr="00F72B98">
        <w:rPr>
          <w:b/>
          <w:bCs/>
        </w:rPr>
        <w:t>Note.</w:t>
      </w:r>
      <w:r w:rsidRPr="00F72B98">
        <w:t xml:space="preserve"> Given theoretical expectations, all p values are for one-tailed tests. IPV = intimate partner violence.</w:t>
      </w:r>
    </w:p>
    <w:p w14:paraId="394A8DD1" w14:textId="7C2F6AFB" w:rsidR="007867AB" w:rsidRDefault="007867AB" w:rsidP="00F72B98">
      <w:pPr>
        <w:pStyle w:val="NoSpacing"/>
      </w:pPr>
    </w:p>
    <w:p w14:paraId="42281A24" w14:textId="6BD5E0C2" w:rsidR="007867AB" w:rsidRDefault="007867AB" w:rsidP="00F72B98">
      <w:pPr>
        <w:pStyle w:val="NoSpacing"/>
      </w:pPr>
      <w:r>
        <w:t xml:space="preserve">We estimated relationships for males to determine whether these associations were specific to female victimization. </w:t>
      </w:r>
      <w:hyperlink r:id="rId77" w:history="1">
        <w:r>
          <w:rPr>
            <w:rStyle w:val="Hyperlink"/>
          </w:rPr>
          <w:t>Table 5</w:t>
        </w:r>
      </w:hyperlink>
      <w:r>
        <w:t xml:space="preserve"> shows results of two spatially lagged regression models. Model 3 shows results for overall male violent victimization density regressed on alcohol outlet types net of controls. Model 4 shows results for male non-IPV violent victimization density. Model 3 shows male violent victimization was positively associated with on-premise (</w:t>
      </w:r>
      <w:r>
        <w:rPr>
          <w:i/>
          <w:iCs/>
        </w:rPr>
        <w:t>p</w:t>
      </w:r>
      <w:r>
        <w:t xml:space="preserve"> = .01) and off-premise (</w:t>
      </w:r>
      <w:r>
        <w:rPr>
          <w:i/>
          <w:iCs/>
        </w:rPr>
        <w:t>p</w:t>
      </w:r>
      <w:r>
        <w:t xml:space="preserve"> &lt; .01) alcohol outlet density. The spatial autoregressive parameter (Rho) for overall male violent victimization density was positively associated with male violent victimization density, though the inclusion of this term did not remove all spatial autocorrelation in model residuals (</w:t>
      </w:r>
      <w:proofErr w:type="spellStart"/>
      <w:r>
        <w:t>Anselin</w:t>
      </w:r>
      <w:proofErr w:type="spellEnd"/>
      <w:r>
        <w:t>–</w:t>
      </w:r>
      <w:proofErr w:type="spellStart"/>
      <w:r>
        <w:t>Kelejian</w:t>
      </w:r>
      <w:proofErr w:type="spellEnd"/>
      <w:r>
        <w:t xml:space="preserve"> test, </w:t>
      </w:r>
      <w:r>
        <w:rPr>
          <w:i/>
          <w:iCs/>
        </w:rPr>
        <w:t>p</w:t>
      </w:r>
      <w:r>
        <w:t xml:space="preserve"> = .01). These variables explained 82% of the variance in overall male violent victimization density, and the multicollinearity condition number suggests multicollinearity was not a problem in this model. Results for Model 4 show on-premise alcohol outlet density and off-premise alcohol outlet density were positively associated with male non-IPV violent victimization (</w:t>
      </w:r>
      <w:r>
        <w:rPr>
          <w:i/>
          <w:iCs/>
        </w:rPr>
        <w:t>p</w:t>
      </w:r>
      <w:r>
        <w:t xml:space="preserve"> &lt; .01 for both). The spatial autoregressive parameter (Rho) was a significant contributor to the model (</w:t>
      </w:r>
      <w:r>
        <w:rPr>
          <w:i/>
          <w:iCs/>
        </w:rPr>
        <w:t>p</w:t>
      </w:r>
      <w:r>
        <w:t xml:space="preserve"> = .00), but it did not remove </w:t>
      </w:r>
      <w:proofErr w:type="gramStart"/>
      <w:r>
        <w:t>all of</w:t>
      </w:r>
      <w:proofErr w:type="gramEnd"/>
      <w:r>
        <w:t xml:space="preserve"> the remaining spatial dependence in the model residuals (</w:t>
      </w:r>
      <w:proofErr w:type="spellStart"/>
      <w:r>
        <w:t>Anselin</w:t>
      </w:r>
      <w:proofErr w:type="spellEnd"/>
      <w:r>
        <w:t>–</w:t>
      </w:r>
      <w:proofErr w:type="spellStart"/>
      <w:r>
        <w:t>Kelejian</w:t>
      </w:r>
      <w:proofErr w:type="spellEnd"/>
      <w:r>
        <w:t xml:space="preserve"> test, </w:t>
      </w:r>
      <w:r>
        <w:rPr>
          <w:i/>
          <w:iCs/>
        </w:rPr>
        <w:t>p</w:t>
      </w:r>
      <w:r>
        <w:t xml:space="preserve"> = .00). These variables explained 81% of variance in the male non-IPV violent victimization density, and multicollinearity condition number test statistic suggested that multicollinearity was not a problem.</w:t>
      </w:r>
    </w:p>
    <w:p w14:paraId="071C6C8A" w14:textId="687C998F" w:rsidR="007867AB" w:rsidRDefault="007867AB" w:rsidP="00F72B98">
      <w:pPr>
        <w:pStyle w:val="NoSpacing"/>
      </w:pPr>
    </w:p>
    <w:p w14:paraId="5D5ECE2D" w14:textId="02F56291" w:rsidR="007867AB" w:rsidRPr="007867AB" w:rsidRDefault="007867AB" w:rsidP="007867AB">
      <w:pPr>
        <w:pStyle w:val="NoSpacing"/>
      </w:pPr>
      <w:r>
        <w:rPr>
          <w:rFonts w:ascii="GillSansStd-Bold" w:hAnsi="GillSansStd-Bold" w:cs="GillSansStd-Bold"/>
          <w:b/>
          <w:bCs/>
        </w:rPr>
        <w:lastRenderedPageBreak/>
        <w:t xml:space="preserve">Table 5. </w:t>
      </w:r>
      <w:r>
        <w:t>Spatial Lag Regression for Male Violent Victimization Density and Male Non-IPV Violent Victimization Density Regressed on Alcohol Outlet Types, Social Disorganization, and Control Variables for Milwaukee Block Groups (</w:t>
      </w:r>
      <w:r>
        <w:rPr>
          <w:rFonts w:ascii="GillSansStd-Italic" w:hAnsi="GillSansStd-Italic" w:cs="GillSansStd-Italic"/>
          <w:i/>
          <w:iCs/>
        </w:rPr>
        <w:t xml:space="preserve">N </w:t>
      </w:r>
      <w:r>
        <w:t>= 572).</w:t>
      </w:r>
    </w:p>
    <w:tbl>
      <w:tblPr>
        <w:tblStyle w:val="TableGridLight"/>
        <w:tblW w:w="0" w:type="auto"/>
        <w:tblLook w:val="0020" w:firstRow="1" w:lastRow="0" w:firstColumn="0" w:lastColumn="0" w:noHBand="0" w:noVBand="0"/>
      </w:tblPr>
      <w:tblGrid>
        <w:gridCol w:w="2696"/>
        <w:gridCol w:w="2205"/>
        <w:gridCol w:w="970"/>
        <w:gridCol w:w="495"/>
        <w:gridCol w:w="2239"/>
        <w:gridCol w:w="970"/>
        <w:gridCol w:w="495"/>
      </w:tblGrid>
      <w:tr w:rsidR="00666E0E" w:rsidRPr="007867AB" w14:paraId="6D7CAFB9" w14:textId="77777777" w:rsidTr="00794BEB">
        <w:trPr>
          <w:trHeight w:val="315"/>
        </w:trPr>
        <w:tc>
          <w:tcPr>
            <w:tcW w:w="0" w:type="auto"/>
          </w:tcPr>
          <w:p w14:paraId="29ECEFAD" w14:textId="77777777" w:rsidR="00666E0E" w:rsidRPr="0029206A" w:rsidRDefault="00666E0E" w:rsidP="007867AB">
            <w:pPr>
              <w:pStyle w:val="NoSpacing"/>
              <w:rPr>
                <w:b/>
                <w:bCs/>
              </w:rPr>
            </w:pPr>
          </w:p>
        </w:tc>
        <w:tc>
          <w:tcPr>
            <w:tcW w:w="0" w:type="auto"/>
          </w:tcPr>
          <w:p w14:paraId="01B39558" w14:textId="1AD2F3D9" w:rsidR="00666E0E" w:rsidRPr="0029206A" w:rsidRDefault="00666E0E" w:rsidP="00666E0E">
            <w:pPr>
              <w:pStyle w:val="NoSpacing"/>
              <w:rPr>
                <w:b/>
                <w:bCs/>
                <w:i/>
                <w:iCs/>
              </w:rPr>
            </w:pPr>
            <w:r w:rsidRPr="0029206A">
              <w:rPr>
                <w:b/>
                <w:bCs/>
              </w:rPr>
              <w:t>Model 3: Male Violent Victimization</w:t>
            </w:r>
          </w:p>
        </w:tc>
        <w:tc>
          <w:tcPr>
            <w:tcW w:w="0" w:type="auto"/>
          </w:tcPr>
          <w:p w14:paraId="61750E1C" w14:textId="77777777" w:rsidR="00666E0E" w:rsidRPr="0029206A" w:rsidRDefault="00666E0E" w:rsidP="007867AB">
            <w:pPr>
              <w:pStyle w:val="NoSpacing"/>
              <w:rPr>
                <w:b/>
                <w:bCs/>
                <w:i/>
                <w:iCs/>
              </w:rPr>
            </w:pPr>
          </w:p>
        </w:tc>
        <w:tc>
          <w:tcPr>
            <w:tcW w:w="0" w:type="auto"/>
          </w:tcPr>
          <w:p w14:paraId="62AB2A67" w14:textId="77777777" w:rsidR="00666E0E" w:rsidRPr="0029206A" w:rsidRDefault="00666E0E" w:rsidP="007867AB">
            <w:pPr>
              <w:pStyle w:val="NoSpacing"/>
              <w:rPr>
                <w:b/>
                <w:bCs/>
                <w:i/>
                <w:iCs/>
              </w:rPr>
            </w:pPr>
          </w:p>
        </w:tc>
        <w:tc>
          <w:tcPr>
            <w:tcW w:w="0" w:type="auto"/>
          </w:tcPr>
          <w:p w14:paraId="5B86A747" w14:textId="29E194E4" w:rsidR="00666E0E" w:rsidRPr="0029206A" w:rsidRDefault="00666E0E" w:rsidP="00666E0E">
            <w:pPr>
              <w:pStyle w:val="NoSpacing"/>
              <w:rPr>
                <w:b/>
                <w:bCs/>
                <w:i/>
                <w:iCs/>
              </w:rPr>
            </w:pPr>
            <w:r w:rsidRPr="0029206A">
              <w:rPr>
                <w:b/>
                <w:bCs/>
              </w:rPr>
              <w:t>Model 4: Male Non-IPV Victimization</w:t>
            </w:r>
          </w:p>
        </w:tc>
        <w:tc>
          <w:tcPr>
            <w:tcW w:w="0" w:type="auto"/>
          </w:tcPr>
          <w:p w14:paraId="57CC4448" w14:textId="77777777" w:rsidR="00666E0E" w:rsidRPr="0029206A" w:rsidRDefault="00666E0E" w:rsidP="007867AB">
            <w:pPr>
              <w:pStyle w:val="NoSpacing"/>
              <w:rPr>
                <w:b/>
                <w:bCs/>
                <w:i/>
                <w:iCs/>
              </w:rPr>
            </w:pPr>
          </w:p>
        </w:tc>
        <w:tc>
          <w:tcPr>
            <w:tcW w:w="0" w:type="auto"/>
          </w:tcPr>
          <w:p w14:paraId="526450CD" w14:textId="77777777" w:rsidR="00666E0E" w:rsidRPr="0029206A" w:rsidRDefault="00666E0E" w:rsidP="007867AB">
            <w:pPr>
              <w:pStyle w:val="NoSpacing"/>
              <w:rPr>
                <w:b/>
                <w:bCs/>
                <w:i/>
                <w:iCs/>
              </w:rPr>
            </w:pPr>
          </w:p>
        </w:tc>
      </w:tr>
      <w:tr w:rsidR="00666E0E" w:rsidRPr="007867AB" w14:paraId="64BDF45E" w14:textId="77777777" w:rsidTr="00794BEB">
        <w:trPr>
          <w:trHeight w:val="315"/>
        </w:trPr>
        <w:tc>
          <w:tcPr>
            <w:tcW w:w="0" w:type="auto"/>
          </w:tcPr>
          <w:p w14:paraId="19188E7C" w14:textId="77777777" w:rsidR="00666E0E" w:rsidRPr="0029206A" w:rsidRDefault="00666E0E" w:rsidP="007867AB">
            <w:pPr>
              <w:pStyle w:val="NoSpacing"/>
              <w:rPr>
                <w:b/>
                <w:bCs/>
              </w:rPr>
            </w:pPr>
          </w:p>
        </w:tc>
        <w:tc>
          <w:tcPr>
            <w:tcW w:w="0" w:type="auto"/>
          </w:tcPr>
          <w:p w14:paraId="5E1EE15E" w14:textId="77777777" w:rsidR="00666E0E" w:rsidRPr="0029206A" w:rsidRDefault="00666E0E" w:rsidP="007867AB">
            <w:pPr>
              <w:pStyle w:val="NoSpacing"/>
              <w:rPr>
                <w:b/>
                <w:bCs/>
                <w:i/>
                <w:iCs/>
              </w:rPr>
            </w:pPr>
            <w:r w:rsidRPr="0029206A">
              <w:rPr>
                <w:b/>
                <w:bCs/>
                <w:i/>
                <w:iCs/>
              </w:rPr>
              <w:t>b</w:t>
            </w:r>
          </w:p>
        </w:tc>
        <w:tc>
          <w:tcPr>
            <w:tcW w:w="0" w:type="auto"/>
          </w:tcPr>
          <w:p w14:paraId="61B8C76F" w14:textId="77777777" w:rsidR="00666E0E" w:rsidRPr="0029206A" w:rsidRDefault="00666E0E" w:rsidP="007867AB">
            <w:pPr>
              <w:pStyle w:val="NoSpacing"/>
              <w:rPr>
                <w:b/>
                <w:bCs/>
                <w:i/>
                <w:iCs/>
              </w:rPr>
            </w:pPr>
            <w:r w:rsidRPr="0029206A">
              <w:rPr>
                <w:b/>
                <w:bCs/>
                <w:i/>
                <w:iCs/>
              </w:rPr>
              <w:t>SE</w:t>
            </w:r>
          </w:p>
        </w:tc>
        <w:tc>
          <w:tcPr>
            <w:tcW w:w="0" w:type="auto"/>
          </w:tcPr>
          <w:p w14:paraId="08C7E9EF" w14:textId="77777777" w:rsidR="00666E0E" w:rsidRPr="0029206A" w:rsidRDefault="00666E0E" w:rsidP="007867AB">
            <w:pPr>
              <w:pStyle w:val="NoSpacing"/>
              <w:rPr>
                <w:b/>
                <w:bCs/>
                <w:i/>
                <w:iCs/>
              </w:rPr>
            </w:pPr>
            <w:r w:rsidRPr="0029206A">
              <w:rPr>
                <w:b/>
                <w:bCs/>
                <w:i/>
                <w:iCs/>
              </w:rPr>
              <w:t>p</w:t>
            </w:r>
          </w:p>
        </w:tc>
        <w:tc>
          <w:tcPr>
            <w:tcW w:w="0" w:type="auto"/>
          </w:tcPr>
          <w:p w14:paraId="02AFDC1F" w14:textId="77777777" w:rsidR="00666E0E" w:rsidRPr="0029206A" w:rsidRDefault="00666E0E" w:rsidP="007867AB">
            <w:pPr>
              <w:pStyle w:val="NoSpacing"/>
              <w:rPr>
                <w:b/>
                <w:bCs/>
                <w:i/>
                <w:iCs/>
              </w:rPr>
            </w:pPr>
            <w:r w:rsidRPr="0029206A">
              <w:rPr>
                <w:b/>
                <w:bCs/>
                <w:i/>
                <w:iCs/>
              </w:rPr>
              <w:t>b</w:t>
            </w:r>
          </w:p>
        </w:tc>
        <w:tc>
          <w:tcPr>
            <w:tcW w:w="0" w:type="auto"/>
          </w:tcPr>
          <w:p w14:paraId="2F9C4D95" w14:textId="77777777" w:rsidR="00666E0E" w:rsidRPr="0029206A" w:rsidRDefault="00666E0E" w:rsidP="007867AB">
            <w:pPr>
              <w:pStyle w:val="NoSpacing"/>
              <w:rPr>
                <w:b/>
                <w:bCs/>
                <w:i/>
                <w:iCs/>
              </w:rPr>
            </w:pPr>
            <w:r w:rsidRPr="0029206A">
              <w:rPr>
                <w:b/>
                <w:bCs/>
                <w:i/>
                <w:iCs/>
              </w:rPr>
              <w:t>SE</w:t>
            </w:r>
          </w:p>
        </w:tc>
        <w:tc>
          <w:tcPr>
            <w:tcW w:w="0" w:type="auto"/>
          </w:tcPr>
          <w:p w14:paraId="1A590914" w14:textId="77777777" w:rsidR="00666E0E" w:rsidRPr="0029206A" w:rsidRDefault="00666E0E" w:rsidP="007867AB">
            <w:pPr>
              <w:pStyle w:val="NoSpacing"/>
              <w:rPr>
                <w:b/>
                <w:bCs/>
                <w:i/>
                <w:iCs/>
              </w:rPr>
            </w:pPr>
            <w:r w:rsidRPr="0029206A">
              <w:rPr>
                <w:b/>
                <w:bCs/>
                <w:i/>
                <w:iCs/>
              </w:rPr>
              <w:t>p</w:t>
            </w:r>
          </w:p>
        </w:tc>
      </w:tr>
      <w:tr w:rsidR="00666E0E" w:rsidRPr="007867AB" w14:paraId="1E002B0F" w14:textId="77777777" w:rsidTr="00794BEB">
        <w:trPr>
          <w:trHeight w:val="238"/>
        </w:trPr>
        <w:tc>
          <w:tcPr>
            <w:tcW w:w="0" w:type="auto"/>
          </w:tcPr>
          <w:p w14:paraId="6654AB83" w14:textId="77777777" w:rsidR="00666E0E" w:rsidRPr="007867AB" w:rsidRDefault="00666E0E" w:rsidP="007867AB">
            <w:pPr>
              <w:pStyle w:val="NoSpacing"/>
            </w:pPr>
            <w:r w:rsidRPr="007867AB">
              <w:t>On-premise</w:t>
            </w:r>
          </w:p>
        </w:tc>
        <w:tc>
          <w:tcPr>
            <w:tcW w:w="0" w:type="auto"/>
          </w:tcPr>
          <w:p w14:paraId="5944B9F9" w14:textId="77777777" w:rsidR="00666E0E" w:rsidRPr="007867AB" w:rsidRDefault="00666E0E" w:rsidP="007867AB">
            <w:pPr>
              <w:pStyle w:val="NoSpacing"/>
            </w:pPr>
            <w:r w:rsidRPr="007867AB">
              <w:t>0.65</w:t>
            </w:r>
          </w:p>
        </w:tc>
        <w:tc>
          <w:tcPr>
            <w:tcW w:w="0" w:type="auto"/>
          </w:tcPr>
          <w:p w14:paraId="3C9F6930" w14:textId="77777777" w:rsidR="00666E0E" w:rsidRPr="007867AB" w:rsidRDefault="00666E0E" w:rsidP="007867AB">
            <w:pPr>
              <w:pStyle w:val="NoSpacing"/>
            </w:pPr>
            <w:r w:rsidRPr="007867AB">
              <w:t>0.23</w:t>
            </w:r>
          </w:p>
        </w:tc>
        <w:tc>
          <w:tcPr>
            <w:tcW w:w="0" w:type="auto"/>
          </w:tcPr>
          <w:p w14:paraId="4A932736" w14:textId="77777777" w:rsidR="00666E0E" w:rsidRPr="007867AB" w:rsidRDefault="00666E0E" w:rsidP="007867AB">
            <w:pPr>
              <w:pStyle w:val="NoSpacing"/>
            </w:pPr>
            <w:r w:rsidRPr="007867AB">
              <w:t>.01</w:t>
            </w:r>
          </w:p>
        </w:tc>
        <w:tc>
          <w:tcPr>
            <w:tcW w:w="0" w:type="auto"/>
          </w:tcPr>
          <w:p w14:paraId="56BAD2D9" w14:textId="77777777" w:rsidR="00666E0E" w:rsidRPr="007867AB" w:rsidRDefault="00666E0E" w:rsidP="007867AB">
            <w:pPr>
              <w:pStyle w:val="NoSpacing"/>
            </w:pPr>
            <w:r w:rsidRPr="007867AB">
              <w:t>0.64</w:t>
            </w:r>
          </w:p>
        </w:tc>
        <w:tc>
          <w:tcPr>
            <w:tcW w:w="0" w:type="auto"/>
          </w:tcPr>
          <w:p w14:paraId="5837BC73" w14:textId="77777777" w:rsidR="00666E0E" w:rsidRPr="007867AB" w:rsidRDefault="00666E0E" w:rsidP="007867AB">
            <w:pPr>
              <w:pStyle w:val="NoSpacing"/>
            </w:pPr>
            <w:r w:rsidRPr="007867AB">
              <w:t>0.23</w:t>
            </w:r>
          </w:p>
        </w:tc>
        <w:tc>
          <w:tcPr>
            <w:tcW w:w="0" w:type="auto"/>
          </w:tcPr>
          <w:p w14:paraId="6D457E03" w14:textId="77777777" w:rsidR="00666E0E" w:rsidRPr="007867AB" w:rsidRDefault="00666E0E" w:rsidP="007867AB">
            <w:pPr>
              <w:pStyle w:val="NoSpacing"/>
            </w:pPr>
            <w:r w:rsidRPr="007867AB">
              <w:t>.00</w:t>
            </w:r>
          </w:p>
        </w:tc>
      </w:tr>
      <w:tr w:rsidR="00666E0E" w:rsidRPr="007867AB" w14:paraId="5B593CAC" w14:textId="77777777" w:rsidTr="00794BEB">
        <w:trPr>
          <w:trHeight w:val="189"/>
        </w:trPr>
        <w:tc>
          <w:tcPr>
            <w:tcW w:w="0" w:type="auto"/>
          </w:tcPr>
          <w:p w14:paraId="07809C92" w14:textId="77777777" w:rsidR="00666E0E" w:rsidRPr="007867AB" w:rsidRDefault="00666E0E" w:rsidP="007867AB">
            <w:pPr>
              <w:pStyle w:val="NoSpacing"/>
            </w:pPr>
            <w:r w:rsidRPr="007867AB">
              <w:t>Off-premise</w:t>
            </w:r>
          </w:p>
        </w:tc>
        <w:tc>
          <w:tcPr>
            <w:tcW w:w="0" w:type="auto"/>
          </w:tcPr>
          <w:p w14:paraId="6C033067" w14:textId="77777777" w:rsidR="00666E0E" w:rsidRPr="007867AB" w:rsidRDefault="00666E0E" w:rsidP="007867AB">
            <w:pPr>
              <w:pStyle w:val="NoSpacing"/>
            </w:pPr>
            <w:r w:rsidRPr="007867AB">
              <w:t>1.46</w:t>
            </w:r>
          </w:p>
        </w:tc>
        <w:tc>
          <w:tcPr>
            <w:tcW w:w="0" w:type="auto"/>
          </w:tcPr>
          <w:p w14:paraId="5164D56E" w14:textId="77777777" w:rsidR="00666E0E" w:rsidRPr="007867AB" w:rsidRDefault="00666E0E" w:rsidP="007867AB">
            <w:pPr>
              <w:pStyle w:val="NoSpacing"/>
            </w:pPr>
            <w:r w:rsidRPr="007867AB">
              <w:t>0.26</w:t>
            </w:r>
          </w:p>
        </w:tc>
        <w:tc>
          <w:tcPr>
            <w:tcW w:w="0" w:type="auto"/>
          </w:tcPr>
          <w:p w14:paraId="245CBA19" w14:textId="77777777" w:rsidR="00666E0E" w:rsidRPr="007867AB" w:rsidRDefault="00666E0E" w:rsidP="007867AB">
            <w:pPr>
              <w:pStyle w:val="NoSpacing"/>
            </w:pPr>
            <w:r w:rsidRPr="007867AB">
              <w:t>.00</w:t>
            </w:r>
          </w:p>
        </w:tc>
        <w:tc>
          <w:tcPr>
            <w:tcW w:w="0" w:type="auto"/>
          </w:tcPr>
          <w:p w14:paraId="2DA2A005" w14:textId="77777777" w:rsidR="00666E0E" w:rsidRPr="007867AB" w:rsidRDefault="00666E0E" w:rsidP="007867AB">
            <w:pPr>
              <w:pStyle w:val="NoSpacing"/>
            </w:pPr>
            <w:r w:rsidRPr="007867AB">
              <w:t>1.43</w:t>
            </w:r>
          </w:p>
        </w:tc>
        <w:tc>
          <w:tcPr>
            <w:tcW w:w="0" w:type="auto"/>
          </w:tcPr>
          <w:p w14:paraId="52E1BE86" w14:textId="77777777" w:rsidR="00666E0E" w:rsidRPr="007867AB" w:rsidRDefault="00666E0E" w:rsidP="007867AB">
            <w:pPr>
              <w:pStyle w:val="NoSpacing"/>
            </w:pPr>
            <w:r w:rsidRPr="007867AB">
              <w:t>0.25</w:t>
            </w:r>
          </w:p>
        </w:tc>
        <w:tc>
          <w:tcPr>
            <w:tcW w:w="0" w:type="auto"/>
          </w:tcPr>
          <w:p w14:paraId="39570B4C" w14:textId="77777777" w:rsidR="00666E0E" w:rsidRPr="007867AB" w:rsidRDefault="00666E0E" w:rsidP="007867AB">
            <w:pPr>
              <w:pStyle w:val="NoSpacing"/>
            </w:pPr>
            <w:r w:rsidRPr="007867AB">
              <w:t>.00</w:t>
            </w:r>
          </w:p>
        </w:tc>
      </w:tr>
      <w:tr w:rsidR="00666E0E" w:rsidRPr="007867AB" w14:paraId="3A598641" w14:textId="77777777" w:rsidTr="00794BEB">
        <w:trPr>
          <w:trHeight w:val="189"/>
        </w:trPr>
        <w:tc>
          <w:tcPr>
            <w:tcW w:w="0" w:type="auto"/>
          </w:tcPr>
          <w:p w14:paraId="09797911" w14:textId="77777777" w:rsidR="00666E0E" w:rsidRPr="007867AB" w:rsidRDefault="00666E0E" w:rsidP="007867AB">
            <w:pPr>
              <w:pStyle w:val="NoSpacing"/>
            </w:pPr>
            <w:r w:rsidRPr="007867AB">
              <w:t>Concentrated affluence</w:t>
            </w:r>
          </w:p>
        </w:tc>
        <w:tc>
          <w:tcPr>
            <w:tcW w:w="0" w:type="auto"/>
          </w:tcPr>
          <w:p w14:paraId="142627D7" w14:textId="77777777" w:rsidR="00666E0E" w:rsidRPr="007867AB" w:rsidRDefault="00666E0E" w:rsidP="007867AB">
            <w:pPr>
              <w:pStyle w:val="NoSpacing"/>
            </w:pPr>
            <w:r w:rsidRPr="007867AB">
              <w:t>−8.47</w:t>
            </w:r>
          </w:p>
        </w:tc>
        <w:tc>
          <w:tcPr>
            <w:tcW w:w="0" w:type="auto"/>
          </w:tcPr>
          <w:p w14:paraId="16D33275" w14:textId="77777777" w:rsidR="00666E0E" w:rsidRPr="007867AB" w:rsidRDefault="00666E0E" w:rsidP="007867AB">
            <w:pPr>
              <w:pStyle w:val="NoSpacing"/>
            </w:pPr>
            <w:r w:rsidRPr="007867AB">
              <w:t>1.26</w:t>
            </w:r>
          </w:p>
        </w:tc>
        <w:tc>
          <w:tcPr>
            <w:tcW w:w="0" w:type="auto"/>
          </w:tcPr>
          <w:p w14:paraId="3F4373B1" w14:textId="77777777" w:rsidR="00666E0E" w:rsidRPr="007867AB" w:rsidRDefault="00666E0E" w:rsidP="007867AB">
            <w:pPr>
              <w:pStyle w:val="NoSpacing"/>
            </w:pPr>
            <w:r w:rsidRPr="007867AB">
              <w:t>.00</w:t>
            </w:r>
          </w:p>
        </w:tc>
        <w:tc>
          <w:tcPr>
            <w:tcW w:w="0" w:type="auto"/>
          </w:tcPr>
          <w:p w14:paraId="15A49FF1" w14:textId="77777777" w:rsidR="00666E0E" w:rsidRPr="007867AB" w:rsidRDefault="00666E0E" w:rsidP="007867AB">
            <w:pPr>
              <w:pStyle w:val="NoSpacing"/>
            </w:pPr>
            <w:r w:rsidRPr="007867AB">
              <w:t>−7.63</w:t>
            </w:r>
          </w:p>
        </w:tc>
        <w:tc>
          <w:tcPr>
            <w:tcW w:w="0" w:type="auto"/>
          </w:tcPr>
          <w:p w14:paraId="6798A69B" w14:textId="77777777" w:rsidR="00666E0E" w:rsidRPr="007867AB" w:rsidRDefault="00666E0E" w:rsidP="007867AB">
            <w:pPr>
              <w:pStyle w:val="NoSpacing"/>
            </w:pPr>
            <w:r w:rsidRPr="007867AB">
              <w:t>1.22</w:t>
            </w:r>
          </w:p>
        </w:tc>
        <w:tc>
          <w:tcPr>
            <w:tcW w:w="0" w:type="auto"/>
          </w:tcPr>
          <w:p w14:paraId="663C8224" w14:textId="77777777" w:rsidR="00666E0E" w:rsidRPr="007867AB" w:rsidRDefault="00666E0E" w:rsidP="007867AB">
            <w:pPr>
              <w:pStyle w:val="NoSpacing"/>
            </w:pPr>
            <w:r w:rsidRPr="007867AB">
              <w:t>.00</w:t>
            </w:r>
          </w:p>
        </w:tc>
      </w:tr>
      <w:tr w:rsidR="00666E0E" w:rsidRPr="007867AB" w14:paraId="6FC7140B" w14:textId="77777777" w:rsidTr="00794BEB">
        <w:trPr>
          <w:trHeight w:val="189"/>
        </w:trPr>
        <w:tc>
          <w:tcPr>
            <w:tcW w:w="0" w:type="auto"/>
          </w:tcPr>
          <w:p w14:paraId="17804A07" w14:textId="77777777" w:rsidR="00666E0E" w:rsidRPr="007867AB" w:rsidRDefault="00666E0E" w:rsidP="007867AB">
            <w:pPr>
              <w:pStyle w:val="NoSpacing"/>
            </w:pPr>
            <w:r w:rsidRPr="007867AB">
              <w:t>Concentrated disadvantage</w:t>
            </w:r>
          </w:p>
        </w:tc>
        <w:tc>
          <w:tcPr>
            <w:tcW w:w="0" w:type="auto"/>
          </w:tcPr>
          <w:p w14:paraId="2FA49CED" w14:textId="77777777" w:rsidR="00666E0E" w:rsidRPr="007867AB" w:rsidRDefault="00666E0E" w:rsidP="007867AB">
            <w:pPr>
              <w:pStyle w:val="NoSpacing"/>
            </w:pPr>
            <w:r w:rsidRPr="007867AB">
              <w:t>4.33</w:t>
            </w:r>
          </w:p>
        </w:tc>
        <w:tc>
          <w:tcPr>
            <w:tcW w:w="0" w:type="auto"/>
          </w:tcPr>
          <w:p w14:paraId="5924F448" w14:textId="77777777" w:rsidR="00666E0E" w:rsidRPr="007867AB" w:rsidRDefault="00666E0E" w:rsidP="007867AB">
            <w:pPr>
              <w:pStyle w:val="NoSpacing"/>
            </w:pPr>
            <w:r w:rsidRPr="007867AB">
              <w:t>1.82</w:t>
            </w:r>
          </w:p>
        </w:tc>
        <w:tc>
          <w:tcPr>
            <w:tcW w:w="0" w:type="auto"/>
          </w:tcPr>
          <w:p w14:paraId="79BC533B" w14:textId="77777777" w:rsidR="00666E0E" w:rsidRPr="007867AB" w:rsidRDefault="00666E0E" w:rsidP="007867AB">
            <w:pPr>
              <w:pStyle w:val="NoSpacing"/>
            </w:pPr>
            <w:r w:rsidRPr="007867AB">
              <w:t>.01</w:t>
            </w:r>
          </w:p>
        </w:tc>
        <w:tc>
          <w:tcPr>
            <w:tcW w:w="0" w:type="auto"/>
          </w:tcPr>
          <w:p w14:paraId="3B5362B0" w14:textId="77777777" w:rsidR="00666E0E" w:rsidRPr="007867AB" w:rsidRDefault="00666E0E" w:rsidP="007867AB">
            <w:pPr>
              <w:pStyle w:val="NoSpacing"/>
            </w:pPr>
            <w:r w:rsidRPr="007867AB">
              <w:t>3.96</w:t>
            </w:r>
          </w:p>
        </w:tc>
        <w:tc>
          <w:tcPr>
            <w:tcW w:w="0" w:type="auto"/>
          </w:tcPr>
          <w:p w14:paraId="08FDDA00" w14:textId="77777777" w:rsidR="00666E0E" w:rsidRPr="007867AB" w:rsidRDefault="00666E0E" w:rsidP="007867AB">
            <w:pPr>
              <w:pStyle w:val="NoSpacing"/>
            </w:pPr>
            <w:r w:rsidRPr="007867AB">
              <w:t>1.78</w:t>
            </w:r>
          </w:p>
        </w:tc>
        <w:tc>
          <w:tcPr>
            <w:tcW w:w="0" w:type="auto"/>
          </w:tcPr>
          <w:p w14:paraId="0DA0E03C" w14:textId="77777777" w:rsidR="00666E0E" w:rsidRPr="007867AB" w:rsidRDefault="00666E0E" w:rsidP="007867AB">
            <w:pPr>
              <w:pStyle w:val="NoSpacing"/>
            </w:pPr>
            <w:r w:rsidRPr="007867AB">
              <w:t>.02</w:t>
            </w:r>
          </w:p>
        </w:tc>
      </w:tr>
      <w:tr w:rsidR="00666E0E" w:rsidRPr="007867AB" w14:paraId="36E98E72" w14:textId="77777777" w:rsidTr="00794BEB">
        <w:trPr>
          <w:trHeight w:val="189"/>
        </w:trPr>
        <w:tc>
          <w:tcPr>
            <w:tcW w:w="0" w:type="auto"/>
          </w:tcPr>
          <w:p w14:paraId="4358D751" w14:textId="77777777" w:rsidR="00666E0E" w:rsidRPr="007867AB" w:rsidRDefault="00666E0E" w:rsidP="007867AB">
            <w:pPr>
              <w:pStyle w:val="NoSpacing"/>
            </w:pPr>
            <w:r w:rsidRPr="007867AB">
              <w:t>Cultural heterogeneity</w:t>
            </w:r>
          </w:p>
        </w:tc>
        <w:tc>
          <w:tcPr>
            <w:tcW w:w="0" w:type="auto"/>
          </w:tcPr>
          <w:p w14:paraId="424918DD" w14:textId="77777777" w:rsidR="00666E0E" w:rsidRPr="007867AB" w:rsidRDefault="00666E0E" w:rsidP="007867AB">
            <w:pPr>
              <w:pStyle w:val="NoSpacing"/>
            </w:pPr>
            <w:r w:rsidRPr="007867AB">
              <w:t>−5.21</w:t>
            </w:r>
          </w:p>
        </w:tc>
        <w:tc>
          <w:tcPr>
            <w:tcW w:w="0" w:type="auto"/>
          </w:tcPr>
          <w:p w14:paraId="094BB958" w14:textId="77777777" w:rsidR="00666E0E" w:rsidRPr="007867AB" w:rsidRDefault="00666E0E" w:rsidP="007867AB">
            <w:pPr>
              <w:pStyle w:val="NoSpacing"/>
            </w:pPr>
            <w:r w:rsidRPr="007867AB">
              <w:t>1.00</w:t>
            </w:r>
          </w:p>
        </w:tc>
        <w:tc>
          <w:tcPr>
            <w:tcW w:w="0" w:type="auto"/>
          </w:tcPr>
          <w:p w14:paraId="39121D64" w14:textId="77777777" w:rsidR="00666E0E" w:rsidRPr="007867AB" w:rsidRDefault="00666E0E" w:rsidP="007867AB">
            <w:pPr>
              <w:pStyle w:val="NoSpacing"/>
            </w:pPr>
            <w:r w:rsidRPr="007867AB">
              <w:t>.00</w:t>
            </w:r>
          </w:p>
        </w:tc>
        <w:tc>
          <w:tcPr>
            <w:tcW w:w="0" w:type="auto"/>
          </w:tcPr>
          <w:p w14:paraId="664B352A" w14:textId="77777777" w:rsidR="00666E0E" w:rsidRPr="007867AB" w:rsidRDefault="00666E0E" w:rsidP="007867AB">
            <w:pPr>
              <w:pStyle w:val="NoSpacing"/>
            </w:pPr>
            <w:r w:rsidRPr="007867AB">
              <w:t>−5.05</w:t>
            </w:r>
          </w:p>
        </w:tc>
        <w:tc>
          <w:tcPr>
            <w:tcW w:w="0" w:type="auto"/>
          </w:tcPr>
          <w:p w14:paraId="6E437335" w14:textId="77777777" w:rsidR="00666E0E" w:rsidRPr="007867AB" w:rsidRDefault="00666E0E" w:rsidP="007867AB">
            <w:pPr>
              <w:pStyle w:val="NoSpacing"/>
            </w:pPr>
            <w:r w:rsidRPr="007867AB">
              <w:t>0.98</w:t>
            </w:r>
          </w:p>
        </w:tc>
        <w:tc>
          <w:tcPr>
            <w:tcW w:w="0" w:type="auto"/>
          </w:tcPr>
          <w:p w14:paraId="2CA7A820" w14:textId="77777777" w:rsidR="00666E0E" w:rsidRPr="007867AB" w:rsidRDefault="00666E0E" w:rsidP="007867AB">
            <w:pPr>
              <w:pStyle w:val="NoSpacing"/>
            </w:pPr>
            <w:r w:rsidRPr="007867AB">
              <w:t>.00</w:t>
            </w:r>
          </w:p>
        </w:tc>
      </w:tr>
      <w:tr w:rsidR="00666E0E" w:rsidRPr="007867AB" w14:paraId="4C1F02F6" w14:textId="77777777" w:rsidTr="00794BEB">
        <w:trPr>
          <w:trHeight w:val="189"/>
        </w:trPr>
        <w:tc>
          <w:tcPr>
            <w:tcW w:w="0" w:type="auto"/>
          </w:tcPr>
          <w:p w14:paraId="390A7572" w14:textId="77777777" w:rsidR="00666E0E" w:rsidRPr="007867AB" w:rsidRDefault="00666E0E" w:rsidP="007867AB">
            <w:pPr>
              <w:pStyle w:val="NoSpacing"/>
            </w:pPr>
            <w:r w:rsidRPr="007867AB">
              <w:t>Residential stability</w:t>
            </w:r>
          </w:p>
        </w:tc>
        <w:tc>
          <w:tcPr>
            <w:tcW w:w="0" w:type="auto"/>
          </w:tcPr>
          <w:p w14:paraId="61485B92" w14:textId="77777777" w:rsidR="00666E0E" w:rsidRPr="007867AB" w:rsidRDefault="00666E0E" w:rsidP="007867AB">
            <w:pPr>
              <w:pStyle w:val="NoSpacing"/>
            </w:pPr>
            <w:r w:rsidRPr="007867AB">
              <w:t>0.38</w:t>
            </w:r>
          </w:p>
        </w:tc>
        <w:tc>
          <w:tcPr>
            <w:tcW w:w="0" w:type="auto"/>
          </w:tcPr>
          <w:p w14:paraId="2FEDE2FB" w14:textId="77777777" w:rsidR="00666E0E" w:rsidRPr="007867AB" w:rsidRDefault="00666E0E" w:rsidP="007867AB">
            <w:pPr>
              <w:pStyle w:val="NoSpacing"/>
            </w:pPr>
            <w:r w:rsidRPr="007867AB">
              <w:t>1.13</w:t>
            </w:r>
          </w:p>
        </w:tc>
        <w:tc>
          <w:tcPr>
            <w:tcW w:w="0" w:type="auto"/>
          </w:tcPr>
          <w:p w14:paraId="54298316" w14:textId="77777777" w:rsidR="00666E0E" w:rsidRPr="007867AB" w:rsidRDefault="00666E0E" w:rsidP="007867AB">
            <w:pPr>
              <w:pStyle w:val="NoSpacing"/>
            </w:pPr>
            <w:r w:rsidRPr="007867AB">
              <w:t>.37</w:t>
            </w:r>
          </w:p>
        </w:tc>
        <w:tc>
          <w:tcPr>
            <w:tcW w:w="0" w:type="auto"/>
          </w:tcPr>
          <w:p w14:paraId="4CD9E8EC" w14:textId="77777777" w:rsidR="00666E0E" w:rsidRPr="007867AB" w:rsidRDefault="00666E0E" w:rsidP="007867AB">
            <w:pPr>
              <w:pStyle w:val="NoSpacing"/>
            </w:pPr>
            <w:r w:rsidRPr="007867AB">
              <w:t>0.53</w:t>
            </w:r>
          </w:p>
        </w:tc>
        <w:tc>
          <w:tcPr>
            <w:tcW w:w="0" w:type="auto"/>
          </w:tcPr>
          <w:p w14:paraId="5EC97B00" w14:textId="77777777" w:rsidR="00666E0E" w:rsidRPr="007867AB" w:rsidRDefault="00666E0E" w:rsidP="007867AB">
            <w:pPr>
              <w:pStyle w:val="NoSpacing"/>
            </w:pPr>
            <w:r w:rsidRPr="007867AB">
              <w:t>1.11</w:t>
            </w:r>
          </w:p>
        </w:tc>
        <w:tc>
          <w:tcPr>
            <w:tcW w:w="0" w:type="auto"/>
          </w:tcPr>
          <w:p w14:paraId="7280A3F6" w14:textId="77777777" w:rsidR="00666E0E" w:rsidRPr="007867AB" w:rsidRDefault="00666E0E" w:rsidP="007867AB">
            <w:pPr>
              <w:pStyle w:val="NoSpacing"/>
            </w:pPr>
            <w:r w:rsidRPr="007867AB">
              <w:t>.32</w:t>
            </w:r>
          </w:p>
        </w:tc>
      </w:tr>
      <w:tr w:rsidR="00666E0E" w:rsidRPr="007867AB" w14:paraId="34835C3F" w14:textId="77777777" w:rsidTr="00794BEB">
        <w:trPr>
          <w:trHeight w:val="189"/>
        </w:trPr>
        <w:tc>
          <w:tcPr>
            <w:tcW w:w="0" w:type="auto"/>
          </w:tcPr>
          <w:p w14:paraId="5CC1751A" w14:textId="77777777" w:rsidR="00666E0E" w:rsidRPr="007867AB" w:rsidRDefault="00666E0E" w:rsidP="007867AB">
            <w:pPr>
              <w:pStyle w:val="NoSpacing"/>
            </w:pPr>
            <w:r w:rsidRPr="007867AB">
              <w:t>Population density</w:t>
            </w:r>
          </w:p>
        </w:tc>
        <w:tc>
          <w:tcPr>
            <w:tcW w:w="0" w:type="auto"/>
          </w:tcPr>
          <w:p w14:paraId="04B64934" w14:textId="77777777" w:rsidR="00666E0E" w:rsidRPr="007867AB" w:rsidRDefault="00666E0E" w:rsidP="007867AB">
            <w:pPr>
              <w:pStyle w:val="NoSpacing"/>
            </w:pPr>
            <w:r w:rsidRPr="007867AB">
              <w:t>0.06</w:t>
            </w:r>
          </w:p>
        </w:tc>
        <w:tc>
          <w:tcPr>
            <w:tcW w:w="0" w:type="auto"/>
          </w:tcPr>
          <w:p w14:paraId="602312CD" w14:textId="77777777" w:rsidR="00666E0E" w:rsidRPr="007867AB" w:rsidRDefault="00666E0E" w:rsidP="007867AB">
            <w:pPr>
              <w:pStyle w:val="NoSpacing"/>
            </w:pPr>
            <w:r w:rsidRPr="007867AB">
              <w:t>0.01</w:t>
            </w:r>
          </w:p>
        </w:tc>
        <w:tc>
          <w:tcPr>
            <w:tcW w:w="0" w:type="auto"/>
          </w:tcPr>
          <w:p w14:paraId="3C95242E" w14:textId="77777777" w:rsidR="00666E0E" w:rsidRPr="007867AB" w:rsidRDefault="00666E0E" w:rsidP="007867AB">
            <w:pPr>
              <w:pStyle w:val="NoSpacing"/>
            </w:pPr>
            <w:r w:rsidRPr="007867AB">
              <w:t>.00</w:t>
            </w:r>
          </w:p>
        </w:tc>
        <w:tc>
          <w:tcPr>
            <w:tcW w:w="0" w:type="auto"/>
          </w:tcPr>
          <w:p w14:paraId="67604634" w14:textId="77777777" w:rsidR="00666E0E" w:rsidRPr="007867AB" w:rsidRDefault="00666E0E" w:rsidP="007867AB">
            <w:pPr>
              <w:pStyle w:val="NoSpacing"/>
            </w:pPr>
            <w:r w:rsidRPr="007867AB">
              <w:t>0.06</w:t>
            </w:r>
          </w:p>
        </w:tc>
        <w:tc>
          <w:tcPr>
            <w:tcW w:w="0" w:type="auto"/>
          </w:tcPr>
          <w:p w14:paraId="73722E73" w14:textId="77777777" w:rsidR="00666E0E" w:rsidRPr="007867AB" w:rsidRDefault="00666E0E" w:rsidP="007867AB">
            <w:pPr>
              <w:pStyle w:val="NoSpacing"/>
            </w:pPr>
            <w:r w:rsidRPr="007867AB">
              <w:t>0.01</w:t>
            </w:r>
          </w:p>
        </w:tc>
        <w:tc>
          <w:tcPr>
            <w:tcW w:w="0" w:type="auto"/>
          </w:tcPr>
          <w:p w14:paraId="7E6CF1C0" w14:textId="77777777" w:rsidR="00666E0E" w:rsidRPr="007867AB" w:rsidRDefault="00666E0E" w:rsidP="007867AB">
            <w:pPr>
              <w:pStyle w:val="NoSpacing"/>
            </w:pPr>
            <w:r w:rsidRPr="007867AB">
              <w:t>.00</w:t>
            </w:r>
          </w:p>
        </w:tc>
      </w:tr>
      <w:tr w:rsidR="00666E0E" w:rsidRPr="007867AB" w14:paraId="5DD1866F" w14:textId="77777777" w:rsidTr="00794BEB">
        <w:trPr>
          <w:trHeight w:val="189"/>
        </w:trPr>
        <w:tc>
          <w:tcPr>
            <w:tcW w:w="0" w:type="auto"/>
          </w:tcPr>
          <w:p w14:paraId="2E769C5A" w14:textId="77777777" w:rsidR="00666E0E" w:rsidRPr="007867AB" w:rsidRDefault="00666E0E" w:rsidP="007867AB">
            <w:pPr>
              <w:pStyle w:val="NoSpacing"/>
            </w:pPr>
            <w:r w:rsidRPr="007867AB">
              <w:t>Percent vacant housing units</w:t>
            </w:r>
          </w:p>
        </w:tc>
        <w:tc>
          <w:tcPr>
            <w:tcW w:w="0" w:type="auto"/>
          </w:tcPr>
          <w:p w14:paraId="1758FCC5" w14:textId="77777777" w:rsidR="00666E0E" w:rsidRPr="007867AB" w:rsidRDefault="00666E0E" w:rsidP="007867AB">
            <w:pPr>
              <w:pStyle w:val="NoSpacing"/>
            </w:pPr>
            <w:r w:rsidRPr="007867AB">
              <w:t>0.64</w:t>
            </w:r>
          </w:p>
        </w:tc>
        <w:tc>
          <w:tcPr>
            <w:tcW w:w="0" w:type="auto"/>
          </w:tcPr>
          <w:p w14:paraId="4BE5BD66" w14:textId="77777777" w:rsidR="00666E0E" w:rsidRPr="007867AB" w:rsidRDefault="00666E0E" w:rsidP="007867AB">
            <w:pPr>
              <w:pStyle w:val="NoSpacing"/>
            </w:pPr>
            <w:r w:rsidRPr="007867AB">
              <w:t>0.23</w:t>
            </w:r>
          </w:p>
        </w:tc>
        <w:tc>
          <w:tcPr>
            <w:tcW w:w="0" w:type="auto"/>
          </w:tcPr>
          <w:p w14:paraId="479FD5DC" w14:textId="77777777" w:rsidR="00666E0E" w:rsidRPr="007867AB" w:rsidRDefault="00666E0E" w:rsidP="007867AB">
            <w:pPr>
              <w:pStyle w:val="NoSpacing"/>
            </w:pPr>
            <w:r w:rsidRPr="007867AB">
              <w:t>.01</w:t>
            </w:r>
          </w:p>
        </w:tc>
        <w:tc>
          <w:tcPr>
            <w:tcW w:w="0" w:type="auto"/>
          </w:tcPr>
          <w:p w14:paraId="6F43B821" w14:textId="77777777" w:rsidR="00666E0E" w:rsidRPr="007867AB" w:rsidRDefault="00666E0E" w:rsidP="007867AB">
            <w:pPr>
              <w:pStyle w:val="NoSpacing"/>
            </w:pPr>
            <w:r w:rsidRPr="007867AB">
              <w:t>0.57</w:t>
            </w:r>
          </w:p>
        </w:tc>
        <w:tc>
          <w:tcPr>
            <w:tcW w:w="0" w:type="auto"/>
          </w:tcPr>
          <w:p w14:paraId="13FBCA0B" w14:textId="77777777" w:rsidR="00666E0E" w:rsidRPr="007867AB" w:rsidRDefault="00666E0E" w:rsidP="007867AB">
            <w:pPr>
              <w:pStyle w:val="NoSpacing"/>
            </w:pPr>
            <w:r w:rsidRPr="007867AB">
              <w:t>0.22</w:t>
            </w:r>
          </w:p>
        </w:tc>
        <w:tc>
          <w:tcPr>
            <w:tcW w:w="0" w:type="auto"/>
          </w:tcPr>
          <w:p w14:paraId="3D82CBCF" w14:textId="77777777" w:rsidR="00666E0E" w:rsidRPr="007867AB" w:rsidRDefault="00666E0E" w:rsidP="007867AB">
            <w:pPr>
              <w:pStyle w:val="NoSpacing"/>
            </w:pPr>
            <w:r w:rsidRPr="007867AB">
              <w:t>.01</w:t>
            </w:r>
          </w:p>
        </w:tc>
      </w:tr>
      <w:tr w:rsidR="00666E0E" w:rsidRPr="007867AB" w14:paraId="5FC7D5CD" w14:textId="77777777" w:rsidTr="00794BEB">
        <w:trPr>
          <w:trHeight w:val="189"/>
        </w:trPr>
        <w:tc>
          <w:tcPr>
            <w:tcW w:w="0" w:type="auto"/>
          </w:tcPr>
          <w:p w14:paraId="4A1F400B" w14:textId="77777777" w:rsidR="00666E0E" w:rsidRPr="007867AB" w:rsidRDefault="00666E0E" w:rsidP="007867AB">
            <w:pPr>
              <w:pStyle w:val="NoSpacing"/>
            </w:pPr>
            <w:r w:rsidRPr="007867AB">
              <w:t>Rho male violent victimization density</w:t>
            </w:r>
          </w:p>
        </w:tc>
        <w:tc>
          <w:tcPr>
            <w:tcW w:w="0" w:type="auto"/>
          </w:tcPr>
          <w:p w14:paraId="2BE8B92B" w14:textId="77777777" w:rsidR="00666E0E" w:rsidRPr="007867AB" w:rsidRDefault="00666E0E" w:rsidP="007867AB">
            <w:pPr>
              <w:pStyle w:val="NoSpacing"/>
            </w:pPr>
            <w:r w:rsidRPr="007867AB">
              <w:t>0.63</w:t>
            </w:r>
          </w:p>
        </w:tc>
        <w:tc>
          <w:tcPr>
            <w:tcW w:w="0" w:type="auto"/>
          </w:tcPr>
          <w:p w14:paraId="1A1471ED" w14:textId="77777777" w:rsidR="00666E0E" w:rsidRPr="007867AB" w:rsidRDefault="00666E0E" w:rsidP="007867AB">
            <w:pPr>
              <w:pStyle w:val="NoSpacing"/>
            </w:pPr>
            <w:r w:rsidRPr="007867AB">
              <w:t>0.05</w:t>
            </w:r>
          </w:p>
        </w:tc>
        <w:tc>
          <w:tcPr>
            <w:tcW w:w="0" w:type="auto"/>
          </w:tcPr>
          <w:p w14:paraId="1D6359A1" w14:textId="77777777" w:rsidR="00666E0E" w:rsidRPr="007867AB" w:rsidRDefault="00666E0E" w:rsidP="007867AB">
            <w:pPr>
              <w:pStyle w:val="NoSpacing"/>
            </w:pPr>
            <w:r w:rsidRPr="007867AB">
              <w:t>.00</w:t>
            </w:r>
          </w:p>
        </w:tc>
        <w:tc>
          <w:tcPr>
            <w:tcW w:w="0" w:type="auto"/>
          </w:tcPr>
          <w:p w14:paraId="465D2691" w14:textId="77777777" w:rsidR="00666E0E" w:rsidRPr="007867AB" w:rsidRDefault="00666E0E" w:rsidP="007867AB">
            <w:pPr>
              <w:pStyle w:val="NoSpacing"/>
            </w:pPr>
            <w:r w:rsidRPr="007867AB">
              <w:t>—</w:t>
            </w:r>
          </w:p>
        </w:tc>
        <w:tc>
          <w:tcPr>
            <w:tcW w:w="0" w:type="auto"/>
          </w:tcPr>
          <w:p w14:paraId="7E9D7372" w14:textId="77777777" w:rsidR="00666E0E" w:rsidRPr="007867AB" w:rsidRDefault="00666E0E" w:rsidP="007867AB">
            <w:pPr>
              <w:pStyle w:val="NoSpacing"/>
            </w:pPr>
            <w:r w:rsidRPr="007867AB">
              <w:t>—</w:t>
            </w:r>
          </w:p>
        </w:tc>
        <w:tc>
          <w:tcPr>
            <w:tcW w:w="0" w:type="auto"/>
          </w:tcPr>
          <w:p w14:paraId="7962D665" w14:textId="77777777" w:rsidR="00666E0E" w:rsidRPr="007867AB" w:rsidRDefault="00666E0E" w:rsidP="007867AB">
            <w:pPr>
              <w:pStyle w:val="NoSpacing"/>
            </w:pPr>
            <w:r w:rsidRPr="007867AB">
              <w:t>—</w:t>
            </w:r>
          </w:p>
        </w:tc>
      </w:tr>
      <w:tr w:rsidR="00666E0E" w:rsidRPr="007867AB" w14:paraId="41B38606" w14:textId="77777777" w:rsidTr="00794BEB">
        <w:trPr>
          <w:trHeight w:val="359"/>
        </w:trPr>
        <w:tc>
          <w:tcPr>
            <w:tcW w:w="0" w:type="auto"/>
          </w:tcPr>
          <w:p w14:paraId="10621615" w14:textId="77777777" w:rsidR="00666E0E" w:rsidRPr="007867AB" w:rsidRDefault="00666E0E" w:rsidP="007867AB">
            <w:pPr>
              <w:pStyle w:val="NoSpacing"/>
            </w:pPr>
            <w:r w:rsidRPr="007867AB">
              <w:t>Rho male non-IPV violent victimization density</w:t>
            </w:r>
          </w:p>
        </w:tc>
        <w:tc>
          <w:tcPr>
            <w:tcW w:w="0" w:type="auto"/>
          </w:tcPr>
          <w:p w14:paraId="1DF5D9BB" w14:textId="77777777" w:rsidR="00666E0E" w:rsidRPr="007867AB" w:rsidRDefault="00666E0E" w:rsidP="007867AB">
            <w:pPr>
              <w:pStyle w:val="NoSpacing"/>
            </w:pPr>
            <w:r w:rsidRPr="007867AB">
              <w:t>—</w:t>
            </w:r>
          </w:p>
        </w:tc>
        <w:tc>
          <w:tcPr>
            <w:tcW w:w="0" w:type="auto"/>
          </w:tcPr>
          <w:p w14:paraId="7BAE93F3" w14:textId="77777777" w:rsidR="00666E0E" w:rsidRPr="007867AB" w:rsidRDefault="00666E0E" w:rsidP="007867AB">
            <w:pPr>
              <w:pStyle w:val="NoSpacing"/>
            </w:pPr>
            <w:r w:rsidRPr="007867AB">
              <w:t>—</w:t>
            </w:r>
          </w:p>
        </w:tc>
        <w:tc>
          <w:tcPr>
            <w:tcW w:w="0" w:type="auto"/>
          </w:tcPr>
          <w:p w14:paraId="736EDA3E" w14:textId="77777777" w:rsidR="00666E0E" w:rsidRPr="007867AB" w:rsidRDefault="00666E0E" w:rsidP="007867AB">
            <w:pPr>
              <w:pStyle w:val="NoSpacing"/>
            </w:pPr>
            <w:r w:rsidRPr="007867AB">
              <w:t>—</w:t>
            </w:r>
          </w:p>
        </w:tc>
        <w:tc>
          <w:tcPr>
            <w:tcW w:w="0" w:type="auto"/>
          </w:tcPr>
          <w:p w14:paraId="60723ABB" w14:textId="77777777" w:rsidR="00666E0E" w:rsidRPr="007867AB" w:rsidRDefault="00666E0E" w:rsidP="007867AB">
            <w:pPr>
              <w:pStyle w:val="NoSpacing"/>
            </w:pPr>
            <w:r w:rsidRPr="007867AB">
              <w:t>0.64</w:t>
            </w:r>
          </w:p>
        </w:tc>
        <w:tc>
          <w:tcPr>
            <w:tcW w:w="0" w:type="auto"/>
          </w:tcPr>
          <w:p w14:paraId="1943F2AD" w14:textId="77777777" w:rsidR="00666E0E" w:rsidRPr="007867AB" w:rsidRDefault="00666E0E" w:rsidP="007867AB">
            <w:pPr>
              <w:pStyle w:val="NoSpacing"/>
            </w:pPr>
            <w:r w:rsidRPr="007867AB">
              <w:t>0.05</w:t>
            </w:r>
          </w:p>
        </w:tc>
        <w:tc>
          <w:tcPr>
            <w:tcW w:w="0" w:type="auto"/>
          </w:tcPr>
          <w:p w14:paraId="5EC1890C" w14:textId="77777777" w:rsidR="00666E0E" w:rsidRPr="007867AB" w:rsidRDefault="00666E0E" w:rsidP="007867AB">
            <w:pPr>
              <w:pStyle w:val="NoSpacing"/>
            </w:pPr>
            <w:r w:rsidRPr="007867AB">
              <w:t>.00</w:t>
            </w:r>
          </w:p>
        </w:tc>
      </w:tr>
      <w:tr w:rsidR="00666E0E" w:rsidRPr="007867AB" w14:paraId="67F85CA1" w14:textId="77777777" w:rsidTr="00794BEB">
        <w:trPr>
          <w:trHeight w:val="189"/>
        </w:trPr>
        <w:tc>
          <w:tcPr>
            <w:tcW w:w="0" w:type="auto"/>
          </w:tcPr>
          <w:p w14:paraId="1F2966E7" w14:textId="77777777" w:rsidR="00666E0E" w:rsidRPr="007867AB" w:rsidRDefault="00666E0E" w:rsidP="007867AB">
            <w:pPr>
              <w:pStyle w:val="NoSpacing"/>
            </w:pPr>
            <w:r w:rsidRPr="007867AB">
              <w:t>Constant</w:t>
            </w:r>
          </w:p>
        </w:tc>
        <w:tc>
          <w:tcPr>
            <w:tcW w:w="0" w:type="auto"/>
          </w:tcPr>
          <w:p w14:paraId="125D73C7" w14:textId="77777777" w:rsidR="00666E0E" w:rsidRPr="007867AB" w:rsidRDefault="00666E0E" w:rsidP="007867AB">
            <w:pPr>
              <w:pStyle w:val="NoSpacing"/>
            </w:pPr>
            <w:r w:rsidRPr="007867AB">
              <w:t>−1.26</w:t>
            </w:r>
          </w:p>
        </w:tc>
        <w:tc>
          <w:tcPr>
            <w:tcW w:w="0" w:type="auto"/>
          </w:tcPr>
          <w:p w14:paraId="262F5430" w14:textId="77777777" w:rsidR="00666E0E" w:rsidRPr="007867AB" w:rsidRDefault="00666E0E" w:rsidP="007867AB">
            <w:pPr>
              <w:pStyle w:val="NoSpacing"/>
            </w:pPr>
            <w:r w:rsidRPr="007867AB">
              <w:t>1.15</w:t>
            </w:r>
          </w:p>
        </w:tc>
        <w:tc>
          <w:tcPr>
            <w:tcW w:w="0" w:type="auto"/>
          </w:tcPr>
          <w:p w14:paraId="00BD8670" w14:textId="77777777" w:rsidR="00666E0E" w:rsidRPr="007867AB" w:rsidRDefault="00666E0E" w:rsidP="007867AB">
            <w:pPr>
              <w:pStyle w:val="NoSpacing"/>
            </w:pPr>
            <w:r w:rsidRPr="007867AB">
              <w:t>.14</w:t>
            </w:r>
          </w:p>
        </w:tc>
        <w:tc>
          <w:tcPr>
            <w:tcW w:w="0" w:type="auto"/>
          </w:tcPr>
          <w:p w14:paraId="51F5A786" w14:textId="77777777" w:rsidR="00666E0E" w:rsidRPr="007867AB" w:rsidRDefault="00666E0E" w:rsidP="007867AB">
            <w:pPr>
              <w:pStyle w:val="NoSpacing"/>
            </w:pPr>
            <w:r w:rsidRPr="007867AB">
              <w:t>−1.27</w:t>
            </w:r>
          </w:p>
        </w:tc>
        <w:tc>
          <w:tcPr>
            <w:tcW w:w="0" w:type="auto"/>
          </w:tcPr>
          <w:p w14:paraId="5828938F" w14:textId="77777777" w:rsidR="00666E0E" w:rsidRPr="007867AB" w:rsidRDefault="00666E0E" w:rsidP="007867AB">
            <w:pPr>
              <w:pStyle w:val="NoSpacing"/>
            </w:pPr>
            <w:r w:rsidRPr="007867AB">
              <w:t>1.13</w:t>
            </w:r>
          </w:p>
        </w:tc>
        <w:tc>
          <w:tcPr>
            <w:tcW w:w="0" w:type="auto"/>
          </w:tcPr>
          <w:p w14:paraId="27B1B84E" w14:textId="77777777" w:rsidR="00666E0E" w:rsidRPr="007867AB" w:rsidRDefault="00666E0E" w:rsidP="007867AB">
            <w:pPr>
              <w:pStyle w:val="NoSpacing"/>
            </w:pPr>
            <w:r w:rsidRPr="007867AB">
              <w:t>.13</w:t>
            </w:r>
          </w:p>
        </w:tc>
      </w:tr>
      <w:tr w:rsidR="00666E0E" w:rsidRPr="007867AB" w14:paraId="747A98B4" w14:textId="77777777" w:rsidTr="00794BEB">
        <w:trPr>
          <w:trHeight w:val="190"/>
        </w:trPr>
        <w:tc>
          <w:tcPr>
            <w:tcW w:w="0" w:type="auto"/>
          </w:tcPr>
          <w:p w14:paraId="3E067397" w14:textId="77777777" w:rsidR="00666E0E" w:rsidRPr="007867AB" w:rsidRDefault="00666E0E" w:rsidP="007867AB">
            <w:pPr>
              <w:pStyle w:val="NoSpacing"/>
            </w:pPr>
            <w:r w:rsidRPr="007867AB">
              <w:t>Pseudo-</w:t>
            </w:r>
            <w:r w:rsidRPr="007867AB">
              <w:rPr>
                <w:i/>
                <w:iCs/>
              </w:rPr>
              <w:t>R</w:t>
            </w:r>
            <w:r w:rsidRPr="007867AB">
              <w:t>2</w:t>
            </w:r>
          </w:p>
        </w:tc>
        <w:tc>
          <w:tcPr>
            <w:tcW w:w="0" w:type="auto"/>
          </w:tcPr>
          <w:p w14:paraId="188D3F4D" w14:textId="77777777" w:rsidR="00666E0E" w:rsidRPr="007867AB" w:rsidRDefault="00666E0E" w:rsidP="007867AB">
            <w:pPr>
              <w:pStyle w:val="NoSpacing"/>
            </w:pPr>
          </w:p>
        </w:tc>
        <w:tc>
          <w:tcPr>
            <w:tcW w:w="0" w:type="auto"/>
          </w:tcPr>
          <w:p w14:paraId="7DC21F79" w14:textId="77777777" w:rsidR="00666E0E" w:rsidRPr="007867AB" w:rsidRDefault="00666E0E" w:rsidP="007867AB">
            <w:pPr>
              <w:pStyle w:val="NoSpacing"/>
            </w:pPr>
            <w:r w:rsidRPr="007867AB">
              <w:t>.82</w:t>
            </w:r>
          </w:p>
        </w:tc>
        <w:tc>
          <w:tcPr>
            <w:tcW w:w="0" w:type="auto"/>
          </w:tcPr>
          <w:p w14:paraId="1B3E4F22" w14:textId="77777777" w:rsidR="00666E0E" w:rsidRPr="007867AB" w:rsidRDefault="00666E0E" w:rsidP="007867AB">
            <w:pPr>
              <w:pStyle w:val="NoSpacing"/>
            </w:pPr>
          </w:p>
        </w:tc>
        <w:tc>
          <w:tcPr>
            <w:tcW w:w="0" w:type="auto"/>
          </w:tcPr>
          <w:p w14:paraId="6C3D8314" w14:textId="77777777" w:rsidR="00666E0E" w:rsidRPr="007867AB" w:rsidRDefault="00666E0E" w:rsidP="007867AB">
            <w:pPr>
              <w:pStyle w:val="NoSpacing"/>
            </w:pPr>
          </w:p>
        </w:tc>
        <w:tc>
          <w:tcPr>
            <w:tcW w:w="0" w:type="auto"/>
          </w:tcPr>
          <w:p w14:paraId="0EDA8BAE" w14:textId="77777777" w:rsidR="00666E0E" w:rsidRPr="007867AB" w:rsidRDefault="00666E0E" w:rsidP="007867AB">
            <w:pPr>
              <w:pStyle w:val="NoSpacing"/>
            </w:pPr>
            <w:r w:rsidRPr="007867AB">
              <w:t>.81</w:t>
            </w:r>
          </w:p>
        </w:tc>
        <w:tc>
          <w:tcPr>
            <w:tcW w:w="0" w:type="auto"/>
          </w:tcPr>
          <w:p w14:paraId="712D5DF6" w14:textId="77777777" w:rsidR="00666E0E" w:rsidRPr="007867AB" w:rsidRDefault="00666E0E" w:rsidP="007867AB">
            <w:pPr>
              <w:pStyle w:val="NoSpacing"/>
            </w:pPr>
          </w:p>
        </w:tc>
      </w:tr>
      <w:tr w:rsidR="00666E0E" w:rsidRPr="007867AB" w14:paraId="0AA10E9C" w14:textId="77777777" w:rsidTr="00794BEB">
        <w:trPr>
          <w:trHeight w:val="189"/>
        </w:trPr>
        <w:tc>
          <w:tcPr>
            <w:tcW w:w="0" w:type="auto"/>
          </w:tcPr>
          <w:p w14:paraId="1E4138CA" w14:textId="77777777" w:rsidR="00666E0E" w:rsidRPr="007867AB" w:rsidRDefault="00666E0E" w:rsidP="007867AB">
            <w:pPr>
              <w:pStyle w:val="NoSpacing"/>
            </w:pPr>
            <w:r w:rsidRPr="007867AB">
              <w:t>Multicollinearity condition number</w:t>
            </w:r>
          </w:p>
        </w:tc>
        <w:tc>
          <w:tcPr>
            <w:tcW w:w="0" w:type="auto"/>
          </w:tcPr>
          <w:p w14:paraId="472C598D" w14:textId="77777777" w:rsidR="00666E0E" w:rsidRPr="007867AB" w:rsidRDefault="00666E0E" w:rsidP="007867AB">
            <w:pPr>
              <w:pStyle w:val="NoSpacing"/>
            </w:pPr>
          </w:p>
        </w:tc>
        <w:tc>
          <w:tcPr>
            <w:tcW w:w="0" w:type="auto"/>
          </w:tcPr>
          <w:p w14:paraId="0B744A98" w14:textId="77777777" w:rsidR="00666E0E" w:rsidRPr="007867AB" w:rsidRDefault="00666E0E" w:rsidP="007867AB">
            <w:pPr>
              <w:pStyle w:val="NoSpacing"/>
            </w:pPr>
            <w:r w:rsidRPr="007867AB">
              <w:t>27.81</w:t>
            </w:r>
          </w:p>
        </w:tc>
        <w:tc>
          <w:tcPr>
            <w:tcW w:w="0" w:type="auto"/>
          </w:tcPr>
          <w:p w14:paraId="075E70EE" w14:textId="77777777" w:rsidR="00666E0E" w:rsidRPr="007867AB" w:rsidRDefault="00666E0E" w:rsidP="007867AB">
            <w:pPr>
              <w:pStyle w:val="NoSpacing"/>
            </w:pPr>
          </w:p>
        </w:tc>
        <w:tc>
          <w:tcPr>
            <w:tcW w:w="0" w:type="auto"/>
          </w:tcPr>
          <w:p w14:paraId="3A6C6D1D" w14:textId="77777777" w:rsidR="00666E0E" w:rsidRPr="007867AB" w:rsidRDefault="00666E0E" w:rsidP="007867AB">
            <w:pPr>
              <w:pStyle w:val="NoSpacing"/>
            </w:pPr>
          </w:p>
        </w:tc>
        <w:tc>
          <w:tcPr>
            <w:tcW w:w="0" w:type="auto"/>
          </w:tcPr>
          <w:p w14:paraId="6CA2B1D2" w14:textId="77777777" w:rsidR="00666E0E" w:rsidRPr="007867AB" w:rsidRDefault="00666E0E" w:rsidP="007867AB">
            <w:pPr>
              <w:pStyle w:val="NoSpacing"/>
            </w:pPr>
            <w:r w:rsidRPr="007867AB">
              <w:t>27.81</w:t>
            </w:r>
          </w:p>
        </w:tc>
        <w:tc>
          <w:tcPr>
            <w:tcW w:w="0" w:type="auto"/>
          </w:tcPr>
          <w:p w14:paraId="388CBFA6" w14:textId="77777777" w:rsidR="00666E0E" w:rsidRPr="007867AB" w:rsidRDefault="00666E0E" w:rsidP="007867AB">
            <w:pPr>
              <w:pStyle w:val="NoSpacing"/>
            </w:pPr>
          </w:p>
        </w:tc>
      </w:tr>
      <w:tr w:rsidR="00666E0E" w:rsidRPr="007867AB" w14:paraId="34E35341" w14:textId="77777777" w:rsidTr="00794BEB">
        <w:trPr>
          <w:trHeight w:val="256"/>
        </w:trPr>
        <w:tc>
          <w:tcPr>
            <w:tcW w:w="0" w:type="auto"/>
          </w:tcPr>
          <w:p w14:paraId="5FBA3F33" w14:textId="77777777" w:rsidR="00666E0E" w:rsidRPr="007867AB" w:rsidRDefault="00666E0E" w:rsidP="007867AB">
            <w:pPr>
              <w:pStyle w:val="NoSpacing"/>
            </w:pPr>
            <w:proofErr w:type="spellStart"/>
            <w:r w:rsidRPr="007867AB">
              <w:t>Anselin</w:t>
            </w:r>
            <w:proofErr w:type="spellEnd"/>
            <w:r w:rsidRPr="007867AB">
              <w:t>–</w:t>
            </w:r>
            <w:proofErr w:type="spellStart"/>
            <w:r w:rsidRPr="007867AB">
              <w:t>Kelejian</w:t>
            </w:r>
            <w:proofErr w:type="spellEnd"/>
            <w:r w:rsidRPr="007867AB">
              <w:t xml:space="preserve"> test</w:t>
            </w:r>
          </w:p>
        </w:tc>
        <w:tc>
          <w:tcPr>
            <w:tcW w:w="0" w:type="auto"/>
          </w:tcPr>
          <w:p w14:paraId="07178124" w14:textId="77777777" w:rsidR="00666E0E" w:rsidRPr="007867AB" w:rsidRDefault="00666E0E" w:rsidP="007867AB">
            <w:pPr>
              <w:pStyle w:val="NoSpacing"/>
            </w:pPr>
          </w:p>
        </w:tc>
        <w:tc>
          <w:tcPr>
            <w:tcW w:w="0" w:type="auto"/>
          </w:tcPr>
          <w:p w14:paraId="2BC1EDFD" w14:textId="77777777" w:rsidR="00666E0E" w:rsidRPr="007867AB" w:rsidRDefault="00666E0E" w:rsidP="007867AB">
            <w:pPr>
              <w:pStyle w:val="NoSpacing"/>
            </w:pPr>
            <w:r w:rsidRPr="007867AB">
              <w:t>7.17 (</w:t>
            </w:r>
            <w:r w:rsidRPr="007867AB">
              <w:rPr>
                <w:i/>
                <w:iCs/>
              </w:rPr>
              <w:t xml:space="preserve">p </w:t>
            </w:r>
            <w:r w:rsidRPr="007867AB">
              <w:t>= .01)</w:t>
            </w:r>
          </w:p>
        </w:tc>
        <w:tc>
          <w:tcPr>
            <w:tcW w:w="0" w:type="auto"/>
          </w:tcPr>
          <w:p w14:paraId="49D3C752" w14:textId="77777777" w:rsidR="00666E0E" w:rsidRPr="007867AB" w:rsidRDefault="00666E0E" w:rsidP="007867AB">
            <w:pPr>
              <w:pStyle w:val="NoSpacing"/>
            </w:pPr>
          </w:p>
        </w:tc>
        <w:tc>
          <w:tcPr>
            <w:tcW w:w="0" w:type="auto"/>
          </w:tcPr>
          <w:p w14:paraId="77BC52E4" w14:textId="77777777" w:rsidR="00666E0E" w:rsidRPr="007867AB" w:rsidRDefault="00666E0E" w:rsidP="007867AB">
            <w:pPr>
              <w:pStyle w:val="NoSpacing"/>
            </w:pPr>
          </w:p>
        </w:tc>
        <w:tc>
          <w:tcPr>
            <w:tcW w:w="0" w:type="auto"/>
          </w:tcPr>
          <w:p w14:paraId="0EC4F15D" w14:textId="77777777" w:rsidR="00666E0E" w:rsidRPr="007867AB" w:rsidRDefault="00666E0E" w:rsidP="007867AB">
            <w:pPr>
              <w:pStyle w:val="NoSpacing"/>
            </w:pPr>
            <w:r w:rsidRPr="007867AB">
              <w:t>9.21 (</w:t>
            </w:r>
            <w:r w:rsidRPr="007867AB">
              <w:rPr>
                <w:i/>
                <w:iCs/>
              </w:rPr>
              <w:t xml:space="preserve">p </w:t>
            </w:r>
            <w:r w:rsidRPr="007867AB">
              <w:t>= .00)</w:t>
            </w:r>
          </w:p>
        </w:tc>
        <w:tc>
          <w:tcPr>
            <w:tcW w:w="0" w:type="auto"/>
          </w:tcPr>
          <w:p w14:paraId="346C2C11" w14:textId="77777777" w:rsidR="00666E0E" w:rsidRPr="007867AB" w:rsidRDefault="00666E0E" w:rsidP="007867AB">
            <w:pPr>
              <w:pStyle w:val="NoSpacing"/>
            </w:pPr>
          </w:p>
        </w:tc>
      </w:tr>
    </w:tbl>
    <w:p w14:paraId="12E6B53E" w14:textId="6E7C7FB6" w:rsidR="007867AB" w:rsidRDefault="00666E0E" w:rsidP="00666E0E">
      <w:pPr>
        <w:pStyle w:val="NoSpacing"/>
        <w:tabs>
          <w:tab w:val="right" w:pos="10080"/>
        </w:tabs>
      </w:pPr>
      <w:r w:rsidRPr="00666E0E">
        <w:rPr>
          <w:b/>
          <w:bCs/>
        </w:rPr>
        <w:t>Note.</w:t>
      </w:r>
      <w:r w:rsidRPr="00666E0E">
        <w:t xml:space="preserve"> Given theoretical expectations, all p values are for one-tailed tests. IPV = intimate partner violence.</w:t>
      </w:r>
    </w:p>
    <w:p w14:paraId="393C607B" w14:textId="5C4E0FCB" w:rsidR="00666E0E" w:rsidRDefault="00666E0E" w:rsidP="00666E0E">
      <w:pPr>
        <w:pStyle w:val="NoSpacing"/>
        <w:tabs>
          <w:tab w:val="right" w:pos="10080"/>
        </w:tabs>
      </w:pPr>
    </w:p>
    <w:p w14:paraId="2527919A" w14:textId="2791E9AD" w:rsidR="00666E0E" w:rsidRDefault="00666E0E" w:rsidP="00666E0E">
      <w:pPr>
        <w:pStyle w:val="NoSpacing"/>
      </w:pPr>
      <w:r>
        <w:t xml:space="preserve">Finally, to determine whether the positive effect of on- and off-premise density varied by gender, we tested for equality of regression coefficients between models using a </w:t>
      </w:r>
      <w:r>
        <w:rPr>
          <w:i/>
          <w:iCs/>
        </w:rPr>
        <w:t>z</w:t>
      </w:r>
      <w:r>
        <w:t xml:space="preserve"> test for the difference between slopes (</w:t>
      </w:r>
      <w:proofErr w:type="spellStart"/>
      <w:r>
        <w:fldChar w:fldCharType="begin"/>
      </w:r>
      <w:r>
        <w:instrText xml:space="preserve"> HYPERLINK "https://journals.sagepub.com/doi/10.1177/0886260517719080" </w:instrText>
      </w:r>
      <w:r>
        <w:fldChar w:fldCharType="separate"/>
      </w:r>
      <w:r>
        <w:rPr>
          <w:rStyle w:val="Hyperlink"/>
        </w:rPr>
        <w:t>Brame</w:t>
      </w:r>
      <w:proofErr w:type="spellEnd"/>
      <w:r>
        <w:rPr>
          <w:rStyle w:val="Hyperlink"/>
        </w:rPr>
        <w:t>, Paternoster, Mazerolle, &amp; Piquero, 1998</w:t>
      </w:r>
      <w:r>
        <w:fldChar w:fldCharType="end"/>
      </w:r>
      <w:r>
        <w:t xml:space="preserve">; </w:t>
      </w:r>
      <w:hyperlink r:id="rId78" w:history="1">
        <w:r>
          <w:rPr>
            <w:rStyle w:val="Hyperlink"/>
          </w:rPr>
          <w:t xml:space="preserve">Paternoster, </w:t>
        </w:r>
        <w:proofErr w:type="spellStart"/>
        <w:r>
          <w:rPr>
            <w:rStyle w:val="Hyperlink"/>
          </w:rPr>
          <w:t>Brame</w:t>
        </w:r>
        <w:proofErr w:type="spellEnd"/>
        <w:r>
          <w:rPr>
            <w:rStyle w:val="Hyperlink"/>
          </w:rPr>
          <w:t>, Mazerolle, &amp; Piquero, 1998</w:t>
        </w:r>
      </w:hyperlink>
      <w:r>
        <w:t>). The formula for this statistical test is</w:t>
      </w:r>
    </w:p>
    <w:p w14:paraId="23BE4EFE" w14:textId="56E92224" w:rsidR="00666E0E" w:rsidRDefault="00666E0E" w:rsidP="00666E0E">
      <w:pPr>
        <w:pStyle w:val="NoSpacing"/>
      </w:pPr>
    </w:p>
    <w:p w14:paraId="48CF9DF0" w14:textId="51BAEFB9" w:rsidR="00666E0E" w:rsidRPr="00666E0E" w:rsidRDefault="00666E0E" w:rsidP="00666E0E">
      <w:pPr>
        <w:pStyle w:val="NoSpacing"/>
        <w:jc w:val="center"/>
        <w:rPr>
          <w:sz w:val="28"/>
          <w:szCs w:val="28"/>
        </w:rPr>
      </w:pPr>
      <m:oMathPara>
        <m:oMath>
          <m:r>
            <w:rPr>
              <w:rFonts w:ascii="Cambria Math" w:hAnsi="Cambria Math"/>
              <w:sz w:val="28"/>
              <w:szCs w:val="28"/>
            </w:rPr>
            <m:t>Z=</m:t>
          </m:r>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b</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b</m:t>
                  </m:r>
                </m:e>
                <m:sub>
                  <m:r>
                    <w:rPr>
                      <w:rFonts w:ascii="Cambria Math" w:hAnsi="Cambria Math"/>
                      <w:sz w:val="28"/>
                      <w:szCs w:val="28"/>
                    </w:rPr>
                    <m:t>2</m:t>
                  </m:r>
                </m:sub>
              </m:sSub>
            </m:num>
            <m:den>
              <m:rad>
                <m:radPr>
                  <m:degHide m:val="1"/>
                  <m:ctrlPr>
                    <w:rPr>
                      <w:rFonts w:ascii="Cambria Math" w:hAnsi="Cambria Math"/>
                      <w:sz w:val="28"/>
                      <w:szCs w:val="28"/>
                    </w:rPr>
                  </m:ctrlPr>
                </m:radPr>
                <m:deg/>
                <m:e>
                  <m:r>
                    <w:rPr>
                      <w:rFonts w:ascii="Cambria Math" w:hAnsi="Cambria Math"/>
                      <w:sz w:val="28"/>
                      <w:szCs w:val="28"/>
                    </w:rPr>
                    <m:t>SE</m:t>
                  </m:r>
                  <m:sSubSup>
                    <m:sSubSupPr>
                      <m:ctrlPr>
                        <w:rPr>
                          <w:rFonts w:ascii="Cambria Math" w:hAnsi="Cambria Math"/>
                          <w:sz w:val="28"/>
                          <w:szCs w:val="28"/>
                        </w:rPr>
                      </m:ctrlPr>
                    </m:sSubSupPr>
                    <m:e>
                      <m:r>
                        <w:rPr>
                          <w:rFonts w:ascii="Cambria Math" w:hAnsi="Cambria Math"/>
                          <w:sz w:val="28"/>
                          <w:szCs w:val="28"/>
                        </w:rPr>
                        <m:t>b</m:t>
                      </m:r>
                    </m:e>
                    <m:sub>
                      <m:r>
                        <w:rPr>
                          <w:rFonts w:ascii="Cambria Math" w:hAnsi="Cambria Math"/>
                          <w:sz w:val="28"/>
                          <w:szCs w:val="28"/>
                        </w:rPr>
                        <m:t>1</m:t>
                      </m:r>
                    </m:sub>
                    <m:sup>
                      <m:r>
                        <w:rPr>
                          <w:rFonts w:ascii="Cambria Math" w:hAnsi="Cambria Math"/>
                          <w:sz w:val="28"/>
                          <w:szCs w:val="28"/>
                        </w:rPr>
                        <m:t>2</m:t>
                      </m:r>
                    </m:sup>
                  </m:sSubSup>
                  <m:r>
                    <w:rPr>
                      <w:rFonts w:ascii="Cambria Math" w:hAnsi="Cambria Math"/>
                      <w:sz w:val="28"/>
                      <w:szCs w:val="28"/>
                    </w:rPr>
                    <m:t>+SE</m:t>
                  </m:r>
                  <m:sSubSup>
                    <m:sSubSupPr>
                      <m:ctrlPr>
                        <w:rPr>
                          <w:rFonts w:ascii="Cambria Math" w:hAnsi="Cambria Math"/>
                          <w:sz w:val="28"/>
                          <w:szCs w:val="28"/>
                        </w:rPr>
                      </m:ctrlPr>
                    </m:sSubSupPr>
                    <m:e>
                      <m:r>
                        <w:rPr>
                          <w:rFonts w:ascii="Cambria Math" w:hAnsi="Cambria Math"/>
                          <w:sz w:val="28"/>
                          <w:szCs w:val="28"/>
                        </w:rPr>
                        <m:t>b</m:t>
                      </m:r>
                    </m:e>
                    <m:sub>
                      <m:r>
                        <w:rPr>
                          <w:rFonts w:ascii="Cambria Math" w:hAnsi="Cambria Math"/>
                          <w:sz w:val="28"/>
                          <w:szCs w:val="28"/>
                        </w:rPr>
                        <m:t>2</m:t>
                      </m:r>
                    </m:sub>
                    <m:sup>
                      <m:r>
                        <w:rPr>
                          <w:rFonts w:ascii="Cambria Math" w:hAnsi="Cambria Math"/>
                          <w:sz w:val="28"/>
                          <w:szCs w:val="28"/>
                        </w:rPr>
                        <m:t>2</m:t>
                      </m:r>
                    </m:sup>
                  </m:sSubSup>
                </m:e>
              </m:rad>
            </m:den>
          </m:f>
          <m:r>
            <w:rPr>
              <w:rFonts w:ascii="Cambria Math" w:hAnsi="Cambria Math"/>
              <w:sz w:val="28"/>
              <w:szCs w:val="28"/>
            </w:rPr>
            <m:t>,</m:t>
          </m:r>
        </m:oMath>
      </m:oMathPara>
    </w:p>
    <w:p w14:paraId="0B8B7436" w14:textId="7FF5F396" w:rsidR="00666E0E" w:rsidRDefault="00666E0E" w:rsidP="00666E0E">
      <w:pPr>
        <w:pStyle w:val="NoSpacing"/>
      </w:pPr>
    </w:p>
    <w:p w14:paraId="23767123" w14:textId="74BA41C8" w:rsidR="00666E0E" w:rsidRDefault="00666E0E" w:rsidP="007B0A67">
      <w:pPr>
        <w:pStyle w:val="NoSpacing"/>
      </w:pPr>
      <w:r>
        <w:t xml:space="preserve">where </w:t>
      </w:r>
      <m:oMath>
        <m:sSub>
          <m:sSubPr>
            <m:ctrlPr>
              <w:rPr>
                <w:rFonts w:ascii="Cambria Math" w:eastAsia="Times New Roman" w:hAnsi="Cambria Math" w:cs="Times New Roman"/>
                <w:i/>
                <w:iCs/>
                <w:sz w:val="24"/>
                <w:szCs w:val="24"/>
              </w:rPr>
            </m:ctrlPr>
          </m:sSubPr>
          <m:e>
            <m:r>
              <w:rPr>
                <w:rFonts w:ascii="Cambria Math" w:hAnsi="Cambria Math"/>
              </w:rPr>
              <m:t>b</m:t>
            </m:r>
          </m:e>
          <m:sub>
            <m:r>
              <w:rPr>
                <w:rFonts w:ascii="Cambria Math" w:hAnsi="Cambria Math"/>
                <w:vertAlign w:val="subscript"/>
              </w:rPr>
              <m:t>1</m:t>
            </m:r>
          </m:sub>
        </m:sSub>
      </m:oMath>
      <w:r>
        <w:t xml:space="preserve"> is the slope for the female victimization, </w:t>
      </w:r>
      <m:oMath>
        <m:sSub>
          <m:sSubPr>
            <m:ctrlPr>
              <w:rPr>
                <w:rFonts w:ascii="Cambria Math" w:eastAsia="Times New Roman" w:hAnsi="Cambria Math" w:cs="Times New Roman"/>
                <w:i/>
                <w:iCs/>
                <w:sz w:val="24"/>
                <w:szCs w:val="24"/>
              </w:rPr>
            </m:ctrlPr>
          </m:sSubPr>
          <m:e>
            <m:r>
              <w:rPr>
                <w:rFonts w:ascii="Cambria Math" w:hAnsi="Cambria Math"/>
              </w:rPr>
              <m:t>b</m:t>
            </m:r>
          </m:e>
          <m:sub>
            <m:r>
              <w:rPr>
                <w:rFonts w:ascii="Cambria Math" w:hAnsi="Cambria Math"/>
                <w:vertAlign w:val="subscript"/>
              </w:rPr>
              <m:t>2</m:t>
            </m:r>
          </m:sub>
        </m:sSub>
      </m:oMath>
      <w:r>
        <w:t xml:space="preserve"> is the slope for the male victimization, </w:t>
      </w:r>
      <w:r>
        <w:rPr>
          <w:i/>
          <w:iCs/>
        </w:rPr>
        <w:t>SEb</w:t>
      </w:r>
      <w:r>
        <w:rPr>
          <w:vertAlign w:val="subscript"/>
        </w:rPr>
        <w:t>1</w:t>
      </w:r>
      <w:r>
        <w:t xml:space="preserve"> is the standard error for the female victimization coefficient, and </w:t>
      </w:r>
      <m:oMath>
        <m:r>
          <w:rPr>
            <w:rFonts w:ascii="Cambria Math" w:hAnsi="Cambria Math"/>
          </w:rPr>
          <m:t>SE</m:t>
        </m:r>
        <m:sSub>
          <m:sSubPr>
            <m:ctrlPr>
              <w:rPr>
                <w:rFonts w:ascii="Cambria Math" w:eastAsia="Times New Roman" w:hAnsi="Cambria Math" w:cs="Times New Roman"/>
                <w:i/>
                <w:iCs/>
                <w:sz w:val="24"/>
                <w:szCs w:val="24"/>
              </w:rPr>
            </m:ctrlPr>
          </m:sSubPr>
          <m:e>
            <m:r>
              <w:rPr>
                <w:rFonts w:ascii="Cambria Math" w:hAnsi="Cambria Math"/>
              </w:rPr>
              <m:t>b</m:t>
            </m:r>
          </m:e>
          <m:sub>
            <m:r>
              <w:rPr>
                <w:rFonts w:ascii="Cambria Math" w:hAnsi="Cambria Math"/>
                <w:vertAlign w:val="subscript"/>
              </w:rPr>
              <m:t>2</m:t>
            </m:r>
          </m:sub>
        </m:sSub>
      </m:oMath>
      <w:r>
        <w:t xml:space="preserve"> is the standard error for the male victimization coefficient.</w:t>
      </w:r>
    </w:p>
    <w:p w14:paraId="287A976F" w14:textId="77777777" w:rsidR="007B0A67" w:rsidRDefault="007B0A67" w:rsidP="007B0A67">
      <w:pPr>
        <w:pStyle w:val="NoSpacing"/>
      </w:pPr>
    </w:p>
    <w:p w14:paraId="11DF0E8E" w14:textId="021047E2" w:rsidR="00666E0E" w:rsidRDefault="00666E0E" w:rsidP="007B0A67">
      <w:pPr>
        <w:pStyle w:val="NoSpacing"/>
      </w:pPr>
      <w:r>
        <w:t xml:space="preserve">This approach allows us to determine, in our two independent samples, the significance of the difference between female and male regression coefficients. While there are many tests for equality of regression coefficients (e.g., </w:t>
      </w:r>
      <w:hyperlink r:id="rId79" w:history="1">
        <w:proofErr w:type="spellStart"/>
        <w:r>
          <w:rPr>
            <w:rStyle w:val="Hyperlink"/>
          </w:rPr>
          <w:t>Clogg</w:t>
        </w:r>
        <w:proofErr w:type="spellEnd"/>
        <w:r>
          <w:rPr>
            <w:rStyle w:val="Hyperlink"/>
          </w:rPr>
          <w:t xml:space="preserve">, </w:t>
        </w:r>
        <w:proofErr w:type="spellStart"/>
        <w:r>
          <w:rPr>
            <w:rStyle w:val="Hyperlink"/>
          </w:rPr>
          <w:t>Petkova</w:t>
        </w:r>
        <w:proofErr w:type="spellEnd"/>
        <w:r>
          <w:rPr>
            <w:rStyle w:val="Hyperlink"/>
          </w:rPr>
          <w:t xml:space="preserve">, &amp; </w:t>
        </w:r>
        <w:proofErr w:type="spellStart"/>
        <w:r>
          <w:rPr>
            <w:rStyle w:val="Hyperlink"/>
          </w:rPr>
          <w:t>Haritou</w:t>
        </w:r>
        <w:proofErr w:type="spellEnd"/>
        <w:r>
          <w:rPr>
            <w:rStyle w:val="Hyperlink"/>
          </w:rPr>
          <w:t>, 1995</w:t>
        </w:r>
      </w:hyperlink>
      <w:r>
        <w:t xml:space="preserve">), some studies use tests with incorrect formulas leading the researchers to reach incorrect conclusions (see </w:t>
      </w:r>
      <w:hyperlink r:id="rId80" w:history="1">
        <w:proofErr w:type="spellStart"/>
        <w:r>
          <w:rPr>
            <w:rStyle w:val="Hyperlink"/>
          </w:rPr>
          <w:t>Brame</w:t>
        </w:r>
        <w:proofErr w:type="spellEnd"/>
        <w:r>
          <w:rPr>
            <w:rStyle w:val="Hyperlink"/>
          </w:rPr>
          <w:t xml:space="preserve"> et al., 1998</w:t>
        </w:r>
      </w:hyperlink>
      <w:r>
        <w:t>, for summary of those studies). The test we use here not only correctly tests for these differences, but it is also very commonly used in criminological research.</w:t>
      </w:r>
    </w:p>
    <w:p w14:paraId="45A25250" w14:textId="77777777" w:rsidR="007B0A67" w:rsidRDefault="007B0A67" w:rsidP="007B0A67">
      <w:pPr>
        <w:pStyle w:val="NoSpacing"/>
      </w:pPr>
    </w:p>
    <w:p w14:paraId="198EB5A2" w14:textId="7F3C9D27" w:rsidR="00666E0E" w:rsidRPr="00666E0E" w:rsidRDefault="00666E0E" w:rsidP="007B0A67">
      <w:pPr>
        <w:pStyle w:val="NoSpacing"/>
      </w:pPr>
      <w:r>
        <w:t>We found the effect of on-premise outlets is similar for both genders: The difference between slopes for on-premise density was not statistically significant for female and male violent overall victimization (</w:t>
      </w:r>
      <w:r>
        <w:rPr>
          <w:i/>
          <w:iCs/>
        </w:rPr>
        <w:t>p</w:t>
      </w:r>
      <w:r>
        <w:t xml:space="preserve"> = .24), and female and male non-IPV violent victimization (</w:t>
      </w:r>
      <w:r>
        <w:rPr>
          <w:i/>
          <w:iCs/>
        </w:rPr>
        <w:t>p</w:t>
      </w:r>
      <w:r>
        <w:t xml:space="preserve"> = .70). We found the effect of off-premise was statistically </w:t>
      </w:r>
      <w:r>
        <w:lastRenderedPageBreak/>
        <w:t>different across genders: The difference between slopes for off-premise density was statistically significant for female and male violent victimization (</w:t>
      </w:r>
      <w:r>
        <w:rPr>
          <w:i/>
          <w:iCs/>
        </w:rPr>
        <w:t>p</w:t>
      </w:r>
      <w:r>
        <w:t xml:space="preserve"> = .00), and female and male non-IPV violent victimization (</w:t>
      </w:r>
      <w:r>
        <w:rPr>
          <w:i/>
          <w:iCs/>
        </w:rPr>
        <w:t>p</w:t>
      </w:r>
      <w:r>
        <w:t xml:space="preserve"> = .00). In other words, the formal tests of the differences suggest on-premise outlet density has the same effect on victimization for both genders, while the effect of off-premise outlet density is greater for male victimization (both overall violent victimization and non-IPV violent victimization) relative to female victimization.</w:t>
      </w:r>
    </w:p>
    <w:p w14:paraId="178E5DC8" w14:textId="51F5AA48" w:rsidR="001D11AB" w:rsidRDefault="001D11AB" w:rsidP="001D11AB">
      <w:pPr>
        <w:pStyle w:val="Heading1"/>
      </w:pPr>
      <w:r>
        <w:t>Discussion</w:t>
      </w:r>
    </w:p>
    <w:p w14:paraId="06E7F13D" w14:textId="78A02B15" w:rsidR="007B0A67" w:rsidRDefault="007B0A67" w:rsidP="007B0A67">
      <w:pPr>
        <w:pStyle w:val="NoSpacing"/>
      </w:pPr>
      <w:r>
        <w:t>Of the 2,618,018 female violent victimizations reported in the 2014 National Crime Victimization Survey, 500,920 were between intimate partners (</w:t>
      </w:r>
      <w:hyperlink r:id="rId81" w:history="1">
        <w:r>
          <w:rPr>
            <w:rStyle w:val="Hyperlink"/>
          </w:rPr>
          <w:t>Truman &amp; Langton, 2015</w:t>
        </w:r>
      </w:hyperlink>
      <w:r>
        <w:t>). There is little research on non-IPV female violent victimization generally and as it relates to alcohol and alcohol outlets specifically. Some studies found so few female-involved incidents they chose not to analyze them (</w:t>
      </w:r>
      <w:hyperlink r:id="rId82" w:history="1">
        <w:r>
          <w:rPr>
            <w:rStyle w:val="Hyperlink"/>
          </w:rPr>
          <w:t>Graham, 2000</w:t>
        </w:r>
      </w:hyperlink>
      <w:r>
        <w:t>). Our study of Milwaukee provides several important initial findings. First, our findings indicate that in Milwaukee, off-premise, but not on-premise, alcohol outlet density is associated with overall female violent victimization. Second, both on-premise outlet density and off-premise outlet density are associated with female non-IPV violent victimization. Third, the findings show the association between outlet density and violent victimization is not restricted to females. Both on-premise outlet density and off-premise outlet density are associated with overall and non-IPV male victimization. Moreover, the effect of on-premise alcohol outlet density on overall and non-IPV violent victimization is similar across genders, though the effect of off-premise alcohol outlet density is smaller for female (both overall violent and non-IPV violent victimization) relative to male victimization.</w:t>
      </w:r>
    </w:p>
    <w:p w14:paraId="33A1C176" w14:textId="77777777" w:rsidR="007B0A67" w:rsidRDefault="007B0A67" w:rsidP="007B0A67">
      <w:pPr>
        <w:pStyle w:val="NoSpacing"/>
      </w:pPr>
    </w:p>
    <w:p w14:paraId="0B1E6996" w14:textId="2E5A5854" w:rsidR="007B0A67" w:rsidRDefault="007B0A67" w:rsidP="007B0A67">
      <w:pPr>
        <w:pStyle w:val="NoSpacing"/>
      </w:pPr>
      <w:r>
        <w:t>Our findings are consistent with those of the few similar studies in this area. Our measures focused on outlet density given the lack of research of their effects on non-IPV female violent victimization. We did not operationalize specific theories that might explain the relationship between alcohol outlet density and female violent victimization rates (both overall and non-IPV), but we can draw on these theories to speculate about the reasons for our results. For example, our findings show indirect support for the adverse effects of availability theory, which argues greater alcohol accessibility stems from higher density of alcohol outlets and may lead to greater overall consumption in the area (</w:t>
      </w:r>
      <w:hyperlink r:id="rId83" w:history="1">
        <w:r>
          <w:rPr>
            <w:rStyle w:val="Hyperlink"/>
          </w:rPr>
          <w:t>Livingston et al., 2007</w:t>
        </w:r>
      </w:hyperlink>
      <w:r>
        <w:t>). It may be the physical effects of intoxication lead to aggressive and risky behavior (</w:t>
      </w:r>
      <w:proofErr w:type="spellStart"/>
      <w:r>
        <w:fldChar w:fldCharType="begin"/>
      </w:r>
      <w:r>
        <w:instrText xml:space="preserve"> HYPERLINK "https://journals.sagepub.com/doi/10.1177/0886260517719080" </w:instrText>
      </w:r>
      <w:r>
        <w:fldChar w:fldCharType="separate"/>
      </w:r>
      <w:r>
        <w:rPr>
          <w:rStyle w:val="Hyperlink"/>
        </w:rPr>
        <w:t>Buddie</w:t>
      </w:r>
      <w:proofErr w:type="spellEnd"/>
      <w:r>
        <w:rPr>
          <w:rStyle w:val="Hyperlink"/>
        </w:rPr>
        <w:t xml:space="preserve"> &amp; Parks, 2003</w:t>
      </w:r>
      <w:r>
        <w:fldChar w:fldCharType="end"/>
      </w:r>
      <w:r>
        <w:t>), resulting in victimization due to lowered inhibitions (</w:t>
      </w:r>
      <w:hyperlink r:id="rId84" w:history="1">
        <w:r>
          <w:rPr>
            <w:rStyle w:val="Hyperlink"/>
          </w:rPr>
          <w:t>Room et al., 2005</w:t>
        </w:r>
      </w:hyperlink>
      <w:r>
        <w:t>) and reduced ability to defend oneself against an aggressor (</w:t>
      </w:r>
      <w:hyperlink r:id="rId85" w:history="1">
        <w:r>
          <w:rPr>
            <w:rStyle w:val="Hyperlink"/>
          </w:rPr>
          <w:t>Testa &amp; Parks, 1996</w:t>
        </w:r>
      </w:hyperlink>
      <w:r>
        <w:t>).</w:t>
      </w:r>
    </w:p>
    <w:p w14:paraId="5AFB6009" w14:textId="77777777" w:rsidR="007B0A67" w:rsidRDefault="007B0A67" w:rsidP="007B0A67">
      <w:pPr>
        <w:pStyle w:val="NoSpacing"/>
      </w:pPr>
    </w:p>
    <w:p w14:paraId="28C54A5A" w14:textId="6CE861AE" w:rsidR="007B0A67" w:rsidRDefault="007B0A67" w:rsidP="007B0A67">
      <w:pPr>
        <w:pStyle w:val="NoSpacing"/>
      </w:pPr>
      <w:r>
        <w:t>Our results could also be explained by the idea that outlet density impacts routine activities. Different types of outlets may provide different environmental landscapes in which motivated offenders, vulnerable targets, and lack of suitable guardians converge in time and space (</w:t>
      </w:r>
      <w:hyperlink r:id="rId86" w:history="1">
        <w:r>
          <w:rPr>
            <w:rStyle w:val="Hyperlink"/>
          </w:rPr>
          <w:t>Cohen &amp; Felson, 1979</w:t>
        </w:r>
      </w:hyperlink>
      <w:r>
        <w:t>). Some on-premise outlets may attract aggressive individuals, so an increase in the density of on-premise outlets could bring more aggressive individuals into an area (</w:t>
      </w:r>
      <w:hyperlink r:id="rId87" w:history="1">
        <w:r>
          <w:rPr>
            <w:rStyle w:val="Hyperlink"/>
          </w:rPr>
          <w:t>Leather &amp; Lawrence, 1995</w:t>
        </w:r>
      </w:hyperlink>
      <w:r>
        <w:t>) that may act on opportunities for victimization. Density of alcohol outlets might also provide availability of targets for violent victimization (</w:t>
      </w:r>
      <w:proofErr w:type="spellStart"/>
      <w:r>
        <w:fldChar w:fldCharType="begin"/>
      </w:r>
      <w:r>
        <w:instrText xml:space="preserve"> HYPERLINK "https://journals.sagepub.com/doi/10.1177/0886260517719080" </w:instrText>
      </w:r>
      <w:r>
        <w:fldChar w:fldCharType="separate"/>
      </w:r>
      <w:r>
        <w:rPr>
          <w:rStyle w:val="Hyperlink"/>
        </w:rPr>
        <w:t>Homel</w:t>
      </w:r>
      <w:proofErr w:type="spellEnd"/>
      <w:r>
        <w:rPr>
          <w:rStyle w:val="Hyperlink"/>
        </w:rPr>
        <w:t xml:space="preserve"> &amp; Clark, 1994</w:t>
      </w:r>
      <w:r>
        <w:fldChar w:fldCharType="end"/>
      </w:r>
      <w:r>
        <w:t xml:space="preserve">; </w:t>
      </w:r>
      <w:hyperlink r:id="rId88" w:history="1">
        <w:r>
          <w:rPr>
            <w:rStyle w:val="Hyperlink"/>
          </w:rPr>
          <w:t>Livingston et al., 2007</w:t>
        </w:r>
      </w:hyperlink>
      <w:r>
        <w:t>), as the physical and pharmacological effects of excessive drinking can cause a person to be less aware of their surroundings and less attuned to dangerous situations, leading to greater victimization (</w:t>
      </w:r>
      <w:proofErr w:type="spellStart"/>
      <w:r>
        <w:fldChar w:fldCharType="begin"/>
      </w:r>
      <w:r>
        <w:instrText xml:space="preserve"> HYPERLINK "https://journals.sagepub.com/doi/10.1177/0886260517719080" </w:instrText>
      </w:r>
      <w:r>
        <w:fldChar w:fldCharType="separate"/>
      </w:r>
      <w:r>
        <w:rPr>
          <w:rStyle w:val="Hyperlink"/>
        </w:rPr>
        <w:t>Buddie</w:t>
      </w:r>
      <w:proofErr w:type="spellEnd"/>
      <w:r>
        <w:rPr>
          <w:rStyle w:val="Hyperlink"/>
        </w:rPr>
        <w:t xml:space="preserve"> &amp; Parks, 2003</w:t>
      </w:r>
      <w:r>
        <w:fldChar w:fldCharType="end"/>
      </w:r>
      <w:r>
        <w:t xml:space="preserve">; </w:t>
      </w:r>
      <w:hyperlink r:id="rId89" w:history="1">
        <w:r>
          <w:rPr>
            <w:rStyle w:val="Hyperlink"/>
          </w:rPr>
          <w:t>Testa &amp; Parks, 1996</w:t>
        </w:r>
      </w:hyperlink>
      <w:r>
        <w:t>). At on-premise outlets, intoxicated patrons leaving at closing time are more vulnerable to being a target of victimization, especially if they are leaving alone when guardianship over these outlets ceases (</w:t>
      </w:r>
      <w:proofErr w:type="spellStart"/>
      <w:r>
        <w:fldChar w:fldCharType="begin"/>
      </w:r>
      <w:r>
        <w:instrText xml:space="preserve"> HYPERLINK "https://journals.sagepub.com/doi/10.1177/0886260517719080" </w:instrText>
      </w:r>
      <w:r>
        <w:fldChar w:fldCharType="separate"/>
      </w:r>
      <w:r>
        <w:rPr>
          <w:rStyle w:val="Hyperlink"/>
        </w:rPr>
        <w:t>Homel</w:t>
      </w:r>
      <w:proofErr w:type="spellEnd"/>
      <w:r>
        <w:rPr>
          <w:rStyle w:val="Hyperlink"/>
        </w:rPr>
        <w:t xml:space="preserve"> &amp; Clark, 1994</w:t>
      </w:r>
      <w:r>
        <w:fldChar w:fldCharType="end"/>
      </w:r>
      <w:r>
        <w:t>). Some routine activity theorists might argue on-premise outlets, especially bars and clubs, have bouncers, valet drivers, or other staff working outside the building who could provide greater surveillance over events occurring at or near their outlets. An area with several bars near each other would increase the number of people supervising the area. However, our findings show this is not the case. Some of these findings can be explained perhaps by the operating hours of these outlets. During operating hours, the on-premise outlets may be more likely to provide greater surveillance, but which ceases when it closes for the night.</w:t>
      </w:r>
    </w:p>
    <w:p w14:paraId="29F84D0B" w14:textId="35B06A26" w:rsidR="007B0A67" w:rsidRDefault="007B0A67" w:rsidP="007B0A67">
      <w:pPr>
        <w:pStyle w:val="NoSpacing"/>
      </w:pPr>
    </w:p>
    <w:p w14:paraId="4BE514C3" w14:textId="77777777" w:rsidR="007B0A67" w:rsidRDefault="007B0A67" w:rsidP="007B0A67">
      <w:pPr>
        <w:pStyle w:val="NoSpacing"/>
      </w:pPr>
    </w:p>
    <w:p w14:paraId="33C234A4" w14:textId="6B0750C6" w:rsidR="007B0A67" w:rsidRDefault="007B0A67" w:rsidP="007B0A67">
      <w:pPr>
        <w:pStyle w:val="NoSpacing"/>
      </w:pPr>
      <w:r>
        <w:lastRenderedPageBreak/>
        <w:t>Alcohol purchased from off-premise outlets is generally consumed at home (</w:t>
      </w:r>
      <w:proofErr w:type="spellStart"/>
      <w:r>
        <w:fldChar w:fldCharType="begin"/>
      </w:r>
      <w:r>
        <w:instrText xml:space="preserve"> HYPERLINK "https://journals.sagepub.com/doi/10.1177/0886260517719080" </w:instrText>
      </w:r>
      <w:r>
        <w:fldChar w:fldCharType="separate"/>
      </w:r>
      <w:r>
        <w:rPr>
          <w:rStyle w:val="Hyperlink"/>
        </w:rPr>
        <w:t>Halonen</w:t>
      </w:r>
      <w:proofErr w:type="spellEnd"/>
      <w:r>
        <w:rPr>
          <w:rStyle w:val="Hyperlink"/>
        </w:rPr>
        <w:t xml:space="preserve"> et al., 2013</w:t>
      </w:r>
      <w:r>
        <w:fldChar w:fldCharType="end"/>
      </w:r>
      <w:r>
        <w:t>), where vulnerable targets may experience victimization in absence of capable guardians (</w:t>
      </w:r>
      <w:hyperlink r:id="rId90" w:history="1">
        <w:r>
          <w:rPr>
            <w:rStyle w:val="Hyperlink"/>
          </w:rPr>
          <w:t>Cohen &amp; Felson, 1979</w:t>
        </w:r>
      </w:hyperlink>
      <w:r>
        <w:t>). Moreover, lower priced alcohol beverages available at off-premise alcohol outlets may encourage private drinking relative to the price per unit of beverage consumed in on-premise outlets, so private drinking may result in more intoxicated and disinhibited offenders who may act on opportunities for victimization in the context of reduced guardianship (</w:t>
      </w:r>
      <w:hyperlink r:id="rId91" w:history="1">
        <w:r>
          <w:rPr>
            <w:rStyle w:val="Hyperlink"/>
          </w:rPr>
          <w:t>Cohen &amp; Felson, 1979</w:t>
        </w:r>
      </w:hyperlink>
      <w:r>
        <w:t>). Greater consumption in the home could also lead to increased aggressive behavior that would typically not be displayed in public because of social norms that govern acceptable public behavior (</w:t>
      </w:r>
      <w:proofErr w:type="spellStart"/>
      <w:r>
        <w:fldChar w:fldCharType="begin"/>
      </w:r>
      <w:r>
        <w:instrText xml:space="preserve"> HYPERLINK "https://journals.sagepub.com/doi/10.1177/0886260517719080" </w:instrText>
      </w:r>
      <w:r>
        <w:fldChar w:fldCharType="separate"/>
      </w:r>
      <w:r>
        <w:rPr>
          <w:rStyle w:val="Hyperlink"/>
        </w:rPr>
        <w:t>Pernanen</w:t>
      </w:r>
      <w:proofErr w:type="spellEnd"/>
      <w:r>
        <w:rPr>
          <w:rStyle w:val="Hyperlink"/>
        </w:rPr>
        <w:t>, 1993</w:t>
      </w:r>
      <w:r>
        <w:fldChar w:fldCharType="end"/>
      </w:r>
      <w:r>
        <w:t xml:space="preserve">; </w:t>
      </w:r>
      <w:hyperlink r:id="rId92" w:history="1">
        <w:r>
          <w:rPr>
            <w:rStyle w:val="Hyperlink"/>
          </w:rPr>
          <w:t>Scribner et al., 1995</w:t>
        </w:r>
      </w:hyperlink>
      <w:r>
        <w:t>). In addition, off-premise outlets do not usually staff someone to monitor the outside of the building, so aside from security cameras guardianship generally ends when a patron walks out of the door (</w:t>
      </w:r>
      <w:hyperlink r:id="rId93" w:history="1">
        <w:r>
          <w:rPr>
            <w:rStyle w:val="Hyperlink"/>
          </w:rPr>
          <w:t xml:space="preserve">Graham, </w:t>
        </w:r>
        <w:proofErr w:type="spellStart"/>
        <w:r>
          <w:rPr>
            <w:rStyle w:val="Hyperlink"/>
          </w:rPr>
          <w:t>Bernards</w:t>
        </w:r>
        <w:proofErr w:type="spellEnd"/>
        <w:r>
          <w:rPr>
            <w:rStyle w:val="Hyperlink"/>
          </w:rPr>
          <w:t xml:space="preserve">, Osgood, </w:t>
        </w:r>
        <w:proofErr w:type="spellStart"/>
        <w:r>
          <w:rPr>
            <w:rStyle w:val="Hyperlink"/>
          </w:rPr>
          <w:t>Homel</w:t>
        </w:r>
        <w:proofErr w:type="spellEnd"/>
        <w:r>
          <w:rPr>
            <w:rStyle w:val="Hyperlink"/>
          </w:rPr>
          <w:t>, &amp; Purcell, 2005</w:t>
        </w:r>
      </w:hyperlink>
      <w:r>
        <w:t>).</w:t>
      </w:r>
    </w:p>
    <w:p w14:paraId="12B2B577" w14:textId="77777777" w:rsidR="007B0A67" w:rsidRDefault="007B0A67" w:rsidP="007B0A67">
      <w:pPr>
        <w:pStyle w:val="NoSpacing"/>
      </w:pPr>
    </w:p>
    <w:p w14:paraId="3C6A382B" w14:textId="6E8E13BB" w:rsidR="007B0A67" w:rsidRDefault="007B0A67" w:rsidP="007B0A67">
      <w:pPr>
        <w:pStyle w:val="NoSpacing"/>
      </w:pPr>
      <w:r>
        <w:t>We found no association between on-premise alcohol outlet density and overall female victimization, though the association exists between on-premise outlet density and male overall victimization. Previous research suggests intoxication and certain outlet characteristics may increase aggression, but these results typically focus on aggression between males (</w:t>
      </w:r>
      <w:hyperlink r:id="rId94" w:history="1">
        <w:r>
          <w:rPr>
            <w:rStyle w:val="Hyperlink"/>
          </w:rPr>
          <w:t>Leonard, Collins, &amp; Quigley, 2003</w:t>
        </w:r>
      </w:hyperlink>
      <w:r>
        <w:t>). Concentration of outlets that serve intoxicated (</w:t>
      </w:r>
      <w:proofErr w:type="spellStart"/>
      <w:r>
        <w:fldChar w:fldCharType="begin"/>
      </w:r>
      <w:r>
        <w:instrText xml:space="preserve"> HYPERLINK "https://journals.sagepub.com/doi/10.1177/0886260517719080" </w:instrText>
      </w:r>
      <w:r>
        <w:fldChar w:fldCharType="separate"/>
      </w:r>
      <w:r>
        <w:rPr>
          <w:rStyle w:val="Hyperlink"/>
        </w:rPr>
        <w:t>Stockwell</w:t>
      </w:r>
      <w:proofErr w:type="spellEnd"/>
      <w:r>
        <w:rPr>
          <w:rStyle w:val="Hyperlink"/>
        </w:rPr>
        <w:t xml:space="preserve"> et al., 1993</w:t>
      </w:r>
      <w:r>
        <w:fldChar w:fldCharType="end"/>
      </w:r>
      <w:r>
        <w:t>) and young patrons may create opportunities for increased rivalries among males for female attention (</w:t>
      </w:r>
      <w:proofErr w:type="spellStart"/>
      <w:r>
        <w:fldChar w:fldCharType="begin"/>
      </w:r>
      <w:r>
        <w:instrText xml:space="preserve"> HYPERLINK "https://journals.sagepub.com/doi/10.1177/0886260517719080" </w:instrText>
      </w:r>
      <w:r>
        <w:fldChar w:fldCharType="separate"/>
      </w:r>
      <w:r>
        <w:rPr>
          <w:rStyle w:val="Hyperlink"/>
        </w:rPr>
        <w:t>Buddie</w:t>
      </w:r>
      <w:proofErr w:type="spellEnd"/>
      <w:r>
        <w:rPr>
          <w:rStyle w:val="Hyperlink"/>
        </w:rPr>
        <w:t xml:space="preserve"> &amp; Parks, 2003</w:t>
      </w:r>
      <w:r>
        <w:fldChar w:fldCharType="end"/>
      </w:r>
      <w:r>
        <w:t>) and vulnerability of females as targets for victimization (</w:t>
      </w:r>
      <w:proofErr w:type="spellStart"/>
      <w:r>
        <w:fldChar w:fldCharType="begin"/>
      </w:r>
      <w:r>
        <w:instrText xml:space="preserve"> HYPERLINK "https://journals.sagepub.com/doi/10.1177/0886260517719080" </w:instrText>
      </w:r>
      <w:r>
        <w:fldChar w:fldCharType="separate"/>
      </w:r>
      <w:r>
        <w:rPr>
          <w:rStyle w:val="Hyperlink"/>
        </w:rPr>
        <w:t>Homel</w:t>
      </w:r>
      <w:proofErr w:type="spellEnd"/>
      <w:r>
        <w:rPr>
          <w:rStyle w:val="Hyperlink"/>
        </w:rPr>
        <w:t xml:space="preserve"> &amp; Clark, 1994</w:t>
      </w:r>
      <w:r>
        <w:fldChar w:fldCharType="end"/>
      </w:r>
      <w:r>
        <w:t xml:space="preserve">). A study by </w:t>
      </w:r>
      <w:hyperlink r:id="rId95" w:history="1">
        <w:proofErr w:type="spellStart"/>
        <w:r>
          <w:rPr>
            <w:rStyle w:val="Hyperlink"/>
          </w:rPr>
          <w:t>Krienert</w:t>
        </w:r>
        <w:proofErr w:type="spellEnd"/>
        <w:r>
          <w:rPr>
            <w:rStyle w:val="Hyperlink"/>
          </w:rPr>
          <w:t xml:space="preserve"> and Vandiver (2009)</w:t>
        </w:r>
      </w:hyperlink>
      <w:r>
        <w:t xml:space="preserve"> found assault victimization in bars is often an intragender phenomena, as men are more likely to assault men and women are more likely to assault women. Similarly, </w:t>
      </w:r>
      <w:hyperlink r:id="rId96" w:history="1">
        <w:r>
          <w:rPr>
            <w:rStyle w:val="Hyperlink"/>
          </w:rPr>
          <w:t>Lorraine, Quigley, and Leonard (2007)</w:t>
        </w:r>
      </w:hyperlink>
      <w:r>
        <w:t xml:space="preserve"> examined women’s barroom experiences and found the opponent during the aggressive incident was more often another female than a male. </w:t>
      </w:r>
      <w:hyperlink r:id="rId97" w:history="1">
        <w:r>
          <w:rPr>
            <w:rStyle w:val="Hyperlink"/>
          </w:rPr>
          <w:t>Lorraine et al.’s (2007)</w:t>
        </w:r>
      </w:hyperlink>
      <w:r>
        <w:t xml:space="preserve"> respondents cited rowdy or obnoxious behavior and conflict over or about a romantic partner as precipitants to incidents with both male and female </w:t>
      </w:r>
      <w:proofErr w:type="gramStart"/>
      <w:r>
        <w:t>opponents, and</w:t>
      </w:r>
      <w:proofErr w:type="gramEnd"/>
      <w:r>
        <w:t xml:space="preserve"> cited sexual harassment as a precipitant to aggression in incidents involving male opponents.</w:t>
      </w:r>
    </w:p>
    <w:p w14:paraId="5B97D65B" w14:textId="77777777" w:rsidR="007B0A67" w:rsidRDefault="007B0A67" w:rsidP="007B0A67">
      <w:pPr>
        <w:pStyle w:val="NoSpacing"/>
      </w:pPr>
    </w:p>
    <w:p w14:paraId="51F99320" w14:textId="77777777" w:rsidR="007B0A67" w:rsidRDefault="007B0A67" w:rsidP="007B0A67">
      <w:pPr>
        <w:pStyle w:val="NoSpacing"/>
      </w:pPr>
      <w:r>
        <w:t>These findings suggest intoxication in males might lead to more fights where both parties provoke the incident, whereas an increase in intoxication in females may not lead to the same aggression-provoking behavior and consequent victimization. The greater effect of off-premise density on male victimization may stem from patrons using these outlets as de facto taverns (</w:t>
      </w:r>
      <w:hyperlink r:id="rId98" w:history="1">
        <w:r>
          <w:rPr>
            <w:rStyle w:val="Hyperlink"/>
          </w:rPr>
          <w:t xml:space="preserve">Snowden &amp; </w:t>
        </w:r>
        <w:proofErr w:type="spellStart"/>
        <w:r>
          <w:rPr>
            <w:rStyle w:val="Hyperlink"/>
          </w:rPr>
          <w:t>Pridemore</w:t>
        </w:r>
        <w:proofErr w:type="spellEnd"/>
        <w:r>
          <w:rPr>
            <w:rStyle w:val="Hyperlink"/>
          </w:rPr>
          <w:t>, 2013</w:t>
        </w:r>
      </w:hyperlink>
      <w:r>
        <w:t>), consuming alcohol in an alleyway, empty parking lot, or adjacent park. Both males and females who live in the neighborhoods surrounding the outlets could also be targeted for victimization, especially when they leave the bars, stores, and restaurants at closing time (</w:t>
      </w:r>
      <w:hyperlink r:id="rId99" w:history="1">
        <w:r>
          <w:rPr>
            <w:rStyle w:val="Hyperlink"/>
          </w:rPr>
          <w:t>Campbell et al., 2009</w:t>
        </w:r>
      </w:hyperlink>
      <w:r>
        <w:t xml:space="preserve">). The differences between male and female victimization found in this study point to an important consideration that needs to be made in future studies of alcohol outlets and victimization. </w:t>
      </w:r>
      <w:proofErr w:type="gramStart"/>
      <w:r>
        <w:t>In particular, researchers</w:t>
      </w:r>
      <w:proofErr w:type="gramEnd"/>
      <w:r>
        <w:t xml:space="preserve"> should be cautious to avoid assuming the findings of studies of male victimization generalize to female victimization.</w:t>
      </w:r>
    </w:p>
    <w:p w14:paraId="589273A2" w14:textId="5F879705" w:rsidR="001D11AB" w:rsidRDefault="001D11AB" w:rsidP="007B0A67">
      <w:pPr>
        <w:pStyle w:val="NoSpacing"/>
      </w:pPr>
    </w:p>
    <w:p w14:paraId="6FB97BC5" w14:textId="61DD6CDD" w:rsidR="007B0A67" w:rsidRDefault="007B0A67" w:rsidP="007B0A67">
      <w:pPr>
        <w:pStyle w:val="Heading2"/>
      </w:pPr>
      <w:r>
        <w:t>Limitations</w:t>
      </w:r>
    </w:p>
    <w:p w14:paraId="06A6395F" w14:textId="6C8A3D20" w:rsidR="007B0A67" w:rsidRDefault="007B0A67" w:rsidP="007B0A67">
      <w:pPr>
        <w:pStyle w:val="NoSpacing"/>
      </w:pPr>
      <w:r>
        <w:t>We examined only alcohol outlet density and we did not control for other crime attractors and generators in the area like shopping precincts, sports stadiums, public transit exchanges, and insecure parking lots (</w:t>
      </w:r>
      <w:proofErr w:type="spellStart"/>
      <w:r>
        <w:fldChar w:fldCharType="begin"/>
      </w:r>
      <w:r>
        <w:instrText xml:space="preserve"> HYPERLINK "https://journals.sagepub.com/doi/10.1177/0886260517719080" </w:instrText>
      </w:r>
      <w:r>
        <w:fldChar w:fldCharType="separate"/>
      </w:r>
      <w:r>
        <w:rPr>
          <w:rStyle w:val="Hyperlink"/>
        </w:rPr>
        <w:t>Brantingham</w:t>
      </w:r>
      <w:proofErr w:type="spellEnd"/>
      <w:r>
        <w:rPr>
          <w:rStyle w:val="Hyperlink"/>
        </w:rPr>
        <w:t xml:space="preserve"> &amp; </w:t>
      </w:r>
      <w:proofErr w:type="spellStart"/>
      <w:r>
        <w:rPr>
          <w:rStyle w:val="Hyperlink"/>
        </w:rPr>
        <w:t>Brantingham</w:t>
      </w:r>
      <w:proofErr w:type="spellEnd"/>
      <w:r>
        <w:rPr>
          <w:rStyle w:val="Hyperlink"/>
        </w:rPr>
        <w:t>, 1995</w:t>
      </w:r>
      <w:r>
        <w:fldChar w:fldCharType="end"/>
      </w:r>
      <w:r>
        <w:t xml:space="preserve">) that could explain neighborhood crime patterns. Future studies should account for these factors to understand the unique impact of alcohol outlet density when the effect of other crime generators and attractors on female victimization is also included, though we note </w:t>
      </w:r>
      <w:hyperlink r:id="rId100" w:history="1">
        <w:r>
          <w:rPr>
            <w:rStyle w:val="Hyperlink"/>
          </w:rPr>
          <w:t xml:space="preserve">Grubesic, </w:t>
        </w:r>
        <w:proofErr w:type="spellStart"/>
        <w:r>
          <w:rPr>
            <w:rStyle w:val="Hyperlink"/>
          </w:rPr>
          <w:t>Pridemore</w:t>
        </w:r>
        <w:proofErr w:type="spellEnd"/>
        <w:r>
          <w:rPr>
            <w:rStyle w:val="Hyperlink"/>
          </w:rPr>
          <w:t>, Williams, and Philip-Tabb (2013)</w:t>
        </w:r>
      </w:hyperlink>
      <w:r>
        <w:t xml:space="preserve"> found the general association between alcohol outlet density and violence rates remained even when controlling for the presence of other commercial retailers generally and for risky retailers specifically (e.g., pawn shops, convenience stores, check cashing stores). Second, we did not examine the specific characteristics of outlets that could explain the association with female victimization. We discussed several possibilities in the “Literature Review” section and speculated further in the “Discussion” section. However, our goal was simply to explore if this association exists given the lack of prior research on non-IPV female violent victimization, and so we cannot make conclusions about the reasons for this association. Third, we did not examine whether and how the association between various outlet types with female victimization varies across time of day. It is possible </w:t>
      </w:r>
      <w:r>
        <w:lastRenderedPageBreak/>
        <w:t>that the effect of on-premise outlet density on female violent victimization is greatest at closing time when intoxicated and vulnerable bar patrons leave the premise in greater numbers, and future studies should test for this possibility. Last, while we did control for important indicators of social disorganization in our models, we did not examine how the association between outlet density and female victimization may be moderated by neighborhood social disorganization (</w:t>
      </w:r>
      <w:proofErr w:type="spellStart"/>
      <w:r>
        <w:fldChar w:fldCharType="begin"/>
      </w:r>
      <w:r>
        <w:instrText xml:space="preserve"> HYPERLINK "https://journals.sagepub.com/doi/10.1177/0886260517719080" </w:instrText>
      </w:r>
      <w:r>
        <w:fldChar w:fldCharType="separate"/>
      </w:r>
      <w:r>
        <w:rPr>
          <w:rStyle w:val="Hyperlink"/>
        </w:rPr>
        <w:t>Pridemore</w:t>
      </w:r>
      <w:proofErr w:type="spellEnd"/>
      <w:r>
        <w:rPr>
          <w:rStyle w:val="Hyperlink"/>
        </w:rPr>
        <w:t xml:space="preserve"> &amp; Grubesic, 2012</w:t>
      </w:r>
      <w:r>
        <w:fldChar w:fldCharType="end"/>
      </w:r>
      <w:r>
        <w:t>). Perhaps alcohol outlets have the greatest effect on female victimization in socially disorganized neighborhoods because norms about intolerance of female victimization are not as salient as they are in socially organized neighborhoods (</w:t>
      </w:r>
      <w:hyperlink r:id="rId101" w:history="1">
        <w:r>
          <w:rPr>
            <w:rStyle w:val="Hyperlink"/>
          </w:rPr>
          <w:t>Browning, 2002</w:t>
        </w:r>
      </w:hyperlink>
      <w:r>
        <w:t>) or because the impact of alcohol availability on violence is stronger in socially disorganized neighborhoods (</w:t>
      </w:r>
      <w:proofErr w:type="spellStart"/>
      <w:r>
        <w:fldChar w:fldCharType="begin"/>
      </w:r>
      <w:r>
        <w:instrText xml:space="preserve"> HYPERLINK "https://journals.sagepub.com/doi/10.1177/0886260517719080" </w:instrText>
      </w:r>
      <w:r>
        <w:fldChar w:fldCharType="separate"/>
      </w:r>
      <w:r>
        <w:rPr>
          <w:rStyle w:val="Hyperlink"/>
        </w:rPr>
        <w:t>Pridemore</w:t>
      </w:r>
      <w:proofErr w:type="spellEnd"/>
      <w:r>
        <w:rPr>
          <w:rStyle w:val="Hyperlink"/>
        </w:rPr>
        <w:t xml:space="preserve"> &amp; Grubesic, 2012</w:t>
      </w:r>
      <w:r>
        <w:fldChar w:fldCharType="end"/>
      </w:r>
      <w:r>
        <w:t>).</w:t>
      </w:r>
    </w:p>
    <w:p w14:paraId="0E57F116" w14:textId="5EC8813A" w:rsidR="007B0A67" w:rsidRDefault="007B0A67" w:rsidP="007B0A67">
      <w:pPr>
        <w:pStyle w:val="NoSpacing"/>
      </w:pPr>
    </w:p>
    <w:p w14:paraId="4D127CAA" w14:textId="0FC5EA98" w:rsidR="007B0A67" w:rsidRDefault="007B0A67" w:rsidP="007B0A67">
      <w:pPr>
        <w:pStyle w:val="Heading2"/>
      </w:pPr>
      <w:r>
        <w:t>Future Research</w:t>
      </w:r>
    </w:p>
    <w:p w14:paraId="36C57E0B" w14:textId="37304839" w:rsidR="007B0A67" w:rsidRPr="007B0A67" w:rsidRDefault="007B0A67" w:rsidP="007B0A67">
      <w:pPr>
        <w:pStyle w:val="NoSpacing"/>
      </w:pPr>
      <w:r>
        <w:t>More research is needed to understand fully the link between alcohol outlet density and female violent victimization. For example, the differential effect size of off-premise density for male relative to female victimization suggests there may be different mechanisms at play for male and female victimization in relation to alcohol outlets. The role of sexual victimization for females in relation to alcohol outlet density should be further examined. This would allow for better evidence that could be used to inform harm reduction interventions or policies related to alcohol and alcohol outlet density. For example, because areas with higher outlet densities are associated with greater overall victimization as we showed here, policy initiatives that focus on restricting outlet density may have some impact on female victimization rates. In addition, while public service announcements targeting IPV already exist, the results of this study suggest public service announcements targeting non-IPV victimization—such as encouraging appropriate bystander interventions and supervision of friends’ alcohol intake—may be warranted. Alcohol outlets could also implement policies that discourage victimization, like increasing guardianship in parking lots and alleyways around closing time or partnering with companies to ensure patrons have adequate transportation. Last, while our data do not allow us to examine the gender of the suspect, future studies should aim to study the role of suspect gender in gender-specific victimization, which could provide relevant information for violence intervention and prevention.</w:t>
      </w:r>
    </w:p>
    <w:p w14:paraId="70642D30" w14:textId="7BD07A55" w:rsidR="001D11AB" w:rsidRDefault="001D11AB" w:rsidP="001D11AB">
      <w:pPr>
        <w:pStyle w:val="Heading1"/>
      </w:pPr>
      <w:r>
        <w:t>Conclusion</w:t>
      </w:r>
    </w:p>
    <w:p w14:paraId="07F21621" w14:textId="226A3830" w:rsidR="001D11AB" w:rsidRDefault="007B0A67" w:rsidP="001D11AB">
      <w:pPr>
        <w:pStyle w:val="NoSpacing"/>
      </w:pPr>
      <w:r>
        <w:t>Violent victimization and offending is more prevalent for males than females (</w:t>
      </w:r>
      <w:hyperlink r:id="rId102" w:history="1">
        <w:r>
          <w:rPr>
            <w:rStyle w:val="Hyperlink"/>
          </w:rPr>
          <w:t>Lauritsen &amp; Heimer, 2008</w:t>
        </w:r>
      </w:hyperlink>
      <w:r>
        <w:t xml:space="preserve">; </w:t>
      </w:r>
      <w:hyperlink r:id="rId103" w:history="1">
        <w:r>
          <w:rPr>
            <w:rStyle w:val="Hyperlink"/>
          </w:rPr>
          <w:t>Lauritsen, Heimer, &amp; Lynch, 2009</w:t>
        </w:r>
      </w:hyperlink>
      <w:r>
        <w:t xml:space="preserve">), and most research on alcohol and violence considers only males or emphasizes males. The studies that do focus on alcohol and female violent victimization tend to focus on IPV (e.g., </w:t>
      </w:r>
      <w:hyperlink r:id="rId104" w:history="1">
        <w:r>
          <w:rPr>
            <w:rStyle w:val="Hyperlink"/>
          </w:rPr>
          <w:t>Waller et al., 2012</w:t>
        </w:r>
      </w:hyperlink>
      <w:r>
        <w:t>), yet non-IPV victimization is a large proportion of all female violent victimization (</w:t>
      </w:r>
      <w:hyperlink r:id="rId105" w:history="1">
        <w:r>
          <w:rPr>
            <w:rStyle w:val="Hyperlink"/>
          </w:rPr>
          <w:t>Truman &amp; Langton, 2015</w:t>
        </w:r>
      </w:hyperlink>
      <w:r>
        <w:t xml:space="preserve">). In this study, we focused on overall female victimization, compared overall female violent victimization with non-IPV violent female victimization, and tested to see if any associations are unique to females or are simply reflecting larger patterns of association found also among males. Our findings showed alcohol availability matters for female violent victimization even when controlling for neighborhood covariates of violence. On-premise alcohol outlets were positively associated with non-IPV female violent victimization, and off-premise alcohol outlets were positively associated with both overall and non-IPV female violent victimization. These findings suggest female violent victimization reflects the more general impact of alcohol outlet density on community violence, which is an important finding </w:t>
      </w:r>
      <w:proofErr w:type="gramStart"/>
      <w:r>
        <w:t>in itself given</w:t>
      </w:r>
      <w:proofErr w:type="gramEnd"/>
      <w:r>
        <w:t xml:space="preserve"> the emphasis thus far on males. Last, our findings showed that for our sample, the effect of on-premise outlets on both overall and non-IPV violent victimization is similar for both genders, but the effect of off-premise outlets is weaker for female relative to male victimization (for both overall and non-IPV violent victimization). Our results add to the understanding of the effects of alcohol outlet density on violence and female victimization generally, and they provide an important initial step in understanding alcohol outlets’ impact on non-IPV female violent victimization.</w:t>
      </w:r>
    </w:p>
    <w:p w14:paraId="587F76CE" w14:textId="7A2B23AE" w:rsidR="001D11AB" w:rsidRDefault="001D11AB" w:rsidP="001D11AB">
      <w:pPr>
        <w:pStyle w:val="Heading1"/>
      </w:pPr>
      <w:r>
        <w:lastRenderedPageBreak/>
        <w:t>Acknowledgements</w:t>
      </w:r>
    </w:p>
    <w:p w14:paraId="6404B7FB" w14:textId="5495EFA6" w:rsidR="001D11AB" w:rsidRDefault="007B0A67" w:rsidP="001D11AB">
      <w:pPr>
        <w:pStyle w:val="NoSpacing"/>
      </w:pPr>
      <w:r>
        <w:t xml:space="preserve">We thank Milwaukee Police Department Crime Analyst Daniel </w:t>
      </w:r>
      <w:proofErr w:type="spellStart"/>
      <w:r>
        <w:t>Polans</w:t>
      </w:r>
      <w:proofErr w:type="spellEnd"/>
      <w:r>
        <w:t xml:space="preserve"> and the Milwaukee Police Department for providing us the data for this research.</w:t>
      </w:r>
    </w:p>
    <w:p w14:paraId="767C5BD1" w14:textId="71D81D04" w:rsidR="001D11AB" w:rsidRDefault="004B1038" w:rsidP="001D11AB">
      <w:pPr>
        <w:pStyle w:val="Heading1"/>
      </w:pPr>
      <w:r>
        <w:t>Notes</w:t>
      </w:r>
    </w:p>
    <w:p w14:paraId="64193738" w14:textId="7C49BB97" w:rsidR="004B1038" w:rsidRPr="007B0A67" w:rsidRDefault="007B0A67" w:rsidP="007B0A67">
      <w:pPr>
        <w:pStyle w:val="NoSpacing"/>
        <w:numPr>
          <w:ilvl w:val="0"/>
          <w:numId w:val="35"/>
        </w:numPr>
        <w:ind w:left="360"/>
      </w:pPr>
      <w:r>
        <w:rPr>
          <w:rStyle w:val="nlmfn"/>
        </w:rPr>
        <w:t>Alcohol outlets are retail establishments that are licensed for sale of alcoholic beverages. These include on-premise alcohol outlets, where consumption takes place while the patrons are visiting the premise (e.g., bars, restaurants, pubs, or taverns), and off-premise alcohol outlets (e.g., liquor, convenience, or grocery stores), where consumption takes place elsewhere.</w:t>
      </w:r>
    </w:p>
    <w:p w14:paraId="247729F0" w14:textId="5935A7C7" w:rsidR="004B1038" w:rsidRDefault="004B1038" w:rsidP="004B1038">
      <w:pPr>
        <w:pStyle w:val="Heading1"/>
      </w:pPr>
      <w:r>
        <w:t>References</w:t>
      </w:r>
    </w:p>
    <w:p w14:paraId="277795BF" w14:textId="673C6D81" w:rsidR="008B386C" w:rsidRPr="00FE75CD" w:rsidRDefault="008B386C" w:rsidP="00FE75CD">
      <w:pPr>
        <w:pStyle w:val="NoSpacing"/>
        <w:ind w:left="720" w:hanging="720"/>
        <w:rPr>
          <w:rFonts w:cstheme="minorHAnsi"/>
        </w:rPr>
      </w:pPr>
      <w:proofErr w:type="spellStart"/>
      <w:r w:rsidRPr="00FE75CD">
        <w:rPr>
          <w:rFonts w:cstheme="minorHAnsi"/>
        </w:rPr>
        <w:t>Anselin</w:t>
      </w:r>
      <w:proofErr w:type="spellEnd"/>
      <w:r w:rsidRPr="00FE75CD">
        <w:rPr>
          <w:rFonts w:cstheme="minorHAnsi"/>
        </w:rPr>
        <w:t xml:space="preserve">, L. (1988). </w:t>
      </w:r>
      <w:r w:rsidRPr="00FE75CD">
        <w:rPr>
          <w:rFonts w:cstheme="minorHAnsi"/>
          <w:i/>
          <w:iCs/>
        </w:rPr>
        <w:t>Spatial econometrics: Methods and models</w:t>
      </w:r>
      <w:r w:rsidRPr="00FE75CD">
        <w:rPr>
          <w:rFonts w:cstheme="minorHAnsi"/>
        </w:rPr>
        <w:t>. Boston, MA: Kluwer</w:t>
      </w:r>
      <w:r w:rsidR="00DA6E5A" w:rsidRPr="00FE75CD">
        <w:rPr>
          <w:rFonts w:cstheme="minorHAnsi"/>
        </w:rPr>
        <w:t xml:space="preserve"> </w:t>
      </w:r>
      <w:r w:rsidRPr="00FE75CD">
        <w:rPr>
          <w:rFonts w:cstheme="minorHAnsi"/>
        </w:rPr>
        <w:t>Academic.</w:t>
      </w:r>
    </w:p>
    <w:p w14:paraId="1478913C" w14:textId="4F7A77F9" w:rsidR="008B386C" w:rsidRPr="00FE75CD" w:rsidRDefault="008B386C" w:rsidP="00FE75CD">
      <w:pPr>
        <w:pStyle w:val="NoSpacing"/>
        <w:ind w:left="720" w:hanging="720"/>
        <w:rPr>
          <w:rFonts w:cstheme="minorHAnsi"/>
        </w:rPr>
      </w:pPr>
      <w:proofErr w:type="spellStart"/>
      <w:r w:rsidRPr="00FE75CD">
        <w:rPr>
          <w:rFonts w:cstheme="minorHAnsi"/>
        </w:rPr>
        <w:t>Anselin</w:t>
      </w:r>
      <w:proofErr w:type="spellEnd"/>
      <w:r w:rsidRPr="00FE75CD">
        <w:rPr>
          <w:rFonts w:cstheme="minorHAnsi"/>
        </w:rPr>
        <w:t xml:space="preserve">, L., &amp; </w:t>
      </w:r>
      <w:proofErr w:type="spellStart"/>
      <w:r w:rsidRPr="00FE75CD">
        <w:rPr>
          <w:rFonts w:cstheme="minorHAnsi"/>
        </w:rPr>
        <w:t>Bera</w:t>
      </w:r>
      <w:proofErr w:type="spellEnd"/>
      <w:r w:rsidRPr="00FE75CD">
        <w:rPr>
          <w:rFonts w:cstheme="minorHAnsi"/>
        </w:rPr>
        <w:t>, A. K. (1998). Spatial dependence in linear regression models with</w:t>
      </w:r>
      <w:r w:rsidR="00DA6E5A" w:rsidRPr="00FE75CD">
        <w:rPr>
          <w:rFonts w:cstheme="minorHAnsi"/>
        </w:rPr>
        <w:t xml:space="preserve"> </w:t>
      </w:r>
      <w:r w:rsidRPr="00FE75CD">
        <w:rPr>
          <w:rFonts w:cstheme="minorHAnsi"/>
        </w:rPr>
        <w:t xml:space="preserve">an introduction to spatial econometrics. </w:t>
      </w:r>
      <w:r w:rsidRPr="00FE75CD">
        <w:rPr>
          <w:rFonts w:cstheme="minorHAnsi"/>
          <w:i/>
          <w:iCs/>
        </w:rPr>
        <w:t>Statistics Textbooks and Monographs</w:t>
      </w:r>
      <w:r w:rsidRPr="00FE75CD">
        <w:rPr>
          <w:rFonts w:cstheme="minorHAnsi"/>
        </w:rPr>
        <w:t>,</w:t>
      </w:r>
      <w:r w:rsidR="00DA6E5A" w:rsidRPr="00FE75CD">
        <w:rPr>
          <w:rFonts w:cstheme="minorHAnsi"/>
        </w:rPr>
        <w:t xml:space="preserve"> </w:t>
      </w:r>
      <w:r w:rsidRPr="00FE75CD">
        <w:rPr>
          <w:rFonts w:cstheme="minorHAnsi"/>
          <w:i/>
          <w:iCs/>
        </w:rPr>
        <w:t>155</w:t>
      </w:r>
      <w:r w:rsidRPr="00FE75CD">
        <w:rPr>
          <w:rFonts w:cstheme="minorHAnsi"/>
        </w:rPr>
        <w:t>, 237-290.</w:t>
      </w:r>
    </w:p>
    <w:p w14:paraId="514400F0" w14:textId="4BD6D211" w:rsidR="008B386C" w:rsidRPr="00FE75CD" w:rsidRDefault="008B386C" w:rsidP="00FE75CD">
      <w:pPr>
        <w:pStyle w:val="NoSpacing"/>
        <w:ind w:left="720" w:hanging="720"/>
        <w:rPr>
          <w:rFonts w:cstheme="minorHAnsi"/>
        </w:rPr>
      </w:pPr>
      <w:proofErr w:type="spellStart"/>
      <w:r w:rsidRPr="00FE75CD">
        <w:rPr>
          <w:rFonts w:cstheme="minorHAnsi"/>
        </w:rPr>
        <w:t>Babor</w:t>
      </w:r>
      <w:proofErr w:type="spellEnd"/>
      <w:r w:rsidRPr="00FE75CD">
        <w:rPr>
          <w:rFonts w:cstheme="minorHAnsi"/>
        </w:rPr>
        <w:t>, T., Caetano, R., Casswell, S., Edwards, G., Giesbrecht, N., Graham, K.,</w:t>
      </w:r>
      <w:r w:rsidR="00DA6E5A" w:rsidRPr="00FE75CD">
        <w:rPr>
          <w:rFonts w:cstheme="minorHAnsi"/>
        </w:rPr>
        <w:t xml:space="preserve"> </w:t>
      </w:r>
      <w:r w:rsidRPr="00FE75CD">
        <w:rPr>
          <w:rFonts w:cstheme="minorHAnsi"/>
        </w:rPr>
        <w:t xml:space="preserve">. . . Grube, J. W. (2010). </w:t>
      </w:r>
      <w:r w:rsidRPr="00FE75CD">
        <w:rPr>
          <w:rFonts w:cstheme="minorHAnsi"/>
          <w:i/>
          <w:iCs/>
        </w:rPr>
        <w:t>Alcohol: No ordinary commodity: Research and public</w:t>
      </w:r>
      <w:r w:rsidR="00DA6E5A" w:rsidRPr="00FE75CD">
        <w:rPr>
          <w:rFonts w:cstheme="minorHAnsi"/>
          <w:i/>
          <w:iCs/>
        </w:rPr>
        <w:t xml:space="preserve"> </w:t>
      </w:r>
      <w:r w:rsidRPr="00FE75CD">
        <w:rPr>
          <w:rFonts w:cstheme="minorHAnsi"/>
          <w:i/>
          <w:iCs/>
        </w:rPr>
        <w:t xml:space="preserve">policy </w:t>
      </w:r>
      <w:r w:rsidRPr="00FE75CD">
        <w:rPr>
          <w:rFonts w:cstheme="minorHAnsi"/>
        </w:rPr>
        <w:t>(2nd ed.). Oxford: Oxford University Press.</w:t>
      </w:r>
    </w:p>
    <w:p w14:paraId="6D5558AF" w14:textId="07FB2808" w:rsidR="008B386C" w:rsidRPr="00FE75CD" w:rsidRDefault="008B386C" w:rsidP="00FE75CD">
      <w:pPr>
        <w:pStyle w:val="NoSpacing"/>
        <w:ind w:left="720" w:hanging="720"/>
        <w:rPr>
          <w:rFonts w:cstheme="minorHAnsi"/>
        </w:rPr>
      </w:pPr>
      <w:r w:rsidRPr="00FE75CD">
        <w:rPr>
          <w:rFonts w:cstheme="minorHAnsi"/>
        </w:rPr>
        <w:t xml:space="preserve">Benson, M. L., Fox, G. L., </w:t>
      </w:r>
      <w:proofErr w:type="spellStart"/>
      <w:r w:rsidRPr="00FE75CD">
        <w:rPr>
          <w:rFonts w:cstheme="minorHAnsi"/>
        </w:rPr>
        <w:t>DeMaris</w:t>
      </w:r>
      <w:proofErr w:type="spellEnd"/>
      <w:r w:rsidRPr="00FE75CD">
        <w:rPr>
          <w:rFonts w:cstheme="minorHAnsi"/>
        </w:rPr>
        <w:t xml:space="preserve">, A., &amp; Van </w:t>
      </w:r>
      <w:proofErr w:type="spellStart"/>
      <w:r w:rsidRPr="00FE75CD">
        <w:rPr>
          <w:rFonts w:cstheme="minorHAnsi"/>
        </w:rPr>
        <w:t>Wyk</w:t>
      </w:r>
      <w:proofErr w:type="spellEnd"/>
      <w:r w:rsidRPr="00FE75CD">
        <w:rPr>
          <w:rFonts w:cstheme="minorHAnsi"/>
        </w:rPr>
        <w:t>, J. (2003). Neighborhood disadvantage,</w:t>
      </w:r>
      <w:r w:rsidR="00DA6E5A" w:rsidRPr="00FE75CD">
        <w:rPr>
          <w:rFonts w:cstheme="minorHAnsi"/>
        </w:rPr>
        <w:t xml:space="preserve"> </w:t>
      </w:r>
      <w:r w:rsidRPr="00FE75CD">
        <w:rPr>
          <w:rFonts w:cstheme="minorHAnsi"/>
        </w:rPr>
        <w:t>individual economic distress and violence against women in intimate</w:t>
      </w:r>
      <w:r w:rsidR="00DA6E5A" w:rsidRPr="00FE75CD">
        <w:rPr>
          <w:rFonts w:cstheme="minorHAnsi"/>
        </w:rPr>
        <w:t xml:space="preserve"> </w:t>
      </w:r>
      <w:r w:rsidRPr="00FE75CD">
        <w:rPr>
          <w:rFonts w:cstheme="minorHAnsi"/>
        </w:rPr>
        <w:t xml:space="preserve">relationships. </w:t>
      </w:r>
      <w:r w:rsidRPr="00FE75CD">
        <w:rPr>
          <w:rFonts w:cstheme="minorHAnsi"/>
          <w:i/>
          <w:iCs/>
        </w:rPr>
        <w:t>Journal of Quantitative Criminology</w:t>
      </w:r>
      <w:r w:rsidRPr="00FE75CD">
        <w:rPr>
          <w:rFonts w:cstheme="minorHAnsi"/>
        </w:rPr>
        <w:t xml:space="preserve">, </w:t>
      </w:r>
      <w:r w:rsidRPr="00FE75CD">
        <w:rPr>
          <w:rFonts w:cstheme="minorHAnsi"/>
          <w:i/>
          <w:iCs/>
        </w:rPr>
        <w:t>19</w:t>
      </w:r>
      <w:r w:rsidRPr="00FE75CD">
        <w:rPr>
          <w:rFonts w:cstheme="minorHAnsi"/>
        </w:rPr>
        <w:t>, 207-235.</w:t>
      </w:r>
    </w:p>
    <w:p w14:paraId="213A33B2" w14:textId="26DEB11F" w:rsidR="008B386C" w:rsidRPr="00FE75CD" w:rsidRDefault="008B386C" w:rsidP="00FE75CD">
      <w:pPr>
        <w:pStyle w:val="NoSpacing"/>
        <w:ind w:left="720" w:hanging="720"/>
        <w:rPr>
          <w:rFonts w:cstheme="minorHAnsi"/>
        </w:rPr>
      </w:pPr>
      <w:proofErr w:type="spellStart"/>
      <w:r w:rsidRPr="00FE75CD">
        <w:rPr>
          <w:rFonts w:cstheme="minorHAnsi"/>
        </w:rPr>
        <w:t>Birckmayer</w:t>
      </w:r>
      <w:proofErr w:type="spellEnd"/>
      <w:r w:rsidRPr="00FE75CD">
        <w:rPr>
          <w:rFonts w:cstheme="minorHAnsi"/>
        </w:rPr>
        <w:t>, J. D., Holder, H. D., Yacoubian, G. S., &amp; Friend, K. B. (2004). A general</w:t>
      </w:r>
      <w:r w:rsidR="00DA6E5A" w:rsidRPr="00FE75CD">
        <w:rPr>
          <w:rFonts w:cstheme="minorHAnsi"/>
        </w:rPr>
        <w:t xml:space="preserve"> </w:t>
      </w:r>
      <w:r w:rsidRPr="00FE75CD">
        <w:rPr>
          <w:rFonts w:cstheme="minorHAnsi"/>
        </w:rPr>
        <w:t>causal model to guide alcohol, tobacco, and illicit drug prevention: Assessing the</w:t>
      </w:r>
      <w:r w:rsidR="00DA6E5A" w:rsidRPr="00FE75CD">
        <w:rPr>
          <w:rFonts w:cstheme="minorHAnsi"/>
        </w:rPr>
        <w:t xml:space="preserve"> </w:t>
      </w:r>
      <w:r w:rsidRPr="00FE75CD">
        <w:rPr>
          <w:rFonts w:cstheme="minorHAnsi"/>
        </w:rPr>
        <w:t xml:space="preserve">research evidence. </w:t>
      </w:r>
      <w:r w:rsidRPr="00FE75CD">
        <w:rPr>
          <w:rFonts w:cstheme="minorHAnsi"/>
          <w:i/>
          <w:iCs/>
        </w:rPr>
        <w:t>Journal of Drug Education</w:t>
      </w:r>
      <w:r w:rsidRPr="00FE75CD">
        <w:rPr>
          <w:rFonts w:cstheme="minorHAnsi"/>
        </w:rPr>
        <w:t xml:space="preserve">, </w:t>
      </w:r>
      <w:r w:rsidRPr="00FE75CD">
        <w:rPr>
          <w:rFonts w:cstheme="minorHAnsi"/>
          <w:i/>
          <w:iCs/>
        </w:rPr>
        <w:t>34</w:t>
      </w:r>
      <w:r w:rsidRPr="00FE75CD">
        <w:rPr>
          <w:rFonts w:cstheme="minorHAnsi"/>
        </w:rPr>
        <w:t>, 121-153.</w:t>
      </w:r>
    </w:p>
    <w:p w14:paraId="40EA1F84" w14:textId="64D11838" w:rsidR="008B386C" w:rsidRPr="00FE75CD" w:rsidRDefault="008B386C" w:rsidP="00FE75CD">
      <w:pPr>
        <w:pStyle w:val="NoSpacing"/>
        <w:ind w:left="720" w:hanging="720"/>
        <w:rPr>
          <w:rFonts w:cstheme="minorHAnsi"/>
        </w:rPr>
      </w:pPr>
      <w:proofErr w:type="spellStart"/>
      <w:r w:rsidRPr="00FE75CD">
        <w:rPr>
          <w:rFonts w:cstheme="minorHAnsi"/>
        </w:rPr>
        <w:t>Brame</w:t>
      </w:r>
      <w:proofErr w:type="spellEnd"/>
      <w:r w:rsidRPr="00FE75CD">
        <w:rPr>
          <w:rFonts w:cstheme="minorHAnsi"/>
        </w:rPr>
        <w:t>, R., Paternoster, R., Mazerolle, P., &amp; Piquero, A. (1998). Testing for the equality</w:t>
      </w:r>
      <w:r w:rsidR="00DA6E5A" w:rsidRPr="00FE75CD">
        <w:rPr>
          <w:rFonts w:cstheme="minorHAnsi"/>
        </w:rPr>
        <w:t xml:space="preserve"> </w:t>
      </w:r>
      <w:r w:rsidRPr="00FE75CD">
        <w:rPr>
          <w:rFonts w:cstheme="minorHAnsi"/>
        </w:rPr>
        <w:t>of maximum-likelihood regression coefficients between two independent</w:t>
      </w:r>
      <w:r w:rsidR="00DA6E5A" w:rsidRPr="00FE75CD">
        <w:rPr>
          <w:rFonts w:cstheme="minorHAnsi"/>
        </w:rPr>
        <w:t xml:space="preserve"> </w:t>
      </w:r>
      <w:r w:rsidRPr="00FE75CD">
        <w:rPr>
          <w:rFonts w:cstheme="minorHAnsi"/>
        </w:rPr>
        <w:t xml:space="preserve">equations. </w:t>
      </w:r>
      <w:r w:rsidRPr="00FE75CD">
        <w:rPr>
          <w:rFonts w:cstheme="minorHAnsi"/>
          <w:i/>
          <w:iCs/>
        </w:rPr>
        <w:t>Journal of Quantitative Criminology</w:t>
      </w:r>
      <w:r w:rsidRPr="00FE75CD">
        <w:rPr>
          <w:rFonts w:cstheme="minorHAnsi"/>
        </w:rPr>
        <w:t xml:space="preserve">, </w:t>
      </w:r>
      <w:r w:rsidRPr="00FE75CD">
        <w:rPr>
          <w:rFonts w:cstheme="minorHAnsi"/>
          <w:i/>
          <w:iCs/>
        </w:rPr>
        <w:t>14</w:t>
      </w:r>
      <w:r w:rsidRPr="00FE75CD">
        <w:rPr>
          <w:rFonts w:cstheme="minorHAnsi"/>
        </w:rPr>
        <w:t>, 245-261.</w:t>
      </w:r>
    </w:p>
    <w:p w14:paraId="40E302EF" w14:textId="0875D427" w:rsidR="008B386C" w:rsidRPr="00FE75CD" w:rsidRDefault="008B386C" w:rsidP="00FE75CD">
      <w:pPr>
        <w:pStyle w:val="NoSpacing"/>
        <w:ind w:left="720" w:hanging="720"/>
        <w:rPr>
          <w:rFonts w:cstheme="minorHAnsi"/>
        </w:rPr>
      </w:pPr>
      <w:proofErr w:type="spellStart"/>
      <w:r w:rsidRPr="00FE75CD">
        <w:rPr>
          <w:rFonts w:cstheme="minorHAnsi"/>
        </w:rPr>
        <w:t>Brantingham</w:t>
      </w:r>
      <w:proofErr w:type="spellEnd"/>
      <w:r w:rsidRPr="00FE75CD">
        <w:rPr>
          <w:rFonts w:cstheme="minorHAnsi"/>
        </w:rPr>
        <w:t xml:space="preserve">, P., &amp; </w:t>
      </w:r>
      <w:proofErr w:type="spellStart"/>
      <w:r w:rsidRPr="00FE75CD">
        <w:rPr>
          <w:rFonts w:cstheme="minorHAnsi"/>
        </w:rPr>
        <w:t>Brantingham</w:t>
      </w:r>
      <w:proofErr w:type="spellEnd"/>
      <w:r w:rsidRPr="00FE75CD">
        <w:rPr>
          <w:rFonts w:cstheme="minorHAnsi"/>
        </w:rPr>
        <w:t xml:space="preserve">, P. (1995). Criminality of place. </w:t>
      </w:r>
      <w:r w:rsidRPr="00FE75CD">
        <w:rPr>
          <w:rFonts w:cstheme="minorHAnsi"/>
          <w:i/>
          <w:iCs/>
        </w:rPr>
        <w:t>European Journal</w:t>
      </w:r>
      <w:r w:rsidR="00DA6E5A" w:rsidRPr="00FE75CD">
        <w:rPr>
          <w:rFonts w:cstheme="minorHAnsi"/>
          <w:i/>
          <w:iCs/>
        </w:rPr>
        <w:t xml:space="preserve"> </w:t>
      </w:r>
      <w:r w:rsidRPr="00FE75CD">
        <w:rPr>
          <w:rFonts w:cstheme="minorHAnsi"/>
          <w:i/>
          <w:iCs/>
        </w:rPr>
        <w:t>on Criminal Policy and Research</w:t>
      </w:r>
      <w:r w:rsidRPr="00FE75CD">
        <w:rPr>
          <w:rFonts w:cstheme="minorHAnsi"/>
        </w:rPr>
        <w:t xml:space="preserve">, </w:t>
      </w:r>
      <w:r w:rsidRPr="00FE75CD">
        <w:rPr>
          <w:rFonts w:cstheme="minorHAnsi"/>
          <w:i/>
          <w:iCs/>
        </w:rPr>
        <w:t>3</w:t>
      </w:r>
      <w:r w:rsidRPr="00FE75CD">
        <w:rPr>
          <w:rFonts w:cstheme="minorHAnsi"/>
        </w:rPr>
        <w:t>, 5-26.</w:t>
      </w:r>
    </w:p>
    <w:p w14:paraId="6A5ED289" w14:textId="5CEDB6BF" w:rsidR="008B386C" w:rsidRPr="00FE75CD" w:rsidRDefault="008B386C" w:rsidP="00FE75CD">
      <w:pPr>
        <w:pStyle w:val="NoSpacing"/>
        <w:ind w:left="720" w:hanging="720"/>
        <w:rPr>
          <w:rFonts w:cstheme="minorHAnsi"/>
        </w:rPr>
      </w:pPr>
      <w:r w:rsidRPr="00FE75CD">
        <w:rPr>
          <w:rFonts w:cstheme="minorHAnsi"/>
        </w:rPr>
        <w:t xml:space="preserve">Britt, H. R., Carlin, B. P., Toomey, T. L., &amp; </w:t>
      </w:r>
      <w:proofErr w:type="spellStart"/>
      <w:r w:rsidRPr="00FE75CD">
        <w:rPr>
          <w:rFonts w:cstheme="minorHAnsi"/>
        </w:rPr>
        <w:t>Wagenaar</w:t>
      </w:r>
      <w:proofErr w:type="spellEnd"/>
      <w:r w:rsidRPr="00FE75CD">
        <w:rPr>
          <w:rFonts w:cstheme="minorHAnsi"/>
        </w:rPr>
        <w:t>, A. C. (2005). Neighborhood</w:t>
      </w:r>
      <w:r w:rsidR="00DA6E5A" w:rsidRPr="00FE75CD">
        <w:rPr>
          <w:rFonts w:cstheme="minorHAnsi"/>
        </w:rPr>
        <w:t xml:space="preserve"> </w:t>
      </w:r>
      <w:r w:rsidRPr="00FE75CD">
        <w:rPr>
          <w:rFonts w:cstheme="minorHAnsi"/>
        </w:rPr>
        <w:t>level spatial analysis of the relationship between alcohol outlet density and criminal</w:t>
      </w:r>
      <w:r w:rsidR="00DA6E5A" w:rsidRPr="00FE75CD">
        <w:rPr>
          <w:rFonts w:cstheme="minorHAnsi"/>
        </w:rPr>
        <w:t xml:space="preserve"> </w:t>
      </w:r>
      <w:r w:rsidRPr="00FE75CD">
        <w:rPr>
          <w:rFonts w:cstheme="minorHAnsi"/>
        </w:rPr>
        <w:t xml:space="preserve">violence. </w:t>
      </w:r>
      <w:r w:rsidRPr="00FE75CD">
        <w:rPr>
          <w:rFonts w:cstheme="minorHAnsi"/>
          <w:i/>
          <w:iCs/>
        </w:rPr>
        <w:t>Environmental and Ecological Statistics</w:t>
      </w:r>
      <w:r w:rsidRPr="00FE75CD">
        <w:rPr>
          <w:rFonts w:cstheme="minorHAnsi"/>
        </w:rPr>
        <w:t xml:space="preserve">, </w:t>
      </w:r>
      <w:r w:rsidRPr="00FE75CD">
        <w:rPr>
          <w:rFonts w:cstheme="minorHAnsi"/>
          <w:i/>
          <w:iCs/>
        </w:rPr>
        <w:t>12</w:t>
      </w:r>
      <w:r w:rsidRPr="00FE75CD">
        <w:rPr>
          <w:rFonts w:cstheme="minorHAnsi"/>
        </w:rPr>
        <w:t>, 411-426.</w:t>
      </w:r>
    </w:p>
    <w:p w14:paraId="210A101C" w14:textId="0BA87671" w:rsidR="008B386C" w:rsidRPr="00FE75CD" w:rsidRDefault="008B386C" w:rsidP="00FE75CD">
      <w:pPr>
        <w:pStyle w:val="NoSpacing"/>
        <w:ind w:left="720" w:hanging="720"/>
        <w:rPr>
          <w:rFonts w:cstheme="minorHAnsi"/>
        </w:rPr>
      </w:pPr>
      <w:r w:rsidRPr="00FE75CD">
        <w:rPr>
          <w:rFonts w:cstheme="minorHAnsi"/>
        </w:rPr>
        <w:t>Browning, C. R. (2002). The span of collective efficacy: Extending social disorganization</w:t>
      </w:r>
      <w:r w:rsidR="00DA6E5A" w:rsidRPr="00FE75CD">
        <w:rPr>
          <w:rFonts w:cstheme="minorHAnsi"/>
        </w:rPr>
        <w:t xml:space="preserve"> </w:t>
      </w:r>
      <w:r w:rsidRPr="00FE75CD">
        <w:rPr>
          <w:rFonts w:cstheme="minorHAnsi"/>
        </w:rPr>
        <w:t xml:space="preserve">theory to partner violence. </w:t>
      </w:r>
      <w:r w:rsidRPr="00FE75CD">
        <w:rPr>
          <w:rFonts w:cstheme="minorHAnsi"/>
          <w:i/>
          <w:iCs/>
        </w:rPr>
        <w:t>Journal of Marriage and Family</w:t>
      </w:r>
      <w:r w:rsidRPr="00FE75CD">
        <w:rPr>
          <w:rFonts w:cstheme="minorHAnsi"/>
        </w:rPr>
        <w:t xml:space="preserve">, </w:t>
      </w:r>
      <w:r w:rsidRPr="00FE75CD">
        <w:rPr>
          <w:rFonts w:cstheme="minorHAnsi"/>
          <w:i/>
          <w:iCs/>
        </w:rPr>
        <w:t>64</w:t>
      </w:r>
      <w:r w:rsidRPr="00FE75CD">
        <w:rPr>
          <w:rFonts w:cstheme="minorHAnsi"/>
        </w:rPr>
        <w:t>, 833-850.</w:t>
      </w:r>
    </w:p>
    <w:p w14:paraId="6D93E7D3" w14:textId="77777777" w:rsidR="002A6F7A" w:rsidRPr="00FE75CD" w:rsidRDefault="008B386C" w:rsidP="00FE75CD">
      <w:pPr>
        <w:pStyle w:val="NoSpacing"/>
        <w:ind w:left="720" w:hanging="720"/>
        <w:rPr>
          <w:rFonts w:cstheme="minorHAnsi"/>
        </w:rPr>
      </w:pPr>
      <w:proofErr w:type="spellStart"/>
      <w:r w:rsidRPr="00FE75CD">
        <w:rPr>
          <w:rFonts w:cstheme="minorHAnsi"/>
        </w:rPr>
        <w:t>Buddie</w:t>
      </w:r>
      <w:proofErr w:type="spellEnd"/>
      <w:r w:rsidRPr="00FE75CD">
        <w:rPr>
          <w:rFonts w:cstheme="minorHAnsi"/>
        </w:rPr>
        <w:t>, A. M., &amp; Parks, K. A. (2003). The role of the bar context and social behaviors</w:t>
      </w:r>
      <w:r w:rsidR="002A6F7A" w:rsidRPr="00FE75CD">
        <w:rPr>
          <w:rFonts w:cstheme="minorHAnsi"/>
        </w:rPr>
        <w:t xml:space="preserve"> </w:t>
      </w:r>
      <w:r w:rsidRPr="00FE75CD">
        <w:rPr>
          <w:rFonts w:cstheme="minorHAnsi"/>
        </w:rPr>
        <w:t xml:space="preserve">on women’s risk for aggression. </w:t>
      </w:r>
      <w:r w:rsidRPr="00FE75CD">
        <w:rPr>
          <w:rFonts w:cstheme="minorHAnsi"/>
          <w:i/>
          <w:iCs/>
        </w:rPr>
        <w:t>Journal of Interpersonal Violence</w:t>
      </w:r>
      <w:r w:rsidRPr="00FE75CD">
        <w:rPr>
          <w:rFonts w:cstheme="minorHAnsi"/>
        </w:rPr>
        <w:t xml:space="preserve">, </w:t>
      </w:r>
      <w:r w:rsidRPr="00FE75CD">
        <w:rPr>
          <w:rFonts w:cstheme="minorHAnsi"/>
          <w:i/>
          <w:iCs/>
        </w:rPr>
        <w:t>18</w:t>
      </w:r>
      <w:r w:rsidRPr="00FE75CD">
        <w:rPr>
          <w:rFonts w:cstheme="minorHAnsi"/>
        </w:rPr>
        <w:t>, 1378-1393.</w:t>
      </w:r>
      <w:r w:rsidR="002A6F7A" w:rsidRPr="00FE75CD">
        <w:rPr>
          <w:rFonts w:cstheme="minorHAnsi"/>
        </w:rPr>
        <w:t xml:space="preserve"> </w:t>
      </w:r>
    </w:p>
    <w:p w14:paraId="0DE3B877" w14:textId="2C96B2E9" w:rsidR="00DA6E5A" w:rsidRPr="00FE75CD" w:rsidRDefault="00DA6E5A" w:rsidP="00FE75CD">
      <w:pPr>
        <w:pStyle w:val="NoSpacing"/>
        <w:ind w:left="720" w:hanging="720"/>
        <w:rPr>
          <w:rFonts w:cstheme="minorHAnsi"/>
        </w:rPr>
      </w:pPr>
      <w:proofErr w:type="spellStart"/>
      <w:r w:rsidRPr="00FE75CD">
        <w:rPr>
          <w:rFonts w:cstheme="minorHAnsi"/>
        </w:rPr>
        <w:t>Bursik</w:t>
      </w:r>
      <w:proofErr w:type="spellEnd"/>
      <w:r w:rsidRPr="00FE75CD">
        <w:rPr>
          <w:rFonts w:cstheme="minorHAnsi"/>
        </w:rPr>
        <w:t>, R. J. (1988). Social disorganization and theories of crime and delinquency:</w:t>
      </w:r>
      <w:r w:rsidR="002A6F7A" w:rsidRPr="00FE75CD">
        <w:rPr>
          <w:rFonts w:cstheme="minorHAnsi"/>
        </w:rPr>
        <w:t xml:space="preserve"> </w:t>
      </w:r>
      <w:r w:rsidRPr="00FE75CD">
        <w:rPr>
          <w:rFonts w:cstheme="minorHAnsi"/>
        </w:rPr>
        <w:t xml:space="preserve">Problems and prospects. </w:t>
      </w:r>
      <w:r w:rsidRPr="00FE75CD">
        <w:rPr>
          <w:rFonts w:cstheme="minorHAnsi"/>
          <w:i/>
          <w:iCs/>
        </w:rPr>
        <w:t>Criminology</w:t>
      </w:r>
      <w:r w:rsidRPr="00FE75CD">
        <w:rPr>
          <w:rFonts w:cstheme="minorHAnsi"/>
        </w:rPr>
        <w:t xml:space="preserve">, </w:t>
      </w:r>
      <w:r w:rsidRPr="00FE75CD">
        <w:rPr>
          <w:rFonts w:cstheme="minorHAnsi"/>
          <w:i/>
          <w:iCs/>
        </w:rPr>
        <w:t>26</w:t>
      </w:r>
      <w:r w:rsidRPr="00FE75CD">
        <w:rPr>
          <w:rFonts w:cstheme="minorHAnsi"/>
        </w:rPr>
        <w:t>, 519-552.</w:t>
      </w:r>
    </w:p>
    <w:p w14:paraId="605AE7CC" w14:textId="4E1A6DD5" w:rsidR="00DA6E5A" w:rsidRPr="00FE75CD" w:rsidRDefault="00DA6E5A" w:rsidP="00FE75CD">
      <w:pPr>
        <w:pStyle w:val="NoSpacing"/>
        <w:ind w:left="720" w:hanging="720"/>
        <w:rPr>
          <w:rFonts w:cstheme="minorHAnsi"/>
        </w:rPr>
      </w:pPr>
      <w:r w:rsidRPr="00FE75CD">
        <w:rPr>
          <w:rFonts w:cstheme="minorHAnsi"/>
        </w:rPr>
        <w:t>Campbell, C. A., Hahn, R. A., Elder, R., Brewer, R., Chattopadhyay, S., Fielding, J.,</w:t>
      </w:r>
      <w:r w:rsidR="002A6F7A" w:rsidRPr="00FE75CD">
        <w:rPr>
          <w:rFonts w:cstheme="minorHAnsi"/>
        </w:rPr>
        <w:t xml:space="preserve"> </w:t>
      </w:r>
      <w:r w:rsidRPr="00FE75CD">
        <w:rPr>
          <w:rFonts w:cstheme="minorHAnsi"/>
        </w:rPr>
        <w:t>. . . Middleton, J. C. (2009). The effectiveness of limiting alcohol outlet density</w:t>
      </w:r>
      <w:r w:rsidR="002A6F7A" w:rsidRPr="00FE75CD">
        <w:rPr>
          <w:rFonts w:cstheme="minorHAnsi"/>
        </w:rPr>
        <w:t xml:space="preserve"> </w:t>
      </w:r>
      <w:r w:rsidRPr="00FE75CD">
        <w:rPr>
          <w:rFonts w:cstheme="minorHAnsi"/>
        </w:rPr>
        <w:t>as a means of reducing excessive alcohol consumption and alcohol-related</w:t>
      </w:r>
      <w:r w:rsidR="002A6F7A" w:rsidRPr="00FE75CD">
        <w:rPr>
          <w:rFonts w:cstheme="minorHAnsi"/>
        </w:rPr>
        <w:t xml:space="preserve"> </w:t>
      </w:r>
      <w:r w:rsidRPr="00FE75CD">
        <w:rPr>
          <w:rFonts w:cstheme="minorHAnsi"/>
        </w:rPr>
        <w:t xml:space="preserve">harms. </w:t>
      </w:r>
      <w:r w:rsidRPr="00FE75CD">
        <w:rPr>
          <w:rFonts w:cstheme="minorHAnsi"/>
          <w:i/>
          <w:iCs/>
        </w:rPr>
        <w:t>American Journal of Preventive Medicine</w:t>
      </w:r>
      <w:r w:rsidRPr="00FE75CD">
        <w:rPr>
          <w:rFonts w:cstheme="minorHAnsi"/>
        </w:rPr>
        <w:t xml:space="preserve">, </w:t>
      </w:r>
      <w:r w:rsidRPr="00FE75CD">
        <w:rPr>
          <w:rFonts w:cstheme="minorHAnsi"/>
          <w:i/>
          <w:iCs/>
        </w:rPr>
        <w:t>37</w:t>
      </w:r>
      <w:r w:rsidRPr="00FE75CD">
        <w:rPr>
          <w:rFonts w:cstheme="minorHAnsi"/>
        </w:rPr>
        <w:t>, 556-569.</w:t>
      </w:r>
    </w:p>
    <w:p w14:paraId="43ED15B5" w14:textId="35C21DFE" w:rsidR="00DA6E5A" w:rsidRPr="00FE75CD" w:rsidRDefault="00DA6E5A" w:rsidP="00FE75CD">
      <w:pPr>
        <w:pStyle w:val="NoSpacing"/>
        <w:ind w:left="720" w:hanging="720"/>
        <w:rPr>
          <w:rFonts w:cstheme="minorHAnsi"/>
        </w:rPr>
      </w:pPr>
      <w:proofErr w:type="spellStart"/>
      <w:r w:rsidRPr="00FE75CD">
        <w:rPr>
          <w:rFonts w:cstheme="minorHAnsi"/>
        </w:rPr>
        <w:t>Clogg</w:t>
      </w:r>
      <w:proofErr w:type="spellEnd"/>
      <w:r w:rsidRPr="00FE75CD">
        <w:rPr>
          <w:rFonts w:cstheme="minorHAnsi"/>
        </w:rPr>
        <w:t xml:space="preserve">, C. C., </w:t>
      </w:r>
      <w:proofErr w:type="spellStart"/>
      <w:r w:rsidRPr="00FE75CD">
        <w:rPr>
          <w:rFonts w:cstheme="minorHAnsi"/>
        </w:rPr>
        <w:t>Petkova</w:t>
      </w:r>
      <w:proofErr w:type="spellEnd"/>
      <w:r w:rsidRPr="00FE75CD">
        <w:rPr>
          <w:rFonts w:cstheme="minorHAnsi"/>
        </w:rPr>
        <w:t xml:space="preserve">, E., &amp; </w:t>
      </w:r>
      <w:proofErr w:type="spellStart"/>
      <w:r w:rsidRPr="00FE75CD">
        <w:rPr>
          <w:rFonts w:cstheme="minorHAnsi"/>
        </w:rPr>
        <w:t>Haritou</w:t>
      </w:r>
      <w:proofErr w:type="spellEnd"/>
      <w:r w:rsidRPr="00FE75CD">
        <w:rPr>
          <w:rFonts w:cstheme="minorHAnsi"/>
        </w:rPr>
        <w:t>, A. (1995). Statistical methods for comparing</w:t>
      </w:r>
      <w:r w:rsidR="002A6F7A" w:rsidRPr="00FE75CD">
        <w:rPr>
          <w:rFonts w:cstheme="minorHAnsi"/>
        </w:rPr>
        <w:t xml:space="preserve"> </w:t>
      </w:r>
      <w:r w:rsidRPr="00FE75CD">
        <w:rPr>
          <w:rFonts w:cstheme="minorHAnsi"/>
        </w:rPr>
        <w:t xml:space="preserve">regression coefficients between models. </w:t>
      </w:r>
      <w:r w:rsidRPr="00FE75CD">
        <w:rPr>
          <w:rFonts w:cstheme="minorHAnsi"/>
          <w:i/>
          <w:iCs/>
        </w:rPr>
        <w:t>American Journal of Sociology</w:t>
      </w:r>
      <w:r w:rsidRPr="00FE75CD">
        <w:rPr>
          <w:rFonts w:cstheme="minorHAnsi"/>
        </w:rPr>
        <w:t xml:space="preserve">, </w:t>
      </w:r>
      <w:r w:rsidRPr="00FE75CD">
        <w:rPr>
          <w:rFonts w:cstheme="minorHAnsi"/>
          <w:i/>
          <w:iCs/>
        </w:rPr>
        <w:t>100</w:t>
      </w:r>
      <w:r w:rsidRPr="00FE75CD">
        <w:rPr>
          <w:rFonts w:cstheme="minorHAnsi"/>
        </w:rPr>
        <w:t>,</w:t>
      </w:r>
      <w:r w:rsidR="002A6F7A" w:rsidRPr="00FE75CD">
        <w:rPr>
          <w:rFonts w:cstheme="minorHAnsi"/>
        </w:rPr>
        <w:t xml:space="preserve"> </w:t>
      </w:r>
      <w:r w:rsidRPr="00FE75CD">
        <w:rPr>
          <w:rFonts w:cstheme="minorHAnsi"/>
        </w:rPr>
        <w:t>1261-1293.</w:t>
      </w:r>
    </w:p>
    <w:p w14:paraId="5C1B5BD5" w14:textId="77777777" w:rsidR="002A6F7A" w:rsidRPr="00FE75CD" w:rsidRDefault="00DA6E5A" w:rsidP="00FE75CD">
      <w:pPr>
        <w:pStyle w:val="NoSpacing"/>
        <w:ind w:left="720" w:hanging="720"/>
        <w:rPr>
          <w:rFonts w:cstheme="minorHAnsi"/>
        </w:rPr>
      </w:pPr>
      <w:r w:rsidRPr="00FE75CD">
        <w:rPr>
          <w:rFonts w:cstheme="minorHAnsi"/>
        </w:rPr>
        <w:t>Cohen, L. E., &amp; Felson, M. (1979). Social change and crime rate trends: A routine</w:t>
      </w:r>
      <w:r w:rsidR="002A6F7A" w:rsidRPr="00FE75CD">
        <w:rPr>
          <w:rFonts w:cstheme="minorHAnsi"/>
        </w:rPr>
        <w:t xml:space="preserve"> </w:t>
      </w:r>
      <w:r w:rsidRPr="00FE75CD">
        <w:rPr>
          <w:rFonts w:cstheme="minorHAnsi"/>
        </w:rPr>
        <w:t xml:space="preserve">activity approach. </w:t>
      </w:r>
      <w:r w:rsidRPr="00FE75CD">
        <w:rPr>
          <w:rFonts w:cstheme="minorHAnsi"/>
          <w:i/>
          <w:iCs/>
        </w:rPr>
        <w:t>American Sociological Review</w:t>
      </w:r>
      <w:r w:rsidRPr="00FE75CD">
        <w:rPr>
          <w:rFonts w:cstheme="minorHAnsi"/>
        </w:rPr>
        <w:t xml:space="preserve">, </w:t>
      </w:r>
      <w:r w:rsidRPr="00FE75CD">
        <w:rPr>
          <w:rFonts w:cstheme="minorHAnsi"/>
          <w:i/>
          <w:iCs/>
        </w:rPr>
        <w:t>44</w:t>
      </w:r>
      <w:r w:rsidRPr="00FE75CD">
        <w:rPr>
          <w:rFonts w:cstheme="minorHAnsi"/>
        </w:rPr>
        <w:t>, 588-608.</w:t>
      </w:r>
      <w:r w:rsidR="002A6F7A" w:rsidRPr="00FE75CD">
        <w:rPr>
          <w:rFonts w:cstheme="minorHAnsi"/>
        </w:rPr>
        <w:t xml:space="preserve"> </w:t>
      </w:r>
    </w:p>
    <w:p w14:paraId="3FCB765C" w14:textId="0862CF78" w:rsidR="00DA6E5A" w:rsidRPr="00FE75CD" w:rsidRDefault="00DA6E5A" w:rsidP="00FE75CD">
      <w:pPr>
        <w:pStyle w:val="NoSpacing"/>
        <w:ind w:left="720" w:hanging="720"/>
        <w:rPr>
          <w:rFonts w:cstheme="minorHAnsi"/>
        </w:rPr>
      </w:pPr>
      <w:proofErr w:type="spellStart"/>
      <w:r w:rsidRPr="00FE75CD">
        <w:rPr>
          <w:rFonts w:cstheme="minorHAnsi"/>
        </w:rPr>
        <w:t>Cunradi</w:t>
      </w:r>
      <w:proofErr w:type="spellEnd"/>
      <w:r w:rsidRPr="00FE75CD">
        <w:rPr>
          <w:rFonts w:cstheme="minorHAnsi"/>
        </w:rPr>
        <w:t>, C. B. (2007). Drinking level, neighborhood social disorder, and mutual intimate</w:t>
      </w:r>
      <w:r w:rsidR="002A6F7A" w:rsidRPr="00FE75CD">
        <w:rPr>
          <w:rFonts w:cstheme="minorHAnsi"/>
        </w:rPr>
        <w:t xml:space="preserve"> </w:t>
      </w:r>
      <w:r w:rsidRPr="00FE75CD">
        <w:rPr>
          <w:rFonts w:cstheme="minorHAnsi"/>
        </w:rPr>
        <w:t xml:space="preserve">partner violence. </w:t>
      </w:r>
      <w:r w:rsidRPr="00FE75CD">
        <w:rPr>
          <w:rFonts w:cstheme="minorHAnsi"/>
          <w:i/>
          <w:iCs/>
        </w:rPr>
        <w:t>Alcoholism: Clinical &amp; Experimental Research</w:t>
      </w:r>
      <w:r w:rsidRPr="00FE75CD">
        <w:rPr>
          <w:rFonts w:cstheme="minorHAnsi"/>
        </w:rPr>
        <w:t xml:space="preserve">, </w:t>
      </w:r>
      <w:r w:rsidRPr="00FE75CD">
        <w:rPr>
          <w:rFonts w:cstheme="minorHAnsi"/>
          <w:i/>
          <w:iCs/>
        </w:rPr>
        <w:t>31</w:t>
      </w:r>
      <w:r w:rsidRPr="00FE75CD">
        <w:rPr>
          <w:rFonts w:cstheme="minorHAnsi"/>
        </w:rPr>
        <w:t>, 1012-1019.</w:t>
      </w:r>
    </w:p>
    <w:p w14:paraId="59E3F4CF" w14:textId="01FCF629" w:rsidR="00DA6E5A" w:rsidRPr="00FE75CD" w:rsidRDefault="00DA6E5A" w:rsidP="00FE75CD">
      <w:pPr>
        <w:pStyle w:val="NoSpacing"/>
        <w:ind w:left="720" w:hanging="720"/>
        <w:rPr>
          <w:rFonts w:cstheme="minorHAnsi"/>
        </w:rPr>
      </w:pPr>
      <w:proofErr w:type="spellStart"/>
      <w:r w:rsidRPr="00FE75CD">
        <w:rPr>
          <w:rFonts w:cstheme="minorHAnsi"/>
        </w:rPr>
        <w:t>Cunradi</w:t>
      </w:r>
      <w:proofErr w:type="spellEnd"/>
      <w:r w:rsidRPr="00FE75CD">
        <w:rPr>
          <w:rFonts w:cstheme="minorHAnsi"/>
        </w:rPr>
        <w:t>, C. B. (2009). Intimate partner violence among Hispanic men and women:</w:t>
      </w:r>
      <w:r w:rsidR="002A6F7A" w:rsidRPr="00FE75CD">
        <w:rPr>
          <w:rFonts w:cstheme="minorHAnsi"/>
        </w:rPr>
        <w:t xml:space="preserve"> </w:t>
      </w:r>
      <w:r w:rsidRPr="00FE75CD">
        <w:rPr>
          <w:rFonts w:cstheme="minorHAnsi"/>
        </w:rPr>
        <w:t>The role of drinking, neighborhood disorder, and acculturation-related factors.</w:t>
      </w:r>
      <w:r w:rsidR="002A6F7A" w:rsidRPr="00FE75CD">
        <w:rPr>
          <w:rFonts w:cstheme="minorHAnsi"/>
        </w:rPr>
        <w:t xml:space="preserve"> </w:t>
      </w:r>
      <w:r w:rsidRPr="00FE75CD">
        <w:rPr>
          <w:rFonts w:cstheme="minorHAnsi"/>
          <w:i/>
          <w:iCs/>
        </w:rPr>
        <w:t>Violence and Victims</w:t>
      </w:r>
      <w:r w:rsidRPr="00FE75CD">
        <w:rPr>
          <w:rFonts w:cstheme="minorHAnsi"/>
        </w:rPr>
        <w:t xml:space="preserve">, </w:t>
      </w:r>
      <w:r w:rsidRPr="00FE75CD">
        <w:rPr>
          <w:rFonts w:cstheme="minorHAnsi"/>
          <w:i/>
          <w:iCs/>
        </w:rPr>
        <w:t>24</w:t>
      </w:r>
      <w:r w:rsidRPr="00FE75CD">
        <w:rPr>
          <w:rFonts w:cstheme="minorHAnsi"/>
        </w:rPr>
        <w:t>, 83-97.</w:t>
      </w:r>
    </w:p>
    <w:p w14:paraId="0738C4DA" w14:textId="207E84B2" w:rsidR="00DA6E5A" w:rsidRPr="00FE75CD" w:rsidRDefault="00DA6E5A" w:rsidP="00FE75CD">
      <w:pPr>
        <w:pStyle w:val="NoSpacing"/>
        <w:ind w:left="720" w:hanging="720"/>
        <w:rPr>
          <w:rFonts w:cstheme="minorHAnsi"/>
        </w:rPr>
      </w:pPr>
      <w:proofErr w:type="spellStart"/>
      <w:r w:rsidRPr="00FE75CD">
        <w:rPr>
          <w:rFonts w:cstheme="minorHAnsi"/>
        </w:rPr>
        <w:t>Cunradi</w:t>
      </w:r>
      <w:proofErr w:type="spellEnd"/>
      <w:r w:rsidRPr="00FE75CD">
        <w:rPr>
          <w:rFonts w:cstheme="minorHAnsi"/>
        </w:rPr>
        <w:t>, C. B. (2010). Neighborhoods, alcohol outlets and intimate partner violence:</w:t>
      </w:r>
      <w:r w:rsidR="002A6F7A" w:rsidRPr="00FE75CD">
        <w:rPr>
          <w:rFonts w:cstheme="minorHAnsi"/>
        </w:rPr>
        <w:t xml:space="preserve"> </w:t>
      </w:r>
      <w:r w:rsidRPr="00FE75CD">
        <w:rPr>
          <w:rFonts w:cstheme="minorHAnsi"/>
        </w:rPr>
        <w:t xml:space="preserve">Addressing research gaps in explanatory mechanisms. </w:t>
      </w:r>
      <w:r w:rsidRPr="00FE75CD">
        <w:rPr>
          <w:rFonts w:cstheme="minorHAnsi"/>
          <w:i/>
          <w:iCs/>
        </w:rPr>
        <w:t>International Journal of</w:t>
      </w:r>
      <w:r w:rsidR="002A6F7A" w:rsidRPr="00FE75CD">
        <w:rPr>
          <w:rFonts w:cstheme="minorHAnsi"/>
          <w:i/>
          <w:iCs/>
        </w:rPr>
        <w:t xml:space="preserve"> </w:t>
      </w:r>
      <w:r w:rsidRPr="00FE75CD">
        <w:rPr>
          <w:rFonts w:cstheme="minorHAnsi"/>
          <w:i/>
          <w:iCs/>
        </w:rPr>
        <w:t>Environmental Research and Public Health</w:t>
      </w:r>
      <w:r w:rsidRPr="00FE75CD">
        <w:rPr>
          <w:rFonts w:cstheme="minorHAnsi"/>
        </w:rPr>
        <w:t xml:space="preserve">, </w:t>
      </w:r>
      <w:r w:rsidRPr="00FE75CD">
        <w:rPr>
          <w:rFonts w:cstheme="minorHAnsi"/>
          <w:i/>
          <w:iCs/>
        </w:rPr>
        <w:t>7</w:t>
      </w:r>
      <w:r w:rsidRPr="00FE75CD">
        <w:rPr>
          <w:rFonts w:cstheme="minorHAnsi"/>
        </w:rPr>
        <w:t>, 799-813.</w:t>
      </w:r>
    </w:p>
    <w:p w14:paraId="5880FC6A" w14:textId="62924604" w:rsidR="00DA6E5A" w:rsidRPr="00FE75CD" w:rsidRDefault="00DA6E5A" w:rsidP="00FE75CD">
      <w:pPr>
        <w:pStyle w:val="NoSpacing"/>
        <w:ind w:left="720" w:hanging="720"/>
        <w:rPr>
          <w:rFonts w:cstheme="minorHAnsi"/>
        </w:rPr>
      </w:pPr>
      <w:proofErr w:type="spellStart"/>
      <w:r w:rsidRPr="00FE75CD">
        <w:rPr>
          <w:rFonts w:cstheme="minorHAnsi"/>
        </w:rPr>
        <w:lastRenderedPageBreak/>
        <w:t>Cunradi</w:t>
      </w:r>
      <w:proofErr w:type="spellEnd"/>
      <w:r w:rsidRPr="00FE75CD">
        <w:rPr>
          <w:rFonts w:cstheme="minorHAnsi"/>
        </w:rPr>
        <w:t>, C. B., Caetano, R., Clark, C., &amp; Schafer, J. (2000). Neighborhood poverty as</w:t>
      </w:r>
      <w:r w:rsidR="002A6F7A" w:rsidRPr="00FE75CD">
        <w:rPr>
          <w:rFonts w:cstheme="minorHAnsi"/>
        </w:rPr>
        <w:t xml:space="preserve"> </w:t>
      </w:r>
      <w:r w:rsidRPr="00FE75CD">
        <w:rPr>
          <w:rFonts w:cstheme="minorHAnsi"/>
        </w:rPr>
        <w:t>a predictor of intimate partner violence among White, Black, and Hispanic couples</w:t>
      </w:r>
      <w:r w:rsidR="002A6F7A" w:rsidRPr="00FE75CD">
        <w:rPr>
          <w:rFonts w:cstheme="minorHAnsi"/>
        </w:rPr>
        <w:t xml:space="preserve"> </w:t>
      </w:r>
      <w:r w:rsidRPr="00FE75CD">
        <w:rPr>
          <w:rFonts w:cstheme="minorHAnsi"/>
        </w:rPr>
        <w:t xml:space="preserve">in the United States: A multilevel analysis. </w:t>
      </w:r>
      <w:r w:rsidRPr="00FE75CD">
        <w:rPr>
          <w:rFonts w:cstheme="minorHAnsi"/>
          <w:i/>
          <w:iCs/>
        </w:rPr>
        <w:t>Annals of Epidemiology</w:t>
      </w:r>
      <w:r w:rsidRPr="00FE75CD">
        <w:rPr>
          <w:rFonts w:cstheme="minorHAnsi"/>
        </w:rPr>
        <w:t xml:space="preserve">, </w:t>
      </w:r>
      <w:r w:rsidRPr="00FE75CD">
        <w:rPr>
          <w:rFonts w:cstheme="minorHAnsi"/>
          <w:i/>
          <w:iCs/>
        </w:rPr>
        <w:t>10</w:t>
      </w:r>
      <w:r w:rsidRPr="00FE75CD">
        <w:rPr>
          <w:rFonts w:cstheme="minorHAnsi"/>
        </w:rPr>
        <w:t>, 297-308.</w:t>
      </w:r>
    </w:p>
    <w:p w14:paraId="5E3CF738" w14:textId="2D2AD40F" w:rsidR="00DA6E5A" w:rsidRPr="00FE75CD" w:rsidRDefault="00DA6E5A" w:rsidP="00FE75CD">
      <w:pPr>
        <w:pStyle w:val="NoSpacing"/>
        <w:ind w:left="720" w:hanging="720"/>
        <w:rPr>
          <w:rFonts w:cstheme="minorHAnsi"/>
        </w:rPr>
      </w:pPr>
      <w:proofErr w:type="spellStart"/>
      <w:r w:rsidRPr="00FE75CD">
        <w:rPr>
          <w:rFonts w:cstheme="minorHAnsi"/>
        </w:rPr>
        <w:t>Cunradi</w:t>
      </w:r>
      <w:proofErr w:type="spellEnd"/>
      <w:r w:rsidRPr="00FE75CD">
        <w:rPr>
          <w:rFonts w:cstheme="minorHAnsi"/>
        </w:rPr>
        <w:t xml:space="preserve">, C. B., Mair, C., </w:t>
      </w:r>
      <w:proofErr w:type="spellStart"/>
      <w:r w:rsidRPr="00FE75CD">
        <w:rPr>
          <w:rFonts w:cstheme="minorHAnsi"/>
        </w:rPr>
        <w:t>Ponicki</w:t>
      </w:r>
      <w:proofErr w:type="spellEnd"/>
      <w:r w:rsidRPr="00FE75CD">
        <w:rPr>
          <w:rFonts w:cstheme="minorHAnsi"/>
        </w:rPr>
        <w:t>, W., &amp; Remer, L. (2011). Alcohol outlets, neighborhood</w:t>
      </w:r>
      <w:r w:rsidR="002A6F7A" w:rsidRPr="00FE75CD">
        <w:rPr>
          <w:rFonts w:cstheme="minorHAnsi"/>
        </w:rPr>
        <w:t xml:space="preserve"> </w:t>
      </w:r>
      <w:r w:rsidRPr="00FE75CD">
        <w:rPr>
          <w:rFonts w:cstheme="minorHAnsi"/>
        </w:rPr>
        <w:t>characteristics, and intimate partner violence: Ecological analysis of a</w:t>
      </w:r>
      <w:r w:rsidR="002A6F7A" w:rsidRPr="00FE75CD">
        <w:rPr>
          <w:rFonts w:cstheme="minorHAnsi"/>
        </w:rPr>
        <w:t xml:space="preserve"> </w:t>
      </w:r>
      <w:r w:rsidRPr="00FE75CD">
        <w:rPr>
          <w:rFonts w:cstheme="minorHAnsi"/>
        </w:rPr>
        <w:t xml:space="preserve">California city. </w:t>
      </w:r>
      <w:r w:rsidRPr="00FE75CD">
        <w:rPr>
          <w:rFonts w:cstheme="minorHAnsi"/>
          <w:i/>
          <w:iCs/>
        </w:rPr>
        <w:t>Journal of Urban Health</w:t>
      </w:r>
      <w:r w:rsidRPr="00FE75CD">
        <w:rPr>
          <w:rFonts w:cstheme="minorHAnsi"/>
        </w:rPr>
        <w:t xml:space="preserve">, </w:t>
      </w:r>
      <w:r w:rsidRPr="00FE75CD">
        <w:rPr>
          <w:rFonts w:cstheme="minorHAnsi"/>
          <w:i/>
          <w:iCs/>
        </w:rPr>
        <w:t>88</w:t>
      </w:r>
      <w:r w:rsidRPr="00FE75CD">
        <w:rPr>
          <w:rFonts w:cstheme="minorHAnsi"/>
        </w:rPr>
        <w:t>, 191-200.</w:t>
      </w:r>
    </w:p>
    <w:p w14:paraId="6C0EC9C9" w14:textId="7BAFFDA3" w:rsidR="00DA6E5A" w:rsidRPr="00FE75CD" w:rsidRDefault="00DA6E5A" w:rsidP="00FE75CD">
      <w:pPr>
        <w:pStyle w:val="NoSpacing"/>
        <w:ind w:left="720" w:hanging="720"/>
        <w:rPr>
          <w:rFonts w:cstheme="minorHAnsi"/>
        </w:rPr>
      </w:pPr>
      <w:r w:rsidRPr="00FE75CD">
        <w:rPr>
          <w:rFonts w:cstheme="minorHAnsi"/>
        </w:rPr>
        <w:t xml:space="preserve">Douglass, R. L., </w:t>
      </w:r>
      <w:proofErr w:type="spellStart"/>
      <w:r w:rsidRPr="00FE75CD">
        <w:rPr>
          <w:rFonts w:cstheme="minorHAnsi"/>
        </w:rPr>
        <w:t>Wagenaar</w:t>
      </w:r>
      <w:proofErr w:type="spellEnd"/>
      <w:r w:rsidRPr="00FE75CD">
        <w:rPr>
          <w:rFonts w:cstheme="minorHAnsi"/>
        </w:rPr>
        <w:t xml:space="preserve">, A., &amp; </w:t>
      </w:r>
      <w:proofErr w:type="spellStart"/>
      <w:r w:rsidRPr="00FE75CD">
        <w:rPr>
          <w:rFonts w:cstheme="minorHAnsi"/>
        </w:rPr>
        <w:t>Barkey</w:t>
      </w:r>
      <w:proofErr w:type="spellEnd"/>
      <w:r w:rsidRPr="00FE75CD">
        <w:rPr>
          <w:rFonts w:cstheme="minorHAnsi"/>
        </w:rPr>
        <w:t>, P. (1980). The relationship of changing</w:t>
      </w:r>
      <w:r w:rsidR="002A6F7A" w:rsidRPr="00FE75CD">
        <w:rPr>
          <w:rFonts w:cstheme="minorHAnsi"/>
        </w:rPr>
        <w:t xml:space="preserve"> </w:t>
      </w:r>
      <w:r w:rsidRPr="00FE75CD">
        <w:rPr>
          <w:rFonts w:cstheme="minorHAnsi"/>
        </w:rPr>
        <w:t xml:space="preserve">alcohol availability to acute and chronic social and health problems. </w:t>
      </w:r>
      <w:r w:rsidRPr="00FE75CD">
        <w:rPr>
          <w:rFonts w:cstheme="minorHAnsi"/>
          <w:i/>
          <w:iCs/>
        </w:rPr>
        <w:t>Currents in</w:t>
      </w:r>
      <w:r w:rsidR="002A6F7A" w:rsidRPr="00FE75CD">
        <w:rPr>
          <w:rFonts w:cstheme="minorHAnsi"/>
          <w:i/>
          <w:iCs/>
        </w:rPr>
        <w:t xml:space="preserve"> </w:t>
      </w:r>
      <w:r w:rsidRPr="00FE75CD">
        <w:rPr>
          <w:rFonts w:cstheme="minorHAnsi"/>
          <w:i/>
          <w:iCs/>
        </w:rPr>
        <w:t>Alcoholism</w:t>
      </w:r>
      <w:r w:rsidRPr="00FE75CD">
        <w:rPr>
          <w:rFonts w:cstheme="minorHAnsi"/>
        </w:rPr>
        <w:t xml:space="preserve">, </w:t>
      </w:r>
      <w:r w:rsidRPr="00FE75CD">
        <w:rPr>
          <w:rFonts w:cstheme="minorHAnsi"/>
          <w:i/>
          <w:iCs/>
        </w:rPr>
        <w:t>7</w:t>
      </w:r>
      <w:r w:rsidRPr="00FE75CD">
        <w:rPr>
          <w:rFonts w:cstheme="minorHAnsi"/>
        </w:rPr>
        <w:t>, 104-125.</w:t>
      </w:r>
    </w:p>
    <w:p w14:paraId="328A1191" w14:textId="1E7F4815" w:rsidR="00DA6E5A" w:rsidRPr="00FE75CD" w:rsidRDefault="00DA6E5A" w:rsidP="00FE75CD">
      <w:pPr>
        <w:pStyle w:val="NoSpacing"/>
        <w:ind w:left="720" w:hanging="720"/>
        <w:rPr>
          <w:rFonts w:cstheme="minorHAnsi"/>
        </w:rPr>
      </w:pPr>
      <w:proofErr w:type="spellStart"/>
      <w:r w:rsidRPr="00FE75CD">
        <w:rPr>
          <w:rFonts w:cstheme="minorHAnsi"/>
        </w:rPr>
        <w:t>Duailibi</w:t>
      </w:r>
      <w:proofErr w:type="spellEnd"/>
      <w:r w:rsidRPr="00FE75CD">
        <w:rPr>
          <w:rFonts w:cstheme="minorHAnsi"/>
        </w:rPr>
        <w:t xml:space="preserve">, S., </w:t>
      </w:r>
      <w:proofErr w:type="spellStart"/>
      <w:r w:rsidRPr="00FE75CD">
        <w:rPr>
          <w:rFonts w:cstheme="minorHAnsi"/>
        </w:rPr>
        <w:t>Ponicki</w:t>
      </w:r>
      <w:proofErr w:type="spellEnd"/>
      <w:r w:rsidRPr="00FE75CD">
        <w:rPr>
          <w:rFonts w:cstheme="minorHAnsi"/>
        </w:rPr>
        <w:t xml:space="preserve">, W., Grube, J., Pinsky, I., </w:t>
      </w:r>
      <w:proofErr w:type="spellStart"/>
      <w:r w:rsidRPr="00FE75CD">
        <w:rPr>
          <w:rFonts w:cstheme="minorHAnsi"/>
        </w:rPr>
        <w:t>Laranjeira</w:t>
      </w:r>
      <w:proofErr w:type="spellEnd"/>
      <w:r w:rsidRPr="00FE75CD">
        <w:rPr>
          <w:rFonts w:cstheme="minorHAnsi"/>
        </w:rPr>
        <w:t>, R., &amp; Raw, M. (2007). The</w:t>
      </w:r>
      <w:r w:rsidR="002A6F7A" w:rsidRPr="00FE75CD">
        <w:rPr>
          <w:rFonts w:cstheme="minorHAnsi"/>
        </w:rPr>
        <w:t xml:space="preserve"> </w:t>
      </w:r>
      <w:r w:rsidRPr="00FE75CD">
        <w:rPr>
          <w:rFonts w:cstheme="minorHAnsi"/>
        </w:rPr>
        <w:t xml:space="preserve">effect of restricting opening hours on alcohol-related violence. </w:t>
      </w:r>
      <w:r w:rsidRPr="00FE75CD">
        <w:rPr>
          <w:rFonts w:cstheme="minorHAnsi"/>
          <w:i/>
          <w:iCs/>
        </w:rPr>
        <w:t>American Journal</w:t>
      </w:r>
      <w:r w:rsidR="002A6F7A" w:rsidRPr="00FE75CD">
        <w:rPr>
          <w:rFonts w:cstheme="minorHAnsi"/>
          <w:i/>
          <w:iCs/>
        </w:rPr>
        <w:t xml:space="preserve"> </w:t>
      </w:r>
      <w:r w:rsidRPr="00FE75CD">
        <w:rPr>
          <w:rFonts w:cstheme="minorHAnsi"/>
          <w:i/>
          <w:iCs/>
        </w:rPr>
        <w:t>of Public Health</w:t>
      </w:r>
      <w:r w:rsidRPr="00FE75CD">
        <w:rPr>
          <w:rFonts w:cstheme="minorHAnsi"/>
        </w:rPr>
        <w:t xml:space="preserve">, </w:t>
      </w:r>
      <w:r w:rsidRPr="00FE75CD">
        <w:rPr>
          <w:rFonts w:cstheme="minorHAnsi"/>
          <w:i/>
          <w:iCs/>
        </w:rPr>
        <w:t>97</w:t>
      </w:r>
      <w:r w:rsidRPr="00FE75CD">
        <w:rPr>
          <w:rFonts w:cstheme="minorHAnsi"/>
        </w:rPr>
        <w:t>, 2276-2280.</w:t>
      </w:r>
    </w:p>
    <w:p w14:paraId="7D966D16" w14:textId="77777777" w:rsidR="002A6F7A" w:rsidRPr="00FE75CD" w:rsidRDefault="00DA6E5A" w:rsidP="00FE75CD">
      <w:pPr>
        <w:pStyle w:val="NoSpacing"/>
        <w:ind w:left="720" w:hanging="720"/>
        <w:rPr>
          <w:rFonts w:cstheme="minorHAnsi"/>
        </w:rPr>
      </w:pPr>
      <w:proofErr w:type="spellStart"/>
      <w:r w:rsidRPr="00FE75CD">
        <w:rPr>
          <w:rFonts w:cstheme="minorHAnsi"/>
        </w:rPr>
        <w:t>Freisthler</w:t>
      </w:r>
      <w:proofErr w:type="spellEnd"/>
      <w:r w:rsidRPr="00FE75CD">
        <w:rPr>
          <w:rFonts w:cstheme="minorHAnsi"/>
        </w:rPr>
        <w:t xml:space="preserve">, B., </w:t>
      </w:r>
      <w:proofErr w:type="spellStart"/>
      <w:r w:rsidRPr="00FE75CD">
        <w:rPr>
          <w:rFonts w:cstheme="minorHAnsi"/>
        </w:rPr>
        <w:t>Midanik</w:t>
      </w:r>
      <w:proofErr w:type="spellEnd"/>
      <w:r w:rsidRPr="00FE75CD">
        <w:rPr>
          <w:rFonts w:cstheme="minorHAnsi"/>
        </w:rPr>
        <w:t>, L. T., &amp; Gruenewald, P. J. (2004). Alcohol outlets and child</w:t>
      </w:r>
      <w:r w:rsidR="002A6F7A" w:rsidRPr="00FE75CD">
        <w:rPr>
          <w:rFonts w:cstheme="minorHAnsi"/>
        </w:rPr>
        <w:t xml:space="preserve"> </w:t>
      </w:r>
      <w:r w:rsidRPr="00FE75CD">
        <w:rPr>
          <w:rFonts w:cstheme="minorHAnsi"/>
        </w:rPr>
        <w:t>physical abuse and neglect: Applying routine activities theory to the study of</w:t>
      </w:r>
      <w:r w:rsidR="002A6F7A" w:rsidRPr="00FE75CD">
        <w:rPr>
          <w:rFonts w:cstheme="minorHAnsi"/>
        </w:rPr>
        <w:t xml:space="preserve"> </w:t>
      </w:r>
      <w:r w:rsidRPr="00FE75CD">
        <w:rPr>
          <w:rFonts w:cstheme="minorHAnsi"/>
        </w:rPr>
        <w:t xml:space="preserve">child maltreatment. </w:t>
      </w:r>
      <w:r w:rsidRPr="00FE75CD">
        <w:rPr>
          <w:rFonts w:cstheme="minorHAnsi"/>
          <w:i/>
          <w:iCs/>
        </w:rPr>
        <w:t>Journal of Studies on Alcohol</w:t>
      </w:r>
      <w:r w:rsidRPr="00FE75CD">
        <w:rPr>
          <w:rFonts w:cstheme="minorHAnsi"/>
        </w:rPr>
        <w:t xml:space="preserve">, </w:t>
      </w:r>
      <w:r w:rsidRPr="00FE75CD">
        <w:rPr>
          <w:rFonts w:cstheme="minorHAnsi"/>
          <w:i/>
          <w:iCs/>
        </w:rPr>
        <w:t>65</w:t>
      </w:r>
      <w:r w:rsidRPr="00FE75CD">
        <w:rPr>
          <w:rFonts w:cstheme="minorHAnsi"/>
        </w:rPr>
        <w:t>(5), 586-592.</w:t>
      </w:r>
    </w:p>
    <w:p w14:paraId="6E561DAF" w14:textId="56F3AB76" w:rsidR="00DA6E5A" w:rsidRPr="00FE75CD" w:rsidRDefault="00DA6E5A" w:rsidP="00FE75CD">
      <w:pPr>
        <w:pStyle w:val="NoSpacing"/>
        <w:ind w:left="720" w:hanging="720"/>
        <w:rPr>
          <w:rFonts w:cstheme="minorHAnsi"/>
        </w:rPr>
      </w:pPr>
      <w:r w:rsidRPr="00FE75CD">
        <w:rPr>
          <w:rFonts w:cstheme="minorHAnsi"/>
        </w:rPr>
        <w:t>Graham, K. (2000). Preventive interventions for on-premise drinking: A promising but</w:t>
      </w:r>
      <w:r w:rsidR="002A6F7A" w:rsidRPr="00FE75CD">
        <w:rPr>
          <w:rFonts w:cstheme="minorHAnsi"/>
        </w:rPr>
        <w:t xml:space="preserve"> </w:t>
      </w:r>
      <w:proofErr w:type="spellStart"/>
      <w:r w:rsidRPr="00FE75CD">
        <w:rPr>
          <w:rFonts w:cstheme="minorHAnsi"/>
        </w:rPr>
        <w:t>underresearched</w:t>
      </w:r>
      <w:proofErr w:type="spellEnd"/>
      <w:r w:rsidRPr="00FE75CD">
        <w:rPr>
          <w:rFonts w:cstheme="minorHAnsi"/>
        </w:rPr>
        <w:t xml:space="preserve"> area of prevention. </w:t>
      </w:r>
      <w:r w:rsidRPr="00FE75CD">
        <w:rPr>
          <w:rFonts w:cstheme="minorHAnsi"/>
          <w:i/>
          <w:iCs/>
        </w:rPr>
        <w:t>Contemporary Drug Problems</w:t>
      </w:r>
      <w:r w:rsidRPr="00FE75CD">
        <w:rPr>
          <w:rFonts w:cstheme="minorHAnsi"/>
        </w:rPr>
        <w:t xml:space="preserve">, </w:t>
      </w:r>
      <w:r w:rsidRPr="00FE75CD">
        <w:rPr>
          <w:rFonts w:cstheme="minorHAnsi"/>
          <w:i/>
          <w:iCs/>
        </w:rPr>
        <w:t>27</w:t>
      </w:r>
      <w:r w:rsidRPr="00FE75CD">
        <w:rPr>
          <w:rFonts w:cstheme="minorHAnsi"/>
        </w:rPr>
        <w:t>, 593-668.</w:t>
      </w:r>
    </w:p>
    <w:p w14:paraId="0F6D38EE" w14:textId="77777777" w:rsidR="002A6F7A" w:rsidRPr="00FE75CD" w:rsidRDefault="00DA6E5A" w:rsidP="00FE75CD">
      <w:pPr>
        <w:pStyle w:val="NoSpacing"/>
        <w:ind w:left="720" w:hanging="720"/>
        <w:rPr>
          <w:rFonts w:cstheme="minorHAnsi"/>
        </w:rPr>
      </w:pPr>
      <w:r w:rsidRPr="00FE75CD">
        <w:rPr>
          <w:rFonts w:cstheme="minorHAnsi"/>
        </w:rPr>
        <w:t xml:space="preserve">Graham, K., </w:t>
      </w:r>
      <w:proofErr w:type="spellStart"/>
      <w:r w:rsidRPr="00FE75CD">
        <w:rPr>
          <w:rFonts w:cstheme="minorHAnsi"/>
        </w:rPr>
        <w:t>Bernards</w:t>
      </w:r>
      <w:proofErr w:type="spellEnd"/>
      <w:r w:rsidRPr="00FE75CD">
        <w:rPr>
          <w:rFonts w:cstheme="minorHAnsi"/>
        </w:rPr>
        <w:t xml:space="preserve">, S., Osgood, D. W., </w:t>
      </w:r>
      <w:proofErr w:type="spellStart"/>
      <w:r w:rsidRPr="00FE75CD">
        <w:rPr>
          <w:rFonts w:cstheme="minorHAnsi"/>
        </w:rPr>
        <w:t>Homel</w:t>
      </w:r>
      <w:proofErr w:type="spellEnd"/>
      <w:r w:rsidRPr="00FE75CD">
        <w:rPr>
          <w:rFonts w:cstheme="minorHAnsi"/>
        </w:rPr>
        <w:t>, R., &amp; Purcell, J. (2005). Guardians</w:t>
      </w:r>
      <w:r w:rsidR="002A6F7A" w:rsidRPr="00FE75CD">
        <w:rPr>
          <w:rFonts w:cstheme="minorHAnsi"/>
        </w:rPr>
        <w:t xml:space="preserve"> </w:t>
      </w:r>
      <w:r w:rsidRPr="00FE75CD">
        <w:rPr>
          <w:rFonts w:cstheme="minorHAnsi"/>
        </w:rPr>
        <w:t>and handlers: The role of bar staff in preventing and managing aggression.</w:t>
      </w:r>
      <w:r w:rsidR="002A6F7A" w:rsidRPr="00FE75CD">
        <w:rPr>
          <w:rFonts w:cstheme="minorHAnsi"/>
        </w:rPr>
        <w:t xml:space="preserve"> </w:t>
      </w:r>
      <w:r w:rsidRPr="00FE75CD">
        <w:rPr>
          <w:rFonts w:cstheme="minorHAnsi"/>
          <w:i/>
          <w:iCs/>
        </w:rPr>
        <w:t>Addiction</w:t>
      </w:r>
      <w:r w:rsidRPr="00FE75CD">
        <w:rPr>
          <w:rFonts w:cstheme="minorHAnsi"/>
        </w:rPr>
        <w:t xml:space="preserve">, </w:t>
      </w:r>
      <w:r w:rsidRPr="00FE75CD">
        <w:rPr>
          <w:rFonts w:cstheme="minorHAnsi"/>
          <w:i/>
          <w:iCs/>
        </w:rPr>
        <w:t>100</w:t>
      </w:r>
      <w:r w:rsidRPr="00FE75CD">
        <w:rPr>
          <w:rFonts w:cstheme="minorHAnsi"/>
        </w:rPr>
        <w:t>, 755-766.</w:t>
      </w:r>
      <w:r w:rsidR="002A6F7A" w:rsidRPr="00FE75CD">
        <w:rPr>
          <w:rFonts w:cstheme="minorHAnsi"/>
        </w:rPr>
        <w:t xml:space="preserve"> </w:t>
      </w:r>
    </w:p>
    <w:p w14:paraId="3CCE3701" w14:textId="327E14C8" w:rsidR="00DA6E5A" w:rsidRPr="00FE75CD" w:rsidRDefault="00DA6E5A" w:rsidP="00FE75CD">
      <w:pPr>
        <w:pStyle w:val="NoSpacing"/>
        <w:ind w:left="720" w:hanging="720"/>
        <w:rPr>
          <w:rFonts w:cstheme="minorHAnsi"/>
        </w:rPr>
      </w:pPr>
      <w:r w:rsidRPr="00FE75CD">
        <w:rPr>
          <w:rFonts w:cstheme="minorHAnsi"/>
        </w:rPr>
        <w:t>Grannis, R. (1998). The importance of trivial streets: Residential streets and residential</w:t>
      </w:r>
      <w:r w:rsidR="002A6F7A" w:rsidRPr="00FE75CD">
        <w:rPr>
          <w:rFonts w:cstheme="minorHAnsi"/>
        </w:rPr>
        <w:t xml:space="preserve"> </w:t>
      </w:r>
      <w:r w:rsidRPr="00FE75CD">
        <w:rPr>
          <w:rFonts w:cstheme="minorHAnsi"/>
        </w:rPr>
        <w:t xml:space="preserve">segregation. </w:t>
      </w:r>
      <w:r w:rsidRPr="00FE75CD">
        <w:rPr>
          <w:rFonts w:cstheme="minorHAnsi"/>
          <w:i/>
          <w:iCs/>
        </w:rPr>
        <w:t>American Journal of Sociology</w:t>
      </w:r>
      <w:r w:rsidRPr="00FE75CD">
        <w:rPr>
          <w:rFonts w:cstheme="minorHAnsi"/>
        </w:rPr>
        <w:t xml:space="preserve">, </w:t>
      </w:r>
      <w:r w:rsidRPr="00FE75CD">
        <w:rPr>
          <w:rFonts w:cstheme="minorHAnsi"/>
          <w:i/>
          <w:iCs/>
        </w:rPr>
        <w:t>103</w:t>
      </w:r>
      <w:r w:rsidRPr="00FE75CD">
        <w:rPr>
          <w:rFonts w:cstheme="minorHAnsi"/>
        </w:rPr>
        <w:t>, 1530-1564.</w:t>
      </w:r>
    </w:p>
    <w:p w14:paraId="33F60607" w14:textId="4AD28E38" w:rsidR="00DA6E5A" w:rsidRPr="00FE75CD" w:rsidRDefault="00DA6E5A" w:rsidP="00FE75CD">
      <w:pPr>
        <w:pStyle w:val="NoSpacing"/>
        <w:ind w:left="720" w:hanging="720"/>
        <w:rPr>
          <w:rFonts w:cstheme="minorHAnsi"/>
        </w:rPr>
      </w:pPr>
      <w:r w:rsidRPr="00FE75CD">
        <w:rPr>
          <w:rFonts w:cstheme="minorHAnsi"/>
        </w:rPr>
        <w:t xml:space="preserve">Grubesic, T. H., </w:t>
      </w:r>
      <w:proofErr w:type="spellStart"/>
      <w:r w:rsidRPr="00FE75CD">
        <w:rPr>
          <w:rFonts w:cstheme="minorHAnsi"/>
        </w:rPr>
        <w:t>Pridemore</w:t>
      </w:r>
      <w:proofErr w:type="spellEnd"/>
      <w:r w:rsidRPr="00FE75CD">
        <w:rPr>
          <w:rFonts w:cstheme="minorHAnsi"/>
        </w:rPr>
        <w:t>, W. A., Williams, D. A., &amp; Philip-Tabb, L. (2013). Alcohol</w:t>
      </w:r>
      <w:r w:rsidR="002A6F7A" w:rsidRPr="00FE75CD">
        <w:rPr>
          <w:rFonts w:cstheme="minorHAnsi"/>
        </w:rPr>
        <w:t xml:space="preserve"> </w:t>
      </w:r>
      <w:r w:rsidRPr="00FE75CD">
        <w:rPr>
          <w:rFonts w:cstheme="minorHAnsi"/>
        </w:rPr>
        <w:t>outlet density and violence: The role of risky retailers and alcohol-related expenditures.</w:t>
      </w:r>
      <w:r w:rsidR="002A6F7A" w:rsidRPr="00FE75CD">
        <w:rPr>
          <w:rFonts w:cstheme="minorHAnsi"/>
        </w:rPr>
        <w:t xml:space="preserve"> </w:t>
      </w:r>
      <w:r w:rsidRPr="00FE75CD">
        <w:rPr>
          <w:rFonts w:cstheme="minorHAnsi"/>
          <w:i/>
          <w:iCs/>
        </w:rPr>
        <w:t>Alcohol and Alcoholism</w:t>
      </w:r>
      <w:r w:rsidRPr="00FE75CD">
        <w:rPr>
          <w:rFonts w:cstheme="minorHAnsi"/>
        </w:rPr>
        <w:t xml:space="preserve">, </w:t>
      </w:r>
      <w:r w:rsidRPr="00FE75CD">
        <w:rPr>
          <w:rFonts w:cstheme="minorHAnsi"/>
          <w:i/>
          <w:iCs/>
        </w:rPr>
        <w:t>48</w:t>
      </w:r>
      <w:r w:rsidRPr="00FE75CD">
        <w:rPr>
          <w:rFonts w:cstheme="minorHAnsi"/>
        </w:rPr>
        <w:t>, 613-619.</w:t>
      </w:r>
    </w:p>
    <w:p w14:paraId="02AF663F" w14:textId="399CB443" w:rsidR="00DA6E5A" w:rsidRPr="00FE75CD" w:rsidRDefault="00DA6E5A" w:rsidP="00FE75CD">
      <w:pPr>
        <w:pStyle w:val="NoSpacing"/>
        <w:ind w:left="720" w:hanging="720"/>
        <w:rPr>
          <w:rFonts w:cstheme="minorHAnsi"/>
        </w:rPr>
      </w:pPr>
      <w:r w:rsidRPr="00FE75CD">
        <w:rPr>
          <w:rFonts w:cstheme="minorHAnsi"/>
        </w:rPr>
        <w:t xml:space="preserve">Gruenewald, P. J., </w:t>
      </w:r>
      <w:proofErr w:type="spellStart"/>
      <w:r w:rsidRPr="00FE75CD">
        <w:rPr>
          <w:rFonts w:cstheme="minorHAnsi"/>
        </w:rPr>
        <w:t>Freisthler</w:t>
      </w:r>
      <w:proofErr w:type="spellEnd"/>
      <w:r w:rsidRPr="00FE75CD">
        <w:rPr>
          <w:rFonts w:cstheme="minorHAnsi"/>
        </w:rPr>
        <w:t xml:space="preserve">, B., Remer, L., </w:t>
      </w:r>
      <w:proofErr w:type="spellStart"/>
      <w:r w:rsidRPr="00FE75CD">
        <w:rPr>
          <w:rFonts w:cstheme="minorHAnsi"/>
        </w:rPr>
        <w:t>LaScala</w:t>
      </w:r>
      <w:proofErr w:type="spellEnd"/>
      <w:r w:rsidRPr="00FE75CD">
        <w:rPr>
          <w:rFonts w:cstheme="minorHAnsi"/>
        </w:rPr>
        <w:t xml:space="preserve">, E. A., &amp; </w:t>
      </w:r>
      <w:proofErr w:type="spellStart"/>
      <w:r w:rsidRPr="00FE75CD">
        <w:rPr>
          <w:rFonts w:cstheme="minorHAnsi"/>
        </w:rPr>
        <w:t>Treno</w:t>
      </w:r>
      <w:proofErr w:type="spellEnd"/>
      <w:r w:rsidRPr="00FE75CD">
        <w:rPr>
          <w:rFonts w:cstheme="minorHAnsi"/>
        </w:rPr>
        <w:t>, A. (2006).</w:t>
      </w:r>
      <w:r w:rsidR="002A6F7A" w:rsidRPr="00FE75CD">
        <w:rPr>
          <w:rFonts w:cstheme="minorHAnsi"/>
        </w:rPr>
        <w:t xml:space="preserve"> </w:t>
      </w:r>
      <w:r w:rsidRPr="00FE75CD">
        <w:rPr>
          <w:rFonts w:cstheme="minorHAnsi"/>
        </w:rPr>
        <w:t>Ecological models of alcohol outlets and violent assaults: Crime potentials and</w:t>
      </w:r>
      <w:r w:rsidR="002A6F7A" w:rsidRPr="00FE75CD">
        <w:rPr>
          <w:rFonts w:cstheme="minorHAnsi"/>
        </w:rPr>
        <w:t xml:space="preserve"> </w:t>
      </w:r>
      <w:r w:rsidRPr="00FE75CD">
        <w:rPr>
          <w:rFonts w:cstheme="minorHAnsi"/>
        </w:rPr>
        <w:t xml:space="preserve">geospatial analysis. </w:t>
      </w:r>
      <w:r w:rsidRPr="00FE75CD">
        <w:rPr>
          <w:rFonts w:cstheme="minorHAnsi"/>
          <w:i/>
          <w:iCs/>
        </w:rPr>
        <w:t>Addiction</w:t>
      </w:r>
      <w:r w:rsidRPr="00FE75CD">
        <w:rPr>
          <w:rFonts w:cstheme="minorHAnsi"/>
        </w:rPr>
        <w:t xml:space="preserve">, </w:t>
      </w:r>
      <w:r w:rsidRPr="00FE75CD">
        <w:rPr>
          <w:rFonts w:cstheme="minorHAnsi"/>
          <w:i/>
          <w:iCs/>
        </w:rPr>
        <w:t>101</w:t>
      </w:r>
      <w:r w:rsidRPr="00FE75CD">
        <w:rPr>
          <w:rFonts w:cstheme="minorHAnsi"/>
        </w:rPr>
        <w:t>, 666-677.</w:t>
      </w:r>
    </w:p>
    <w:p w14:paraId="6F4DCC4B" w14:textId="3E56B053" w:rsidR="00DA6E5A" w:rsidRPr="00FE75CD" w:rsidRDefault="00DA6E5A" w:rsidP="00FE75CD">
      <w:pPr>
        <w:pStyle w:val="NoSpacing"/>
        <w:ind w:left="720" w:hanging="720"/>
        <w:rPr>
          <w:rFonts w:cstheme="minorHAnsi"/>
        </w:rPr>
      </w:pPr>
      <w:proofErr w:type="spellStart"/>
      <w:r w:rsidRPr="00FE75CD">
        <w:rPr>
          <w:rFonts w:cstheme="minorHAnsi"/>
        </w:rPr>
        <w:t>Halonen</w:t>
      </w:r>
      <w:proofErr w:type="spellEnd"/>
      <w:r w:rsidRPr="00FE75CD">
        <w:rPr>
          <w:rFonts w:cstheme="minorHAnsi"/>
        </w:rPr>
        <w:t xml:space="preserve">, J. I., </w:t>
      </w:r>
      <w:proofErr w:type="spellStart"/>
      <w:r w:rsidRPr="00FE75CD">
        <w:rPr>
          <w:rFonts w:cstheme="minorHAnsi"/>
        </w:rPr>
        <w:t>Kivimaki</w:t>
      </w:r>
      <w:proofErr w:type="spellEnd"/>
      <w:r w:rsidRPr="00FE75CD">
        <w:rPr>
          <w:rFonts w:cstheme="minorHAnsi"/>
        </w:rPr>
        <w:t xml:space="preserve">, M., Virtanen, M., </w:t>
      </w:r>
      <w:proofErr w:type="spellStart"/>
      <w:r w:rsidRPr="00FE75CD">
        <w:rPr>
          <w:rFonts w:cstheme="minorHAnsi"/>
        </w:rPr>
        <w:t>Pentti</w:t>
      </w:r>
      <w:proofErr w:type="spellEnd"/>
      <w:r w:rsidRPr="00FE75CD">
        <w:rPr>
          <w:rFonts w:cstheme="minorHAnsi"/>
        </w:rPr>
        <w:t xml:space="preserve">, J., Subramanian, S. V., </w:t>
      </w:r>
      <w:proofErr w:type="spellStart"/>
      <w:r w:rsidRPr="00FE75CD">
        <w:rPr>
          <w:rFonts w:cstheme="minorHAnsi"/>
        </w:rPr>
        <w:t>Kawachi</w:t>
      </w:r>
      <w:proofErr w:type="spellEnd"/>
      <w:r w:rsidRPr="00FE75CD">
        <w:rPr>
          <w:rFonts w:cstheme="minorHAnsi"/>
        </w:rPr>
        <w:t>, I.,</w:t>
      </w:r>
      <w:r w:rsidR="002A6F7A" w:rsidRPr="00FE75CD">
        <w:rPr>
          <w:rFonts w:cstheme="minorHAnsi"/>
        </w:rPr>
        <w:t xml:space="preserve"> </w:t>
      </w:r>
      <w:r w:rsidRPr="00FE75CD">
        <w:rPr>
          <w:rFonts w:cstheme="minorHAnsi"/>
        </w:rPr>
        <w:t xml:space="preserve">&amp; </w:t>
      </w:r>
      <w:proofErr w:type="spellStart"/>
      <w:r w:rsidRPr="00FE75CD">
        <w:rPr>
          <w:rFonts w:cstheme="minorHAnsi"/>
        </w:rPr>
        <w:t>Vahtera</w:t>
      </w:r>
      <w:proofErr w:type="spellEnd"/>
      <w:r w:rsidRPr="00FE75CD">
        <w:rPr>
          <w:rFonts w:cstheme="minorHAnsi"/>
        </w:rPr>
        <w:t>, J. (2013). Proximity of off-premise alcohol outlets and heavy alcohol</w:t>
      </w:r>
      <w:r w:rsidR="00DA32CF" w:rsidRPr="00FE75CD">
        <w:rPr>
          <w:rFonts w:cstheme="minorHAnsi"/>
        </w:rPr>
        <w:t xml:space="preserve"> </w:t>
      </w:r>
      <w:r w:rsidRPr="00FE75CD">
        <w:rPr>
          <w:rFonts w:cstheme="minorHAnsi"/>
        </w:rPr>
        <w:t xml:space="preserve">consumption: A cohort study. </w:t>
      </w:r>
      <w:r w:rsidRPr="00FE75CD">
        <w:rPr>
          <w:rFonts w:cstheme="minorHAnsi"/>
          <w:i/>
          <w:iCs/>
        </w:rPr>
        <w:t>Drug and Alcohol Dependence</w:t>
      </w:r>
      <w:r w:rsidRPr="00FE75CD">
        <w:rPr>
          <w:rFonts w:cstheme="minorHAnsi"/>
        </w:rPr>
        <w:t xml:space="preserve">, </w:t>
      </w:r>
      <w:r w:rsidRPr="00FE75CD">
        <w:rPr>
          <w:rFonts w:cstheme="minorHAnsi"/>
          <w:i/>
          <w:iCs/>
        </w:rPr>
        <w:t>132</w:t>
      </w:r>
      <w:r w:rsidRPr="00FE75CD">
        <w:rPr>
          <w:rFonts w:cstheme="minorHAnsi"/>
        </w:rPr>
        <w:t>, 295-300.</w:t>
      </w:r>
    </w:p>
    <w:p w14:paraId="13AB6287" w14:textId="755E20C5" w:rsidR="00DA6E5A" w:rsidRPr="00FE75CD" w:rsidRDefault="00DA6E5A" w:rsidP="00FE75CD">
      <w:pPr>
        <w:pStyle w:val="NoSpacing"/>
        <w:ind w:left="720" w:hanging="720"/>
        <w:rPr>
          <w:rFonts w:cstheme="minorHAnsi"/>
        </w:rPr>
      </w:pPr>
      <w:proofErr w:type="spellStart"/>
      <w:r w:rsidRPr="00FE75CD">
        <w:rPr>
          <w:rFonts w:cstheme="minorHAnsi"/>
        </w:rPr>
        <w:t>Heise</w:t>
      </w:r>
      <w:proofErr w:type="spellEnd"/>
      <w:r w:rsidRPr="00FE75CD">
        <w:rPr>
          <w:rFonts w:cstheme="minorHAnsi"/>
        </w:rPr>
        <w:t>, L. L. (1998). Violence against women: An integrated, ecological framework.</w:t>
      </w:r>
      <w:r w:rsidR="00DA32CF" w:rsidRPr="00FE75CD">
        <w:rPr>
          <w:rFonts w:cstheme="minorHAnsi"/>
        </w:rPr>
        <w:t xml:space="preserve"> </w:t>
      </w:r>
      <w:r w:rsidRPr="00FE75CD">
        <w:rPr>
          <w:rFonts w:cstheme="minorHAnsi"/>
          <w:i/>
          <w:iCs/>
        </w:rPr>
        <w:t>Violence Against Women</w:t>
      </w:r>
      <w:r w:rsidRPr="00FE75CD">
        <w:rPr>
          <w:rFonts w:cstheme="minorHAnsi"/>
        </w:rPr>
        <w:t xml:space="preserve">, </w:t>
      </w:r>
      <w:r w:rsidRPr="00FE75CD">
        <w:rPr>
          <w:rFonts w:cstheme="minorHAnsi"/>
          <w:i/>
          <w:iCs/>
        </w:rPr>
        <w:t>4</w:t>
      </w:r>
      <w:r w:rsidRPr="00FE75CD">
        <w:rPr>
          <w:rFonts w:cstheme="minorHAnsi"/>
        </w:rPr>
        <w:t>, 262-290.</w:t>
      </w:r>
    </w:p>
    <w:p w14:paraId="714F3CBC" w14:textId="4EC1FE3A" w:rsidR="00DA6E5A" w:rsidRPr="00FE75CD" w:rsidRDefault="00DA6E5A" w:rsidP="00FE75CD">
      <w:pPr>
        <w:pStyle w:val="NoSpacing"/>
        <w:ind w:left="720" w:hanging="720"/>
        <w:rPr>
          <w:rFonts w:cstheme="minorHAnsi"/>
        </w:rPr>
      </w:pPr>
      <w:proofErr w:type="spellStart"/>
      <w:r w:rsidRPr="00FE75CD">
        <w:rPr>
          <w:rFonts w:cstheme="minorHAnsi"/>
        </w:rPr>
        <w:t>Homel</w:t>
      </w:r>
      <w:proofErr w:type="spellEnd"/>
      <w:r w:rsidRPr="00FE75CD">
        <w:rPr>
          <w:rFonts w:cstheme="minorHAnsi"/>
        </w:rPr>
        <w:t>, R., &amp; Clark, J. (1994). The prediction and prevention of violence in pubs and</w:t>
      </w:r>
      <w:r w:rsidR="00DA32CF" w:rsidRPr="00FE75CD">
        <w:rPr>
          <w:rFonts w:cstheme="minorHAnsi"/>
        </w:rPr>
        <w:t xml:space="preserve"> </w:t>
      </w:r>
      <w:r w:rsidRPr="00FE75CD">
        <w:rPr>
          <w:rFonts w:cstheme="minorHAnsi"/>
        </w:rPr>
        <w:t xml:space="preserve">clubs. </w:t>
      </w:r>
      <w:r w:rsidRPr="00FE75CD">
        <w:rPr>
          <w:rFonts w:cstheme="minorHAnsi"/>
          <w:i/>
          <w:iCs/>
        </w:rPr>
        <w:t>Crime Prevention Studies</w:t>
      </w:r>
      <w:r w:rsidRPr="00FE75CD">
        <w:rPr>
          <w:rFonts w:cstheme="minorHAnsi"/>
        </w:rPr>
        <w:t xml:space="preserve">, </w:t>
      </w:r>
      <w:r w:rsidRPr="00FE75CD">
        <w:rPr>
          <w:rFonts w:cstheme="minorHAnsi"/>
          <w:i/>
          <w:iCs/>
        </w:rPr>
        <w:t>3</w:t>
      </w:r>
      <w:r w:rsidRPr="00FE75CD">
        <w:rPr>
          <w:rFonts w:cstheme="minorHAnsi"/>
        </w:rPr>
        <w:t>, 1-46.</w:t>
      </w:r>
    </w:p>
    <w:p w14:paraId="4E110FD7" w14:textId="3421BA28" w:rsidR="00DA6E5A" w:rsidRPr="00FE75CD" w:rsidRDefault="00DA6E5A" w:rsidP="00FE75CD">
      <w:pPr>
        <w:pStyle w:val="NoSpacing"/>
        <w:ind w:left="720" w:hanging="720"/>
        <w:rPr>
          <w:rFonts w:cstheme="minorHAnsi"/>
        </w:rPr>
      </w:pPr>
      <w:proofErr w:type="spellStart"/>
      <w:r w:rsidRPr="00FE75CD">
        <w:rPr>
          <w:rFonts w:cstheme="minorHAnsi"/>
        </w:rPr>
        <w:t>Krienert</w:t>
      </w:r>
      <w:proofErr w:type="spellEnd"/>
      <w:r w:rsidRPr="00FE75CD">
        <w:rPr>
          <w:rFonts w:cstheme="minorHAnsi"/>
        </w:rPr>
        <w:t>, J. L., &amp; Vandiver, D. M. (2009). Assaultive behavior in bars: A gendered</w:t>
      </w:r>
      <w:r w:rsidR="00DA32CF" w:rsidRPr="00FE75CD">
        <w:rPr>
          <w:rFonts w:cstheme="minorHAnsi"/>
        </w:rPr>
        <w:t xml:space="preserve"> </w:t>
      </w:r>
      <w:r w:rsidRPr="00FE75CD">
        <w:rPr>
          <w:rFonts w:cstheme="minorHAnsi"/>
        </w:rPr>
        <w:t xml:space="preserve">comparison. </w:t>
      </w:r>
      <w:r w:rsidRPr="00FE75CD">
        <w:rPr>
          <w:rFonts w:cstheme="minorHAnsi"/>
          <w:i/>
          <w:iCs/>
        </w:rPr>
        <w:t>Violence and Victims</w:t>
      </w:r>
      <w:r w:rsidRPr="00FE75CD">
        <w:rPr>
          <w:rFonts w:cstheme="minorHAnsi"/>
        </w:rPr>
        <w:t xml:space="preserve">, </w:t>
      </w:r>
      <w:r w:rsidRPr="00FE75CD">
        <w:rPr>
          <w:rFonts w:cstheme="minorHAnsi"/>
          <w:i/>
          <w:iCs/>
        </w:rPr>
        <w:t>24</w:t>
      </w:r>
      <w:r w:rsidRPr="00FE75CD">
        <w:rPr>
          <w:rFonts w:cstheme="minorHAnsi"/>
        </w:rPr>
        <w:t>, 232-247.</w:t>
      </w:r>
    </w:p>
    <w:p w14:paraId="3D85C0FF" w14:textId="53C70FBC" w:rsidR="00DA6E5A" w:rsidRPr="00FE75CD" w:rsidRDefault="00DA6E5A" w:rsidP="00FE75CD">
      <w:pPr>
        <w:pStyle w:val="NoSpacing"/>
        <w:ind w:left="720" w:hanging="720"/>
        <w:rPr>
          <w:rFonts w:cstheme="minorHAnsi"/>
        </w:rPr>
      </w:pPr>
      <w:r w:rsidRPr="00FE75CD">
        <w:rPr>
          <w:rFonts w:cstheme="minorHAnsi"/>
        </w:rPr>
        <w:t xml:space="preserve">Lauritsen, J. L., &amp; Heimer, K. (2008). The gender gap in violent victimization, 1973–2004. </w:t>
      </w:r>
      <w:r w:rsidRPr="00FE75CD">
        <w:rPr>
          <w:rFonts w:cstheme="minorHAnsi"/>
          <w:i/>
          <w:iCs/>
        </w:rPr>
        <w:t>Journal of Quantitative Criminology</w:t>
      </w:r>
      <w:r w:rsidRPr="00FE75CD">
        <w:rPr>
          <w:rFonts w:cstheme="minorHAnsi"/>
        </w:rPr>
        <w:t xml:space="preserve">, </w:t>
      </w:r>
      <w:r w:rsidRPr="00FE75CD">
        <w:rPr>
          <w:rFonts w:cstheme="minorHAnsi"/>
          <w:i/>
          <w:iCs/>
        </w:rPr>
        <w:t>24</w:t>
      </w:r>
      <w:r w:rsidRPr="00FE75CD">
        <w:rPr>
          <w:rFonts w:cstheme="minorHAnsi"/>
        </w:rPr>
        <w:t>, 125-147.</w:t>
      </w:r>
    </w:p>
    <w:p w14:paraId="16F55A60" w14:textId="5723EEDE" w:rsidR="00DA6E5A" w:rsidRPr="00FE75CD" w:rsidRDefault="00DA6E5A" w:rsidP="00FE75CD">
      <w:pPr>
        <w:pStyle w:val="NoSpacing"/>
        <w:ind w:left="720" w:hanging="720"/>
        <w:rPr>
          <w:rFonts w:cstheme="minorHAnsi"/>
        </w:rPr>
      </w:pPr>
      <w:r w:rsidRPr="00FE75CD">
        <w:rPr>
          <w:rFonts w:cstheme="minorHAnsi"/>
        </w:rPr>
        <w:t>Lauritsen, J. L., Heimer, K., &amp; Lynch, J. P. (2009). Trends in the gender gap in violent</w:t>
      </w:r>
      <w:r w:rsidR="00DA32CF" w:rsidRPr="00FE75CD">
        <w:rPr>
          <w:rFonts w:cstheme="minorHAnsi"/>
        </w:rPr>
        <w:t xml:space="preserve"> </w:t>
      </w:r>
      <w:r w:rsidRPr="00FE75CD">
        <w:rPr>
          <w:rFonts w:cstheme="minorHAnsi"/>
        </w:rPr>
        <w:t>offending: New evidence from the National Crime Victimization Survey.</w:t>
      </w:r>
      <w:r w:rsidR="00DA32CF" w:rsidRPr="00FE75CD">
        <w:rPr>
          <w:rFonts w:cstheme="minorHAnsi"/>
        </w:rPr>
        <w:t xml:space="preserve"> </w:t>
      </w:r>
      <w:r w:rsidRPr="00FE75CD">
        <w:rPr>
          <w:rFonts w:cstheme="minorHAnsi"/>
          <w:i/>
          <w:iCs/>
        </w:rPr>
        <w:t>Criminology</w:t>
      </w:r>
      <w:r w:rsidRPr="00FE75CD">
        <w:rPr>
          <w:rFonts w:cstheme="minorHAnsi"/>
        </w:rPr>
        <w:t xml:space="preserve">, </w:t>
      </w:r>
      <w:r w:rsidRPr="00FE75CD">
        <w:rPr>
          <w:rFonts w:cstheme="minorHAnsi"/>
          <w:i/>
          <w:iCs/>
        </w:rPr>
        <w:t>47</w:t>
      </w:r>
      <w:r w:rsidRPr="00FE75CD">
        <w:rPr>
          <w:rFonts w:cstheme="minorHAnsi"/>
        </w:rPr>
        <w:t>, 361-399.</w:t>
      </w:r>
    </w:p>
    <w:p w14:paraId="22DFC316" w14:textId="6AA52C1F" w:rsidR="00DA6E5A" w:rsidRPr="00FE75CD" w:rsidRDefault="00DA6E5A" w:rsidP="00FE75CD">
      <w:pPr>
        <w:pStyle w:val="NoSpacing"/>
        <w:ind w:left="720" w:hanging="720"/>
        <w:rPr>
          <w:rFonts w:cstheme="minorHAnsi"/>
        </w:rPr>
      </w:pPr>
      <w:r w:rsidRPr="00FE75CD">
        <w:rPr>
          <w:rFonts w:cstheme="minorHAnsi"/>
        </w:rPr>
        <w:t>Leather, P., &amp; Lawrence, C. (1995). Perceiving pub violence: The symbolic influence</w:t>
      </w:r>
      <w:r w:rsidR="00DA32CF" w:rsidRPr="00FE75CD">
        <w:rPr>
          <w:rFonts w:cstheme="minorHAnsi"/>
        </w:rPr>
        <w:t xml:space="preserve"> </w:t>
      </w:r>
      <w:r w:rsidRPr="00FE75CD">
        <w:rPr>
          <w:rFonts w:cstheme="minorHAnsi"/>
        </w:rPr>
        <w:t xml:space="preserve">of social and environmental factors. </w:t>
      </w:r>
      <w:r w:rsidRPr="00FE75CD">
        <w:rPr>
          <w:rFonts w:cstheme="minorHAnsi"/>
          <w:i/>
          <w:iCs/>
        </w:rPr>
        <w:t>British Journal of Social Psychology</w:t>
      </w:r>
      <w:r w:rsidRPr="00FE75CD">
        <w:rPr>
          <w:rFonts w:cstheme="minorHAnsi"/>
        </w:rPr>
        <w:t xml:space="preserve">, </w:t>
      </w:r>
      <w:r w:rsidRPr="00FE75CD">
        <w:rPr>
          <w:rFonts w:cstheme="minorHAnsi"/>
          <w:i/>
          <w:iCs/>
        </w:rPr>
        <w:t>34</w:t>
      </w:r>
      <w:r w:rsidRPr="00FE75CD">
        <w:rPr>
          <w:rFonts w:cstheme="minorHAnsi"/>
        </w:rPr>
        <w:t>,</w:t>
      </w:r>
      <w:r w:rsidR="00DA32CF" w:rsidRPr="00FE75CD">
        <w:rPr>
          <w:rFonts w:cstheme="minorHAnsi"/>
        </w:rPr>
        <w:t xml:space="preserve"> </w:t>
      </w:r>
      <w:r w:rsidRPr="00FE75CD">
        <w:rPr>
          <w:rFonts w:cstheme="minorHAnsi"/>
        </w:rPr>
        <w:t>395-407.</w:t>
      </w:r>
    </w:p>
    <w:p w14:paraId="3A8B7FEE" w14:textId="5C29C6AA" w:rsidR="00DA6E5A" w:rsidRPr="00FE75CD" w:rsidRDefault="00DA6E5A" w:rsidP="00FE75CD">
      <w:pPr>
        <w:pStyle w:val="NoSpacing"/>
        <w:ind w:left="720" w:hanging="720"/>
        <w:rPr>
          <w:rFonts w:cstheme="minorHAnsi"/>
        </w:rPr>
      </w:pPr>
      <w:r w:rsidRPr="00FE75CD">
        <w:rPr>
          <w:rFonts w:cstheme="minorHAnsi"/>
        </w:rPr>
        <w:t>Leonard, K. E., Collins, R. L., &amp; Quigley, B. M. (2003). Alcohol consumption and the</w:t>
      </w:r>
      <w:r w:rsidR="00DA32CF" w:rsidRPr="00FE75CD">
        <w:rPr>
          <w:rFonts w:cstheme="minorHAnsi"/>
        </w:rPr>
        <w:t xml:space="preserve"> </w:t>
      </w:r>
      <w:r w:rsidRPr="00FE75CD">
        <w:rPr>
          <w:rFonts w:cstheme="minorHAnsi"/>
        </w:rPr>
        <w:t>occurrence and severity of aggression: An event-based analysis of male to male</w:t>
      </w:r>
      <w:r w:rsidR="00DA32CF" w:rsidRPr="00FE75CD">
        <w:rPr>
          <w:rFonts w:cstheme="minorHAnsi"/>
        </w:rPr>
        <w:t xml:space="preserve"> </w:t>
      </w:r>
      <w:r w:rsidRPr="00FE75CD">
        <w:rPr>
          <w:rFonts w:cstheme="minorHAnsi"/>
        </w:rPr>
        <w:t xml:space="preserve">barroom violence. </w:t>
      </w:r>
      <w:r w:rsidRPr="00FE75CD">
        <w:rPr>
          <w:rFonts w:cstheme="minorHAnsi"/>
          <w:i/>
          <w:iCs/>
        </w:rPr>
        <w:t>Aggressive Behavior</w:t>
      </w:r>
      <w:r w:rsidRPr="00FE75CD">
        <w:rPr>
          <w:rFonts w:cstheme="minorHAnsi"/>
        </w:rPr>
        <w:t xml:space="preserve">, </w:t>
      </w:r>
      <w:r w:rsidRPr="00FE75CD">
        <w:rPr>
          <w:rFonts w:cstheme="minorHAnsi"/>
          <w:i/>
          <w:iCs/>
        </w:rPr>
        <w:t>29</w:t>
      </w:r>
      <w:r w:rsidRPr="00FE75CD">
        <w:rPr>
          <w:rFonts w:cstheme="minorHAnsi"/>
        </w:rPr>
        <w:t>, 346-365.</w:t>
      </w:r>
    </w:p>
    <w:p w14:paraId="659F9AE0" w14:textId="113CB9A0" w:rsidR="00DA6E5A" w:rsidRPr="00FE75CD" w:rsidRDefault="00DA6E5A" w:rsidP="00FE75CD">
      <w:pPr>
        <w:pStyle w:val="NoSpacing"/>
        <w:ind w:left="720" w:hanging="720"/>
        <w:rPr>
          <w:rFonts w:cstheme="minorHAnsi"/>
        </w:rPr>
      </w:pPr>
      <w:r w:rsidRPr="00FE75CD">
        <w:rPr>
          <w:rFonts w:cstheme="minorHAnsi"/>
        </w:rPr>
        <w:t>Livingston, M. (2011). A longitudinal analysis of alcohol outlet density and domestic</w:t>
      </w:r>
      <w:r w:rsidR="00DA32CF" w:rsidRPr="00FE75CD">
        <w:rPr>
          <w:rFonts w:cstheme="minorHAnsi"/>
        </w:rPr>
        <w:t xml:space="preserve"> </w:t>
      </w:r>
      <w:r w:rsidRPr="00FE75CD">
        <w:rPr>
          <w:rFonts w:cstheme="minorHAnsi"/>
        </w:rPr>
        <w:t xml:space="preserve">violence. </w:t>
      </w:r>
      <w:r w:rsidRPr="00FE75CD">
        <w:rPr>
          <w:rFonts w:cstheme="minorHAnsi"/>
          <w:i/>
          <w:iCs/>
        </w:rPr>
        <w:t>Addiction</w:t>
      </w:r>
      <w:r w:rsidRPr="00FE75CD">
        <w:rPr>
          <w:rFonts w:cstheme="minorHAnsi"/>
        </w:rPr>
        <w:t xml:space="preserve">, </w:t>
      </w:r>
      <w:r w:rsidRPr="00FE75CD">
        <w:rPr>
          <w:rFonts w:cstheme="minorHAnsi"/>
          <w:i/>
          <w:iCs/>
        </w:rPr>
        <w:t>106</w:t>
      </w:r>
      <w:r w:rsidRPr="00FE75CD">
        <w:rPr>
          <w:rFonts w:cstheme="minorHAnsi"/>
        </w:rPr>
        <w:t>, 919-925.</w:t>
      </w:r>
      <w:r w:rsidR="00DA32CF" w:rsidRPr="00FE75CD">
        <w:rPr>
          <w:rFonts w:cstheme="minorHAnsi"/>
        </w:rPr>
        <w:t xml:space="preserve"> </w:t>
      </w:r>
    </w:p>
    <w:p w14:paraId="11E06E25" w14:textId="40C52C84" w:rsidR="00DA6E5A" w:rsidRPr="00FE75CD" w:rsidRDefault="00DA6E5A" w:rsidP="00FE75CD">
      <w:pPr>
        <w:pStyle w:val="NoSpacing"/>
        <w:ind w:left="720" w:hanging="720"/>
        <w:rPr>
          <w:rFonts w:cstheme="minorHAnsi"/>
        </w:rPr>
      </w:pPr>
      <w:r w:rsidRPr="00FE75CD">
        <w:rPr>
          <w:rFonts w:cstheme="minorHAnsi"/>
        </w:rPr>
        <w:t xml:space="preserve">Livingston, M., </w:t>
      </w:r>
      <w:proofErr w:type="spellStart"/>
      <w:r w:rsidRPr="00FE75CD">
        <w:rPr>
          <w:rFonts w:cstheme="minorHAnsi"/>
        </w:rPr>
        <w:t>Chikritzhs</w:t>
      </w:r>
      <w:proofErr w:type="spellEnd"/>
      <w:r w:rsidRPr="00FE75CD">
        <w:rPr>
          <w:rFonts w:cstheme="minorHAnsi"/>
        </w:rPr>
        <w:t>, T., &amp; Room, R. (2007). Changing the density of alcohol</w:t>
      </w:r>
      <w:r w:rsidR="00DA32CF" w:rsidRPr="00FE75CD">
        <w:rPr>
          <w:rFonts w:cstheme="minorHAnsi"/>
        </w:rPr>
        <w:t xml:space="preserve"> </w:t>
      </w:r>
      <w:r w:rsidRPr="00FE75CD">
        <w:rPr>
          <w:rFonts w:cstheme="minorHAnsi"/>
        </w:rPr>
        <w:t xml:space="preserve">outlets to reduce alcohol-related problems. </w:t>
      </w:r>
      <w:r w:rsidRPr="00FE75CD">
        <w:rPr>
          <w:rFonts w:cstheme="minorHAnsi"/>
          <w:i/>
          <w:iCs/>
        </w:rPr>
        <w:t>Drug and Alcohol Review</w:t>
      </w:r>
      <w:r w:rsidRPr="00FE75CD">
        <w:rPr>
          <w:rFonts w:cstheme="minorHAnsi"/>
        </w:rPr>
        <w:t xml:space="preserve">, </w:t>
      </w:r>
      <w:r w:rsidRPr="00FE75CD">
        <w:rPr>
          <w:rFonts w:cstheme="minorHAnsi"/>
          <w:i/>
          <w:iCs/>
        </w:rPr>
        <w:t>26</w:t>
      </w:r>
      <w:r w:rsidRPr="00FE75CD">
        <w:rPr>
          <w:rFonts w:cstheme="minorHAnsi"/>
        </w:rPr>
        <w:t>,</w:t>
      </w:r>
      <w:r w:rsidR="00DA32CF" w:rsidRPr="00FE75CD">
        <w:rPr>
          <w:rFonts w:cstheme="minorHAnsi"/>
        </w:rPr>
        <w:t xml:space="preserve"> </w:t>
      </w:r>
      <w:r w:rsidRPr="00FE75CD">
        <w:rPr>
          <w:rFonts w:cstheme="minorHAnsi"/>
        </w:rPr>
        <w:t>557-566.</w:t>
      </w:r>
    </w:p>
    <w:p w14:paraId="63B421B9" w14:textId="507A365A" w:rsidR="00DA6E5A" w:rsidRPr="00FE75CD" w:rsidRDefault="00DA6E5A" w:rsidP="00FE75CD">
      <w:pPr>
        <w:pStyle w:val="NoSpacing"/>
        <w:ind w:left="720" w:hanging="720"/>
        <w:rPr>
          <w:rFonts w:cstheme="minorHAnsi"/>
        </w:rPr>
      </w:pPr>
      <w:r w:rsidRPr="00FE75CD">
        <w:rPr>
          <w:rFonts w:cstheme="minorHAnsi"/>
        </w:rPr>
        <w:t>Lorraine, C. R., Quigley, B., &amp; Leonard, K. E. (2007). Women’s physical aggression</w:t>
      </w:r>
      <w:r w:rsidR="00DA32CF" w:rsidRPr="00FE75CD">
        <w:rPr>
          <w:rFonts w:cstheme="minorHAnsi"/>
        </w:rPr>
        <w:t xml:space="preserve"> </w:t>
      </w:r>
      <w:r w:rsidRPr="00FE75CD">
        <w:rPr>
          <w:rFonts w:cstheme="minorHAnsi"/>
        </w:rPr>
        <w:t>in bars: An event-based examination of precipitants and predictors of severity.</w:t>
      </w:r>
      <w:r w:rsidR="00DA32CF" w:rsidRPr="00FE75CD">
        <w:rPr>
          <w:rFonts w:cstheme="minorHAnsi"/>
        </w:rPr>
        <w:t xml:space="preserve"> </w:t>
      </w:r>
      <w:r w:rsidRPr="00FE75CD">
        <w:rPr>
          <w:rFonts w:cstheme="minorHAnsi"/>
          <w:i/>
          <w:iCs/>
        </w:rPr>
        <w:t>Aggressive Behavior</w:t>
      </w:r>
      <w:r w:rsidRPr="00FE75CD">
        <w:rPr>
          <w:rFonts w:cstheme="minorHAnsi"/>
        </w:rPr>
        <w:t xml:space="preserve">, </w:t>
      </w:r>
      <w:r w:rsidRPr="00FE75CD">
        <w:rPr>
          <w:rFonts w:cstheme="minorHAnsi"/>
          <w:i/>
          <w:iCs/>
        </w:rPr>
        <w:t>33</w:t>
      </w:r>
      <w:r w:rsidRPr="00FE75CD">
        <w:rPr>
          <w:rFonts w:cstheme="minorHAnsi"/>
        </w:rPr>
        <w:t>, 304-313.</w:t>
      </w:r>
    </w:p>
    <w:p w14:paraId="6E040DDE" w14:textId="635B7292" w:rsidR="00DA6E5A" w:rsidRPr="00FE75CD" w:rsidRDefault="00DA6E5A" w:rsidP="00FE75CD">
      <w:pPr>
        <w:pStyle w:val="NoSpacing"/>
        <w:ind w:left="720" w:hanging="720"/>
        <w:rPr>
          <w:rFonts w:cstheme="minorHAnsi"/>
        </w:rPr>
      </w:pPr>
      <w:r w:rsidRPr="00FE75CD">
        <w:rPr>
          <w:rFonts w:cstheme="minorHAnsi"/>
        </w:rPr>
        <w:t>Nielsen, A. L., Hill, T. D., French, M. T., &amp; Hernandez, M. N. (2010). Racial/ethnic</w:t>
      </w:r>
      <w:r w:rsidR="00DA32CF" w:rsidRPr="00FE75CD">
        <w:rPr>
          <w:rFonts w:cstheme="minorHAnsi"/>
        </w:rPr>
        <w:t xml:space="preserve"> </w:t>
      </w:r>
      <w:r w:rsidRPr="00FE75CD">
        <w:rPr>
          <w:rFonts w:cstheme="minorHAnsi"/>
        </w:rPr>
        <w:t>composition, social disorganization, and offsite alcohol availability in San Diego</w:t>
      </w:r>
      <w:r w:rsidR="00DA32CF" w:rsidRPr="00FE75CD">
        <w:rPr>
          <w:rFonts w:cstheme="minorHAnsi"/>
        </w:rPr>
        <w:t xml:space="preserve"> </w:t>
      </w:r>
      <w:r w:rsidRPr="00FE75CD">
        <w:rPr>
          <w:rFonts w:cstheme="minorHAnsi"/>
        </w:rPr>
        <w:t xml:space="preserve">County, California. </w:t>
      </w:r>
      <w:r w:rsidRPr="00FE75CD">
        <w:rPr>
          <w:rFonts w:cstheme="minorHAnsi"/>
          <w:i/>
          <w:iCs/>
        </w:rPr>
        <w:t>Social Science Research</w:t>
      </w:r>
      <w:r w:rsidRPr="00FE75CD">
        <w:rPr>
          <w:rFonts w:cstheme="minorHAnsi"/>
        </w:rPr>
        <w:t xml:space="preserve">, </w:t>
      </w:r>
      <w:r w:rsidRPr="00FE75CD">
        <w:rPr>
          <w:rFonts w:cstheme="minorHAnsi"/>
          <w:i/>
          <w:iCs/>
        </w:rPr>
        <w:t>39</w:t>
      </w:r>
      <w:r w:rsidRPr="00FE75CD">
        <w:rPr>
          <w:rFonts w:cstheme="minorHAnsi"/>
        </w:rPr>
        <w:t>, 165-175.</w:t>
      </w:r>
    </w:p>
    <w:p w14:paraId="105413CB" w14:textId="4D1A72C8" w:rsidR="00DA6E5A" w:rsidRPr="00FE75CD" w:rsidRDefault="00DA6E5A" w:rsidP="00FE75CD">
      <w:pPr>
        <w:pStyle w:val="NoSpacing"/>
        <w:ind w:left="720" w:hanging="720"/>
        <w:rPr>
          <w:rFonts w:cstheme="minorHAnsi"/>
        </w:rPr>
      </w:pPr>
      <w:r w:rsidRPr="00FE75CD">
        <w:rPr>
          <w:rFonts w:cstheme="minorHAnsi"/>
        </w:rPr>
        <w:lastRenderedPageBreak/>
        <w:t xml:space="preserve">O’Keefe, M., &amp; </w:t>
      </w:r>
      <w:proofErr w:type="spellStart"/>
      <w:r w:rsidRPr="00FE75CD">
        <w:rPr>
          <w:rFonts w:cstheme="minorHAnsi"/>
        </w:rPr>
        <w:t>Treister</w:t>
      </w:r>
      <w:proofErr w:type="spellEnd"/>
      <w:r w:rsidRPr="00FE75CD">
        <w:rPr>
          <w:rFonts w:cstheme="minorHAnsi"/>
        </w:rPr>
        <w:t>, L. (1998). Victims of dating violence among high school</w:t>
      </w:r>
      <w:r w:rsidR="00DA32CF" w:rsidRPr="00FE75CD">
        <w:rPr>
          <w:rFonts w:cstheme="minorHAnsi"/>
        </w:rPr>
        <w:t xml:space="preserve"> </w:t>
      </w:r>
      <w:r w:rsidRPr="00FE75CD">
        <w:rPr>
          <w:rFonts w:cstheme="minorHAnsi"/>
        </w:rPr>
        <w:t xml:space="preserve">students: Are the predictors different for males and females? </w:t>
      </w:r>
      <w:r w:rsidRPr="00FE75CD">
        <w:rPr>
          <w:rFonts w:cstheme="minorHAnsi"/>
          <w:i/>
          <w:iCs/>
        </w:rPr>
        <w:t>Violence Against</w:t>
      </w:r>
      <w:r w:rsidR="00DA32CF" w:rsidRPr="00FE75CD">
        <w:rPr>
          <w:rFonts w:cstheme="minorHAnsi"/>
          <w:i/>
          <w:iCs/>
        </w:rPr>
        <w:t xml:space="preserve"> </w:t>
      </w:r>
      <w:r w:rsidRPr="00FE75CD">
        <w:rPr>
          <w:rFonts w:cstheme="minorHAnsi"/>
          <w:i/>
          <w:iCs/>
        </w:rPr>
        <w:t>Women</w:t>
      </w:r>
      <w:r w:rsidRPr="00FE75CD">
        <w:rPr>
          <w:rFonts w:cstheme="minorHAnsi"/>
        </w:rPr>
        <w:t xml:space="preserve">, </w:t>
      </w:r>
      <w:r w:rsidRPr="00FE75CD">
        <w:rPr>
          <w:rFonts w:cstheme="minorHAnsi"/>
          <w:i/>
          <w:iCs/>
        </w:rPr>
        <w:t>4</w:t>
      </w:r>
      <w:r w:rsidRPr="00FE75CD">
        <w:rPr>
          <w:rFonts w:cstheme="minorHAnsi"/>
        </w:rPr>
        <w:t>, 195-223.</w:t>
      </w:r>
    </w:p>
    <w:p w14:paraId="70B15265" w14:textId="19F7026E" w:rsidR="00DA6E5A" w:rsidRPr="00FE75CD" w:rsidRDefault="00DA6E5A" w:rsidP="00FE75CD">
      <w:pPr>
        <w:pStyle w:val="NoSpacing"/>
        <w:ind w:left="720" w:hanging="720"/>
        <w:rPr>
          <w:rFonts w:cstheme="minorHAnsi"/>
        </w:rPr>
      </w:pPr>
      <w:r w:rsidRPr="00FE75CD">
        <w:rPr>
          <w:rFonts w:cstheme="minorHAnsi"/>
        </w:rPr>
        <w:t xml:space="preserve">Parker, D. A., &amp; </w:t>
      </w:r>
      <w:proofErr w:type="spellStart"/>
      <w:r w:rsidRPr="00FE75CD">
        <w:rPr>
          <w:rFonts w:cstheme="minorHAnsi"/>
        </w:rPr>
        <w:t>Wolz</w:t>
      </w:r>
      <w:proofErr w:type="spellEnd"/>
      <w:r w:rsidRPr="00FE75CD">
        <w:rPr>
          <w:rFonts w:cstheme="minorHAnsi"/>
        </w:rPr>
        <w:t>, M. W. (1979). Alcohol problems and the availability of alcohol.</w:t>
      </w:r>
      <w:r w:rsidR="00DA32CF" w:rsidRPr="00FE75CD">
        <w:rPr>
          <w:rFonts w:cstheme="minorHAnsi"/>
        </w:rPr>
        <w:t xml:space="preserve"> </w:t>
      </w:r>
      <w:r w:rsidRPr="00FE75CD">
        <w:rPr>
          <w:rFonts w:cstheme="minorHAnsi"/>
          <w:i/>
          <w:iCs/>
        </w:rPr>
        <w:t>Alcohol Clinical Experimental Research</w:t>
      </w:r>
      <w:r w:rsidRPr="00FE75CD">
        <w:rPr>
          <w:rFonts w:cstheme="minorHAnsi"/>
        </w:rPr>
        <w:t xml:space="preserve">, </w:t>
      </w:r>
      <w:r w:rsidRPr="00FE75CD">
        <w:rPr>
          <w:rFonts w:cstheme="minorHAnsi"/>
          <w:i/>
          <w:iCs/>
        </w:rPr>
        <w:t>3</w:t>
      </w:r>
      <w:r w:rsidRPr="00FE75CD">
        <w:rPr>
          <w:rFonts w:cstheme="minorHAnsi"/>
        </w:rPr>
        <w:t>, 309-312.</w:t>
      </w:r>
      <w:r w:rsidR="00DA32CF" w:rsidRPr="00FE75CD">
        <w:rPr>
          <w:rFonts w:cstheme="minorHAnsi"/>
        </w:rPr>
        <w:t xml:space="preserve"> </w:t>
      </w:r>
    </w:p>
    <w:p w14:paraId="32317638" w14:textId="5DED7B60" w:rsidR="00DA6E5A" w:rsidRPr="00FE75CD" w:rsidRDefault="00DA6E5A" w:rsidP="00FE75CD">
      <w:pPr>
        <w:pStyle w:val="NoSpacing"/>
        <w:ind w:left="720" w:hanging="720"/>
        <w:rPr>
          <w:rFonts w:cstheme="minorHAnsi"/>
        </w:rPr>
      </w:pPr>
      <w:r w:rsidRPr="00FE75CD">
        <w:rPr>
          <w:rFonts w:cstheme="minorHAnsi"/>
        </w:rPr>
        <w:t xml:space="preserve">Paternoster, R., </w:t>
      </w:r>
      <w:proofErr w:type="spellStart"/>
      <w:r w:rsidRPr="00FE75CD">
        <w:rPr>
          <w:rFonts w:cstheme="minorHAnsi"/>
        </w:rPr>
        <w:t>Brame</w:t>
      </w:r>
      <w:proofErr w:type="spellEnd"/>
      <w:r w:rsidRPr="00FE75CD">
        <w:rPr>
          <w:rFonts w:cstheme="minorHAnsi"/>
        </w:rPr>
        <w:t>, R., Mazerolle, P., &amp; Piquero, A. (1998). Using the correct statistical</w:t>
      </w:r>
      <w:r w:rsidR="00DA32CF" w:rsidRPr="00FE75CD">
        <w:rPr>
          <w:rFonts w:cstheme="minorHAnsi"/>
        </w:rPr>
        <w:t xml:space="preserve"> </w:t>
      </w:r>
      <w:r w:rsidRPr="00FE75CD">
        <w:rPr>
          <w:rFonts w:cstheme="minorHAnsi"/>
        </w:rPr>
        <w:t xml:space="preserve">test for the equality of regression coefficients. </w:t>
      </w:r>
      <w:r w:rsidRPr="00FE75CD">
        <w:rPr>
          <w:rFonts w:cstheme="minorHAnsi"/>
          <w:i/>
          <w:iCs/>
        </w:rPr>
        <w:t>Criminology</w:t>
      </w:r>
      <w:r w:rsidRPr="00FE75CD">
        <w:rPr>
          <w:rFonts w:cstheme="minorHAnsi"/>
        </w:rPr>
        <w:t xml:space="preserve">, </w:t>
      </w:r>
      <w:r w:rsidRPr="00FE75CD">
        <w:rPr>
          <w:rFonts w:cstheme="minorHAnsi"/>
          <w:i/>
          <w:iCs/>
        </w:rPr>
        <w:t>36</w:t>
      </w:r>
      <w:r w:rsidRPr="00FE75CD">
        <w:rPr>
          <w:rFonts w:cstheme="minorHAnsi"/>
        </w:rPr>
        <w:t>, 859-866.</w:t>
      </w:r>
    </w:p>
    <w:p w14:paraId="7BE6BCA2" w14:textId="77777777" w:rsidR="00DA32CF" w:rsidRPr="00FE75CD" w:rsidRDefault="00DA6E5A" w:rsidP="00FE75CD">
      <w:pPr>
        <w:pStyle w:val="NoSpacing"/>
        <w:ind w:left="720" w:hanging="720"/>
        <w:rPr>
          <w:rFonts w:cstheme="minorHAnsi"/>
        </w:rPr>
      </w:pPr>
      <w:proofErr w:type="spellStart"/>
      <w:r w:rsidRPr="00FE75CD">
        <w:rPr>
          <w:rFonts w:cstheme="minorHAnsi"/>
        </w:rPr>
        <w:t>Pernanen</w:t>
      </w:r>
      <w:proofErr w:type="spellEnd"/>
      <w:r w:rsidRPr="00FE75CD">
        <w:rPr>
          <w:rFonts w:cstheme="minorHAnsi"/>
        </w:rPr>
        <w:t>, K. (1993). Research approaches in the study of alcohol-related violence.</w:t>
      </w:r>
      <w:r w:rsidR="00DA32CF" w:rsidRPr="00FE75CD">
        <w:rPr>
          <w:rFonts w:cstheme="minorHAnsi"/>
        </w:rPr>
        <w:t xml:space="preserve"> </w:t>
      </w:r>
      <w:r w:rsidRPr="00FE75CD">
        <w:rPr>
          <w:rFonts w:cstheme="minorHAnsi"/>
          <w:i/>
          <w:iCs/>
        </w:rPr>
        <w:t>Alcohol Research &amp; Health</w:t>
      </w:r>
      <w:r w:rsidRPr="00FE75CD">
        <w:rPr>
          <w:rFonts w:cstheme="minorHAnsi"/>
        </w:rPr>
        <w:t xml:space="preserve">, </w:t>
      </w:r>
      <w:r w:rsidRPr="00FE75CD">
        <w:rPr>
          <w:rFonts w:cstheme="minorHAnsi"/>
          <w:i/>
          <w:iCs/>
        </w:rPr>
        <w:t>17</w:t>
      </w:r>
      <w:r w:rsidRPr="00FE75CD">
        <w:rPr>
          <w:rFonts w:cstheme="minorHAnsi"/>
        </w:rPr>
        <w:t>, 101-107.</w:t>
      </w:r>
      <w:r w:rsidR="00DA32CF" w:rsidRPr="00FE75CD">
        <w:rPr>
          <w:rFonts w:cstheme="minorHAnsi"/>
        </w:rPr>
        <w:t xml:space="preserve"> </w:t>
      </w:r>
    </w:p>
    <w:p w14:paraId="14A09AD9" w14:textId="2D040D19" w:rsidR="00DA6E5A" w:rsidRPr="00FE75CD" w:rsidRDefault="00DA6E5A" w:rsidP="00FE75CD">
      <w:pPr>
        <w:pStyle w:val="NoSpacing"/>
        <w:ind w:left="720" w:hanging="720"/>
        <w:rPr>
          <w:rFonts w:cstheme="minorHAnsi"/>
        </w:rPr>
      </w:pPr>
      <w:proofErr w:type="spellStart"/>
      <w:r w:rsidRPr="00FE75CD">
        <w:rPr>
          <w:rFonts w:cstheme="minorHAnsi"/>
        </w:rPr>
        <w:t>Pridemore</w:t>
      </w:r>
      <w:proofErr w:type="spellEnd"/>
      <w:r w:rsidRPr="00FE75CD">
        <w:rPr>
          <w:rFonts w:cstheme="minorHAnsi"/>
        </w:rPr>
        <w:t>, W. A., &amp; Grubesic, T. (2013). Alcohol outlets and community levels of</w:t>
      </w:r>
      <w:r w:rsidR="00DA32CF" w:rsidRPr="00FE75CD">
        <w:rPr>
          <w:rFonts w:cstheme="minorHAnsi"/>
        </w:rPr>
        <w:t xml:space="preserve"> </w:t>
      </w:r>
      <w:r w:rsidRPr="00FE75CD">
        <w:rPr>
          <w:rFonts w:cstheme="minorHAnsi"/>
        </w:rPr>
        <w:t>interpersonal violence: Spatial density, type of outlet, and seriousness of assault.</w:t>
      </w:r>
      <w:r w:rsidR="00DA32CF" w:rsidRPr="00FE75CD">
        <w:rPr>
          <w:rFonts w:cstheme="minorHAnsi"/>
        </w:rPr>
        <w:t xml:space="preserve"> </w:t>
      </w:r>
      <w:r w:rsidRPr="00FE75CD">
        <w:rPr>
          <w:rFonts w:cstheme="minorHAnsi"/>
          <w:i/>
          <w:iCs/>
        </w:rPr>
        <w:t>Journal of Research in Crime and Delinquency</w:t>
      </w:r>
      <w:r w:rsidRPr="00FE75CD">
        <w:rPr>
          <w:rFonts w:cstheme="minorHAnsi"/>
        </w:rPr>
        <w:t xml:space="preserve">, </w:t>
      </w:r>
      <w:r w:rsidRPr="00FE75CD">
        <w:rPr>
          <w:rFonts w:cstheme="minorHAnsi"/>
          <w:i/>
          <w:iCs/>
        </w:rPr>
        <w:t>50</w:t>
      </w:r>
      <w:r w:rsidRPr="00FE75CD">
        <w:rPr>
          <w:rFonts w:cstheme="minorHAnsi"/>
        </w:rPr>
        <w:t>, 132-159.</w:t>
      </w:r>
    </w:p>
    <w:p w14:paraId="5C7F672D" w14:textId="7B165EA1" w:rsidR="00DA6E5A" w:rsidRPr="00FE75CD" w:rsidRDefault="00DA6E5A" w:rsidP="00FE75CD">
      <w:pPr>
        <w:pStyle w:val="NoSpacing"/>
        <w:ind w:left="720" w:hanging="720"/>
        <w:rPr>
          <w:rFonts w:cstheme="minorHAnsi"/>
        </w:rPr>
      </w:pPr>
      <w:proofErr w:type="spellStart"/>
      <w:r w:rsidRPr="00FE75CD">
        <w:rPr>
          <w:rFonts w:cstheme="minorHAnsi"/>
        </w:rPr>
        <w:t>Pridemore</w:t>
      </w:r>
      <w:proofErr w:type="spellEnd"/>
      <w:r w:rsidRPr="00FE75CD">
        <w:rPr>
          <w:rFonts w:cstheme="minorHAnsi"/>
        </w:rPr>
        <w:t>, W. A., &amp; Grubesic, T. H. (2012). A spatial analysis of the moderating</w:t>
      </w:r>
      <w:r w:rsidR="00DA32CF" w:rsidRPr="00FE75CD">
        <w:rPr>
          <w:rFonts w:cstheme="minorHAnsi"/>
        </w:rPr>
        <w:t xml:space="preserve"> </w:t>
      </w:r>
      <w:r w:rsidRPr="00FE75CD">
        <w:rPr>
          <w:rFonts w:cstheme="minorHAnsi"/>
        </w:rPr>
        <w:t>effects of land use on the association between alcohol outlet density and violence</w:t>
      </w:r>
      <w:r w:rsidR="00DA32CF" w:rsidRPr="00FE75CD">
        <w:rPr>
          <w:rFonts w:cstheme="minorHAnsi"/>
        </w:rPr>
        <w:t xml:space="preserve"> </w:t>
      </w:r>
      <w:r w:rsidRPr="00FE75CD">
        <w:rPr>
          <w:rFonts w:cstheme="minorHAnsi"/>
        </w:rPr>
        <w:t xml:space="preserve">in urban areas. </w:t>
      </w:r>
      <w:r w:rsidRPr="00FE75CD">
        <w:rPr>
          <w:rFonts w:cstheme="minorHAnsi"/>
          <w:i/>
          <w:iCs/>
        </w:rPr>
        <w:t>Drug and Alcohol Review</w:t>
      </w:r>
      <w:r w:rsidRPr="00FE75CD">
        <w:rPr>
          <w:rFonts w:cstheme="minorHAnsi"/>
        </w:rPr>
        <w:t xml:space="preserve">, </w:t>
      </w:r>
      <w:r w:rsidRPr="00FE75CD">
        <w:rPr>
          <w:rFonts w:cstheme="minorHAnsi"/>
          <w:i/>
          <w:iCs/>
        </w:rPr>
        <w:t>31</w:t>
      </w:r>
      <w:r w:rsidRPr="00FE75CD">
        <w:rPr>
          <w:rFonts w:cstheme="minorHAnsi"/>
        </w:rPr>
        <w:t>, 385-393.</w:t>
      </w:r>
    </w:p>
    <w:p w14:paraId="5CDEDBCC" w14:textId="1C1E37F9" w:rsidR="00DA6E5A" w:rsidRPr="00FE75CD" w:rsidRDefault="00DA6E5A" w:rsidP="00FE75CD">
      <w:pPr>
        <w:pStyle w:val="NoSpacing"/>
        <w:ind w:left="720" w:hanging="720"/>
        <w:rPr>
          <w:rFonts w:cstheme="minorHAnsi"/>
        </w:rPr>
      </w:pPr>
      <w:proofErr w:type="spellStart"/>
      <w:r w:rsidRPr="00FE75CD">
        <w:rPr>
          <w:rFonts w:cstheme="minorHAnsi"/>
        </w:rPr>
        <w:t>Pridemore</w:t>
      </w:r>
      <w:proofErr w:type="spellEnd"/>
      <w:r w:rsidRPr="00FE75CD">
        <w:rPr>
          <w:rFonts w:cstheme="minorHAnsi"/>
        </w:rPr>
        <w:t>, W. A., &amp; Snowden, A. J. (2009). Reduction in suicide mortality following</w:t>
      </w:r>
      <w:r w:rsidR="00DA32CF" w:rsidRPr="00FE75CD">
        <w:rPr>
          <w:rFonts w:cstheme="minorHAnsi"/>
        </w:rPr>
        <w:t xml:space="preserve"> </w:t>
      </w:r>
      <w:r w:rsidRPr="00FE75CD">
        <w:rPr>
          <w:rFonts w:cstheme="minorHAnsi"/>
        </w:rPr>
        <w:t>a new national alcohol policy: An interrupted time series analysis of Slovenia.</w:t>
      </w:r>
      <w:r w:rsidR="00DA32CF" w:rsidRPr="00FE75CD">
        <w:rPr>
          <w:rFonts w:cstheme="minorHAnsi"/>
        </w:rPr>
        <w:t xml:space="preserve"> </w:t>
      </w:r>
      <w:r w:rsidRPr="00FE75CD">
        <w:rPr>
          <w:rFonts w:cstheme="minorHAnsi"/>
          <w:i/>
          <w:iCs/>
        </w:rPr>
        <w:t>American Journal of Public Health</w:t>
      </w:r>
      <w:r w:rsidRPr="00FE75CD">
        <w:rPr>
          <w:rFonts w:cstheme="minorHAnsi"/>
        </w:rPr>
        <w:t xml:space="preserve">, </w:t>
      </w:r>
      <w:r w:rsidRPr="00FE75CD">
        <w:rPr>
          <w:rFonts w:cstheme="minorHAnsi"/>
          <w:i/>
          <w:iCs/>
        </w:rPr>
        <w:t>99</w:t>
      </w:r>
      <w:r w:rsidRPr="00FE75CD">
        <w:rPr>
          <w:rFonts w:cstheme="minorHAnsi"/>
        </w:rPr>
        <w:t>, 915-920.</w:t>
      </w:r>
    </w:p>
    <w:p w14:paraId="45C0F416" w14:textId="5899F506" w:rsidR="00DA6E5A" w:rsidRPr="00FE75CD" w:rsidRDefault="00DA6E5A" w:rsidP="00FE75CD">
      <w:pPr>
        <w:pStyle w:val="NoSpacing"/>
        <w:ind w:left="720" w:hanging="720"/>
        <w:rPr>
          <w:rFonts w:cstheme="minorHAnsi"/>
        </w:rPr>
      </w:pPr>
      <w:r w:rsidRPr="00FE75CD">
        <w:rPr>
          <w:rFonts w:cstheme="minorHAnsi"/>
        </w:rPr>
        <w:t xml:space="preserve">Room, R., </w:t>
      </w:r>
      <w:proofErr w:type="spellStart"/>
      <w:r w:rsidRPr="00FE75CD">
        <w:rPr>
          <w:rFonts w:cstheme="minorHAnsi"/>
        </w:rPr>
        <w:t>Babor</w:t>
      </w:r>
      <w:proofErr w:type="spellEnd"/>
      <w:r w:rsidRPr="00FE75CD">
        <w:rPr>
          <w:rFonts w:cstheme="minorHAnsi"/>
        </w:rPr>
        <w:t xml:space="preserve">, T., &amp; Rehm, J. (2005). Alcohol and public health. </w:t>
      </w:r>
      <w:r w:rsidRPr="00FE75CD">
        <w:rPr>
          <w:rFonts w:cstheme="minorHAnsi"/>
          <w:i/>
          <w:iCs/>
        </w:rPr>
        <w:t>The Lancet</w:t>
      </w:r>
      <w:r w:rsidRPr="00FE75CD">
        <w:rPr>
          <w:rFonts w:cstheme="minorHAnsi"/>
        </w:rPr>
        <w:t xml:space="preserve">, </w:t>
      </w:r>
      <w:r w:rsidRPr="00FE75CD">
        <w:rPr>
          <w:rFonts w:cstheme="minorHAnsi"/>
          <w:i/>
          <w:iCs/>
        </w:rPr>
        <w:t>365</w:t>
      </w:r>
      <w:r w:rsidRPr="00FE75CD">
        <w:rPr>
          <w:rFonts w:cstheme="minorHAnsi"/>
        </w:rPr>
        <w:t>,</w:t>
      </w:r>
      <w:r w:rsidR="00DA32CF" w:rsidRPr="00FE75CD">
        <w:rPr>
          <w:rFonts w:cstheme="minorHAnsi"/>
        </w:rPr>
        <w:t xml:space="preserve"> </w:t>
      </w:r>
      <w:r w:rsidRPr="00FE75CD">
        <w:rPr>
          <w:rFonts w:cstheme="minorHAnsi"/>
        </w:rPr>
        <w:t>519-530.</w:t>
      </w:r>
    </w:p>
    <w:p w14:paraId="7B2FA1A9" w14:textId="43407B9F" w:rsidR="00DA6E5A" w:rsidRPr="00FE75CD" w:rsidRDefault="00DA6E5A" w:rsidP="00FE75CD">
      <w:pPr>
        <w:pStyle w:val="NoSpacing"/>
        <w:ind w:left="720" w:hanging="720"/>
        <w:rPr>
          <w:rFonts w:cstheme="minorHAnsi"/>
        </w:rPr>
      </w:pPr>
      <w:r w:rsidRPr="00FE75CD">
        <w:rPr>
          <w:rFonts w:cstheme="minorHAnsi"/>
        </w:rPr>
        <w:t xml:space="preserve">Rowland, B., </w:t>
      </w:r>
      <w:proofErr w:type="spellStart"/>
      <w:r w:rsidRPr="00FE75CD">
        <w:rPr>
          <w:rFonts w:cstheme="minorHAnsi"/>
        </w:rPr>
        <w:t>Toumbourou</w:t>
      </w:r>
      <w:proofErr w:type="spellEnd"/>
      <w:r w:rsidRPr="00FE75CD">
        <w:rPr>
          <w:rFonts w:cstheme="minorHAnsi"/>
        </w:rPr>
        <w:t xml:space="preserve">, J. W., </w:t>
      </w:r>
      <w:proofErr w:type="spellStart"/>
      <w:r w:rsidRPr="00FE75CD">
        <w:rPr>
          <w:rFonts w:cstheme="minorHAnsi"/>
        </w:rPr>
        <w:t>Satyen</w:t>
      </w:r>
      <w:proofErr w:type="spellEnd"/>
      <w:r w:rsidRPr="00FE75CD">
        <w:rPr>
          <w:rFonts w:cstheme="minorHAnsi"/>
        </w:rPr>
        <w:t>, L., Tooley, G., Hall, J., Livingston, M., &amp;</w:t>
      </w:r>
      <w:r w:rsidR="00DA32CF" w:rsidRPr="00FE75CD">
        <w:rPr>
          <w:rFonts w:cstheme="minorHAnsi"/>
        </w:rPr>
        <w:t xml:space="preserve"> </w:t>
      </w:r>
      <w:r w:rsidRPr="00FE75CD">
        <w:rPr>
          <w:rFonts w:cstheme="minorHAnsi"/>
        </w:rPr>
        <w:t>Williams, J. (2014). Associations between alcohol outlet densities and adolescent</w:t>
      </w:r>
      <w:r w:rsidR="00DA32CF" w:rsidRPr="00FE75CD">
        <w:rPr>
          <w:rFonts w:cstheme="minorHAnsi"/>
        </w:rPr>
        <w:t xml:space="preserve"> </w:t>
      </w:r>
      <w:r w:rsidRPr="00FE75CD">
        <w:rPr>
          <w:rFonts w:cstheme="minorHAnsi"/>
        </w:rPr>
        <w:t xml:space="preserve">alcohol consumption: A study in Australian students. </w:t>
      </w:r>
      <w:r w:rsidRPr="00FE75CD">
        <w:rPr>
          <w:rFonts w:cstheme="minorHAnsi"/>
          <w:i/>
          <w:iCs/>
        </w:rPr>
        <w:t>Addictive Behaviors</w:t>
      </w:r>
      <w:r w:rsidRPr="00FE75CD">
        <w:rPr>
          <w:rFonts w:cstheme="minorHAnsi"/>
        </w:rPr>
        <w:t xml:space="preserve">, </w:t>
      </w:r>
      <w:r w:rsidRPr="00FE75CD">
        <w:rPr>
          <w:rFonts w:cstheme="minorHAnsi"/>
          <w:i/>
          <w:iCs/>
        </w:rPr>
        <w:t>39</w:t>
      </w:r>
      <w:r w:rsidRPr="00FE75CD">
        <w:rPr>
          <w:rFonts w:cstheme="minorHAnsi"/>
        </w:rPr>
        <w:t>,</w:t>
      </w:r>
      <w:r w:rsidR="00DA32CF" w:rsidRPr="00FE75CD">
        <w:rPr>
          <w:rFonts w:cstheme="minorHAnsi"/>
        </w:rPr>
        <w:t xml:space="preserve"> </w:t>
      </w:r>
      <w:r w:rsidRPr="00FE75CD">
        <w:rPr>
          <w:rFonts w:cstheme="minorHAnsi"/>
        </w:rPr>
        <w:t>282-288.</w:t>
      </w:r>
    </w:p>
    <w:p w14:paraId="52D1825C" w14:textId="77777777" w:rsidR="00DA32CF" w:rsidRPr="00FE75CD" w:rsidRDefault="00DA6E5A" w:rsidP="00FE75CD">
      <w:pPr>
        <w:pStyle w:val="NoSpacing"/>
        <w:ind w:left="720" w:hanging="720"/>
        <w:rPr>
          <w:rFonts w:cstheme="minorHAnsi"/>
        </w:rPr>
      </w:pPr>
      <w:r w:rsidRPr="00FE75CD">
        <w:rPr>
          <w:rFonts w:cstheme="minorHAnsi"/>
        </w:rPr>
        <w:t>Sampson, R. J. (1986). Crime in cities: The effects of formal and informal social control.</w:t>
      </w:r>
      <w:r w:rsidR="00DA32CF" w:rsidRPr="00FE75CD">
        <w:rPr>
          <w:rFonts w:cstheme="minorHAnsi"/>
        </w:rPr>
        <w:t xml:space="preserve"> </w:t>
      </w:r>
      <w:r w:rsidRPr="00FE75CD">
        <w:rPr>
          <w:rFonts w:cstheme="minorHAnsi"/>
          <w:i/>
          <w:iCs/>
        </w:rPr>
        <w:t>Crime and Justice</w:t>
      </w:r>
      <w:r w:rsidRPr="00FE75CD">
        <w:rPr>
          <w:rFonts w:cstheme="minorHAnsi"/>
        </w:rPr>
        <w:t xml:space="preserve">, </w:t>
      </w:r>
      <w:r w:rsidRPr="00FE75CD">
        <w:rPr>
          <w:rFonts w:cstheme="minorHAnsi"/>
          <w:i/>
          <w:iCs/>
        </w:rPr>
        <w:t>8</w:t>
      </w:r>
      <w:r w:rsidRPr="00FE75CD">
        <w:rPr>
          <w:rFonts w:cstheme="minorHAnsi"/>
        </w:rPr>
        <w:t>, 271-311.</w:t>
      </w:r>
      <w:r w:rsidR="00DA32CF" w:rsidRPr="00FE75CD">
        <w:rPr>
          <w:rFonts w:cstheme="minorHAnsi"/>
        </w:rPr>
        <w:t xml:space="preserve"> </w:t>
      </w:r>
    </w:p>
    <w:p w14:paraId="20848805" w14:textId="2C2C3C76" w:rsidR="00DA6E5A" w:rsidRPr="00FE75CD" w:rsidRDefault="00DA6E5A" w:rsidP="00FE75CD">
      <w:pPr>
        <w:pStyle w:val="NoSpacing"/>
        <w:ind w:left="720" w:hanging="720"/>
        <w:rPr>
          <w:rFonts w:cstheme="minorHAnsi"/>
        </w:rPr>
      </w:pPr>
      <w:r w:rsidRPr="00FE75CD">
        <w:rPr>
          <w:rFonts w:cstheme="minorHAnsi"/>
        </w:rPr>
        <w:t>Sampson, R. J., &amp; Groves, W. B. (1989). Community structure and crime: Testing</w:t>
      </w:r>
      <w:r w:rsidR="005C7E54" w:rsidRPr="00FE75CD">
        <w:rPr>
          <w:rFonts w:cstheme="minorHAnsi"/>
        </w:rPr>
        <w:t xml:space="preserve"> </w:t>
      </w:r>
      <w:r w:rsidRPr="00FE75CD">
        <w:rPr>
          <w:rFonts w:cstheme="minorHAnsi"/>
        </w:rPr>
        <w:t xml:space="preserve">social-disorganization theory. </w:t>
      </w:r>
      <w:r w:rsidRPr="00FE75CD">
        <w:rPr>
          <w:rFonts w:cstheme="minorHAnsi"/>
          <w:i/>
          <w:iCs/>
        </w:rPr>
        <w:t>American Journal of Sociology</w:t>
      </w:r>
      <w:r w:rsidRPr="00FE75CD">
        <w:rPr>
          <w:rFonts w:cstheme="minorHAnsi"/>
        </w:rPr>
        <w:t xml:space="preserve">, </w:t>
      </w:r>
      <w:r w:rsidRPr="00FE75CD">
        <w:rPr>
          <w:rFonts w:cstheme="minorHAnsi"/>
          <w:i/>
          <w:iCs/>
        </w:rPr>
        <w:t>94</w:t>
      </w:r>
      <w:r w:rsidRPr="00FE75CD">
        <w:rPr>
          <w:rFonts w:cstheme="minorHAnsi"/>
        </w:rPr>
        <w:t>, 774-802.</w:t>
      </w:r>
    </w:p>
    <w:p w14:paraId="186B92B6" w14:textId="305D0B15" w:rsidR="00DA6E5A" w:rsidRPr="00FE75CD" w:rsidRDefault="00DA6E5A" w:rsidP="00FE75CD">
      <w:pPr>
        <w:pStyle w:val="NoSpacing"/>
        <w:ind w:left="720" w:hanging="720"/>
        <w:rPr>
          <w:rFonts w:cstheme="minorHAnsi"/>
        </w:rPr>
      </w:pPr>
      <w:r w:rsidRPr="00FE75CD">
        <w:rPr>
          <w:rFonts w:cstheme="minorHAnsi"/>
        </w:rPr>
        <w:t xml:space="preserve">Sampson, R. J., &amp; </w:t>
      </w:r>
      <w:proofErr w:type="spellStart"/>
      <w:r w:rsidRPr="00FE75CD">
        <w:rPr>
          <w:rFonts w:cstheme="minorHAnsi"/>
        </w:rPr>
        <w:t>Raudenbush</w:t>
      </w:r>
      <w:proofErr w:type="spellEnd"/>
      <w:r w:rsidRPr="00FE75CD">
        <w:rPr>
          <w:rFonts w:cstheme="minorHAnsi"/>
        </w:rPr>
        <w:t>, S. W. (2004). Seeing disorder: Neighborhood stigma</w:t>
      </w:r>
      <w:r w:rsidR="005C7E54" w:rsidRPr="00FE75CD">
        <w:rPr>
          <w:rFonts w:cstheme="minorHAnsi"/>
        </w:rPr>
        <w:t xml:space="preserve"> </w:t>
      </w:r>
      <w:r w:rsidRPr="00FE75CD">
        <w:rPr>
          <w:rFonts w:cstheme="minorHAnsi"/>
        </w:rPr>
        <w:t xml:space="preserve">and the social construction of “broken windows”. </w:t>
      </w:r>
      <w:r w:rsidRPr="00FE75CD">
        <w:rPr>
          <w:rFonts w:cstheme="minorHAnsi"/>
          <w:i/>
          <w:iCs/>
        </w:rPr>
        <w:t>Social Psychology Quarterly</w:t>
      </w:r>
      <w:r w:rsidRPr="00FE75CD">
        <w:rPr>
          <w:rFonts w:cstheme="minorHAnsi"/>
        </w:rPr>
        <w:t>,</w:t>
      </w:r>
      <w:r w:rsidR="005C7E54" w:rsidRPr="00FE75CD">
        <w:rPr>
          <w:rFonts w:cstheme="minorHAnsi"/>
        </w:rPr>
        <w:t xml:space="preserve"> </w:t>
      </w:r>
      <w:r w:rsidRPr="00FE75CD">
        <w:rPr>
          <w:rFonts w:cstheme="minorHAnsi"/>
          <w:i/>
          <w:iCs/>
        </w:rPr>
        <w:t>67</w:t>
      </w:r>
      <w:r w:rsidRPr="00FE75CD">
        <w:rPr>
          <w:rFonts w:cstheme="minorHAnsi"/>
        </w:rPr>
        <w:t>(4), 319-342.</w:t>
      </w:r>
    </w:p>
    <w:p w14:paraId="6F9370B8" w14:textId="1954BFB2" w:rsidR="00DA6E5A" w:rsidRPr="00FE75CD" w:rsidRDefault="00DA6E5A" w:rsidP="00FE75CD">
      <w:pPr>
        <w:pStyle w:val="NoSpacing"/>
        <w:ind w:left="720" w:hanging="720"/>
        <w:rPr>
          <w:rFonts w:cstheme="minorHAnsi"/>
        </w:rPr>
      </w:pPr>
      <w:r w:rsidRPr="00FE75CD">
        <w:rPr>
          <w:rFonts w:cstheme="minorHAnsi"/>
        </w:rPr>
        <w:t xml:space="preserve">Sampson, R. J., </w:t>
      </w:r>
      <w:proofErr w:type="spellStart"/>
      <w:r w:rsidRPr="00FE75CD">
        <w:rPr>
          <w:rFonts w:cstheme="minorHAnsi"/>
        </w:rPr>
        <w:t>Raudenbush</w:t>
      </w:r>
      <w:proofErr w:type="spellEnd"/>
      <w:r w:rsidRPr="00FE75CD">
        <w:rPr>
          <w:rFonts w:cstheme="minorHAnsi"/>
        </w:rPr>
        <w:t>, S., &amp; Earls, F. (1997). Neighborhoods and violent</w:t>
      </w:r>
      <w:r w:rsidR="001F5361" w:rsidRPr="00FE75CD">
        <w:rPr>
          <w:rFonts w:cstheme="minorHAnsi"/>
        </w:rPr>
        <w:t xml:space="preserve"> </w:t>
      </w:r>
      <w:r w:rsidRPr="00FE75CD">
        <w:rPr>
          <w:rFonts w:cstheme="minorHAnsi"/>
        </w:rPr>
        <w:t xml:space="preserve">crime: A multilevel study of collective efficacy. </w:t>
      </w:r>
      <w:r w:rsidRPr="00FE75CD">
        <w:rPr>
          <w:rFonts w:cstheme="minorHAnsi"/>
          <w:i/>
          <w:iCs/>
        </w:rPr>
        <w:t>Science</w:t>
      </w:r>
      <w:r w:rsidRPr="00FE75CD">
        <w:rPr>
          <w:rFonts w:cstheme="minorHAnsi"/>
        </w:rPr>
        <w:t xml:space="preserve">, </w:t>
      </w:r>
      <w:r w:rsidRPr="00FE75CD">
        <w:rPr>
          <w:rFonts w:cstheme="minorHAnsi"/>
          <w:i/>
          <w:iCs/>
        </w:rPr>
        <w:t>277</w:t>
      </w:r>
      <w:r w:rsidRPr="00FE75CD">
        <w:rPr>
          <w:rFonts w:cstheme="minorHAnsi"/>
        </w:rPr>
        <w:t>, 918-924.</w:t>
      </w:r>
    </w:p>
    <w:p w14:paraId="22E56F7C" w14:textId="429DFACA" w:rsidR="00DA6E5A" w:rsidRPr="00FE75CD" w:rsidRDefault="00DA6E5A" w:rsidP="00FE75CD">
      <w:pPr>
        <w:pStyle w:val="NoSpacing"/>
        <w:ind w:left="720" w:hanging="720"/>
        <w:rPr>
          <w:rFonts w:cstheme="minorHAnsi"/>
        </w:rPr>
      </w:pPr>
      <w:r w:rsidRPr="00FE75CD">
        <w:rPr>
          <w:rFonts w:cstheme="minorHAnsi"/>
        </w:rPr>
        <w:t xml:space="preserve">Sampson, R. J., &amp; </w:t>
      </w:r>
      <w:proofErr w:type="spellStart"/>
      <w:r w:rsidRPr="00FE75CD">
        <w:rPr>
          <w:rFonts w:cstheme="minorHAnsi"/>
        </w:rPr>
        <w:t>Wooldredge</w:t>
      </w:r>
      <w:proofErr w:type="spellEnd"/>
      <w:r w:rsidRPr="00FE75CD">
        <w:rPr>
          <w:rFonts w:cstheme="minorHAnsi"/>
        </w:rPr>
        <w:t>, J. D. (1987). Linking the micro- and macro-level</w:t>
      </w:r>
      <w:r w:rsidR="001F5361" w:rsidRPr="00FE75CD">
        <w:rPr>
          <w:rFonts w:cstheme="minorHAnsi"/>
        </w:rPr>
        <w:t xml:space="preserve"> </w:t>
      </w:r>
      <w:r w:rsidRPr="00FE75CD">
        <w:rPr>
          <w:rFonts w:cstheme="minorHAnsi"/>
        </w:rPr>
        <w:t>dimensions of lifestyle-routine activity and opportunity models of predatory victimization.</w:t>
      </w:r>
      <w:r w:rsidR="001F5361" w:rsidRPr="00FE75CD">
        <w:rPr>
          <w:rFonts w:cstheme="minorHAnsi"/>
        </w:rPr>
        <w:t xml:space="preserve"> </w:t>
      </w:r>
      <w:r w:rsidRPr="00FE75CD">
        <w:rPr>
          <w:rFonts w:cstheme="minorHAnsi"/>
          <w:i/>
          <w:iCs/>
        </w:rPr>
        <w:t>Journal of Quantitative Criminology</w:t>
      </w:r>
      <w:r w:rsidRPr="00FE75CD">
        <w:rPr>
          <w:rFonts w:cstheme="minorHAnsi"/>
        </w:rPr>
        <w:t xml:space="preserve">, </w:t>
      </w:r>
      <w:r w:rsidRPr="00FE75CD">
        <w:rPr>
          <w:rFonts w:cstheme="minorHAnsi"/>
          <w:i/>
          <w:iCs/>
        </w:rPr>
        <w:t>3</w:t>
      </w:r>
      <w:r w:rsidRPr="00FE75CD">
        <w:rPr>
          <w:rFonts w:cstheme="minorHAnsi"/>
        </w:rPr>
        <w:t>, 371-393.</w:t>
      </w:r>
    </w:p>
    <w:p w14:paraId="2EC49F5B" w14:textId="379A179E" w:rsidR="00DA6E5A" w:rsidRPr="00FE75CD" w:rsidRDefault="00DA6E5A" w:rsidP="00FE75CD">
      <w:pPr>
        <w:pStyle w:val="NoSpacing"/>
        <w:ind w:left="720" w:hanging="720"/>
        <w:rPr>
          <w:rFonts w:cstheme="minorHAnsi"/>
        </w:rPr>
      </w:pPr>
      <w:r w:rsidRPr="00FE75CD">
        <w:rPr>
          <w:rFonts w:cstheme="minorHAnsi"/>
        </w:rPr>
        <w:t>Scribner, R. A., Cohen, D., Kaplan, S., &amp; Allen, S. H. (1999). Alcohol availability</w:t>
      </w:r>
      <w:r w:rsidR="001F5361" w:rsidRPr="00FE75CD">
        <w:rPr>
          <w:rFonts w:cstheme="minorHAnsi"/>
        </w:rPr>
        <w:t xml:space="preserve"> </w:t>
      </w:r>
      <w:r w:rsidRPr="00FE75CD">
        <w:rPr>
          <w:rFonts w:cstheme="minorHAnsi"/>
        </w:rPr>
        <w:t>and homicide in New Orleans: Conceptual considerations for small area analysis</w:t>
      </w:r>
      <w:r w:rsidR="001F5361" w:rsidRPr="00FE75CD">
        <w:rPr>
          <w:rFonts w:cstheme="minorHAnsi"/>
        </w:rPr>
        <w:t xml:space="preserve"> </w:t>
      </w:r>
      <w:r w:rsidRPr="00FE75CD">
        <w:rPr>
          <w:rFonts w:cstheme="minorHAnsi"/>
        </w:rPr>
        <w:t xml:space="preserve">of the effect of alcohol outlet density. </w:t>
      </w:r>
      <w:r w:rsidRPr="00FE75CD">
        <w:rPr>
          <w:rFonts w:cstheme="minorHAnsi"/>
          <w:i/>
          <w:iCs/>
        </w:rPr>
        <w:t>Journal of Studies on Alcohol and Drugs</w:t>
      </w:r>
      <w:r w:rsidRPr="00FE75CD">
        <w:rPr>
          <w:rFonts w:cstheme="minorHAnsi"/>
        </w:rPr>
        <w:t>,</w:t>
      </w:r>
      <w:r w:rsidR="001F5361" w:rsidRPr="00FE75CD">
        <w:rPr>
          <w:rFonts w:cstheme="minorHAnsi"/>
        </w:rPr>
        <w:t xml:space="preserve"> </w:t>
      </w:r>
      <w:r w:rsidRPr="00FE75CD">
        <w:rPr>
          <w:rFonts w:cstheme="minorHAnsi"/>
          <w:i/>
          <w:iCs/>
        </w:rPr>
        <w:t>60</w:t>
      </w:r>
      <w:r w:rsidRPr="00FE75CD">
        <w:rPr>
          <w:rFonts w:cstheme="minorHAnsi"/>
        </w:rPr>
        <w:t>, 310-316.</w:t>
      </w:r>
    </w:p>
    <w:p w14:paraId="668CA00D" w14:textId="070FD06B" w:rsidR="00DA6E5A" w:rsidRPr="00FE75CD" w:rsidRDefault="00DA6E5A" w:rsidP="00FE75CD">
      <w:pPr>
        <w:pStyle w:val="NoSpacing"/>
        <w:ind w:left="720" w:hanging="720"/>
        <w:rPr>
          <w:rFonts w:cstheme="minorHAnsi"/>
        </w:rPr>
      </w:pPr>
      <w:r w:rsidRPr="00FE75CD">
        <w:rPr>
          <w:rFonts w:cstheme="minorHAnsi"/>
        </w:rPr>
        <w:t>Scribner, R. A., MacKinnon, D. P., &amp; Dwyer, J. H. (1995). The risk of assaultive</w:t>
      </w:r>
      <w:r w:rsidR="001F5361" w:rsidRPr="00FE75CD">
        <w:rPr>
          <w:rFonts w:cstheme="minorHAnsi"/>
        </w:rPr>
        <w:t xml:space="preserve"> </w:t>
      </w:r>
      <w:r w:rsidRPr="00FE75CD">
        <w:rPr>
          <w:rFonts w:cstheme="minorHAnsi"/>
        </w:rPr>
        <w:t xml:space="preserve">violence and alcohol availability in Los Angeles County. </w:t>
      </w:r>
      <w:r w:rsidRPr="00FE75CD">
        <w:rPr>
          <w:rFonts w:cstheme="minorHAnsi"/>
          <w:i/>
          <w:iCs/>
        </w:rPr>
        <w:t>American Journal of</w:t>
      </w:r>
      <w:r w:rsidR="001F5361" w:rsidRPr="00FE75CD">
        <w:rPr>
          <w:rFonts w:cstheme="minorHAnsi"/>
          <w:i/>
          <w:iCs/>
        </w:rPr>
        <w:t xml:space="preserve"> </w:t>
      </w:r>
      <w:r w:rsidRPr="00FE75CD">
        <w:rPr>
          <w:rFonts w:cstheme="minorHAnsi"/>
          <w:i/>
          <w:iCs/>
        </w:rPr>
        <w:t>Public Health</w:t>
      </w:r>
      <w:r w:rsidRPr="00FE75CD">
        <w:rPr>
          <w:rFonts w:cstheme="minorHAnsi"/>
        </w:rPr>
        <w:t xml:space="preserve">, </w:t>
      </w:r>
      <w:r w:rsidRPr="00FE75CD">
        <w:rPr>
          <w:rFonts w:cstheme="minorHAnsi"/>
          <w:i/>
          <w:iCs/>
        </w:rPr>
        <w:t>85</w:t>
      </w:r>
      <w:r w:rsidRPr="00FE75CD">
        <w:rPr>
          <w:rFonts w:cstheme="minorHAnsi"/>
        </w:rPr>
        <w:t>, 335-340.</w:t>
      </w:r>
    </w:p>
    <w:p w14:paraId="195CA91B" w14:textId="4AB1052C" w:rsidR="00DA6E5A" w:rsidRPr="00FE75CD" w:rsidRDefault="00DA6E5A" w:rsidP="00FE75CD">
      <w:pPr>
        <w:pStyle w:val="NoSpacing"/>
        <w:ind w:left="720" w:hanging="720"/>
        <w:rPr>
          <w:rFonts w:cstheme="minorHAnsi"/>
        </w:rPr>
      </w:pPr>
      <w:r w:rsidRPr="00FE75CD">
        <w:rPr>
          <w:rFonts w:cstheme="minorHAnsi"/>
        </w:rPr>
        <w:t xml:space="preserve">Shaw, C. R., &amp; McKay, H. D. (1942). </w:t>
      </w:r>
      <w:r w:rsidRPr="00FE75CD">
        <w:rPr>
          <w:rFonts w:cstheme="minorHAnsi"/>
          <w:i/>
          <w:iCs/>
        </w:rPr>
        <w:t>Juvenile delinquency and urban areas</w:t>
      </w:r>
      <w:r w:rsidRPr="00FE75CD">
        <w:rPr>
          <w:rFonts w:cstheme="minorHAnsi"/>
        </w:rPr>
        <w:t>. Chicago,</w:t>
      </w:r>
      <w:r w:rsidR="001F5361" w:rsidRPr="00FE75CD">
        <w:rPr>
          <w:rFonts w:cstheme="minorHAnsi"/>
        </w:rPr>
        <w:t xml:space="preserve"> </w:t>
      </w:r>
      <w:r w:rsidRPr="00FE75CD">
        <w:rPr>
          <w:rFonts w:cstheme="minorHAnsi"/>
        </w:rPr>
        <w:t>IL: The University of Chicago Press.</w:t>
      </w:r>
      <w:r w:rsidR="001F5361" w:rsidRPr="00FE75CD">
        <w:rPr>
          <w:rFonts w:cstheme="minorHAnsi"/>
        </w:rPr>
        <w:t xml:space="preserve"> </w:t>
      </w:r>
      <w:r w:rsidRPr="00FE75CD">
        <w:rPr>
          <w:rFonts w:cstheme="minorHAnsi"/>
        </w:rPr>
        <w:t>Snowden, A. J. (2015). The role of alcohol in violence: The individual, small group,</w:t>
      </w:r>
      <w:r w:rsidR="001F5361" w:rsidRPr="00FE75CD">
        <w:rPr>
          <w:rFonts w:cstheme="minorHAnsi"/>
        </w:rPr>
        <w:t xml:space="preserve"> </w:t>
      </w:r>
      <w:r w:rsidRPr="00FE75CD">
        <w:rPr>
          <w:rFonts w:cstheme="minorHAnsi"/>
        </w:rPr>
        <w:t xml:space="preserve">community, and cultural level. </w:t>
      </w:r>
      <w:r w:rsidRPr="00FE75CD">
        <w:rPr>
          <w:rFonts w:cstheme="minorHAnsi"/>
          <w:i/>
          <w:iCs/>
        </w:rPr>
        <w:t>Review of European Studies</w:t>
      </w:r>
      <w:r w:rsidRPr="00FE75CD">
        <w:rPr>
          <w:rFonts w:cstheme="minorHAnsi"/>
        </w:rPr>
        <w:t xml:space="preserve">, </w:t>
      </w:r>
      <w:r w:rsidRPr="00FE75CD">
        <w:rPr>
          <w:rFonts w:cstheme="minorHAnsi"/>
          <w:i/>
          <w:iCs/>
        </w:rPr>
        <w:t>7</w:t>
      </w:r>
      <w:r w:rsidRPr="00FE75CD">
        <w:rPr>
          <w:rFonts w:cstheme="minorHAnsi"/>
        </w:rPr>
        <w:t>, 394-406.</w:t>
      </w:r>
    </w:p>
    <w:p w14:paraId="330DAA71" w14:textId="069A0960" w:rsidR="00DA6E5A" w:rsidRPr="00FE75CD" w:rsidRDefault="00DA6E5A" w:rsidP="00FE75CD">
      <w:pPr>
        <w:pStyle w:val="NoSpacing"/>
        <w:ind w:left="720" w:hanging="720"/>
        <w:rPr>
          <w:rFonts w:cstheme="minorHAnsi"/>
        </w:rPr>
      </w:pPr>
      <w:r w:rsidRPr="00FE75CD">
        <w:rPr>
          <w:rFonts w:cstheme="minorHAnsi"/>
        </w:rPr>
        <w:t>Snowden, A. J. (2016a). Alcohol outlet density and intimate partner violence in a</w:t>
      </w:r>
      <w:r w:rsidR="001F5361" w:rsidRPr="00FE75CD">
        <w:rPr>
          <w:rFonts w:cstheme="minorHAnsi"/>
        </w:rPr>
        <w:t xml:space="preserve"> </w:t>
      </w:r>
      <w:r w:rsidRPr="00FE75CD">
        <w:rPr>
          <w:rFonts w:cstheme="minorHAnsi"/>
        </w:rPr>
        <w:t>non-metropolitan college town: Accounting for neighborhood characteristics and</w:t>
      </w:r>
      <w:r w:rsidR="001F5361" w:rsidRPr="00FE75CD">
        <w:rPr>
          <w:rFonts w:cstheme="minorHAnsi"/>
        </w:rPr>
        <w:t xml:space="preserve"> </w:t>
      </w:r>
      <w:r w:rsidRPr="00FE75CD">
        <w:rPr>
          <w:rFonts w:cstheme="minorHAnsi"/>
        </w:rPr>
        <w:t xml:space="preserve">alcohol outlet types. </w:t>
      </w:r>
      <w:r w:rsidRPr="00FE75CD">
        <w:rPr>
          <w:rFonts w:cstheme="minorHAnsi"/>
          <w:i/>
          <w:iCs/>
        </w:rPr>
        <w:t>Violence and Victims</w:t>
      </w:r>
      <w:r w:rsidRPr="00FE75CD">
        <w:rPr>
          <w:rFonts w:cstheme="minorHAnsi"/>
        </w:rPr>
        <w:t xml:space="preserve">, </w:t>
      </w:r>
      <w:r w:rsidRPr="00FE75CD">
        <w:rPr>
          <w:rFonts w:cstheme="minorHAnsi"/>
          <w:i/>
          <w:iCs/>
        </w:rPr>
        <w:t>37</w:t>
      </w:r>
      <w:r w:rsidRPr="00FE75CD">
        <w:rPr>
          <w:rFonts w:cstheme="minorHAnsi"/>
        </w:rPr>
        <w:t>, 111-123.</w:t>
      </w:r>
    </w:p>
    <w:p w14:paraId="49593D38" w14:textId="00855A05" w:rsidR="00DA6E5A" w:rsidRPr="00FE75CD" w:rsidRDefault="00DA6E5A" w:rsidP="00FE75CD">
      <w:pPr>
        <w:pStyle w:val="NoSpacing"/>
        <w:ind w:left="720" w:hanging="720"/>
        <w:rPr>
          <w:rFonts w:cstheme="minorHAnsi"/>
        </w:rPr>
      </w:pPr>
      <w:r w:rsidRPr="00FE75CD">
        <w:rPr>
          <w:rFonts w:cstheme="minorHAnsi"/>
        </w:rPr>
        <w:t>Snowden, A. J. (2016b). Neighborhood characteristics contribute to urban alcohol</w:t>
      </w:r>
      <w:r w:rsidR="001F5361" w:rsidRPr="00FE75CD">
        <w:rPr>
          <w:rFonts w:cstheme="minorHAnsi"/>
        </w:rPr>
        <w:t xml:space="preserve"> </w:t>
      </w:r>
      <w:r w:rsidRPr="00FE75CD">
        <w:rPr>
          <w:rFonts w:cstheme="minorHAnsi"/>
        </w:rPr>
        <w:t xml:space="preserve">availability: Accounting for race/ethnicity and social disorganization. </w:t>
      </w:r>
      <w:r w:rsidRPr="00FE75CD">
        <w:rPr>
          <w:rFonts w:cstheme="minorHAnsi"/>
          <w:i/>
          <w:iCs/>
        </w:rPr>
        <w:t>Journal of</w:t>
      </w:r>
      <w:r w:rsidR="001F5361" w:rsidRPr="00FE75CD">
        <w:rPr>
          <w:rFonts w:cstheme="minorHAnsi"/>
          <w:i/>
          <w:iCs/>
        </w:rPr>
        <w:t xml:space="preserve"> </w:t>
      </w:r>
      <w:r w:rsidRPr="00FE75CD">
        <w:rPr>
          <w:rFonts w:cstheme="minorHAnsi"/>
          <w:i/>
          <w:iCs/>
        </w:rPr>
        <w:t>Ethnicity in Substance Abuse</w:t>
      </w:r>
      <w:r w:rsidRPr="00FE75CD">
        <w:rPr>
          <w:rFonts w:cstheme="minorHAnsi"/>
        </w:rPr>
        <w:t xml:space="preserve">, </w:t>
      </w:r>
      <w:r w:rsidRPr="00FE75CD">
        <w:rPr>
          <w:rFonts w:cstheme="minorHAnsi"/>
          <w:i/>
          <w:iCs/>
        </w:rPr>
        <w:t>15</w:t>
      </w:r>
      <w:r w:rsidRPr="00FE75CD">
        <w:rPr>
          <w:rFonts w:cstheme="minorHAnsi"/>
        </w:rPr>
        <w:t>, 346-366.</w:t>
      </w:r>
    </w:p>
    <w:p w14:paraId="4DCF7543" w14:textId="566C8B2C" w:rsidR="00DA6E5A" w:rsidRPr="00FE75CD" w:rsidRDefault="00DA6E5A" w:rsidP="00FE75CD">
      <w:pPr>
        <w:pStyle w:val="NoSpacing"/>
        <w:ind w:left="720" w:hanging="720"/>
        <w:rPr>
          <w:rFonts w:cstheme="minorHAnsi"/>
        </w:rPr>
      </w:pPr>
      <w:r w:rsidRPr="00FE75CD">
        <w:rPr>
          <w:rFonts w:cstheme="minorHAnsi"/>
        </w:rPr>
        <w:t xml:space="preserve">Snowden, A. J., &amp; </w:t>
      </w:r>
      <w:proofErr w:type="spellStart"/>
      <w:r w:rsidRPr="00FE75CD">
        <w:rPr>
          <w:rFonts w:cstheme="minorHAnsi"/>
        </w:rPr>
        <w:t>Freiburger</w:t>
      </w:r>
      <w:proofErr w:type="spellEnd"/>
      <w:r w:rsidRPr="00FE75CD">
        <w:rPr>
          <w:rFonts w:cstheme="minorHAnsi"/>
        </w:rPr>
        <w:t>, T. (2015). Alcohol outlets, social disorganization, and</w:t>
      </w:r>
      <w:r w:rsidR="001F5361" w:rsidRPr="00FE75CD">
        <w:rPr>
          <w:rFonts w:cstheme="minorHAnsi"/>
        </w:rPr>
        <w:t xml:space="preserve"> </w:t>
      </w:r>
      <w:r w:rsidRPr="00FE75CD">
        <w:rPr>
          <w:rFonts w:cstheme="minorHAnsi"/>
        </w:rPr>
        <w:t>robberies: Accounting for neighborhood characteristics and alcohol outlet types.</w:t>
      </w:r>
      <w:r w:rsidR="001F5361" w:rsidRPr="00FE75CD">
        <w:rPr>
          <w:rFonts w:cstheme="minorHAnsi"/>
        </w:rPr>
        <w:t xml:space="preserve"> </w:t>
      </w:r>
      <w:r w:rsidRPr="00FE75CD">
        <w:rPr>
          <w:rFonts w:cstheme="minorHAnsi"/>
          <w:i/>
          <w:iCs/>
        </w:rPr>
        <w:t>Social Science Research</w:t>
      </w:r>
      <w:r w:rsidRPr="00FE75CD">
        <w:rPr>
          <w:rFonts w:cstheme="minorHAnsi"/>
        </w:rPr>
        <w:t xml:space="preserve">, </w:t>
      </w:r>
      <w:r w:rsidRPr="00FE75CD">
        <w:rPr>
          <w:rFonts w:cstheme="minorHAnsi"/>
          <w:i/>
          <w:iCs/>
        </w:rPr>
        <w:t>51</w:t>
      </w:r>
      <w:r w:rsidRPr="00FE75CD">
        <w:rPr>
          <w:rFonts w:cstheme="minorHAnsi"/>
        </w:rPr>
        <w:t>, 145-162.</w:t>
      </w:r>
    </w:p>
    <w:p w14:paraId="7023844C" w14:textId="761A304A" w:rsidR="00DA6E5A" w:rsidRPr="00FE75CD" w:rsidRDefault="00DA6E5A" w:rsidP="00FE75CD">
      <w:pPr>
        <w:pStyle w:val="NoSpacing"/>
        <w:ind w:left="720" w:hanging="720"/>
        <w:rPr>
          <w:rFonts w:cstheme="minorHAnsi"/>
        </w:rPr>
      </w:pPr>
      <w:r w:rsidRPr="00FE75CD">
        <w:rPr>
          <w:rFonts w:cstheme="minorHAnsi"/>
        </w:rPr>
        <w:t xml:space="preserve">Snowden, A. J., &amp; </w:t>
      </w:r>
      <w:proofErr w:type="spellStart"/>
      <w:r w:rsidRPr="00FE75CD">
        <w:rPr>
          <w:rFonts w:cstheme="minorHAnsi"/>
        </w:rPr>
        <w:t>Pridemore</w:t>
      </w:r>
      <w:proofErr w:type="spellEnd"/>
      <w:r w:rsidRPr="00FE75CD">
        <w:rPr>
          <w:rFonts w:cstheme="minorHAnsi"/>
        </w:rPr>
        <w:t>, W. A. (2013). Alcohol and violence in a nonmetropolitan</w:t>
      </w:r>
      <w:r w:rsidR="001F5361" w:rsidRPr="00FE75CD">
        <w:rPr>
          <w:rFonts w:cstheme="minorHAnsi"/>
        </w:rPr>
        <w:t xml:space="preserve"> </w:t>
      </w:r>
      <w:r w:rsidRPr="00FE75CD">
        <w:rPr>
          <w:rFonts w:cstheme="minorHAnsi"/>
        </w:rPr>
        <w:t xml:space="preserve">college town alcohol outlet density, outlet type, and assault. </w:t>
      </w:r>
      <w:r w:rsidRPr="00FE75CD">
        <w:rPr>
          <w:rFonts w:cstheme="minorHAnsi"/>
          <w:i/>
          <w:iCs/>
        </w:rPr>
        <w:t>Journal of Drug</w:t>
      </w:r>
      <w:r w:rsidR="001F5361" w:rsidRPr="00FE75CD">
        <w:rPr>
          <w:rFonts w:cstheme="minorHAnsi"/>
          <w:i/>
          <w:iCs/>
        </w:rPr>
        <w:t xml:space="preserve"> </w:t>
      </w:r>
      <w:r w:rsidRPr="00FE75CD">
        <w:rPr>
          <w:rFonts w:cstheme="minorHAnsi"/>
          <w:i/>
          <w:iCs/>
        </w:rPr>
        <w:t>Issues</w:t>
      </w:r>
      <w:r w:rsidRPr="00FE75CD">
        <w:rPr>
          <w:rFonts w:cstheme="minorHAnsi"/>
        </w:rPr>
        <w:t xml:space="preserve">, </w:t>
      </w:r>
      <w:r w:rsidRPr="00FE75CD">
        <w:rPr>
          <w:rFonts w:cstheme="minorHAnsi"/>
          <w:i/>
          <w:iCs/>
        </w:rPr>
        <w:t>43</w:t>
      </w:r>
      <w:r w:rsidRPr="00FE75CD">
        <w:rPr>
          <w:rFonts w:cstheme="minorHAnsi"/>
        </w:rPr>
        <w:t>, 357-373.</w:t>
      </w:r>
    </w:p>
    <w:p w14:paraId="2BC8CF04" w14:textId="77777777" w:rsidR="00FE75CD" w:rsidRPr="00FE75CD" w:rsidRDefault="00DA6E5A" w:rsidP="00FE75CD">
      <w:pPr>
        <w:pStyle w:val="NoSpacing"/>
        <w:ind w:left="720" w:hanging="720"/>
        <w:rPr>
          <w:rFonts w:cstheme="minorHAnsi"/>
        </w:rPr>
      </w:pPr>
      <w:proofErr w:type="spellStart"/>
      <w:r w:rsidRPr="00FE75CD">
        <w:rPr>
          <w:rFonts w:cstheme="minorHAnsi"/>
        </w:rPr>
        <w:t>Stockwell</w:t>
      </w:r>
      <w:proofErr w:type="spellEnd"/>
      <w:r w:rsidRPr="00FE75CD">
        <w:rPr>
          <w:rFonts w:cstheme="minorHAnsi"/>
        </w:rPr>
        <w:t>, T., &amp; Gruenewald, P. (2001). Controls on the physical availability of alcohol.</w:t>
      </w:r>
      <w:r w:rsidR="001F5361" w:rsidRPr="00FE75CD">
        <w:rPr>
          <w:rFonts w:cstheme="minorHAnsi"/>
        </w:rPr>
        <w:t xml:space="preserve"> </w:t>
      </w:r>
      <w:r w:rsidRPr="00FE75CD">
        <w:rPr>
          <w:rFonts w:cstheme="minorHAnsi"/>
        </w:rPr>
        <w:t xml:space="preserve">In N. Heather, T. J. Peters, &amp; T. </w:t>
      </w:r>
      <w:proofErr w:type="spellStart"/>
      <w:r w:rsidRPr="00FE75CD">
        <w:rPr>
          <w:rFonts w:cstheme="minorHAnsi"/>
        </w:rPr>
        <w:t>Stockwell</w:t>
      </w:r>
      <w:proofErr w:type="spellEnd"/>
      <w:r w:rsidRPr="00FE75CD">
        <w:rPr>
          <w:rFonts w:cstheme="minorHAnsi"/>
        </w:rPr>
        <w:t xml:space="preserve"> (Eds.), </w:t>
      </w:r>
      <w:r w:rsidRPr="00FE75CD">
        <w:rPr>
          <w:rFonts w:cstheme="minorHAnsi"/>
          <w:i/>
          <w:iCs/>
        </w:rPr>
        <w:t>International handbook</w:t>
      </w:r>
      <w:r w:rsidR="001F5361" w:rsidRPr="00FE75CD">
        <w:rPr>
          <w:rFonts w:cstheme="minorHAnsi"/>
          <w:i/>
          <w:iCs/>
        </w:rPr>
        <w:t xml:space="preserve"> </w:t>
      </w:r>
      <w:r w:rsidRPr="00FE75CD">
        <w:rPr>
          <w:rFonts w:cstheme="minorHAnsi"/>
          <w:i/>
          <w:iCs/>
        </w:rPr>
        <w:t xml:space="preserve">of alcohol dependence and problems </w:t>
      </w:r>
      <w:r w:rsidRPr="00FE75CD">
        <w:rPr>
          <w:rFonts w:cstheme="minorHAnsi"/>
        </w:rPr>
        <w:t>(pp. 699-719). New York, NY: John Wiley.</w:t>
      </w:r>
      <w:r w:rsidR="001F5361" w:rsidRPr="00FE75CD">
        <w:rPr>
          <w:rFonts w:cstheme="minorHAnsi"/>
        </w:rPr>
        <w:t xml:space="preserve"> </w:t>
      </w:r>
    </w:p>
    <w:p w14:paraId="6527DDAA" w14:textId="08DE1712" w:rsidR="00DA6E5A" w:rsidRPr="00FE75CD" w:rsidRDefault="00DA6E5A" w:rsidP="00FE75CD">
      <w:pPr>
        <w:pStyle w:val="NoSpacing"/>
        <w:ind w:left="720" w:hanging="720"/>
        <w:rPr>
          <w:rFonts w:cstheme="minorHAnsi"/>
        </w:rPr>
      </w:pPr>
      <w:proofErr w:type="spellStart"/>
      <w:r w:rsidRPr="00FE75CD">
        <w:rPr>
          <w:rFonts w:cstheme="minorHAnsi"/>
        </w:rPr>
        <w:lastRenderedPageBreak/>
        <w:t>Stockwell</w:t>
      </w:r>
      <w:proofErr w:type="spellEnd"/>
      <w:r w:rsidRPr="00FE75CD">
        <w:rPr>
          <w:rFonts w:cstheme="minorHAnsi"/>
        </w:rPr>
        <w:t>, T., Lang, E., &amp; Rydon, P. (1993). High risk drinking settings: The association</w:t>
      </w:r>
      <w:r w:rsidR="00FE75CD" w:rsidRPr="00FE75CD">
        <w:rPr>
          <w:rFonts w:cstheme="minorHAnsi"/>
        </w:rPr>
        <w:t xml:space="preserve"> </w:t>
      </w:r>
      <w:r w:rsidRPr="00FE75CD">
        <w:rPr>
          <w:rFonts w:cstheme="minorHAnsi"/>
        </w:rPr>
        <w:t xml:space="preserve">of serving and promotional practices with harmful drinking. </w:t>
      </w:r>
      <w:r w:rsidRPr="00FE75CD">
        <w:rPr>
          <w:rFonts w:cstheme="minorHAnsi"/>
          <w:i/>
          <w:iCs/>
        </w:rPr>
        <w:t>Addiction</w:t>
      </w:r>
      <w:r w:rsidRPr="00FE75CD">
        <w:rPr>
          <w:rFonts w:cstheme="minorHAnsi"/>
        </w:rPr>
        <w:t xml:space="preserve">, </w:t>
      </w:r>
      <w:r w:rsidRPr="00FE75CD">
        <w:rPr>
          <w:rFonts w:cstheme="minorHAnsi"/>
          <w:i/>
          <w:iCs/>
        </w:rPr>
        <w:t>88</w:t>
      </w:r>
      <w:r w:rsidRPr="00FE75CD">
        <w:rPr>
          <w:rFonts w:cstheme="minorHAnsi"/>
        </w:rPr>
        <w:t>,</w:t>
      </w:r>
      <w:r w:rsidR="00FE75CD" w:rsidRPr="00FE75CD">
        <w:rPr>
          <w:rFonts w:cstheme="minorHAnsi"/>
        </w:rPr>
        <w:t xml:space="preserve"> </w:t>
      </w:r>
      <w:r w:rsidRPr="00FE75CD">
        <w:rPr>
          <w:rFonts w:cstheme="minorHAnsi"/>
        </w:rPr>
        <w:t>1519-1526.</w:t>
      </w:r>
    </w:p>
    <w:p w14:paraId="1426BC23" w14:textId="77777777" w:rsidR="00FE75CD" w:rsidRPr="00FE75CD" w:rsidRDefault="00DA6E5A" w:rsidP="00FE75CD">
      <w:pPr>
        <w:pStyle w:val="NoSpacing"/>
        <w:ind w:left="720" w:hanging="720"/>
        <w:rPr>
          <w:rFonts w:cstheme="minorHAnsi"/>
        </w:rPr>
      </w:pPr>
      <w:r w:rsidRPr="00FE75CD">
        <w:rPr>
          <w:rFonts w:cstheme="minorHAnsi"/>
        </w:rPr>
        <w:t>Testa, M., &amp; Parks, K. A. (1996). The role of women’s alcohol consumption in sexual</w:t>
      </w:r>
      <w:r w:rsidR="00FE75CD" w:rsidRPr="00FE75CD">
        <w:rPr>
          <w:rFonts w:cstheme="minorHAnsi"/>
        </w:rPr>
        <w:t xml:space="preserve"> </w:t>
      </w:r>
      <w:r w:rsidRPr="00FE75CD">
        <w:rPr>
          <w:rFonts w:cstheme="minorHAnsi"/>
        </w:rPr>
        <w:t xml:space="preserve">victimization. </w:t>
      </w:r>
      <w:r w:rsidRPr="00FE75CD">
        <w:rPr>
          <w:rFonts w:cstheme="minorHAnsi"/>
          <w:i/>
          <w:iCs/>
        </w:rPr>
        <w:t>Aggression and Violent Behavior</w:t>
      </w:r>
      <w:r w:rsidRPr="00FE75CD">
        <w:rPr>
          <w:rFonts w:cstheme="minorHAnsi"/>
        </w:rPr>
        <w:t xml:space="preserve">, </w:t>
      </w:r>
      <w:r w:rsidRPr="00FE75CD">
        <w:rPr>
          <w:rFonts w:cstheme="minorHAnsi"/>
          <w:i/>
          <w:iCs/>
        </w:rPr>
        <w:t>1</w:t>
      </w:r>
      <w:r w:rsidRPr="00FE75CD">
        <w:rPr>
          <w:rFonts w:cstheme="minorHAnsi"/>
        </w:rPr>
        <w:t>, 217-234.</w:t>
      </w:r>
      <w:r w:rsidR="00FE75CD" w:rsidRPr="00FE75CD">
        <w:rPr>
          <w:rFonts w:cstheme="minorHAnsi"/>
        </w:rPr>
        <w:t xml:space="preserve"> </w:t>
      </w:r>
    </w:p>
    <w:p w14:paraId="0E11C747" w14:textId="77777777" w:rsidR="00FE75CD" w:rsidRPr="00FE75CD" w:rsidRDefault="00DA6E5A" w:rsidP="00FE75CD">
      <w:pPr>
        <w:pStyle w:val="NoSpacing"/>
        <w:ind w:left="720" w:hanging="720"/>
        <w:rPr>
          <w:rFonts w:cstheme="minorHAnsi"/>
        </w:rPr>
      </w:pPr>
      <w:r w:rsidRPr="00FE75CD">
        <w:rPr>
          <w:rFonts w:cstheme="minorHAnsi"/>
        </w:rPr>
        <w:t>Tobler, W. R. (1970). A computer movie simulating urban growth in the Detroit</w:t>
      </w:r>
      <w:r w:rsidR="00FE75CD" w:rsidRPr="00FE75CD">
        <w:rPr>
          <w:rFonts w:cstheme="minorHAnsi"/>
        </w:rPr>
        <w:t xml:space="preserve"> </w:t>
      </w:r>
      <w:r w:rsidRPr="00FE75CD">
        <w:rPr>
          <w:rFonts w:cstheme="minorHAnsi"/>
        </w:rPr>
        <w:t xml:space="preserve">region. </w:t>
      </w:r>
      <w:r w:rsidRPr="00FE75CD">
        <w:rPr>
          <w:rFonts w:cstheme="minorHAnsi"/>
          <w:i/>
          <w:iCs/>
        </w:rPr>
        <w:t>Economic Geography</w:t>
      </w:r>
      <w:r w:rsidRPr="00FE75CD">
        <w:rPr>
          <w:rFonts w:cstheme="minorHAnsi"/>
        </w:rPr>
        <w:t xml:space="preserve">, </w:t>
      </w:r>
      <w:r w:rsidRPr="00FE75CD">
        <w:rPr>
          <w:rFonts w:cstheme="minorHAnsi"/>
          <w:i/>
          <w:iCs/>
        </w:rPr>
        <w:t>46</w:t>
      </w:r>
      <w:r w:rsidRPr="00FE75CD">
        <w:rPr>
          <w:rFonts w:cstheme="minorHAnsi"/>
        </w:rPr>
        <w:t>, 234-240.</w:t>
      </w:r>
      <w:r w:rsidR="00FE75CD" w:rsidRPr="00FE75CD">
        <w:rPr>
          <w:rFonts w:cstheme="minorHAnsi"/>
        </w:rPr>
        <w:t xml:space="preserve"> </w:t>
      </w:r>
    </w:p>
    <w:p w14:paraId="31A4961A" w14:textId="0FB2135A" w:rsidR="00DA6E5A" w:rsidRPr="00FE75CD" w:rsidRDefault="00DA6E5A" w:rsidP="00FE75CD">
      <w:pPr>
        <w:pStyle w:val="NoSpacing"/>
        <w:ind w:left="720" w:hanging="720"/>
        <w:rPr>
          <w:rFonts w:cstheme="minorHAnsi"/>
        </w:rPr>
      </w:pPr>
      <w:r w:rsidRPr="00FE75CD">
        <w:rPr>
          <w:rFonts w:cstheme="minorHAnsi"/>
        </w:rPr>
        <w:t xml:space="preserve">Truman, J. L., &amp; Langton, L. (2015). </w:t>
      </w:r>
      <w:r w:rsidRPr="00FE75CD">
        <w:rPr>
          <w:rFonts w:cstheme="minorHAnsi"/>
          <w:i/>
          <w:iCs/>
        </w:rPr>
        <w:t xml:space="preserve">Criminal victimization, 2014 </w:t>
      </w:r>
      <w:r w:rsidRPr="00FE75CD">
        <w:rPr>
          <w:rFonts w:cstheme="minorHAnsi"/>
        </w:rPr>
        <w:t>(NCJ 248973).</w:t>
      </w:r>
      <w:r w:rsidR="00FE75CD" w:rsidRPr="00FE75CD">
        <w:rPr>
          <w:rFonts w:cstheme="minorHAnsi"/>
        </w:rPr>
        <w:t xml:space="preserve"> </w:t>
      </w:r>
      <w:r w:rsidRPr="00FE75CD">
        <w:rPr>
          <w:rFonts w:cstheme="minorHAnsi"/>
        </w:rPr>
        <w:t>Washington, DC: Bureau of Justice Statistics.</w:t>
      </w:r>
    </w:p>
    <w:p w14:paraId="460003AC" w14:textId="77777777" w:rsidR="00FE75CD" w:rsidRPr="00FE75CD" w:rsidRDefault="00DA6E5A" w:rsidP="00FE75CD">
      <w:pPr>
        <w:pStyle w:val="NoSpacing"/>
        <w:ind w:left="720" w:hanging="720"/>
        <w:rPr>
          <w:rFonts w:cstheme="minorHAnsi"/>
        </w:rPr>
      </w:pPr>
      <w:r w:rsidRPr="00FE75CD">
        <w:rPr>
          <w:rFonts w:cstheme="minorHAnsi"/>
        </w:rPr>
        <w:t xml:space="preserve">U.S. Census Bureau. (2014, January). </w:t>
      </w:r>
      <w:r w:rsidRPr="00FE75CD">
        <w:rPr>
          <w:rFonts w:cstheme="minorHAnsi"/>
          <w:i/>
          <w:iCs/>
        </w:rPr>
        <w:t xml:space="preserve">State and county </w:t>
      </w:r>
      <w:proofErr w:type="spellStart"/>
      <w:r w:rsidRPr="00FE75CD">
        <w:rPr>
          <w:rFonts w:cstheme="minorHAnsi"/>
          <w:i/>
          <w:iCs/>
        </w:rPr>
        <w:t>quickfacts</w:t>
      </w:r>
      <w:proofErr w:type="spellEnd"/>
      <w:r w:rsidRPr="00FE75CD">
        <w:rPr>
          <w:rFonts w:cstheme="minorHAnsi"/>
        </w:rPr>
        <w:t>. Retrieved from</w:t>
      </w:r>
      <w:r w:rsidR="00FE75CD" w:rsidRPr="00FE75CD">
        <w:rPr>
          <w:rFonts w:cstheme="minorHAnsi"/>
        </w:rPr>
        <w:t xml:space="preserve"> </w:t>
      </w:r>
      <w:hyperlink r:id="rId106" w:history="1">
        <w:r w:rsidR="00FE75CD" w:rsidRPr="00FE75CD">
          <w:rPr>
            <w:rStyle w:val="Hyperlink"/>
            <w:rFonts w:cstheme="minorHAnsi"/>
          </w:rPr>
          <w:t>https://www.census.gov/quickfacts/</w:t>
        </w:r>
      </w:hyperlink>
      <w:r w:rsidR="00FE75CD" w:rsidRPr="00FE75CD">
        <w:rPr>
          <w:rFonts w:cstheme="minorHAnsi"/>
        </w:rPr>
        <w:t xml:space="preserve"> </w:t>
      </w:r>
    </w:p>
    <w:p w14:paraId="1469FCAD" w14:textId="102B51C4" w:rsidR="00DA6E5A" w:rsidRPr="00FE75CD" w:rsidRDefault="00DA6E5A" w:rsidP="00FE75CD">
      <w:pPr>
        <w:pStyle w:val="NoSpacing"/>
        <w:ind w:left="720" w:hanging="720"/>
        <w:rPr>
          <w:rFonts w:cstheme="minorHAnsi"/>
        </w:rPr>
      </w:pPr>
      <w:r w:rsidRPr="00FE75CD">
        <w:rPr>
          <w:rFonts w:cstheme="minorHAnsi"/>
        </w:rPr>
        <w:t xml:space="preserve">Waller, M. W., </w:t>
      </w:r>
      <w:proofErr w:type="spellStart"/>
      <w:r w:rsidRPr="00FE75CD">
        <w:rPr>
          <w:rFonts w:cstheme="minorHAnsi"/>
        </w:rPr>
        <w:t>Iritani</w:t>
      </w:r>
      <w:proofErr w:type="spellEnd"/>
      <w:r w:rsidRPr="00FE75CD">
        <w:rPr>
          <w:rFonts w:cstheme="minorHAnsi"/>
        </w:rPr>
        <w:t xml:space="preserve">, B. J., Christ, S. L., Clark, H. K., </w:t>
      </w:r>
      <w:proofErr w:type="spellStart"/>
      <w:r w:rsidRPr="00FE75CD">
        <w:rPr>
          <w:rFonts w:cstheme="minorHAnsi"/>
        </w:rPr>
        <w:t>Moracco</w:t>
      </w:r>
      <w:proofErr w:type="spellEnd"/>
      <w:r w:rsidRPr="00FE75CD">
        <w:rPr>
          <w:rFonts w:cstheme="minorHAnsi"/>
        </w:rPr>
        <w:t>, K. E., Halpern, C.</w:t>
      </w:r>
      <w:r w:rsidR="00FE75CD" w:rsidRPr="00FE75CD">
        <w:rPr>
          <w:rFonts w:cstheme="minorHAnsi"/>
        </w:rPr>
        <w:t xml:space="preserve"> </w:t>
      </w:r>
      <w:r w:rsidRPr="00FE75CD">
        <w:rPr>
          <w:rFonts w:cstheme="minorHAnsi"/>
        </w:rPr>
        <w:t xml:space="preserve">T., &amp; </w:t>
      </w:r>
      <w:proofErr w:type="spellStart"/>
      <w:r w:rsidRPr="00FE75CD">
        <w:rPr>
          <w:rFonts w:cstheme="minorHAnsi"/>
        </w:rPr>
        <w:t>Flewelling</w:t>
      </w:r>
      <w:proofErr w:type="spellEnd"/>
      <w:r w:rsidRPr="00FE75CD">
        <w:rPr>
          <w:rFonts w:cstheme="minorHAnsi"/>
        </w:rPr>
        <w:t>, R. L. (2012). Relationships among alcohol outlet density, alcohol</w:t>
      </w:r>
      <w:r w:rsidR="00FE75CD" w:rsidRPr="00FE75CD">
        <w:rPr>
          <w:rFonts w:cstheme="minorHAnsi"/>
        </w:rPr>
        <w:t xml:space="preserve"> </w:t>
      </w:r>
      <w:r w:rsidRPr="00FE75CD">
        <w:rPr>
          <w:rFonts w:cstheme="minorHAnsi"/>
        </w:rPr>
        <w:t>use, and intimate partner violence victimization among young women in the</w:t>
      </w:r>
      <w:r w:rsidR="00FE75CD" w:rsidRPr="00FE75CD">
        <w:rPr>
          <w:rFonts w:cstheme="minorHAnsi"/>
        </w:rPr>
        <w:t xml:space="preserve"> </w:t>
      </w:r>
      <w:r w:rsidRPr="00FE75CD">
        <w:rPr>
          <w:rFonts w:cstheme="minorHAnsi"/>
        </w:rPr>
        <w:t xml:space="preserve">United States. </w:t>
      </w:r>
      <w:r w:rsidRPr="00FE75CD">
        <w:rPr>
          <w:rFonts w:cstheme="minorHAnsi"/>
          <w:i/>
          <w:iCs/>
        </w:rPr>
        <w:t>Journal of Interpersonal Violence</w:t>
      </w:r>
      <w:r w:rsidRPr="00FE75CD">
        <w:rPr>
          <w:rFonts w:cstheme="minorHAnsi"/>
        </w:rPr>
        <w:t xml:space="preserve">, </w:t>
      </w:r>
      <w:r w:rsidRPr="00FE75CD">
        <w:rPr>
          <w:rFonts w:cstheme="minorHAnsi"/>
          <w:i/>
          <w:iCs/>
        </w:rPr>
        <w:t>27</w:t>
      </w:r>
      <w:r w:rsidRPr="00FE75CD">
        <w:rPr>
          <w:rFonts w:cstheme="minorHAnsi"/>
        </w:rPr>
        <w:t>, 2062-2086.</w:t>
      </w:r>
    </w:p>
    <w:p w14:paraId="2CCD3811" w14:textId="73D383E8" w:rsidR="00FE75CD" w:rsidRPr="00FE75CD" w:rsidRDefault="00DA6E5A" w:rsidP="00FE75CD">
      <w:pPr>
        <w:pStyle w:val="NoSpacing"/>
        <w:ind w:left="720" w:hanging="720"/>
        <w:rPr>
          <w:rFonts w:cstheme="minorHAnsi"/>
        </w:rPr>
      </w:pPr>
      <w:r w:rsidRPr="00FE75CD">
        <w:rPr>
          <w:rFonts w:cstheme="minorHAnsi"/>
        </w:rPr>
        <w:t xml:space="preserve">Zhu, L., Gorman, D. M., &amp; </w:t>
      </w:r>
      <w:proofErr w:type="spellStart"/>
      <w:r w:rsidRPr="00FE75CD">
        <w:rPr>
          <w:rFonts w:cstheme="minorHAnsi"/>
        </w:rPr>
        <w:t>Horel</w:t>
      </w:r>
      <w:proofErr w:type="spellEnd"/>
      <w:r w:rsidRPr="00FE75CD">
        <w:rPr>
          <w:rFonts w:cstheme="minorHAnsi"/>
        </w:rPr>
        <w:t>, S. (2004). Alcohol outlet density and violence: A</w:t>
      </w:r>
      <w:r w:rsidR="00FE75CD" w:rsidRPr="00FE75CD">
        <w:rPr>
          <w:rFonts w:cstheme="minorHAnsi"/>
        </w:rPr>
        <w:t xml:space="preserve"> </w:t>
      </w:r>
      <w:r w:rsidRPr="00FE75CD">
        <w:rPr>
          <w:rFonts w:cstheme="minorHAnsi"/>
        </w:rPr>
        <w:t xml:space="preserve">geospatial analysis. </w:t>
      </w:r>
      <w:r w:rsidRPr="00FE75CD">
        <w:rPr>
          <w:rFonts w:cstheme="minorHAnsi"/>
          <w:i/>
          <w:iCs/>
        </w:rPr>
        <w:t>Alcohol and Alcoholism</w:t>
      </w:r>
      <w:r w:rsidRPr="00FE75CD">
        <w:rPr>
          <w:rFonts w:cstheme="minorHAnsi"/>
        </w:rPr>
        <w:t xml:space="preserve">, </w:t>
      </w:r>
      <w:r w:rsidRPr="00FE75CD">
        <w:rPr>
          <w:rFonts w:cstheme="minorHAnsi"/>
          <w:i/>
          <w:iCs/>
        </w:rPr>
        <w:t>39</w:t>
      </w:r>
      <w:r w:rsidRPr="00FE75CD">
        <w:rPr>
          <w:rFonts w:cstheme="minorHAnsi"/>
        </w:rPr>
        <w:t>, 369-375.</w:t>
      </w:r>
      <w:r w:rsidR="00FE75CD" w:rsidRPr="00FE75CD">
        <w:rPr>
          <w:rFonts w:cstheme="minorHAnsi"/>
        </w:rPr>
        <w:t xml:space="preserve"> </w:t>
      </w:r>
    </w:p>
    <w:p w14:paraId="5A7EA869" w14:textId="29152F88" w:rsidR="00DA6E5A" w:rsidRDefault="00DA6E5A" w:rsidP="00FE75CD">
      <w:pPr>
        <w:pStyle w:val="Heading1"/>
      </w:pPr>
      <w:r>
        <w:t>Author Biographies</w:t>
      </w:r>
    </w:p>
    <w:p w14:paraId="73E23C67" w14:textId="67C37670" w:rsidR="00DA6E5A" w:rsidRDefault="00DA6E5A" w:rsidP="00DA6E5A">
      <w:pPr>
        <w:pStyle w:val="NoSpacing"/>
      </w:pPr>
      <w:r w:rsidRPr="00DA6E5A">
        <w:rPr>
          <w:b/>
          <w:bCs/>
        </w:rPr>
        <w:t>Aleksandra J. Snowden</w:t>
      </w:r>
      <w:r>
        <w:t xml:space="preserve"> is an assistant professor in the Department of Social and Cultural Sciences at Marquette University. Her research interests include crime mapping and crime analysis, neighborhood characteristics, alcohol availability, violence, and spatial analytical methods.</w:t>
      </w:r>
    </w:p>
    <w:p w14:paraId="588B0173" w14:textId="77777777" w:rsidR="00DA6E5A" w:rsidRDefault="00DA6E5A" w:rsidP="00DA6E5A">
      <w:pPr>
        <w:pStyle w:val="NoSpacing"/>
      </w:pPr>
    </w:p>
    <w:p w14:paraId="49342B36" w14:textId="2BD1495B" w:rsidR="00DA6E5A" w:rsidRDefault="00DA6E5A" w:rsidP="00DA6E5A">
      <w:pPr>
        <w:pStyle w:val="NoSpacing"/>
      </w:pPr>
      <w:r w:rsidRPr="00DA6E5A">
        <w:rPr>
          <w:b/>
          <w:bCs/>
        </w:rPr>
        <w:t xml:space="preserve">Sara </w:t>
      </w:r>
      <w:proofErr w:type="spellStart"/>
      <w:r w:rsidRPr="00DA6E5A">
        <w:rPr>
          <w:b/>
          <w:bCs/>
        </w:rPr>
        <w:t>Hockin</w:t>
      </w:r>
      <w:proofErr w:type="spellEnd"/>
      <w:r>
        <w:t xml:space="preserve"> is a PhD student in the Department of Criminal Justice and Criminology at Georgia State University. Her research interests include program evaluation, systems change, and mental health care in the criminal justice system.</w:t>
      </w:r>
    </w:p>
    <w:p w14:paraId="16F7E308" w14:textId="77777777" w:rsidR="00DA6E5A" w:rsidRDefault="00DA6E5A" w:rsidP="00DA6E5A">
      <w:pPr>
        <w:pStyle w:val="NoSpacing"/>
      </w:pPr>
    </w:p>
    <w:p w14:paraId="2DD8BE22" w14:textId="716A90C1" w:rsidR="00DA6E5A" w:rsidRPr="00DA6E5A" w:rsidRDefault="00DA6E5A" w:rsidP="00DA6E5A">
      <w:pPr>
        <w:pStyle w:val="NoSpacing"/>
      </w:pPr>
      <w:r w:rsidRPr="00DA6E5A">
        <w:rPr>
          <w:b/>
          <w:bCs/>
        </w:rPr>
        <w:t xml:space="preserve">William Alex </w:t>
      </w:r>
      <w:proofErr w:type="spellStart"/>
      <w:r w:rsidRPr="00DA6E5A">
        <w:rPr>
          <w:b/>
          <w:bCs/>
        </w:rPr>
        <w:t>Pridemore</w:t>
      </w:r>
      <w:proofErr w:type="spellEnd"/>
      <w:r>
        <w:t xml:space="preserve"> is dean and professor in the School of Criminal Justice at the University at Albany–State University of New York. His research interests include the effects of social structure on homicide and suicide rates, alcohol epidemiology, and the sociology of health and illness.</w:t>
      </w:r>
    </w:p>
    <w:sectPr w:rsidR="00DA6E5A" w:rsidRPr="00DA6E5A"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illSansStd-Bold">
    <w:altName w:val="Calibri"/>
    <w:panose1 w:val="00000000000000000000"/>
    <w:charset w:val="00"/>
    <w:family w:val="swiss"/>
    <w:notTrueType/>
    <w:pitch w:val="default"/>
    <w:sig w:usb0="00000003" w:usb1="00000000" w:usb2="00000000" w:usb3="00000000" w:csb0="00000001" w:csb1="00000000"/>
  </w:font>
  <w:font w:name="GillSansStd-Italic">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6A6659"/>
    <w:multiLevelType w:val="multilevel"/>
    <w:tmpl w:val="4E36C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113704"/>
    <w:multiLevelType w:val="hybridMultilevel"/>
    <w:tmpl w:val="9D8A4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B677A6"/>
    <w:multiLevelType w:val="hybridMultilevel"/>
    <w:tmpl w:val="B6705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AE4C40"/>
    <w:multiLevelType w:val="hybridMultilevel"/>
    <w:tmpl w:val="776CF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F52473"/>
    <w:multiLevelType w:val="multilevel"/>
    <w:tmpl w:val="25D2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AE7D1B"/>
    <w:multiLevelType w:val="hybridMultilevel"/>
    <w:tmpl w:val="A2B6A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589175B"/>
    <w:multiLevelType w:val="multilevel"/>
    <w:tmpl w:val="60C01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F0E3D9B"/>
    <w:multiLevelType w:val="multilevel"/>
    <w:tmpl w:val="55EE1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7"/>
  </w:num>
  <w:num w:numId="3">
    <w:abstractNumId w:val="10"/>
  </w:num>
  <w:num w:numId="4">
    <w:abstractNumId w:val="11"/>
  </w:num>
  <w:num w:numId="5">
    <w:abstractNumId w:val="13"/>
  </w:num>
  <w:num w:numId="6">
    <w:abstractNumId w:val="6"/>
  </w:num>
  <w:num w:numId="7">
    <w:abstractNumId w:val="17"/>
  </w:num>
  <w:num w:numId="8">
    <w:abstractNumId w:val="23"/>
  </w:num>
  <w:num w:numId="9">
    <w:abstractNumId w:val="19"/>
  </w:num>
  <w:num w:numId="10">
    <w:abstractNumId w:val="20"/>
  </w:num>
  <w:num w:numId="11">
    <w:abstractNumId w:val="5"/>
  </w:num>
  <w:num w:numId="12">
    <w:abstractNumId w:val="22"/>
  </w:num>
  <w:num w:numId="13">
    <w:abstractNumId w:val="16"/>
  </w:num>
  <w:num w:numId="14">
    <w:abstractNumId w:val="21"/>
  </w:num>
  <w:num w:numId="15">
    <w:abstractNumId w:val="28"/>
  </w:num>
  <w:num w:numId="16">
    <w:abstractNumId w:val="12"/>
  </w:num>
  <w:num w:numId="17">
    <w:abstractNumId w:val="31"/>
  </w:num>
  <w:num w:numId="18">
    <w:abstractNumId w:val="18"/>
  </w:num>
  <w:num w:numId="19">
    <w:abstractNumId w:val="0"/>
  </w:num>
  <w:num w:numId="20">
    <w:abstractNumId w:val="25"/>
  </w:num>
  <w:num w:numId="21">
    <w:abstractNumId w:val="24"/>
  </w:num>
  <w:num w:numId="22">
    <w:abstractNumId w:val="2"/>
  </w:num>
  <w:num w:numId="23">
    <w:abstractNumId w:val="30"/>
  </w:num>
  <w:num w:numId="24">
    <w:abstractNumId w:val="9"/>
  </w:num>
  <w:num w:numId="25">
    <w:abstractNumId w:val="34"/>
  </w:num>
  <w:num w:numId="26">
    <w:abstractNumId w:val="1"/>
  </w:num>
  <w:num w:numId="27">
    <w:abstractNumId w:val="33"/>
  </w:num>
  <w:num w:numId="28">
    <w:abstractNumId w:val="32"/>
  </w:num>
  <w:num w:numId="29">
    <w:abstractNumId w:val="29"/>
  </w:num>
  <w:num w:numId="30">
    <w:abstractNumId w:val="15"/>
  </w:num>
  <w:num w:numId="31">
    <w:abstractNumId w:val="7"/>
  </w:num>
  <w:num w:numId="32">
    <w:abstractNumId w:val="4"/>
  </w:num>
  <w:num w:numId="33">
    <w:abstractNumId w:val="26"/>
  </w:num>
  <w:num w:numId="34">
    <w:abstractNumId w:val="3"/>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Gjs4fIuiSA4je9IYf9cpAex/qdJL51xZJ6RewwZkQihj/WmOtmF7yJ4sb/vP+0n/kI5MJBZCaC6YUBkh7wEPQ==" w:salt="pNxlgfg0wg7609Xc8u+bG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279B"/>
    <w:rsid w:val="00014622"/>
    <w:rsid w:val="00014F38"/>
    <w:rsid w:val="000233C1"/>
    <w:rsid w:val="00024048"/>
    <w:rsid w:val="0002511F"/>
    <w:rsid w:val="00026BC7"/>
    <w:rsid w:val="0003036D"/>
    <w:rsid w:val="00030E72"/>
    <w:rsid w:val="00034205"/>
    <w:rsid w:val="00035704"/>
    <w:rsid w:val="000404D8"/>
    <w:rsid w:val="00041C27"/>
    <w:rsid w:val="000437DE"/>
    <w:rsid w:val="00043C8E"/>
    <w:rsid w:val="00044EBA"/>
    <w:rsid w:val="0004637E"/>
    <w:rsid w:val="0004717F"/>
    <w:rsid w:val="000525F1"/>
    <w:rsid w:val="0005413F"/>
    <w:rsid w:val="000551CC"/>
    <w:rsid w:val="000575B3"/>
    <w:rsid w:val="00057D20"/>
    <w:rsid w:val="000606A8"/>
    <w:rsid w:val="00061102"/>
    <w:rsid w:val="0006495D"/>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96F"/>
    <w:rsid w:val="00097FBC"/>
    <w:rsid w:val="000A0975"/>
    <w:rsid w:val="000A266C"/>
    <w:rsid w:val="000A7622"/>
    <w:rsid w:val="000A7F84"/>
    <w:rsid w:val="000B1D71"/>
    <w:rsid w:val="000B1EEB"/>
    <w:rsid w:val="000B22D3"/>
    <w:rsid w:val="000B2768"/>
    <w:rsid w:val="000B3464"/>
    <w:rsid w:val="000B389E"/>
    <w:rsid w:val="000B41D8"/>
    <w:rsid w:val="000B501D"/>
    <w:rsid w:val="000B5170"/>
    <w:rsid w:val="000B7BF6"/>
    <w:rsid w:val="000C0E5B"/>
    <w:rsid w:val="000C43B7"/>
    <w:rsid w:val="000C6BA7"/>
    <w:rsid w:val="000D3573"/>
    <w:rsid w:val="000D4F0B"/>
    <w:rsid w:val="000D6BF2"/>
    <w:rsid w:val="000E2076"/>
    <w:rsid w:val="000E69EF"/>
    <w:rsid w:val="000E75C5"/>
    <w:rsid w:val="000E7C46"/>
    <w:rsid w:val="000F0449"/>
    <w:rsid w:val="000F08DA"/>
    <w:rsid w:val="000F14F0"/>
    <w:rsid w:val="000F1D5E"/>
    <w:rsid w:val="000F33D0"/>
    <w:rsid w:val="00101A98"/>
    <w:rsid w:val="00104CE6"/>
    <w:rsid w:val="00107EA8"/>
    <w:rsid w:val="00114114"/>
    <w:rsid w:val="00115F37"/>
    <w:rsid w:val="00117F89"/>
    <w:rsid w:val="00120313"/>
    <w:rsid w:val="001233A5"/>
    <w:rsid w:val="00123BC0"/>
    <w:rsid w:val="00123E80"/>
    <w:rsid w:val="00125F2C"/>
    <w:rsid w:val="00131A15"/>
    <w:rsid w:val="00131C28"/>
    <w:rsid w:val="0013311A"/>
    <w:rsid w:val="001346A0"/>
    <w:rsid w:val="00134CF7"/>
    <w:rsid w:val="0014182B"/>
    <w:rsid w:val="0014490B"/>
    <w:rsid w:val="00146A5C"/>
    <w:rsid w:val="00146E50"/>
    <w:rsid w:val="00150DB6"/>
    <w:rsid w:val="001530C5"/>
    <w:rsid w:val="0015343A"/>
    <w:rsid w:val="00154D34"/>
    <w:rsid w:val="0015757F"/>
    <w:rsid w:val="00160E1F"/>
    <w:rsid w:val="00161372"/>
    <w:rsid w:val="001622DB"/>
    <w:rsid w:val="00163F71"/>
    <w:rsid w:val="00164B07"/>
    <w:rsid w:val="00173556"/>
    <w:rsid w:val="00177615"/>
    <w:rsid w:val="00180DC4"/>
    <w:rsid w:val="0018114F"/>
    <w:rsid w:val="00181ADF"/>
    <w:rsid w:val="00183A38"/>
    <w:rsid w:val="001854EA"/>
    <w:rsid w:val="00185C26"/>
    <w:rsid w:val="00192D40"/>
    <w:rsid w:val="00194D61"/>
    <w:rsid w:val="00196C7C"/>
    <w:rsid w:val="001A17CB"/>
    <w:rsid w:val="001A1C71"/>
    <w:rsid w:val="001A1DF4"/>
    <w:rsid w:val="001A34C4"/>
    <w:rsid w:val="001B12F5"/>
    <w:rsid w:val="001B1F29"/>
    <w:rsid w:val="001B3B99"/>
    <w:rsid w:val="001B6E76"/>
    <w:rsid w:val="001B7C24"/>
    <w:rsid w:val="001C3A3F"/>
    <w:rsid w:val="001D1087"/>
    <w:rsid w:val="001D11AB"/>
    <w:rsid w:val="001D2448"/>
    <w:rsid w:val="001D3ADE"/>
    <w:rsid w:val="001D3F5D"/>
    <w:rsid w:val="001D528A"/>
    <w:rsid w:val="001D58D3"/>
    <w:rsid w:val="001D69BB"/>
    <w:rsid w:val="001D776C"/>
    <w:rsid w:val="001D7BCC"/>
    <w:rsid w:val="001E18FE"/>
    <w:rsid w:val="001F2E45"/>
    <w:rsid w:val="001F5361"/>
    <w:rsid w:val="001F70BC"/>
    <w:rsid w:val="001F7FBE"/>
    <w:rsid w:val="002016B1"/>
    <w:rsid w:val="00201875"/>
    <w:rsid w:val="00201AFD"/>
    <w:rsid w:val="00201FDC"/>
    <w:rsid w:val="002022D8"/>
    <w:rsid w:val="00206486"/>
    <w:rsid w:val="00206CC8"/>
    <w:rsid w:val="00211422"/>
    <w:rsid w:val="00212109"/>
    <w:rsid w:val="0022403A"/>
    <w:rsid w:val="00224240"/>
    <w:rsid w:val="00226FA2"/>
    <w:rsid w:val="0024134B"/>
    <w:rsid w:val="00242F22"/>
    <w:rsid w:val="00251132"/>
    <w:rsid w:val="002535DF"/>
    <w:rsid w:val="002558EB"/>
    <w:rsid w:val="00255B43"/>
    <w:rsid w:val="00255BDC"/>
    <w:rsid w:val="00255BEA"/>
    <w:rsid w:val="00261403"/>
    <w:rsid w:val="00261F59"/>
    <w:rsid w:val="002705A4"/>
    <w:rsid w:val="00272AF4"/>
    <w:rsid w:val="00276C06"/>
    <w:rsid w:val="00280198"/>
    <w:rsid w:val="00282094"/>
    <w:rsid w:val="002843BC"/>
    <w:rsid w:val="00284A84"/>
    <w:rsid w:val="0029129F"/>
    <w:rsid w:val="0029206A"/>
    <w:rsid w:val="00296B90"/>
    <w:rsid w:val="00297296"/>
    <w:rsid w:val="002A0668"/>
    <w:rsid w:val="002A6B8B"/>
    <w:rsid w:val="002A6F7A"/>
    <w:rsid w:val="002A7FBB"/>
    <w:rsid w:val="002B1ED8"/>
    <w:rsid w:val="002B45EC"/>
    <w:rsid w:val="002B463B"/>
    <w:rsid w:val="002B62C6"/>
    <w:rsid w:val="002C17A7"/>
    <w:rsid w:val="002C2DA5"/>
    <w:rsid w:val="002C4714"/>
    <w:rsid w:val="002C6160"/>
    <w:rsid w:val="002D02F2"/>
    <w:rsid w:val="002D28EA"/>
    <w:rsid w:val="002D51BB"/>
    <w:rsid w:val="002D5BAE"/>
    <w:rsid w:val="002D5DDC"/>
    <w:rsid w:val="002D6AA3"/>
    <w:rsid w:val="002E4C15"/>
    <w:rsid w:val="002E5C33"/>
    <w:rsid w:val="002E5D29"/>
    <w:rsid w:val="002F68F9"/>
    <w:rsid w:val="00300411"/>
    <w:rsid w:val="00300C69"/>
    <w:rsid w:val="00300EE4"/>
    <w:rsid w:val="0030197F"/>
    <w:rsid w:val="0030223E"/>
    <w:rsid w:val="00303A1E"/>
    <w:rsid w:val="00303BBD"/>
    <w:rsid w:val="00313440"/>
    <w:rsid w:val="00314FCD"/>
    <w:rsid w:val="00323243"/>
    <w:rsid w:val="00324290"/>
    <w:rsid w:val="003253AA"/>
    <w:rsid w:val="00331737"/>
    <w:rsid w:val="0033243D"/>
    <w:rsid w:val="0033652E"/>
    <w:rsid w:val="00336791"/>
    <w:rsid w:val="00340617"/>
    <w:rsid w:val="00340B13"/>
    <w:rsid w:val="00340CDB"/>
    <w:rsid w:val="003427C6"/>
    <w:rsid w:val="00343472"/>
    <w:rsid w:val="003455AA"/>
    <w:rsid w:val="00347634"/>
    <w:rsid w:val="00351E90"/>
    <w:rsid w:val="00354B1F"/>
    <w:rsid w:val="00360206"/>
    <w:rsid w:val="003624EE"/>
    <w:rsid w:val="003632E1"/>
    <w:rsid w:val="00363CD3"/>
    <w:rsid w:val="003656A9"/>
    <w:rsid w:val="00366852"/>
    <w:rsid w:val="00366CF9"/>
    <w:rsid w:val="003706EF"/>
    <w:rsid w:val="00370BE4"/>
    <w:rsid w:val="00371D56"/>
    <w:rsid w:val="0037755D"/>
    <w:rsid w:val="00381F0E"/>
    <w:rsid w:val="0038492E"/>
    <w:rsid w:val="0038549B"/>
    <w:rsid w:val="0038628A"/>
    <w:rsid w:val="0038634F"/>
    <w:rsid w:val="00391C48"/>
    <w:rsid w:val="00394337"/>
    <w:rsid w:val="003A437A"/>
    <w:rsid w:val="003A503E"/>
    <w:rsid w:val="003A6039"/>
    <w:rsid w:val="003A6253"/>
    <w:rsid w:val="003A76B2"/>
    <w:rsid w:val="003B232A"/>
    <w:rsid w:val="003B47FA"/>
    <w:rsid w:val="003B6208"/>
    <w:rsid w:val="003B7F8F"/>
    <w:rsid w:val="003C4172"/>
    <w:rsid w:val="003C437D"/>
    <w:rsid w:val="003C4456"/>
    <w:rsid w:val="003D3301"/>
    <w:rsid w:val="003D3872"/>
    <w:rsid w:val="003D4641"/>
    <w:rsid w:val="003E05B7"/>
    <w:rsid w:val="003E0C0A"/>
    <w:rsid w:val="003E6CFF"/>
    <w:rsid w:val="004010E3"/>
    <w:rsid w:val="00402FC5"/>
    <w:rsid w:val="004055B8"/>
    <w:rsid w:val="0040709D"/>
    <w:rsid w:val="00411905"/>
    <w:rsid w:val="004122F9"/>
    <w:rsid w:val="004124D3"/>
    <w:rsid w:val="004139BA"/>
    <w:rsid w:val="00421CBC"/>
    <w:rsid w:val="0043008C"/>
    <w:rsid w:val="00430B91"/>
    <w:rsid w:val="004349B9"/>
    <w:rsid w:val="004374EF"/>
    <w:rsid w:val="00440F61"/>
    <w:rsid w:val="004441CB"/>
    <w:rsid w:val="00450DB8"/>
    <w:rsid w:val="00451C14"/>
    <w:rsid w:val="00453D2C"/>
    <w:rsid w:val="00454851"/>
    <w:rsid w:val="00456070"/>
    <w:rsid w:val="00456B26"/>
    <w:rsid w:val="004570E7"/>
    <w:rsid w:val="00460A1D"/>
    <w:rsid w:val="004613DF"/>
    <w:rsid w:val="00461BB2"/>
    <w:rsid w:val="00463F96"/>
    <w:rsid w:val="004660BE"/>
    <w:rsid w:val="0046696C"/>
    <w:rsid w:val="00466C95"/>
    <w:rsid w:val="00466DD7"/>
    <w:rsid w:val="00471F7D"/>
    <w:rsid w:val="00473B19"/>
    <w:rsid w:val="00474C3C"/>
    <w:rsid w:val="00474CB3"/>
    <w:rsid w:val="00474ECD"/>
    <w:rsid w:val="004757B5"/>
    <w:rsid w:val="004806AE"/>
    <w:rsid w:val="004816ED"/>
    <w:rsid w:val="0048309F"/>
    <w:rsid w:val="004834F0"/>
    <w:rsid w:val="00487185"/>
    <w:rsid w:val="004873AE"/>
    <w:rsid w:val="00487718"/>
    <w:rsid w:val="00490ABE"/>
    <w:rsid w:val="004932A8"/>
    <w:rsid w:val="00493B34"/>
    <w:rsid w:val="00497E47"/>
    <w:rsid w:val="004A0368"/>
    <w:rsid w:val="004A2715"/>
    <w:rsid w:val="004A2894"/>
    <w:rsid w:val="004A2B41"/>
    <w:rsid w:val="004A3B3E"/>
    <w:rsid w:val="004B1038"/>
    <w:rsid w:val="004B2226"/>
    <w:rsid w:val="004B6BED"/>
    <w:rsid w:val="004B77C2"/>
    <w:rsid w:val="004C0B3D"/>
    <w:rsid w:val="004C2D7B"/>
    <w:rsid w:val="004C45D2"/>
    <w:rsid w:val="004C5EEF"/>
    <w:rsid w:val="004D0DD5"/>
    <w:rsid w:val="004D118A"/>
    <w:rsid w:val="004D1CB9"/>
    <w:rsid w:val="004D21C9"/>
    <w:rsid w:val="004D3F95"/>
    <w:rsid w:val="004E34F8"/>
    <w:rsid w:val="004E3C84"/>
    <w:rsid w:val="004E528B"/>
    <w:rsid w:val="004F146C"/>
    <w:rsid w:val="004F1F3C"/>
    <w:rsid w:val="0050408D"/>
    <w:rsid w:val="00504C6A"/>
    <w:rsid w:val="00510364"/>
    <w:rsid w:val="005116C9"/>
    <w:rsid w:val="00511BEE"/>
    <w:rsid w:val="005175E9"/>
    <w:rsid w:val="00520368"/>
    <w:rsid w:val="0052658A"/>
    <w:rsid w:val="005272B3"/>
    <w:rsid w:val="00533270"/>
    <w:rsid w:val="00540146"/>
    <w:rsid w:val="005404D4"/>
    <w:rsid w:val="00543C22"/>
    <w:rsid w:val="0054405B"/>
    <w:rsid w:val="0054567F"/>
    <w:rsid w:val="00546B44"/>
    <w:rsid w:val="005501FC"/>
    <w:rsid w:val="00553291"/>
    <w:rsid w:val="005546FF"/>
    <w:rsid w:val="00555711"/>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4FF8"/>
    <w:rsid w:val="005C00EC"/>
    <w:rsid w:val="005C15C9"/>
    <w:rsid w:val="005C30E9"/>
    <w:rsid w:val="005C663B"/>
    <w:rsid w:val="005C7E54"/>
    <w:rsid w:val="005D1C38"/>
    <w:rsid w:val="005D1ED6"/>
    <w:rsid w:val="005D767A"/>
    <w:rsid w:val="005E2628"/>
    <w:rsid w:val="005E5F66"/>
    <w:rsid w:val="005F46EC"/>
    <w:rsid w:val="005F49C9"/>
    <w:rsid w:val="005F71CE"/>
    <w:rsid w:val="005F7A68"/>
    <w:rsid w:val="00601529"/>
    <w:rsid w:val="00601980"/>
    <w:rsid w:val="0060332C"/>
    <w:rsid w:val="00604C5A"/>
    <w:rsid w:val="00607F1D"/>
    <w:rsid w:val="006103F8"/>
    <w:rsid w:val="00612DE8"/>
    <w:rsid w:val="00615A83"/>
    <w:rsid w:val="00620EA0"/>
    <w:rsid w:val="00623E47"/>
    <w:rsid w:val="00624CD2"/>
    <w:rsid w:val="0062795C"/>
    <w:rsid w:val="00631A06"/>
    <w:rsid w:val="00632F23"/>
    <w:rsid w:val="00633D28"/>
    <w:rsid w:val="00633F1B"/>
    <w:rsid w:val="00634D07"/>
    <w:rsid w:val="00635799"/>
    <w:rsid w:val="00636A77"/>
    <w:rsid w:val="00637085"/>
    <w:rsid w:val="0064051B"/>
    <w:rsid w:val="00645D2C"/>
    <w:rsid w:val="00650724"/>
    <w:rsid w:val="006517B5"/>
    <w:rsid w:val="00652076"/>
    <w:rsid w:val="00653DA3"/>
    <w:rsid w:val="00654D37"/>
    <w:rsid w:val="006621F0"/>
    <w:rsid w:val="006647E7"/>
    <w:rsid w:val="00666E0E"/>
    <w:rsid w:val="00666FD4"/>
    <w:rsid w:val="00667217"/>
    <w:rsid w:val="006702C6"/>
    <w:rsid w:val="0067490E"/>
    <w:rsid w:val="006769E6"/>
    <w:rsid w:val="00676C63"/>
    <w:rsid w:val="00682333"/>
    <w:rsid w:val="006844CA"/>
    <w:rsid w:val="006871E0"/>
    <w:rsid w:val="00687A0F"/>
    <w:rsid w:val="00693B53"/>
    <w:rsid w:val="00697377"/>
    <w:rsid w:val="006A147C"/>
    <w:rsid w:val="006A1F61"/>
    <w:rsid w:val="006A533C"/>
    <w:rsid w:val="006A5409"/>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7E70"/>
    <w:rsid w:val="00703D2B"/>
    <w:rsid w:val="007065D3"/>
    <w:rsid w:val="007071B1"/>
    <w:rsid w:val="00707EC1"/>
    <w:rsid w:val="00710582"/>
    <w:rsid w:val="00714EE9"/>
    <w:rsid w:val="00721876"/>
    <w:rsid w:val="007246B0"/>
    <w:rsid w:val="007258CB"/>
    <w:rsid w:val="00730E29"/>
    <w:rsid w:val="00731E5A"/>
    <w:rsid w:val="00732FF6"/>
    <w:rsid w:val="00735393"/>
    <w:rsid w:val="00735C37"/>
    <w:rsid w:val="00745E32"/>
    <w:rsid w:val="007466F7"/>
    <w:rsid w:val="00757D89"/>
    <w:rsid w:val="0076194B"/>
    <w:rsid w:val="00763676"/>
    <w:rsid w:val="00765C79"/>
    <w:rsid w:val="00766245"/>
    <w:rsid w:val="00772776"/>
    <w:rsid w:val="00774A9F"/>
    <w:rsid w:val="00776E56"/>
    <w:rsid w:val="00781619"/>
    <w:rsid w:val="007867AB"/>
    <w:rsid w:val="0079146B"/>
    <w:rsid w:val="00791DD5"/>
    <w:rsid w:val="00794BEB"/>
    <w:rsid w:val="00796875"/>
    <w:rsid w:val="0079756E"/>
    <w:rsid w:val="007A1233"/>
    <w:rsid w:val="007A258F"/>
    <w:rsid w:val="007A3B3A"/>
    <w:rsid w:val="007B0A67"/>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5CDB"/>
    <w:rsid w:val="00864432"/>
    <w:rsid w:val="008649A3"/>
    <w:rsid w:val="0086670A"/>
    <w:rsid w:val="00870BA1"/>
    <w:rsid w:val="00873CDE"/>
    <w:rsid w:val="00874421"/>
    <w:rsid w:val="0087538D"/>
    <w:rsid w:val="00875997"/>
    <w:rsid w:val="008760DA"/>
    <w:rsid w:val="0087796C"/>
    <w:rsid w:val="00880932"/>
    <w:rsid w:val="008825B5"/>
    <w:rsid w:val="00884A5A"/>
    <w:rsid w:val="00885E74"/>
    <w:rsid w:val="00886B14"/>
    <w:rsid w:val="008927F4"/>
    <w:rsid w:val="00893B58"/>
    <w:rsid w:val="00894E4C"/>
    <w:rsid w:val="0089642A"/>
    <w:rsid w:val="008A1743"/>
    <w:rsid w:val="008A23DD"/>
    <w:rsid w:val="008A6C51"/>
    <w:rsid w:val="008B15CF"/>
    <w:rsid w:val="008B1B6F"/>
    <w:rsid w:val="008B2242"/>
    <w:rsid w:val="008B386C"/>
    <w:rsid w:val="008B3EC6"/>
    <w:rsid w:val="008B4AD1"/>
    <w:rsid w:val="008B6D93"/>
    <w:rsid w:val="008B7AF1"/>
    <w:rsid w:val="008C3543"/>
    <w:rsid w:val="008C7216"/>
    <w:rsid w:val="008D0F0D"/>
    <w:rsid w:val="008D0FF2"/>
    <w:rsid w:val="008D14D6"/>
    <w:rsid w:val="008D1D7F"/>
    <w:rsid w:val="008D3526"/>
    <w:rsid w:val="008E1269"/>
    <w:rsid w:val="008F0401"/>
    <w:rsid w:val="008F04C1"/>
    <w:rsid w:val="008F2457"/>
    <w:rsid w:val="008F252A"/>
    <w:rsid w:val="008F493C"/>
    <w:rsid w:val="008F6AFD"/>
    <w:rsid w:val="008F6D8D"/>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25C"/>
    <w:rsid w:val="0094737A"/>
    <w:rsid w:val="00950094"/>
    <w:rsid w:val="0095139E"/>
    <w:rsid w:val="00951536"/>
    <w:rsid w:val="00952B32"/>
    <w:rsid w:val="00952C61"/>
    <w:rsid w:val="00954B3E"/>
    <w:rsid w:val="009554A6"/>
    <w:rsid w:val="00956FEB"/>
    <w:rsid w:val="00961BD2"/>
    <w:rsid w:val="00963E52"/>
    <w:rsid w:val="009650D5"/>
    <w:rsid w:val="0096535F"/>
    <w:rsid w:val="00965F35"/>
    <w:rsid w:val="00966500"/>
    <w:rsid w:val="009729A3"/>
    <w:rsid w:val="00977F1D"/>
    <w:rsid w:val="00982217"/>
    <w:rsid w:val="00984AD1"/>
    <w:rsid w:val="00984B39"/>
    <w:rsid w:val="00986A83"/>
    <w:rsid w:val="00990645"/>
    <w:rsid w:val="009A130B"/>
    <w:rsid w:val="009A2639"/>
    <w:rsid w:val="009A397F"/>
    <w:rsid w:val="009A7D12"/>
    <w:rsid w:val="009B4F83"/>
    <w:rsid w:val="009B6983"/>
    <w:rsid w:val="009C2FA8"/>
    <w:rsid w:val="009C5450"/>
    <w:rsid w:val="009C5716"/>
    <w:rsid w:val="009D316A"/>
    <w:rsid w:val="009D3527"/>
    <w:rsid w:val="009D5368"/>
    <w:rsid w:val="009D54DF"/>
    <w:rsid w:val="009E56AC"/>
    <w:rsid w:val="009E56AF"/>
    <w:rsid w:val="009E5E22"/>
    <w:rsid w:val="009E678D"/>
    <w:rsid w:val="009F28E2"/>
    <w:rsid w:val="009F4BDF"/>
    <w:rsid w:val="009F60BA"/>
    <w:rsid w:val="009F7F44"/>
    <w:rsid w:val="00A01B8D"/>
    <w:rsid w:val="00A034AE"/>
    <w:rsid w:val="00A035F5"/>
    <w:rsid w:val="00A03D4A"/>
    <w:rsid w:val="00A11F34"/>
    <w:rsid w:val="00A1350A"/>
    <w:rsid w:val="00A231A4"/>
    <w:rsid w:val="00A27850"/>
    <w:rsid w:val="00A310DA"/>
    <w:rsid w:val="00A32FCB"/>
    <w:rsid w:val="00A3561C"/>
    <w:rsid w:val="00A400BC"/>
    <w:rsid w:val="00A40701"/>
    <w:rsid w:val="00A42169"/>
    <w:rsid w:val="00A424F1"/>
    <w:rsid w:val="00A426B2"/>
    <w:rsid w:val="00A42DA7"/>
    <w:rsid w:val="00A45EE8"/>
    <w:rsid w:val="00A465FC"/>
    <w:rsid w:val="00A47B50"/>
    <w:rsid w:val="00A50459"/>
    <w:rsid w:val="00A506CB"/>
    <w:rsid w:val="00A52369"/>
    <w:rsid w:val="00A52A88"/>
    <w:rsid w:val="00A55701"/>
    <w:rsid w:val="00A56ED1"/>
    <w:rsid w:val="00A648A4"/>
    <w:rsid w:val="00A650B2"/>
    <w:rsid w:val="00A6640D"/>
    <w:rsid w:val="00A7290A"/>
    <w:rsid w:val="00A7438E"/>
    <w:rsid w:val="00A75006"/>
    <w:rsid w:val="00A81E28"/>
    <w:rsid w:val="00A82932"/>
    <w:rsid w:val="00A82D07"/>
    <w:rsid w:val="00A868FB"/>
    <w:rsid w:val="00A915ED"/>
    <w:rsid w:val="00A91CF2"/>
    <w:rsid w:val="00A93BA4"/>
    <w:rsid w:val="00A9416E"/>
    <w:rsid w:val="00AA493D"/>
    <w:rsid w:val="00AA4AFD"/>
    <w:rsid w:val="00AB4807"/>
    <w:rsid w:val="00AB4813"/>
    <w:rsid w:val="00AC0052"/>
    <w:rsid w:val="00AC04D6"/>
    <w:rsid w:val="00AC20A5"/>
    <w:rsid w:val="00AD0685"/>
    <w:rsid w:val="00AD0902"/>
    <w:rsid w:val="00AD38C1"/>
    <w:rsid w:val="00AD5A78"/>
    <w:rsid w:val="00AE1456"/>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5C24"/>
    <w:rsid w:val="00B079F6"/>
    <w:rsid w:val="00B1094A"/>
    <w:rsid w:val="00B10D81"/>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024"/>
    <w:rsid w:val="00B525D3"/>
    <w:rsid w:val="00B55B5C"/>
    <w:rsid w:val="00B56290"/>
    <w:rsid w:val="00B611B3"/>
    <w:rsid w:val="00B61B54"/>
    <w:rsid w:val="00B62874"/>
    <w:rsid w:val="00B6351D"/>
    <w:rsid w:val="00B64203"/>
    <w:rsid w:val="00B6519E"/>
    <w:rsid w:val="00B66AF1"/>
    <w:rsid w:val="00B70245"/>
    <w:rsid w:val="00B703C2"/>
    <w:rsid w:val="00B729E8"/>
    <w:rsid w:val="00B736C3"/>
    <w:rsid w:val="00B74E41"/>
    <w:rsid w:val="00B75BDF"/>
    <w:rsid w:val="00B7740D"/>
    <w:rsid w:val="00B80210"/>
    <w:rsid w:val="00B82F58"/>
    <w:rsid w:val="00B839A9"/>
    <w:rsid w:val="00B84C63"/>
    <w:rsid w:val="00B85BAE"/>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168E"/>
    <w:rsid w:val="00BD439F"/>
    <w:rsid w:val="00BD4F14"/>
    <w:rsid w:val="00BE2644"/>
    <w:rsid w:val="00BE42F3"/>
    <w:rsid w:val="00BE551C"/>
    <w:rsid w:val="00BF6ECD"/>
    <w:rsid w:val="00BF790B"/>
    <w:rsid w:val="00C019BB"/>
    <w:rsid w:val="00C01E67"/>
    <w:rsid w:val="00C04590"/>
    <w:rsid w:val="00C05302"/>
    <w:rsid w:val="00C06B6B"/>
    <w:rsid w:val="00C06F37"/>
    <w:rsid w:val="00C0799A"/>
    <w:rsid w:val="00C13438"/>
    <w:rsid w:val="00C170FF"/>
    <w:rsid w:val="00C173E1"/>
    <w:rsid w:val="00C2019E"/>
    <w:rsid w:val="00C27AEF"/>
    <w:rsid w:val="00C3110E"/>
    <w:rsid w:val="00C3466C"/>
    <w:rsid w:val="00C34E4E"/>
    <w:rsid w:val="00C355FF"/>
    <w:rsid w:val="00C41A64"/>
    <w:rsid w:val="00C47122"/>
    <w:rsid w:val="00C47959"/>
    <w:rsid w:val="00C47CEA"/>
    <w:rsid w:val="00C515E0"/>
    <w:rsid w:val="00C531A3"/>
    <w:rsid w:val="00C57F24"/>
    <w:rsid w:val="00C63EA6"/>
    <w:rsid w:val="00C6619F"/>
    <w:rsid w:val="00C6624A"/>
    <w:rsid w:val="00C70110"/>
    <w:rsid w:val="00C742C3"/>
    <w:rsid w:val="00C75559"/>
    <w:rsid w:val="00C76D88"/>
    <w:rsid w:val="00C7785D"/>
    <w:rsid w:val="00C77A26"/>
    <w:rsid w:val="00C82229"/>
    <w:rsid w:val="00C85BDD"/>
    <w:rsid w:val="00C86B81"/>
    <w:rsid w:val="00C91557"/>
    <w:rsid w:val="00C92F74"/>
    <w:rsid w:val="00CA1C19"/>
    <w:rsid w:val="00CA204D"/>
    <w:rsid w:val="00CA2E14"/>
    <w:rsid w:val="00CA60CD"/>
    <w:rsid w:val="00CB10E9"/>
    <w:rsid w:val="00CB11D6"/>
    <w:rsid w:val="00CB5475"/>
    <w:rsid w:val="00CB665E"/>
    <w:rsid w:val="00CB6661"/>
    <w:rsid w:val="00CB6E09"/>
    <w:rsid w:val="00CC09A7"/>
    <w:rsid w:val="00CC0FD9"/>
    <w:rsid w:val="00CC1F8F"/>
    <w:rsid w:val="00CD12DD"/>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2C7B"/>
    <w:rsid w:val="00D23FFF"/>
    <w:rsid w:val="00D2778A"/>
    <w:rsid w:val="00D31043"/>
    <w:rsid w:val="00D32077"/>
    <w:rsid w:val="00D324C0"/>
    <w:rsid w:val="00D34914"/>
    <w:rsid w:val="00D34A13"/>
    <w:rsid w:val="00D35075"/>
    <w:rsid w:val="00D3640D"/>
    <w:rsid w:val="00D42AE0"/>
    <w:rsid w:val="00D43F4A"/>
    <w:rsid w:val="00D45330"/>
    <w:rsid w:val="00D45705"/>
    <w:rsid w:val="00D45A48"/>
    <w:rsid w:val="00D45DB8"/>
    <w:rsid w:val="00D45FAE"/>
    <w:rsid w:val="00D505CD"/>
    <w:rsid w:val="00D50821"/>
    <w:rsid w:val="00D52D25"/>
    <w:rsid w:val="00D54DFC"/>
    <w:rsid w:val="00D632EF"/>
    <w:rsid w:val="00D65A57"/>
    <w:rsid w:val="00D661C4"/>
    <w:rsid w:val="00D66306"/>
    <w:rsid w:val="00D66B18"/>
    <w:rsid w:val="00D726DB"/>
    <w:rsid w:val="00D73164"/>
    <w:rsid w:val="00D77E53"/>
    <w:rsid w:val="00D8135F"/>
    <w:rsid w:val="00D81DD5"/>
    <w:rsid w:val="00D87BB8"/>
    <w:rsid w:val="00D90BD9"/>
    <w:rsid w:val="00D911EC"/>
    <w:rsid w:val="00D932C5"/>
    <w:rsid w:val="00D939A7"/>
    <w:rsid w:val="00D9581C"/>
    <w:rsid w:val="00D95DCB"/>
    <w:rsid w:val="00D96228"/>
    <w:rsid w:val="00DA32CF"/>
    <w:rsid w:val="00DA5459"/>
    <w:rsid w:val="00DA6E5A"/>
    <w:rsid w:val="00DB357A"/>
    <w:rsid w:val="00DB4233"/>
    <w:rsid w:val="00DB5097"/>
    <w:rsid w:val="00DB64BD"/>
    <w:rsid w:val="00DC4F7C"/>
    <w:rsid w:val="00DC7134"/>
    <w:rsid w:val="00DC74F2"/>
    <w:rsid w:val="00DC7C2C"/>
    <w:rsid w:val="00DD2256"/>
    <w:rsid w:val="00DD4B55"/>
    <w:rsid w:val="00DD5871"/>
    <w:rsid w:val="00DE2F66"/>
    <w:rsid w:val="00DE4173"/>
    <w:rsid w:val="00DE4592"/>
    <w:rsid w:val="00DF5B62"/>
    <w:rsid w:val="00DF6125"/>
    <w:rsid w:val="00E04175"/>
    <w:rsid w:val="00E05332"/>
    <w:rsid w:val="00E13E05"/>
    <w:rsid w:val="00E14F85"/>
    <w:rsid w:val="00E15784"/>
    <w:rsid w:val="00E16734"/>
    <w:rsid w:val="00E179BE"/>
    <w:rsid w:val="00E20401"/>
    <w:rsid w:val="00E229E0"/>
    <w:rsid w:val="00E264D8"/>
    <w:rsid w:val="00E319F9"/>
    <w:rsid w:val="00E331C7"/>
    <w:rsid w:val="00E33BB8"/>
    <w:rsid w:val="00E35240"/>
    <w:rsid w:val="00E36E18"/>
    <w:rsid w:val="00E37099"/>
    <w:rsid w:val="00E40A15"/>
    <w:rsid w:val="00E40CCE"/>
    <w:rsid w:val="00E43654"/>
    <w:rsid w:val="00E459FA"/>
    <w:rsid w:val="00E45A4B"/>
    <w:rsid w:val="00E46996"/>
    <w:rsid w:val="00E50522"/>
    <w:rsid w:val="00E52F87"/>
    <w:rsid w:val="00E6120D"/>
    <w:rsid w:val="00E61D06"/>
    <w:rsid w:val="00E64908"/>
    <w:rsid w:val="00E7043E"/>
    <w:rsid w:val="00E747D9"/>
    <w:rsid w:val="00E75D5D"/>
    <w:rsid w:val="00E766CA"/>
    <w:rsid w:val="00E77E7C"/>
    <w:rsid w:val="00E81F85"/>
    <w:rsid w:val="00E8413D"/>
    <w:rsid w:val="00E84C2A"/>
    <w:rsid w:val="00E90CA1"/>
    <w:rsid w:val="00E91D25"/>
    <w:rsid w:val="00E94465"/>
    <w:rsid w:val="00E94720"/>
    <w:rsid w:val="00E95F4D"/>
    <w:rsid w:val="00E97067"/>
    <w:rsid w:val="00EA6E8E"/>
    <w:rsid w:val="00EA7978"/>
    <w:rsid w:val="00EA7D19"/>
    <w:rsid w:val="00EB4D40"/>
    <w:rsid w:val="00EB7F70"/>
    <w:rsid w:val="00EC4657"/>
    <w:rsid w:val="00EC4C2A"/>
    <w:rsid w:val="00EC6764"/>
    <w:rsid w:val="00EC726F"/>
    <w:rsid w:val="00EC7743"/>
    <w:rsid w:val="00EC7B8C"/>
    <w:rsid w:val="00ED055B"/>
    <w:rsid w:val="00ED2540"/>
    <w:rsid w:val="00ED48A6"/>
    <w:rsid w:val="00ED48F0"/>
    <w:rsid w:val="00ED521A"/>
    <w:rsid w:val="00ED6537"/>
    <w:rsid w:val="00EE1F48"/>
    <w:rsid w:val="00EE3C5A"/>
    <w:rsid w:val="00EE4E0F"/>
    <w:rsid w:val="00EE504D"/>
    <w:rsid w:val="00EE66A2"/>
    <w:rsid w:val="00EE75E3"/>
    <w:rsid w:val="00EE7777"/>
    <w:rsid w:val="00EF0C86"/>
    <w:rsid w:val="00EF2D7A"/>
    <w:rsid w:val="00EF5378"/>
    <w:rsid w:val="00EF586D"/>
    <w:rsid w:val="00F00B9A"/>
    <w:rsid w:val="00F0246E"/>
    <w:rsid w:val="00F026DB"/>
    <w:rsid w:val="00F04133"/>
    <w:rsid w:val="00F05BCE"/>
    <w:rsid w:val="00F12233"/>
    <w:rsid w:val="00F12CE1"/>
    <w:rsid w:val="00F14096"/>
    <w:rsid w:val="00F14820"/>
    <w:rsid w:val="00F30DED"/>
    <w:rsid w:val="00F31DB2"/>
    <w:rsid w:val="00F33F5D"/>
    <w:rsid w:val="00F37720"/>
    <w:rsid w:val="00F4046D"/>
    <w:rsid w:val="00F40A6C"/>
    <w:rsid w:val="00F42D15"/>
    <w:rsid w:val="00F44EA5"/>
    <w:rsid w:val="00F4518D"/>
    <w:rsid w:val="00F454F6"/>
    <w:rsid w:val="00F46AEA"/>
    <w:rsid w:val="00F46C28"/>
    <w:rsid w:val="00F46CF6"/>
    <w:rsid w:val="00F51019"/>
    <w:rsid w:val="00F52179"/>
    <w:rsid w:val="00F52B79"/>
    <w:rsid w:val="00F559A5"/>
    <w:rsid w:val="00F55F9D"/>
    <w:rsid w:val="00F56E1A"/>
    <w:rsid w:val="00F60EEE"/>
    <w:rsid w:val="00F6204B"/>
    <w:rsid w:val="00F62B71"/>
    <w:rsid w:val="00F62CDA"/>
    <w:rsid w:val="00F6448C"/>
    <w:rsid w:val="00F65D8A"/>
    <w:rsid w:val="00F72B98"/>
    <w:rsid w:val="00F74422"/>
    <w:rsid w:val="00F76222"/>
    <w:rsid w:val="00F83712"/>
    <w:rsid w:val="00F85F61"/>
    <w:rsid w:val="00F86BEC"/>
    <w:rsid w:val="00F90084"/>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E750D"/>
    <w:rsid w:val="00FE75CD"/>
    <w:rsid w:val="00FE7BAB"/>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1"/>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731E5A"/>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rsid w:val="00E05332"/>
    <w:pPr>
      <w:autoSpaceDE w:val="0"/>
      <w:autoSpaceDN w:val="0"/>
      <w:adjustRightInd w:val="0"/>
      <w:spacing w:after="0" w:line="240" w:lineRule="auto"/>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E05332"/>
    <w:rPr>
      <w:rFonts w:ascii="Times New Roman" w:hAnsi="Times New Roman" w:cs="Times New Roman"/>
      <w:sz w:val="16"/>
      <w:szCs w:val="16"/>
    </w:rPr>
  </w:style>
  <w:style w:type="paragraph" w:customStyle="1" w:styleId="TableParagraph">
    <w:name w:val="Table Paragraph"/>
    <w:basedOn w:val="Normal"/>
    <w:uiPriority w:val="1"/>
    <w:qFormat/>
    <w:rsid w:val="00E05332"/>
    <w:pPr>
      <w:autoSpaceDE w:val="0"/>
      <w:autoSpaceDN w:val="0"/>
      <w:adjustRightInd w:val="0"/>
      <w:spacing w:after="0" w:line="160" w:lineRule="exact"/>
    </w:pPr>
    <w:rPr>
      <w:rFonts w:ascii="Times New Roman" w:hAnsi="Times New Roman" w:cs="Times New Roman"/>
      <w:sz w:val="24"/>
      <w:szCs w:val="24"/>
    </w:rPr>
  </w:style>
  <w:style w:type="character" w:customStyle="1" w:styleId="medium-normal">
    <w:name w:val="medium-normal"/>
    <w:basedOn w:val="DefaultParagraphFont"/>
    <w:rsid w:val="0001279B"/>
  </w:style>
  <w:style w:type="character" w:customStyle="1" w:styleId="contribdegrees">
    <w:name w:val="contribdegrees"/>
    <w:basedOn w:val="DefaultParagraphFont"/>
    <w:rsid w:val="00ED6537"/>
  </w:style>
  <w:style w:type="character" w:customStyle="1" w:styleId="mi">
    <w:name w:val="mi"/>
    <w:basedOn w:val="DefaultParagraphFont"/>
    <w:rsid w:val="00666E0E"/>
  </w:style>
  <w:style w:type="character" w:customStyle="1" w:styleId="mo">
    <w:name w:val="mo"/>
    <w:basedOn w:val="DefaultParagraphFont"/>
    <w:rsid w:val="00666E0E"/>
  </w:style>
  <w:style w:type="character" w:customStyle="1" w:styleId="mn">
    <w:name w:val="mn"/>
    <w:basedOn w:val="DefaultParagraphFont"/>
    <w:rsid w:val="00666E0E"/>
  </w:style>
  <w:style w:type="character" w:customStyle="1" w:styleId="msqrt">
    <w:name w:val="msqrt"/>
    <w:basedOn w:val="DefaultParagraphFont"/>
    <w:rsid w:val="00666E0E"/>
  </w:style>
  <w:style w:type="character" w:customStyle="1" w:styleId="nlmfn">
    <w:name w:val="nlm_fn"/>
    <w:basedOn w:val="DefaultParagraphFont"/>
    <w:rsid w:val="007B0A67"/>
  </w:style>
  <w:style w:type="character" w:customStyle="1" w:styleId="fn-label">
    <w:name w:val="fn-label"/>
    <w:basedOn w:val="DefaultParagraphFont"/>
    <w:rsid w:val="007B0A67"/>
  </w:style>
  <w:style w:type="character" w:customStyle="1" w:styleId="nlmyear">
    <w:name w:val="nlm_year"/>
    <w:basedOn w:val="DefaultParagraphFont"/>
    <w:rsid w:val="008B386C"/>
  </w:style>
  <w:style w:type="character" w:customStyle="1" w:styleId="nlmarticle-title">
    <w:name w:val="nlm_article-title"/>
    <w:basedOn w:val="DefaultParagraphFont"/>
    <w:rsid w:val="008B386C"/>
  </w:style>
  <w:style w:type="character" w:customStyle="1" w:styleId="nlmfpage">
    <w:name w:val="nlm_fpage"/>
    <w:basedOn w:val="DefaultParagraphFont"/>
    <w:rsid w:val="008B386C"/>
  </w:style>
  <w:style w:type="character" w:customStyle="1" w:styleId="nlmlpage">
    <w:name w:val="nlm_lpage"/>
    <w:basedOn w:val="DefaultParagraphFont"/>
    <w:rsid w:val="008B3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931">
      <w:bodyDiv w:val="1"/>
      <w:marLeft w:val="0"/>
      <w:marRight w:val="0"/>
      <w:marTop w:val="0"/>
      <w:marBottom w:val="0"/>
      <w:divBdr>
        <w:top w:val="none" w:sz="0" w:space="0" w:color="auto"/>
        <w:left w:val="none" w:sz="0" w:space="0" w:color="auto"/>
        <w:bottom w:val="none" w:sz="0" w:space="0" w:color="auto"/>
        <w:right w:val="none" w:sz="0" w:space="0" w:color="auto"/>
      </w:divBdr>
    </w:div>
    <w:div w:id="26029645">
      <w:bodyDiv w:val="1"/>
      <w:marLeft w:val="0"/>
      <w:marRight w:val="0"/>
      <w:marTop w:val="0"/>
      <w:marBottom w:val="0"/>
      <w:divBdr>
        <w:top w:val="none" w:sz="0" w:space="0" w:color="auto"/>
        <w:left w:val="none" w:sz="0" w:space="0" w:color="auto"/>
        <w:bottom w:val="none" w:sz="0" w:space="0" w:color="auto"/>
        <w:right w:val="none" w:sz="0" w:space="0" w:color="auto"/>
      </w:divBdr>
    </w:div>
    <w:div w:id="51848910">
      <w:bodyDiv w:val="1"/>
      <w:marLeft w:val="0"/>
      <w:marRight w:val="0"/>
      <w:marTop w:val="0"/>
      <w:marBottom w:val="0"/>
      <w:divBdr>
        <w:top w:val="none" w:sz="0" w:space="0" w:color="auto"/>
        <w:left w:val="none" w:sz="0" w:space="0" w:color="auto"/>
        <w:bottom w:val="none" w:sz="0" w:space="0" w:color="auto"/>
        <w:right w:val="none" w:sz="0" w:space="0" w:color="auto"/>
      </w:divBdr>
    </w:div>
    <w:div w:id="87428456">
      <w:bodyDiv w:val="1"/>
      <w:marLeft w:val="0"/>
      <w:marRight w:val="0"/>
      <w:marTop w:val="0"/>
      <w:marBottom w:val="0"/>
      <w:divBdr>
        <w:top w:val="none" w:sz="0" w:space="0" w:color="auto"/>
        <w:left w:val="none" w:sz="0" w:space="0" w:color="auto"/>
        <w:bottom w:val="none" w:sz="0" w:space="0" w:color="auto"/>
        <w:right w:val="none" w:sz="0" w:space="0" w:color="auto"/>
      </w:divBdr>
    </w:div>
    <w:div w:id="102459511">
      <w:bodyDiv w:val="1"/>
      <w:marLeft w:val="0"/>
      <w:marRight w:val="0"/>
      <w:marTop w:val="0"/>
      <w:marBottom w:val="0"/>
      <w:divBdr>
        <w:top w:val="none" w:sz="0" w:space="0" w:color="auto"/>
        <w:left w:val="none" w:sz="0" w:space="0" w:color="auto"/>
        <w:bottom w:val="none" w:sz="0" w:space="0" w:color="auto"/>
        <w:right w:val="none" w:sz="0" w:space="0" w:color="auto"/>
      </w:divBdr>
    </w:div>
    <w:div w:id="155801511">
      <w:bodyDiv w:val="1"/>
      <w:marLeft w:val="0"/>
      <w:marRight w:val="0"/>
      <w:marTop w:val="0"/>
      <w:marBottom w:val="0"/>
      <w:divBdr>
        <w:top w:val="none" w:sz="0" w:space="0" w:color="auto"/>
        <w:left w:val="none" w:sz="0" w:space="0" w:color="auto"/>
        <w:bottom w:val="none" w:sz="0" w:space="0" w:color="auto"/>
        <w:right w:val="none" w:sz="0" w:space="0" w:color="auto"/>
      </w:divBdr>
    </w:div>
    <w:div w:id="178393380">
      <w:bodyDiv w:val="1"/>
      <w:marLeft w:val="0"/>
      <w:marRight w:val="0"/>
      <w:marTop w:val="0"/>
      <w:marBottom w:val="0"/>
      <w:divBdr>
        <w:top w:val="none" w:sz="0" w:space="0" w:color="auto"/>
        <w:left w:val="none" w:sz="0" w:space="0" w:color="auto"/>
        <w:bottom w:val="none" w:sz="0" w:space="0" w:color="auto"/>
        <w:right w:val="none" w:sz="0" w:space="0" w:color="auto"/>
      </w:divBdr>
    </w:div>
    <w:div w:id="232743977">
      <w:bodyDiv w:val="1"/>
      <w:marLeft w:val="0"/>
      <w:marRight w:val="0"/>
      <w:marTop w:val="0"/>
      <w:marBottom w:val="0"/>
      <w:divBdr>
        <w:top w:val="none" w:sz="0" w:space="0" w:color="auto"/>
        <w:left w:val="none" w:sz="0" w:space="0" w:color="auto"/>
        <w:bottom w:val="none" w:sz="0" w:space="0" w:color="auto"/>
        <w:right w:val="none" w:sz="0" w:space="0" w:color="auto"/>
      </w:divBdr>
    </w:div>
    <w:div w:id="281573472">
      <w:bodyDiv w:val="1"/>
      <w:marLeft w:val="0"/>
      <w:marRight w:val="0"/>
      <w:marTop w:val="0"/>
      <w:marBottom w:val="0"/>
      <w:divBdr>
        <w:top w:val="none" w:sz="0" w:space="0" w:color="auto"/>
        <w:left w:val="none" w:sz="0" w:space="0" w:color="auto"/>
        <w:bottom w:val="none" w:sz="0" w:space="0" w:color="auto"/>
        <w:right w:val="none" w:sz="0" w:space="0" w:color="auto"/>
      </w:divBdr>
    </w:div>
    <w:div w:id="367486127">
      <w:bodyDiv w:val="1"/>
      <w:marLeft w:val="0"/>
      <w:marRight w:val="0"/>
      <w:marTop w:val="0"/>
      <w:marBottom w:val="0"/>
      <w:divBdr>
        <w:top w:val="none" w:sz="0" w:space="0" w:color="auto"/>
        <w:left w:val="none" w:sz="0" w:space="0" w:color="auto"/>
        <w:bottom w:val="none" w:sz="0" w:space="0" w:color="auto"/>
        <w:right w:val="none" w:sz="0" w:space="0" w:color="auto"/>
      </w:divBdr>
    </w:div>
    <w:div w:id="381291373">
      <w:bodyDiv w:val="1"/>
      <w:marLeft w:val="0"/>
      <w:marRight w:val="0"/>
      <w:marTop w:val="0"/>
      <w:marBottom w:val="0"/>
      <w:divBdr>
        <w:top w:val="none" w:sz="0" w:space="0" w:color="auto"/>
        <w:left w:val="none" w:sz="0" w:space="0" w:color="auto"/>
        <w:bottom w:val="none" w:sz="0" w:space="0" w:color="auto"/>
        <w:right w:val="none" w:sz="0" w:space="0" w:color="auto"/>
      </w:divBdr>
    </w:div>
    <w:div w:id="390151307">
      <w:bodyDiv w:val="1"/>
      <w:marLeft w:val="0"/>
      <w:marRight w:val="0"/>
      <w:marTop w:val="0"/>
      <w:marBottom w:val="0"/>
      <w:divBdr>
        <w:top w:val="none" w:sz="0" w:space="0" w:color="auto"/>
        <w:left w:val="none" w:sz="0" w:space="0" w:color="auto"/>
        <w:bottom w:val="none" w:sz="0" w:space="0" w:color="auto"/>
        <w:right w:val="none" w:sz="0" w:space="0" w:color="auto"/>
      </w:divBdr>
    </w:div>
    <w:div w:id="397943517">
      <w:bodyDiv w:val="1"/>
      <w:marLeft w:val="0"/>
      <w:marRight w:val="0"/>
      <w:marTop w:val="0"/>
      <w:marBottom w:val="0"/>
      <w:divBdr>
        <w:top w:val="none" w:sz="0" w:space="0" w:color="auto"/>
        <w:left w:val="none" w:sz="0" w:space="0" w:color="auto"/>
        <w:bottom w:val="none" w:sz="0" w:space="0" w:color="auto"/>
        <w:right w:val="none" w:sz="0" w:space="0" w:color="auto"/>
      </w:divBdr>
    </w:div>
    <w:div w:id="441150390">
      <w:bodyDiv w:val="1"/>
      <w:marLeft w:val="0"/>
      <w:marRight w:val="0"/>
      <w:marTop w:val="0"/>
      <w:marBottom w:val="0"/>
      <w:divBdr>
        <w:top w:val="none" w:sz="0" w:space="0" w:color="auto"/>
        <w:left w:val="none" w:sz="0" w:space="0" w:color="auto"/>
        <w:bottom w:val="none" w:sz="0" w:space="0" w:color="auto"/>
        <w:right w:val="none" w:sz="0" w:space="0" w:color="auto"/>
      </w:divBdr>
    </w:div>
    <w:div w:id="498469569">
      <w:bodyDiv w:val="1"/>
      <w:marLeft w:val="0"/>
      <w:marRight w:val="0"/>
      <w:marTop w:val="0"/>
      <w:marBottom w:val="0"/>
      <w:divBdr>
        <w:top w:val="none" w:sz="0" w:space="0" w:color="auto"/>
        <w:left w:val="none" w:sz="0" w:space="0" w:color="auto"/>
        <w:bottom w:val="none" w:sz="0" w:space="0" w:color="auto"/>
        <w:right w:val="none" w:sz="0" w:space="0" w:color="auto"/>
      </w:divBdr>
    </w:div>
    <w:div w:id="499738918">
      <w:bodyDiv w:val="1"/>
      <w:marLeft w:val="0"/>
      <w:marRight w:val="0"/>
      <w:marTop w:val="0"/>
      <w:marBottom w:val="0"/>
      <w:divBdr>
        <w:top w:val="none" w:sz="0" w:space="0" w:color="auto"/>
        <w:left w:val="none" w:sz="0" w:space="0" w:color="auto"/>
        <w:bottom w:val="none" w:sz="0" w:space="0" w:color="auto"/>
        <w:right w:val="none" w:sz="0" w:space="0" w:color="auto"/>
      </w:divBdr>
    </w:div>
    <w:div w:id="513544384">
      <w:bodyDiv w:val="1"/>
      <w:marLeft w:val="0"/>
      <w:marRight w:val="0"/>
      <w:marTop w:val="0"/>
      <w:marBottom w:val="0"/>
      <w:divBdr>
        <w:top w:val="none" w:sz="0" w:space="0" w:color="auto"/>
        <w:left w:val="none" w:sz="0" w:space="0" w:color="auto"/>
        <w:bottom w:val="none" w:sz="0" w:space="0" w:color="auto"/>
        <w:right w:val="none" w:sz="0" w:space="0" w:color="auto"/>
      </w:divBdr>
    </w:div>
    <w:div w:id="528613902">
      <w:bodyDiv w:val="1"/>
      <w:marLeft w:val="0"/>
      <w:marRight w:val="0"/>
      <w:marTop w:val="0"/>
      <w:marBottom w:val="0"/>
      <w:divBdr>
        <w:top w:val="none" w:sz="0" w:space="0" w:color="auto"/>
        <w:left w:val="none" w:sz="0" w:space="0" w:color="auto"/>
        <w:bottom w:val="none" w:sz="0" w:space="0" w:color="auto"/>
        <w:right w:val="none" w:sz="0" w:space="0" w:color="auto"/>
      </w:divBdr>
      <w:divsChild>
        <w:div w:id="4086216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576941631">
      <w:bodyDiv w:val="1"/>
      <w:marLeft w:val="0"/>
      <w:marRight w:val="0"/>
      <w:marTop w:val="0"/>
      <w:marBottom w:val="0"/>
      <w:divBdr>
        <w:top w:val="none" w:sz="0" w:space="0" w:color="auto"/>
        <w:left w:val="none" w:sz="0" w:space="0" w:color="auto"/>
        <w:bottom w:val="none" w:sz="0" w:space="0" w:color="auto"/>
        <w:right w:val="none" w:sz="0" w:space="0" w:color="auto"/>
      </w:divBdr>
    </w:div>
    <w:div w:id="596640159">
      <w:bodyDiv w:val="1"/>
      <w:marLeft w:val="0"/>
      <w:marRight w:val="0"/>
      <w:marTop w:val="0"/>
      <w:marBottom w:val="0"/>
      <w:divBdr>
        <w:top w:val="none" w:sz="0" w:space="0" w:color="auto"/>
        <w:left w:val="none" w:sz="0" w:space="0" w:color="auto"/>
        <w:bottom w:val="none" w:sz="0" w:space="0" w:color="auto"/>
        <w:right w:val="none" w:sz="0" w:space="0" w:color="auto"/>
      </w:divBdr>
    </w:div>
    <w:div w:id="603223099">
      <w:bodyDiv w:val="1"/>
      <w:marLeft w:val="0"/>
      <w:marRight w:val="0"/>
      <w:marTop w:val="0"/>
      <w:marBottom w:val="0"/>
      <w:divBdr>
        <w:top w:val="none" w:sz="0" w:space="0" w:color="auto"/>
        <w:left w:val="none" w:sz="0" w:space="0" w:color="auto"/>
        <w:bottom w:val="none" w:sz="0" w:space="0" w:color="auto"/>
        <w:right w:val="none" w:sz="0" w:space="0" w:color="auto"/>
      </w:divBdr>
    </w:div>
    <w:div w:id="613288065">
      <w:bodyDiv w:val="1"/>
      <w:marLeft w:val="0"/>
      <w:marRight w:val="0"/>
      <w:marTop w:val="0"/>
      <w:marBottom w:val="0"/>
      <w:divBdr>
        <w:top w:val="none" w:sz="0" w:space="0" w:color="auto"/>
        <w:left w:val="none" w:sz="0" w:space="0" w:color="auto"/>
        <w:bottom w:val="none" w:sz="0" w:space="0" w:color="auto"/>
        <w:right w:val="none" w:sz="0" w:space="0" w:color="auto"/>
      </w:divBdr>
    </w:div>
    <w:div w:id="636573447">
      <w:bodyDiv w:val="1"/>
      <w:marLeft w:val="0"/>
      <w:marRight w:val="0"/>
      <w:marTop w:val="0"/>
      <w:marBottom w:val="0"/>
      <w:divBdr>
        <w:top w:val="none" w:sz="0" w:space="0" w:color="auto"/>
        <w:left w:val="none" w:sz="0" w:space="0" w:color="auto"/>
        <w:bottom w:val="none" w:sz="0" w:space="0" w:color="auto"/>
        <w:right w:val="none" w:sz="0" w:space="0" w:color="auto"/>
      </w:divBdr>
    </w:div>
    <w:div w:id="676275175">
      <w:bodyDiv w:val="1"/>
      <w:marLeft w:val="0"/>
      <w:marRight w:val="0"/>
      <w:marTop w:val="0"/>
      <w:marBottom w:val="0"/>
      <w:divBdr>
        <w:top w:val="none" w:sz="0" w:space="0" w:color="auto"/>
        <w:left w:val="none" w:sz="0" w:space="0" w:color="auto"/>
        <w:bottom w:val="none" w:sz="0" w:space="0" w:color="auto"/>
        <w:right w:val="none" w:sz="0" w:space="0" w:color="auto"/>
      </w:divBdr>
    </w:div>
    <w:div w:id="732196370">
      <w:bodyDiv w:val="1"/>
      <w:marLeft w:val="0"/>
      <w:marRight w:val="0"/>
      <w:marTop w:val="0"/>
      <w:marBottom w:val="0"/>
      <w:divBdr>
        <w:top w:val="none" w:sz="0" w:space="0" w:color="auto"/>
        <w:left w:val="none" w:sz="0" w:space="0" w:color="auto"/>
        <w:bottom w:val="none" w:sz="0" w:space="0" w:color="auto"/>
        <w:right w:val="none" w:sz="0" w:space="0" w:color="auto"/>
      </w:divBdr>
    </w:div>
    <w:div w:id="783159486">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95703811">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006712145">
      <w:bodyDiv w:val="1"/>
      <w:marLeft w:val="0"/>
      <w:marRight w:val="0"/>
      <w:marTop w:val="0"/>
      <w:marBottom w:val="0"/>
      <w:divBdr>
        <w:top w:val="none" w:sz="0" w:space="0" w:color="auto"/>
        <w:left w:val="none" w:sz="0" w:space="0" w:color="auto"/>
        <w:bottom w:val="none" w:sz="0" w:space="0" w:color="auto"/>
        <w:right w:val="none" w:sz="0" w:space="0" w:color="auto"/>
      </w:divBdr>
    </w:div>
    <w:div w:id="1021205277">
      <w:bodyDiv w:val="1"/>
      <w:marLeft w:val="0"/>
      <w:marRight w:val="0"/>
      <w:marTop w:val="0"/>
      <w:marBottom w:val="0"/>
      <w:divBdr>
        <w:top w:val="none" w:sz="0" w:space="0" w:color="auto"/>
        <w:left w:val="none" w:sz="0" w:space="0" w:color="auto"/>
        <w:bottom w:val="none" w:sz="0" w:space="0" w:color="auto"/>
        <w:right w:val="none" w:sz="0" w:space="0" w:color="auto"/>
      </w:divBdr>
    </w:div>
    <w:div w:id="1023898975">
      <w:bodyDiv w:val="1"/>
      <w:marLeft w:val="0"/>
      <w:marRight w:val="0"/>
      <w:marTop w:val="0"/>
      <w:marBottom w:val="0"/>
      <w:divBdr>
        <w:top w:val="none" w:sz="0" w:space="0" w:color="auto"/>
        <w:left w:val="none" w:sz="0" w:space="0" w:color="auto"/>
        <w:bottom w:val="none" w:sz="0" w:space="0" w:color="auto"/>
        <w:right w:val="none" w:sz="0" w:space="0" w:color="auto"/>
      </w:divBdr>
    </w:div>
    <w:div w:id="1039281618">
      <w:bodyDiv w:val="1"/>
      <w:marLeft w:val="0"/>
      <w:marRight w:val="0"/>
      <w:marTop w:val="0"/>
      <w:marBottom w:val="0"/>
      <w:divBdr>
        <w:top w:val="none" w:sz="0" w:space="0" w:color="auto"/>
        <w:left w:val="none" w:sz="0" w:space="0" w:color="auto"/>
        <w:bottom w:val="none" w:sz="0" w:space="0" w:color="auto"/>
        <w:right w:val="none" w:sz="0" w:space="0" w:color="auto"/>
      </w:divBdr>
    </w:div>
    <w:div w:id="1046876314">
      <w:bodyDiv w:val="1"/>
      <w:marLeft w:val="0"/>
      <w:marRight w:val="0"/>
      <w:marTop w:val="0"/>
      <w:marBottom w:val="0"/>
      <w:divBdr>
        <w:top w:val="none" w:sz="0" w:space="0" w:color="auto"/>
        <w:left w:val="none" w:sz="0" w:space="0" w:color="auto"/>
        <w:bottom w:val="none" w:sz="0" w:space="0" w:color="auto"/>
        <w:right w:val="none" w:sz="0" w:space="0" w:color="auto"/>
      </w:divBdr>
    </w:div>
    <w:div w:id="1131702651">
      <w:bodyDiv w:val="1"/>
      <w:marLeft w:val="0"/>
      <w:marRight w:val="0"/>
      <w:marTop w:val="0"/>
      <w:marBottom w:val="0"/>
      <w:divBdr>
        <w:top w:val="none" w:sz="0" w:space="0" w:color="auto"/>
        <w:left w:val="none" w:sz="0" w:space="0" w:color="auto"/>
        <w:bottom w:val="none" w:sz="0" w:space="0" w:color="auto"/>
        <w:right w:val="none" w:sz="0" w:space="0" w:color="auto"/>
      </w:divBdr>
    </w:div>
    <w:div w:id="1172140981">
      <w:bodyDiv w:val="1"/>
      <w:marLeft w:val="0"/>
      <w:marRight w:val="0"/>
      <w:marTop w:val="0"/>
      <w:marBottom w:val="0"/>
      <w:divBdr>
        <w:top w:val="none" w:sz="0" w:space="0" w:color="auto"/>
        <w:left w:val="none" w:sz="0" w:space="0" w:color="auto"/>
        <w:bottom w:val="none" w:sz="0" w:space="0" w:color="auto"/>
        <w:right w:val="none" w:sz="0" w:space="0" w:color="auto"/>
      </w:divBdr>
    </w:div>
    <w:div w:id="1218669151">
      <w:bodyDiv w:val="1"/>
      <w:marLeft w:val="0"/>
      <w:marRight w:val="0"/>
      <w:marTop w:val="0"/>
      <w:marBottom w:val="0"/>
      <w:divBdr>
        <w:top w:val="none" w:sz="0" w:space="0" w:color="auto"/>
        <w:left w:val="none" w:sz="0" w:space="0" w:color="auto"/>
        <w:bottom w:val="none" w:sz="0" w:space="0" w:color="auto"/>
        <w:right w:val="none" w:sz="0" w:space="0" w:color="auto"/>
      </w:divBdr>
    </w:div>
    <w:div w:id="1330057472">
      <w:bodyDiv w:val="1"/>
      <w:marLeft w:val="0"/>
      <w:marRight w:val="0"/>
      <w:marTop w:val="0"/>
      <w:marBottom w:val="0"/>
      <w:divBdr>
        <w:top w:val="none" w:sz="0" w:space="0" w:color="auto"/>
        <w:left w:val="none" w:sz="0" w:space="0" w:color="auto"/>
        <w:bottom w:val="none" w:sz="0" w:space="0" w:color="auto"/>
        <w:right w:val="none" w:sz="0" w:space="0" w:color="auto"/>
      </w:divBdr>
    </w:div>
    <w:div w:id="1365205876">
      <w:bodyDiv w:val="1"/>
      <w:marLeft w:val="0"/>
      <w:marRight w:val="0"/>
      <w:marTop w:val="0"/>
      <w:marBottom w:val="0"/>
      <w:divBdr>
        <w:top w:val="none" w:sz="0" w:space="0" w:color="auto"/>
        <w:left w:val="none" w:sz="0" w:space="0" w:color="auto"/>
        <w:bottom w:val="none" w:sz="0" w:space="0" w:color="auto"/>
        <w:right w:val="none" w:sz="0" w:space="0" w:color="auto"/>
      </w:divBdr>
    </w:div>
    <w:div w:id="1373531886">
      <w:bodyDiv w:val="1"/>
      <w:marLeft w:val="0"/>
      <w:marRight w:val="0"/>
      <w:marTop w:val="0"/>
      <w:marBottom w:val="0"/>
      <w:divBdr>
        <w:top w:val="none" w:sz="0" w:space="0" w:color="auto"/>
        <w:left w:val="none" w:sz="0" w:space="0" w:color="auto"/>
        <w:bottom w:val="none" w:sz="0" w:space="0" w:color="auto"/>
        <w:right w:val="none" w:sz="0" w:space="0" w:color="auto"/>
      </w:divBdr>
    </w:div>
    <w:div w:id="1377968940">
      <w:bodyDiv w:val="1"/>
      <w:marLeft w:val="0"/>
      <w:marRight w:val="0"/>
      <w:marTop w:val="0"/>
      <w:marBottom w:val="0"/>
      <w:divBdr>
        <w:top w:val="none" w:sz="0" w:space="0" w:color="auto"/>
        <w:left w:val="none" w:sz="0" w:space="0" w:color="auto"/>
        <w:bottom w:val="none" w:sz="0" w:space="0" w:color="auto"/>
        <w:right w:val="none" w:sz="0" w:space="0" w:color="auto"/>
      </w:divBdr>
    </w:div>
    <w:div w:id="1490289266">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13837854">
      <w:bodyDiv w:val="1"/>
      <w:marLeft w:val="0"/>
      <w:marRight w:val="0"/>
      <w:marTop w:val="0"/>
      <w:marBottom w:val="0"/>
      <w:divBdr>
        <w:top w:val="none" w:sz="0" w:space="0" w:color="auto"/>
        <w:left w:val="none" w:sz="0" w:space="0" w:color="auto"/>
        <w:bottom w:val="none" w:sz="0" w:space="0" w:color="auto"/>
        <w:right w:val="none" w:sz="0" w:space="0" w:color="auto"/>
      </w:divBdr>
      <w:divsChild>
        <w:div w:id="262424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7692085">
      <w:bodyDiv w:val="1"/>
      <w:marLeft w:val="0"/>
      <w:marRight w:val="0"/>
      <w:marTop w:val="0"/>
      <w:marBottom w:val="0"/>
      <w:divBdr>
        <w:top w:val="none" w:sz="0" w:space="0" w:color="auto"/>
        <w:left w:val="none" w:sz="0" w:space="0" w:color="auto"/>
        <w:bottom w:val="none" w:sz="0" w:space="0" w:color="auto"/>
        <w:right w:val="none" w:sz="0" w:space="0" w:color="auto"/>
      </w:divBdr>
    </w:div>
    <w:div w:id="1572154286">
      <w:bodyDiv w:val="1"/>
      <w:marLeft w:val="0"/>
      <w:marRight w:val="0"/>
      <w:marTop w:val="0"/>
      <w:marBottom w:val="0"/>
      <w:divBdr>
        <w:top w:val="none" w:sz="0" w:space="0" w:color="auto"/>
        <w:left w:val="none" w:sz="0" w:space="0" w:color="auto"/>
        <w:bottom w:val="none" w:sz="0" w:space="0" w:color="auto"/>
        <w:right w:val="none" w:sz="0" w:space="0" w:color="auto"/>
      </w:divBdr>
    </w:div>
    <w:div w:id="1583487260">
      <w:bodyDiv w:val="1"/>
      <w:marLeft w:val="0"/>
      <w:marRight w:val="0"/>
      <w:marTop w:val="0"/>
      <w:marBottom w:val="0"/>
      <w:divBdr>
        <w:top w:val="none" w:sz="0" w:space="0" w:color="auto"/>
        <w:left w:val="none" w:sz="0" w:space="0" w:color="auto"/>
        <w:bottom w:val="none" w:sz="0" w:space="0" w:color="auto"/>
        <w:right w:val="none" w:sz="0" w:space="0" w:color="auto"/>
      </w:divBdr>
    </w:div>
    <w:div w:id="1627077462">
      <w:bodyDiv w:val="1"/>
      <w:marLeft w:val="0"/>
      <w:marRight w:val="0"/>
      <w:marTop w:val="0"/>
      <w:marBottom w:val="0"/>
      <w:divBdr>
        <w:top w:val="none" w:sz="0" w:space="0" w:color="auto"/>
        <w:left w:val="none" w:sz="0" w:space="0" w:color="auto"/>
        <w:bottom w:val="none" w:sz="0" w:space="0" w:color="auto"/>
        <w:right w:val="none" w:sz="0" w:space="0" w:color="auto"/>
      </w:divBdr>
    </w:div>
    <w:div w:id="1628855998">
      <w:bodyDiv w:val="1"/>
      <w:marLeft w:val="0"/>
      <w:marRight w:val="0"/>
      <w:marTop w:val="0"/>
      <w:marBottom w:val="0"/>
      <w:divBdr>
        <w:top w:val="none" w:sz="0" w:space="0" w:color="auto"/>
        <w:left w:val="none" w:sz="0" w:space="0" w:color="auto"/>
        <w:bottom w:val="none" w:sz="0" w:space="0" w:color="auto"/>
        <w:right w:val="none" w:sz="0" w:space="0" w:color="auto"/>
      </w:divBdr>
    </w:div>
    <w:div w:id="1637955858">
      <w:bodyDiv w:val="1"/>
      <w:marLeft w:val="0"/>
      <w:marRight w:val="0"/>
      <w:marTop w:val="0"/>
      <w:marBottom w:val="0"/>
      <w:divBdr>
        <w:top w:val="none" w:sz="0" w:space="0" w:color="auto"/>
        <w:left w:val="none" w:sz="0" w:space="0" w:color="auto"/>
        <w:bottom w:val="none" w:sz="0" w:space="0" w:color="auto"/>
        <w:right w:val="none" w:sz="0" w:space="0" w:color="auto"/>
      </w:divBdr>
    </w:div>
    <w:div w:id="1665425832">
      <w:bodyDiv w:val="1"/>
      <w:marLeft w:val="0"/>
      <w:marRight w:val="0"/>
      <w:marTop w:val="0"/>
      <w:marBottom w:val="0"/>
      <w:divBdr>
        <w:top w:val="none" w:sz="0" w:space="0" w:color="auto"/>
        <w:left w:val="none" w:sz="0" w:space="0" w:color="auto"/>
        <w:bottom w:val="none" w:sz="0" w:space="0" w:color="auto"/>
        <w:right w:val="none" w:sz="0" w:space="0" w:color="auto"/>
      </w:divBdr>
    </w:div>
    <w:div w:id="1724207394">
      <w:bodyDiv w:val="1"/>
      <w:marLeft w:val="0"/>
      <w:marRight w:val="0"/>
      <w:marTop w:val="0"/>
      <w:marBottom w:val="0"/>
      <w:divBdr>
        <w:top w:val="none" w:sz="0" w:space="0" w:color="auto"/>
        <w:left w:val="none" w:sz="0" w:space="0" w:color="auto"/>
        <w:bottom w:val="none" w:sz="0" w:space="0" w:color="auto"/>
        <w:right w:val="none" w:sz="0" w:space="0" w:color="auto"/>
      </w:divBdr>
    </w:div>
    <w:div w:id="1735277872">
      <w:bodyDiv w:val="1"/>
      <w:marLeft w:val="0"/>
      <w:marRight w:val="0"/>
      <w:marTop w:val="0"/>
      <w:marBottom w:val="0"/>
      <w:divBdr>
        <w:top w:val="none" w:sz="0" w:space="0" w:color="auto"/>
        <w:left w:val="none" w:sz="0" w:space="0" w:color="auto"/>
        <w:bottom w:val="none" w:sz="0" w:space="0" w:color="auto"/>
        <w:right w:val="none" w:sz="0" w:space="0" w:color="auto"/>
      </w:divBdr>
    </w:div>
    <w:div w:id="1736851602">
      <w:bodyDiv w:val="1"/>
      <w:marLeft w:val="0"/>
      <w:marRight w:val="0"/>
      <w:marTop w:val="0"/>
      <w:marBottom w:val="0"/>
      <w:divBdr>
        <w:top w:val="none" w:sz="0" w:space="0" w:color="auto"/>
        <w:left w:val="none" w:sz="0" w:space="0" w:color="auto"/>
        <w:bottom w:val="none" w:sz="0" w:space="0" w:color="auto"/>
        <w:right w:val="none" w:sz="0" w:space="0" w:color="auto"/>
      </w:divBdr>
    </w:div>
    <w:div w:id="1737363650">
      <w:bodyDiv w:val="1"/>
      <w:marLeft w:val="0"/>
      <w:marRight w:val="0"/>
      <w:marTop w:val="0"/>
      <w:marBottom w:val="0"/>
      <w:divBdr>
        <w:top w:val="none" w:sz="0" w:space="0" w:color="auto"/>
        <w:left w:val="none" w:sz="0" w:space="0" w:color="auto"/>
        <w:bottom w:val="none" w:sz="0" w:space="0" w:color="auto"/>
        <w:right w:val="none" w:sz="0" w:space="0" w:color="auto"/>
      </w:divBdr>
    </w:div>
    <w:div w:id="1749035542">
      <w:bodyDiv w:val="1"/>
      <w:marLeft w:val="0"/>
      <w:marRight w:val="0"/>
      <w:marTop w:val="0"/>
      <w:marBottom w:val="0"/>
      <w:divBdr>
        <w:top w:val="none" w:sz="0" w:space="0" w:color="auto"/>
        <w:left w:val="none" w:sz="0" w:space="0" w:color="auto"/>
        <w:bottom w:val="none" w:sz="0" w:space="0" w:color="auto"/>
        <w:right w:val="none" w:sz="0" w:space="0" w:color="auto"/>
      </w:divBdr>
    </w:div>
    <w:div w:id="1756432827">
      <w:bodyDiv w:val="1"/>
      <w:marLeft w:val="0"/>
      <w:marRight w:val="0"/>
      <w:marTop w:val="0"/>
      <w:marBottom w:val="0"/>
      <w:divBdr>
        <w:top w:val="none" w:sz="0" w:space="0" w:color="auto"/>
        <w:left w:val="none" w:sz="0" w:space="0" w:color="auto"/>
        <w:bottom w:val="none" w:sz="0" w:space="0" w:color="auto"/>
        <w:right w:val="none" w:sz="0" w:space="0" w:color="auto"/>
      </w:divBdr>
    </w:div>
    <w:div w:id="1775518244">
      <w:bodyDiv w:val="1"/>
      <w:marLeft w:val="0"/>
      <w:marRight w:val="0"/>
      <w:marTop w:val="0"/>
      <w:marBottom w:val="0"/>
      <w:divBdr>
        <w:top w:val="none" w:sz="0" w:space="0" w:color="auto"/>
        <w:left w:val="none" w:sz="0" w:space="0" w:color="auto"/>
        <w:bottom w:val="none" w:sz="0" w:space="0" w:color="auto"/>
        <w:right w:val="none" w:sz="0" w:space="0" w:color="auto"/>
      </w:divBdr>
    </w:div>
    <w:div w:id="1796555631">
      <w:bodyDiv w:val="1"/>
      <w:marLeft w:val="0"/>
      <w:marRight w:val="0"/>
      <w:marTop w:val="0"/>
      <w:marBottom w:val="0"/>
      <w:divBdr>
        <w:top w:val="none" w:sz="0" w:space="0" w:color="auto"/>
        <w:left w:val="none" w:sz="0" w:space="0" w:color="auto"/>
        <w:bottom w:val="none" w:sz="0" w:space="0" w:color="auto"/>
        <w:right w:val="none" w:sz="0" w:space="0" w:color="auto"/>
      </w:divBdr>
    </w:div>
    <w:div w:id="1813331635">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54950970">
      <w:bodyDiv w:val="1"/>
      <w:marLeft w:val="0"/>
      <w:marRight w:val="0"/>
      <w:marTop w:val="0"/>
      <w:marBottom w:val="0"/>
      <w:divBdr>
        <w:top w:val="none" w:sz="0" w:space="0" w:color="auto"/>
        <w:left w:val="none" w:sz="0" w:space="0" w:color="auto"/>
        <w:bottom w:val="none" w:sz="0" w:space="0" w:color="auto"/>
        <w:right w:val="none" w:sz="0" w:space="0" w:color="auto"/>
      </w:divBdr>
    </w:div>
    <w:div w:id="1860660658">
      <w:bodyDiv w:val="1"/>
      <w:marLeft w:val="0"/>
      <w:marRight w:val="0"/>
      <w:marTop w:val="0"/>
      <w:marBottom w:val="0"/>
      <w:divBdr>
        <w:top w:val="none" w:sz="0" w:space="0" w:color="auto"/>
        <w:left w:val="none" w:sz="0" w:space="0" w:color="auto"/>
        <w:bottom w:val="none" w:sz="0" w:space="0" w:color="auto"/>
        <w:right w:val="none" w:sz="0" w:space="0" w:color="auto"/>
      </w:divBdr>
    </w:div>
    <w:div w:id="1867401047">
      <w:bodyDiv w:val="1"/>
      <w:marLeft w:val="0"/>
      <w:marRight w:val="0"/>
      <w:marTop w:val="0"/>
      <w:marBottom w:val="0"/>
      <w:divBdr>
        <w:top w:val="none" w:sz="0" w:space="0" w:color="auto"/>
        <w:left w:val="none" w:sz="0" w:space="0" w:color="auto"/>
        <w:bottom w:val="none" w:sz="0" w:space="0" w:color="auto"/>
        <w:right w:val="none" w:sz="0" w:space="0" w:color="auto"/>
      </w:divBdr>
    </w:div>
    <w:div w:id="1908764926">
      <w:bodyDiv w:val="1"/>
      <w:marLeft w:val="0"/>
      <w:marRight w:val="0"/>
      <w:marTop w:val="0"/>
      <w:marBottom w:val="0"/>
      <w:divBdr>
        <w:top w:val="none" w:sz="0" w:space="0" w:color="auto"/>
        <w:left w:val="none" w:sz="0" w:space="0" w:color="auto"/>
        <w:bottom w:val="none" w:sz="0" w:space="0" w:color="auto"/>
        <w:right w:val="none" w:sz="0" w:space="0" w:color="auto"/>
      </w:divBdr>
    </w:div>
    <w:div w:id="1919514860">
      <w:bodyDiv w:val="1"/>
      <w:marLeft w:val="0"/>
      <w:marRight w:val="0"/>
      <w:marTop w:val="0"/>
      <w:marBottom w:val="0"/>
      <w:divBdr>
        <w:top w:val="none" w:sz="0" w:space="0" w:color="auto"/>
        <w:left w:val="none" w:sz="0" w:space="0" w:color="auto"/>
        <w:bottom w:val="none" w:sz="0" w:space="0" w:color="auto"/>
        <w:right w:val="none" w:sz="0" w:space="0" w:color="auto"/>
      </w:divBdr>
    </w:div>
    <w:div w:id="1948923385">
      <w:bodyDiv w:val="1"/>
      <w:marLeft w:val="0"/>
      <w:marRight w:val="0"/>
      <w:marTop w:val="0"/>
      <w:marBottom w:val="0"/>
      <w:divBdr>
        <w:top w:val="none" w:sz="0" w:space="0" w:color="auto"/>
        <w:left w:val="none" w:sz="0" w:space="0" w:color="auto"/>
        <w:bottom w:val="none" w:sz="0" w:space="0" w:color="auto"/>
        <w:right w:val="none" w:sz="0" w:space="0" w:color="auto"/>
      </w:divBdr>
    </w:div>
    <w:div w:id="1952858098">
      <w:bodyDiv w:val="1"/>
      <w:marLeft w:val="0"/>
      <w:marRight w:val="0"/>
      <w:marTop w:val="0"/>
      <w:marBottom w:val="0"/>
      <w:divBdr>
        <w:top w:val="none" w:sz="0" w:space="0" w:color="auto"/>
        <w:left w:val="none" w:sz="0" w:space="0" w:color="auto"/>
        <w:bottom w:val="none" w:sz="0" w:space="0" w:color="auto"/>
        <w:right w:val="none" w:sz="0" w:space="0" w:color="auto"/>
      </w:divBdr>
    </w:div>
    <w:div w:id="1958370624">
      <w:bodyDiv w:val="1"/>
      <w:marLeft w:val="0"/>
      <w:marRight w:val="0"/>
      <w:marTop w:val="0"/>
      <w:marBottom w:val="0"/>
      <w:divBdr>
        <w:top w:val="none" w:sz="0" w:space="0" w:color="auto"/>
        <w:left w:val="none" w:sz="0" w:space="0" w:color="auto"/>
        <w:bottom w:val="none" w:sz="0" w:space="0" w:color="auto"/>
        <w:right w:val="none" w:sz="0" w:space="0" w:color="auto"/>
      </w:divBdr>
    </w:div>
    <w:div w:id="1962493357">
      <w:bodyDiv w:val="1"/>
      <w:marLeft w:val="0"/>
      <w:marRight w:val="0"/>
      <w:marTop w:val="0"/>
      <w:marBottom w:val="0"/>
      <w:divBdr>
        <w:top w:val="none" w:sz="0" w:space="0" w:color="auto"/>
        <w:left w:val="none" w:sz="0" w:space="0" w:color="auto"/>
        <w:bottom w:val="none" w:sz="0" w:space="0" w:color="auto"/>
        <w:right w:val="none" w:sz="0" w:space="0" w:color="auto"/>
      </w:divBdr>
    </w:div>
    <w:div w:id="1983608527">
      <w:bodyDiv w:val="1"/>
      <w:marLeft w:val="0"/>
      <w:marRight w:val="0"/>
      <w:marTop w:val="0"/>
      <w:marBottom w:val="0"/>
      <w:divBdr>
        <w:top w:val="none" w:sz="0" w:space="0" w:color="auto"/>
        <w:left w:val="none" w:sz="0" w:space="0" w:color="auto"/>
        <w:bottom w:val="none" w:sz="0" w:space="0" w:color="auto"/>
        <w:right w:val="none" w:sz="0" w:space="0" w:color="auto"/>
      </w:divBdr>
    </w:div>
    <w:div w:id="1986159418">
      <w:bodyDiv w:val="1"/>
      <w:marLeft w:val="0"/>
      <w:marRight w:val="0"/>
      <w:marTop w:val="0"/>
      <w:marBottom w:val="0"/>
      <w:divBdr>
        <w:top w:val="none" w:sz="0" w:space="0" w:color="auto"/>
        <w:left w:val="none" w:sz="0" w:space="0" w:color="auto"/>
        <w:bottom w:val="none" w:sz="0" w:space="0" w:color="auto"/>
        <w:right w:val="none" w:sz="0" w:space="0" w:color="auto"/>
      </w:divBdr>
    </w:div>
    <w:div w:id="206583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sagepub.com/doi/10.1177/0886260517719080" TargetMode="External"/><Relationship Id="rId21" Type="http://schemas.openxmlformats.org/officeDocument/2006/relationships/hyperlink" Target="https://journals.sagepub.com/doi/10.1177/0886260517719080" TargetMode="External"/><Relationship Id="rId42" Type="http://schemas.openxmlformats.org/officeDocument/2006/relationships/hyperlink" Target="https://journals.sagepub.com/doi/10.1177/0886260517719080" TargetMode="External"/><Relationship Id="rId47" Type="http://schemas.openxmlformats.org/officeDocument/2006/relationships/hyperlink" Target="https://journals.sagepub.com/doi/10.1177/0886260517719080" TargetMode="External"/><Relationship Id="rId63" Type="http://schemas.openxmlformats.org/officeDocument/2006/relationships/hyperlink" Target="https://journals.sagepub.com/doi/10.1177/0886260517719080" TargetMode="External"/><Relationship Id="rId68" Type="http://schemas.openxmlformats.org/officeDocument/2006/relationships/hyperlink" Target="https://journals.sagepub.com/doi/10.1177/0886260517719080" TargetMode="External"/><Relationship Id="rId84" Type="http://schemas.openxmlformats.org/officeDocument/2006/relationships/hyperlink" Target="https://journals.sagepub.com/doi/10.1177/0886260517719080" TargetMode="External"/><Relationship Id="rId89" Type="http://schemas.openxmlformats.org/officeDocument/2006/relationships/hyperlink" Target="https://journals.sagepub.com/doi/10.1177/0886260517719080" TargetMode="External"/><Relationship Id="rId16" Type="http://schemas.openxmlformats.org/officeDocument/2006/relationships/hyperlink" Target="https://journals.sagepub.com/doi/10.1177/0886260517719080" TargetMode="External"/><Relationship Id="rId107" Type="http://schemas.openxmlformats.org/officeDocument/2006/relationships/fontTable" Target="fontTable.xml"/><Relationship Id="rId11" Type="http://schemas.openxmlformats.org/officeDocument/2006/relationships/hyperlink" Target="https://journals.sagepub.com/doi/10.1177/0886260517719080" TargetMode="External"/><Relationship Id="rId32" Type="http://schemas.openxmlformats.org/officeDocument/2006/relationships/hyperlink" Target="https://journals.sagepub.com/doi/10.1177/0886260517719080" TargetMode="External"/><Relationship Id="rId37" Type="http://schemas.openxmlformats.org/officeDocument/2006/relationships/hyperlink" Target="https://journals.sagepub.com/doi/10.1177/0886260517719080" TargetMode="External"/><Relationship Id="rId53" Type="http://schemas.openxmlformats.org/officeDocument/2006/relationships/hyperlink" Target="https://journals.sagepub.com/doi/10.1177/0886260517719080" TargetMode="External"/><Relationship Id="rId58" Type="http://schemas.openxmlformats.org/officeDocument/2006/relationships/hyperlink" Target="https://journals.sagepub.com/doi/10.1177/0886260517719080" TargetMode="External"/><Relationship Id="rId74" Type="http://schemas.openxmlformats.org/officeDocument/2006/relationships/hyperlink" Target="https://journals.sagepub.com/doi/10.1177/0886260517719080" TargetMode="External"/><Relationship Id="rId79" Type="http://schemas.openxmlformats.org/officeDocument/2006/relationships/hyperlink" Target="https://journals.sagepub.com/doi/10.1177/0886260517719080" TargetMode="External"/><Relationship Id="rId102" Type="http://schemas.openxmlformats.org/officeDocument/2006/relationships/hyperlink" Target="https://journals.sagepub.com/doi/10.1177/0886260517719080" TargetMode="External"/><Relationship Id="rId5" Type="http://schemas.openxmlformats.org/officeDocument/2006/relationships/styles" Target="styles.xml"/><Relationship Id="rId90" Type="http://schemas.openxmlformats.org/officeDocument/2006/relationships/hyperlink" Target="https://journals.sagepub.com/doi/10.1177/0886260517719080" TargetMode="External"/><Relationship Id="rId95" Type="http://schemas.openxmlformats.org/officeDocument/2006/relationships/hyperlink" Target="https://journals.sagepub.com/doi/10.1177/0886260517719080" TargetMode="External"/><Relationship Id="rId22" Type="http://schemas.openxmlformats.org/officeDocument/2006/relationships/hyperlink" Target="https://journals.sagepub.com/doi/10.1177/0886260517719080" TargetMode="External"/><Relationship Id="rId27" Type="http://schemas.openxmlformats.org/officeDocument/2006/relationships/hyperlink" Target="https://journals.sagepub.com/doi/10.1177/0886260517719080" TargetMode="External"/><Relationship Id="rId43" Type="http://schemas.openxmlformats.org/officeDocument/2006/relationships/hyperlink" Target="https://journals.sagepub.com/doi/10.1177/0886260517719080" TargetMode="External"/><Relationship Id="rId48" Type="http://schemas.openxmlformats.org/officeDocument/2006/relationships/hyperlink" Target="https://journals.sagepub.com/doi/10.1177/0886260517719080" TargetMode="External"/><Relationship Id="rId64" Type="http://schemas.openxmlformats.org/officeDocument/2006/relationships/hyperlink" Target="https://journals.sagepub.com/doi/10.1177/0886260517719080" TargetMode="External"/><Relationship Id="rId69" Type="http://schemas.openxmlformats.org/officeDocument/2006/relationships/hyperlink" Target="https://journals.sagepub.com/doi/10.1177/0886260517719080" TargetMode="External"/><Relationship Id="rId80" Type="http://schemas.openxmlformats.org/officeDocument/2006/relationships/hyperlink" Target="https://journals.sagepub.com/doi/10.1177/0886260517719080" TargetMode="External"/><Relationship Id="rId85" Type="http://schemas.openxmlformats.org/officeDocument/2006/relationships/hyperlink" Target="https://journals.sagepub.com/doi/10.1177/0886260517719080" TargetMode="External"/><Relationship Id="rId12" Type="http://schemas.openxmlformats.org/officeDocument/2006/relationships/hyperlink" Target="https://journals.sagepub.com/doi/10.1177/0886260517719080" TargetMode="External"/><Relationship Id="rId17" Type="http://schemas.openxmlformats.org/officeDocument/2006/relationships/hyperlink" Target="https://journals.sagepub.com/doi/10.1177/0886260517719080" TargetMode="External"/><Relationship Id="rId33" Type="http://schemas.openxmlformats.org/officeDocument/2006/relationships/hyperlink" Target="https://journals.sagepub.com/doi/10.1177/0886260517719080" TargetMode="External"/><Relationship Id="rId38" Type="http://schemas.openxmlformats.org/officeDocument/2006/relationships/hyperlink" Target="https://journals.sagepub.com/doi/10.1177/0886260517719080" TargetMode="External"/><Relationship Id="rId59" Type="http://schemas.openxmlformats.org/officeDocument/2006/relationships/hyperlink" Target="https://journals.sagepub.com/doi/10.1177/0886260517719080" TargetMode="External"/><Relationship Id="rId103" Type="http://schemas.openxmlformats.org/officeDocument/2006/relationships/hyperlink" Target="https://journals.sagepub.com/doi/10.1177/0886260517719080" TargetMode="External"/><Relationship Id="rId108" Type="http://schemas.openxmlformats.org/officeDocument/2006/relationships/theme" Target="theme/theme1.xml"/><Relationship Id="rId20" Type="http://schemas.openxmlformats.org/officeDocument/2006/relationships/hyperlink" Target="https://journals.sagepub.com/doi/10.1177/0886260517719080" TargetMode="External"/><Relationship Id="rId41" Type="http://schemas.openxmlformats.org/officeDocument/2006/relationships/hyperlink" Target="https://journals.sagepub.com/doi/10.1177/0886260517719080" TargetMode="External"/><Relationship Id="rId54" Type="http://schemas.openxmlformats.org/officeDocument/2006/relationships/hyperlink" Target="https://journals.sagepub.com/doi/10.1177/0886260517719080" TargetMode="External"/><Relationship Id="rId62" Type="http://schemas.openxmlformats.org/officeDocument/2006/relationships/hyperlink" Target="https://journals.sagepub.com/doi/10.1177/0886260517719080" TargetMode="External"/><Relationship Id="rId70" Type="http://schemas.openxmlformats.org/officeDocument/2006/relationships/hyperlink" Target="https://journals.sagepub.com/doi/10.1177/0886260517719080" TargetMode="External"/><Relationship Id="rId75" Type="http://schemas.openxmlformats.org/officeDocument/2006/relationships/hyperlink" Target="https://journals.sagepub.com/doi/10.1177/0886260517719080" TargetMode="External"/><Relationship Id="rId83" Type="http://schemas.openxmlformats.org/officeDocument/2006/relationships/hyperlink" Target="https://journals.sagepub.com/doi/10.1177/0886260517719080" TargetMode="External"/><Relationship Id="rId88" Type="http://schemas.openxmlformats.org/officeDocument/2006/relationships/hyperlink" Target="https://journals.sagepub.com/doi/10.1177/0886260517719080" TargetMode="External"/><Relationship Id="rId91" Type="http://schemas.openxmlformats.org/officeDocument/2006/relationships/hyperlink" Target="https://journals.sagepub.com/doi/10.1177/0886260517719080" TargetMode="External"/><Relationship Id="rId96" Type="http://schemas.openxmlformats.org/officeDocument/2006/relationships/hyperlink" Target="https://journals.sagepub.com/doi/10.1177/0886260517719080"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journals.sagepub.com/doi/10.1177/0886260517719080" TargetMode="External"/><Relationship Id="rId23" Type="http://schemas.openxmlformats.org/officeDocument/2006/relationships/hyperlink" Target="https://journals.sagepub.com/doi/10.1177/0886260517719080" TargetMode="External"/><Relationship Id="rId28" Type="http://schemas.openxmlformats.org/officeDocument/2006/relationships/hyperlink" Target="https://journals.sagepub.com/doi/10.1177/0886260517719080" TargetMode="External"/><Relationship Id="rId36" Type="http://schemas.openxmlformats.org/officeDocument/2006/relationships/hyperlink" Target="https://journals.sagepub.com/doi/10.1177/0886260517719080" TargetMode="External"/><Relationship Id="rId49" Type="http://schemas.openxmlformats.org/officeDocument/2006/relationships/hyperlink" Target="https://journals.sagepub.com/doi/10.1177/0886260517719080" TargetMode="External"/><Relationship Id="rId57" Type="http://schemas.openxmlformats.org/officeDocument/2006/relationships/hyperlink" Target="https://journals.sagepub.com/doi/10.1177/0886260517719080" TargetMode="External"/><Relationship Id="rId106" Type="http://schemas.openxmlformats.org/officeDocument/2006/relationships/hyperlink" Target="https://www.census.gov/quickfacts/" TargetMode="External"/><Relationship Id="rId10" Type="http://schemas.openxmlformats.org/officeDocument/2006/relationships/hyperlink" Target="javascript:popRef('fn1-0886260517719080','','','aop')" TargetMode="External"/><Relationship Id="rId31" Type="http://schemas.openxmlformats.org/officeDocument/2006/relationships/hyperlink" Target="https://journals.sagepub.com/doi/10.1177/0886260517719080" TargetMode="External"/><Relationship Id="rId44" Type="http://schemas.openxmlformats.org/officeDocument/2006/relationships/hyperlink" Target="https://journals.sagepub.com/doi/10.1177/0886260517719080" TargetMode="External"/><Relationship Id="rId52" Type="http://schemas.openxmlformats.org/officeDocument/2006/relationships/hyperlink" Target="https://journals.sagepub.com/doi/10.1177/0886260517719080" TargetMode="External"/><Relationship Id="rId60" Type="http://schemas.openxmlformats.org/officeDocument/2006/relationships/hyperlink" Target="https://journals.sagepub.com/doi/10.1177/0886260517719080" TargetMode="External"/><Relationship Id="rId65" Type="http://schemas.openxmlformats.org/officeDocument/2006/relationships/hyperlink" Target="https://journals.sagepub.com/doi/10.1177/0886260517719080" TargetMode="External"/><Relationship Id="rId73" Type="http://schemas.openxmlformats.org/officeDocument/2006/relationships/hyperlink" Target="https://journals.sagepub.com/doi/10.1177/0886260517719080" TargetMode="External"/><Relationship Id="rId78" Type="http://schemas.openxmlformats.org/officeDocument/2006/relationships/hyperlink" Target="https://journals.sagepub.com/doi/10.1177/0886260517719080" TargetMode="External"/><Relationship Id="rId81" Type="http://schemas.openxmlformats.org/officeDocument/2006/relationships/hyperlink" Target="https://journals.sagepub.com/doi/10.1177/0886260517719080" TargetMode="External"/><Relationship Id="rId86" Type="http://schemas.openxmlformats.org/officeDocument/2006/relationships/hyperlink" Target="https://journals.sagepub.com/doi/10.1177/0886260517719080" TargetMode="External"/><Relationship Id="rId94" Type="http://schemas.openxmlformats.org/officeDocument/2006/relationships/hyperlink" Target="https://journals.sagepub.com/doi/10.1177/0886260517719080" TargetMode="External"/><Relationship Id="rId99" Type="http://schemas.openxmlformats.org/officeDocument/2006/relationships/hyperlink" Target="https://journals.sagepub.com/doi/10.1177/0886260517719080" TargetMode="External"/><Relationship Id="rId101" Type="http://schemas.openxmlformats.org/officeDocument/2006/relationships/hyperlink" Target="https://journals.sagepub.com/doi/10.1177/088626051771908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journals.sagepub.com/doi/10.1177/0886260517719080" TargetMode="External"/><Relationship Id="rId18" Type="http://schemas.openxmlformats.org/officeDocument/2006/relationships/hyperlink" Target="https://journals.sagepub.com/doi/10.1177/0886260517719080" TargetMode="External"/><Relationship Id="rId39" Type="http://schemas.openxmlformats.org/officeDocument/2006/relationships/hyperlink" Target="https://journals.sagepub.com/doi/10.1177/0886260517719080" TargetMode="External"/><Relationship Id="rId34" Type="http://schemas.openxmlformats.org/officeDocument/2006/relationships/hyperlink" Target="https://journals.sagepub.com/doi/10.1177/0886260517719080" TargetMode="External"/><Relationship Id="rId50" Type="http://schemas.openxmlformats.org/officeDocument/2006/relationships/hyperlink" Target="https://journals.sagepub.com/doi/10.1177/0886260517719080" TargetMode="External"/><Relationship Id="rId55" Type="http://schemas.openxmlformats.org/officeDocument/2006/relationships/hyperlink" Target="https://journals.sagepub.com/doi/10.1177/0886260517719080" TargetMode="External"/><Relationship Id="rId76" Type="http://schemas.openxmlformats.org/officeDocument/2006/relationships/hyperlink" Target="https://journals.sagepub.com/doi/10.1177/0886260517719080" TargetMode="External"/><Relationship Id="rId97" Type="http://schemas.openxmlformats.org/officeDocument/2006/relationships/hyperlink" Target="https://journals.sagepub.com/doi/10.1177/0886260517719080" TargetMode="External"/><Relationship Id="rId104" Type="http://schemas.openxmlformats.org/officeDocument/2006/relationships/hyperlink" Target="https://journals.sagepub.com/doi/10.1177/0886260517719080" TargetMode="External"/><Relationship Id="rId7" Type="http://schemas.openxmlformats.org/officeDocument/2006/relationships/webSettings" Target="webSettings.xml"/><Relationship Id="rId71" Type="http://schemas.openxmlformats.org/officeDocument/2006/relationships/hyperlink" Target="https://journals.sagepub.com/doi/10.1177/0886260517719080" TargetMode="External"/><Relationship Id="rId92" Type="http://schemas.openxmlformats.org/officeDocument/2006/relationships/hyperlink" Target="https://journals.sagepub.com/doi/10.1177/0886260517719080" TargetMode="External"/><Relationship Id="rId2" Type="http://schemas.openxmlformats.org/officeDocument/2006/relationships/customXml" Target="../customXml/item2.xml"/><Relationship Id="rId29" Type="http://schemas.openxmlformats.org/officeDocument/2006/relationships/hyperlink" Target="https://journals.sagepub.com/doi/10.1177/0886260517719080" TargetMode="External"/><Relationship Id="rId24" Type="http://schemas.openxmlformats.org/officeDocument/2006/relationships/hyperlink" Target="https://journals.sagepub.com/doi/10.1177/0886260517719080" TargetMode="External"/><Relationship Id="rId40" Type="http://schemas.openxmlformats.org/officeDocument/2006/relationships/hyperlink" Target="https://journals.sagepub.com/doi/10.1177/0886260517719080" TargetMode="External"/><Relationship Id="rId45" Type="http://schemas.openxmlformats.org/officeDocument/2006/relationships/hyperlink" Target="https://journals.sagepub.com/doi/10.1177/0886260517719080" TargetMode="External"/><Relationship Id="rId66" Type="http://schemas.openxmlformats.org/officeDocument/2006/relationships/hyperlink" Target="https://journals.sagepub.com/doi/10.1177/0886260517719080" TargetMode="External"/><Relationship Id="rId87" Type="http://schemas.openxmlformats.org/officeDocument/2006/relationships/hyperlink" Target="https://journals.sagepub.com/doi/10.1177/0886260517719080" TargetMode="External"/><Relationship Id="rId61" Type="http://schemas.openxmlformats.org/officeDocument/2006/relationships/hyperlink" Target="https://journals.sagepub.com/doi/10.1177/0886260517719080" TargetMode="External"/><Relationship Id="rId82" Type="http://schemas.openxmlformats.org/officeDocument/2006/relationships/hyperlink" Target="https://journals.sagepub.com/doi/10.1177/0886260517719080" TargetMode="External"/><Relationship Id="rId19" Type="http://schemas.openxmlformats.org/officeDocument/2006/relationships/hyperlink" Target="https://journals.sagepub.com/doi/10.1177/0886260517719080" TargetMode="External"/><Relationship Id="rId14" Type="http://schemas.openxmlformats.org/officeDocument/2006/relationships/hyperlink" Target="https://journals.sagepub.com/doi/10.1177/0886260517719080" TargetMode="External"/><Relationship Id="rId30" Type="http://schemas.openxmlformats.org/officeDocument/2006/relationships/hyperlink" Target="https://journals.sagepub.com/doi/10.1177/0886260517719080" TargetMode="External"/><Relationship Id="rId35" Type="http://schemas.openxmlformats.org/officeDocument/2006/relationships/hyperlink" Target="https://journals.sagepub.com/doi/10.1177/0886260517719080" TargetMode="External"/><Relationship Id="rId56" Type="http://schemas.openxmlformats.org/officeDocument/2006/relationships/hyperlink" Target="https://journals.sagepub.com/doi/10.1177/0886260517719080" TargetMode="External"/><Relationship Id="rId77" Type="http://schemas.openxmlformats.org/officeDocument/2006/relationships/hyperlink" Target="https://journals.sagepub.com/doi/10.1177/0886260517719080" TargetMode="External"/><Relationship Id="rId100" Type="http://schemas.openxmlformats.org/officeDocument/2006/relationships/hyperlink" Target="https://journals.sagepub.com/doi/10.1177/0886260517719080" TargetMode="External"/><Relationship Id="rId105" Type="http://schemas.openxmlformats.org/officeDocument/2006/relationships/hyperlink" Target="https://journals.sagepub.com/doi/10.1177/0886260517719080" TargetMode="External"/><Relationship Id="rId8" Type="http://schemas.openxmlformats.org/officeDocument/2006/relationships/hyperlink" Target="file:///C:\Users\8596scholbd\Desktop\10.1177\0886260517719080" TargetMode="External"/><Relationship Id="rId51" Type="http://schemas.openxmlformats.org/officeDocument/2006/relationships/hyperlink" Target="https://journals.sagepub.com/doi/10.1177/0886260517719080" TargetMode="External"/><Relationship Id="rId72" Type="http://schemas.openxmlformats.org/officeDocument/2006/relationships/hyperlink" Target="https://journals.sagepub.com/doi/10.1177/0886260517719080" TargetMode="External"/><Relationship Id="rId93" Type="http://schemas.openxmlformats.org/officeDocument/2006/relationships/hyperlink" Target="https://journals.sagepub.com/doi/10.1177/0886260517719080" TargetMode="External"/><Relationship Id="rId98" Type="http://schemas.openxmlformats.org/officeDocument/2006/relationships/hyperlink" Target="https://journals.sagepub.com/doi/10.1177/0886260517719080" TargetMode="External"/><Relationship Id="rId3" Type="http://schemas.openxmlformats.org/officeDocument/2006/relationships/customXml" Target="../customXml/item3.xml"/><Relationship Id="rId25" Type="http://schemas.openxmlformats.org/officeDocument/2006/relationships/hyperlink" Target="https://journals.sagepub.com/doi/10.1177/0886260517719080" TargetMode="External"/><Relationship Id="rId46" Type="http://schemas.openxmlformats.org/officeDocument/2006/relationships/hyperlink" Target="https://journals.sagepub.com/doi/10.1177/0886260517719080" TargetMode="External"/><Relationship Id="rId67" Type="http://schemas.openxmlformats.org/officeDocument/2006/relationships/hyperlink" Target="https://journals.sagepub.com/doi/10.1177/08862605177190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B01BBE-51F3-4A14-B918-7196352D0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500064-F749-4F4B-8DBB-354DE775A0AD}">
  <ds:schemaRefs>
    <ds:schemaRef ds:uri="http://schemas.microsoft.com/sharepoint/v3/contenttype/forms"/>
  </ds:schemaRefs>
</ds:datastoreItem>
</file>

<file path=customXml/itemProps3.xml><?xml version="1.0" encoding="utf-8"?>
<ds:datastoreItem xmlns:ds="http://schemas.openxmlformats.org/officeDocument/2006/customXml" ds:itemID="{9B00C453-358D-4F95-9473-884795998A8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10554</Words>
  <Characters>62272</Characters>
  <Application>Microsoft Office Word</Application>
  <DocSecurity>8</DocSecurity>
  <Lines>1383</Lines>
  <Paragraphs>735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5</cp:revision>
  <dcterms:created xsi:type="dcterms:W3CDTF">2019-08-05T15:05:00Z</dcterms:created>
  <dcterms:modified xsi:type="dcterms:W3CDTF">2019-08-05T15:09:00Z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