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7D5D752" w:rsidR="000A7622" w:rsidRPr="00C04F25" w:rsidRDefault="00865195"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4326562" w:rsidR="00440BC4" w:rsidRDefault="005D749B" w:rsidP="5E2181D6">
      <w:pPr>
        <w:rPr>
          <w:b/>
          <w:bCs/>
          <w:sz w:val="24"/>
          <w:szCs w:val="24"/>
        </w:rPr>
      </w:pPr>
      <w:r>
        <w:rPr>
          <w:i/>
          <w:iCs/>
          <w:sz w:val="24"/>
          <w:szCs w:val="24"/>
          <w:lang w:val="fr-FR"/>
        </w:rPr>
        <w:t>Transportation Research Record : Journal of The Transportation Research Board</w:t>
      </w:r>
      <w:r w:rsidR="000A7622" w:rsidRPr="5E2181D6">
        <w:rPr>
          <w:sz w:val="24"/>
          <w:szCs w:val="24"/>
          <w:lang w:val="fr-FR"/>
        </w:rPr>
        <w:t xml:space="preserve">, Vol. </w:t>
      </w:r>
      <w:r>
        <w:rPr>
          <w:sz w:val="24"/>
          <w:szCs w:val="24"/>
          <w:lang w:val="fr-FR"/>
        </w:rPr>
        <w:t>2672</w:t>
      </w:r>
      <w:r w:rsidR="000A7622" w:rsidRPr="5E2181D6">
        <w:rPr>
          <w:sz w:val="24"/>
          <w:szCs w:val="24"/>
          <w:lang w:val="fr-FR"/>
        </w:rPr>
        <w:t xml:space="preserve">, No. </w:t>
      </w:r>
      <w:r w:rsidR="00560F7A">
        <w:rPr>
          <w:sz w:val="24"/>
          <w:szCs w:val="24"/>
          <w:lang w:val="fr-FR"/>
        </w:rPr>
        <w:t>40</w:t>
      </w:r>
      <w:r w:rsidR="000A7622" w:rsidRPr="5E2181D6">
        <w:rPr>
          <w:sz w:val="24"/>
          <w:szCs w:val="24"/>
          <w:lang w:val="fr-FR"/>
        </w:rPr>
        <w:t xml:space="preserve"> (</w:t>
      </w:r>
      <w:r w:rsidR="00560F7A">
        <w:rPr>
          <w:sz w:val="24"/>
          <w:szCs w:val="24"/>
          <w:lang w:val="fr-FR"/>
        </w:rPr>
        <w:t>December 1, 2018</w:t>
      </w:r>
      <w:r w:rsidR="000A7622" w:rsidRPr="5E2181D6">
        <w:rPr>
          <w:sz w:val="24"/>
          <w:szCs w:val="24"/>
          <w:lang w:val="fr-FR"/>
        </w:rPr>
        <w:t xml:space="preserve">): </w:t>
      </w:r>
      <w:r w:rsidR="00560F7A">
        <w:rPr>
          <w:sz w:val="24"/>
          <w:szCs w:val="24"/>
          <w:lang w:val="fr-FR"/>
        </w:rPr>
        <w:t>186-196</w:t>
      </w:r>
      <w:r w:rsidR="000A7622" w:rsidRPr="5E2181D6">
        <w:rPr>
          <w:sz w:val="24"/>
          <w:szCs w:val="24"/>
          <w:lang w:val="fr-FR"/>
        </w:rPr>
        <w:t xml:space="preserve">. </w:t>
      </w:r>
      <w:hyperlink r:id="rId8">
        <w:r w:rsidR="000A7622" w:rsidRPr="5E2181D6">
          <w:rPr>
            <w:color w:val="0563C1"/>
            <w:sz w:val="24"/>
            <w:szCs w:val="24"/>
            <w:u w:val="single"/>
            <w:lang w:val="fr-FR"/>
          </w:rPr>
          <w:t>DOI</w:t>
        </w:r>
      </w:hyperlink>
      <w:r w:rsidR="000A7622" w:rsidRPr="5E2181D6">
        <w:rPr>
          <w:sz w:val="24"/>
          <w:szCs w:val="24"/>
          <w:lang w:val="fr-FR"/>
        </w:rPr>
        <w:t xml:space="preserve">. </w:t>
      </w:r>
      <w:r w:rsidR="000A7622" w:rsidRPr="5E2181D6">
        <w:rPr>
          <w:sz w:val="24"/>
          <w:szCs w:val="24"/>
        </w:rPr>
        <w:t xml:space="preserve">This article is © </w:t>
      </w:r>
      <w:r w:rsidR="00813EE0">
        <w:rPr>
          <w:sz w:val="24"/>
          <w:szCs w:val="24"/>
        </w:rPr>
        <w:t>National Academy of Sciences</w:t>
      </w:r>
      <w:r w:rsidR="000A7622" w:rsidRPr="5E2181D6">
        <w:rPr>
          <w:sz w:val="24"/>
          <w:szCs w:val="24"/>
        </w:rPr>
        <w:t xml:space="preserve"> and permission has been granted for this version to appear in </w:t>
      </w:r>
      <w:hyperlink r:id="rId9">
        <w:r w:rsidR="000A7622" w:rsidRPr="5E2181D6">
          <w:rPr>
            <w:color w:val="0563C1"/>
            <w:sz w:val="24"/>
            <w:szCs w:val="24"/>
            <w:u w:val="single"/>
          </w:rPr>
          <w:t>e-Publications@Marquette</w:t>
        </w:r>
      </w:hyperlink>
      <w:r w:rsidR="000A7622" w:rsidRPr="5E2181D6">
        <w:rPr>
          <w:sz w:val="24"/>
          <w:szCs w:val="24"/>
        </w:rPr>
        <w:t xml:space="preserve">. </w:t>
      </w:r>
      <w:r w:rsidR="00813EE0">
        <w:rPr>
          <w:sz w:val="24"/>
          <w:szCs w:val="24"/>
        </w:rPr>
        <w:t>National Academy of Sciences</w:t>
      </w:r>
      <w:r w:rsidR="000A7622" w:rsidRPr="5E2181D6">
        <w:rPr>
          <w:sz w:val="24"/>
          <w:szCs w:val="24"/>
        </w:rPr>
        <w:t xml:space="preserve"> does not grant permission for this article to be further copied/distributed or hosted elsewhere without express permission from </w:t>
      </w:r>
      <w:r w:rsidR="00813EE0">
        <w:rPr>
          <w:sz w:val="24"/>
          <w:szCs w:val="24"/>
        </w:rPr>
        <w:t>National Academy of Sciences</w:t>
      </w:r>
      <w:r w:rsidR="000A7622" w:rsidRPr="5E2181D6">
        <w:rPr>
          <w:sz w:val="24"/>
          <w:szCs w:val="24"/>
        </w:rPr>
        <w:t>.</w:t>
      </w:r>
      <w:r w:rsidR="000A7622" w:rsidRPr="5E2181D6">
        <w:rPr>
          <w:b/>
          <w:bCs/>
          <w:sz w:val="24"/>
          <w:szCs w:val="24"/>
        </w:rPr>
        <w:t xml:space="preserve"> </w:t>
      </w:r>
      <w:bookmarkEnd w:id="1"/>
    </w:p>
    <w:p w14:paraId="1A9BF450" w14:textId="7CB2CC1C" w:rsidR="5E2181D6" w:rsidRDefault="5E2181D6" w:rsidP="5E2181D6">
      <w:pPr>
        <w:rPr>
          <w:b/>
          <w:bCs/>
          <w:sz w:val="24"/>
          <w:szCs w:val="24"/>
        </w:rPr>
      </w:pPr>
    </w:p>
    <w:p w14:paraId="383A97CF" w14:textId="77777777" w:rsidR="00621602" w:rsidRDefault="00621602" w:rsidP="5E2181D6">
      <w:pPr>
        <w:pStyle w:val="Title"/>
        <w:rPr>
          <w:rFonts w:ascii="Calibri Light" w:eastAsia="MS Gothic" w:hAnsi="Calibri Light" w:cs="Times New Roman"/>
          <w:b/>
          <w:bCs/>
        </w:rPr>
      </w:pPr>
      <w:r>
        <w:t>Impact of Wide-Base Tires on Pavements: A National Study</w:t>
      </w:r>
    </w:p>
    <w:p w14:paraId="26473B59" w14:textId="481FEAB9" w:rsidR="5E2181D6" w:rsidRDefault="5E2181D6" w:rsidP="5E2181D6">
      <w:pPr>
        <w:rPr>
          <w:b/>
          <w:bCs/>
          <w:sz w:val="24"/>
          <w:szCs w:val="24"/>
        </w:rPr>
      </w:pPr>
    </w:p>
    <w:p w14:paraId="28D88DFC" w14:textId="6712E361" w:rsidR="00621602" w:rsidRDefault="00621602" w:rsidP="5E2181D6">
      <w:pPr>
        <w:spacing w:after="0"/>
        <w:rPr>
          <w:sz w:val="28"/>
          <w:szCs w:val="28"/>
        </w:rPr>
      </w:pPr>
      <w:r w:rsidRPr="5E2181D6">
        <w:rPr>
          <w:sz w:val="28"/>
          <w:szCs w:val="28"/>
        </w:rPr>
        <w:t>Imad L. Al-Qadi</w:t>
      </w:r>
    </w:p>
    <w:p w14:paraId="27131119" w14:textId="478E8C23" w:rsidR="00621602" w:rsidRDefault="5E2181D6" w:rsidP="5E2181D6">
      <w:pPr>
        <w:spacing w:after="0"/>
        <w:rPr>
          <w:sz w:val="24"/>
          <w:szCs w:val="24"/>
        </w:rPr>
      </w:pPr>
      <w:r w:rsidRPr="5E2181D6">
        <w:rPr>
          <w:sz w:val="24"/>
          <w:szCs w:val="24"/>
        </w:rPr>
        <w:t>University of Illinois at Urbana-Champaign, Illinois Center for Transportation, Rantoul, IL</w:t>
      </w:r>
    </w:p>
    <w:p w14:paraId="3DF28236" w14:textId="3039E7DF" w:rsidR="00621602" w:rsidRDefault="00621602" w:rsidP="5E2181D6">
      <w:pPr>
        <w:spacing w:after="0"/>
        <w:rPr>
          <w:sz w:val="18"/>
          <w:szCs w:val="18"/>
        </w:rPr>
      </w:pPr>
      <w:r w:rsidRPr="5E2181D6">
        <w:rPr>
          <w:sz w:val="28"/>
          <w:szCs w:val="28"/>
        </w:rPr>
        <w:t>Jaime A. Hernandez</w:t>
      </w:r>
      <w:r>
        <w:br/>
      </w:r>
      <w:r w:rsidR="5E2181D6" w:rsidRPr="5E2181D6">
        <w:rPr>
          <w:sz w:val="24"/>
          <w:szCs w:val="24"/>
        </w:rPr>
        <w:t>University of Illinois at Urbana-Champaign, Illinois Center for Transportation, Rantoul, IL</w:t>
      </w:r>
    </w:p>
    <w:p w14:paraId="06D103EB" w14:textId="550C6714" w:rsidR="00621602" w:rsidRDefault="00621602" w:rsidP="5E2181D6">
      <w:pPr>
        <w:spacing w:after="0"/>
        <w:rPr>
          <w:sz w:val="28"/>
          <w:szCs w:val="28"/>
        </w:rPr>
      </w:pPr>
      <w:r w:rsidRPr="5E2181D6">
        <w:rPr>
          <w:sz w:val="28"/>
          <w:szCs w:val="28"/>
        </w:rPr>
        <w:t>Angeli Gamez</w:t>
      </w:r>
    </w:p>
    <w:p w14:paraId="6BCC7702" w14:textId="4DD379D2" w:rsidR="00621602" w:rsidRDefault="5E2181D6" w:rsidP="5E2181D6">
      <w:pPr>
        <w:spacing w:after="0"/>
        <w:rPr>
          <w:sz w:val="24"/>
          <w:szCs w:val="24"/>
        </w:rPr>
      </w:pPr>
      <w:r w:rsidRPr="5E2181D6">
        <w:rPr>
          <w:sz w:val="24"/>
          <w:szCs w:val="24"/>
        </w:rPr>
        <w:t>University of Illinois at Urbana-Champaign, Illinois Center for Transportation, Rantoul, IL</w:t>
      </w:r>
    </w:p>
    <w:p w14:paraId="73181084" w14:textId="62C41A61" w:rsidR="00621602" w:rsidRDefault="00621602" w:rsidP="5E2181D6">
      <w:pPr>
        <w:spacing w:after="0"/>
        <w:rPr>
          <w:sz w:val="28"/>
          <w:szCs w:val="28"/>
        </w:rPr>
      </w:pPr>
      <w:r w:rsidRPr="5E2181D6">
        <w:rPr>
          <w:sz w:val="28"/>
          <w:szCs w:val="28"/>
        </w:rPr>
        <w:t>Mojtaba Ziyadi</w:t>
      </w:r>
      <w:r>
        <w:br/>
      </w:r>
      <w:r w:rsidR="5E2181D6" w:rsidRPr="5E2181D6">
        <w:rPr>
          <w:sz w:val="24"/>
          <w:szCs w:val="24"/>
        </w:rPr>
        <w:t>University of Illinois at Urbana-Champaign, Illinois Center for Transportation, Rantoul, IL</w:t>
      </w:r>
    </w:p>
    <w:p w14:paraId="58AA909C" w14:textId="201CC36C" w:rsidR="00621602" w:rsidRDefault="00621602" w:rsidP="5E2181D6">
      <w:pPr>
        <w:spacing w:after="0"/>
        <w:rPr>
          <w:sz w:val="18"/>
          <w:szCs w:val="18"/>
        </w:rPr>
      </w:pPr>
      <w:r w:rsidRPr="5E2181D6">
        <w:rPr>
          <w:sz w:val="28"/>
          <w:szCs w:val="28"/>
        </w:rPr>
        <w:t>Osman Erman Gungor</w:t>
      </w:r>
      <w:r>
        <w:br/>
      </w:r>
      <w:r w:rsidR="5E2181D6" w:rsidRPr="5E2181D6">
        <w:rPr>
          <w:sz w:val="24"/>
          <w:szCs w:val="24"/>
        </w:rPr>
        <w:t>University of Illinois at Urbana-Champaign, Illinois Center for Transportation, Rantoul, IL</w:t>
      </w:r>
    </w:p>
    <w:p w14:paraId="371A1CB7" w14:textId="5A80A2A5" w:rsidR="00621602" w:rsidRDefault="00621602" w:rsidP="5E2181D6">
      <w:pPr>
        <w:spacing w:after="0"/>
        <w:rPr>
          <w:sz w:val="28"/>
          <w:szCs w:val="28"/>
        </w:rPr>
      </w:pPr>
      <w:r w:rsidRPr="5E2181D6">
        <w:rPr>
          <w:sz w:val="28"/>
          <w:szCs w:val="28"/>
        </w:rPr>
        <w:t>Seunggu Kang</w:t>
      </w:r>
    </w:p>
    <w:p w14:paraId="47794DA6" w14:textId="211C1F62" w:rsidR="5E2181D6" w:rsidRDefault="5E2181D6" w:rsidP="5E2181D6">
      <w:pPr>
        <w:spacing w:after="0"/>
        <w:rPr>
          <w:sz w:val="24"/>
          <w:szCs w:val="24"/>
        </w:rPr>
      </w:pPr>
      <w:r w:rsidRPr="5E2181D6">
        <w:rPr>
          <w:sz w:val="24"/>
          <w:szCs w:val="24"/>
        </w:rPr>
        <w:t>University of Illinois at Urbana-Champaign, Illinois Center for Transportation, Rantoul, IL</w:t>
      </w:r>
    </w:p>
    <w:p w14:paraId="7FCC79E2" w14:textId="77777777" w:rsidR="00621602" w:rsidRDefault="00621602" w:rsidP="5E2181D6">
      <w:pPr>
        <w:rPr>
          <w:sz w:val="24"/>
          <w:szCs w:val="24"/>
          <w:vertAlign w:val="superscript"/>
        </w:rPr>
      </w:pPr>
    </w:p>
    <w:p w14:paraId="626CD866" w14:textId="77777777" w:rsidR="00621602" w:rsidRPr="005E780E" w:rsidRDefault="00621602" w:rsidP="5E2181D6">
      <w:pPr>
        <w:pStyle w:val="Heading1"/>
        <w:rPr>
          <w:rFonts w:ascii="Calibri Light" w:eastAsia="MS Gothic" w:hAnsi="Calibri Light" w:cs="Times New Roman"/>
        </w:rPr>
      </w:pPr>
      <w:r>
        <w:t>Abstract</w:t>
      </w:r>
    </w:p>
    <w:p w14:paraId="04B6A04B" w14:textId="77777777" w:rsidR="00621602" w:rsidRPr="005E780E" w:rsidRDefault="00621602" w:rsidP="00621602">
      <w:pPr>
        <w:rPr>
          <w:rFonts w:cstheme="minorHAnsi"/>
          <w:sz w:val="24"/>
          <w:szCs w:val="24"/>
        </w:rPr>
      </w:pPr>
      <w:r w:rsidRPr="005E780E">
        <w:rPr>
          <w:rFonts w:cstheme="minorHAnsi"/>
          <w:sz w:val="24"/>
          <w:szCs w:val="24"/>
        </w:rPr>
        <w:t xml:space="preserve">This paper summarizes a multi-year effort comparing the new-generation wide-base tires (NG-WBT) and dual-tire assembly from a holistic point of view. The tires were compared considering not only </w:t>
      </w:r>
      <w:r w:rsidRPr="005E780E">
        <w:rPr>
          <w:rFonts w:cstheme="minorHAnsi"/>
          <w:sz w:val="24"/>
          <w:szCs w:val="24"/>
        </w:rPr>
        <w:lastRenderedPageBreak/>
        <w:t>pavement damage but also environmental impact. Numerical modeling, prediction methods, experimental measurements, and life-cycle assessment were combined to provide recommendations about the use of NG-WBT. A finite element (FE) approach considering variables that are usually omitted in the conventional analysis of flexible pavement was used for modeling pavement structures combining layer thickness, material properties, tire load, tire-inflation pressure, and pavement type (interstate and low volume). A prediction tool, ICT-Wide, was developed based on an artificial neural network to obtain critical pavement responses in cases excluded from the FE analysis matrix. Based on the bottom-up fatigue cracking, permanent deformation, and international roughness index, the life-cycle energy consumption, cost, and green-house gas emissions were estimated. To make this research useful for state departments of transportation and practitioners, a modification to AASHTOware is proposed to account for NG-WBT. The revision is based on two adjustment factors, one accounting for the discrepancy between the AASHTOware approach and the FE model of this study, and the other addressing the impact of NG-WBT. Although greater pavement damage may result from NG-WBT, for the analyzed cases, the extra pavement damage may be outweighed by the environmental benefits when NG-WBT market penetration is considered.</w:t>
      </w:r>
    </w:p>
    <w:p w14:paraId="6D300B8D" w14:textId="6AC412F6" w:rsidR="00621602" w:rsidRPr="005E780E" w:rsidRDefault="00621602" w:rsidP="00621602">
      <w:pPr>
        <w:rPr>
          <w:rFonts w:cstheme="minorHAnsi"/>
          <w:sz w:val="24"/>
          <w:szCs w:val="24"/>
        </w:rPr>
      </w:pPr>
      <w:r w:rsidRPr="005E780E">
        <w:rPr>
          <w:rFonts w:cstheme="minorHAnsi"/>
          <w:sz w:val="24"/>
          <w:szCs w:val="24"/>
        </w:rPr>
        <w:t>Wide-base tires (WBT) provide numerous advantages compared with conventional dual-tire assembly (DTA). Regarding fuel economy, some studies indicate that fuel efficiency of WBT is 10% higher than that of DTA (</w:t>
      </w:r>
      <w:r w:rsidRPr="008130D4">
        <w:rPr>
          <w:rFonts w:cstheme="minorHAnsi"/>
          <w:i/>
          <w:iCs/>
          <w:sz w:val="24"/>
          <w:szCs w:val="24"/>
        </w:rPr>
        <w:t>1</w:t>
      </w:r>
      <w:r w:rsidRPr="005E780E">
        <w:rPr>
          <w:rFonts w:cstheme="minorHAnsi"/>
          <w:i/>
          <w:iCs/>
          <w:sz w:val="24"/>
          <w:szCs w:val="24"/>
        </w:rPr>
        <w:t>,</w:t>
      </w:r>
      <w:r w:rsidRPr="008130D4">
        <w:rPr>
          <w:rFonts w:cstheme="minorHAnsi"/>
          <w:i/>
          <w:iCs/>
          <w:sz w:val="24"/>
          <w:szCs w:val="24"/>
        </w:rPr>
        <w:t>2</w:t>
      </w:r>
      <w:r w:rsidRPr="005E780E">
        <w:rPr>
          <w:rFonts w:cstheme="minorHAnsi"/>
          <w:sz w:val="24"/>
          <w:szCs w:val="24"/>
        </w:rPr>
        <w:t>), or between 3.5 and 12% (</w:t>
      </w:r>
      <w:r w:rsidRPr="008130D4">
        <w:rPr>
          <w:rFonts w:cstheme="minorHAnsi"/>
          <w:i/>
          <w:iCs/>
          <w:sz w:val="24"/>
          <w:szCs w:val="24"/>
        </w:rPr>
        <w:t>3</w:t>
      </w:r>
      <w:r w:rsidRPr="005E780E">
        <w:rPr>
          <w:rFonts w:cstheme="minorHAnsi"/>
          <w:sz w:val="24"/>
          <w:szCs w:val="24"/>
        </w:rPr>
        <w:t>), and WBT can improve fuel economy up to 18% when combined with aerodynamic devices (</w:t>
      </w:r>
      <w:r w:rsidRPr="008130D4">
        <w:rPr>
          <w:rFonts w:cstheme="minorHAnsi"/>
          <w:i/>
          <w:iCs/>
          <w:sz w:val="24"/>
          <w:szCs w:val="24"/>
        </w:rPr>
        <w:t>4</w:t>
      </w:r>
      <w:r w:rsidRPr="005E780E">
        <w:rPr>
          <w:rFonts w:cstheme="minorHAnsi"/>
          <w:sz w:val="24"/>
          <w:szCs w:val="24"/>
        </w:rPr>
        <w:t>). In addition, WBT increases the hauling capacity of trucks by 2% because it is lighter than DTA (</w:t>
      </w:r>
      <w:r w:rsidRPr="008130D4">
        <w:rPr>
          <w:rFonts w:cstheme="minorHAnsi"/>
          <w:i/>
          <w:iCs/>
          <w:sz w:val="24"/>
          <w:szCs w:val="24"/>
        </w:rPr>
        <w:t>5</w:t>
      </w:r>
      <w:r w:rsidRPr="005E780E">
        <w:rPr>
          <w:rFonts w:cstheme="minorHAnsi"/>
          <w:sz w:val="24"/>
          <w:szCs w:val="24"/>
        </w:rPr>
        <w:t>); easier to inspect, repair, and maintain (</w:t>
      </w:r>
      <w:r w:rsidRPr="008130D4">
        <w:rPr>
          <w:rFonts w:cstheme="minorHAnsi"/>
          <w:i/>
          <w:iCs/>
          <w:sz w:val="24"/>
          <w:szCs w:val="24"/>
        </w:rPr>
        <w:t>3</w:t>
      </w:r>
      <w:r w:rsidRPr="005E780E">
        <w:rPr>
          <w:rFonts w:cstheme="minorHAnsi"/>
          <w:sz w:val="24"/>
          <w:szCs w:val="24"/>
        </w:rPr>
        <w:t>); uses less rubber material, so the amount of disposable materials at the end-of-life is diminished; has similar or slightly better performance than DTA with regard to handling and comfort (</w:t>
      </w:r>
      <w:r w:rsidRPr="008130D4">
        <w:rPr>
          <w:rFonts w:cstheme="minorHAnsi"/>
          <w:i/>
          <w:iCs/>
          <w:sz w:val="24"/>
          <w:szCs w:val="24"/>
        </w:rPr>
        <w:t>5</w:t>
      </w:r>
      <w:r w:rsidRPr="005E780E">
        <w:rPr>
          <w:rFonts w:cstheme="minorHAnsi"/>
          <w:sz w:val="24"/>
          <w:szCs w:val="24"/>
        </w:rPr>
        <w:t>); produces slightly less noise (</w:t>
      </w:r>
      <w:r w:rsidRPr="008130D4">
        <w:rPr>
          <w:rFonts w:cstheme="minorHAnsi"/>
          <w:i/>
          <w:iCs/>
          <w:sz w:val="24"/>
          <w:szCs w:val="24"/>
        </w:rPr>
        <w:t>5</w:t>
      </w:r>
      <w:r w:rsidRPr="005E780E">
        <w:rPr>
          <w:rFonts w:cstheme="minorHAnsi"/>
          <w:sz w:val="24"/>
          <w:szCs w:val="24"/>
        </w:rPr>
        <w:t>); and reduces emissions (</w:t>
      </w:r>
      <w:r w:rsidRPr="008130D4">
        <w:rPr>
          <w:rFonts w:cstheme="minorHAnsi"/>
          <w:i/>
          <w:iCs/>
          <w:sz w:val="24"/>
          <w:szCs w:val="24"/>
        </w:rPr>
        <w:t>6</w:t>
      </w:r>
      <w:r w:rsidRPr="005E780E">
        <w:rPr>
          <w:rFonts w:cstheme="minorHAnsi"/>
          <w:sz w:val="24"/>
          <w:szCs w:val="24"/>
        </w:rPr>
        <w:t>).</w:t>
      </w:r>
    </w:p>
    <w:p w14:paraId="673803CD" w14:textId="21BE2301" w:rsidR="00621602" w:rsidRPr="005E780E" w:rsidRDefault="00621602" w:rsidP="00621602">
      <w:pPr>
        <w:rPr>
          <w:rFonts w:cstheme="minorHAnsi"/>
          <w:sz w:val="24"/>
          <w:szCs w:val="24"/>
        </w:rPr>
      </w:pPr>
      <w:r w:rsidRPr="005E780E">
        <w:rPr>
          <w:rFonts w:cstheme="minorHAnsi"/>
          <w:sz w:val="24"/>
          <w:szCs w:val="24"/>
        </w:rPr>
        <w:t>Despite its benefits, the impact of WBT on road infrastructure has been a concern for almost four decades since the inception of first-generation wide-base tires (FG-WBT) in the early 1980s. After FG-WBT were proved to be considerably more damaging to roads than conventional DTA (</w:t>
      </w:r>
      <w:r w:rsidRPr="008130D4">
        <w:rPr>
          <w:rFonts w:cstheme="minorHAnsi"/>
          <w:i/>
          <w:iCs/>
          <w:sz w:val="24"/>
          <w:szCs w:val="24"/>
        </w:rPr>
        <w:t>7</w:t>
      </w:r>
      <w:r w:rsidRPr="005E780E">
        <w:rPr>
          <w:rFonts w:cstheme="minorHAnsi"/>
          <w:i/>
          <w:iCs/>
          <w:sz w:val="24"/>
          <w:szCs w:val="24"/>
        </w:rPr>
        <w:t>–</w:t>
      </w:r>
      <w:r w:rsidRPr="008130D4">
        <w:rPr>
          <w:rFonts w:cstheme="minorHAnsi"/>
          <w:i/>
          <w:iCs/>
          <w:sz w:val="24"/>
          <w:szCs w:val="24"/>
        </w:rPr>
        <w:t>12</w:t>
      </w:r>
      <w:r w:rsidRPr="005E780E">
        <w:rPr>
          <w:rFonts w:cstheme="minorHAnsi"/>
          <w:sz w:val="24"/>
          <w:szCs w:val="24"/>
        </w:rPr>
        <w:t>), new-generation wide-base tires (NG-WBT) were introduced in an attempt to preserve the advantages of WBT while reducing pavement damage. The impact of NG-WBT on road infrastructure through accelerated pavement testing and experimental measurements (</w:t>
      </w:r>
      <w:r w:rsidRPr="008130D4">
        <w:rPr>
          <w:rFonts w:cstheme="minorHAnsi"/>
          <w:i/>
          <w:iCs/>
          <w:sz w:val="24"/>
          <w:szCs w:val="24"/>
        </w:rPr>
        <w:t>13</w:t>
      </w:r>
      <w:r w:rsidRPr="005E780E">
        <w:rPr>
          <w:rFonts w:cstheme="minorHAnsi"/>
          <w:i/>
          <w:iCs/>
          <w:sz w:val="24"/>
          <w:szCs w:val="24"/>
        </w:rPr>
        <w:t>–</w:t>
      </w:r>
      <w:r w:rsidRPr="008130D4">
        <w:rPr>
          <w:rFonts w:cstheme="minorHAnsi"/>
          <w:i/>
          <w:iCs/>
          <w:sz w:val="24"/>
          <w:szCs w:val="24"/>
        </w:rPr>
        <w:t>20</w:t>
      </w:r>
      <w:r w:rsidRPr="005E780E">
        <w:rPr>
          <w:rFonts w:cstheme="minorHAnsi"/>
          <w:sz w:val="24"/>
          <w:szCs w:val="24"/>
        </w:rPr>
        <w:t>) and analytical and numerical methods (</w:t>
      </w:r>
      <w:r w:rsidRPr="008130D4">
        <w:rPr>
          <w:rFonts w:cstheme="minorHAnsi"/>
          <w:i/>
          <w:iCs/>
          <w:sz w:val="24"/>
          <w:szCs w:val="24"/>
        </w:rPr>
        <w:t>16</w:t>
      </w:r>
      <w:r w:rsidRPr="005E780E">
        <w:rPr>
          <w:rFonts w:cstheme="minorHAnsi"/>
          <w:i/>
          <w:iCs/>
          <w:sz w:val="24"/>
          <w:szCs w:val="24"/>
        </w:rPr>
        <w:t>,</w:t>
      </w:r>
      <w:r w:rsidRPr="008130D4">
        <w:rPr>
          <w:rFonts w:cstheme="minorHAnsi"/>
          <w:i/>
          <w:iCs/>
          <w:sz w:val="24"/>
          <w:szCs w:val="24"/>
        </w:rPr>
        <w:t>21</w:t>
      </w:r>
      <w:r w:rsidRPr="005E780E">
        <w:rPr>
          <w:rFonts w:cstheme="minorHAnsi"/>
          <w:sz w:val="24"/>
          <w:szCs w:val="24"/>
        </w:rPr>
        <w:t>) has been studied; however, no evidence has been provided about their net benefit.</w:t>
      </w:r>
    </w:p>
    <w:p w14:paraId="6AF6B8BF" w14:textId="77777777" w:rsidR="00621602" w:rsidRPr="005E780E" w:rsidRDefault="00621602" w:rsidP="00621602">
      <w:pPr>
        <w:rPr>
          <w:rFonts w:cstheme="minorHAnsi"/>
          <w:sz w:val="24"/>
          <w:szCs w:val="24"/>
        </w:rPr>
      </w:pPr>
      <w:r w:rsidRPr="005E780E">
        <w:rPr>
          <w:rFonts w:cstheme="minorHAnsi"/>
          <w:sz w:val="24"/>
          <w:szCs w:val="24"/>
        </w:rPr>
        <w:t>This study reflects a relevant step forward, where a comprehensive approach is used to compare NG-WBT with DTA. Numerical modeling, prediction methods, experimental measurements, and environmental impact assessment were combined to provide recommendations about the use of NG-WBT. Numerical modeling allowed the calculation of pavement responses based on an ample combination of variables, which incorporated accurate variables such as measured tire–pavement contact loads. A prediction tool based on an artificial neural network (ANN) was developed to obtain critical pavement responses in cases excluded from the finite element (FE) analysis matrix. The tool can promptly predict critical pavement responses without performing FE calculations. The experimental program aimed to validate the results of the numerical model and verify the trends inferred from the FE model for the scenarios of the testing program. The collected information was compiled in a database that users could access to retrieve experimental results. The environmental impacts were determined using life-cycle assessment (LCA) based on bottom-up fatigue cracking, permanent deformation, and international roughness index (IRI). LCA estimated life-cycle energy consumption, cost, and green-house gas (GHG) emissions. Finally, to make the outcome of this research effort readily implementable by state departments of transportation and practitioners, a modification to AASHTOware is proposed to account for NG-WBT. The revision is based on two adjustment factors, one accounting for the discrepancy between the AASHTOware approach and the FE model of this study, and the other addressing the impact of NG-WBT.</w:t>
      </w:r>
    </w:p>
    <w:p w14:paraId="161A5919" w14:textId="77777777" w:rsidR="00621602" w:rsidRPr="005E780E" w:rsidRDefault="00621602" w:rsidP="5E2181D6">
      <w:pPr>
        <w:pStyle w:val="Heading1"/>
        <w:rPr>
          <w:rFonts w:ascii="Calibri Light" w:eastAsia="MS Gothic" w:hAnsi="Calibri Light" w:cs="Times New Roman"/>
        </w:rPr>
      </w:pPr>
      <w:bookmarkStart w:id="2" w:name="_i1"/>
      <w:bookmarkEnd w:id="2"/>
      <w:r>
        <w:t>Tire–Pavement Contact Loads</w:t>
      </w:r>
    </w:p>
    <w:p w14:paraId="0BD8C22B" w14:textId="0232484F" w:rsidR="00621602" w:rsidRPr="005E780E" w:rsidRDefault="00621602" w:rsidP="5E2181D6">
      <w:pPr>
        <w:rPr>
          <w:sz w:val="24"/>
          <w:szCs w:val="24"/>
        </w:rPr>
      </w:pPr>
      <w:r w:rsidRPr="5E2181D6">
        <w:rPr>
          <w:sz w:val="24"/>
          <w:szCs w:val="24"/>
        </w:rPr>
        <w:t>The dual stress-in-motion (SIM) Mk IV system was used for contact load measurement (see </w:t>
      </w:r>
      <w:r w:rsidRPr="008130D4">
        <w:rPr>
          <w:sz w:val="24"/>
          <w:szCs w:val="24"/>
        </w:rPr>
        <w:t>Figure 1</w:t>
      </w:r>
      <w:r w:rsidRPr="008130D4">
        <w:rPr>
          <w:i/>
          <w:iCs/>
          <w:sz w:val="24"/>
          <w:szCs w:val="24"/>
        </w:rPr>
        <w:t>a</w:t>
      </w:r>
      <w:r w:rsidRPr="5E2181D6">
        <w:rPr>
          <w:sz w:val="24"/>
          <w:szCs w:val="24"/>
        </w:rPr>
        <w:t>). The system consists of two SIM pad assemblies; each pad consists of an array of 21 instrumented pins installed across the center portion of the assembly (</w:t>
      </w:r>
      <w:r w:rsidRPr="008130D4">
        <w:rPr>
          <w:i/>
          <w:iCs/>
          <w:sz w:val="24"/>
          <w:szCs w:val="24"/>
        </w:rPr>
        <w:t>22</w:t>
      </w:r>
      <w:r w:rsidRPr="5E2181D6">
        <w:rPr>
          <w:sz w:val="24"/>
          <w:szCs w:val="24"/>
        </w:rPr>
        <w:t>). The pins are instrumented with strain gauges, which are calibrated to convert strain to load. Static tire ink imprints were made using black roof paint on white paper under the HVS Mk III accelerated pavement testing system to obtain the contact area for each loading case.</w:t>
      </w:r>
    </w:p>
    <w:p w14:paraId="485A1827" w14:textId="2C86EB55" w:rsidR="5E2181D6" w:rsidRDefault="5E2181D6" w:rsidP="5E2181D6">
      <w:pPr>
        <w:rPr>
          <w:sz w:val="24"/>
          <w:szCs w:val="24"/>
        </w:rPr>
      </w:pPr>
    </w:p>
    <w:p w14:paraId="159D93EF" w14:textId="77777777" w:rsidR="00621602" w:rsidRPr="005E780E" w:rsidRDefault="00621602" w:rsidP="00250BC7">
      <w:pPr>
        <w:pStyle w:val="NoSpacing"/>
      </w:pPr>
      <w:r w:rsidRPr="005E780E">
        <w:rPr>
          <w:noProof/>
        </w:rPr>
        <w:drawing>
          <wp:inline distT="0" distB="0" distL="0" distR="0" wp14:anchorId="72C545C2" wp14:editId="100C3A7D">
            <wp:extent cx="2743200" cy="2313432"/>
            <wp:effectExtent l="0" t="0" r="0" b="0"/>
            <wp:docPr id="9" name="Picture 9"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59410706" w14:textId="77777777" w:rsidR="00621602" w:rsidRPr="005E780E" w:rsidRDefault="00621602" w:rsidP="00250BC7">
      <w:pPr>
        <w:pStyle w:val="NoSpacing"/>
      </w:pPr>
      <w:r w:rsidRPr="5E2181D6">
        <w:rPr>
          <w:b/>
          <w:bCs/>
        </w:rPr>
        <w:t>Figure 1.</w:t>
      </w:r>
      <w:r w:rsidRPr="5E2181D6">
        <w:t> Tested tires and stress-in-motion system: (</w:t>
      </w:r>
      <w:r w:rsidRPr="5E2181D6">
        <w:rPr>
          <w:i/>
          <w:iCs/>
        </w:rPr>
        <w:t>a</w:t>
      </w:r>
      <w:r w:rsidRPr="5E2181D6">
        <w:t>) stress-in-motion systems; (</w:t>
      </w:r>
      <w:r w:rsidRPr="5E2181D6">
        <w:rPr>
          <w:i/>
          <w:iCs/>
        </w:rPr>
        <w:t>b</w:t>
      </w:r>
      <w:r w:rsidRPr="5E2181D6">
        <w:t>) new-generation wide-base tire 445/R22.4; (</w:t>
      </w:r>
      <w:r w:rsidRPr="5E2181D6">
        <w:rPr>
          <w:i/>
          <w:iCs/>
        </w:rPr>
        <w:t>c</w:t>
      </w:r>
      <w:r w:rsidRPr="5E2181D6">
        <w:t>) dual-tire assembly 275/80R22.5</w:t>
      </w:r>
    </w:p>
    <w:p w14:paraId="0E76844B" w14:textId="41EBC6D7" w:rsidR="5E2181D6" w:rsidRDefault="5E2181D6" w:rsidP="5E2181D6">
      <w:pPr>
        <w:rPr>
          <w:sz w:val="24"/>
          <w:szCs w:val="24"/>
        </w:rPr>
      </w:pPr>
    </w:p>
    <w:p w14:paraId="2EB74ACC" w14:textId="222256EF" w:rsidR="00621602" w:rsidRPr="005E780E" w:rsidRDefault="00621602" w:rsidP="00621602">
      <w:pPr>
        <w:rPr>
          <w:rFonts w:cstheme="minorHAnsi"/>
          <w:sz w:val="24"/>
          <w:szCs w:val="24"/>
        </w:rPr>
      </w:pPr>
      <w:r w:rsidRPr="005E780E">
        <w:rPr>
          <w:rFonts w:cstheme="minorHAnsi"/>
          <w:sz w:val="24"/>
          <w:szCs w:val="24"/>
        </w:rPr>
        <w:t>Three-dimensional (3D) tire–pavement contact loads were measured for the NG-WBT 445/50 R22.5 and DTA 275/80 R22.5; the tires are presented in </w:t>
      </w:r>
      <w:r w:rsidRPr="008130D4">
        <w:rPr>
          <w:rFonts w:cstheme="minorHAnsi"/>
          <w:sz w:val="24"/>
          <w:szCs w:val="24"/>
        </w:rPr>
        <w:t>Figure 1</w:t>
      </w:r>
      <w:r w:rsidRPr="005E780E">
        <w:rPr>
          <w:rFonts w:cstheme="minorHAnsi"/>
          <w:sz w:val="24"/>
          <w:szCs w:val="24"/>
        </w:rPr>
        <w:t>, </w:t>
      </w:r>
      <w:r w:rsidRPr="008130D4">
        <w:rPr>
          <w:rFonts w:cstheme="minorHAnsi"/>
          <w:i/>
          <w:iCs/>
          <w:sz w:val="24"/>
          <w:szCs w:val="24"/>
        </w:rPr>
        <w:t>b</w:t>
      </w:r>
      <w:r w:rsidRPr="005E780E">
        <w:rPr>
          <w:rFonts w:cstheme="minorHAnsi"/>
          <w:sz w:val="24"/>
          <w:szCs w:val="24"/>
        </w:rPr>
        <w:t> and </w:t>
      </w:r>
      <w:r w:rsidRPr="008130D4">
        <w:rPr>
          <w:rFonts w:cstheme="minorHAnsi"/>
          <w:i/>
          <w:iCs/>
          <w:sz w:val="24"/>
          <w:szCs w:val="24"/>
        </w:rPr>
        <w:t>c</w:t>
      </w:r>
      <w:r w:rsidRPr="005E780E">
        <w:rPr>
          <w:rFonts w:cstheme="minorHAnsi"/>
          <w:sz w:val="24"/>
          <w:szCs w:val="24"/>
        </w:rPr>
        <w:t>. Four values of tire-inflation pressure </w:t>
      </w:r>
      <w:r w:rsidRPr="005E780E">
        <w:rPr>
          <w:rFonts w:cstheme="minorHAnsi"/>
          <w:i/>
          <w:iCs/>
          <w:sz w:val="24"/>
          <w:szCs w:val="24"/>
        </w:rPr>
        <w:t>S</w:t>
      </w:r>
      <w:r w:rsidRPr="005E780E">
        <w:rPr>
          <w:rFonts w:cstheme="minorHAnsi"/>
          <w:sz w:val="24"/>
          <w:szCs w:val="24"/>
        </w:rPr>
        <w:t> at 552, 690, 758, and 862 kPa, and five tire loadings </w:t>
      </w:r>
      <m:oMath>
        <m:r>
          <w:rPr>
            <w:rFonts w:ascii="Cambria Math" w:hAnsi="Cambria Math"/>
            <w:sz w:val="24"/>
            <w:szCs w:val="24"/>
          </w:rPr>
          <m:t>P</m:t>
        </m:r>
      </m:oMath>
      <w:r w:rsidRPr="005E780E">
        <w:rPr>
          <w:rFonts w:cstheme="minorHAnsi"/>
          <w:sz w:val="24"/>
          <w:szCs w:val="24"/>
        </w:rPr>
        <w:t> at 26.6, 35.6, 44.4, 62.3, and 80 kN, were applied to the tires to measure the 3D contact loads. In addition, differential tire-inflation pressure was considered for DTA; one tire of the assembly was kept at 758 kPa while two values, 413 and 552 kPa, were applied to the other.</w:t>
      </w:r>
    </w:p>
    <w:p w14:paraId="48BD30E0" w14:textId="77777777" w:rsidR="00621602" w:rsidRPr="005E780E" w:rsidRDefault="00621602" w:rsidP="00621602">
      <w:pPr>
        <w:rPr>
          <w:rFonts w:cstheme="minorHAnsi"/>
          <w:sz w:val="24"/>
          <w:szCs w:val="24"/>
        </w:rPr>
      </w:pPr>
      <w:r w:rsidRPr="005E780E">
        <w:rPr>
          <w:rFonts w:cstheme="minorHAnsi"/>
          <w:sz w:val="24"/>
          <w:szCs w:val="24"/>
        </w:rPr>
        <w:t>Based on the measurements, peak forces per unit length in the vertical, longitudinal, and transverse directions are relatively higher for NG-WBT than DTA. In addition, regardless of the tire type, the magnitude of the tangential contact stresses is considerably high, which highly influences pavement responses. Although both tires have the same applied load and tire-inflation pressure, the ratios between the peak forces are different. Therefore, the effect of NG-WBT and DTA on pavement responses and performance cannot be assumed to be the same.</w:t>
      </w:r>
    </w:p>
    <w:p w14:paraId="1D08E721" w14:textId="43942449" w:rsidR="00621602" w:rsidRPr="005E780E" w:rsidRDefault="00621602" w:rsidP="00621602">
      <w:pPr>
        <w:rPr>
          <w:rFonts w:cstheme="minorHAnsi"/>
          <w:sz w:val="24"/>
          <w:szCs w:val="24"/>
        </w:rPr>
      </w:pPr>
      <w:r w:rsidRPr="005E780E">
        <w:rPr>
          <w:rFonts w:cstheme="minorHAnsi"/>
          <w:sz w:val="24"/>
          <w:szCs w:val="24"/>
        </w:rPr>
        <w:t>The contact area, obtained from static imprints, is also different for both tires. The contact area increased as the applied load reached 80 kN. Furthermore, the contact area was greater for DTA than NG-WBT for all loading cases, and the contact area ratio between DTA and NG-WBT was as high as 1.3. The average contact length for DTA was approximately 8% shorter than that for NG-WBT. Additional details regarding contact loads measurement and analysis can be found elsewhere (</w:t>
      </w:r>
      <w:r w:rsidRPr="008130D4">
        <w:rPr>
          <w:rFonts w:cstheme="minorHAnsi"/>
          <w:i/>
          <w:iCs/>
          <w:sz w:val="24"/>
          <w:szCs w:val="24"/>
        </w:rPr>
        <w:t>23</w:t>
      </w:r>
      <w:r w:rsidRPr="005E780E">
        <w:rPr>
          <w:rFonts w:cstheme="minorHAnsi"/>
          <w:i/>
          <w:iCs/>
          <w:sz w:val="24"/>
          <w:szCs w:val="24"/>
        </w:rPr>
        <w:t>,</w:t>
      </w:r>
      <w:r w:rsidRPr="008130D4">
        <w:rPr>
          <w:rFonts w:cstheme="minorHAnsi"/>
          <w:i/>
          <w:iCs/>
          <w:sz w:val="24"/>
          <w:szCs w:val="24"/>
        </w:rPr>
        <w:t>24</w:t>
      </w:r>
      <w:r w:rsidRPr="005E780E">
        <w:rPr>
          <w:rFonts w:cstheme="minorHAnsi"/>
          <w:sz w:val="24"/>
          <w:szCs w:val="24"/>
        </w:rPr>
        <w:t>).</w:t>
      </w:r>
    </w:p>
    <w:p w14:paraId="7997AA16" w14:textId="77777777" w:rsidR="00621602" w:rsidRPr="005E780E" w:rsidRDefault="00621602" w:rsidP="5E2181D6">
      <w:pPr>
        <w:pStyle w:val="Heading1"/>
        <w:rPr>
          <w:rFonts w:ascii="Calibri Light" w:eastAsia="MS Gothic" w:hAnsi="Calibri Light" w:cs="Times New Roman"/>
        </w:rPr>
      </w:pPr>
      <w:bookmarkStart w:id="3" w:name="_i3"/>
      <w:bookmarkEnd w:id="3"/>
      <w:r>
        <w:t>Pavement Response and Damage</w:t>
      </w:r>
    </w:p>
    <w:p w14:paraId="4A650AAC" w14:textId="7424DD08" w:rsidR="00621602" w:rsidRPr="005E780E" w:rsidRDefault="00621602" w:rsidP="00621602">
      <w:pPr>
        <w:rPr>
          <w:rFonts w:cstheme="minorHAnsi"/>
          <w:sz w:val="24"/>
          <w:szCs w:val="24"/>
        </w:rPr>
      </w:pPr>
      <w:r w:rsidRPr="005E780E">
        <w:rPr>
          <w:rFonts w:cstheme="minorHAnsi"/>
          <w:sz w:val="24"/>
          <w:szCs w:val="24"/>
        </w:rPr>
        <w:t>FE modeling was used to calculate critical pavement responses. The 3D model considers appropriate material characterization for each layer in the pavement structure and accurate representation of truck loading regarding direction, magnitude, and amplitude (</w:t>
      </w:r>
      <w:r w:rsidRPr="008130D4">
        <w:rPr>
          <w:rFonts w:cstheme="minorHAnsi"/>
          <w:i/>
          <w:iCs/>
          <w:sz w:val="24"/>
          <w:szCs w:val="24"/>
        </w:rPr>
        <w:t>25</w:t>
      </w:r>
      <w:r w:rsidRPr="005E780E">
        <w:rPr>
          <w:rFonts w:cstheme="minorHAnsi"/>
          <w:sz w:val="24"/>
          <w:szCs w:val="24"/>
        </w:rPr>
        <w:t>). The numerical predictions of critical pavement responses were contrasted with experimental measurements to ensure model validity (</w:t>
      </w:r>
      <w:r w:rsidRPr="008130D4">
        <w:rPr>
          <w:rFonts w:cstheme="minorHAnsi"/>
          <w:i/>
          <w:iCs/>
          <w:sz w:val="24"/>
          <w:szCs w:val="24"/>
        </w:rPr>
        <w:t>26</w:t>
      </w:r>
      <w:r w:rsidRPr="005E780E">
        <w:rPr>
          <w:rFonts w:cstheme="minorHAnsi"/>
          <w:sz w:val="24"/>
          <w:szCs w:val="24"/>
        </w:rPr>
        <w:t>). Various layer thicknesses for the asphalt concrete (AC) and base layers were combined to simulate low-volume and interstate roadways, termed as thin and thick pavements, respectively. Each pavement structure included two extreme values of thicknesses, in which the thin pavement simulated AC layer thicknesses of 75 and 125 mm, while the thick pavement considered three AC layers with total AC thicknesses of 125 and 412.5 mm. On the other hand, the granular base considered 150 and 600 mm layers. Regarding material property inputs, AC layers were assumed to be linear viscoelastic, while the base layer was assumed to be orthotropic stress-dependent (for thin pavement only) and linear elastic otherwise. Details of the material property selection can be found elsewhere (</w:t>
      </w:r>
      <w:r w:rsidRPr="008130D4">
        <w:rPr>
          <w:rFonts w:cstheme="minorHAnsi"/>
          <w:i/>
          <w:iCs/>
          <w:sz w:val="24"/>
          <w:szCs w:val="24"/>
        </w:rPr>
        <w:t>25</w:t>
      </w:r>
      <w:r w:rsidRPr="005E780E">
        <w:rPr>
          <w:rFonts w:cstheme="minorHAnsi"/>
          <w:sz w:val="24"/>
          <w:szCs w:val="24"/>
        </w:rPr>
        <w:t>).</w:t>
      </w:r>
    </w:p>
    <w:p w14:paraId="21574BEB" w14:textId="3220AA6D" w:rsidR="00621602" w:rsidRPr="005E780E" w:rsidRDefault="00621602" w:rsidP="5E2181D6">
      <w:pPr>
        <w:rPr>
          <w:sz w:val="24"/>
          <w:szCs w:val="24"/>
        </w:rPr>
      </w:pPr>
      <w:r w:rsidRPr="5E2181D6">
        <w:rPr>
          <w:sz w:val="24"/>
          <w:szCs w:val="24"/>
        </w:rPr>
        <w:t>Twelve loading cases were simulated to compare the impact of NG-WBT and DTA. As seen in </w:t>
      </w:r>
      <w:r w:rsidRPr="008130D4">
        <w:rPr>
          <w:sz w:val="24"/>
          <w:szCs w:val="24"/>
        </w:rPr>
        <w:t>Table 1</w:t>
      </w:r>
      <w:r w:rsidRPr="5E2181D6">
        <w:rPr>
          <w:sz w:val="24"/>
          <w:szCs w:val="24"/>
        </w:rPr>
        <w:t>, the load </w:t>
      </w:r>
      <m:oMath>
        <m:r>
          <w:rPr>
            <w:rFonts w:ascii="Cambria Math" w:hAnsi="Cambria Math"/>
            <w:sz w:val="24"/>
            <w:szCs w:val="24"/>
          </w:rPr>
          <m:t>P</m:t>
        </m:r>
      </m:oMath>
      <w:r w:rsidRPr="5E2181D6">
        <w:rPr>
          <w:sz w:val="24"/>
          <w:szCs w:val="24"/>
        </w:rPr>
        <w:t> was varied from 26.6 to 80.0 kN and the tire-inflation pressure </w:t>
      </w:r>
      <m:oMath>
        <m:r>
          <w:rPr>
            <w:rFonts w:ascii="Cambria Math" w:hAnsi="Cambria Math"/>
            <w:sz w:val="24"/>
            <w:szCs w:val="24"/>
          </w:rPr>
          <m:t>S</m:t>
        </m:r>
      </m:oMath>
      <w:r w:rsidRPr="5E2181D6">
        <w:rPr>
          <w:sz w:val="24"/>
          <w:szCs w:val="24"/>
        </w:rPr>
        <w:t> ranged from 552 to 862 kPa. Two DTA cases with differential tire-inflation pressures were included to represent realistic conditions in which the inner tire typically has a lower inflation pressure because of the difficulty of reaching the inner tire during maintenance.</w:t>
      </w:r>
    </w:p>
    <w:p w14:paraId="76BB061F" w14:textId="77777777" w:rsidR="00621602" w:rsidRPr="005E780E" w:rsidRDefault="00621602" w:rsidP="00FF265A">
      <w:pPr>
        <w:spacing w:after="0"/>
        <w:rPr>
          <w:sz w:val="24"/>
          <w:szCs w:val="24"/>
        </w:rPr>
      </w:pPr>
      <w:r w:rsidRPr="5E2181D6">
        <w:rPr>
          <w:b/>
          <w:bCs/>
          <w:sz w:val="24"/>
          <w:szCs w:val="24"/>
        </w:rPr>
        <w:t>Table 1.</w:t>
      </w:r>
      <w:r w:rsidRPr="5E2181D6">
        <w:rPr>
          <w:sz w:val="24"/>
          <w:szCs w:val="24"/>
        </w:rPr>
        <w:t> Simulated Loading Cases in Finite Element Analysis</w:t>
      </w:r>
    </w:p>
    <w:tbl>
      <w:tblPr>
        <w:tblStyle w:val="TableGrid"/>
        <w:tblW w:w="0" w:type="auto"/>
        <w:tblLook w:val="06A0" w:firstRow="1" w:lastRow="0" w:firstColumn="1" w:lastColumn="0" w:noHBand="1" w:noVBand="1"/>
      </w:tblPr>
      <w:tblGrid>
        <w:gridCol w:w="1463"/>
        <w:gridCol w:w="1057"/>
        <w:gridCol w:w="804"/>
        <w:gridCol w:w="1039"/>
      </w:tblGrid>
      <w:tr w:rsidR="5E2181D6" w14:paraId="38E32C35" w14:textId="77777777" w:rsidTr="00FF265A">
        <w:tc>
          <w:tcPr>
            <w:tcW w:w="0" w:type="auto"/>
          </w:tcPr>
          <w:p w14:paraId="01AE2AC1" w14:textId="1B7A7CB0" w:rsidR="5E2181D6" w:rsidRDefault="5E2181D6" w:rsidP="5E2181D6">
            <w:pPr>
              <w:rPr>
                <w:sz w:val="24"/>
                <w:szCs w:val="24"/>
              </w:rPr>
            </w:pPr>
            <w:r w:rsidRPr="5E2181D6">
              <w:rPr>
                <w:sz w:val="24"/>
                <w:szCs w:val="24"/>
              </w:rPr>
              <w:t>Loading case</w:t>
            </w:r>
          </w:p>
        </w:tc>
        <w:tc>
          <w:tcPr>
            <w:tcW w:w="0" w:type="auto"/>
          </w:tcPr>
          <w:p w14:paraId="35B4637A" w14:textId="4F2BD070" w:rsidR="5E2181D6" w:rsidRDefault="5E2181D6" w:rsidP="5E2181D6">
            <w:pPr>
              <w:jc w:val="center"/>
              <w:rPr>
                <w:sz w:val="24"/>
                <w:szCs w:val="24"/>
              </w:rPr>
            </w:pPr>
            <w:r w:rsidRPr="5E2181D6">
              <w:rPr>
                <w:sz w:val="24"/>
                <w:szCs w:val="24"/>
              </w:rPr>
              <w:t>Tire</w:t>
            </w:r>
          </w:p>
        </w:tc>
        <w:tc>
          <w:tcPr>
            <w:tcW w:w="0" w:type="auto"/>
          </w:tcPr>
          <w:p w14:paraId="42FFA627" w14:textId="789407F7" w:rsidR="5E2181D6" w:rsidRDefault="5E2181D6" w:rsidP="5E2181D6">
            <w:pPr>
              <w:jc w:val="center"/>
              <w:rPr>
                <w:sz w:val="24"/>
                <w:szCs w:val="24"/>
              </w:rPr>
            </w:pPr>
            <w:r w:rsidRPr="5E2181D6">
              <w:rPr>
                <w:sz w:val="24"/>
                <w:szCs w:val="24"/>
              </w:rPr>
              <w:t>P (kN)</w:t>
            </w:r>
          </w:p>
        </w:tc>
        <w:tc>
          <w:tcPr>
            <w:tcW w:w="0" w:type="auto"/>
          </w:tcPr>
          <w:p w14:paraId="56B69988" w14:textId="0AD8C091" w:rsidR="5E2181D6" w:rsidRDefault="5E2181D6" w:rsidP="5E2181D6">
            <w:pPr>
              <w:jc w:val="center"/>
              <w:rPr>
                <w:sz w:val="24"/>
                <w:szCs w:val="24"/>
              </w:rPr>
            </w:pPr>
            <w:r w:rsidRPr="5E2181D6">
              <w:rPr>
                <w:sz w:val="24"/>
                <w:szCs w:val="24"/>
              </w:rPr>
              <w:t>S (kPa)</w:t>
            </w:r>
          </w:p>
        </w:tc>
      </w:tr>
      <w:tr w:rsidR="5E2181D6" w14:paraId="75799D18" w14:textId="77777777" w:rsidTr="00FF265A">
        <w:tc>
          <w:tcPr>
            <w:tcW w:w="0" w:type="auto"/>
          </w:tcPr>
          <w:p w14:paraId="06529F25" w14:textId="7CDBF3ED" w:rsidR="5E2181D6" w:rsidRDefault="5E2181D6" w:rsidP="5E2181D6">
            <w:pPr>
              <w:rPr>
                <w:sz w:val="24"/>
                <w:szCs w:val="24"/>
              </w:rPr>
            </w:pPr>
            <w:r w:rsidRPr="5E2181D6">
              <w:rPr>
                <w:sz w:val="24"/>
                <w:szCs w:val="24"/>
              </w:rPr>
              <w:t>L1</w:t>
            </w:r>
          </w:p>
        </w:tc>
        <w:tc>
          <w:tcPr>
            <w:tcW w:w="0" w:type="auto"/>
          </w:tcPr>
          <w:p w14:paraId="775F544F" w14:textId="2398638C" w:rsidR="5E2181D6" w:rsidRDefault="5E2181D6" w:rsidP="5E2181D6">
            <w:pPr>
              <w:jc w:val="center"/>
              <w:rPr>
                <w:sz w:val="24"/>
                <w:szCs w:val="24"/>
              </w:rPr>
            </w:pPr>
            <w:r w:rsidRPr="5E2181D6">
              <w:rPr>
                <w:sz w:val="24"/>
                <w:szCs w:val="24"/>
              </w:rPr>
              <w:t>NG-WBT</w:t>
            </w:r>
          </w:p>
        </w:tc>
        <w:tc>
          <w:tcPr>
            <w:tcW w:w="0" w:type="auto"/>
          </w:tcPr>
          <w:p w14:paraId="55AEF549" w14:textId="7A991461" w:rsidR="5E2181D6" w:rsidRDefault="5E2181D6" w:rsidP="5E2181D6">
            <w:pPr>
              <w:jc w:val="center"/>
              <w:rPr>
                <w:sz w:val="24"/>
                <w:szCs w:val="24"/>
              </w:rPr>
            </w:pPr>
            <w:r w:rsidRPr="5E2181D6">
              <w:rPr>
                <w:sz w:val="24"/>
                <w:szCs w:val="24"/>
              </w:rPr>
              <w:t>26.6</w:t>
            </w:r>
          </w:p>
        </w:tc>
        <w:tc>
          <w:tcPr>
            <w:tcW w:w="0" w:type="auto"/>
          </w:tcPr>
          <w:p w14:paraId="20CFC805" w14:textId="3D91A9C9" w:rsidR="5E2181D6" w:rsidRDefault="5E2181D6" w:rsidP="5E2181D6">
            <w:pPr>
              <w:jc w:val="center"/>
              <w:rPr>
                <w:sz w:val="24"/>
                <w:szCs w:val="24"/>
              </w:rPr>
            </w:pPr>
            <w:r w:rsidRPr="5E2181D6">
              <w:rPr>
                <w:sz w:val="24"/>
                <w:szCs w:val="24"/>
              </w:rPr>
              <w:t>552</w:t>
            </w:r>
          </w:p>
        </w:tc>
      </w:tr>
      <w:tr w:rsidR="5E2181D6" w14:paraId="35F1A6F1" w14:textId="77777777" w:rsidTr="00FF265A">
        <w:tc>
          <w:tcPr>
            <w:tcW w:w="0" w:type="auto"/>
          </w:tcPr>
          <w:p w14:paraId="55D61D41" w14:textId="72CC0D4F" w:rsidR="5E2181D6" w:rsidRDefault="5E2181D6" w:rsidP="5E2181D6">
            <w:pPr>
              <w:rPr>
                <w:sz w:val="24"/>
                <w:szCs w:val="24"/>
              </w:rPr>
            </w:pPr>
            <w:r w:rsidRPr="5E2181D6">
              <w:rPr>
                <w:sz w:val="24"/>
                <w:szCs w:val="24"/>
              </w:rPr>
              <w:t>L2</w:t>
            </w:r>
          </w:p>
        </w:tc>
        <w:tc>
          <w:tcPr>
            <w:tcW w:w="0" w:type="auto"/>
          </w:tcPr>
          <w:p w14:paraId="30DF798C" w14:textId="416018A9" w:rsidR="5E2181D6" w:rsidRDefault="5E2181D6" w:rsidP="5E2181D6">
            <w:pPr>
              <w:jc w:val="center"/>
              <w:rPr>
                <w:sz w:val="24"/>
                <w:szCs w:val="24"/>
              </w:rPr>
            </w:pPr>
            <w:r w:rsidRPr="5E2181D6">
              <w:rPr>
                <w:sz w:val="24"/>
                <w:szCs w:val="24"/>
              </w:rPr>
              <w:t>NG-WBT</w:t>
            </w:r>
          </w:p>
        </w:tc>
        <w:tc>
          <w:tcPr>
            <w:tcW w:w="0" w:type="auto"/>
          </w:tcPr>
          <w:p w14:paraId="628E050F" w14:textId="4047C61C" w:rsidR="5E2181D6" w:rsidRDefault="5E2181D6" w:rsidP="5E2181D6">
            <w:pPr>
              <w:jc w:val="center"/>
              <w:rPr>
                <w:sz w:val="24"/>
                <w:szCs w:val="24"/>
              </w:rPr>
            </w:pPr>
            <w:r w:rsidRPr="5E2181D6">
              <w:rPr>
                <w:sz w:val="24"/>
                <w:szCs w:val="24"/>
              </w:rPr>
              <w:t>26.6</w:t>
            </w:r>
          </w:p>
        </w:tc>
        <w:tc>
          <w:tcPr>
            <w:tcW w:w="0" w:type="auto"/>
          </w:tcPr>
          <w:p w14:paraId="44889D2E" w14:textId="69432E44" w:rsidR="5E2181D6" w:rsidRDefault="5E2181D6" w:rsidP="5E2181D6">
            <w:pPr>
              <w:jc w:val="center"/>
              <w:rPr>
                <w:sz w:val="24"/>
                <w:szCs w:val="24"/>
              </w:rPr>
            </w:pPr>
            <w:r w:rsidRPr="5E2181D6">
              <w:rPr>
                <w:sz w:val="24"/>
                <w:szCs w:val="24"/>
              </w:rPr>
              <w:t>862</w:t>
            </w:r>
          </w:p>
        </w:tc>
      </w:tr>
      <w:tr w:rsidR="5E2181D6" w14:paraId="48937B10" w14:textId="77777777" w:rsidTr="00FF265A">
        <w:tc>
          <w:tcPr>
            <w:tcW w:w="0" w:type="auto"/>
          </w:tcPr>
          <w:p w14:paraId="1DC5EF78" w14:textId="5543CA0A" w:rsidR="5E2181D6" w:rsidRDefault="5E2181D6" w:rsidP="5E2181D6">
            <w:pPr>
              <w:rPr>
                <w:sz w:val="24"/>
                <w:szCs w:val="24"/>
              </w:rPr>
            </w:pPr>
            <w:r w:rsidRPr="5E2181D6">
              <w:rPr>
                <w:sz w:val="24"/>
                <w:szCs w:val="24"/>
              </w:rPr>
              <w:t>L3</w:t>
            </w:r>
          </w:p>
        </w:tc>
        <w:tc>
          <w:tcPr>
            <w:tcW w:w="0" w:type="auto"/>
          </w:tcPr>
          <w:p w14:paraId="4199F132" w14:textId="2E60410B" w:rsidR="5E2181D6" w:rsidRDefault="5E2181D6" w:rsidP="5E2181D6">
            <w:pPr>
              <w:jc w:val="center"/>
              <w:rPr>
                <w:sz w:val="24"/>
                <w:szCs w:val="24"/>
              </w:rPr>
            </w:pPr>
            <w:r w:rsidRPr="5E2181D6">
              <w:rPr>
                <w:sz w:val="24"/>
                <w:szCs w:val="24"/>
              </w:rPr>
              <w:t>NG-WBT</w:t>
            </w:r>
          </w:p>
        </w:tc>
        <w:tc>
          <w:tcPr>
            <w:tcW w:w="0" w:type="auto"/>
          </w:tcPr>
          <w:p w14:paraId="3FDB9BC7" w14:textId="383BC9C0" w:rsidR="5E2181D6" w:rsidRDefault="5E2181D6" w:rsidP="5E2181D6">
            <w:pPr>
              <w:jc w:val="center"/>
              <w:rPr>
                <w:sz w:val="24"/>
                <w:szCs w:val="24"/>
              </w:rPr>
            </w:pPr>
            <w:r w:rsidRPr="5E2181D6">
              <w:rPr>
                <w:sz w:val="24"/>
                <w:szCs w:val="24"/>
              </w:rPr>
              <w:t>80.0</w:t>
            </w:r>
          </w:p>
        </w:tc>
        <w:tc>
          <w:tcPr>
            <w:tcW w:w="0" w:type="auto"/>
          </w:tcPr>
          <w:p w14:paraId="1BC1B4CB" w14:textId="5FBFFCEA" w:rsidR="5E2181D6" w:rsidRDefault="5E2181D6" w:rsidP="5E2181D6">
            <w:pPr>
              <w:jc w:val="center"/>
              <w:rPr>
                <w:sz w:val="24"/>
                <w:szCs w:val="24"/>
              </w:rPr>
            </w:pPr>
            <w:r w:rsidRPr="5E2181D6">
              <w:rPr>
                <w:sz w:val="24"/>
                <w:szCs w:val="24"/>
              </w:rPr>
              <w:t>552</w:t>
            </w:r>
          </w:p>
        </w:tc>
      </w:tr>
      <w:tr w:rsidR="5E2181D6" w14:paraId="45070D71" w14:textId="77777777" w:rsidTr="00FF265A">
        <w:tc>
          <w:tcPr>
            <w:tcW w:w="0" w:type="auto"/>
          </w:tcPr>
          <w:p w14:paraId="4187A0CB" w14:textId="17625362" w:rsidR="5E2181D6" w:rsidRDefault="5E2181D6" w:rsidP="5E2181D6">
            <w:pPr>
              <w:rPr>
                <w:sz w:val="24"/>
                <w:szCs w:val="24"/>
              </w:rPr>
            </w:pPr>
            <w:r w:rsidRPr="5E2181D6">
              <w:rPr>
                <w:sz w:val="24"/>
                <w:szCs w:val="24"/>
              </w:rPr>
              <w:t>L4</w:t>
            </w:r>
          </w:p>
        </w:tc>
        <w:tc>
          <w:tcPr>
            <w:tcW w:w="0" w:type="auto"/>
          </w:tcPr>
          <w:p w14:paraId="48B41D26" w14:textId="50BCEF0A" w:rsidR="5E2181D6" w:rsidRDefault="5E2181D6" w:rsidP="5E2181D6">
            <w:pPr>
              <w:jc w:val="center"/>
              <w:rPr>
                <w:sz w:val="24"/>
                <w:szCs w:val="24"/>
              </w:rPr>
            </w:pPr>
            <w:r w:rsidRPr="5E2181D6">
              <w:rPr>
                <w:sz w:val="24"/>
                <w:szCs w:val="24"/>
              </w:rPr>
              <w:t>NG-WBT</w:t>
            </w:r>
          </w:p>
        </w:tc>
        <w:tc>
          <w:tcPr>
            <w:tcW w:w="0" w:type="auto"/>
          </w:tcPr>
          <w:p w14:paraId="211E1A51" w14:textId="18C1B6A6" w:rsidR="5E2181D6" w:rsidRDefault="5E2181D6" w:rsidP="5E2181D6">
            <w:pPr>
              <w:jc w:val="center"/>
              <w:rPr>
                <w:sz w:val="24"/>
                <w:szCs w:val="24"/>
              </w:rPr>
            </w:pPr>
            <w:r w:rsidRPr="5E2181D6">
              <w:rPr>
                <w:sz w:val="24"/>
                <w:szCs w:val="24"/>
              </w:rPr>
              <w:t>80.0</w:t>
            </w:r>
          </w:p>
        </w:tc>
        <w:tc>
          <w:tcPr>
            <w:tcW w:w="0" w:type="auto"/>
          </w:tcPr>
          <w:p w14:paraId="151C9DFA" w14:textId="51887F37" w:rsidR="5E2181D6" w:rsidRDefault="5E2181D6" w:rsidP="5E2181D6">
            <w:pPr>
              <w:jc w:val="center"/>
              <w:rPr>
                <w:sz w:val="24"/>
                <w:szCs w:val="24"/>
              </w:rPr>
            </w:pPr>
            <w:r w:rsidRPr="5E2181D6">
              <w:rPr>
                <w:sz w:val="24"/>
                <w:szCs w:val="24"/>
              </w:rPr>
              <w:t>862</w:t>
            </w:r>
          </w:p>
        </w:tc>
      </w:tr>
      <w:tr w:rsidR="5E2181D6" w14:paraId="36A17176" w14:textId="77777777" w:rsidTr="00FF265A">
        <w:tc>
          <w:tcPr>
            <w:tcW w:w="0" w:type="auto"/>
          </w:tcPr>
          <w:p w14:paraId="288A0839" w14:textId="73EE2674" w:rsidR="5E2181D6" w:rsidRDefault="5E2181D6" w:rsidP="5E2181D6">
            <w:pPr>
              <w:rPr>
                <w:sz w:val="24"/>
                <w:szCs w:val="24"/>
              </w:rPr>
            </w:pPr>
            <w:r w:rsidRPr="5E2181D6">
              <w:rPr>
                <w:sz w:val="24"/>
                <w:szCs w:val="24"/>
              </w:rPr>
              <w:t>L5</w:t>
            </w:r>
          </w:p>
        </w:tc>
        <w:tc>
          <w:tcPr>
            <w:tcW w:w="0" w:type="auto"/>
          </w:tcPr>
          <w:p w14:paraId="7F35F185" w14:textId="01610499" w:rsidR="5E2181D6" w:rsidRDefault="5E2181D6" w:rsidP="5E2181D6">
            <w:pPr>
              <w:jc w:val="center"/>
              <w:rPr>
                <w:sz w:val="24"/>
                <w:szCs w:val="24"/>
              </w:rPr>
            </w:pPr>
            <w:r w:rsidRPr="5E2181D6">
              <w:rPr>
                <w:sz w:val="24"/>
                <w:szCs w:val="24"/>
              </w:rPr>
              <w:t>DTA</w:t>
            </w:r>
          </w:p>
        </w:tc>
        <w:tc>
          <w:tcPr>
            <w:tcW w:w="0" w:type="auto"/>
          </w:tcPr>
          <w:p w14:paraId="77985C40" w14:textId="3A07CBBF" w:rsidR="5E2181D6" w:rsidRDefault="5E2181D6" w:rsidP="5E2181D6">
            <w:pPr>
              <w:jc w:val="center"/>
              <w:rPr>
                <w:sz w:val="24"/>
                <w:szCs w:val="24"/>
              </w:rPr>
            </w:pPr>
            <w:r w:rsidRPr="5E2181D6">
              <w:rPr>
                <w:sz w:val="24"/>
                <w:szCs w:val="24"/>
              </w:rPr>
              <w:t>26.6</w:t>
            </w:r>
          </w:p>
        </w:tc>
        <w:tc>
          <w:tcPr>
            <w:tcW w:w="0" w:type="auto"/>
          </w:tcPr>
          <w:p w14:paraId="10E37531" w14:textId="050A9201" w:rsidR="5E2181D6" w:rsidRDefault="5E2181D6" w:rsidP="5E2181D6">
            <w:pPr>
              <w:jc w:val="center"/>
              <w:rPr>
                <w:sz w:val="24"/>
                <w:szCs w:val="24"/>
              </w:rPr>
            </w:pPr>
            <w:r w:rsidRPr="5E2181D6">
              <w:rPr>
                <w:sz w:val="24"/>
                <w:szCs w:val="24"/>
              </w:rPr>
              <w:t>552</w:t>
            </w:r>
          </w:p>
        </w:tc>
      </w:tr>
      <w:tr w:rsidR="5E2181D6" w14:paraId="72F0F202" w14:textId="77777777" w:rsidTr="00FF265A">
        <w:tc>
          <w:tcPr>
            <w:tcW w:w="0" w:type="auto"/>
          </w:tcPr>
          <w:p w14:paraId="3D6FD4B4" w14:textId="4EF46ACB" w:rsidR="5E2181D6" w:rsidRDefault="5E2181D6" w:rsidP="5E2181D6">
            <w:pPr>
              <w:rPr>
                <w:sz w:val="24"/>
                <w:szCs w:val="24"/>
              </w:rPr>
            </w:pPr>
            <w:r w:rsidRPr="5E2181D6">
              <w:rPr>
                <w:sz w:val="24"/>
                <w:szCs w:val="24"/>
              </w:rPr>
              <w:t>L6</w:t>
            </w:r>
          </w:p>
        </w:tc>
        <w:tc>
          <w:tcPr>
            <w:tcW w:w="0" w:type="auto"/>
          </w:tcPr>
          <w:p w14:paraId="176ECC76" w14:textId="00BED297" w:rsidR="5E2181D6" w:rsidRDefault="5E2181D6" w:rsidP="5E2181D6">
            <w:pPr>
              <w:jc w:val="center"/>
              <w:rPr>
                <w:sz w:val="24"/>
                <w:szCs w:val="24"/>
              </w:rPr>
            </w:pPr>
            <w:r w:rsidRPr="5E2181D6">
              <w:rPr>
                <w:sz w:val="24"/>
                <w:szCs w:val="24"/>
              </w:rPr>
              <w:t>DTA</w:t>
            </w:r>
          </w:p>
        </w:tc>
        <w:tc>
          <w:tcPr>
            <w:tcW w:w="0" w:type="auto"/>
          </w:tcPr>
          <w:p w14:paraId="3B9D3023" w14:textId="52C2BF4A" w:rsidR="5E2181D6" w:rsidRDefault="5E2181D6" w:rsidP="5E2181D6">
            <w:pPr>
              <w:jc w:val="center"/>
              <w:rPr>
                <w:sz w:val="24"/>
                <w:szCs w:val="24"/>
              </w:rPr>
            </w:pPr>
            <w:r w:rsidRPr="5E2181D6">
              <w:rPr>
                <w:sz w:val="24"/>
                <w:szCs w:val="24"/>
              </w:rPr>
              <w:t>26.6</w:t>
            </w:r>
          </w:p>
        </w:tc>
        <w:tc>
          <w:tcPr>
            <w:tcW w:w="0" w:type="auto"/>
          </w:tcPr>
          <w:p w14:paraId="6C114281" w14:textId="4711BDF0" w:rsidR="5E2181D6" w:rsidRDefault="5E2181D6" w:rsidP="5E2181D6">
            <w:pPr>
              <w:jc w:val="center"/>
              <w:rPr>
                <w:sz w:val="24"/>
                <w:szCs w:val="24"/>
              </w:rPr>
            </w:pPr>
            <w:r w:rsidRPr="5E2181D6">
              <w:rPr>
                <w:sz w:val="24"/>
                <w:szCs w:val="24"/>
              </w:rPr>
              <w:t>862</w:t>
            </w:r>
          </w:p>
        </w:tc>
      </w:tr>
      <w:tr w:rsidR="5E2181D6" w14:paraId="5AE4D93D" w14:textId="77777777" w:rsidTr="00FF265A">
        <w:tc>
          <w:tcPr>
            <w:tcW w:w="0" w:type="auto"/>
          </w:tcPr>
          <w:p w14:paraId="1913BB9E" w14:textId="7D3163F8" w:rsidR="5E2181D6" w:rsidRDefault="5E2181D6" w:rsidP="5E2181D6">
            <w:pPr>
              <w:rPr>
                <w:sz w:val="24"/>
                <w:szCs w:val="24"/>
              </w:rPr>
            </w:pPr>
            <w:r w:rsidRPr="5E2181D6">
              <w:rPr>
                <w:sz w:val="24"/>
                <w:szCs w:val="24"/>
              </w:rPr>
              <w:t>L7</w:t>
            </w:r>
          </w:p>
        </w:tc>
        <w:tc>
          <w:tcPr>
            <w:tcW w:w="0" w:type="auto"/>
          </w:tcPr>
          <w:p w14:paraId="5BA8D85D" w14:textId="051A63E8" w:rsidR="5E2181D6" w:rsidRDefault="5E2181D6" w:rsidP="5E2181D6">
            <w:pPr>
              <w:jc w:val="center"/>
              <w:rPr>
                <w:sz w:val="24"/>
                <w:szCs w:val="24"/>
              </w:rPr>
            </w:pPr>
            <w:r w:rsidRPr="5E2181D6">
              <w:rPr>
                <w:sz w:val="24"/>
                <w:szCs w:val="24"/>
              </w:rPr>
              <w:t>DTA</w:t>
            </w:r>
          </w:p>
        </w:tc>
        <w:tc>
          <w:tcPr>
            <w:tcW w:w="0" w:type="auto"/>
          </w:tcPr>
          <w:p w14:paraId="74DEA26C" w14:textId="2D135A4B" w:rsidR="5E2181D6" w:rsidRDefault="5E2181D6" w:rsidP="5E2181D6">
            <w:pPr>
              <w:jc w:val="center"/>
              <w:rPr>
                <w:sz w:val="24"/>
                <w:szCs w:val="24"/>
              </w:rPr>
            </w:pPr>
            <w:r w:rsidRPr="5E2181D6">
              <w:rPr>
                <w:sz w:val="24"/>
                <w:szCs w:val="24"/>
              </w:rPr>
              <w:t>26.6</w:t>
            </w:r>
          </w:p>
        </w:tc>
        <w:tc>
          <w:tcPr>
            <w:tcW w:w="0" w:type="auto"/>
          </w:tcPr>
          <w:p w14:paraId="2117471D" w14:textId="5056FABF" w:rsidR="5E2181D6" w:rsidRDefault="5E2181D6" w:rsidP="5E2181D6">
            <w:pPr>
              <w:jc w:val="center"/>
              <w:rPr>
                <w:sz w:val="24"/>
                <w:szCs w:val="24"/>
              </w:rPr>
            </w:pPr>
            <w:r w:rsidRPr="5E2181D6">
              <w:rPr>
                <w:sz w:val="24"/>
                <w:szCs w:val="24"/>
              </w:rPr>
              <w:t>552/758</w:t>
            </w:r>
          </w:p>
        </w:tc>
      </w:tr>
      <w:tr w:rsidR="5E2181D6" w14:paraId="15F6837C" w14:textId="77777777" w:rsidTr="00FF265A">
        <w:tc>
          <w:tcPr>
            <w:tcW w:w="0" w:type="auto"/>
          </w:tcPr>
          <w:p w14:paraId="497A8A39" w14:textId="7CA67C79" w:rsidR="5E2181D6" w:rsidRDefault="5E2181D6" w:rsidP="5E2181D6">
            <w:pPr>
              <w:rPr>
                <w:sz w:val="24"/>
                <w:szCs w:val="24"/>
              </w:rPr>
            </w:pPr>
            <w:r w:rsidRPr="5E2181D6">
              <w:rPr>
                <w:sz w:val="24"/>
                <w:szCs w:val="24"/>
              </w:rPr>
              <w:t>L8</w:t>
            </w:r>
          </w:p>
        </w:tc>
        <w:tc>
          <w:tcPr>
            <w:tcW w:w="0" w:type="auto"/>
          </w:tcPr>
          <w:p w14:paraId="7CEF8729" w14:textId="0EDA0F5B" w:rsidR="5E2181D6" w:rsidRDefault="5E2181D6" w:rsidP="5E2181D6">
            <w:pPr>
              <w:jc w:val="center"/>
              <w:rPr>
                <w:sz w:val="24"/>
                <w:szCs w:val="24"/>
              </w:rPr>
            </w:pPr>
            <w:r w:rsidRPr="5E2181D6">
              <w:rPr>
                <w:sz w:val="24"/>
                <w:szCs w:val="24"/>
              </w:rPr>
              <w:t>DTA</w:t>
            </w:r>
          </w:p>
        </w:tc>
        <w:tc>
          <w:tcPr>
            <w:tcW w:w="0" w:type="auto"/>
          </w:tcPr>
          <w:p w14:paraId="59456DD9" w14:textId="76C427EA" w:rsidR="5E2181D6" w:rsidRDefault="5E2181D6" w:rsidP="5E2181D6">
            <w:pPr>
              <w:jc w:val="center"/>
              <w:rPr>
                <w:sz w:val="24"/>
                <w:szCs w:val="24"/>
              </w:rPr>
            </w:pPr>
            <w:r w:rsidRPr="5E2181D6">
              <w:rPr>
                <w:sz w:val="24"/>
                <w:szCs w:val="24"/>
              </w:rPr>
              <w:t>80.0</w:t>
            </w:r>
          </w:p>
        </w:tc>
        <w:tc>
          <w:tcPr>
            <w:tcW w:w="0" w:type="auto"/>
          </w:tcPr>
          <w:p w14:paraId="0AE55D5F" w14:textId="0FB7AB70" w:rsidR="5E2181D6" w:rsidRDefault="5E2181D6" w:rsidP="5E2181D6">
            <w:pPr>
              <w:jc w:val="center"/>
              <w:rPr>
                <w:sz w:val="24"/>
                <w:szCs w:val="24"/>
              </w:rPr>
            </w:pPr>
            <w:r w:rsidRPr="5E2181D6">
              <w:rPr>
                <w:sz w:val="24"/>
                <w:szCs w:val="24"/>
              </w:rPr>
              <w:t>552</w:t>
            </w:r>
          </w:p>
        </w:tc>
      </w:tr>
      <w:tr w:rsidR="5E2181D6" w14:paraId="52F35B3C" w14:textId="77777777" w:rsidTr="00FF265A">
        <w:tc>
          <w:tcPr>
            <w:tcW w:w="0" w:type="auto"/>
          </w:tcPr>
          <w:p w14:paraId="2576F8EE" w14:textId="5548F2EB" w:rsidR="5E2181D6" w:rsidRDefault="5E2181D6" w:rsidP="5E2181D6">
            <w:pPr>
              <w:rPr>
                <w:sz w:val="24"/>
                <w:szCs w:val="24"/>
              </w:rPr>
            </w:pPr>
            <w:r w:rsidRPr="5E2181D6">
              <w:rPr>
                <w:sz w:val="24"/>
                <w:szCs w:val="24"/>
              </w:rPr>
              <w:t>L9</w:t>
            </w:r>
          </w:p>
        </w:tc>
        <w:tc>
          <w:tcPr>
            <w:tcW w:w="0" w:type="auto"/>
          </w:tcPr>
          <w:p w14:paraId="04CB7557" w14:textId="02C4B4E9" w:rsidR="5E2181D6" w:rsidRDefault="5E2181D6" w:rsidP="5E2181D6">
            <w:pPr>
              <w:jc w:val="center"/>
              <w:rPr>
                <w:sz w:val="24"/>
                <w:szCs w:val="24"/>
              </w:rPr>
            </w:pPr>
            <w:r w:rsidRPr="5E2181D6">
              <w:rPr>
                <w:sz w:val="24"/>
                <w:szCs w:val="24"/>
              </w:rPr>
              <w:t>DTA</w:t>
            </w:r>
          </w:p>
        </w:tc>
        <w:tc>
          <w:tcPr>
            <w:tcW w:w="0" w:type="auto"/>
          </w:tcPr>
          <w:p w14:paraId="1432CC6B" w14:textId="63C5A6C9" w:rsidR="5E2181D6" w:rsidRDefault="5E2181D6" w:rsidP="5E2181D6">
            <w:pPr>
              <w:jc w:val="center"/>
              <w:rPr>
                <w:sz w:val="24"/>
                <w:szCs w:val="24"/>
              </w:rPr>
            </w:pPr>
            <w:r w:rsidRPr="5E2181D6">
              <w:rPr>
                <w:sz w:val="24"/>
                <w:szCs w:val="24"/>
              </w:rPr>
              <w:t>80.0</w:t>
            </w:r>
          </w:p>
        </w:tc>
        <w:tc>
          <w:tcPr>
            <w:tcW w:w="0" w:type="auto"/>
          </w:tcPr>
          <w:p w14:paraId="6E6EEFFD" w14:textId="739B476C" w:rsidR="5E2181D6" w:rsidRDefault="5E2181D6" w:rsidP="5E2181D6">
            <w:pPr>
              <w:jc w:val="center"/>
              <w:rPr>
                <w:sz w:val="24"/>
                <w:szCs w:val="24"/>
              </w:rPr>
            </w:pPr>
            <w:r w:rsidRPr="5E2181D6">
              <w:rPr>
                <w:sz w:val="24"/>
                <w:szCs w:val="24"/>
              </w:rPr>
              <w:t>862</w:t>
            </w:r>
          </w:p>
        </w:tc>
      </w:tr>
      <w:tr w:rsidR="5E2181D6" w14:paraId="039EBF8A" w14:textId="77777777" w:rsidTr="00FF265A">
        <w:tc>
          <w:tcPr>
            <w:tcW w:w="0" w:type="auto"/>
          </w:tcPr>
          <w:p w14:paraId="7B97A403" w14:textId="5F5FE989" w:rsidR="5E2181D6" w:rsidRDefault="5E2181D6" w:rsidP="5E2181D6">
            <w:pPr>
              <w:rPr>
                <w:sz w:val="24"/>
                <w:szCs w:val="24"/>
              </w:rPr>
            </w:pPr>
            <w:r w:rsidRPr="5E2181D6">
              <w:rPr>
                <w:sz w:val="24"/>
                <w:szCs w:val="24"/>
              </w:rPr>
              <w:t>L10</w:t>
            </w:r>
          </w:p>
        </w:tc>
        <w:tc>
          <w:tcPr>
            <w:tcW w:w="0" w:type="auto"/>
          </w:tcPr>
          <w:p w14:paraId="489896BB" w14:textId="0FF1706B" w:rsidR="5E2181D6" w:rsidRDefault="5E2181D6" w:rsidP="5E2181D6">
            <w:pPr>
              <w:jc w:val="center"/>
              <w:rPr>
                <w:sz w:val="24"/>
                <w:szCs w:val="24"/>
              </w:rPr>
            </w:pPr>
            <w:r w:rsidRPr="5E2181D6">
              <w:rPr>
                <w:sz w:val="24"/>
                <w:szCs w:val="24"/>
              </w:rPr>
              <w:t>DTA</w:t>
            </w:r>
          </w:p>
        </w:tc>
        <w:tc>
          <w:tcPr>
            <w:tcW w:w="0" w:type="auto"/>
          </w:tcPr>
          <w:p w14:paraId="513BDFC4" w14:textId="7EAF84E4" w:rsidR="5E2181D6" w:rsidRDefault="5E2181D6" w:rsidP="5E2181D6">
            <w:pPr>
              <w:jc w:val="center"/>
              <w:rPr>
                <w:sz w:val="24"/>
                <w:szCs w:val="24"/>
              </w:rPr>
            </w:pPr>
            <w:r w:rsidRPr="5E2181D6">
              <w:rPr>
                <w:sz w:val="24"/>
                <w:szCs w:val="24"/>
              </w:rPr>
              <w:t>80.0</w:t>
            </w:r>
          </w:p>
        </w:tc>
        <w:tc>
          <w:tcPr>
            <w:tcW w:w="0" w:type="auto"/>
          </w:tcPr>
          <w:p w14:paraId="77D3B3DC" w14:textId="302B99BA" w:rsidR="5E2181D6" w:rsidRDefault="5E2181D6" w:rsidP="5E2181D6">
            <w:pPr>
              <w:jc w:val="center"/>
              <w:rPr>
                <w:sz w:val="24"/>
                <w:szCs w:val="24"/>
              </w:rPr>
            </w:pPr>
            <w:r w:rsidRPr="5E2181D6">
              <w:rPr>
                <w:sz w:val="24"/>
                <w:szCs w:val="24"/>
              </w:rPr>
              <w:t>552/758</w:t>
            </w:r>
          </w:p>
        </w:tc>
      </w:tr>
      <w:tr w:rsidR="5E2181D6" w14:paraId="62061867" w14:textId="77777777" w:rsidTr="00FF265A">
        <w:tc>
          <w:tcPr>
            <w:tcW w:w="0" w:type="auto"/>
          </w:tcPr>
          <w:p w14:paraId="4C7977D5" w14:textId="3852FCAA" w:rsidR="5E2181D6" w:rsidRDefault="5E2181D6" w:rsidP="5E2181D6">
            <w:pPr>
              <w:rPr>
                <w:sz w:val="24"/>
                <w:szCs w:val="24"/>
              </w:rPr>
            </w:pPr>
            <w:r w:rsidRPr="5E2181D6">
              <w:rPr>
                <w:sz w:val="24"/>
                <w:szCs w:val="24"/>
              </w:rPr>
              <w:t>L11</w:t>
            </w:r>
          </w:p>
        </w:tc>
        <w:tc>
          <w:tcPr>
            <w:tcW w:w="0" w:type="auto"/>
          </w:tcPr>
          <w:p w14:paraId="36EBDA1B" w14:textId="319AFC03" w:rsidR="5E2181D6" w:rsidRDefault="5E2181D6" w:rsidP="5E2181D6">
            <w:pPr>
              <w:jc w:val="center"/>
              <w:rPr>
                <w:sz w:val="24"/>
                <w:szCs w:val="24"/>
              </w:rPr>
            </w:pPr>
            <w:r w:rsidRPr="5E2181D6">
              <w:rPr>
                <w:sz w:val="24"/>
                <w:szCs w:val="24"/>
              </w:rPr>
              <w:t>NG-WBT</w:t>
            </w:r>
          </w:p>
        </w:tc>
        <w:tc>
          <w:tcPr>
            <w:tcW w:w="0" w:type="auto"/>
          </w:tcPr>
          <w:p w14:paraId="4C6E426E" w14:textId="27278598" w:rsidR="5E2181D6" w:rsidRDefault="5E2181D6" w:rsidP="5E2181D6">
            <w:pPr>
              <w:jc w:val="center"/>
              <w:rPr>
                <w:sz w:val="24"/>
                <w:szCs w:val="24"/>
              </w:rPr>
            </w:pPr>
            <w:r w:rsidRPr="5E2181D6">
              <w:rPr>
                <w:sz w:val="24"/>
                <w:szCs w:val="24"/>
              </w:rPr>
              <w:t>44.4</w:t>
            </w:r>
          </w:p>
        </w:tc>
        <w:tc>
          <w:tcPr>
            <w:tcW w:w="0" w:type="auto"/>
          </w:tcPr>
          <w:p w14:paraId="009B75F5" w14:textId="79E1FA84" w:rsidR="5E2181D6" w:rsidRDefault="5E2181D6" w:rsidP="5E2181D6">
            <w:pPr>
              <w:jc w:val="center"/>
              <w:rPr>
                <w:sz w:val="24"/>
                <w:szCs w:val="24"/>
              </w:rPr>
            </w:pPr>
            <w:r w:rsidRPr="5E2181D6">
              <w:rPr>
                <w:sz w:val="24"/>
                <w:szCs w:val="24"/>
              </w:rPr>
              <w:t>758</w:t>
            </w:r>
          </w:p>
        </w:tc>
      </w:tr>
      <w:tr w:rsidR="5E2181D6" w14:paraId="433A39CA" w14:textId="77777777" w:rsidTr="00FF265A">
        <w:tc>
          <w:tcPr>
            <w:tcW w:w="0" w:type="auto"/>
          </w:tcPr>
          <w:p w14:paraId="4F2FECD5" w14:textId="5C9FAD24" w:rsidR="5E2181D6" w:rsidRDefault="5E2181D6" w:rsidP="5E2181D6">
            <w:pPr>
              <w:rPr>
                <w:sz w:val="24"/>
                <w:szCs w:val="24"/>
              </w:rPr>
            </w:pPr>
            <w:r w:rsidRPr="5E2181D6">
              <w:rPr>
                <w:sz w:val="24"/>
                <w:szCs w:val="24"/>
              </w:rPr>
              <w:t>L12</w:t>
            </w:r>
          </w:p>
        </w:tc>
        <w:tc>
          <w:tcPr>
            <w:tcW w:w="0" w:type="auto"/>
          </w:tcPr>
          <w:p w14:paraId="47752390" w14:textId="7D4A3A57" w:rsidR="5E2181D6" w:rsidRDefault="5E2181D6" w:rsidP="5E2181D6">
            <w:pPr>
              <w:jc w:val="center"/>
              <w:rPr>
                <w:sz w:val="24"/>
                <w:szCs w:val="24"/>
              </w:rPr>
            </w:pPr>
            <w:r w:rsidRPr="5E2181D6">
              <w:rPr>
                <w:sz w:val="24"/>
                <w:szCs w:val="24"/>
              </w:rPr>
              <w:t>DTA</w:t>
            </w:r>
          </w:p>
        </w:tc>
        <w:tc>
          <w:tcPr>
            <w:tcW w:w="0" w:type="auto"/>
          </w:tcPr>
          <w:p w14:paraId="7DB2C5A1" w14:textId="50FCB3D2" w:rsidR="5E2181D6" w:rsidRDefault="5E2181D6" w:rsidP="5E2181D6">
            <w:pPr>
              <w:jc w:val="center"/>
              <w:rPr>
                <w:sz w:val="24"/>
                <w:szCs w:val="24"/>
              </w:rPr>
            </w:pPr>
            <w:r w:rsidRPr="5E2181D6">
              <w:rPr>
                <w:sz w:val="24"/>
                <w:szCs w:val="24"/>
              </w:rPr>
              <w:t>44.4</w:t>
            </w:r>
          </w:p>
        </w:tc>
        <w:tc>
          <w:tcPr>
            <w:tcW w:w="0" w:type="auto"/>
          </w:tcPr>
          <w:p w14:paraId="44BEE8C3" w14:textId="5D6DAA60" w:rsidR="5E2181D6" w:rsidRDefault="5E2181D6" w:rsidP="5E2181D6">
            <w:pPr>
              <w:jc w:val="center"/>
              <w:rPr>
                <w:sz w:val="24"/>
                <w:szCs w:val="24"/>
              </w:rPr>
            </w:pPr>
            <w:r w:rsidRPr="5E2181D6">
              <w:rPr>
                <w:sz w:val="24"/>
                <w:szCs w:val="24"/>
              </w:rPr>
              <w:t>758</w:t>
            </w:r>
          </w:p>
        </w:tc>
      </w:tr>
    </w:tbl>
    <w:p w14:paraId="51E8A4EE" w14:textId="66A16700" w:rsidR="00621602" w:rsidRPr="005E780E" w:rsidRDefault="00621602" w:rsidP="5E2181D6"/>
    <w:p w14:paraId="650C2A48" w14:textId="0B09FA7E" w:rsidR="00621602" w:rsidRPr="005E780E" w:rsidRDefault="00621602" w:rsidP="00621602">
      <w:pPr>
        <w:rPr>
          <w:rFonts w:cstheme="minorHAnsi"/>
          <w:sz w:val="24"/>
          <w:szCs w:val="24"/>
        </w:rPr>
      </w:pPr>
      <w:r w:rsidRPr="005E780E">
        <w:rPr>
          <w:rFonts w:cstheme="minorHAnsi"/>
          <w:sz w:val="24"/>
          <w:szCs w:val="24"/>
        </w:rPr>
        <w:t>Trends were fairly similar when comparing pavement responses from NG-WBT and DTA with respect to various pavement layer thicknesses, material properties, and loading conditions. It was noticeable that NG-WBT produced higher critical pavement responses than DTA in most scenarios. In addition, the applied load governed the pavement responses more significantly than the tire-inflation pressure. Detailed comparison of the critical strains can be found elsewhere (</w:t>
      </w:r>
      <w:r w:rsidRPr="008130D4">
        <w:rPr>
          <w:rFonts w:cstheme="minorHAnsi"/>
          <w:i/>
          <w:iCs/>
          <w:sz w:val="24"/>
          <w:szCs w:val="24"/>
        </w:rPr>
        <w:t>25</w:t>
      </w:r>
      <w:r w:rsidRPr="005E780E">
        <w:rPr>
          <w:rFonts w:cstheme="minorHAnsi"/>
          <w:sz w:val="24"/>
          <w:szCs w:val="24"/>
        </w:rPr>
        <w:t>).</w:t>
      </w:r>
    </w:p>
    <w:p w14:paraId="1EBEF49C" w14:textId="0FBE4EFF" w:rsidR="00621602" w:rsidRPr="005E780E" w:rsidRDefault="00621602" w:rsidP="00621602">
      <w:pPr>
        <w:rPr>
          <w:rFonts w:cstheme="minorHAnsi"/>
          <w:sz w:val="24"/>
          <w:szCs w:val="24"/>
        </w:rPr>
      </w:pPr>
      <w:r w:rsidRPr="005E780E">
        <w:rPr>
          <w:rFonts w:cstheme="minorHAnsi"/>
          <w:sz w:val="24"/>
          <w:szCs w:val="24"/>
        </w:rPr>
        <w:t>Transfer functions used by the mechanistic-empirical pavement design guide (MEPDG) were used to relate mechanistic strain responses to pavement damage by calculating the number of repetitions to failure. A ratio of the number of repetitions between the DTA and NG-WBT, </w:t>
      </w:r>
      <m:oMath>
        <m:r>
          <w:rPr>
            <w:rFonts w:ascii="Cambria Math" w:hAnsi="Cambria Math" w:cstheme="minorHAnsi"/>
            <w:sz w:val="24"/>
            <w:szCs w:val="24"/>
          </w:rPr>
          <m:t>DW</m:t>
        </m:r>
      </m:oMath>
      <w:r w:rsidRPr="005E780E">
        <w:rPr>
          <w:rFonts w:cstheme="minorHAnsi"/>
          <w:sz w:val="24"/>
          <w:szCs w:val="24"/>
        </w:rPr>
        <w:t>, was calculated to compare the number of repetitions to failure of DTA, </w:t>
      </w:r>
      <m:oMath>
        <m:sSub>
          <m:sSubPr>
            <m:ctrlPr>
              <w:rPr>
                <w:rFonts w:ascii="Cambria Math" w:hAnsi="Cambria Math" w:cstheme="minorHAnsi"/>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DTA</m:t>
            </m:r>
          </m:sub>
        </m:sSub>
      </m:oMath>
      <w:r w:rsidRPr="005E780E">
        <w:rPr>
          <w:rFonts w:cstheme="minorHAnsi"/>
          <w:sz w:val="24"/>
          <w:szCs w:val="24"/>
        </w:rPr>
        <w:t>, and the allowable number of repetition of NG-WBT, </w:t>
      </w:r>
      <m:oMath>
        <m:sSub>
          <m:sSubPr>
            <m:ctrlPr>
              <w:rPr>
                <w:rFonts w:ascii="Cambria Math" w:hAnsi="Cambria Math" w:cstheme="minorHAnsi"/>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NG-WBT</m:t>
            </m:r>
          </m:sub>
        </m:sSub>
      </m:oMath>
      <w:r w:rsidRPr="005E780E">
        <w:rPr>
          <w:rFonts w:cstheme="minorHAnsi"/>
          <w:sz w:val="24"/>
          <w:szCs w:val="24"/>
        </w:rPr>
        <w:t>. It is worth noting that </w:t>
      </w:r>
      <m:oMath>
        <m:r>
          <w:rPr>
            <w:rFonts w:ascii="Cambria Math" w:hAnsi="Cambria Math" w:cstheme="minorHAnsi"/>
            <w:sz w:val="24"/>
            <w:szCs w:val="24"/>
          </w:rPr>
          <m:t>DW&lt;1</m:t>
        </m:r>
      </m:oMath>
      <w:r w:rsidRPr="005E780E">
        <w:rPr>
          <w:rFonts w:cstheme="minorHAnsi"/>
          <w:sz w:val="24"/>
          <w:szCs w:val="24"/>
        </w:rPr>
        <w:t> indicates that the DTA has a lower number of allowable repetitions than NG-WBT.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4"/>
        <w:gridCol w:w="496"/>
      </w:tblGrid>
      <w:tr w:rsidR="00621602" w:rsidRPr="005E780E" w14:paraId="1BE5091F" w14:textId="77777777" w:rsidTr="00031178">
        <w:tc>
          <w:tcPr>
            <w:tcW w:w="4754" w:type="pct"/>
            <w:hideMark/>
          </w:tcPr>
          <w:p w14:paraId="1EBAC018" w14:textId="45F6A2D0" w:rsidR="00621602" w:rsidRPr="005E780E" w:rsidRDefault="002A5E7A" w:rsidP="5E2181D6">
            <w:pPr>
              <w:rPr>
                <w:sz w:val="24"/>
                <w:szCs w:val="24"/>
              </w:rPr>
            </w:pPr>
            <m:oMathPara>
              <m:oMath>
                <m:r>
                  <w:rPr>
                    <w:rFonts w:ascii="Cambria Math" w:hAnsi="Cambria Math"/>
                    <w:sz w:val="24"/>
                    <w:szCs w:val="24"/>
                  </w:rPr>
                  <m:t>DW=</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DTA</m:t>
                        </m:r>
                      </m:sub>
                    </m:sSub>
                  </m:num>
                  <m:den>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NG-WBT</m:t>
                        </m:r>
                      </m:sub>
                    </m:sSub>
                  </m:den>
                </m:f>
              </m:oMath>
            </m:oMathPara>
          </w:p>
        </w:tc>
        <w:tc>
          <w:tcPr>
            <w:tcW w:w="246" w:type="pct"/>
            <w:hideMark/>
          </w:tcPr>
          <w:p w14:paraId="7D680DC4" w14:textId="77777777" w:rsidR="00621602" w:rsidRPr="005E780E" w:rsidRDefault="00621602" w:rsidP="00326522">
            <w:pPr>
              <w:rPr>
                <w:rFonts w:cstheme="minorHAnsi"/>
                <w:sz w:val="24"/>
                <w:szCs w:val="24"/>
              </w:rPr>
            </w:pPr>
          </w:p>
        </w:tc>
      </w:tr>
    </w:tbl>
    <w:p w14:paraId="0F478644" w14:textId="77777777" w:rsidR="002A5E7A" w:rsidRDefault="002A5E7A" w:rsidP="00621602">
      <w:pPr>
        <w:rPr>
          <w:rFonts w:cstheme="minorHAnsi"/>
          <w:sz w:val="24"/>
          <w:szCs w:val="24"/>
        </w:rPr>
      </w:pPr>
    </w:p>
    <w:p w14:paraId="3C9BB9E9" w14:textId="434FA62C" w:rsidR="00621602" w:rsidRPr="005E780E" w:rsidRDefault="00621602" w:rsidP="00621602">
      <w:pPr>
        <w:rPr>
          <w:rFonts w:cstheme="minorHAnsi"/>
          <w:sz w:val="24"/>
          <w:szCs w:val="24"/>
        </w:rPr>
      </w:pPr>
      <w:r w:rsidRPr="005E780E">
        <w:rPr>
          <w:rFonts w:cstheme="minorHAnsi"/>
          <w:sz w:val="24"/>
          <w:szCs w:val="24"/>
        </w:rPr>
        <w:t>Considering five pavement distresses, the cumulative impact of DTA relative to NG-WBT is compared using a combined ratio, </w:t>
      </w:r>
      <m:oMath>
        <m:r>
          <w:rPr>
            <w:rFonts w:ascii="Cambria Math" w:hAnsi="Cambria Math" w:cstheme="minorHAnsi"/>
            <w:sz w:val="24"/>
            <w:szCs w:val="24"/>
          </w:rPr>
          <m:t>CDW</m:t>
        </m:r>
      </m:oMath>
      <w:r w:rsidRPr="005E780E">
        <w:rPr>
          <w:rFonts w:cstheme="minorHAnsi"/>
          <w:sz w:val="24"/>
          <w:szCs w:val="24"/>
        </w:rPr>
        <w:t>. All failure mechanisms considered are combined using a logarithmic weighing factor,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oMath>
      <w:r w:rsidRPr="005E780E">
        <w:rPr>
          <w:rFonts w:cstheme="minorHAnsi"/>
          <w:sz w:val="24"/>
          <w:szCs w:val="24"/>
        </w:rPr>
        <w:t>, to account for varying orders of magnitude among the number of repetitions to failure of each distress.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9"/>
        <w:gridCol w:w="331"/>
      </w:tblGrid>
      <w:tr w:rsidR="00621602" w:rsidRPr="005E780E" w14:paraId="4F4FC488" w14:textId="77777777" w:rsidTr="0091052F">
        <w:tc>
          <w:tcPr>
            <w:tcW w:w="4836" w:type="pct"/>
            <w:hideMark/>
          </w:tcPr>
          <w:p w14:paraId="3D37FCB5" w14:textId="410506F9" w:rsidR="00621602" w:rsidRPr="005E780E" w:rsidRDefault="0091052F" w:rsidP="00326522">
            <w:pPr>
              <w:rPr>
                <w:rFonts w:cstheme="minorHAnsi"/>
                <w:sz w:val="24"/>
                <w:szCs w:val="24"/>
              </w:rPr>
            </w:pPr>
            <m:oMathPara>
              <m:oMath>
                <m:eqArr>
                  <m:eqArrPr>
                    <m:ctrlPr>
                      <w:rPr>
                        <w:rFonts w:ascii="Cambria Math" w:hAnsi="Cambria Math" w:cstheme="minorHAnsi"/>
                        <w:sz w:val="24"/>
                        <w:szCs w:val="24"/>
                      </w:rPr>
                    </m:ctrlPr>
                  </m:eqArrPr>
                  <m:e>
                    <m:r>
                      <w:rPr>
                        <w:rFonts w:ascii="Cambria Math" w:hAnsi="Cambria Math" w:cstheme="minorHAnsi"/>
                        <w:sz w:val="24"/>
                        <w:szCs w:val="24"/>
                      </w:rPr>
                      <m:t>CDW=</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BU</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TDS</m:t>
                        </m:r>
                      </m:sub>
                    </m:sSub>
                    <m:r>
                      <w:rPr>
                        <w:rFonts w:ascii="Cambria Math" w:hAnsi="Cambria Math" w:cstheme="minorHAnsi"/>
                        <w:sz w:val="24"/>
                        <w:szCs w:val="24"/>
                      </w:rPr>
                      <m:t>+</m:t>
                    </m:r>
                  </m:e>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TDT</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m:t>
                        </m:r>
                      </m:sub>
                    </m:sSub>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RS</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5</m:t>
                        </m:r>
                      </m:sub>
                    </m:sSub>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e>
                </m:eqArr>
              </m:oMath>
            </m:oMathPara>
          </w:p>
        </w:tc>
        <w:tc>
          <w:tcPr>
            <w:tcW w:w="164" w:type="pct"/>
            <w:hideMark/>
          </w:tcPr>
          <w:p w14:paraId="27E67629" w14:textId="77777777" w:rsidR="00621602" w:rsidRPr="005E780E" w:rsidRDefault="00621602" w:rsidP="00326522">
            <w:pPr>
              <w:rPr>
                <w:rFonts w:cstheme="minorHAnsi"/>
                <w:sz w:val="24"/>
                <w:szCs w:val="24"/>
              </w:rPr>
            </w:pPr>
          </w:p>
        </w:tc>
      </w:tr>
    </w:tbl>
    <w:p w14:paraId="423373BE" w14:textId="77777777" w:rsidR="00621602" w:rsidRPr="005E780E" w:rsidRDefault="00621602" w:rsidP="00621602">
      <w:pPr>
        <w:rPr>
          <w:rFonts w:cstheme="minorHAnsi"/>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621602" w:rsidRPr="005E780E" w14:paraId="3AE76BFF" w14:textId="77777777" w:rsidTr="0091052F">
        <w:tc>
          <w:tcPr>
            <w:tcW w:w="4500" w:type="pct"/>
            <w:hideMark/>
          </w:tcPr>
          <w:p w14:paraId="16E0C6CD" w14:textId="77777777" w:rsidR="0091052F" w:rsidRDefault="0091052F" w:rsidP="00326522">
            <w:pPr>
              <w:rPr>
                <w:rFonts w:cstheme="minorHAnsi"/>
                <w:sz w:val="24"/>
                <w:szCs w:val="24"/>
              </w:rPr>
            </w:pPr>
          </w:p>
          <w:p w14:paraId="4AEC0DCC" w14:textId="561F25B7" w:rsidR="00621602" w:rsidRPr="005E780E" w:rsidRDefault="00AC1CB9" w:rsidP="00326522">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f>
                      <m:fPr>
                        <m:ctrlPr>
                          <w:rPr>
                            <w:rFonts w:ascii="Cambria Math" w:hAnsi="Cambria Math" w:cstheme="minorHAnsi"/>
                            <w:sz w:val="24"/>
                            <w:szCs w:val="24"/>
                          </w:rPr>
                        </m:ctrlPr>
                      </m:fPr>
                      <m:num>
                        <m:r>
                          <w:rPr>
                            <w:rFonts w:ascii="Cambria Math" w:hAnsi="Cambria Math" w:cstheme="minorHAnsi"/>
                            <w:sz w:val="24"/>
                            <w:szCs w:val="24"/>
                          </w:rPr>
                          <m:t>1</m:t>
                        </m:r>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i</m:t>
                                    </m:r>
                                  </m:sub>
                                </m:sSub>
                              </m:e>
                            </m:d>
                          </m:e>
                        </m:func>
                      </m:den>
                    </m:f>
                  </m:num>
                  <m:den>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j=1</m:t>
                        </m:r>
                      </m:sub>
                      <m:sup>
                        <m:r>
                          <w:rPr>
                            <w:rFonts w:ascii="Cambria Math" w:hAnsi="Cambria Math" w:cstheme="minorHAnsi"/>
                            <w:sz w:val="24"/>
                            <w:szCs w:val="24"/>
                          </w:rPr>
                          <m:t>5</m:t>
                        </m:r>
                      </m:sup>
                      <m:e>
                        <m:f>
                          <m:fPr>
                            <m:ctrlPr>
                              <w:rPr>
                                <w:rFonts w:ascii="Cambria Math" w:hAnsi="Cambria Math" w:cstheme="minorHAnsi"/>
                                <w:sz w:val="24"/>
                                <w:szCs w:val="24"/>
                              </w:rPr>
                            </m:ctrlPr>
                          </m:fPr>
                          <m:num>
                            <m:r>
                              <w:rPr>
                                <w:rFonts w:ascii="Cambria Math" w:hAnsi="Cambria Math" w:cstheme="minorHAnsi"/>
                                <w:sz w:val="24"/>
                                <w:szCs w:val="24"/>
                              </w:rPr>
                              <m:t>1</m:t>
                            </m:r>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j</m:t>
                                        </m:r>
                                      </m:sub>
                                    </m:sSub>
                                  </m:e>
                                </m:d>
                              </m:e>
                            </m:func>
                          </m:den>
                        </m:f>
                      </m:e>
                    </m:nary>
                  </m:den>
                </m:f>
              </m:oMath>
            </m:oMathPara>
          </w:p>
        </w:tc>
        <w:tc>
          <w:tcPr>
            <w:tcW w:w="500" w:type="pct"/>
            <w:hideMark/>
          </w:tcPr>
          <w:p w14:paraId="1087F9AC" w14:textId="77777777" w:rsidR="0091052F" w:rsidRDefault="0091052F" w:rsidP="00326522">
            <w:pPr>
              <w:rPr>
                <w:rFonts w:cstheme="minorHAnsi"/>
                <w:sz w:val="24"/>
                <w:szCs w:val="24"/>
              </w:rPr>
            </w:pPr>
          </w:p>
          <w:p w14:paraId="5CDA39C7" w14:textId="4837676F" w:rsidR="00621602" w:rsidRPr="005E780E" w:rsidRDefault="00621602" w:rsidP="00326522">
            <w:pPr>
              <w:rPr>
                <w:rFonts w:cstheme="minorHAnsi"/>
                <w:sz w:val="24"/>
                <w:szCs w:val="24"/>
              </w:rPr>
            </w:pPr>
            <w:r w:rsidRPr="005E780E">
              <w:rPr>
                <w:rFonts w:cstheme="minorHAnsi"/>
                <w:sz w:val="24"/>
                <w:szCs w:val="24"/>
              </w:rPr>
              <w:t>(3)</w:t>
            </w:r>
          </w:p>
        </w:tc>
      </w:tr>
    </w:tbl>
    <w:p w14:paraId="7D9A45C2" w14:textId="350F2879" w:rsidR="5E2181D6" w:rsidRDefault="5E2181D6" w:rsidP="5E2181D6">
      <w:pPr>
        <w:rPr>
          <w:sz w:val="24"/>
          <w:szCs w:val="24"/>
        </w:rPr>
      </w:pPr>
    </w:p>
    <w:p w14:paraId="5B26F445" w14:textId="2D5742F9" w:rsidR="00621602" w:rsidRPr="005E780E" w:rsidRDefault="00621602" w:rsidP="00621602">
      <w:pPr>
        <w:rPr>
          <w:rFonts w:cstheme="minorHAnsi"/>
          <w:sz w:val="24"/>
          <w:szCs w:val="24"/>
        </w:rPr>
      </w:pPr>
      <w:r w:rsidRPr="005E780E">
        <w:rPr>
          <w:rFonts w:cstheme="minorHAnsi"/>
          <w:sz w:val="24"/>
          <w:szCs w:val="24"/>
        </w:rPr>
        <w:t>where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BU</m:t>
            </m:r>
          </m:sub>
        </m:sSub>
      </m:oMath>
      <w:r w:rsidRPr="005E780E">
        <w:rPr>
          <w:rFonts w:cstheme="minorHAnsi"/>
          <w:sz w:val="24"/>
          <w:szCs w:val="24"/>
        </w:rPr>
        <w:t>,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TDS</m:t>
            </m:r>
          </m:sub>
        </m:sSub>
      </m:oMath>
      <w:r w:rsidRPr="005E780E">
        <w:rPr>
          <w:rFonts w:cstheme="minorHAnsi"/>
          <w:sz w:val="24"/>
          <w:szCs w:val="24"/>
        </w:rPr>
        <w:t>,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TDT</m:t>
            </m:r>
          </m:sub>
        </m:sSub>
      </m:oMath>
      <w:r w:rsidRPr="005E780E">
        <w:rPr>
          <w:rFonts w:cstheme="minorHAnsi"/>
          <w:sz w:val="24"/>
          <w:szCs w:val="24"/>
        </w:rPr>
        <w:t>,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RS</m:t>
            </m:r>
          </m:sub>
        </m:sSub>
      </m:oMath>
      <w:r w:rsidRPr="005E780E">
        <w:rPr>
          <w:rFonts w:cstheme="minorHAnsi"/>
          <w:sz w:val="24"/>
          <w:szCs w:val="24"/>
        </w:rPr>
        <w:t>, and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oMath>
      <w:r w:rsidRPr="005E780E">
        <w:rPr>
          <w:rFonts w:cstheme="minorHAnsi"/>
          <w:sz w:val="24"/>
          <w:szCs w:val="24"/>
        </w:rPr>
        <w:t> are the </w:t>
      </w:r>
      <m:oMath>
        <m:r>
          <w:rPr>
            <w:rFonts w:ascii="Cambria Math" w:hAnsi="Cambria Math"/>
            <w:sz w:val="24"/>
            <w:szCs w:val="24"/>
          </w:rPr>
          <m:t>DW</m:t>
        </m:r>
      </m:oMath>
      <w:r w:rsidRPr="005E780E">
        <w:rPr>
          <w:rFonts w:cstheme="minorHAnsi"/>
          <w:sz w:val="24"/>
          <w:szCs w:val="24"/>
        </w:rPr>
        <w:t> for bottom-up fatigue cracking, near-surface cracking caused by shear strain, near-surface cracking caused by tensile strain, subgrade rutting, and AC rutting, respectively. In the following plots, each group of bars corresponds to the same load and tire-inflation pressure. For instance, L6:L2 compares DTA and NG-WBT subjected to </w:t>
      </w:r>
      <m:oMath>
        <m:r>
          <w:rPr>
            <w:rFonts w:ascii="Cambria Math" w:hAnsi="Cambria Math"/>
            <w:sz w:val="24"/>
            <w:szCs w:val="24"/>
          </w:rPr>
          <m:t>P</m:t>
        </m:r>
      </m:oMath>
      <w:r w:rsidRPr="005E780E">
        <w:rPr>
          <w:rFonts w:cstheme="minorHAnsi"/>
          <w:sz w:val="24"/>
          <w:szCs w:val="24"/>
        </w:rPr>
        <w:t> = 26.6 kN and </w:t>
      </w:r>
      <m:oMath>
        <m:r>
          <w:rPr>
            <w:rFonts w:ascii="Cambria Math" w:hAnsi="Cambria Math" w:cstheme="minorHAnsi"/>
            <w:sz w:val="24"/>
            <w:szCs w:val="24"/>
          </w:rPr>
          <m:t>S</m:t>
        </m:r>
      </m:oMath>
      <w:r w:rsidRPr="005E780E">
        <w:rPr>
          <w:rFonts w:cstheme="minorHAnsi"/>
          <w:sz w:val="24"/>
          <w:szCs w:val="24"/>
        </w:rPr>
        <w:t> = 862 kPa.</w:t>
      </w:r>
    </w:p>
    <w:p w14:paraId="0075E4B8" w14:textId="77777777" w:rsidR="00621602" w:rsidRPr="005E780E" w:rsidRDefault="00621602" w:rsidP="5E2181D6">
      <w:pPr>
        <w:pStyle w:val="Heading2"/>
        <w:rPr>
          <w:rFonts w:ascii="Calibri Light" w:eastAsia="MS Gothic" w:hAnsi="Calibri Light" w:cs="Times New Roman"/>
        </w:rPr>
      </w:pPr>
      <w:r>
        <w:t>Thin Pavement Structures</w:t>
      </w:r>
    </w:p>
    <w:p w14:paraId="45D41EAA" w14:textId="44DC0B6E" w:rsidR="00621602" w:rsidRPr="005E780E" w:rsidRDefault="00621602" w:rsidP="5E2181D6">
      <w:pPr>
        <w:rPr>
          <w:sz w:val="24"/>
          <w:szCs w:val="24"/>
        </w:rPr>
      </w:pPr>
      <w:r w:rsidRPr="5E2181D6">
        <w:rPr>
          <w:sz w:val="24"/>
          <w:szCs w:val="24"/>
        </w:rPr>
        <w:t>The average damage ratios from the various material properties for thin pavements are shown in </w:t>
      </w:r>
      <w:r w:rsidRPr="008130D4">
        <w:rPr>
          <w:sz w:val="24"/>
          <w:szCs w:val="24"/>
        </w:rPr>
        <w:t>Figure 2</w:t>
      </w:r>
      <w:r w:rsidRPr="5E2181D6">
        <w:rPr>
          <w:sz w:val="24"/>
          <w:szCs w:val="24"/>
        </w:rPr>
        <w:t>. Lower damage for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TDT</m:t>
            </m:r>
          </m:sub>
        </m:sSub>
      </m:oMath>
      <w:r w:rsidRPr="5E2181D6">
        <w:rPr>
          <w:sz w:val="24"/>
          <w:szCs w:val="24"/>
        </w:rPr>
        <w:t> than other fatigue cases was noted; the average damage ratio for near-surface fatigue cracking caused by surface tensile strain was 1.28, while for bottom-up and near-surface caused by shear, the average damage ratios were 2.13 and 2.34, respectively (see </w:t>
      </w:r>
      <w:r w:rsidRPr="008130D4">
        <w:rPr>
          <w:sz w:val="24"/>
          <w:szCs w:val="24"/>
        </w:rPr>
        <w:t>Figure 2</w:t>
      </w:r>
      <w:r w:rsidRPr="5E2181D6">
        <w:rPr>
          <w:sz w:val="24"/>
          <w:szCs w:val="24"/>
        </w:rPr>
        <w:t>, </w:t>
      </w:r>
      <w:r w:rsidRPr="008130D4">
        <w:rPr>
          <w:i/>
          <w:iCs/>
          <w:sz w:val="24"/>
          <w:szCs w:val="24"/>
        </w:rPr>
        <w:t>a–c</w:t>
      </w:r>
      <w:r w:rsidRPr="5E2181D6">
        <w:rPr>
          <w:sz w:val="24"/>
          <w:szCs w:val="24"/>
        </w:rPr>
        <w:t>). For bottom-up fatigue cracking,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BU</m:t>
            </m:r>
          </m:sub>
        </m:sSub>
      </m:oMath>
      <w:r w:rsidRPr="5E2181D6">
        <w:rPr>
          <w:sz w:val="24"/>
          <w:szCs w:val="24"/>
        </w:rPr>
        <w:t> decreased as the magnitude of the applied load increased, and it was less sensitive to layer thickness when the load was high. On the other hand,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TDS</m:t>
            </m:r>
          </m:sub>
        </m:sSub>
      </m:oMath>
      <w:r w:rsidRPr="5E2181D6">
        <w:rPr>
          <w:sz w:val="24"/>
          <w:szCs w:val="24"/>
        </w:rPr>
        <w:t> increased as the load increased. For AC = 125 mm, average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TDT</m:t>
            </m:r>
          </m:sub>
        </m:sSub>
      </m:oMath>
      <w:r w:rsidRPr="5E2181D6">
        <w:rPr>
          <w:sz w:val="24"/>
          <w:szCs w:val="24"/>
        </w:rPr>
        <w:t> was not affected by base thickness, applied load, or tire-inflation pressure.</w:t>
      </w:r>
    </w:p>
    <w:p w14:paraId="75A945F5" w14:textId="77777777" w:rsidR="00621602" w:rsidRPr="005E780E" w:rsidRDefault="00621602" w:rsidP="00332DA0">
      <w:pPr>
        <w:pStyle w:val="NoSpacing"/>
      </w:pPr>
      <w:r w:rsidRPr="005E780E">
        <w:rPr>
          <w:noProof/>
        </w:rPr>
        <w:drawing>
          <wp:inline distT="0" distB="0" distL="0" distR="0" wp14:anchorId="526D5D55" wp14:editId="443D338A">
            <wp:extent cx="2743200" cy="2642616"/>
            <wp:effectExtent l="0" t="0" r="0" b="5715"/>
            <wp:docPr id="6" name="Picture 6"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642616"/>
                    </a:xfrm>
                    <a:prstGeom prst="rect">
                      <a:avLst/>
                    </a:prstGeom>
                    <a:noFill/>
                    <a:ln>
                      <a:noFill/>
                    </a:ln>
                  </pic:spPr>
                </pic:pic>
              </a:graphicData>
            </a:graphic>
          </wp:inline>
        </w:drawing>
      </w:r>
    </w:p>
    <w:p w14:paraId="79EDCA60" w14:textId="629085F2" w:rsidR="00621602" w:rsidRPr="005E780E" w:rsidRDefault="00621602" w:rsidP="00332DA0">
      <w:pPr>
        <w:pStyle w:val="NoSpacing"/>
      </w:pPr>
      <w:r w:rsidRPr="5E2181D6">
        <w:rPr>
          <w:b/>
          <w:bCs/>
        </w:rPr>
        <w:t>Figure 2.</w:t>
      </w:r>
      <w:r w:rsidRPr="5E2181D6">
        <w:t> Ratio of the allowable number of repetitions to failure comparing DTA to NG-WBT for thin pavement structures: (a) </w:t>
      </w:r>
      <m:oMath>
        <m:r>
          <w:rPr>
            <w:rFonts w:ascii="Cambria Math" w:hAnsi="Cambria Math"/>
          </w:rPr>
          <m:t>DW</m:t>
        </m:r>
      </m:oMath>
      <w:r w:rsidRPr="5E2181D6">
        <w:t> for bottom-up cracking; (b)</w:t>
      </w:r>
      <w:r w:rsidR="00402363" w:rsidRPr="00402363">
        <w:rPr>
          <w:rFonts w:ascii="Cambria Math" w:hAnsi="Cambria Math"/>
          <w:i/>
        </w:rPr>
        <w:t xml:space="preserve"> </w:t>
      </w:r>
      <m:oMath>
        <m:r>
          <w:rPr>
            <w:rFonts w:ascii="Cambria Math" w:hAnsi="Cambria Math"/>
          </w:rPr>
          <m:t>DW</m:t>
        </m:r>
      </m:oMath>
      <w:r w:rsidRPr="5E2181D6">
        <w:t> for top-down cracking due to tensile strain; (c) </w:t>
      </w:r>
      <m:oMath>
        <m:r>
          <w:rPr>
            <w:rFonts w:ascii="Cambria Math" w:hAnsi="Cambria Math"/>
          </w:rPr>
          <m:t>DW</m:t>
        </m:r>
      </m:oMath>
      <w:r w:rsidRPr="5E2181D6">
        <w:t> for top-down cracking due to shear strain; (d) </w:t>
      </w:r>
      <m:oMath>
        <m:r>
          <w:rPr>
            <w:rFonts w:ascii="Cambria Math" w:hAnsi="Cambria Math"/>
          </w:rPr>
          <m:t>DW</m:t>
        </m:r>
      </m:oMath>
      <w:r w:rsidR="00402363" w:rsidRPr="5E2181D6">
        <w:t xml:space="preserve"> </w:t>
      </w:r>
      <w:r w:rsidRPr="5E2181D6">
        <w:t>for AC rutting; (e) </w:t>
      </w:r>
      <m:oMath>
        <m:r>
          <w:rPr>
            <w:rFonts w:ascii="Cambria Math" w:hAnsi="Cambria Math"/>
          </w:rPr>
          <m:t>DW</m:t>
        </m:r>
      </m:oMath>
      <w:r w:rsidRPr="5E2181D6">
        <w:t> for subgrade rutting; (f) CDW considering all five distresses.</w:t>
      </w:r>
    </w:p>
    <w:p w14:paraId="647E4E91" w14:textId="5404B386" w:rsidR="5E2181D6" w:rsidRDefault="5E2181D6" w:rsidP="5E2181D6">
      <w:pPr>
        <w:rPr>
          <w:sz w:val="24"/>
          <w:szCs w:val="24"/>
        </w:rPr>
      </w:pPr>
    </w:p>
    <w:p w14:paraId="3279C72D" w14:textId="3F578193" w:rsidR="00621602" w:rsidRPr="005E780E" w:rsidRDefault="00621602" w:rsidP="00621602">
      <w:pPr>
        <w:rPr>
          <w:rFonts w:cstheme="minorHAnsi"/>
          <w:sz w:val="24"/>
          <w:szCs w:val="24"/>
        </w:rPr>
      </w:pPr>
      <w:r w:rsidRPr="005E780E">
        <w:rPr>
          <w:rFonts w:cstheme="minorHAnsi"/>
          <w:sz w:val="24"/>
          <w:szCs w:val="24"/>
        </w:rPr>
        <w:t>Base thickness minimally affected the average difference between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oMath>
      <w:r w:rsidRPr="005E780E">
        <w:rPr>
          <w:rFonts w:cstheme="minorHAnsi"/>
          <w:sz w:val="24"/>
          <w:szCs w:val="24"/>
        </w:rPr>
        <w:t> of NG-WBT and DTA, as seen in </w:t>
      </w:r>
      <w:r w:rsidRPr="008130D4">
        <w:rPr>
          <w:rFonts w:cstheme="minorHAnsi"/>
          <w:sz w:val="24"/>
          <w:szCs w:val="24"/>
        </w:rPr>
        <w:t>Figure 2</w:t>
      </w:r>
      <w:r w:rsidRPr="008130D4">
        <w:rPr>
          <w:rFonts w:cstheme="minorHAnsi"/>
          <w:i/>
          <w:iCs/>
          <w:sz w:val="24"/>
          <w:szCs w:val="24"/>
        </w:rPr>
        <w:t>d</w:t>
      </w:r>
      <w:r w:rsidRPr="005E780E">
        <w:rPr>
          <w:rFonts w:cstheme="minorHAnsi"/>
          <w:sz w:val="24"/>
          <w:szCs w:val="24"/>
        </w:rPr>
        <w:t>. A more relevant role of tire-inflation pressure was observed for AC rutting when compared with fatigue cracking if the applied load was low and the AC thickness was 125 mm. On the other hand, tire-inflation pressure increased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oMath>
      <w:r w:rsidRPr="005E780E">
        <w:rPr>
          <w:rFonts w:cstheme="minorHAnsi"/>
          <w:sz w:val="24"/>
          <w:szCs w:val="24"/>
        </w:rPr>
        <w:t> when the applied load was high regardless of the layer thicknesses.</w:t>
      </w:r>
    </w:p>
    <w:p w14:paraId="04DADE65" w14:textId="0528C123" w:rsidR="00621602" w:rsidRPr="005E780E" w:rsidRDefault="00621602" w:rsidP="00621602">
      <w:pPr>
        <w:rPr>
          <w:rFonts w:cstheme="minorHAnsi"/>
          <w:sz w:val="24"/>
          <w:szCs w:val="24"/>
        </w:rPr>
      </w:pPr>
      <w:r w:rsidRPr="005E780E">
        <w:rPr>
          <w:rFonts w:cstheme="minorHAnsi"/>
          <w:sz w:val="24"/>
          <w:szCs w:val="24"/>
        </w:rPr>
        <w:t>From </w:t>
      </w:r>
      <w:r w:rsidRPr="008130D4">
        <w:rPr>
          <w:rFonts w:cstheme="minorHAnsi"/>
          <w:sz w:val="24"/>
          <w:szCs w:val="24"/>
        </w:rPr>
        <w:t>Figure 2</w:t>
      </w:r>
      <w:r w:rsidRPr="008130D4">
        <w:rPr>
          <w:rFonts w:cstheme="minorHAnsi"/>
          <w:i/>
          <w:iCs/>
          <w:sz w:val="24"/>
          <w:szCs w:val="24"/>
        </w:rPr>
        <w:t>e</w:t>
      </w:r>
      <w:r w:rsidRPr="005E780E">
        <w:rPr>
          <w:rFonts w:cstheme="minorHAnsi"/>
          <w:sz w:val="24"/>
          <w:szCs w:val="24"/>
        </w:rPr>
        <w:t>, the average damage ratio for subgrade rutting indicated that if AC = 125 mm, the effect of base thickness was less significant than for AC=75 mm because the magnitude of vertical strain in the base layer is smaller for the thick AC layer. Also, the effect of tire-inflation pressure is more relevant in the case of AC = 75 mm because of the proximity of the subgrade to the loaded area. It should be noted that the average damage ratios for subgrade rutting are low compared with the other distresses. This agrees with the previous observation about the reduction in difference between NG-WBT and DTA as pavement depth increases. Combining all five pavement distresses, the highest average ratio was 2.4 for a load of 26.6 kN, tire-inflation pressure of 862 kPa, AC thickness of 75 mm, and base thickness of 150 mm. The average value in </w:t>
      </w:r>
      <w:r w:rsidRPr="008130D4">
        <w:rPr>
          <w:rFonts w:cstheme="minorHAnsi"/>
          <w:sz w:val="24"/>
          <w:szCs w:val="24"/>
        </w:rPr>
        <w:t>Figure 2</w:t>
      </w:r>
      <w:r w:rsidRPr="008130D4">
        <w:rPr>
          <w:rFonts w:cstheme="minorHAnsi"/>
          <w:i/>
          <w:iCs/>
          <w:sz w:val="24"/>
          <w:szCs w:val="24"/>
        </w:rPr>
        <w:t>f</w:t>
      </w:r>
      <w:r w:rsidRPr="005E780E">
        <w:rPr>
          <w:rFonts w:cstheme="minorHAnsi"/>
          <w:sz w:val="24"/>
          <w:szCs w:val="24"/>
        </w:rPr>
        <w:t> is 1.8, with the highest magnitude generally corresponding to pavement structures with thinnest AC. This suggests that the impact of NG-WBT could be significant on weak thin pavements.</w:t>
      </w:r>
    </w:p>
    <w:p w14:paraId="5B928263" w14:textId="77777777" w:rsidR="00621602" w:rsidRPr="005E780E" w:rsidRDefault="00621602" w:rsidP="5E2181D6">
      <w:pPr>
        <w:pStyle w:val="Heading2"/>
        <w:rPr>
          <w:rFonts w:ascii="Calibri Light" w:eastAsia="MS Gothic" w:hAnsi="Calibri Light" w:cs="Times New Roman"/>
        </w:rPr>
      </w:pPr>
      <w:r>
        <w:t>Thick Pavement Structures</w:t>
      </w:r>
    </w:p>
    <w:p w14:paraId="1EA0E490" w14:textId="5C731211" w:rsidR="00621602" w:rsidRPr="005E780E" w:rsidRDefault="00621602" w:rsidP="5E2181D6">
      <w:pPr>
        <w:rPr>
          <w:sz w:val="24"/>
          <w:szCs w:val="24"/>
        </w:rPr>
      </w:pPr>
      <w:r w:rsidRPr="5E2181D6">
        <w:rPr>
          <w:sz w:val="24"/>
          <w:szCs w:val="24"/>
        </w:rPr>
        <w:t>Based on </w:t>
      </w:r>
      <w:r w:rsidRPr="008130D4">
        <w:rPr>
          <w:sz w:val="24"/>
          <w:szCs w:val="24"/>
        </w:rPr>
        <w:t>Figure 3</w:t>
      </w:r>
      <w:r w:rsidRPr="5E2181D6">
        <w:rPr>
          <w:sz w:val="24"/>
          <w:szCs w:val="24"/>
        </w:rPr>
        <w:t>,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BU</m:t>
            </m:r>
          </m:sub>
        </m:sSub>
      </m:oMath>
      <w:r w:rsidRPr="5E2181D6">
        <w:rPr>
          <w:sz w:val="24"/>
          <w:szCs w:val="24"/>
        </w:rPr>
        <w:t> was highest at 3.2 when AC = 125 mm and B = 600 mm, although one could observe that the relative difference between the two tire types diminishes as AC thickness increases to 412.5 mm, regardless of the loading condition. Conversely, when considering the near-surface cracking caused by the surface tensile strain, DTA can impose between 0.4 to 4.6 times more loading repetitions than that of NG-WBT cases. Increasing the AC thickness to 412.5 mm (with B = 600 mm) generated the maximum </w:t>
      </w:r>
      <m:oMath>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TDT</m:t>
            </m:r>
          </m:sub>
        </m:sSub>
      </m:oMath>
      <w:r w:rsidRPr="5E2181D6">
        <w:rPr>
          <w:sz w:val="24"/>
          <w:szCs w:val="24"/>
        </w:rPr>
        <w:t> of 4.6 when </w:t>
      </w:r>
      <w:r w:rsidRPr="5E2181D6">
        <w:rPr>
          <w:i/>
          <w:iCs/>
          <w:sz w:val="24"/>
          <w:szCs w:val="24"/>
        </w:rPr>
        <w:t>P</w:t>
      </w:r>
      <w:r w:rsidRPr="5E2181D6">
        <w:rPr>
          <w:sz w:val="24"/>
          <w:szCs w:val="24"/>
        </w:rPr>
        <w:t> = 26.6 kN. Although the range of average ratios significantly increased when </w:t>
      </w:r>
      <w:r w:rsidRPr="5E2181D6">
        <w:rPr>
          <w:i/>
          <w:iCs/>
          <w:sz w:val="24"/>
          <w:szCs w:val="24"/>
        </w:rPr>
        <w:t>P</w:t>
      </w:r>
      <w:r w:rsidRPr="5E2181D6">
        <w:rPr>
          <w:sz w:val="24"/>
          <w:szCs w:val="24"/>
        </w:rPr>
        <w:t> = 26.6 kN, the surface tensile strain difference between NG-WBT and DTA cases was less than 4 </w:t>
      </w:r>
      <m:oMath>
        <m:r>
          <w:rPr>
            <w:rFonts w:ascii="Cambria Math" w:hAnsi="Cambria Math"/>
            <w:sz w:val="24"/>
            <w:szCs w:val="24"/>
          </w:rPr>
          <m:t>με</m:t>
        </m:r>
      </m:oMath>
      <w:r w:rsidRPr="5E2181D6">
        <w:rPr>
          <w:sz w:val="24"/>
          <w:szCs w:val="24"/>
        </w:rPr>
        <w:t>. The resulting number of repetitions to failure were a magnitude different from the ones induced by near-surface shear strain and were much greater than 1.0</w:t>
      </w:r>
      <w:r w:rsidRPr="5E2181D6">
        <w:rPr>
          <w:sz w:val="24"/>
          <w:szCs w:val="24"/>
          <w:vertAlign w:val="superscript"/>
        </w:rPr>
        <w:t>10</w:t>
      </w:r>
      <w:r w:rsidRPr="5E2181D6">
        <w:rPr>
          <w:sz w:val="24"/>
          <w:szCs w:val="24"/>
        </w:rPr>
        <w:t> repetitions when </w:t>
      </w:r>
      <w:r w:rsidRPr="5E2181D6">
        <w:rPr>
          <w:i/>
          <w:iCs/>
          <w:sz w:val="24"/>
          <w:szCs w:val="24"/>
        </w:rPr>
        <w:t>AC</w:t>
      </w:r>
      <w:r w:rsidRPr="5E2181D6">
        <w:rPr>
          <w:sz w:val="24"/>
          <w:szCs w:val="24"/>
        </w:rPr>
        <w:t> = 412.5 mm, which verifies that top-down cracking due to surface tensile strain is not the governing distress.</w:t>
      </w:r>
    </w:p>
    <w:p w14:paraId="1D6D1E90" w14:textId="77777777" w:rsidR="00621602" w:rsidRPr="005E780E" w:rsidRDefault="00621602" w:rsidP="00056869">
      <w:pPr>
        <w:pStyle w:val="NoSpacing"/>
      </w:pPr>
      <w:r w:rsidRPr="005E780E">
        <w:rPr>
          <w:noProof/>
        </w:rPr>
        <w:drawing>
          <wp:inline distT="0" distB="0" distL="0" distR="0" wp14:anchorId="1B4FA436" wp14:editId="478CC40B">
            <wp:extent cx="2743200" cy="2770632"/>
            <wp:effectExtent l="0" t="0" r="0" b="0"/>
            <wp:docPr id="5" name="Picture 5"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70632"/>
                    </a:xfrm>
                    <a:prstGeom prst="rect">
                      <a:avLst/>
                    </a:prstGeom>
                    <a:noFill/>
                    <a:ln>
                      <a:noFill/>
                    </a:ln>
                  </pic:spPr>
                </pic:pic>
              </a:graphicData>
            </a:graphic>
          </wp:inline>
        </w:drawing>
      </w:r>
    </w:p>
    <w:p w14:paraId="7E3A4144" w14:textId="253146E1" w:rsidR="00621602" w:rsidRPr="005E780E" w:rsidRDefault="00621602" w:rsidP="00056869">
      <w:pPr>
        <w:pStyle w:val="NoSpacing"/>
      </w:pPr>
      <w:r w:rsidRPr="5E2181D6">
        <w:rPr>
          <w:b/>
          <w:bCs/>
        </w:rPr>
        <w:t>Figure 3.</w:t>
      </w:r>
      <w:r w:rsidRPr="5E2181D6">
        <w:t> Ratio of the allowable number of repetitions to failure comparing DTA with NG-WBT for thick pavement structures: (a) </w:t>
      </w:r>
      <m:oMath>
        <m:r>
          <w:rPr>
            <w:rFonts w:ascii="Cambria Math" w:hAnsi="Cambria Math"/>
          </w:rPr>
          <m:t>DW</m:t>
        </m:r>
      </m:oMath>
      <w:r w:rsidRPr="5E2181D6">
        <w:t> for bottom-up cracking; (b)</w:t>
      </w:r>
      <w:r w:rsidR="00402363" w:rsidRPr="00402363">
        <w:rPr>
          <w:rFonts w:ascii="Cambria Math" w:hAnsi="Cambria Math"/>
          <w:i/>
        </w:rPr>
        <w:t xml:space="preserve"> </w:t>
      </w:r>
      <m:oMath>
        <m:r>
          <w:rPr>
            <w:rFonts w:ascii="Cambria Math" w:hAnsi="Cambria Math"/>
          </w:rPr>
          <m:t>DW</m:t>
        </m:r>
      </m:oMath>
      <w:r w:rsidRPr="5E2181D6">
        <w:t> for top-down cracking due to tensile strain; (c) </w:t>
      </w:r>
      <m:oMath>
        <m:r>
          <w:rPr>
            <w:rFonts w:ascii="Cambria Math" w:hAnsi="Cambria Math"/>
          </w:rPr>
          <m:t>DW</m:t>
        </m:r>
      </m:oMath>
      <w:r w:rsidRPr="5E2181D6">
        <w:t> for top-down cracking due to shear strain; (d) </w:t>
      </w:r>
      <m:oMath>
        <m:r>
          <w:rPr>
            <w:rFonts w:ascii="Cambria Math" w:hAnsi="Cambria Math"/>
          </w:rPr>
          <m:t>DW</m:t>
        </m:r>
      </m:oMath>
      <w:r w:rsidR="00402363" w:rsidRPr="5E2181D6">
        <w:t xml:space="preserve"> </w:t>
      </w:r>
      <w:r w:rsidRPr="5E2181D6">
        <w:t>for AC rutting; (e) </w:t>
      </w:r>
      <m:oMath>
        <m:r>
          <w:rPr>
            <w:rFonts w:ascii="Cambria Math" w:hAnsi="Cambria Math"/>
          </w:rPr>
          <m:t>DW</m:t>
        </m:r>
      </m:oMath>
      <w:r w:rsidRPr="5E2181D6">
        <w:t> for subgrade rutting; (f) CDW considering all five distresses.</w:t>
      </w:r>
    </w:p>
    <w:p w14:paraId="42FC9AE0" w14:textId="4AB96592" w:rsidR="5E2181D6" w:rsidRDefault="5E2181D6" w:rsidP="5E2181D6">
      <w:pPr>
        <w:rPr>
          <w:sz w:val="24"/>
          <w:szCs w:val="24"/>
        </w:rPr>
      </w:pPr>
    </w:p>
    <w:p w14:paraId="1BE6CE6F" w14:textId="31BE0ABB" w:rsidR="00621602" w:rsidRPr="005E780E" w:rsidRDefault="00621602" w:rsidP="00621602">
      <w:pPr>
        <w:rPr>
          <w:rFonts w:cstheme="minorHAnsi"/>
          <w:sz w:val="24"/>
          <w:szCs w:val="24"/>
        </w:rPr>
      </w:pPr>
      <w:r w:rsidRPr="005E780E">
        <w:rPr>
          <w:rFonts w:cstheme="minorHAnsi"/>
          <w:sz w:val="24"/>
          <w:szCs w:val="24"/>
        </w:rPr>
        <w:t>On the other hand,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TDS</m:t>
            </m:r>
          </m:sub>
        </m:sSub>
      </m:oMath>
      <w:r w:rsidRPr="005E780E">
        <w:rPr>
          <w:rFonts w:cstheme="minorHAnsi"/>
          <w:sz w:val="24"/>
          <w:szCs w:val="24"/>
        </w:rPr>
        <w:t> significantly increased as the applied load became greater than 26.6 kN, as observed in </w:t>
      </w:r>
      <w:r w:rsidRPr="008130D4">
        <w:rPr>
          <w:rFonts w:cstheme="minorHAnsi"/>
          <w:sz w:val="24"/>
          <w:szCs w:val="24"/>
        </w:rPr>
        <w:t>Figure 3</w:t>
      </w:r>
      <w:r w:rsidRPr="008130D4">
        <w:rPr>
          <w:rFonts w:cstheme="minorHAnsi"/>
          <w:i/>
          <w:iCs/>
          <w:sz w:val="24"/>
          <w:szCs w:val="24"/>
        </w:rPr>
        <w:t>c</w:t>
      </w:r>
      <w:r w:rsidRPr="005E780E">
        <w:rPr>
          <w:rFonts w:cstheme="minorHAnsi"/>
          <w:sz w:val="24"/>
          <w:szCs w:val="24"/>
        </w:rPr>
        <w:t>. This increase was predominant when the AC layer was 412.5 mm thick and </w:t>
      </w:r>
      <w:r w:rsidRPr="005E780E">
        <w:rPr>
          <w:rFonts w:cstheme="minorHAnsi"/>
          <w:i/>
          <w:iCs/>
          <w:sz w:val="24"/>
          <w:szCs w:val="24"/>
        </w:rPr>
        <w:t>P</w:t>
      </w:r>
      <w:r w:rsidRPr="005E780E">
        <w:rPr>
          <w:rFonts w:cstheme="minorHAnsi"/>
          <w:sz w:val="24"/>
          <w:szCs w:val="24"/>
        </w:rPr>
        <w:t> = 80 kN, in which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TDS</m:t>
            </m:r>
          </m:sub>
        </m:sSub>
      </m:oMath>
      <w:r w:rsidRPr="005E780E">
        <w:rPr>
          <w:rFonts w:cstheme="minorHAnsi"/>
          <w:sz w:val="24"/>
          <w:szCs w:val="24"/>
        </w:rPr>
        <w:t> ranged from 8.7 to 10.8. One could infer that for thick pavements, the effect of the critical shear strain within the AC had a relatively high impact on near-surface damage, most especially under NG-WBT loading.</w:t>
      </w:r>
    </w:p>
    <w:p w14:paraId="008A2E34" w14:textId="44917F95" w:rsidR="00621602" w:rsidRPr="005E780E" w:rsidRDefault="00621602" w:rsidP="00621602">
      <w:pPr>
        <w:rPr>
          <w:rFonts w:cstheme="minorHAnsi"/>
          <w:sz w:val="24"/>
          <w:szCs w:val="24"/>
        </w:rPr>
      </w:pPr>
      <w:r w:rsidRPr="005E780E">
        <w:rPr>
          <w:rFonts w:cstheme="minorHAnsi"/>
          <w:sz w:val="24"/>
          <w:szCs w:val="24"/>
        </w:rPr>
        <w:t>Based on </w:t>
      </w:r>
      <w:r w:rsidRPr="008130D4">
        <w:rPr>
          <w:rFonts w:cstheme="minorHAnsi"/>
          <w:sz w:val="24"/>
          <w:szCs w:val="24"/>
        </w:rPr>
        <w:t>Figure 3</w:t>
      </w:r>
      <w:r w:rsidRPr="008130D4">
        <w:rPr>
          <w:rFonts w:cstheme="minorHAnsi"/>
          <w:i/>
          <w:iCs/>
          <w:sz w:val="24"/>
          <w:szCs w:val="24"/>
        </w:rPr>
        <w:t>d</w:t>
      </w:r>
      <w:r w:rsidRPr="005E780E">
        <w:rPr>
          <w:rFonts w:cstheme="minorHAnsi"/>
          <w:sz w:val="24"/>
          <w:szCs w:val="24"/>
        </w:rPr>
        <w:t>,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oMath>
      <w:r w:rsidRPr="005E780E">
        <w:rPr>
          <w:rFonts w:cstheme="minorHAnsi"/>
          <w:sz w:val="24"/>
          <w:szCs w:val="24"/>
        </w:rPr>
        <w:t> were relatively low and resulted in values equal to or less than 1.5 for most cases, which indicates that the difference between DTA and NG-WBT is not as significant. However, under </w:t>
      </w:r>
      <w:r w:rsidRPr="005E780E">
        <w:rPr>
          <w:rFonts w:cstheme="minorHAnsi"/>
          <w:i/>
          <w:iCs/>
          <w:sz w:val="24"/>
          <w:szCs w:val="24"/>
        </w:rPr>
        <w:t>P</w:t>
      </w:r>
      <w:r w:rsidRPr="005E780E">
        <w:rPr>
          <w:rFonts w:cstheme="minorHAnsi"/>
          <w:sz w:val="24"/>
          <w:szCs w:val="24"/>
        </w:rPr>
        <w:t> = 80 kN and </w:t>
      </w:r>
      <w:r w:rsidRPr="005E780E">
        <w:rPr>
          <w:rFonts w:cstheme="minorHAnsi"/>
          <w:i/>
          <w:iCs/>
          <w:sz w:val="24"/>
          <w:szCs w:val="24"/>
        </w:rPr>
        <w:t>S</w:t>
      </w:r>
      <w:r w:rsidRPr="005E780E">
        <w:rPr>
          <w:rFonts w:cstheme="minorHAnsi"/>
          <w:sz w:val="24"/>
          <w:szCs w:val="24"/>
        </w:rPr>
        <w:t> = 862 kPa, DTA resulted in higher allowable repetitions than NG-WBT as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RH</m:t>
            </m:r>
          </m:sub>
        </m:sSub>
      </m:oMath>
      <w:r w:rsidRPr="005E780E">
        <w:rPr>
          <w:rFonts w:cstheme="minorHAnsi"/>
          <w:sz w:val="24"/>
          <w:szCs w:val="24"/>
        </w:rPr>
        <w:t> increased up to 2.4. Similarly,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RS</m:t>
            </m:r>
          </m:sub>
        </m:sSub>
      </m:oMath>
      <w:r w:rsidRPr="005E780E">
        <w:rPr>
          <w:rFonts w:cstheme="minorHAnsi"/>
          <w:sz w:val="24"/>
          <w:szCs w:val="24"/>
        </w:rPr>
        <w:t> ranged from 1.1 to 2.1, as seen in </w:t>
      </w:r>
      <w:r w:rsidRPr="008130D4">
        <w:rPr>
          <w:rFonts w:cstheme="minorHAnsi"/>
          <w:sz w:val="24"/>
          <w:szCs w:val="24"/>
        </w:rPr>
        <w:t>Figure 3</w:t>
      </w:r>
      <w:r w:rsidRPr="008130D4">
        <w:rPr>
          <w:rFonts w:cstheme="minorHAnsi"/>
          <w:i/>
          <w:iCs/>
          <w:sz w:val="24"/>
          <w:szCs w:val="24"/>
        </w:rPr>
        <w:t>e</w:t>
      </w:r>
      <w:r w:rsidRPr="005E780E">
        <w:rPr>
          <w:rFonts w:cstheme="minorHAnsi"/>
          <w:sz w:val="24"/>
          <w:szCs w:val="24"/>
        </w:rPr>
        <w:t>. Comparing the four pavement structures,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RS</m:t>
            </m:r>
          </m:sub>
        </m:sSub>
      </m:oMath>
      <w:r w:rsidRPr="005E780E">
        <w:rPr>
          <w:rFonts w:cstheme="minorHAnsi"/>
          <w:sz w:val="24"/>
          <w:szCs w:val="24"/>
        </w:rPr>
        <w:t> was the highest when AC = 125 mm and B = 150 mm, whereas the minimal difference between DTA and NG-WBT was observed for the remaining three thick pavement structures. Combining all the five distresses, the resulting </w:t>
      </w:r>
      <m:oMath>
        <m:r>
          <w:rPr>
            <w:rFonts w:ascii="Cambria Math" w:hAnsi="Cambria Math" w:cstheme="minorHAnsi"/>
            <w:sz w:val="24"/>
            <w:szCs w:val="24"/>
          </w:rPr>
          <m:t>CDW</m:t>
        </m:r>
      </m:oMath>
      <w:r w:rsidRPr="005E780E">
        <w:rPr>
          <w:rFonts w:cstheme="minorHAnsi"/>
          <w:sz w:val="24"/>
          <w:szCs w:val="24"/>
        </w:rPr>
        <w:t> varied from 1.0 to 3.8 (</w:t>
      </w:r>
      <w:r w:rsidRPr="008130D4">
        <w:rPr>
          <w:rFonts w:cstheme="minorHAnsi"/>
          <w:sz w:val="24"/>
          <w:szCs w:val="24"/>
        </w:rPr>
        <w:t>Figure 3</w:t>
      </w:r>
      <w:r w:rsidRPr="008130D4">
        <w:rPr>
          <w:rFonts w:cstheme="minorHAnsi"/>
          <w:i/>
          <w:iCs/>
          <w:sz w:val="24"/>
          <w:szCs w:val="24"/>
        </w:rPr>
        <w:t>f</w:t>
      </w:r>
      <w:r w:rsidRPr="005E780E">
        <w:rPr>
          <w:rFonts w:cstheme="minorHAnsi"/>
          <w:sz w:val="24"/>
          <w:szCs w:val="24"/>
        </w:rPr>
        <w:t>). Consequently, for an applied load of 44.4 kN, the </w:t>
      </w:r>
      <m:oMath>
        <m:r>
          <w:rPr>
            <w:rFonts w:ascii="Cambria Math" w:hAnsi="Cambria Math" w:cstheme="minorHAnsi"/>
            <w:sz w:val="24"/>
            <w:szCs w:val="24"/>
          </w:rPr>
          <m:t>CDW</m:t>
        </m:r>
      </m:oMath>
      <w:r w:rsidR="002679EC">
        <w:rPr>
          <w:rFonts w:cstheme="minorHAnsi"/>
          <w:sz w:val="24"/>
          <w:szCs w:val="24"/>
        </w:rPr>
        <w:t xml:space="preserve"> </w:t>
      </w:r>
      <w:r w:rsidRPr="005E780E">
        <w:rPr>
          <w:rFonts w:cstheme="minorHAnsi"/>
          <w:sz w:val="24"/>
          <w:szCs w:val="24"/>
        </w:rPr>
        <w:t>remained relatively similar despite the change in pavement layer thickness, in which the ratios range from 1.7 to 2.1.</w:t>
      </w:r>
    </w:p>
    <w:p w14:paraId="501B2501" w14:textId="77777777" w:rsidR="00621602" w:rsidRPr="005E780E" w:rsidRDefault="00621602" w:rsidP="00621602">
      <w:pPr>
        <w:rPr>
          <w:rFonts w:cstheme="minorHAnsi"/>
          <w:sz w:val="24"/>
          <w:szCs w:val="24"/>
        </w:rPr>
      </w:pPr>
      <w:r w:rsidRPr="005E780E">
        <w:rPr>
          <w:rFonts w:cstheme="minorHAnsi"/>
          <w:sz w:val="24"/>
          <w:szCs w:val="24"/>
        </w:rPr>
        <w:t>The damage induced by DTA with differential tire-inflation pressure (</w:t>
      </w:r>
      <w:r w:rsidRPr="005E780E">
        <w:rPr>
          <w:rFonts w:cstheme="minorHAnsi"/>
          <w:i/>
          <w:iCs/>
          <w:sz w:val="24"/>
          <w:szCs w:val="24"/>
        </w:rPr>
        <w:t>S</w:t>
      </w:r>
      <w:r w:rsidRPr="005E780E">
        <w:rPr>
          <w:rFonts w:cstheme="minorHAnsi"/>
          <w:sz w:val="24"/>
          <w:szCs w:val="24"/>
        </w:rPr>
        <w:t> = 552/758 kPa) and an applied load of 26.6 kN was higher than the DTA loading case subjected to 44.4 kN and uniform tire-inflation pressure of 758 kPa. The difference was higher for low-volume roads than for interstate highways. In general, the impact of NG-WBT is less on interstate highway structure than on low-volume roads.</w:t>
      </w:r>
    </w:p>
    <w:p w14:paraId="3C678655" w14:textId="77777777" w:rsidR="00621602" w:rsidRPr="005E780E" w:rsidRDefault="00621602" w:rsidP="5E2181D6">
      <w:pPr>
        <w:pStyle w:val="Heading1"/>
        <w:rPr>
          <w:rFonts w:ascii="Calibri Light" w:eastAsia="MS Gothic" w:hAnsi="Calibri Light" w:cs="Times New Roman"/>
        </w:rPr>
      </w:pPr>
      <w:bookmarkStart w:id="4" w:name="_i12"/>
      <w:bookmarkEnd w:id="4"/>
      <w:r>
        <w:t>Adjustment Factors</w:t>
      </w:r>
    </w:p>
    <w:p w14:paraId="6A99508E" w14:textId="30542866" w:rsidR="00621602" w:rsidRPr="005E780E" w:rsidRDefault="00621602" w:rsidP="00621602">
      <w:pPr>
        <w:rPr>
          <w:rFonts w:cstheme="minorHAnsi"/>
          <w:sz w:val="24"/>
          <w:szCs w:val="24"/>
        </w:rPr>
      </w:pPr>
      <w:r w:rsidRPr="005E780E">
        <w:rPr>
          <w:rFonts w:cstheme="minorHAnsi"/>
          <w:sz w:val="24"/>
          <w:szCs w:val="24"/>
        </w:rPr>
        <w:t>Although the MEPDG has a more theoretically grounded methodology for pavement analysis, as compared with traditional pavement design guides, it has several limitations and unrealistic simplifications that may result in inaccurate response predictions. These limitations and simplifications are mostly caused by the assumptions resulting from the use of multi-layered elastic theory (</w:t>
      </w:r>
      <w:r w:rsidRPr="008130D4">
        <w:rPr>
          <w:rFonts w:cstheme="minorHAnsi"/>
          <w:i/>
          <w:iCs/>
          <w:sz w:val="24"/>
          <w:szCs w:val="24"/>
        </w:rPr>
        <w:t>27</w:t>
      </w:r>
      <w:r w:rsidRPr="005E780E">
        <w:rPr>
          <w:rFonts w:cstheme="minorHAnsi"/>
          <w:sz w:val="24"/>
          <w:szCs w:val="24"/>
        </w:rPr>
        <w:t>). The FE model presented in this study can overcome these limitations by simulating tire–pavement interaction more realistically. However, it is computationally too expensive to adopt an FE model into the MEPDG framework. Therefore, two factors were created to adjust the pavement responses obtained from MEPDG in accordance with the developed FE model.</w:t>
      </w:r>
    </w:p>
    <w:p w14:paraId="16B44416" w14:textId="77777777" w:rsidR="00621602" w:rsidRPr="005E780E" w:rsidRDefault="00621602" w:rsidP="00621602">
      <w:pPr>
        <w:rPr>
          <w:rFonts w:cstheme="minorHAnsi"/>
          <w:sz w:val="24"/>
          <w:szCs w:val="24"/>
        </w:rPr>
      </w:pPr>
      <w:r w:rsidRPr="005E780E">
        <w:rPr>
          <w:rFonts w:cstheme="minorHAnsi"/>
          <w:sz w:val="24"/>
          <w:szCs w:val="24"/>
        </w:rPr>
        <w:t>Adjustment Factor 2, AF2, adjusts the pavement responses obtained from MEPDG under DTA loading. The mechanistic part of the MEPDG procedure was implemented by exploiting the capabilities of Matlab and AutoHotkey. The main steps of implementing the MEPDG procedure are:</w:t>
      </w:r>
    </w:p>
    <w:p w14:paraId="1CA4B412" w14:textId="77777777" w:rsidR="00621602" w:rsidRPr="005E780E" w:rsidRDefault="00621602" w:rsidP="00621602">
      <w:pPr>
        <w:numPr>
          <w:ilvl w:val="0"/>
          <w:numId w:val="50"/>
        </w:numPr>
        <w:rPr>
          <w:rFonts w:cstheme="minorHAnsi"/>
          <w:sz w:val="24"/>
          <w:szCs w:val="24"/>
        </w:rPr>
      </w:pPr>
      <w:r w:rsidRPr="005E780E">
        <w:rPr>
          <w:rFonts w:cstheme="minorHAnsi"/>
          <w:sz w:val="24"/>
          <w:szCs w:val="24"/>
        </w:rPr>
        <w:t>Subdivision of pavement structure in sublayers</w:t>
      </w:r>
    </w:p>
    <w:p w14:paraId="759CD33A" w14:textId="77777777" w:rsidR="00621602" w:rsidRPr="005E780E" w:rsidRDefault="00621602" w:rsidP="00621602">
      <w:pPr>
        <w:numPr>
          <w:ilvl w:val="0"/>
          <w:numId w:val="50"/>
        </w:numPr>
        <w:rPr>
          <w:rFonts w:cstheme="minorHAnsi"/>
          <w:sz w:val="24"/>
          <w:szCs w:val="24"/>
        </w:rPr>
      </w:pPr>
      <w:r w:rsidRPr="005E780E">
        <w:rPr>
          <w:rFonts w:cstheme="minorHAnsi"/>
          <w:sz w:val="24"/>
          <w:szCs w:val="24"/>
        </w:rPr>
        <w:t>Calculation of dynamic modulus at mid-depth of each sublayer</w:t>
      </w:r>
    </w:p>
    <w:p w14:paraId="1C605D38" w14:textId="77777777" w:rsidR="00621602" w:rsidRPr="005E780E" w:rsidRDefault="00621602" w:rsidP="00621602">
      <w:pPr>
        <w:numPr>
          <w:ilvl w:val="0"/>
          <w:numId w:val="50"/>
        </w:numPr>
        <w:rPr>
          <w:rFonts w:cstheme="minorHAnsi"/>
          <w:sz w:val="24"/>
          <w:szCs w:val="24"/>
        </w:rPr>
      </w:pPr>
      <w:r w:rsidRPr="005E780E">
        <w:rPr>
          <w:rFonts w:cstheme="minorHAnsi"/>
          <w:sz w:val="24"/>
          <w:szCs w:val="24"/>
        </w:rPr>
        <w:t>Creation of input file</w:t>
      </w:r>
    </w:p>
    <w:p w14:paraId="37E4FEA4" w14:textId="77777777" w:rsidR="00621602" w:rsidRPr="005E780E" w:rsidRDefault="00621602" w:rsidP="00621602">
      <w:pPr>
        <w:numPr>
          <w:ilvl w:val="0"/>
          <w:numId w:val="50"/>
        </w:numPr>
        <w:rPr>
          <w:rFonts w:cstheme="minorHAnsi"/>
          <w:sz w:val="24"/>
          <w:szCs w:val="24"/>
        </w:rPr>
      </w:pPr>
      <w:r w:rsidRPr="005E780E">
        <w:rPr>
          <w:rFonts w:cstheme="minorHAnsi"/>
          <w:sz w:val="24"/>
          <w:szCs w:val="24"/>
        </w:rPr>
        <w:t>Running JULEA (Linear Elastic Computer Program used by MEPDG)</w:t>
      </w:r>
    </w:p>
    <w:p w14:paraId="6709B67D" w14:textId="77777777" w:rsidR="00621602" w:rsidRPr="005E780E" w:rsidRDefault="00621602" w:rsidP="00621602">
      <w:pPr>
        <w:numPr>
          <w:ilvl w:val="0"/>
          <w:numId w:val="50"/>
        </w:numPr>
        <w:rPr>
          <w:rFonts w:cstheme="minorHAnsi"/>
          <w:sz w:val="24"/>
          <w:szCs w:val="24"/>
        </w:rPr>
      </w:pPr>
      <w:r w:rsidRPr="005E780E">
        <w:rPr>
          <w:rFonts w:cstheme="minorHAnsi"/>
          <w:sz w:val="24"/>
          <w:szCs w:val="24"/>
        </w:rPr>
        <w:t>Post-processing to obtain pavement responses</w:t>
      </w:r>
    </w:p>
    <w:p w14:paraId="7AAABC3D" w14:textId="2A20BDB7" w:rsidR="00621602" w:rsidRPr="005E780E" w:rsidRDefault="00621602" w:rsidP="5E2181D6">
      <w:pPr>
        <w:rPr>
          <w:sz w:val="24"/>
          <w:szCs w:val="24"/>
        </w:rPr>
      </w:pPr>
      <w:r w:rsidRPr="5E2181D6">
        <w:rPr>
          <w:sz w:val="24"/>
          <w:szCs w:val="24"/>
        </w:rPr>
        <w:t>Differences in loading conditions between FE and MEPDG (three-dimensionality and non-uniformity of the contact stresses), material characterization, and layer interaction introduce serious challenges that complicate the development of AF2. To obtain statistically good correlation for AF2, the cases were divided into three categories: (i) thick pavement, (ii) thin pavement with strong base material, and (iii) thin pavement with weak base material. A sample of AF2 is given for only two responses in </w:t>
      </w:r>
      <w:r w:rsidRPr="008130D4">
        <w:rPr>
          <w:sz w:val="24"/>
          <w:szCs w:val="24"/>
        </w:rPr>
        <w:t>Figure 4</w:t>
      </w:r>
      <w:r w:rsidRPr="5E2181D6">
        <w:rPr>
          <w:sz w:val="24"/>
          <w:szCs w:val="24"/>
        </w:rPr>
        <w:t>. Details about AF2 development and the results for all responses can be found in Gungor et al. (</w:t>
      </w:r>
      <w:r w:rsidRPr="008130D4">
        <w:rPr>
          <w:i/>
          <w:iCs/>
          <w:sz w:val="24"/>
          <w:szCs w:val="24"/>
        </w:rPr>
        <w:t>27</w:t>
      </w:r>
      <w:r w:rsidRPr="5E2181D6">
        <w:rPr>
          <w:sz w:val="24"/>
          <w:szCs w:val="24"/>
        </w:rPr>
        <w:t>).</w:t>
      </w:r>
    </w:p>
    <w:p w14:paraId="03046068" w14:textId="77777777" w:rsidR="00621602" w:rsidRPr="005E780E" w:rsidRDefault="00621602" w:rsidP="004260BF">
      <w:pPr>
        <w:pStyle w:val="NoSpacing"/>
      </w:pPr>
      <w:r w:rsidRPr="005E780E">
        <w:rPr>
          <w:noProof/>
        </w:rPr>
        <w:drawing>
          <wp:inline distT="0" distB="0" distL="0" distR="0" wp14:anchorId="252A618D" wp14:editId="4B2FF491">
            <wp:extent cx="2743200" cy="786384"/>
            <wp:effectExtent l="0" t="0" r="0" b="0"/>
            <wp:docPr id="4" name="Picture 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786384"/>
                    </a:xfrm>
                    <a:prstGeom prst="rect">
                      <a:avLst/>
                    </a:prstGeom>
                    <a:noFill/>
                    <a:ln>
                      <a:noFill/>
                    </a:ln>
                  </pic:spPr>
                </pic:pic>
              </a:graphicData>
            </a:graphic>
          </wp:inline>
        </w:drawing>
      </w:r>
    </w:p>
    <w:p w14:paraId="59F32D27" w14:textId="77777777" w:rsidR="00621602" w:rsidRPr="005E780E" w:rsidRDefault="00621602" w:rsidP="004260BF">
      <w:pPr>
        <w:pStyle w:val="NoSpacing"/>
      </w:pPr>
      <w:r w:rsidRPr="5E2181D6">
        <w:rPr>
          <w:b/>
          <w:bCs/>
        </w:rPr>
        <w:t>Figure 4.</w:t>
      </w:r>
      <w:r w:rsidRPr="5E2181D6">
        <w:t> Maximum compressive strain within base for strong and weak base layers, respectively.</w:t>
      </w:r>
    </w:p>
    <w:p w14:paraId="493B38D5" w14:textId="26454D84" w:rsidR="5E2181D6" w:rsidRDefault="5E2181D6" w:rsidP="5E2181D6">
      <w:pPr>
        <w:rPr>
          <w:sz w:val="24"/>
          <w:szCs w:val="24"/>
        </w:rPr>
      </w:pPr>
    </w:p>
    <w:p w14:paraId="611813ED" w14:textId="68484F8F" w:rsidR="00621602" w:rsidRPr="005E780E" w:rsidRDefault="00621602" w:rsidP="5E2181D6">
      <w:pPr>
        <w:rPr>
          <w:sz w:val="24"/>
          <w:szCs w:val="24"/>
        </w:rPr>
      </w:pPr>
      <w:r w:rsidRPr="5E2181D6">
        <w:rPr>
          <w:sz w:val="24"/>
          <w:szCs w:val="24"/>
        </w:rPr>
        <w:t>Adjustment Factor 1, AF1, was developed to convert the response resulting from DTA into NG-WBT because MEPDG cannot simulate NG-WBT. AF1 was created considering the same material properties and pavement structures. The only difference was the contact stresses and contact areas, which were measured under the same tire load for NG-WBT and DTA. AF1 is presented as a linear function of the DTA response, and a sample for two responses is provided in </w:t>
      </w:r>
      <w:r w:rsidRPr="008130D4">
        <w:rPr>
          <w:sz w:val="24"/>
          <w:szCs w:val="24"/>
        </w:rPr>
        <w:t>Figure 5</w:t>
      </w:r>
      <w:r w:rsidRPr="5E2181D6">
        <w:rPr>
          <w:sz w:val="24"/>
          <w:szCs w:val="24"/>
        </w:rPr>
        <w:t>. The full list of all the responses can be found in Gungor et al. (</w:t>
      </w:r>
      <w:r w:rsidRPr="008130D4">
        <w:rPr>
          <w:i/>
          <w:iCs/>
          <w:sz w:val="24"/>
          <w:szCs w:val="24"/>
        </w:rPr>
        <w:t>28</w:t>
      </w:r>
      <w:r w:rsidRPr="5E2181D6">
        <w:rPr>
          <w:sz w:val="24"/>
          <w:szCs w:val="24"/>
        </w:rPr>
        <w:t>).</w:t>
      </w:r>
    </w:p>
    <w:p w14:paraId="73C14502" w14:textId="77777777" w:rsidR="00621602" w:rsidRPr="005E780E" w:rsidRDefault="00621602" w:rsidP="004260BF">
      <w:pPr>
        <w:pStyle w:val="NoSpacing"/>
      </w:pPr>
      <w:r w:rsidRPr="005E780E">
        <w:rPr>
          <w:noProof/>
        </w:rPr>
        <w:drawing>
          <wp:inline distT="0" distB="0" distL="0" distR="0" wp14:anchorId="56170BCE" wp14:editId="09C642DC">
            <wp:extent cx="2743200" cy="850392"/>
            <wp:effectExtent l="0" t="0" r="0" b="6985"/>
            <wp:docPr id="3" name="Picture 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                        figure&#10;                    ">
                      <a:hlinkClick r:id="rId10" tooltip="&quot;Open Figure View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850392"/>
                    </a:xfrm>
                    <a:prstGeom prst="rect">
                      <a:avLst/>
                    </a:prstGeom>
                    <a:noFill/>
                    <a:ln>
                      <a:noFill/>
                    </a:ln>
                  </pic:spPr>
                </pic:pic>
              </a:graphicData>
            </a:graphic>
          </wp:inline>
        </w:drawing>
      </w:r>
    </w:p>
    <w:p w14:paraId="58815CBB" w14:textId="77777777" w:rsidR="00621602" w:rsidRPr="005E780E" w:rsidRDefault="00621602" w:rsidP="004260BF">
      <w:pPr>
        <w:pStyle w:val="NoSpacing"/>
      </w:pPr>
      <w:r w:rsidRPr="5E2181D6">
        <w:rPr>
          <w:b/>
          <w:bCs/>
        </w:rPr>
        <w:t>Figure 5.</w:t>
      </w:r>
      <w:r w:rsidRPr="5E2181D6">
        <w:t> Maximum tensile strain at the bottom of the AC along the longitudinal and transverse direction, respectively.</w:t>
      </w:r>
    </w:p>
    <w:p w14:paraId="75CF4746" w14:textId="77777777" w:rsidR="00621602" w:rsidRPr="005E780E" w:rsidRDefault="00621602" w:rsidP="5E2181D6">
      <w:pPr>
        <w:pStyle w:val="Heading1"/>
        <w:rPr>
          <w:rFonts w:ascii="Calibri Light" w:eastAsia="MS Gothic" w:hAnsi="Calibri Light" w:cs="Times New Roman"/>
        </w:rPr>
      </w:pPr>
      <w:bookmarkStart w:id="5" w:name="_i15"/>
      <w:bookmarkEnd w:id="5"/>
      <w:r>
        <w:t>Artificial Neural Network</w:t>
      </w:r>
    </w:p>
    <w:p w14:paraId="2BEE445D" w14:textId="451B39EB" w:rsidR="00621602" w:rsidRPr="005E780E" w:rsidRDefault="00621602" w:rsidP="00621602">
      <w:pPr>
        <w:rPr>
          <w:rFonts w:cstheme="minorHAnsi"/>
          <w:sz w:val="24"/>
          <w:szCs w:val="24"/>
        </w:rPr>
      </w:pPr>
      <w:r w:rsidRPr="005E780E">
        <w:rPr>
          <w:rFonts w:cstheme="minorHAnsi"/>
          <w:sz w:val="24"/>
          <w:szCs w:val="24"/>
        </w:rPr>
        <w:t>ANN modeling was used as a prediction tool to estimate pavement responses because of the technical and computational challenges of calculating pavement responses for every possible combination of input variables using the FE method. In this study, multilayer perceptron (MLP) with Levenberg–Marquardt, a fast adoptive training algorithm, was used for training all models. The sigmoidal function was also utilized for the hidden layer. Details about the ANN methodology are well established in the literature and can be found elsewhere (</w:t>
      </w:r>
      <w:r w:rsidRPr="008130D4">
        <w:rPr>
          <w:rFonts w:cstheme="minorHAnsi"/>
          <w:i/>
          <w:iCs/>
          <w:sz w:val="24"/>
          <w:szCs w:val="24"/>
        </w:rPr>
        <w:t>29</w:t>
      </w:r>
      <w:r w:rsidRPr="005E780E">
        <w:rPr>
          <w:rFonts w:cstheme="minorHAnsi"/>
          <w:i/>
          <w:iCs/>
          <w:sz w:val="24"/>
          <w:szCs w:val="24"/>
        </w:rPr>
        <w:t>,</w:t>
      </w:r>
      <w:r w:rsidRPr="008130D4">
        <w:rPr>
          <w:rFonts w:cstheme="minorHAnsi"/>
          <w:i/>
          <w:iCs/>
          <w:sz w:val="24"/>
          <w:szCs w:val="24"/>
        </w:rPr>
        <w:t>30</w:t>
      </w:r>
      <w:r w:rsidRPr="005E780E">
        <w:rPr>
          <w:rFonts w:cstheme="minorHAnsi"/>
          <w:sz w:val="24"/>
          <w:szCs w:val="24"/>
        </w:rPr>
        <w:t>).</w:t>
      </w:r>
    </w:p>
    <w:p w14:paraId="6EC1680B" w14:textId="11C1924F" w:rsidR="00621602" w:rsidRPr="005E780E" w:rsidRDefault="00621602" w:rsidP="00621602">
      <w:pPr>
        <w:rPr>
          <w:rFonts w:cstheme="minorHAnsi"/>
          <w:sz w:val="24"/>
          <w:szCs w:val="24"/>
        </w:rPr>
      </w:pPr>
      <w:r w:rsidRPr="005E780E">
        <w:rPr>
          <w:rFonts w:cstheme="minorHAnsi"/>
          <w:sz w:val="24"/>
          <w:szCs w:val="24"/>
        </w:rPr>
        <w:t>Given the cases simulated via FE method, ANN models interpolate the responses for any arbitrary case within the analysis matrix, for a fraction of a second relative to FE simulation time. Eleven responses, including longitudinal and transverse strains at surface and bottom of AC and vertical and shear strains in base and top of subgrade, were calculated. Critical variables affecting the responses, categorized as either loading or structure, were used as input. Detailed information regarding model development process and training results can be found elsewhere (</w:t>
      </w:r>
      <w:r w:rsidRPr="008130D4">
        <w:rPr>
          <w:rFonts w:cstheme="minorHAnsi"/>
          <w:i/>
          <w:iCs/>
          <w:sz w:val="24"/>
          <w:szCs w:val="24"/>
        </w:rPr>
        <w:t>30</w:t>
      </w:r>
      <w:r w:rsidRPr="005E780E">
        <w:rPr>
          <w:rFonts w:cstheme="minorHAnsi"/>
          <w:sz w:val="24"/>
          <w:szCs w:val="24"/>
        </w:rPr>
        <w:t>).</w:t>
      </w:r>
    </w:p>
    <w:p w14:paraId="0CC15A0C" w14:textId="77777777" w:rsidR="00621602" w:rsidRPr="005E780E" w:rsidRDefault="00621602" w:rsidP="00621602">
      <w:pPr>
        <w:rPr>
          <w:rFonts w:cstheme="minorHAnsi"/>
          <w:sz w:val="24"/>
          <w:szCs w:val="24"/>
        </w:rPr>
      </w:pPr>
      <w:r w:rsidRPr="005E780E">
        <w:rPr>
          <w:rFonts w:cstheme="minorHAnsi"/>
          <w:sz w:val="24"/>
          <w:szCs w:val="24"/>
        </w:rPr>
        <w:t>The material properties, especially complex modulus, are not readily available. Therefore, two levels of input properties were defined to account for data availability issues: Level 1 for detailed material properties and Level 2 for modulus of each layer at room temperature only. According to the results, the average error for all models was 4.0% with an </w:t>
      </w:r>
      <w:r w:rsidRPr="005E780E">
        <w:rPr>
          <w:rFonts w:cstheme="minorHAnsi"/>
          <w:i/>
          <w:iCs/>
          <w:sz w:val="24"/>
          <w:szCs w:val="24"/>
        </w:rPr>
        <w:t>R</w:t>
      </w:r>
      <w:r w:rsidRPr="005E780E">
        <w:rPr>
          <w:rFonts w:cstheme="minorHAnsi"/>
          <w:sz w:val="24"/>
          <w:szCs w:val="24"/>
        </w:rPr>
        <w:t>-squared value of 0.99, which indicates the high level of accuracy of ANN predictions. In addition, a </w:t>
      </w:r>
      <w:r w:rsidRPr="005E780E">
        <w:rPr>
          <w:rFonts w:cstheme="minorHAnsi"/>
          <w:i/>
          <w:iCs/>
          <w:sz w:val="24"/>
          <w:szCs w:val="24"/>
        </w:rPr>
        <w:t>k</w:t>
      </w:r>
      <w:r w:rsidRPr="005E780E">
        <w:rPr>
          <w:rFonts w:cstheme="minorHAnsi"/>
          <w:sz w:val="24"/>
          <w:szCs w:val="24"/>
        </w:rPr>
        <w:t>-fold cross-validation technique was used to test and obtain the optimum models. The lowest coefficient of correlation from all critical strains was 0.959 for the vertical strain in the AC of the thick pavement. In addition, the highest normalized root-mean-square error for thick pavement was 3.35% for the vertical shear in the subgrade.</w:t>
      </w:r>
    </w:p>
    <w:p w14:paraId="70A82F23" w14:textId="408997D7" w:rsidR="00621602" w:rsidRPr="005E780E" w:rsidRDefault="00621602" w:rsidP="00621602">
      <w:pPr>
        <w:rPr>
          <w:rFonts w:cstheme="minorHAnsi"/>
          <w:sz w:val="24"/>
          <w:szCs w:val="24"/>
        </w:rPr>
      </w:pPr>
      <w:r w:rsidRPr="005E780E">
        <w:rPr>
          <w:rFonts w:cstheme="minorHAnsi"/>
          <w:sz w:val="24"/>
          <w:szCs w:val="24"/>
        </w:rPr>
        <w:t>A sensitivity analysis using two methods, the missing data problem and incremental sensitivity (also called one-at-a-time analysis), was implemented to analyze the ANN models (</w:t>
      </w:r>
      <w:r w:rsidRPr="008130D4">
        <w:rPr>
          <w:rFonts w:cstheme="minorHAnsi"/>
          <w:i/>
          <w:iCs/>
          <w:sz w:val="24"/>
          <w:szCs w:val="24"/>
        </w:rPr>
        <w:t>29</w:t>
      </w:r>
      <w:r w:rsidRPr="005E780E">
        <w:rPr>
          <w:rFonts w:cstheme="minorHAnsi"/>
          <w:sz w:val="24"/>
          <w:szCs w:val="24"/>
        </w:rPr>
        <w:t>). According to the sensitivity analysis, the pavement structure had the highest influence in both scenarios, and the tire type played an important role in pavement response calculation; in which a 10–30% influence on the response was found. This range of influence was nearly equal to the effect of tire-inflation pressure.</w:t>
      </w:r>
    </w:p>
    <w:p w14:paraId="7F253511" w14:textId="77777777" w:rsidR="00621602" w:rsidRPr="005E780E" w:rsidRDefault="00621602" w:rsidP="5E2181D6">
      <w:pPr>
        <w:pStyle w:val="Heading2"/>
        <w:rPr>
          <w:rFonts w:ascii="Calibri Light" w:eastAsia="MS Gothic" w:hAnsi="Calibri Light" w:cs="Times New Roman"/>
        </w:rPr>
      </w:pPr>
      <w:r>
        <w:t>ICT-Wide Tool</w:t>
      </w:r>
    </w:p>
    <w:p w14:paraId="5171C7FC" w14:textId="7A7DCA8C" w:rsidR="00621602" w:rsidRPr="005E780E" w:rsidRDefault="00621602" w:rsidP="5E2181D6">
      <w:pPr>
        <w:rPr>
          <w:sz w:val="24"/>
          <w:szCs w:val="24"/>
        </w:rPr>
      </w:pPr>
      <w:r w:rsidRPr="5E2181D6">
        <w:rPr>
          <w:sz w:val="24"/>
          <w:szCs w:val="24"/>
        </w:rPr>
        <w:t>To assist agencies, designers, and practitioners in the evaluation of the effect of NG-WBT on pavements, all trained models were incorporated into a tool called the Illinois Center for Transportation wide-base tool (ICT-Wide tool). The tool is a Matlab-based, stand-alone program that can be installed on any Windows operating system. The tool is capable of predicting critical responses of pavements as well as calculating damage to the pavement using both Mechanistic-Empirical and Asphalt Institute methods. </w:t>
      </w:r>
      <w:r w:rsidRPr="008130D4">
        <w:rPr>
          <w:sz w:val="24"/>
          <w:szCs w:val="24"/>
        </w:rPr>
        <w:t>Figure 6</w:t>
      </w:r>
      <w:r w:rsidRPr="5E2181D6">
        <w:rPr>
          <w:sz w:val="24"/>
          <w:szCs w:val="24"/>
        </w:rPr>
        <w:t> shows the interface of the tool. For a 10% NG-WBT market penetration, the pavement impact increase could be outweighed by the environmental benefits.</w:t>
      </w:r>
    </w:p>
    <w:p w14:paraId="1511DD4D" w14:textId="77777777" w:rsidR="00621602" w:rsidRPr="005E780E" w:rsidRDefault="00621602" w:rsidP="005C1AA7">
      <w:pPr>
        <w:pStyle w:val="NoSpacing"/>
      </w:pPr>
      <w:r w:rsidRPr="005E780E">
        <w:rPr>
          <w:noProof/>
        </w:rPr>
        <w:drawing>
          <wp:inline distT="0" distB="0" distL="0" distR="0" wp14:anchorId="4A833782" wp14:editId="2A17A05E">
            <wp:extent cx="2743200" cy="1581912"/>
            <wp:effectExtent l="0" t="0" r="0" b="0"/>
            <wp:docPr id="2" name="Picture 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                        figure&#10;                    ">
                      <a:hlinkClick r:id="rId10" tooltip="&quot;Open Figure Viewe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581912"/>
                    </a:xfrm>
                    <a:prstGeom prst="rect">
                      <a:avLst/>
                    </a:prstGeom>
                    <a:noFill/>
                    <a:ln>
                      <a:noFill/>
                    </a:ln>
                  </pic:spPr>
                </pic:pic>
              </a:graphicData>
            </a:graphic>
          </wp:inline>
        </w:drawing>
      </w:r>
    </w:p>
    <w:p w14:paraId="696382C6" w14:textId="77777777" w:rsidR="00621602" w:rsidRPr="005E780E" w:rsidRDefault="00621602" w:rsidP="005C1AA7">
      <w:pPr>
        <w:pStyle w:val="NoSpacing"/>
      </w:pPr>
      <w:r w:rsidRPr="5E2181D6">
        <w:rPr>
          <w:b/>
          <w:bCs/>
        </w:rPr>
        <w:t>Figure 6.</w:t>
      </w:r>
      <w:r w:rsidRPr="5E2181D6">
        <w:t> Main page of ICT-Wide tool.</w:t>
      </w:r>
    </w:p>
    <w:p w14:paraId="299CE1CA" w14:textId="77777777" w:rsidR="00621602" w:rsidRPr="005E780E" w:rsidRDefault="00621602" w:rsidP="5E2181D6">
      <w:pPr>
        <w:pStyle w:val="Heading1"/>
        <w:rPr>
          <w:rFonts w:ascii="Calibri Light" w:eastAsia="MS Gothic" w:hAnsi="Calibri Light" w:cs="Times New Roman"/>
        </w:rPr>
      </w:pPr>
      <w:bookmarkStart w:id="6" w:name="_i18"/>
      <w:bookmarkEnd w:id="6"/>
      <w:r>
        <w:t>Experimental Pavement Sections</w:t>
      </w:r>
    </w:p>
    <w:p w14:paraId="028EBF87" w14:textId="35B2D239" w:rsidR="00621602" w:rsidRPr="005E780E" w:rsidRDefault="00621602" w:rsidP="00621602">
      <w:pPr>
        <w:rPr>
          <w:rFonts w:cstheme="minorHAnsi"/>
          <w:sz w:val="24"/>
          <w:szCs w:val="24"/>
        </w:rPr>
      </w:pPr>
      <w:r w:rsidRPr="005E780E">
        <w:rPr>
          <w:rFonts w:cstheme="minorHAnsi"/>
          <w:sz w:val="24"/>
          <w:szCs w:val="24"/>
        </w:rPr>
        <w:t>Three new test sites were built and instrumented in Florida, California, and Ohio (</w:t>
      </w:r>
      <w:r w:rsidRPr="008130D4">
        <w:rPr>
          <w:rFonts w:cstheme="minorHAnsi"/>
          <w:i/>
          <w:iCs/>
          <w:sz w:val="24"/>
          <w:szCs w:val="24"/>
        </w:rPr>
        <w:t>31</w:t>
      </w:r>
      <w:r w:rsidRPr="005E780E">
        <w:rPr>
          <w:rFonts w:cstheme="minorHAnsi"/>
          <w:sz w:val="24"/>
          <w:szCs w:val="24"/>
        </w:rPr>
        <w:t>). Strain, stress, and temperature were measured at various locations within the pavement structures. The analysis of the experimental measurements showed 30% higher strain at the bottom of AC for NG-WBT. The impact of the applied load was different for each tire. Longitudinal strain at the bottom of the AC increased by 50% and 40% after changing the load from 26.7 to 80.0 kN for DTA and NG-WBT, respectively. Similarly, an increase in tire-inflation pressure from 552 to 827 kPa resulted in approximately 10% increase in strain at the bottom of AC for DTA and 20% for NG-WBT. For the same change in tire-inflation pressure, surface transverse strains augmented 30% and 40% for DTA and NG-WBT were measured, respectively.</w:t>
      </w:r>
    </w:p>
    <w:p w14:paraId="395659E9" w14:textId="77777777" w:rsidR="00621602" w:rsidRPr="005E780E" w:rsidRDefault="00621602" w:rsidP="00621602">
      <w:pPr>
        <w:rPr>
          <w:rFonts w:cstheme="minorHAnsi"/>
          <w:sz w:val="24"/>
          <w:szCs w:val="24"/>
        </w:rPr>
      </w:pPr>
      <w:r w:rsidRPr="005E780E">
        <w:rPr>
          <w:rFonts w:cstheme="minorHAnsi"/>
          <w:sz w:val="24"/>
          <w:szCs w:val="24"/>
        </w:rPr>
        <w:t>The research team also gathered pavement responses from previous projects that used NG-WBT. Existing and new data were compiled and organized in an online database that could be made available to the public. The online database was developed to organize data and utilize both new and existing data, considering NG-WBT loading on pavements. The database management procedure included pre-processing data, filtering and smoothing, max/min response extraction, post-processing and summary, and online application design.</w:t>
      </w:r>
    </w:p>
    <w:p w14:paraId="40C41E82" w14:textId="77777777" w:rsidR="00621602" w:rsidRPr="005E780E" w:rsidRDefault="00621602" w:rsidP="5E2181D6">
      <w:pPr>
        <w:pStyle w:val="Heading1"/>
        <w:rPr>
          <w:rFonts w:ascii="Calibri Light" w:eastAsia="MS Gothic" w:hAnsi="Calibri Light" w:cs="Times New Roman"/>
        </w:rPr>
      </w:pPr>
      <w:bookmarkStart w:id="7" w:name="_i19"/>
      <w:bookmarkEnd w:id="7"/>
      <w:r>
        <w:t>Life-Cycle Assessment and Life-Cycle Costing</w:t>
      </w:r>
    </w:p>
    <w:p w14:paraId="3ED32A0F" w14:textId="4E313705" w:rsidR="00621602" w:rsidRPr="005E780E" w:rsidRDefault="00621602" w:rsidP="00621602">
      <w:pPr>
        <w:rPr>
          <w:rFonts w:cstheme="minorHAnsi"/>
          <w:sz w:val="24"/>
          <w:szCs w:val="24"/>
        </w:rPr>
      </w:pPr>
      <w:r w:rsidRPr="005E780E">
        <w:rPr>
          <w:rFonts w:cstheme="minorHAnsi"/>
          <w:sz w:val="24"/>
          <w:szCs w:val="24"/>
        </w:rPr>
        <w:t>The use of NG-WBT can improve the fuel efficiency of trucks by 1–3.5% (</w:t>
      </w:r>
      <w:r w:rsidRPr="008130D4">
        <w:rPr>
          <w:rFonts w:cstheme="minorHAnsi"/>
          <w:i/>
          <w:iCs/>
          <w:sz w:val="24"/>
          <w:szCs w:val="24"/>
        </w:rPr>
        <w:t>3</w:t>
      </w:r>
      <w:r w:rsidRPr="005E780E">
        <w:rPr>
          <w:rFonts w:cstheme="minorHAnsi"/>
          <w:sz w:val="24"/>
          <w:szCs w:val="24"/>
        </w:rPr>
        <w:t>), but at the same time it could cause a greater impact on pavement. Therefore, a holistic study considering the entire life-cycle of a pavement is needed to properly assess the net environmental benefit of NG-WBT compared with DTA.</w:t>
      </w:r>
    </w:p>
    <w:p w14:paraId="46014A34" w14:textId="18A15132" w:rsidR="00621602" w:rsidRPr="005E780E" w:rsidRDefault="00621602" w:rsidP="00621602">
      <w:pPr>
        <w:rPr>
          <w:rFonts w:cstheme="minorHAnsi"/>
          <w:sz w:val="24"/>
          <w:szCs w:val="24"/>
        </w:rPr>
      </w:pPr>
      <w:r w:rsidRPr="005E780E">
        <w:rPr>
          <w:rFonts w:cstheme="minorHAnsi"/>
          <w:sz w:val="24"/>
          <w:szCs w:val="24"/>
        </w:rPr>
        <w:t>This study used LCA, a technique that compiles and evaluates inputs and outputs (i.e., environmental impacts) of a product system during its life-cycle (</w:t>
      </w:r>
      <w:r w:rsidRPr="008130D4">
        <w:rPr>
          <w:rFonts w:cstheme="minorHAnsi"/>
          <w:i/>
          <w:iCs/>
          <w:sz w:val="24"/>
          <w:szCs w:val="24"/>
        </w:rPr>
        <w:t>32</w:t>
      </w:r>
      <w:r w:rsidRPr="005E780E">
        <w:rPr>
          <w:rFonts w:cstheme="minorHAnsi"/>
          <w:sz w:val="24"/>
          <w:szCs w:val="24"/>
        </w:rPr>
        <w:t>). Goal and scope definition, methodology, and key assumptions regarding the LCA study are described in detail elsewhere (</w:t>
      </w:r>
      <w:r w:rsidRPr="008130D4">
        <w:rPr>
          <w:rFonts w:cstheme="minorHAnsi"/>
          <w:i/>
          <w:iCs/>
          <w:sz w:val="24"/>
          <w:szCs w:val="24"/>
        </w:rPr>
        <w:t>33</w:t>
      </w:r>
      <w:r w:rsidRPr="005E780E">
        <w:rPr>
          <w:rFonts w:cstheme="minorHAnsi"/>
          <w:sz w:val="24"/>
          <w:szCs w:val="24"/>
        </w:rPr>
        <w:t>). Relevant pavement life-cycle stages considered are material, construction, and use-stage (rolling resistance [RR] due to roughness and fuel savings from NG-WBT) of AC overlay. The result of the LCA study is annualized and the functional unit used is two-mile-two-lane-year. The study also considered different levels of NG-WBT market penetration (5, 10, 50, and 100%); 0% market penetration implies 100% DTA and is considered as the baseline. Two pavement sections with different AC overlay thicknesses (75 mm and 125 mm) were also considered; the pavement sections share the same base and subgrade layers, consisting of 250 mm milled and recompacted base, 320 mm old aggregate base, 200 mm tipped and compacted subgrade on top of clayey subgrade.</w:t>
      </w:r>
    </w:p>
    <w:p w14:paraId="3A88950B" w14:textId="01CE4F3C" w:rsidR="00621602" w:rsidRPr="005E780E" w:rsidRDefault="00621602" w:rsidP="5E2181D6">
      <w:pPr>
        <w:rPr>
          <w:sz w:val="24"/>
          <w:szCs w:val="24"/>
        </w:rPr>
      </w:pPr>
      <w:r w:rsidRPr="5E2181D6">
        <w:rPr>
          <w:sz w:val="24"/>
          <w:szCs w:val="24"/>
        </w:rPr>
        <w:t>Based on the scenario-based case study, the net energy saving for each life-cycle stage by using different levels of NG-WBT market penetration is calculated and shown in </w:t>
      </w:r>
      <w:r w:rsidRPr="008130D4">
        <w:rPr>
          <w:sz w:val="24"/>
          <w:szCs w:val="24"/>
        </w:rPr>
        <w:t>Figure 7</w:t>
      </w:r>
      <w:r w:rsidRPr="5E2181D6">
        <w:rPr>
          <w:sz w:val="24"/>
          <w:szCs w:val="24"/>
        </w:rPr>
        <w:t>. The three scenarios considered are as follows: (i) Scenario I: standard DTA and NG-WBT; (ii) Scenario II: DTA and NG-WBT have the same IRI performance but different fatigue cracking potential; and (iii) Scenario III: DTA and NG-WBT have the same fatigue cracking potential but different IRI performance. Details of the models used to conduct the case study are described in Kang et al. (</w:t>
      </w:r>
      <w:r w:rsidRPr="008130D4">
        <w:rPr>
          <w:i/>
          <w:iCs/>
          <w:sz w:val="24"/>
          <w:szCs w:val="24"/>
        </w:rPr>
        <w:t>33</w:t>
      </w:r>
      <w:r w:rsidRPr="5E2181D6">
        <w:rPr>
          <w:sz w:val="24"/>
          <w:szCs w:val="24"/>
        </w:rPr>
        <w:t>). It is evident in most cases of this particular case study that the use of NG-WBT brings positive life-cycle environmental savings compared with DTA, even if additional pavement damage is considered. The only exception is with the thin AC overlay section of Scenario III, in which increased burdens in material and construction stages, and RR surpassed the savings from NG-WBT at high market penetrations.</w:t>
      </w:r>
    </w:p>
    <w:p w14:paraId="24CA8CE8" w14:textId="77777777" w:rsidR="00621602" w:rsidRPr="005E780E" w:rsidRDefault="00621602" w:rsidP="00DD7011">
      <w:pPr>
        <w:pStyle w:val="NoSpacing"/>
      </w:pPr>
      <w:r w:rsidRPr="005E780E">
        <w:rPr>
          <w:noProof/>
        </w:rPr>
        <w:drawing>
          <wp:inline distT="0" distB="0" distL="0" distR="0" wp14:anchorId="2A895F4F" wp14:editId="1F20A46A">
            <wp:extent cx="2743200" cy="1289304"/>
            <wp:effectExtent l="0" t="0" r="0" b="6350"/>
            <wp:docPr id="1" name="Picture 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                        figure&#10;                    ">
                      <a:hlinkClick r:id="rId10" tooltip="&quot;Open Figure Viewer&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289304"/>
                    </a:xfrm>
                    <a:prstGeom prst="rect">
                      <a:avLst/>
                    </a:prstGeom>
                    <a:noFill/>
                    <a:ln>
                      <a:noFill/>
                    </a:ln>
                  </pic:spPr>
                </pic:pic>
              </a:graphicData>
            </a:graphic>
          </wp:inline>
        </w:drawing>
      </w:r>
    </w:p>
    <w:p w14:paraId="098C65D1" w14:textId="38369894" w:rsidR="00621602" w:rsidRPr="005E780E" w:rsidRDefault="00621602" w:rsidP="00DD7011">
      <w:pPr>
        <w:pStyle w:val="NoSpacing"/>
      </w:pPr>
      <w:r w:rsidRPr="5E2181D6">
        <w:rPr>
          <w:b/>
          <w:bCs/>
        </w:rPr>
        <w:t>Figure 7.</w:t>
      </w:r>
      <w:r w:rsidRPr="5E2181D6">
        <w:t> Net energy saving of using NG-WBT for (</w:t>
      </w:r>
      <w:r w:rsidRPr="5E2181D6">
        <w:rPr>
          <w:i/>
          <w:iCs/>
        </w:rPr>
        <w:t>a</w:t>
      </w:r>
      <w:r w:rsidRPr="5E2181D6">
        <w:t>) Scenario I, (</w:t>
      </w:r>
      <w:r w:rsidRPr="5E2181D6">
        <w:rPr>
          <w:i/>
          <w:iCs/>
        </w:rPr>
        <w:t>b</w:t>
      </w:r>
      <w:r w:rsidRPr="5E2181D6">
        <w:t>) Scenario II, and (</w:t>
      </w:r>
      <w:r w:rsidRPr="5E2181D6">
        <w:rPr>
          <w:i/>
          <w:iCs/>
        </w:rPr>
        <w:t>c</w:t>
      </w:r>
      <w:r w:rsidRPr="5E2181D6">
        <w:t>) Scenario III (</w:t>
      </w:r>
      <w:r w:rsidRPr="008130D4">
        <w:rPr>
          <w:i/>
          <w:iCs/>
          <w:sz w:val="24"/>
          <w:szCs w:val="24"/>
        </w:rPr>
        <w:t>33</w:t>
      </w:r>
      <w:r w:rsidRPr="5E2181D6">
        <w:t>).</w:t>
      </w:r>
    </w:p>
    <w:p w14:paraId="6C71522D" w14:textId="5C1559F1" w:rsidR="5E2181D6" w:rsidRDefault="5E2181D6" w:rsidP="5E2181D6">
      <w:pPr>
        <w:rPr>
          <w:sz w:val="24"/>
          <w:szCs w:val="24"/>
        </w:rPr>
      </w:pPr>
    </w:p>
    <w:p w14:paraId="6A2ACBFB" w14:textId="2C76CC19" w:rsidR="00621602" w:rsidRPr="005E780E" w:rsidRDefault="00621602" w:rsidP="00621602">
      <w:pPr>
        <w:rPr>
          <w:rFonts w:cstheme="minorHAnsi"/>
          <w:sz w:val="24"/>
          <w:szCs w:val="24"/>
        </w:rPr>
      </w:pPr>
      <w:r w:rsidRPr="005E780E">
        <w:rPr>
          <w:rFonts w:cstheme="minorHAnsi"/>
          <w:sz w:val="24"/>
          <w:szCs w:val="24"/>
        </w:rPr>
        <w:t>For Scenario I, the net life-cycle costing benefits were positive; those for Scenarios II and III were slightly negative at certain market penetrations (50 and 100%) for the thick section (</w:t>
      </w:r>
      <w:r w:rsidRPr="008130D4">
        <w:rPr>
          <w:rFonts w:cstheme="minorHAnsi"/>
          <w:i/>
          <w:iCs/>
          <w:sz w:val="24"/>
          <w:szCs w:val="24"/>
        </w:rPr>
        <w:t>33</w:t>
      </w:r>
      <w:r w:rsidRPr="005E780E">
        <w:rPr>
          <w:rFonts w:cstheme="minorHAnsi"/>
          <w:sz w:val="24"/>
          <w:szCs w:val="24"/>
        </w:rPr>
        <w:t>). However, environmental and economic benefits are sensitive to the method used to determine the pavement performance.</w:t>
      </w:r>
    </w:p>
    <w:p w14:paraId="06E039D9" w14:textId="77777777" w:rsidR="00621602" w:rsidRPr="005E780E" w:rsidRDefault="00621602" w:rsidP="5E2181D6">
      <w:pPr>
        <w:pStyle w:val="Heading1"/>
        <w:rPr>
          <w:rFonts w:ascii="Calibri Light" w:eastAsia="MS Gothic" w:hAnsi="Calibri Light" w:cs="Times New Roman"/>
        </w:rPr>
      </w:pPr>
      <w:bookmarkStart w:id="8" w:name="_i21"/>
      <w:bookmarkEnd w:id="8"/>
      <w:r>
        <w:t>Summary and Conclusions</w:t>
      </w:r>
    </w:p>
    <w:p w14:paraId="6317EF41" w14:textId="77777777" w:rsidR="00621602" w:rsidRPr="005E780E" w:rsidRDefault="00621602" w:rsidP="00621602">
      <w:pPr>
        <w:rPr>
          <w:rFonts w:cstheme="minorHAnsi"/>
          <w:sz w:val="24"/>
          <w:szCs w:val="24"/>
        </w:rPr>
      </w:pPr>
      <w:r w:rsidRPr="005E780E">
        <w:rPr>
          <w:rFonts w:cstheme="minorHAnsi"/>
          <w:sz w:val="24"/>
          <w:szCs w:val="24"/>
        </w:rPr>
        <w:t>The main objective of this study was to present a multi-year effort that compared the impact of NG-WBT and DTA on pavements and environment. Contact loads of the NG-WBT and DTA were measured and incorporated in a numerical model to realistically simulate pavement structures, materials, and loading conditions. The model was validated with various field test sections across the United States. Good agreement was noted between FE analysis results and field-instrumented pavement responses when using proper material characterization parameters, especially for vertical pressure and tensile strain at the bottom of AC in transverse direction.</w:t>
      </w:r>
    </w:p>
    <w:p w14:paraId="28427E03" w14:textId="77777777" w:rsidR="00621602" w:rsidRPr="005E780E" w:rsidRDefault="00621602" w:rsidP="00621602">
      <w:pPr>
        <w:rPr>
          <w:rFonts w:cstheme="minorHAnsi"/>
          <w:sz w:val="24"/>
          <w:szCs w:val="24"/>
        </w:rPr>
      </w:pPr>
      <w:r w:rsidRPr="005E780E">
        <w:rPr>
          <w:rFonts w:cstheme="minorHAnsi"/>
          <w:sz w:val="24"/>
          <w:szCs w:val="24"/>
        </w:rPr>
        <w:t>It was evident that NG-WBT responses were generally greater than DTA for pavements. The difference decreased with depth and a few cases showed higher responses for DTA (e.g., shear strain in the subgrade in thin pavement). In addition, DTA with differential tire-inflation pressure produced higher damage than DTA with the same tire-inflation pressure when compared with the tire with the highest tire-inflation pressure. As expected, different behavior was observed for low-volume (thin) and interstate roads (thick). On one hand, for low-volume roads, subgrade rutting was the controlling distress of the pavement life; the difference between the impacts of the two tires on subgrade failure was minimal. For interstate highways, the influence of NG-WBT was greater than that of DTA, in which the controlling distress in AC was top-down or near-surface cracking and possible AC rutting.</w:t>
      </w:r>
    </w:p>
    <w:p w14:paraId="19E8F410" w14:textId="77777777" w:rsidR="00621602" w:rsidRPr="005E780E" w:rsidRDefault="00621602" w:rsidP="00621602">
      <w:pPr>
        <w:rPr>
          <w:rFonts w:cstheme="minorHAnsi"/>
          <w:sz w:val="24"/>
          <w:szCs w:val="24"/>
        </w:rPr>
      </w:pPr>
      <w:r w:rsidRPr="005E780E">
        <w:rPr>
          <w:rFonts w:cstheme="minorHAnsi"/>
          <w:sz w:val="24"/>
          <w:szCs w:val="24"/>
        </w:rPr>
        <w:t>Since MEPDG may not be used directly for predicting responses of NG-WBT, two adjustment factors were developed to modify the pavement responses obtained from MEPDG to account for model complexity and different contact mechanisms of DTA and NG-WBT. Furthermore, to simplify the process of using NG-WBT and allow for implementation by agencies, an ANN tool was developed to predict the pavement response without running FE. The tool results rendered by the ANN surrogate models were highly accurate, with an average prediction error less than 5% and </w:t>
      </w:r>
      <w:r w:rsidRPr="005E780E">
        <w:rPr>
          <w:rFonts w:cstheme="minorHAnsi"/>
          <w:i/>
          <w:iCs/>
          <w:sz w:val="24"/>
          <w:szCs w:val="24"/>
        </w:rPr>
        <w:t>R</w:t>
      </w:r>
      <w:r w:rsidRPr="005E780E">
        <w:rPr>
          <w:rFonts w:cstheme="minorHAnsi"/>
          <w:sz w:val="24"/>
          <w:szCs w:val="24"/>
        </w:rPr>
        <w:t>-square values higher than 0.95. It was also observed that although NG-WBT could cause greater pavement response than DTA for some roads, NG-WBT demonstrated significant improvement compared with the FG-WBT.</w:t>
      </w:r>
    </w:p>
    <w:p w14:paraId="18E7BB6B" w14:textId="77777777" w:rsidR="00621602" w:rsidRPr="005E780E" w:rsidRDefault="00621602" w:rsidP="00621602">
      <w:pPr>
        <w:rPr>
          <w:rFonts w:cstheme="minorHAnsi"/>
          <w:sz w:val="24"/>
          <w:szCs w:val="24"/>
        </w:rPr>
      </w:pPr>
      <w:r w:rsidRPr="005E780E">
        <w:rPr>
          <w:rFonts w:cstheme="minorHAnsi"/>
          <w:sz w:val="24"/>
          <w:szCs w:val="24"/>
        </w:rPr>
        <w:t>From the environmental point of view and based on LCA models that considered NG-WBT market penetration percentages, NG-WBT could save energy and reduce GHG and emissions, depending on corresponding pavement performance. Based on the results of the study and using the developed tools, for a NG-WBT market penetration of 10%, the pavement impact increase could be outweighed by the environmental benefits as well as cost savings in energy.</w:t>
      </w:r>
    </w:p>
    <w:p w14:paraId="0D0DB4CB" w14:textId="77777777" w:rsidR="00621602" w:rsidRPr="005E780E" w:rsidRDefault="00621602" w:rsidP="5E2181D6">
      <w:pPr>
        <w:pStyle w:val="Heading1"/>
        <w:rPr>
          <w:rFonts w:ascii="Calibri Light" w:eastAsia="MS Gothic" w:hAnsi="Calibri Light" w:cs="Times New Roman"/>
        </w:rPr>
      </w:pPr>
      <w:bookmarkStart w:id="9" w:name="_backmatter_ack"/>
      <w:bookmarkEnd w:id="9"/>
      <w:r>
        <w:t>Acknowledgements</w:t>
      </w:r>
    </w:p>
    <w:p w14:paraId="61DD76B5" w14:textId="77777777" w:rsidR="00621602" w:rsidRPr="005E780E" w:rsidRDefault="00621602" w:rsidP="00621602">
      <w:pPr>
        <w:rPr>
          <w:rFonts w:cstheme="minorHAnsi"/>
          <w:sz w:val="24"/>
          <w:szCs w:val="24"/>
        </w:rPr>
      </w:pPr>
      <w:r w:rsidRPr="005E780E">
        <w:rPr>
          <w:rFonts w:cstheme="minorHAnsi"/>
          <w:sz w:val="24"/>
          <w:szCs w:val="24"/>
        </w:rPr>
        <w:t>This project was conducted in cooperation with the Illinois Center for Transportation; the U.S. Department of Transportation, Federal Highway Administration; Rubber Manufacturers Association, and the following state departments of transportation: Illinois, Minnesota, Montana, New York, Ohio, Oklahoma, Texas, and Virginia. The involvement of the University of California at Davis, Ohio University, and the state departments of transportation of Florida, Ohio, and South Dakota is appreciated.</w:t>
      </w:r>
    </w:p>
    <w:p w14:paraId="081FE8FB" w14:textId="77777777" w:rsidR="00621602" w:rsidRPr="005E780E" w:rsidRDefault="00621602" w:rsidP="00621602">
      <w:pPr>
        <w:rPr>
          <w:rFonts w:cstheme="minorHAnsi"/>
          <w:sz w:val="24"/>
          <w:szCs w:val="24"/>
        </w:rPr>
      </w:pPr>
      <w:r w:rsidRPr="005E780E">
        <w:rPr>
          <w:rFonts w:cstheme="minorHAnsi"/>
          <w:sz w:val="24"/>
          <w:szCs w:val="24"/>
        </w:rPr>
        <w:t>The input and feedback by Eric Weaver is greatly appreciated. The contribution of other partners, including John Harvey, Rongzong Wu, James Greene, Bouzid Choubane, Morris De Beer, and Tom Scarpas, Shad Sargan, and Issam Khoury are also acknowledged.</w:t>
      </w:r>
    </w:p>
    <w:p w14:paraId="4B3995E3" w14:textId="77777777" w:rsidR="00621602" w:rsidRPr="005E780E" w:rsidRDefault="00621602" w:rsidP="00621602">
      <w:pPr>
        <w:rPr>
          <w:rFonts w:cstheme="minorHAnsi"/>
          <w:sz w:val="24"/>
          <w:szCs w:val="24"/>
        </w:rPr>
      </w:pPr>
      <w:r w:rsidRPr="005E780E">
        <w:rPr>
          <w:rFonts w:cstheme="minorHAnsi"/>
          <w:i/>
          <w:iCs/>
          <w:sz w:val="24"/>
          <w:szCs w:val="24"/>
        </w:rPr>
        <w:t>The Standing Committee on Full-Scale Accelerated Pavement Testing peer-reviewed this paper (18-03063).</w:t>
      </w:r>
    </w:p>
    <w:p w14:paraId="7B3801D9" w14:textId="77777777" w:rsidR="00621602" w:rsidRPr="005E780E" w:rsidRDefault="00621602" w:rsidP="00621602">
      <w:pPr>
        <w:rPr>
          <w:rFonts w:cstheme="minorHAnsi"/>
          <w:sz w:val="24"/>
          <w:szCs w:val="24"/>
        </w:rPr>
      </w:pPr>
      <w:r w:rsidRPr="005E780E">
        <w:rPr>
          <w:rFonts w:cstheme="minorHAnsi"/>
          <w:i/>
          <w:iCs/>
          <w:sz w:val="24"/>
          <w:szCs w:val="24"/>
        </w:rPr>
        <w:t>The contents of this report reflect the view of the authors, who are responsible for the facts and the accuracy of the data presented here. The contents do not necessarily reflect the official views or policies of the Illinois Center for Transportation, the Federal Highway Administration, or the participating partners. This report does not constitute a standard, specification, or regulation.</w:t>
      </w:r>
    </w:p>
    <w:p w14:paraId="2EABE09D" w14:textId="77777777" w:rsidR="00621602" w:rsidRPr="005E780E" w:rsidRDefault="00621602" w:rsidP="5E2181D6">
      <w:pPr>
        <w:pStyle w:val="Heading1"/>
        <w:rPr>
          <w:rFonts w:ascii="Calibri Light" w:eastAsia="MS Gothic" w:hAnsi="Calibri Light" w:cs="Times New Roman"/>
        </w:rPr>
      </w:pPr>
      <w:bookmarkStart w:id="10" w:name="_i22"/>
      <w:bookmarkEnd w:id="10"/>
      <w:r>
        <w:t>References</w:t>
      </w:r>
    </w:p>
    <w:p w14:paraId="402EA3E6" w14:textId="486D9628" w:rsidR="5E2181D6" w:rsidRDefault="5E2181D6" w:rsidP="5E2181D6">
      <w:pPr>
        <w:pStyle w:val="ListParagraph"/>
        <w:numPr>
          <w:ilvl w:val="0"/>
          <w:numId w:val="1"/>
        </w:numPr>
        <w:rPr>
          <w:color w:val="000000" w:themeColor="text1"/>
          <w:sz w:val="24"/>
          <w:szCs w:val="24"/>
        </w:rPr>
      </w:pPr>
      <w:r w:rsidRPr="5E2181D6">
        <w:rPr>
          <w:sz w:val="24"/>
          <w:szCs w:val="24"/>
        </w:rPr>
        <w:t>Muster, T. Fuel Savings Potential and Costs Considerations for US Class 8 Heavy Duty Trucks through Resistance Reductions and Improved Propulsion Technologies Until 2020. MIT EL 00-001. Massachusetts Institute of Technology, Cambridge, Massachusetts, 2000.</w:t>
      </w:r>
    </w:p>
    <w:p w14:paraId="32E4F66D" w14:textId="4810EDD2" w:rsidR="5E2181D6" w:rsidRDefault="5E2181D6" w:rsidP="5E2181D6">
      <w:pPr>
        <w:pStyle w:val="ListParagraph"/>
        <w:numPr>
          <w:ilvl w:val="0"/>
          <w:numId w:val="1"/>
        </w:numPr>
        <w:rPr>
          <w:color w:val="000000" w:themeColor="text1"/>
          <w:sz w:val="24"/>
          <w:szCs w:val="24"/>
        </w:rPr>
      </w:pPr>
      <w:r w:rsidRPr="5E2181D6">
        <w:rPr>
          <w:sz w:val="24"/>
          <w:szCs w:val="24"/>
        </w:rPr>
        <w:t>Franzese, O., Knee, H., Slezak, L. Effect of Wide-Based Single Tires on Fuel Efficiency of Class 8 Combination Trucks. Transportation Research Record: Journal of the Transportation Research Board, 2010. 2191: 1–7.</w:t>
      </w:r>
    </w:p>
    <w:p w14:paraId="61BBE4B8" w14:textId="57B6214A" w:rsidR="5E2181D6" w:rsidRDefault="5E2181D6" w:rsidP="5E2181D6">
      <w:pPr>
        <w:pStyle w:val="ListParagraph"/>
        <w:numPr>
          <w:ilvl w:val="0"/>
          <w:numId w:val="1"/>
        </w:numPr>
        <w:rPr>
          <w:color w:val="000000" w:themeColor="text1"/>
          <w:sz w:val="24"/>
          <w:szCs w:val="24"/>
        </w:rPr>
      </w:pPr>
      <w:r w:rsidRPr="5E2181D6">
        <w:rPr>
          <w:sz w:val="24"/>
          <w:szCs w:val="24"/>
        </w:rPr>
        <w:t>GENIVAR Consulting Group. Economic Study Use of Supersingle Tires by Heavy Vehicles Operating in Quebec. Report published by GENIVAR Consulting Group, Montreal, QC, Canada, 2005.</w:t>
      </w:r>
    </w:p>
    <w:p w14:paraId="766B6D2F" w14:textId="04131E94" w:rsidR="5E2181D6" w:rsidRDefault="5E2181D6" w:rsidP="5E2181D6">
      <w:pPr>
        <w:pStyle w:val="ListParagraph"/>
        <w:numPr>
          <w:ilvl w:val="0"/>
          <w:numId w:val="1"/>
        </w:numPr>
        <w:rPr>
          <w:color w:val="000000" w:themeColor="text1"/>
          <w:sz w:val="24"/>
          <w:szCs w:val="24"/>
        </w:rPr>
      </w:pPr>
      <w:r w:rsidRPr="5E2181D6">
        <w:rPr>
          <w:sz w:val="24"/>
          <w:szCs w:val="24"/>
        </w:rPr>
        <w:t>Bachman, L. J., Erb, A., Bynum, C. L. Effect of Single Wide Tires and Trailer Aerodynamics on Fuel Economy and NOx Emissions of Class 8 Line-Haul Tractor-Trailers. Society of Automotive Engineers (SAE) Technical Paper 2005-01-3551. SAE International, Warrendale, 2005.</w:t>
      </w:r>
    </w:p>
    <w:p w14:paraId="33351A8E" w14:textId="5788AECA" w:rsidR="5E2181D6" w:rsidRDefault="5E2181D6" w:rsidP="5E2181D6">
      <w:pPr>
        <w:pStyle w:val="ListParagraph"/>
        <w:numPr>
          <w:ilvl w:val="0"/>
          <w:numId w:val="1"/>
        </w:numPr>
        <w:rPr>
          <w:color w:val="000000" w:themeColor="text1"/>
          <w:sz w:val="24"/>
          <w:szCs w:val="24"/>
        </w:rPr>
      </w:pPr>
      <w:r w:rsidRPr="5E2181D6">
        <w:rPr>
          <w:sz w:val="24"/>
          <w:szCs w:val="24"/>
        </w:rPr>
        <w:t>Markstaller, M., Pearson, A., Janajreh, I. On Vehicle Testing of Michelin New Wide Base Tire. Society of Automotive Engineers (SAE) Technical Paper 2000-01-3432. SAE International, Warrendale, 2000.</w:t>
      </w:r>
    </w:p>
    <w:p w14:paraId="39D14D42" w14:textId="3575ADC8" w:rsidR="5E2181D6" w:rsidRDefault="5E2181D6" w:rsidP="5E2181D6">
      <w:pPr>
        <w:pStyle w:val="ListParagraph"/>
        <w:numPr>
          <w:ilvl w:val="0"/>
          <w:numId w:val="1"/>
        </w:numPr>
        <w:rPr>
          <w:color w:val="000000" w:themeColor="text1"/>
          <w:sz w:val="24"/>
          <w:szCs w:val="24"/>
        </w:rPr>
      </w:pPr>
      <w:r w:rsidRPr="5E2181D6">
        <w:rPr>
          <w:sz w:val="24"/>
          <w:szCs w:val="24"/>
        </w:rPr>
        <w:t>Ang-Olson, J., Schroeer, W. Energy Efficiency Strategies for Freight Trucking: Potential Impact on Fuel Use and Greenhouse Gas Emissions. Transportation Research Record: Journal of the Transportation Research Board, 2002. 1815: 11–18.</w:t>
      </w:r>
    </w:p>
    <w:p w14:paraId="5322B3F6" w14:textId="49F8BC94" w:rsidR="5E2181D6" w:rsidRDefault="5E2181D6" w:rsidP="5E2181D6">
      <w:pPr>
        <w:pStyle w:val="ListParagraph"/>
        <w:numPr>
          <w:ilvl w:val="0"/>
          <w:numId w:val="1"/>
        </w:numPr>
        <w:rPr>
          <w:color w:val="000000" w:themeColor="text1"/>
          <w:sz w:val="24"/>
          <w:szCs w:val="24"/>
        </w:rPr>
      </w:pPr>
      <w:r w:rsidRPr="5E2181D6">
        <w:rPr>
          <w:sz w:val="24"/>
          <w:szCs w:val="24"/>
        </w:rPr>
        <w:t>Huhtala, M., Pihlajamaki, J., Pienimaki, M. Effects of Tires and Tire Pressures on Road Pavements. Transportation Research Record: Journal of the Transportation Research Board, 1989. 1227: 107–114.</w:t>
      </w:r>
    </w:p>
    <w:p w14:paraId="6B4C5F86" w14:textId="280B178F" w:rsidR="5E2181D6" w:rsidRDefault="5E2181D6" w:rsidP="5E2181D6">
      <w:pPr>
        <w:pStyle w:val="ListParagraph"/>
        <w:numPr>
          <w:ilvl w:val="0"/>
          <w:numId w:val="1"/>
        </w:numPr>
        <w:rPr>
          <w:color w:val="000000" w:themeColor="text1"/>
          <w:sz w:val="24"/>
          <w:szCs w:val="24"/>
        </w:rPr>
      </w:pPr>
      <w:r w:rsidRPr="5E2181D6">
        <w:rPr>
          <w:sz w:val="24"/>
          <w:szCs w:val="24"/>
        </w:rPr>
        <w:t>Sebaaly, P. E., Tabatabaee, N. Effect of Tire Parameters on Pavement damage and load- equivalency factors. Journal of Transportation Engineering, Vol. 118, No. 6, 1992, pp. 805–819.</w:t>
      </w:r>
    </w:p>
    <w:p w14:paraId="6B7A576B" w14:textId="1870A5B3" w:rsidR="5E2181D6" w:rsidRDefault="5E2181D6" w:rsidP="5E2181D6">
      <w:pPr>
        <w:pStyle w:val="ListParagraph"/>
        <w:numPr>
          <w:ilvl w:val="0"/>
          <w:numId w:val="1"/>
        </w:numPr>
        <w:rPr>
          <w:color w:val="000000" w:themeColor="text1"/>
          <w:sz w:val="24"/>
          <w:szCs w:val="24"/>
        </w:rPr>
      </w:pPr>
      <w:r w:rsidRPr="5E2181D6">
        <w:rPr>
          <w:sz w:val="24"/>
          <w:szCs w:val="24"/>
        </w:rPr>
        <w:t>Harvey, J., Popescu, L. Rutting of Caltrans Asphalt Concrete and Asphalt-Rubber Hot Mix under Different Wheels, Tires and Temperatures–Accelerated Pavement Testing Evaluation. Report prepared for California Department of Transportation. University of California, Berkeley, 2000.</w:t>
      </w:r>
    </w:p>
    <w:p w14:paraId="33A29FAA" w14:textId="2D67D22F" w:rsidR="5E2181D6" w:rsidRDefault="5E2181D6" w:rsidP="5E2181D6">
      <w:pPr>
        <w:pStyle w:val="ListParagraph"/>
        <w:numPr>
          <w:ilvl w:val="0"/>
          <w:numId w:val="1"/>
        </w:numPr>
        <w:rPr>
          <w:color w:val="000000" w:themeColor="text1"/>
          <w:sz w:val="24"/>
          <w:szCs w:val="24"/>
        </w:rPr>
      </w:pPr>
      <w:r w:rsidRPr="5E2181D6">
        <w:rPr>
          <w:sz w:val="24"/>
          <w:szCs w:val="24"/>
        </w:rPr>
        <w:t>Gillespie, T. D. NCHRP Report 353: Effects of Heavy-vehicle Characteristics on Pavement Response and Performance. HRB, National Research Council, Washington, D.C., 1993.</w:t>
      </w:r>
    </w:p>
    <w:p w14:paraId="210C49AA" w14:textId="7DE6A277" w:rsidR="5E2181D6" w:rsidRDefault="5E2181D6" w:rsidP="5E2181D6">
      <w:pPr>
        <w:pStyle w:val="ListParagraph"/>
        <w:numPr>
          <w:ilvl w:val="0"/>
          <w:numId w:val="1"/>
        </w:numPr>
        <w:rPr>
          <w:color w:val="000000" w:themeColor="text1"/>
          <w:sz w:val="24"/>
          <w:szCs w:val="24"/>
        </w:rPr>
      </w:pPr>
      <w:r w:rsidRPr="5E2181D6">
        <w:rPr>
          <w:sz w:val="24"/>
          <w:szCs w:val="24"/>
        </w:rPr>
        <w:t>Siddharthan, R. V., Yao, J., Sebaaly, P. E. Pavement Strain from Moving Dynamic 3D Load Distribution. Journal of Transportation Engineering, Vol. 124, No. 6, 1998, pp. 557–566.</w:t>
      </w:r>
    </w:p>
    <w:p w14:paraId="7D54E0C1" w14:textId="274E0B7F" w:rsidR="5E2181D6" w:rsidRDefault="5E2181D6" w:rsidP="5E2181D6">
      <w:pPr>
        <w:pStyle w:val="ListParagraph"/>
        <w:numPr>
          <w:ilvl w:val="0"/>
          <w:numId w:val="1"/>
        </w:numPr>
        <w:rPr>
          <w:color w:val="000000" w:themeColor="text1"/>
          <w:sz w:val="24"/>
          <w:szCs w:val="24"/>
        </w:rPr>
      </w:pPr>
      <w:r w:rsidRPr="5E2181D6">
        <w:rPr>
          <w:sz w:val="24"/>
          <w:szCs w:val="24"/>
        </w:rPr>
        <w:t>Myers, L., Roque, R., Ruth, B., Drakos, C. Measurement of Contact Stresses for Different Truck Tire Types to Evaluate their Influence on Near-Surface Cracking and Rutting. Transportation Research Record: Journal of the Transportation Research Board, 1999. 1655: 175–184.</w:t>
      </w:r>
    </w:p>
    <w:p w14:paraId="1AA976D7" w14:textId="756F19F6" w:rsidR="5E2181D6" w:rsidRDefault="5E2181D6" w:rsidP="5E2181D6">
      <w:pPr>
        <w:pStyle w:val="ListParagraph"/>
        <w:numPr>
          <w:ilvl w:val="0"/>
          <w:numId w:val="1"/>
        </w:numPr>
        <w:rPr>
          <w:color w:val="000000" w:themeColor="text1"/>
          <w:sz w:val="24"/>
          <w:szCs w:val="24"/>
        </w:rPr>
      </w:pPr>
      <w:r w:rsidRPr="5E2181D6">
        <w:rPr>
          <w:sz w:val="24"/>
          <w:szCs w:val="24"/>
        </w:rPr>
        <w:t>COST 334 . Effects of Wide Single Tires and Dual Tires. Final Report of the Action. European Cooperation in the Field of Scientific and Technical Research, Brussels, Belgium, 2004.</w:t>
      </w:r>
    </w:p>
    <w:p w14:paraId="356AA8E9" w14:textId="6F2E96DF" w:rsidR="5E2181D6" w:rsidRDefault="5E2181D6" w:rsidP="5E2181D6">
      <w:pPr>
        <w:pStyle w:val="ListParagraph"/>
        <w:numPr>
          <w:ilvl w:val="0"/>
          <w:numId w:val="1"/>
        </w:numPr>
        <w:rPr>
          <w:color w:val="000000" w:themeColor="text1"/>
          <w:sz w:val="24"/>
          <w:szCs w:val="24"/>
        </w:rPr>
      </w:pPr>
      <w:r w:rsidRPr="5E2181D6">
        <w:rPr>
          <w:sz w:val="24"/>
          <w:szCs w:val="24"/>
        </w:rPr>
        <w:t>Pierre, P., Doré, G., Vagile, L. Characterization and Evaluation of Tire-Roadway Interface Stresses. Ministry of Transport. University of Laval, Quebec, Canada, 2003.</w:t>
      </w:r>
    </w:p>
    <w:p w14:paraId="1368E56A" w14:textId="0CB9C8BC" w:rsidR="5E2181D6" w:rsidRDefault="5E2181D6" w:rsidP="5E2181D6">
      <w:pPr>
        <w:pStyle w:val="ListParagraph"/>
        <w:numPr>
          <w:ilvl w:val="0"/>
          <w:numId w:val="1"/>
        </w:numPr>
        <w:rPr>
          <w:color w:val="000000" w:themeColor="text1"/>
          <w:sz w:val="24"/>
          <w:szCs w:val="24"/>
        </w:rPr>
      </w:pPr>
      <w:r w:rsidRPr="5E2181D6">
        <w:rPr>
          <w:sz w:val="24"/>
          <w:szCs w:val="24"/>
        </w:rPr>
        <w:t>Al-Qadi, I. L., Yoo, P. J., Elseifi, M. A., Janajreh, I. Effects of Tire Configurations on Pavement Damage. Journal of the Association of Asphalt Paving Technologists, Vol. 74, No. 1, 2005, pp. 921–961.</w:t>
      </w:r>
    </w:p>
    <w:p w14:paraId="17E469D7" w14:textId="05845C68" w:rsidR="5E2181D6" w:rsidRDefault="5E2181D6" w:rsidP="5E2181D6">
      <w:pPr>
        <w:pStyle w:val="ListParagraph"/>
        <w:numPr>
          <w:ilvl w:val="0"/>
          <w:numId w:val="1"/>
        </w:numPr>
        <w:rPr>
          <w:color w:val="000000" w:themeColor="text1"/>
          <w:sz w:val="24"/>
          <w:szCs w:val="24"/>
        </w:rPr>
      </w:pPr>
      <w:r w:rsidRPr="5E2181D6">
        <w:rPr>
          <w:sz w:val="24"/>
          <w:szCs w:val="24"/>
        </w:rPr>
        <w:t>Priest, A., Timm, D. Mechanistic Comparison of Wide-Base Single versus Standard Dual Tire Configurations. Transportation Research Record: Journal of the Transportation Research Board, 2006. 1949: 155–163.</w:t>
      </w:r>
    </w:p>
    <w:p w14:paraId="17FF990C" w14:textId="10015116" w:rsidR="5E2181D6" w:rsidRDefault="5E2181D6" w:rsidP="5E2181D6">
      <w:pPr>
        <w:pStyle w:val="ListParagraph"/>
        <w:numPr>
          <w:ilvl w:val="0"/>
          <w:numId w:val="1"/>
        </w:numPr>
        <w:rPr>
          <w:color w:val="000000" w:themeColor="text1"/>
          <w:sz w:val="24"/>
          <w:szCs w:val="24"/>
        </w:rPr>
      </w:pPr>
      <w:r w:rsidRPr="5E2181D6">
        <w:rPr>
          <w:sz w:val="24"/>
          <w:szCs w:val="24"/>
        </w:rPr>
        <w:t>Al-Qadi, I., Dessouky, S., Kwon, J., Tutumluer, E. Geogrid in Flexible Pavements: Vali- Dated Mechanism. Transportation Research Record: Journal of the Transportation Research Board, 2008. 2045: 102–109.</w:t>
      </w:r>
    </w:p>
    <w:p w14:paraId="3E3FA445" w14:textId="41EBDB0A" w:rsidR="5E2181D6" w:rsidRDefault="5E2181D6" w:rsidP="5E2181D6">
      <w:pPr>
        <w:pStyle w:val="ListParagraph"/>
        <w:numPr>
          <w:ilvl w:val="0"/>
          <w:numId w:val="1"/>
        </w:numPr>
        <w:rPr>
          <w:color w:val="000000" w:themeColor="text1"/>
          <w:sz w:val="24"/>
          <w:szCs w:val="24"/>
        </w:rPr>
      </w:pPr>
      <w:r w:rsidRPr="5E2181D6">
        <w:rPr>
          <w:sz w:val="24"/>
          <w:szCs w:val="24"/>
        </w:rPr>
        <w:t>Greene, J., Toros, U., Kim, S., Byron, T., Choubane, B. Impact of Wide-Base Single Tires on Pavement Damage. Transportation Research Record: Journal of the Transportation Research Board, 2010. 2155: 82–90.</w:t>
      </w:r>
    </w:p>
    <w:p w14:paraId="43911617" w14:textId="31B5959E" w:rsidR="5E2181D6" w:rsidRDefault="5E2181D6" w:rsidP="5E2181D6">
      <w:pPr>
        <w:pStyle w:val="ListParagraph"/>
        <w:numPr>
          <w:ilvl w:val="0"/>
          <w:numId w:val="1"/>
        </w:numPr>
        <w:rPr>
          <w:color w:val="000000" w:themeColor="text1"/>
          <w:sz w:val="24"/>
          <w:szCs w:val="24"/>
        </w:rPr>
      </w:pPr>
      <w:r w:rsidRPr="5E2181D6">
        <w:rPr>
          <w:sz w:val="24"/>
          <w:szCs w:val="24"/>
        </w:rPr>
        <w:t>Xue, W., Weaver, E. Pavement Shear Strain Response to Dual and Wide-Base Tires. Transportation Research Record: Journal of the Transportation Research Board, 2011. 2225: 155–164.</w:t>
      </w:r>
    </w:p>
    <w:p w14:paraId="44DFFAED" w14:textId="6018F992" w:rsidR="5E2181D6" w:rsidRDefault="5E2181D6" w:rsidP="5E2181D6">
      <w:pPr>
        <w:pStyle w:val="ListParagraph"/>
        <w:numPr>
          <w:ilvl w:val="0"/>
          <w:numId w:val="1"/>
        </w:numPr>
        <w:rPr>
          <w:color w:val="000000" w:themeColor="text1"/>
          <w:sz w:val="24"/>
          <w:szCs w:val="24"/>
        </w:rPr>
      </w:pPr>
      <w:r w:rsidRPr="5E2181D6">
        <w:rPr>
          <w:sz w:val="24"/>
          <w:szCs w:val="24"/>
        </w:rPr>
        <w:t>Grellet, D., Doré, G., Bilodeau, J.-P., Gauliard, T. Wide-base Single-Tire and Dual-Tire Assemblies: Comparison Based on Experimental Pavement Response and Predicted Damage. Transportation Research Record: Journal of the Transportation Research Board, 2013. 2369: 47–56.</w:t>
      </w:r>
    </w:p>
    <w:p w14:paraId="70207EF2" w14:textId="1DC8AE07" w:rsidR="5E2181D6" w:rsidRDefault="5E2181D6" w:rsidP="5E2181D6">
      <w:pPr>
        <w:pStyle w:val="ListParagraph"/>
        <w:numPr>
          <w:ilvl w:val="0"/>
          <w:numId w:val="1"/>
        </w:numPr>
        <w:rPr>
          <w:color w:val="000000" w:themeColor="text1"/>
          <w:sz w:val="24"/>
          <w:szCs w:val="24"/>
        </w:rPr>
      </w:pPr>
      <w:r w:rsidRPr="5E2181D6">
        <w:rPr>
          <w:sz w:val="24"/>
          <w:szCs w:val="24"/>
        </w:rPr>
        <w:t>Al-Qadi, I., Wang, H., Yoo, P., Dessouky, S. Dynamic Analysis and In Situ Validation of Perpetual Pavement Response to Vehicular Loading. Transportation Research Record: Journal of the Transportation Research Board, 2008. 2087: 29–39.</w:t>
      </w:r>
    </w:p>
    <w:p w14:paraId="6BE2BAE7" w14:textId="33323BE6" w:rsidR="5E2181D6" w:rsidRDefault="5E2181D6" w:rsidP="5E2181D6">
      <w:pPr>
        <w:pStyle w:val="ListParagraph"/>
        <w:numPr>
          <w:ilvl w:val="0"/>
          <w:numId w:val="1"/>
        </w:numPr>
        <w:rPr>
          <w:color w:val="000000" w:themeColor="text1"/>
          <w:sz w:val="24"/>
          <w:szCs w:val="24"/>
        </w:rPr>
      </w:pPr>
      <w:r w:rsidRPr="5E2181D6">
        <w:rPr>
          <w:sz w:val="24"/>
          <w:szCs w:val="24"/>
        </w:rPr>
        <w:t>De Beer, M., Fisher, C. Stress-In-Motion (SIM) System for Capturing Tri-Axial Tyre–Road Interaction in the Contact Patch. Measurement, Vol. 46, No. 7, 2013, pp. 2155–2173.</w:t>
      </w:r>
    </w:p>
    <w:p w14:paraId="1E8D449B" w14:textId="0C072D94" w:rsidR="5E2181D6" w:rsidRDefault="5E2181D6" w:rsidP="5E2181D6">
      <w:pPr>
        <w:pStyle w:val="ListParagraph"/>
        <w:numPr>
          <w:ilvl w:val="0"/>
          <w:numId w:val="1"/>
        </w:numPr>
        <w:rPr>
          <w:color w:val="000000" w:themeColor="text1"/>
          <w:sz w:val="24"/>
          <w:szCs w:val="24"/>
        </w:rPr>
      </w:pPr>
      <w:r w:rsidRPr="5E2181D6">
        <w:rPr>
          <w:sz w:val="24"/>
          <w:szCs w:val="24"/>
        </w:rPr>
        <w:t>Hernandez, J., Gamez, A., Al-Qadi, I., De Beer, M. Analytical Approach for Predicting Three-Dimensional Tire-Pavement Contact Load. Transportation Research Record: Journal of the Transportation Research Board, 2014. 2456: 75–84.</w:t>
      </w:r>
    </w:p>
    <w:p w14:paraId="7FF23C8D" w14:textId="7C1D96ED" w:rsidR="5E2181D6" w:rsidRDefault="5E2181D6" w:rsidP="5E2181D6">
      <w:pPr>
        <w:pStyle w:val="ListParagraph"/>
        <w:numPr>
          <w:ilvl w:val="0"/>
          <w:numId w:val="1"/>
        </w:numPr>
        <w:rPr>
          <w:color w:val="000000" w:themeColor="text1"/>
          <w:sz w:val="24"/>
          <w:szCs w:val="24"/>
        </w:rPr>
      </w:pPr>
      <w:r w:rsidRPr="5E2181D6">
        <w:rPr>
          <w:sz w:val="24"/>
          <w:szCs w:val="24"/>
        </w:rPr>
        <w:t>Hernandez, J. A., Al-Qadi, I., De Beer, M. Impact of Tire Loading and Tire Pressure on Measured 3D Contact Stresses. In Airfield and Highway Pavement 2013: Sustainable and Efficient Pavements (Murrell, S., Al-Qadi, I. L., eds.), ASCE, Los Angeles, 2013, pp. 551–560.</w:t>
      </w:r>
    </w:p>
    <w:p w14:paraId="3A7E44D5" w14:textId="58A52A30" w:rsidR="5E2181D6" w:rsidRDefault="5E2181D6" w:rsidP="5E2181D6">
      <w:pPr>
        <w:pStyle w:val="ListParagraph"/>
        <w:numPr>
          <w:ilvl w:val="0"/>
          <w:numId w:val="1"/>
        </w:numPr>
        <w:rPr>
          <w:color w:val="000000" w:themeColor="text1"/>
          <w:sz w:val="24"/>
          <w:szCs w:val="24"/>
        </w:rPr>
      </w:pPr>
      <w:r w:rsidRPr="5E2181D6">
        <w:rPr>
          <w:sz w:val="24"/>
          <w:szCs w:val="24"/>
        </w:rPr>
        <w:t>Hernandez, J. A., Gamez, A., Al-Qadi, I. L. Effect of Wide-Base Tires on Nationwide Flexible Pavement Systems: Numerical Modeling. Transportation Research Record: Journal of the Transportation Research Board, 2016. 2590: 104–112.</w:t>
      </w:r>
    </w:p>
    <w:p w14:paraId="501145BB" w14:textId="617D958A" w:rsidR="5E2181D6" w:rsidRDefault="5E2181D6" w:rsidP="5E2181D6">
      <w:pPr>
        <w:pStyle w:val="ListParagraph"/>
        <w:numPr>
          <w:ilvl w:val="0"/>
          <w:numId w:val="1"/>
        </w:numPr>
        <w:rPr>
          <w:color w:val="000000" w:themeColor="text1"/>
          <w:sz w:val="24"/>
          <w:szCs w:val="24"/>
        </w:rPr>
      </w:pPr>
      <w:r w:rsidRPr="5E2181D6">
        <w:rPr>
          <w:sz w:val="24"/>
          <w:szCs w:val="24"/>
        </w:rPr>
        <w:t>Gungor, O. E., Al-Qadi, I. L., Gamez, A., Hernandez, J. A. In-Situ Validation of Three- Dimensional Pavement Finite Element Models. In The Roles of Accelerated Pavement Testing in Pavement Sustainability (Aguiar-Moya, J., Vargas-Nordcbeck, A., Leiva-Villacorta, F., Loría-Salazar, L., eds.), Springer, Cham, 2016, pp. 145–159.</w:t>
      </w:r>
    </w:p>
    <w:p w14:paraId="187CBB1D" w14:textId="74C97405" w:rsidR="5E2181D6" w:rsidRDefault="5E2181D6" w:rsidP="5E2181D6">
      <w:pPr>
        <w:pStyle w:val="ListParagraph"/>
        <w:numPr>
          <w:ilvl w:val="0"/>
          <w:numId w:val="1"/>
        </w:numPr>
        <w:rPr>
          <w:color w:val="000000" w:themeColor="text1"/>
          <w:sz w:val="24"/>
          <w:szCs w:val="24"/>
        </w:rPr>
      </w:pPr>
      <w:r w:rsidRPr="5E2181D6">
        <w:rPr>
          <w:sz w:val="24"/>
          <w:szCs w:val="24"/>
        </w:rPr>
        <w:t>Gungor, O. E., Al-Qadi, I. L., Gamez, A., Hernandez, J. A. Development of Adjustment Factors for MEPDG Pavement Responses Utilizing Finite-Element Analysis. Journal of Transportation Engineering, Part A: Systems, Vol. 143, No. 7, 2017, p. 04017022.</w:t>
      </w:r>
    </w:p>
    <w:p w14:paraId="563A457F" w14:textId="06901715" w:rsidR="5E2181D6" w:rsidRDefault="5E2181D6" w:rsidP="5E2181D6">
      <w:pPr>
        <w:pStyle w:val="ListParagraph"/>
        <w:numPr>
          <w:ilvl w:val="0"/>
          <w:numId w:val="1"/>
        </w:numPr>
        <w:rPr>
          <w:color w:val="000000" w:themeColor="text1"/>
          <w:sz w:val="24"/>
          <w:szCs w:val="24"/>
        </w:rPr>
      </w:pPr>
      <w:r w:rsidRPr="5E2181D6">
        <w:rPr>
          <w:sz w:val="24"/>
          <w:szCs w:val="24"/>
        </w:rPr>
        <w:t>Gungor, O. E., Hernandez, J. A., Gamez, A., Al-Qadi, I. L. Quantitative Assessment of the Effect of Wide-Base Tires on Pavement Response by Finite Element Analysis. Transportation Research Record: Journal of the Transportation Research Board, 2016. 2590: 37–43.</w:t>
      </w:r>
    </w:p>
    <w:p w14:paraId="4E92F4DA" w14:textId="64C5EF4C" w:rsidR="5E2181D6" w:rsidRDefault="5E2181D6" w:rsidP="5E2181D6">
      <w:pPr>
        <w:pStyle w:val="ListParagraph"/>
        <w:numPr>
          <w:ilvl w:val="0"/>
          <w:numId w:val="1"/>
        </w:numPr>
        <w:rPr>
          <w:color w:val="000000" w:themeColor="text1"/>
          <w:sz w:val="24"/>
          <w:szCs w:val="24"/>
        </w:rPr>
      </w:pPr>
      <w:r w:rsidRPr="5E2181D6">
        <w:rPr>
          <w:sz w:val="24"/>
          <w:szCs w:val="24"/>
        </w:rPr>
        <w:t>Ziyadi, M., Al-Qadi, I. L. Efficient Surrogate Method for Predicting Pavement Response to Various Tire Configurations. Neural Computing and Applications, Vol. 28, No. 6, 2016, pp. 1355–1367.</w:t>
      </w:r>
    </w:p>
    <w:p w14:paraId="50A53418" w14:textId="6943FE0C" w:rsidR="5E2181D6" w:rsidRDefault="5E2181D6" w:rsidP="5E2181D6">
      <w:pPr>
        <w:pStyle w:val="ListParagraph"/>
        <w:numPr>
          <w:ilvl w:val="0"/>
          <w:numId w:val="1"/>
        </w:numPr>
        <w:rPr>
          <w:color w:val="000000" w:themeColor="text1"/>
          <w:sz w:val="24"/>
          <w:szCs w:val="24"/>
        </w:rPr>
      </w:pPr>
      <w:r w:rsidRPr="5E2181D6">
        <w:rPr>
          <w:sz w:val="24"/>
          <w:szCs w:val="24"/>
        </w:rPr>
        <w:t>Moghaddam, F. R., Afandizadeh, S., Ziyadi, M. Prediction of Accident Severity Using Artificial Neural Networks. International Journal of Civil Engineering, Vol. 9, No. 1, 2011, p. 41.</w:t>
      </w:r>
    </w:p>
    <w:p w14:paraId="606E1DDB" w14:textId="288690BF" w:rsidR="5E2181D6" w:rsidRDefault="5E2181D6" w:rsidP="5E2181D6">
      <w:pPr>
        <w:pStyle w:val="ListParagraph"/>
        <w:numPr>
          <w:ilvl w:val="0"/>
          <w:numId w:val="1"/>
        </w:numPr>
        <w:rPr>
          <w:color w:val="000000" w:themeColor="text1"/>
          <w:sz w:val="24"/>
          <w:szCs w:val="24"/>
        </w:rPr>
      </w:pPr>
      <w:r w:rsidRPr="5E2181D6">
        <w:rPr>
          <w:sz w:val="24"/>
          <w:szCs w:val="24"/>
        </w:rPr>
        <w:t>Ziyadi, M., Al-Qadi, I. L. Tire Type Effect on Pavement Responses; Accelerated Pavement Testing Results. In The Roles of Accelerated Pavement Testing in Pavement Sustainability (Aguiar-Moya, J., Vargas-Nordcbeck, A., Leiva-Villacorta, F., Loría-Salazar, L., eds.), Springer, Cham, 2016, pp. 277–288.</w:t>
      </w:r>
    </w:p>
    <w:p w14:paraId="6AB3420D" w14:textId="4D5BE788" w:rsidR="5E2181D6" w:rsidRDefault="5E2181D6" w:rsidP="5E2181D6">
      <w:pPr>
        <w:pStyle w:val="ListParagraph"/>
        <w:numPr>
          <w:ilvl w:val="0"/>
          <w:numId w:val="1"/>
        </w:numPr>
        <w:rPr>
          <w:color w:val="000000" w:themeColor="text1"/>
          <w:sz w:val="24"/>
          <w:szCs w:val="24"/>
        </w:rPr>
      </w:pPr>
      <w:r w:rsidRPr="5E2181D6">
        <w:rPr>
          <w:sz w:val="24"/>
          <w:szCs w:val="24"/>
        </w:rPr>
        <w:t>Standard, I. Environmental Management-Life Cycle Assessment Requirements and Guidelines, Vol. 14044. ISO, 2006.</w:t>
      </w:r>
    </w:p>
    <w:p w14:paraId="3704E934" w14:textId="1E1A578F" w:rsidR="5E2181D6" w:rsidRDefault="5E2181D6" w:rsidP="5E2181D6">
      <w:pPr>
        <w:pStyle w:val="ListParagraph"/>
        <w:numPr>
          <w:ilvl w:val="0"/>
          <w:numId w:val="1"/>
        </w:numPr>
        <w:rPr>
          <w:sz w:val="24"/>
          <w:szCs w:val="24"/>
        </w:rPr>
      </w:pPr>
      <w:r w:rsidRPr="5E2181D6">
        <w:rPr>
          <w:color w:val="333333"/>
          <w:sz w:val="24"/>
          <w:szCs w:val="24"/>
        </w:rPr>
        <w:t>Kang, S., Al-Qadi, I., Ozer, H., Ziyadi, M., Harvey, J. Environmental and Economic Impact of Using New Generation Wide-Base Tires. Transportation Research Part D: Transport and Environment, Vol. In Press, 2018.</w:t>
      </w:r>
    </w:p>
    <w:sectPr w:rsidR="5E2181D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22D"/>
    <w:multiLevelType w:val="hybridMultilevel"/>
    <w:tmpl w:val="0DFA8424"/>
    <w:lvl w:ilvl="0" w:tplc="CCC2CA6E">
      <w:start w:val="1"/>
      <w:numFmt w:val="decimal"/>
      <w:lvlText w:val="%1."/>
      <w:lvlJc w:val="left"/>
      <w:pPr>
        <w:ind w:left="720" w:hanging="360"/>
      </w:pPr>
    </w:lvl>
    <w:lvl w:ilvl="1" w:tplc="59384FD0">
      <w:start w:val="1"/>
      <w:numFmt w:val="lowerLetter"/>
      <w:lvlText w:val="%2."/>
      <w:lvlJc w:val="left"/>
      <w:pPr>
        <w:ind w:left="1440" w:hanging="360"/>
      </w:pPr>
    </w:lvl>
    <w:lvl w:ilvl="2" w:tplc="3F94A664">
      <w:start w:val="1"/>
      <w:numFmt w:val="lowerRoman"/>
      <w:lvlText w:val="%3."/>
      <w:lvlJc w:val="right"/>
      <w:pPr>
        <w:ind w:left="2160" w:hanging="180"/>
      </w:pPr>
    </w:lvl>
    <w:lvl w:ilvl="3" w:tplc="C90C8C86">
      <w:start w:val="1"/>
      <w:numFmt w:val="decimal"/>
      <w:lvlText w:val="%4."/>
      <w:lvlJc w:val="left"/>
      <w:pPr>
        <w:ind w:left="2880" w:hanging="360"/>
      </w:pPr>
    </w:lvl>
    <w:lvl w:ilvl="4" w:tplc="563223AC">
      <w:start w:val="1"/>
      <w:numFmt w:val="lowerLetter"/>
      <w:lvlText w:val="%5."/>
      <w:lvlJc w:val="left"/>
      <w:pPr>
        <w:ind w:left="3600" w:hanging="360"/>
      </w:pPr>
    </w:lvl>
    <w:lvl w:ilvl="5" w:tplc="CB6EB4BA">
      <w:start w:val="1"/>
      <w:numFmt w:val="lowerRoman"/>
      <w:lvlText w:val="%6."/>
      <w:lvlJc w:val="right"/>
      <w:pPr>
        <w:ind w:left="4320" w:hanging="180"/>
      </w:pPr>
    </w:lvl>
    <w:lvl w:ilvl="6" w:tplc="C4B2566A">
      <w:start w:val="1"/>
      <w:numFmt w:val="decimal"/>
      <w:lvlText w:val="%7."/>
      <w:lvlJc w:val="left"/>
      <w:pPr>
        <w:ind w:left="5040" w:hanging="360"/>
      </w:pPr>
    </w:lvl>
    <w:lvl w:ilvl="7" w:tplc="95BE1D84">
      <w:start w:val="1"/>
      <w:numFmt w:val="lowerLetter"/>
      <w:lvlText w:val="%8."/>
      <w:lvlJc w:val="left"/>
      <w:pPr>
        <w:ind w:left="5760" w:hanging="360"/>
      </w:pPr>
    </w:lvl>
    <w:lvl w:ilvl="8" w:tplc="989ABC3A">
      <w:start w:val="1"/>
      <w:numFmt w:val="lowerRoman"/>
      <w:lvlText w:val="%9."/>
      <w:lvlJc w:val="right"/>
      <w:pPr>
        <w:ind w:left="6480" w:hanging="180"/>
      </w:pPr>
    </w:lvl>
  </w:abstractNum>
  <w:abstractNum w:abstractNumId="1"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0"/>
  </w:num>
  <w:num w:numId="3">
    <w:abstractNumId w:val="1"/>
  </w:num>
  <w:num w:numId="4">
    <w:abstractNumId w:val="33"/>
  </w:num>
  <w:num w:numId="5">
    <w:abstractNumId w:val="36"/>
  </w:num>
  <w:num w:numId="6">
    <w:abstractNumId w:val="49"/>
  </w:num>
  <w:num w:numId="7">
    <w:abstractNumId w:val="8"/>
  </w:num>
  <w:num w:numId="8">
    <w:abstractNumId w:val="23"/>
  </w:num>
  <w:num w:numId="9">
    <w:abstractNumId w:val="21"/>
  </w:num>
  <w:num w:numId="10">
    <w:abstractNumId w:val="18"/>
  </w:num>
  <w:num w:numId="11">
    <w:abstractNumId w:val="5"/>
  </w:num>
  <w:num w:numId="12">
    <w:abstractNumId w:val="11"/>
  </w:num>
  <w:num w:numId="13">
    <w:abstractNumId w:val="6"/>
  </w:num>
  <w:num w:numId="14">
    <w:abstractNumId w:val="26"/>
  </w:num>
  <w:num w:numId="15">
    <w:abstractNumId w:val="2"/>
  </w:num>
  <w:num w:numId="16">
    <w:abstractNumId w:val="32"/>
  </w:num>
  <w:num w:numId="17">
    <w:abstractNumId w:val="40"/>
  </w:num>
  <w:num w:numId="18">
    <w:abstractNumId w:val="48"/>
  </w:num>
  <w:num w:numId="19">
    <w:abstractNumId w:val="13"/>
  </w:num>
  <w:num w:numId="20">
    <w:abstractNumId w:val="19"/>
  </w:num>
  <w:num w:numId="21">
    <w:abstractNumId w:val="39"/>
  </w:num>
  <w:num w:numId="22">
    <w:abstractNumId w:val="10"/>
  </w:num>
  <w:num w:numId="23">
    <w:abstractNumId w:val="28"/>
  </w:num>
  <w:num w:numId="24">
    <w:abstractNumId w:val="35"/>
  </w:num>
  <w:num w:numId="25">
    <w:abstractNumId w:val="37"/>
  </w:num>
  <w:num w:numId="26">
    <w:abstractNumId w:val="7"/>
  </w:num>
  <w:num w:numId="27">
    <w:abstractNumId w:val="38"/>
  </w:num>
  <w:num w:numId="28">
    <w:abstractNumId w:val="22"/>
  </w:num>
  <w:num w:numId="29">
    <w:abstractNumId w:val="20"/>
  </w:num>
  <w:num w:numId="30">
    <w:abstractNumId w:val="12"/>
  </w:num>
  <w:num w:numId="31">
    <w:abstractNumId w:val="3"/>
  </w:num>
  <w:num w:numId="32">
    <w:abstractNumId w:val="47"/>
  </w:num>
  <w:num w:numId="33">
    <w:abstractNumId w:val="41"/>
  </w:num>
  <w:num w:numId="34">
    <w:abstractNumId w:val="29"/>
  </w:num>
  <w:num w:numId="35">
    <w:abstractNumId w:val="27"/>
  </w:num>
  <w:num w:numId="36">
    <w:abstractNumId w:val="9"/>
  </w:num>
  <w:num w:numId="37">
    <w:abstractNumId w:val="24"/>
  </w:num>
  <w:num w:numId="38">
    <w:abstractNumId w:val="42"/>
  </w:num>
  <w:num w:numId="39">
    <w:abstractNumId w:val="16"/>
  </w:num>
  <w:num w:numId="40">
    <w:abstractNumId w:val="4"/>
  </w:num>
  <w:num w:numId="41">
    <w:abstractNumId w:val="17"/>
  </w:num>
  <w:num w:numId="42">
    <w:abstractNumId w:val="14"/>
  </w:num>
  <w:num w:numId="43">
    <w:abstractNumId w:val="44"/>
  </w:num>
  <w:num w:numId="44">
    <w:abstractNumId w:val="31"/>
  </w:num>
  <w:num w:numId="45">
    <w:abstractNumId w:val="46"/>
  </w:num>
  <w:num w:numId="46">
    <w:abstractNumId w:val="34"/>
  </w:num>
  <w:num w:numId="47">
    <w:abstractNumId w:val="15"/>
  </w:num>
  <w:num w:numId="48">
    <w:abstractNumId w:val="43"/>
  </w:num>
  <w:num w:numId="49">
    <w:abstractNumId w:val="25"/>
  </w:num>
  <w:num w:numId="50">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UdyhtkMnkwVn9qXzHrLz2Ul9r7f+McKxkfVqYlwWtM5t4rQ2WyuQwmzLkpvLhfg13M3VdZTlu9HQyQSbdyRfw==" w:salt="VPpBvocEiDF+u04jrf5w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1178"/>
    <w:rsid w:val="00034205"/>
    <w:rsid w:val="00035704"/>
    <w:rsid w:val="000372ED"/>
    <w:rsid w:val="00041C27"/>
    <w:rsid w:val="000437DE"/>
    <w:rsid w:val="00043C8E"/>
    <w:rsid w:val="00044EBA"/>
    <w:rsid w:val="0004637E"/>
    <w:rsid w:val="0004717F"/>
    <w:rsid w:val="000525F1"/>
    <w:rsid w:val="0005413F"/>
    <w:rsid w:val="00056258"/>
    <w:rsid w:val="00056869"/>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08D6"/>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54E"/>
    <w:rsid w:val="00206CC8"/>
    <w:rsid w:val="00211264"/>
    <w:rsid w:val="00211422"/>
    <w:rsid w:val="00212109"/>
    <w:rsid w:val="0021761E"/>
    <w:rsid w:val="00224240"/>
    <w:rsid w:val="00225C7C"/>
    <w:rsid w:val="00226FA2"/>
    <w:rsid w:val="00233BB2"/>
    <w:rsid w:val="0024134B"/>
    <w:rsid w:val="002474A9"/>
    <w:rsid w:val="00250633"/>
    <w:rsid w:val="00250BC7"/>
    <w:rsid w:val="00251132"/>
    <w:rsid w:val="00251173"/>
    <w:rsid w:val="002535DF"/>
    <w:rsid w:val="002558EB"/>
    <w:rsid w:val="00255B43"/>
    <w:rsid w:val="00255BDC"/>
    <w:rsid w:val="00255BEA"/>
    <w:rsid w:val="00261403"/>
    <w:rsid w:val="00261F59"/>
    <w:rsid w:val="002679EC"/>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5E7A"/>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2DA0"/>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2363"/>
    <w:rsid w:val="004055B8"/>
    <w:rsid w:val="0040709D"/>
    <w:rsid w:val="004122F9"/>
    <w:rsid w:val="004124D3"/>
    <w:rsid w:val="004139BA"/>
    <w:rsid w:val="00414591"/>
    <w:rsid w:val="00420CFB"/>
    <w:rsid w:val="00421CBC"/>
    <w:rsid w:val="004260BF"/>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5FAC"/>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0F7A"/>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1AA7"/>
    <w:rsid w:val="005C30E9"/>
    <w:rsid w:val="005C663B"/>
    <w:rsid w:val="005D1C38"/>
    <w:rsid w:val="005D1ED6"/>
    <w:rsid w:val="005D5C43"/>
    <w:rsid w:val="005D749B"/>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1602"/>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0D4"/>
    <w:rsid w:val="00813292"/>
    <w:rsid w:val="00813E40"/>
    <w:rsid w:val="00813EE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5195"/>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185B"/>
    <w:rsid w:val="0090248F"/>
    <w:rsid w:val="00902F25"/>
    <w:rsid w:val="0090407E"/>
    <w:rsid w:val="00905334"/>
    <w:rsid w:val="00907ABB"/>
    <w:rsid w:val="0091052F"/>
    <w:rsid w:val="00911307"/>
    <w:rsid w:val="009113C5"/>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B2F0A"/>
    <w:rsid w:val="00AB4807"/>
    <w:rsid w:val="00AB4813"/>
    <w:rsid w:val="00AC0052"/>
    <w:rsid w:val="00AC04D6"/>
    <w:rsid w:val="00AC1CB9"/>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BAD"/>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13A5"/>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5959"/>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D701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65A"/>
    <w:rsid w:val="00FF2B49"/>
    <w:rsid w:val="00FF3001"/>
    <w:rsid w:val="00FF5582"/>
    <w:rsid w:val="0366D38D"/>
    <w:rsid w:val="056AE56C"/>
    <w:rsid w:val="06CADB54"/>
    <w:rsid w:val="08EA3FA4"/>
    <w:rsid w:val="0A577EEC"/>
    <w:rsid w:val="0B360AF9"/>
    <w:rsid w:val="0CD1DB5A"/>
    <w:rsid w:val="0DBDB0C7"/>
    <w:rsid w:val="14F22425"/>
    <w:rsid w:val="17BB99B4"/>
    <w:rsid w:val="1B6165A9"/>
    <w:rsid w:val="1D9408A1"/>
    <w:rsid w:val="1E7FDE0E"/>
    <w:rsid w:val="20CBA963"/>
    <w:rsid w:val="21B77ED0"/>
    <w:rsid w:val="27697C00"/>
    <w:rsid w:val="2855516D"/>
    <w:rsid w:val="2D021EFD"/>
    <w:rsid w:val="2DBF9527"/>
    <w:rsid w:val="32533A5A"/>
    <w:rsid w:val="349F05AF"/>
    <w:rsid w:val="3BFA1CA0"/>
    <w:rsid w:val="3C1344FD"/>
    <w:rsid w:val="3DEAEFD7"/>
    <w:rsid w:val="3DF2DD5D"/>
    <w:rsid w:val="49359004"/>
    <w:rsid w:val="4AB83808"/>
    <w:rsid w:val="4CEADB00"/>
    <w:rsid w:val="518469E8"/>
    <w:rsid w:val="582D8DA7"/>
    <w:rsid w:val="59C95E08"/>
    <w:rsid w:val="5A2A3FDB"/>
    <w:rsid w:val="5E2181D6"/>
    <w:rsid w:val="6513FE35"/>
    <w:rsid w:val="6832769A"/>
    <w:rsid w:val="6C1A1250"/>
    <w:rsid w:val="6EA1B81E"/>
    <w:rsid w:val="6F0FE351"/>
    <w:rsid w:val="7236493C"/>
    <w:rsid w:val="761DE4F2"/>
    <w:rsid w:val="77F981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195"/>
  </w:style>
  <w:style w:type="paragraph" w:styleId="Heading1">
    <w:name w:val="heading 1"/>
    <w:basedOn w:val="Normal"/>
    <w:next w:val="Normal"/>
    <w:link w:val="Heading1Char"/>
    <w:uiPriority w:val="9"/>
    <w:qFormat/>
    <w:rsid w:val="0086519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519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519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5195"/>
    <w:pPr>
      <w:keepNext/>
      <w:keepLines/>
      <w:spacing w:before="40" w:after="0"/>
      <w:outlineLvl w:val="3"/>
    </w:pPr>
    <w:rPr>
      <w:i/>
      <w:iCs/>
    </w:rPr>
  </w:style>
  <w:style w:type="paragraph" w:styleId="Heading5">
    <w:name w:val="heading 5"/>
    <w:basedOn w:val="Normal"/>
    <w:next w:val="Normal"/>
    <w:link w:val="Heading5Char"/>
    <w:uiPriority w:val="9"/>
    <w:unhideWhenUsed/>
    <w:qFormat/>
    <w:rsid w:val="0086519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65195"/>
    <w:pPr>
      <w:keepNext/>
      <w:keepLines/>
      <w:spacing w:before="40" w:after="0"/>
      <w:outlineLvl w:val="5"/>
    </w:pPr>
  </w:style>
  <w:style w:type="paragraph" w:styleId="Heading7">
    <w:name w:val="heading 7"/>
    <w:basedOn w:val="Normal"/>
    <w:next w:val="Normal"/>
    <w:link w:val="Heading7Char"/>
    <w:uiPriority w:val="9"/>
    <w:semiHidden/>
    <w:unhideWhenUsed/>
    <w:qFormat/>
    <w:rsid w:val="0086519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519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519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19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519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519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5195"/>
    <w:rPr>
      <w:i/>
      <w:iCs/>
    </w:rPr>
  </w:style>
  <w:style w:type="character" w:customStyle="1" w:styleId="Heading5Char">
    <w:name w:val="Heading 5 Char"/>
    <w:basedOn w:val="DefaultParagraphFont"/>
    <w:link w:val="Heading5"/>
    <w:uiPriority w:val="9"/>
    <w:rsid w:val="00865195"/>
    <w:rPr>
      <w:color w:val="404040" w:themeColor="text1" w:themeTint="BF"/>
    </w:rPr>
  </w:style>
  <w:style w:type="character" w:customStyle="1" w:styleId="Heading6Char">
    <w:name w:val="Heading 6 Char"/>
    <w:basedOn w:val="DefaultParagraphFont"/>
    <w:link w:val="Heading6"/>
    <w:uiPriority w:val="9"/>
    <w:rsid w:val="00865195"/>
  </w:style>
  <w:style w:type="character" w:customStyle="1" w:styleId="Heading7Char">
    <w:name w:val="Heading 7 Char"/>
    <w:basedOn w:val="DefaultParagraphFont"/>
    <w:link w:val="Heading7"/>
    <w:uiPriority w:val="9"/>
    <w:semiHidden/>
    <w:rsid w:val="0086519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5195"/>
    <w:rPr>
      <w:color w:val="262626" w:themeColor="text1" w:themeTint="D9"/>
      <w:sz w:val="21"/>
      <w:szCs w:val="21"/>
    </w:rPr>
  </w:style>
  <w:style w:type="character" w:customStyle="1" w:styleId="Heading9Char">
    <w:name w:val="Heading 9 Char"/>
    <w:basedOn w:val="DefaultParagraphFont"/>
    <w:link w:val="Heading9"/>
    <w:uiPriority w:val="9"/>
    <w:semiHidden/>
    <w:rsid w:val="0086519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519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519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519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519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5195"/>
    <w:rPr>
      <w:color w:val="5A5A5A" w:themeColor="text1" w:themeTint="A5"/>
      <w:spacing w:val="15"/>
    </w:rPr>
  </w:style>
  <w:style w:type="character" w:styleId="Strong">
    <w:name w:val="Strong"/>
    <w:basedOn w:val="DefaultParagraphFont"/>
    <w:uiPriority w:val="22"/>
    <w:qFormat/>
    <w:rsid w:val="00865195"/>
    <w:rPr>
      <w:b/>
      <w:bCs/>
      <w:color w:val="auto"/>
    </w:rPr>
  </w:style>
  <w:style w:type="character" w:styleId="Emphasis">
    <w:name w:val="Emphasis"/>
    <w:basedOn w:val="DefaultParagraphFont"/>
    <w:uiPriority w:val="20"/>
    <w:qFormat/>
    <w:rsid w:val="00865195"/>
    <w:rPr>
      <w:i/>
      <w:iCs/>
      <w:color w:val="auto"/>
    </w:rPr>
  </w:style>
  <w:style w:type="paragraph" w:styleId="NoSpacing">
    <w:name w:val="No Spacing"/>
    <w:uiPriority w:val="1"/>
    <w:qFormat/>
    <w:rsid w:val="0086519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519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5195"/>
    <w:rPr>
      <w:i/>
      <w:iCs/>
      <w:color w:val="404040" w:themeColor="text1" w:themeTint="BF"/>
    </w:rPr>
  </w:style>
  <w:style w:type="paragraph" w:styleId="IntenseQuote">
    <w:name w:val="Intense Quote"/>
    <w:basedOn w:val="Normal"/>
    <w:next w:val="Normal"/>
    <w:link w:val="IntenseQuoteChar"/>
    <w:uiPriority w:val="30"/>
    <w:qFormat/>
    <w:rsid w:val="0086519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5195"/>
    <w:rPr>
      <w:i/>
      <w:iCs/>
      <w:color w:val="404040" w:themeColor="text1" w:themeTint="BF"/>
    </w:rPr>
  </w:style>
  <w:style w:type="character" w:styleId="SubtleEmphasis">
    <w:name w:val="Subtle Emphasis"/>
    <w:basedOn w:val="DefaultParagraphFont"/>
    <w:uiPriority w:val="19"/>
    <w:qFormat/>
    <w:rsid w:val="00865195"/>
    <w:rPr>
      <w:i/>
      <w:iCs/>
      <w:color w:val="404040" w:themeColor="text1" w:themeTint="BF"/>
    </w:rPr>
  </w:style>
  <w:style w:type="character" w:styleId="IntenseEmphasis">
    <w:name w:val="Intense Emphasis"/>
    <w:basedOn w:val="DefaultParagraphFont"/>
    <w:uiPriority w:val="21"/>
    <w:qFormat/>
    <w:rsid w:val="00865195"/>
    <w:rPr>
      <w:b/>
      <w:bCs/>
      <w:i/>
      <w:iCs/>
      <w:color w:val="auto"/>
    </w:rPr>
  </w:style>
  <w:style w:type="character" w:styleId="SubtleReference">
    <w:name w:val="Subtle Reference"/>
    <w:basedOn w:val="DefaultParagraphFont"/>
    <w:uiPriority w:val="31"/>
    <w:qFormat/>
    <w:rsid w:val="00865195"/>
    <w:rPr>
      <w:smallCaps/>
      <w:color w:val="404040" w:themeColor="text1" w:themeTint="BF"/>
    </w:rPr>
  </w:style>
  <w:style w:type="character" w:styleId="IntenseReference">
    <w:name w:val="Intense Reference"/>
    <w:basedOn w:val="DefaultParagraphFont"/>
    <w:uiPriority w:val="32"/>
    <w:qFormat/>
    <w:rsid w:val="00865195"/>
    <w:rPr>
      <w:b/>
      <w:bCs/>
      <w:smallCaps/>
      <w:color w:val="404040" w:themeColor="text1" w:themeTint="BF"/>
      <w:spacing w:val="5"/>
    </w:rPr>
  </w:style>
  <w:style w:type="character" w:styleId="BookTitle">
    <w:name w:val="Book Title"/>
    <w:basedOn w:val="DefaultParagraphFont"/>
    <w:uiPriority w:val="33"/>
    <w:qFormat/>
    <w:rsid w:val="00865195"/>
    <w:rPr>
      <w:b/>
      <w:bCs/>
      <w:i/>
      <w:iCs/>
      <w:spacing w:val="5"/>
    </w:rPr>
  </w:style>
  <w:style w:type="paragraph" w:styleId="TOCHeading">
    <w:name w:val="TOC Heading"/>
    <w:basedOn w:val="Heading1"/>
    <w:next w:val="Normal"/>
    <w:uiPriority w:val="39"/>
    <w:semiHidden/>
    <w:unhideWhenUsed/>
    <w:qFormat/>
    <w:rsid w:val="0086519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361198118757969" TargetMode="Externa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https://journals.sagepub.com/doi/10.1177/0361198118757969"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5873</Words>
  <Characters>33482</Characters>
  <Application>Microsoft Office Word</Application>
  <DocSecurity>8</DocSecurity>
  <Lines>279</Lines>
  <Paragraphs>78</Paragraphs>
  <ScaleCrop>false</ScaleCrop>
  <Company/>
  <LinksUpToDate>false</LinksUpToDate>
  <CharactersWithSpaces>39277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2022-02-09T19:47:00Z</dcterms:created>
  <dcterms:modified xsi:type="dcterms:W3CDTF">2022-02-28T18:26:00Z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