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A6C7480" w:rsidR="000A7622" w:rsidRPr="00C04F25" w:rsidRDefault="00565677" w:rsidP="00D14423">
      <w:pPr>
        <w:autoSpaceDE w:val="0"/>
        <w:autoSpaceDN w:val="0"/>
        <w:adjustRightInd w:val="0"/>
        <w:rPr>
          <w:rFonts w:cstheme="minorHAnsi"/>
          <w:b/>
          <w:bCs/>
          <w:i/>
          <w:iCs/>
          <w:sz w:val="32"/>
          <w:szCs w:val="32"/>
        </w:rPr>
      </w:pPr>
      <w:r>
        <w:rPr>
          <w:rFonts w:cstheme="minorHAnsi"/>
          <w:b/>
          <w:bCs/>
          <w:i/>
          <w:iCs/>
          <w:sz w:val="32"/>
          <w:szCs w:val="32"/>
        </w:rPr>
        <w:t xml:space="preserve">Social and Cultural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E3556F1" w:rsidR="00440BC4" w:rsidRDefault="000A7622" w:rsidP="00D14423">
      <w:pPr>
        <w:rPr>
          <w:rFonts w:cstheme="minorHAnsi"/>
          <w:b/>
          <w:bCs/>
          <w:sz w:val="24"/>
          <w:szCs w:val="24"/>
        </w:rPr>
      </w:pPr>
      <w:r w:rsidRPr="00C04F25">
        <w:rPr>
          <w:rFonts w:cstheme="minorHAnsi"/>
          <w:i/>
          <w:sz w:val="24"/>
          <w:szCs w:val="24"/>
          <w:lang w:val="fr-FR"/>
        </w:rPr>
        <w:t>Journal</w:t>
      </w:r>
      <w:r w:rsidR="0012104C">
        <w:rPr>
          <w:rFonts w:cstheme="minorHAnsi"/>
          <w:i/>
          <w:sz w:val="24"/>
          <w:szCs w:val="24"/>
          <w:lang w:val="fr-FR"/>
        </w:rPr>
        <w:t xml:space="preserve"> of </w:t>
      </w:r>
      <w:proofErr w:type="spellStart"/>
      <w:r w:rsidR="0012104C">
        <w:rPr>
          <w:rFonts w:cstheme="minorHAnsi"/>
          <w:i/>
          <w:sz w:val="24"/>
          <w:szCs w:val="24"/>
          <w:lang w:val="fr-FR"/>
        </w:rPr>
        <w:t>Ethnicity</w:t>
      </w:r>
      <w:proofErr w:type="spellEnd"/>
      <w:r w:rsidR="0012104C">
        <w:rPr>
          <w:rFonts w:cstheme="minorHAnsi"/>
          <w:i/>
          <w:sz w:val="24"/>
          <w:szCs w:val="24"/>
          <w:lang w:val="fr-FR"/>
        </w:rPr>
        <w:t xml:space="preserve"> in Substance Abuse</w:t>
      </w:r>
      <w:r w:rsidRPr="00C04F25">
        <w:rPr>
          <w:rFonts w:cstheme="minorHAnsi"/>
          <w:sz w:val="24"/>
          <w:szCs w:val="24"/>
          <w:lang w:val="fr-FR"/>
        </w:rPr>
        <w:t xml:space="preserve">, Vol. </w:t>
      </w:r>
      <w:r w:rsidR="0012104C">
        <w:rPr>
          <w:rFonts w:cstheme="minorHAnsi"/>
          <w:sz w:val="24"/>
          <w:szCs w:val="24"/>
          <w:lang w:val="fr-FR"/>
        </w:rPr>
        <w:t>15</w:t>
      </w:r>
      <w:r w:rsidRPr="00C04F25">
        <w:rPr>
          <w:rFonts w:cstheme="minorHAnsi"/>
          <w:sz w:val="24"/>
          <w:szCs w:val="24"/>
          <w:lang w:val="fr-FR"/>
        </w:rPr>
        <w:t xml:space="preserve">, No. </w:t>
      </w:r>
      <w:r w:rsidR="0012104C">
        <w:rPr>
          <w:rFonts w:cstheme="minorHAnsi"/>
          <w:sz w:val="24"/>
          <w:szCs w:val="24"/>
          <w:lang w:val="fr-FR"/>
        </w:rPr>
        <w:t>4</w:t>
      </w:r>
      <w:r w:rsidRPr="00C04F25">
        <w:rPr>
          <w:rFonts w:cstheme="minorHAnsi"/>
          <w:sz w:val="24"/>
          <w:szCs w:val="24"/>
          <w:lang w:val="fr-FR"/>
        </w:rPr>
        <w:t xml:space="preserve"> (</w:t>
      </w:r>
      <w:r w:rsidR="0012104C">
        <w:rPr>
          <w:rFonts w:cstheme="minorHAnsi"/>
          <w:sz w:val="24"/>
          <w:szCs w:val="24"/>
          <w:lang w:val="fr-FR"/>
        </w:rPr>
        <w:t>2016</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E73721">
        <w:rPr>
          <w:rFonts w:cstheme="minorHAnsi"/>
          <w:sz w:val="24"/>
          <w:szCs w:val="24"/>
          <w:lang w:val="fr-FR"/>
        </w:rPr>
        <w:t>346-366</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E73721">
        <w:rPr>
          <w:rFonts w:cstheme="minorHAnsi"/>
          <w:sz w:val="24"/>
          <w:szCs w:val="24"/>
        </w:rPr>
        <w:t>Taylor &amp; Francis (Routledge)</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E73721">
        <w:rPr>
          <w:rFonts w:cstheme="minorHAnsi"/>
          <w:sz w:val="24"/>
          <w:szCs w:val="24"/>
        </w:rPr>
        <w:t>Taylor &amp; Francis (Routledge)</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E73721">
        <w:rPr>
          <w:rFonts w:cstheme="minorHAnsi"/>
          <w:sz w:val="24"/>
          <w:szCs w:val="24"/>
        </w:rPr>
        <w:t>Taylor &amp; Francis (Routledge)</w:t>
      </w:r>
      <w:r w:rsidRPr="00E77278">
        <w:rPr>
          <w:rFonts w:cstheme="minorHAnsi"/>
          <w:sz w:val="24"/>
          <w:szCs w:val="24"/>
        </w:rPr>
        <w:t>.</w:t>
      </w:r>
      <w:r w:rsidRPr="00FB28B7">
        <w:rPr>
          <w:rFonts w:cstheme="minorHAnsi"/>
          <w:b/>
          <w:bCs/>
          <w:sz w:val="24"/>
          <w:szCs w:val="24"/>
        </w:rPr>
        <w:t xml:space="preserve"> </w:t>
      </w:r>
      <w:bookmarkEnd w:id="1"/>
    </w:p>
    <w:p w14:paraId="118EB001" w14:textId="77777777" w:rsidR="00852972" w:rsidRDefault="00852972" w:rsidP="00D14423">
      <w:pPr>
        <w:rPr>
          <w:rFonts w:cstheme="minorHAnsi"/>
          <w:b/>
          <w:bCs/>
          <w:sz w:val="24"/>
          <w:szCs w:val="24"/>
        </w:rPr>
      </w:pPr>
    </w:p>
    <w:p w14:paraId="78FC9CF2" w14:textId="2273ECF0" w:rsidR="00852972" w:rsidRDefault="00852972" w:rsidP="00D35269">
      <w:pPr>
        <w:pStyle w:val="Title"/>
      </w:pPr>
      <w:r w:rsidRPr="00852972">
        <w:t>Neighborhood Characteristics Contribute to Urban Alcohol Availability: Accounting for Race/Ethnicity and Social Disorganization</w:t>
      </w:r>
    </w:p>
    <w:p w14:paraId="68D13E99" w14:textId="77777777" w:rsidR="00D35269" w:rsidRDefault="00D35269" w:rsidP="00D14423">
      <w:pPr>
        <w:rPr>
          <w:rFonts w:cstheme="minorHAnsi"/>
          <w:b/>
          <w:bCs/>
          <w:sz w:val="24"/>
          <w:szCs w:val="24"/>
        </w:rPr>
      </w:pPr>
    </w:p>
    <w:p w14:paraId="5ACB1223" w14:textId="77777777" w:rsidR="00D35269" w:rsidRPr="00515801" w:rsidRDefault="00205AB5" w:rsidP="00515801">
      <w:pPr>
        <w:pStyle w:val="NoSpacing"/>
        <w:rPr>
          <w:sz w:val="32"/>
          <w:szCs w:val="32"/>
        </w:rPr>
      </w:pPr>
      <w:r w:rsidRPr="00515801">
        <w:rPr>
          <w:sz w:val="32"/>
          <w:szCs w:val="32"/>
        </w:rPr>
        <w:t>Aleksandra J. Snowden</w:t>
      </w:r>
    </w:p>
    <w:p w14:paraId="71DD49D6" w14:textId="77777777" w:rsidR="004002A8" w:rsidRPr="00515801" w:rsidRDefault="004002A8" w:rsidP="00515801">
      <w:pPr>
        <w:pStyle w:val="NoSpacing"/>
        <w:rPr>
          <w:sz w:val="24"/>
          <w:szCs w:val="24"/>
        </w:rPr>
      </w:pPr>
      <w:bookmarkStart w:id="2" w:name="Introduction"/>
      <w:bookmarkEnd w:id="2"/>
      <w:r w:rsidRPr="00515801">
        <w:rPr>
          <w:sz w:val="24"/>
          <w:szCs w:val="24"/>
        </w:rPr>
        <w:t>Department of Criminal Justice, University of Wisconsin Milwaukee, Milwaukee, Wisconsin</w:t>
      </w:r>
    </w:p>
    <w:p w14:paraId="36C8B88F" w14:textId="77777777" w:rsidR="00515801" w:rsidRDefault="00515801" w:rsidP="00D14423">
      <w:pPr>
        <w:rPr>
          <w:rFonts w:cstheme="minorHAnsi"/>
          <w:b/>
          <w:bCs/>
          <w:sz w:val="24"/>
          <w:szCs w:val="24"/>
        </w:rPr>
      </w:pPr>
    </w:p>
    <w:p w14:paraId="68527CAF" w14:textId="6B019547" w:rsidR="00205AB5" w:rsidRDefault="00D6141E" w:rsidP="00515801">
      <w:pPr>
        <w:pStyle w:val="Heading1"/>
      </w:pPr>
      <w:r>
        <w:t>Abstract</w:t>
      </w:r>
    </w:p>
    <w:p w14:paraId="05C1475C" w14:textId="582529F3" w:rsidR="00D6141E" w:rsidRDefault="00D6141E" w:rsidP="00D14423">
      <w:pPr>
        <w:rPr>
          <w:rFonts w:cstheme="minorHAnsi"/>
          <w:sz w:val="24"/>
          <w:szCs w:val="24"/>
        </w:rPr>
      </w:pPr>
      <w:r w:rsidRPr="00D6141E">
        <w:rPr>
          <w:rFonts w:cstheme="minorHAnsi"/>
          <w:sz w:val="24"/>
          <w:szCs w:val="24"/>
        </w:rPr>
        <w:t>This study examined the role that race/ethnicity and social disorganization play in alcohol availability in Milwaukee, Wisconsin, census block groups. This study estimated negative binomial regression models to examine separately the relationship between neighborhood racial/ethnic composition and social disorganization levels for (</w:t>
      </w:r>
      <w:r w:rsidRPr="00F230A9">
        <w:rPr>
          <w:rFonts w:cstheme="minorHAnsi"/>
          <w:sz w:val="24"/>
          <w:szCs w:val="24"/>
        </w:rPr>
        <w:t>1</w:t>
      </w:r>
      <w:r w:rsidRPr="00D6141E">
        <w:rPr>
          <w:rFonts w:cstheme="minorHAnsi"/>
          <w:sz w:val="24"/>
          <w:szCs w:val="24"/>
        </w:rPr>
        <w:t>) total, (</w:t>
      </w:r>
      <w:r w:rsidRPr="00F230A9">
        <w:rPr>
          <w:rFonts w:cstheme="minorHAnsi"/>
          <w:sz w:val="24"/>
          <w:szCs w:val="24"/>
        </w:rPr>
        <w:t>2</w:t>
      </w:r>
      <w:r w:rsidRPr="00D6141E">
        <w:rPr>
          <w:rFonts w:cstheme="minorHAnsi"/>
          <w:sz w:val="24"/>
          <w:szCs w:val="24"/>
        </w:rPr>
        <w:t xml:space="preserve">) </w:t>
      </w:r>
      <w:proofErr w:type="gramStart"/>
      <w:r w:rsidRPr="00D6141E">
        <w:rPr>
          <w:rFonts w:cstheme="minorHAnsi"/>
          <w:sz w:val="24"/>
          <w:szCs w:val="24"/>
        </w:rPr>
        <w:t>on-premise</w:t>
      </w:r>
      <w:proofErr w:type="gramEnd"/>
      <w:r w:rsidRPr="00D6141E">
        <w:rPr>
          <w:rFonts w:cstheme="minorHAnsi"/>
          <w:sz w:val="24"/>
          <w:szCs w:val="24"/>
        </w:rPr>
        <w:t>, and (</w:t>
      </w:r>
      <w:r w:rsidRPr="00F230A9">
        <w:rPr>
          <w:rFonts w:cstheme="minorHAnsi"/>
          <w:sz w:val="24"/>
          <w:szCs w:val="24"/>
        </w:rPr>
        <w:t>3</w:t>
      </w:r>
      <w:r w:rsidRPr="00D6141E">
        <w:rPr>
          <w:rFonts w:cstheme="minorHAnsi"/>
          <w:sz w:val="24"/>
          <w:szCs w:val="24"/>
        </w:rPr>
        <w:t>) off-premise alcohol outlets. Results of this study suggest that proportion Hispanic was positively associated with total and with off-</w:t>
      </w:r>
      <w:proofErr w:type="gramStart"/>
      <w:r w:rsidRPr="00D6141E">
        <w:rPr>
          <w:rFonts w:cstheme="minorHAnsi"/>
          <w:sz w:val="24"/>
          <w:szCs w:val="24"/>
        </w:rPr>
        <w:t>premise</w:t>
      </w:r>
      <w:proofErr w:type="gramEnd"/>
      <w:r w:rsidRPr="00D6141E">
        <w:rPr>
          <w:rFonts w:cstheme="minorHAnsi"/>
          <w:sz w:val="24"/>
          <w:szCs w:val="24"/>
        </w:rPr>
        <w:t xml:space="preserve"> alcohol outlets. Second, proportion African American was negatively associated with </w:t>
      </w:r>
      <w:proofErr w:type="gramStart"/>
      <w:r w:rsidRPr="00D6141E">
        <w:rPr>
          <w:rFonts w:cstheme="minorHAnsi"/>
          <w:sz w:val="24"/>
          <w:szCs w:val="24"/>
        </w:rPr>
        <w:t>on-premise</w:t>
      </w:r>
      <w:proofErr w:type="gramEnd"/>
      <w:r w:rsidRPr="00D6141E">
        <w:rPr>
          <w:rFonts w:cstheme="minorHAnsi"/>
          <w:sz w:val="24"/>
          <w:szCs w:val="24"/>
        </w:rPr>
        <w:t xml:space="preserve"> alcohol outlets and positively associated with off-premise alcohol outlets. Proportion Asian was not associated with total, </w:t>
      </w:r>
      <w:proofErr w:type="gramStart"/>
      <w:r w:rsidRPr="00D6141E">
        <w:rPr>
          <w:rFonts w:cstheme="minorHAnsi"/>
          <w:sz w:val="24"/>
          <w:szCs w:val="24"/>
        </w:rPr>
        <w:t>on-premise</w:t>
      </w:r>
      <w:proofErr w:type="gramEnd"/>
      <w:r w:rsidRPr="00D6141E">
        <w:rPr>
          <w:rFonts w:cstheme="minorHAnsi"/>
          <w:sz w:val="24"/>
          <w:szCs w:val="24"/>
        </w:rPr>
        <w:t xml:space="preserve">, or off-premise alcohol outlets. However, the effects of </w:t>
      </w:r>
      <w:r w:rsidRPr="00D6141E">
        <w:rPr>
          <w:rFonts w:cstheme="minorHAnsi"/>
          <w:sz w:val="24"/>
          <w:szCs w:val="24"/>
        </w:rPr>
        <w:lastRenderedPageBreak/>
        <w:t xml:space="preserve">race/ethnicity on alcohol availability were either unrelated or negatively related to alcohol outlet availability once neighborhood social disorganization levels were </w:t>
      </w:r>
      <w:proofErr w:type="gramStart"/>
      <w:r w:rsidRPr="00D6141E">
        <w:rPr>
          <w:rFonts w:cstheme="minorHAnsi"/>
          <w:sz w:val="24"/>
          <w:szCs w:val="24"/>
        </w:rPr>
        <w:t>taken into account</w:t>
      </w:r>
      <w:proofErr w:type="gramEnd"/>
      <w:r w:rsidRPr="00D6141E">
        <w:rPr>
          <w:rFonts w:cstheme="minorHAnsi"/>
          <w:sz w:val="24"/>
          <w:szCs w:val="24"/>
        </w:rPr>
        <w:t>, and social disorganization was positively and significantly associated with all alcohol outlet types. Neighborhood characteristics contribute to alcohol availability and must be considered in any efforts aimed toward prevention of alcohol-related negative health and social outcomes.</w:t>
      </w:r>
    </w:p>
    <w:p w14:paraId="0B0786D4" w14:textId="450D2006" w:rsidR="00515801" w:rsidRDefault="00C20C94" w:rsidP="00515801">
      <w:pPr>
        <w:pStyle w:val="Heading1"/>
      </w:pPr>
      <w:r w:rsidRPr="00C20C94">
        <w:t>Keywords</w:t>
      </w:r>
    </w:p>
    <w:p w14:paraId="2BEA8D83" w14:textId="2A995365" w:rsidR="00D6141E" w:rsidRDefault="00C20C94" w:rsidP="00D14423">
      <w:pPr>
        <w:rPr>
          <w:rFonts w:cstheme="minorHAnsi"/>
          <w:sz w:val="24"/>
          <w:szCs w:val="24"/>
        </w:rPr>
      </w:pPr>
      <w:r w:rsidRPr="00C20C94">
        <w:rPr>
          <w:rFonts w:cstheme="minorHAnsi"/>
          <w:sz w:val="24"/>
          <w:szCs w:val="24"/>
        </w:rPr>
        <w:t>Alcohol availability</w:t>
      </w:r>
      <w:r w:rsidR="00515801">
        <w:rPr>
          <w:rFonts w:cstheme="minorHAnsi"/>
          <w:sz w:val="24"/>
          <w:szCs w:val="24"/>
        </w:rPr>
        <w:t>,</w:t>
      </w:r>
      <w:r w:rsidRPr="00C20C94">
        <w:rPr>
          <w:rFonts w:cstheme="minorHAnsi"/>
          <w:sz w:val="24"/>
          <w:szCs w:val="24"/>
        </w:rPr>
        <w:t xml:space="preserve"> alcohol outlets</w:t>
      </w:r>
      <w:r w:rsidR="00515801">
        <w:rPr>
          <w:rFonts w:cstheme="minorHAnsi"/>
          <w:sz w:val="24"/>
          <w:szCs w:val="24"/>
        </w:rPr>
        <w:t>,</w:t>
      </w:r>
      <w:r w:rsidRPr="00C20C94">
        <w:rPr>
          <w:rFonts w:cstheme="minorHAnsi"/>
          <w:sz w:val="24"/>
          <w:szCs w:val="24"/>
        </w:rPr>
        <w:t xml:space="preserve"> ethnicity</w:t>
      </w:r>
      <w:r w:rsidR="00515801">
        <w:rPr>
          <w:rFonts w:cstheme="minorHAnsi"/>
          <w:sz w:val="24"/>
          <w:szCs w:val="24"/>
        </w:rPr>
        <w:t>,</w:t>
      </w:r>
      <w:r w:rsidRPr="00C20C94">
        <w:rPr>
          <w:rFonts w:cstheme="minorHAnsi"/>
          <w:sz w:val="24"/>
          <w:szCs w:val="24"/>
        </w:rPr>
        <w:t xml:space="preserve"> race</w:t>
      </w:r>
      <w:r w:rsidR="00515801">
        <w:rPr>
          <w:rFonts w:cstheme="minorHAnsi"/>
          <w:sz w:val="24"/>
          <w:szCs w:val="24"/>
        </w:rPr>
        <w:t>,</w:t>
      </w:r>
      <w:r w:rsidRPr="00C20C94">
        <w:rPr>
          <w:rFonts w:cstheme="minorHAnsi"/>
          <w:sz w:val="24"/>
          <w:szCs w:val="24"/>
        </w:rPr>
        <w:t xml:space="preserve"> social disorganization</w:t>
      </w:r>
    </w:p>
    <w:p w14:paraId="28C00E0A" w14:textId="7D0DBE80" w:rsidR="00C20C94" w:rsidRPr="00515801" w:rsidRDefault="00C20C94" w:rsidP="00515801">
      <w:pPr>
        <w:pStyle w:val="Heading1"/>
      </w:pPr>
      <w:r w:rsidRPr="00F230A9">
        <w:t>Introduction</w:t>
      </w:r>
    </w:p>
    <w:p w14:paraId="6AE76966" w14:textId="1969B6C3" w:rsidR="00C20C94" w:rsidRPr="00C20C94" w:rsidRDefault="00C20C94" w:rsidP="00C20C94">
      <w:pPr>
        <w:rPr>
          <w:rFonts w:cstheme="minorHAnsi"/>
          <w:sz w:val="24"/>
          <w:szCs w:val="24"/>
        </w:rPr>
      </w:pPr>
      <w:r w:rsidRPr="00C20C94">
        <w:rPr>
          <w:rFonts w:cstheme="minorHAnsi"/>
          <w:sz w:val="24"/>
          <w:szCs w:val="24"/>
        </w:rPr>
        <w:t>This study examined the association between neighborhood characteristics (i.e., race/ethnicity and social disorganization) and alcohol availability in Milwaukee, Wisconsin, census block groups. This is important because neighborhoods characterized by minority racial/ethnic composition have high concentration of alcohol availability despite the evidence that non-Hispanic whites report higher alcohol consumption than African Americans, Hispanics, or Asians (</w:t>
      </w:r>
      <w:proofErr w:type="spellStart"/>
      <w:r w:rsidRPr="00C20C94">
        <w:rPr>
          <w:rFonts w:cstheme="minorHAnsi"/>
          <w:sz w:val="24"/>
          <w:szCs w:val="24"/>
        </w:rPr>
        <w:t>Berke</w:t>
      </w:r>
      <w:proofErr w:type="spellEnd"/>
      <w:r w:rsidRPr="00C20C94">
        <w:rPr>
          <w:rFonts w:cstheme="minorHAnsi"/>
          <w:sz w:val="24"/>
          <w:szCs w:val="24"/>
        </w:rPr>
        <w:t xml:space="preserve"> et al.,</w:t>
      </w:r>
      <w:r w:rsidR="00EF31B9">
        <w:rPr>
          <w:rFonts w:cstheme="minorHAnsi"/>
          <w:sz w:val="24"/>
          <w:szCs w:val="24"/>
        </w:rPr>
        <w:t>2010</w:t>
      </w:r>
      <w:r w:rsidRPr="00C20C94">
        <w:rPr>
          <w:rFonts w:cstheme="minorHAnsi"/>
          <w:sz w:val="24"/>
          <w:szCs w:val="24"/>
        </w:rPr>
        <w:t xml:space="preserve">; </w:t>
      </w:r>
      <w:proofErr w:type="spellStart"/>
      <w:r w:rsidRPr="00C20C94">
        <w:rPr>
          <w:rFonts w:cstheme="minorHAnsi"/>
          <w:sz w:val="24"/>
          <w:szCs w:val="24"/>
        </w:rPr>
        <w:t>Romley</w:t>
      </w:r>
      <w:proofErr w:type="spellEnd"/>
      <w:r w:rsidRPr="00C20C94">
        <w:rPr>
          <w:rFonts w:cstheme="minorHAnsi"/>
          <w:sz w:val="24"/>
          <w:szCs w:val="24"/>
        </w:rPr>
        <w:t xml:space="preserve">, Cohen, </w:t>
      </w:r>
      <w:proofErr w:type="spellStart"/>
      <w:r w:rsidRPr="00C20C94">
        <w:rPr>
          <w:rFonts w:cstheme="minorHAnsi"/>
          <w:sz w:val="24"/>
          <w:szCs w:val="24"/>
        </w:rPr>
        <w:t>Ringel</w:t>
      </w:r>
      <w:proofErr w:type="spellEnd"/>
      <w:r w:rsidRPr="00C20C94">
        <w:rPr>
          <w:rFonts w:cstheme="minorHAnsi"/>
          <w:sz w:val="24"/>
          <w:szCs w:val="24"/>
        </w:rPr>
        <w:t>, &amp; Sturm,</w:t>
      </w:r>
      <w:r w:rsidR="00EF31B9">
        <w:rPr>
          <w:rFonts w:cstheme="minorHAnsi"/>
          <w:sz w:val="24"/>
          <w:szCs w:val="24"/>
        </w:rPr>
        <w:t xml:space="preserve"> 2007</w:t>
      </w:r>
      <w:r w:rsidRPr="00C20C94">
        <w:rPr>
          <w:rFonts w:cstheme="minorHAnsi"/>
          <w:sz w:val="24"/>
          <w:szCs w:val="24"/>
        </w:rPr>
        <w:t>). High alcohol availability in such neighborhoods appears not to be driven by market demand (</w:t>
      </w:r>
      <w:proofErr w:type="spellStart"/>
      <w:r w:rsidRPr="00C20C94">
        <w:rPr>
          <w:rFonts w:cstheme="minorHAnsi"/>
          <w:sz w:val="24"/>
          <w:szCs w:val="24"/>
        </w:rPr>
        <w:t>Romley</w:t>
      </w:r>
      <w:proofErr w:type="spellEnd"/>
      <w:r w:rsidRPr="00C20C94">
        <w:rPr>
          <w:rFonts w:cstheme="minorHAnsi"/>
          <w:sz w:val="24"/>
          <w:szCs w:val="24"/>
        </w:rPr>
        <w:t xml:space="preserve"> et al.,</w:t>
      </w:r>
      <w:r w:rsidR="0041326A">
        <w:rPr>
          <w:rFonts w:cstheme="minorHAnsi"/>
          <w:sz w:val="24"/>
          <w:szCs w:val="24"/>
        </w:rPr>
        <w:t>2007</w:t>
      </w:r>
      <w:r w:rsidRPr="00C20C94">
        <w:rPr>
          <w:rFonts w:cstheme="minorHAnsi"/>
          <w:sz w:val="24"/>
          <w:szCs w:val="24"/>
        </w:rPr>
        <w:t>), and there may be other reasons (i.e., high levels of social disorganization) that better explain the disproportionately greater alcohol availability in racial/ethnic minority neighborhoods.</w:t>
      </w:r>
    </w:p>
    <w:p w14:paraId="4AC3711B" w14:textId="45860111" w:rsidR="00C20C94" w:rsidRPr="00C20C94" w:rsidRDefault="00C20C94" w:rsidP="00C20C94">
      <w:pPr>
        <w:rPr>
          <w:rFonts w:cstheme="minorHAnsi"/>
          <w:sz w:val="24"/>
          <w:szCs w:val="24"/>
        </w:rPr>
      </w:pPr>
      <w:r w:rsidRPr="00C20C94">
        <w:rPr>
          <w:rFonts w:cstheme="minorHAnsi"/>
          <w:sz w:val="24"/>
          <w:szCs w:val="24"/>
        </w:rPr>
        <w:t xml:space="preserve">Social disorganization theory was developed in an early ecological study of crimes in Chicago neighborhoods, and it captures neighborhood-level characteristics such as ethnic heterogeneity, poverty, residential instability, and single-headed households (Sampson, </w:t>
      </w:r>
      <w:proofErr w:type="spellStart"/>
      <w:r w:rsidRPr="00C20C94">
        <w:rPr>
          <w:rFonts w:cstheme="minorHAnsi"/>
          <w:sz w:val="24"/>
          <w:szCs w:val="24"/>
        </w:rPr>
        <w:t>Raudenbush</w:t>
      </w:r>
      <w:proofErr w:type="spellEnd"/>
      <w:r w:rsidRPr="00C20C94">
        <w:rPr>
          <w:rFonts w:cstheme="minorHAnsi"/>
          <w:sz w:val="24"/>
          <w:szCs w:val="24"/>
        </w:rPr>
        <w:t>, &amp; Earls,</w:t>
      </w:r>
      <w:r w:rsidR="0041326A">
        <w:rPr>
          <w:rFonts w:cstheme="minorHAnsi"/>
          <w:sz w:val="24"/>
          <w:szCs w:val="24"/>
        </w:rPr>
        <w:t xml:space="preserve"> 1997</w:t>
      </w:r>
      <w:r w:rsidRPr="00C20C94">
        <w:rPr>
          <w:rFonts w:cstheme="minorHAnsi"/>
          <w:sz w:val="24"/>
          <w:szCs w:val="24"/>
        </w:rPr>
        <w:t>; Shaw &amp; McKay,</w:t>
      </w:r>
      <w:r w:rsidR="0041326A">
        <w:rPr>
          <w:rFonts w:cstheme="minorHAnsi"/>
          <w:sz w:val="24"/>
          <w:szCs w:val="24"/>
        </w:rPr>
        <w:t>1942</w:t>
      </w:r>
      <w:r w:rsidRPr="00C20C94">
        <w:rPr>
          <w:rFonts w:cstheme="minorHAnsi"/>
          <w:sz w:val="24"/>
          <w:szCs w:val="24"/>
        </w:rPr>
        <w:t>). High levels of poverty, residential instability, and racial/ethnic heterogeneity create neighborhoods with limited social interaction among community members, which in turn (</w:t>
      </w:r>
      <w:r w:rsidRPr="00F230A9">
        <w:rPr>
          <w:rFonts w:cstheme="minorHAnsi"/>
          <w:sz w:val="24"/>
          <w:szCs w:val="24"/>
        </w:rPr>
        <w:t>1</w:t>
      </w:r>
      <w:r w:rsidRPr="00C20C94">
        <w:rPr>
          <w:rFonts w:cstheme="minorHAnsi"/>
          <w:sz w:val="24"/>
          <w:szCs w:val="24"/>
        </w:rPr>
        <w:t>) reduces social ties and the attachment of community residents to their neighborhoods, (</w:t>
      </w:r>
      <w:r w:rsidRPr="00F230A9">
        <w:rPr>
          <w:rFonts w:cstheme="minorHAnsi"/>
          <w:sz w:val="24"/>
          <w:szCs w:val="24"/>
        </w:rPr>
        <w:t>2</w:t>
      </w:r>
      <w:r w:rsidRPr="00C20C94">
        <w:rPr>
          <w:rFonts w:cstheme="minorHAnsi"/>
          <w:sz w:val="24"/>
          <w:szCs w:val="24"/>
        </w:rPr>
        <w:t>) impedes the willingness of community members to intervene on behalf of others, and (</w:t>
      </w:r>
      <w:r w:rsidRPr="00F230A9">
        <w:rPr>
          <w:rFonts w:cstheme="minorHAnsi"/>
          <w:sz w:val="24"/>
          <w:szCs w:val="24"/>
        </w:rPr>
        <w:t>3</w:t>
      </w:r>
      <w:r w:rsidRPr="00C20C94">
        <w:rPr>
          <w:rFonts w:cstheme="minorHAnsi"/>
          <w:sz w:val="24"/>
          <w:szCs w:val="24"/>
        </w:rPr>
        <w:t>) limits community organization and involvement to realize common goals (Shaw &amp; McKay,</w:t>
      </w:r>
      <w:r w:rsidR="00D42634">
        <w:rPr>
          <w:rFonts w:cstheme="minorHAnsi"/>
          <w:sz w:val="24"/>
          <w:szCs w:val="24"/>
        </w:rPr>
        <w:t xml:space="preserve"> 1942</w:t>
      </w:r>
      <w:r w:rsidRPr="00C20C94">
        <w:rPr>
          <w:rFonts w:cstheme="minorHAnsi"/>
          <w:sz w:val="24"/>
          <w:szCs w:val="24"/>
        </w:rPr>
        <w:t>). Because socially disorganized neighborhoods exhibit lack of collective efficacy, they may be unable to exercise influence over the behavior of community members or to make meaningful changes in the social and political processes in their neighborhoods (Sampson &amp; Groves, 1989; Sampson et al.,</w:t>
      </w:r>
      <w:r w:rsidR="00D42634">
        <w:rPr>
          <w:rFonts w:cstheme="minorHAnsi"/>
          <w:sz w:val="24"/>
          <w:szCs w:val="24"/>
        </w:rPr>
        <w:t xml:space="preserve"> 1997</w:t>
      </w:r>
      <w:r w:rsidRPr="00C20C94">
        <w:rPr>
          <w:rFonts w:cstheme="minorHAnsi"/>
          <w:sz w:val="24"/>
          <w:szCs w:val="24"/>
        </w:rPr>
        <w:t>). In such neighborhoods, we would expect to find a greater concentration of alcohol availability. Socially organized neighborhoods are likely better able to protect themselves from this less-than-desirable retail activity as they are better able to exercise control over residents, store owners, managers, staff, and public officials (</w:t>
      </w:r>
      <w:proofErr w:type="spellStart"/>
      <w:r w:rsidRPr="00C20C94">
        <w:rPr>
          <w:rFonts w:cstheme="minorHAnsi"/>
          <w:sz w:val="24"/>
          <w:szCs w:val="24"/>
        </w:rPr>
        <w:t>Pridemore</w:t>
      </w:r>
      <w:proofErr w:type="spellEnd"/>
      <w:r w:rsidRPr="00C20C94">
        <w:rPr>
          <w:rFonts w:cstheme="minorHAnsi"/>
          <w:sz w:val="24"/>
          <w:szCs w:val="24"/>
        </w:rPr>
        <w:t xml:space="preserve"> &amp; Grubesic,</w:t>
      </w:r>
      <w:r w:rsidR="00D42634">
        <w:rPr>
          <w:rFonts w:cstheme="minorHAnsi"/>
          <w:sz w:val="24"/>
          <w:szCs w:val="24"/>
        </w:rPr>
        <w:t xml:space="preserve"> 2012</w:t>
      </w:r>
      <w:r w:rsidRPr="00C20C94">
        <w:rPr>
          <w:rFonts w:cstheme="minorHAnsi"/>
          <w:sz w:val="24"/>
          <w:szCs w:val="24"/>
        </w:rPr>
        <w:t>). Having strong social ties among community members and with key social institutions, socially organized neighborhoods are likely better able to make demands on store owners and managers for more responsible retail practices and to seek and receive the aid of formal social control agents like the police, alcohol regulatory agencies, and other local officials (</w:t>
      </w:r>
      <w:proofErr w:type="spellStart"/>
      <w:r w:rsidRPr="00C20C94">
        <w:rPr>
          <w:rFonts w:cstheme="minorHAnsi"/>
          <w:sz w:val="24"/>
          <w:szCs w:val="24"/>
        </w:rPr>
        <w:t>Pridemore</w:t>
      </w:r>
      <w:proofErr w:type="spellEnd"/>
      <w:r w:rsidRPr="00C20C94">
        <w:rPr>
          <w:rFonts w:cstheme="minorHAnsi"/>
          <w:sz w:val="24"/>
          <w:szCs w:val="24"/>
        </w:rPr>
        <w:t xml:space="preserve"> &amp; Grubesic,</w:t>
      </w:r>
      <w:r w:rsidR="00D42634">
        <w:rPr>
          <w:rFonts w:cstheme="minorHAnsi"/>
          <w:sz w:val="24"/>
          <w:szCs w:val="24"/>
        </w:rPr>
        <w:t xml:space="preserve"> 2012</w:t>
      </w:r>
      <w:r w:rsidRPr="00C20C94">
        <w:rPr>
          <w:rFonts w:cstheme="minorHAnsi"/>
          <w:sz w:val="24"/>
          <w:szCs w:val="24"/>
        </w:rPr>
        <w:t>).</w:t>
      </w:r>
    </w:p>
    <w:p w14:paraId="46D6E6CF" w14:textId="6E55431A" w:rsidR="00C20C94" w:rsidRPr="00301461" w:rsidRDefault="00C20C94" w:rsidP="00301461">
      <w:pPr>
        <w:pStyle w:val="Heading2"/>
      </w:pPr>
      <w:r w:rsidRPr="00F230A9">
        <w:t>Prior literature review</w:t>
      </w:r>
    </w:p>
    <w:p w14:paraId="3D617069" w14:textId="7788937F" w:rsidR="00C20C94" w:rsidRPr="00C20C94" w:rsidRDefault="00C20C94" w:rsidP="00C20C94">
      <w:pPr>
        <w:rPr>
          <w:rFonts w:cstheme="minorHAnsi"/>
          <w:sz w:val="24"/>
          <w:szCs w:val="24"/>
        </w:rPr>
      </w:pPr>
      <w:r w:rsidRPr="00C20C94">
        <w:rPr>
          <w:rFonts w:cstheme="minorHAnsi"/>
          <w:sz w:val="24"/>
          <w:szCs w:val="24"/>
        </w:rPr>
        <w:t xml:space="preserve">Examining availability of alcohol across neighborhoods with different characteristics is important because alcohol availability is associated with a range of negative health outcomes, including higher </w:t>
      </w:r>
      <w:r w:rsidRPr="00C20C94">
        <w:rPr>
          <w:rFonts w:cstheme="minorHAnsi"/>
          <w:sz w:val="24"/>
          <w:szCs w:val="24"/>
        </w:rPr>
        <w:lastRenderedPageBreak/>
        <w:t xml:space="preserve">overall consumption (Ornstein &amp; </w:t>
      </w:r>
      <w:proofErr w:type="spellStart"/>
      <w:r w:rsidRPr="00C20C94">
        <w:rPr>
          <w:rFonts w:cstheme="minorHAnsi"/>
          <w:sz w:val="24"/>
          <w:szCs w:val="24"/>
        </w:rPr>
        <w:t>Hanssens</w:t>
      </w:r>
      <w:proofErr w:type="spellEnd"/>
      <w:r w:rsidRPr="00C20C94">
        <w:rPr>
          <w:rFonts w:cstheme="minorHAnsi"/>
          <w:sz w:val="24"/>
          <w:szCs w:val="24"/>
        </w:rPr>
        <w:t xml:space="preserve">, 1985; </w:t>
      </w:r>
      <w:proofErr w:type="spellStart"/>
      <w:r w:rsidRPr="00C20C94">
        <w:rPr>
          <w:rFonts w:cstheme="minorHAnsi"/>
          <w:sz w:val="24"/>
          <w:szCs w:val="24"/>
        </w:rPr>
        <w:t>Trolldal</w:t>
      </w:r>
      <w:proofErr w:type="spellEnd"/>
      <w:r w:rsidRPr="00C20C94">
        <w:rPr>
          <w:rFonts w:cstheme="minorHAnsi"/>
          <w:sz w:val="24"/>
          <w:szCs w:val="24"/>
        </w:rPr>
        <w:t>,</w:t>
      </w:r>
      <w:r w:rsidR="00D42634">
        <w:rPr>
          <w:rFonts w:cstheme="minorHAnsi"/>
          <w:sz w:val="24"/>
          <w:szCs w:val="24"/>
        </w:rPr>
        <w:t xml:space="preserve"> 2005</w:t>
      </w:r>
      <w:r w:rsidRPr="00C20C94">
        <w:rPr>
          <w:rFonts w:cstheme="minorHAnsi"/>
          <w:sz w:val="24"/>
          <w:szCs w:val="24"/>
        </w:rPr>
        <w:t xml:space="preserve">), drinking frequency (Gruenewald, Johnson, &amp; </w:t>
      </w:r>
      <w:proofErr w:type="spellStart"/>
      <w:r w:rsidRPr="00C20C94">
        <w:rPr>
          <w:rFonts w:cstheme="minorHAnsi"/>
          <w:sz w:val="24"/>
          <w:szCs w:val="24"/>
        </w:rPr>
        <w:t>Treno</w:t>
      </w:r>
      <w:proofErr w:type="spellEnd"/>
      <w:r w:rsidR="00116EE8">
        <w:rPr>
          <w:rFonts w:cstheme="minorHAnsi"/>
          <w:sz w:val="24"/>
          <w:szCs w:val="24"/>
        </w:rPr>
        <w:t>,</w:t>
      </w:r>
      <w:r w:rsidR="00285948">
        <w:rPr>
          <w:rFonts w:cstheme="minorHAnsi"/>
          <w:sz w:val="24"/>
          <w:szCs w:val="24"/>
        </w:rPr>
        <w:t xml:space="preserve"> 2002</w:t>
      </w:r>
      <w:r w:rsidRPr="00C20C94">
        <w:rPr>
          <w:rFonts w:cstheme="minorHAnsi"/>
          <w:sz w:val="24"/>
          <w:szCs w:val="24"/>
        </w:rPr>
        <w:t>), as well as alcohol-involved pedestrian collisions (</w:t>
      </w:r>
      <w:proofErr w:type="spellStart"/>
      <w:r w:rsidRPr="00C20C94">
        <w:rPr>
          <w:rFonts w:cstheme="minorHAnsi"/>
          <w:sz w:val="24"/>
          <w:szCs w:val="24"/>
        </w:rPr>
        <w:t>LaScala</w:t>
      </w:r>
      <w:proofErr w:type="spellEnd"/>
      <w:r w:rsidRPr="00C20C94">
        <w:rPr>
          <w:rFonts w:cstheme="minorHAnsi"/>
          <w:sz w:val="24"/>
          <w:szCs w:val="24"/>
        </w:rPr>
        <w:t>, Johnson, &amp; Gruenewald, 2001), alcohol-related motor vehicle crashes (Scribner, MacKinnon, &amp; Dwyer, 1994), drunk driving (Gruenewald et al.,</w:t>
      </w:r>
      <w:r w:rsidR="00285948">
        <w:rPr>
          <w:rFonts w:cstheme="minorHAnsi"/>
          <w:sz w:val="24"/>
          <w:szCs w:val="24"/>
        </w:rPr>
        <w:t xml:space="preserve"> 2002</w:t>
      </w:r>
      <w:r w:rsidRPr="00C20C94">
        <w:rPr>
          <w:rFonts w:cstheme="minorHAnsi"/>
          <w:sz w:val="24"/>
          <w:szCs w:val="24"/>
        </w:rPr>
        <w:t xml:space="preserve">), and felony drunk driving arrest rates (Watts &amp; </w:t>
      </w:r>
      <w:proofErr w:type="spellStart"/>
      <w:r w:rsidRPr="00C20C94">
        <w:rPr>
          <w:rFonts w:cstheme="minorHAnsi"/>
          <w:sz w:val="24"/>
          <w:szCs w:val="24"/>
        </w:rPr>
        <w:t>Rabow</w:t>
      </w:r>
      <w:proofErr w:type="spellEnd"/>
      <w:r w:rsidRPr="00C20C94">
        <w:rPr>
          <w:rFonts w:cstheme="minorHAnsi"/>
          <w:sz w:val="24"/>
          <w:szCs w:val="24"/>
        </w:rPr>
        <w:t xml:space="preserve">, 1982). In addition, alcohol availability is associated with negative social outcomes, such as violent crime (Gorman, Speer, Gruenewald, &amp; </w:t>
      </w:r>
      <w:proofErr w:type="spellStart"/>
      <w:r w:rsidRPr="00C20C94">
        <w:rPr>
          <w:rFonts w:cstheme="minorHAnsi"/>
          <w:sz w:val="24"/>
          <w:szCs w:val="24"/>
        </w:rPr>
        <w:t>Labouvie</w:t>
      </w:r>
      <w:proofErr w:type="spellEnd"/>
      <w:r w:rsidRPr="00C20C94">
        <w:rPr>
          <w:rFonts w:cstheme="minorHAnsi"/>
          <w:sz w:val="24"/>
          <w:szCs w:val="24"/>
        </w:rPr>
        <w:t>,</w:t>
      </w:r>
      <w:r w:rsidR="00336BB0">
        <w:rPr>
          <w:rFonts w:cstheme="minorHAnsi"/>
          <w:sz w:val="24"/>
          <w:szCs w:val="24"/>
        </w:rPr>
        <w:t xml:space="preserve"> 2001</w:t>
      </w:r>
      <w:r w:rsidRPr="00C20C94">
        <w:rPr>
          <w:rFonts w:cstheme="minorHAnsi"/>
          <w:sz w:val="24"/>
          <w:szCs w:val="24"/>
        </w:rPr>
        <w:t xml:space="preserve">; Snowden &amp; </w:t>
      </w:r>
      <w:proofErr w:type="spellStart"/>
      <w:proofErr w:type="gramStart"/>
      <w:r w:rsidRPr="00C20C94">
        <w:rPr>
          <w:rFonts w:cstheme="minorHAnsi"/>
          <w:sz w:val="24"/>
          <w:szCs w:val="24"/>
        </w:rPr>
        <w:t>Freiburger</w:t>
      </w:r>
      <w:proofErr w:type="spellEnd"/>
      <w:r w:rsidRPr="00C20C94">
        <w:rPr>
          <w:rFonts w:cstheme="minorHAnsi"/>
          <w:sz w:val="24"/>
          <w:szCs w:val="24"/>
        </w:rPr>
        <w:t>,;</w:t>
      </w:r>
      <w:proofErr w:type="gramEnd"/>
      <w:r w:rsidRPr="00C20C94">
        <w:rPr>
          <w:rFonts w:cstheme="minorHAnsi"/>
          <w:sz w:val="24"/>
          <w:szCs w:val="24"/>
        </w:rPr>
        <w:t xml:space="preserve"> Snowden &amp; </w:t>
      </w:r>
      <w:proofErr w:type="spellStart"/>
      <w:r w:rsidRPr="00C20C94">
        <w:rPr>
          <w:rFonts w:cstheme="minorHAnsi"/>
          <w:sz w:val="24"/>
          <w:szCs w:val="24"/>
        </w:rPr>
        <w:t>Pridemore</w:t>
      </w:r>
      <w:proofErr w:type="spellEnd"/>
      <w:r w:rsidRPr="00C20C94">
        <w:rPr>
          <w:rFonts w:cstheme="minorHAnsi"/>
          <w:sz w:val="24"/>
          <w:szCs w:val="24"/>
        </w:rPr>
        <w:t>,</w:t>
      </w:r>
      <w:r w:rsidR="00336BB0">
        <w:rPr>
          <w:rFonts w:cstheme="minorHAnsi"/>
          <w:sz w:val="24"/>
          <w:szCs w:val="24"/>
        </w:rPr>
        <w:t xml:space="preserve"> 2013</w:t>
      </w:r>
      <w:r w:rsidRPr="00C20C94">
        <w:rPr>
          <w:rFonts w:cstheme="minorHAnsi"/>
          <w:sz w:val="24"/>
          <w:szCs w:val="24"/>
        </w:rPr>
        <w:t>), child abuse or neglect (</w:t>
      </w:r>
      <w:proofErr w:type="spellStart"/>
      <w:r w:rsidRPr="00C20C94">
        <w:rPr>
          <w:rFonts w:cstheme="minorHAnsi"/>
          <w:sz w:val="24"/>
          <w:szCs w:val="24"/>
        </w:rPr>
        <w:t>Freisthler</w:t>
      </w:r>
      <w:proofErr w:type="spellEnd"/>
      <w:r w:rsidRPr="00C20C94">
        <w:rPr>
          <w:rFonts w:cstheme="minorHAnsi"/>
          <w:sz w:val="24"/>
          <w:szCs w:val="24"/>
        </w:rPr>
        <w:t>, Needell, &amp; Gruenewald,</w:t>
      </w:r>
      <w:r w:rsidR="00336BB0">
        <w:rPr>
          <w:rFonts w:cstheme="minorHAnsi"/>
          <w:sz w:val="24"/>
          <w:szCs w:val="24"/>
        </w:rPr>
        <w:t xml:space="preserve"> 2005</w:t>
      </w:r>
      <w:r w:rsidRPr="00C20C94">
        <w:rPr>
          <w:rFonts w:cstheme="minorHAnsi"/>
          <w:sz w:val="24"/>
          <w:szCs w:val="24"/>
        </w:rPr>
        <w:t>), and intimate partner violence (</w:t>
      </w:r>
      <w:proofErr w:type="spellStart"/>
      <w:r w:rsidRPr="00C20C94">
        <w:rPr>
          <w:rFonts w:cstheme="minorHAnsi"/>
          <w:sz w:val="24"/>
          <w:szCs w:val="24"/>
        </w:rPr>
        <w:t>Cunradi</w:t>
      </w:r>
      <w:proofErr w:type="spellEnd"/>
      <w:r w:rsidRPr="00C20C94">
        <w:rPr>
          <w:rFonts w:cstheme="minorHAnsi"/>
          <w:sz w:val="24"/>
          <w:szCs w:val="24"/>
        </w:rPr>
        <w:t xml:space="preserve">, Mair, </w:t>
      </w:r>
      <w:proofErr w:type="spellStart"/>
      <w:r w:rsidRPr="00C20C94">
        <w:rPr>
          <w:rFonts w:cstheme="minorHAnsi"/>
          <w:sz w:val="24"/>
          <w:szCs w:val="24"/>
        </w:rPr>
        <w:t>Ponicki</w:t>
      </w:r>
      <w:proofErr w:type="spellEnd"/>
      <w:r w:rsidRPr="00C20C94">
        <w:rPr>
          <w:rFonts w:cstheme="minorHAnsi"/>
          <w:sz w:val="24"/>
          <w:szCs w:val="24"/>
        </w:rPr>
        <w:t>, &amp; Remer, 2011; Livingston,; Snowden, 2016).</w:t>
      </w:r>
    </w:p>
    <w:p w14:paraId="5E22447C" w14:textId="6B8018A8" w:rsidR="00C20C94" w:rsidRPr="00C20C94" w:rsidRDefault="00C20C94" w:rsidP="00C20C94">
      <w:pPr>
        <w:rPr>
          <w:rFonts w:cstheme="minorHAnsi"/>
          <w:sz w:val="24"/>
          <w:szCs w:val="24"/>
        </w:rPr>
      </w:pPr>
      <w:r w:rsidRPr="00C20C94">
        <w:rPr>
          <w:rFonts w:cstheme="minorHAnsi"/>
          <w:sz w:val="24"/>
          <w:szCs w:val="24"/>
        </w:rPr>
        <w:t>Further, evidence suggests that some neighborhoods exhibit high concentration of a specific type of retail activity and commodities. For example, relative to predominantly White and high-income neighborhoods, predominantly African American and low-income neighborhoods have a lesser number of supermarkets, greater average distance to supermarkets, and a more limited variety and quality of healthy foods available for purchase (Black et al.,</w:t>
      </w:r>
      <w:r w:rsidR="00336BB0">
        <w:rPr>
          <w:rFonts w:cstheme="minorHAnsi"/>
          <w:sz w:val="24"/>
          <w:szCs w:val="24"/>
        </w:rPr>
        <w:t xml:space="preserve"> 2012</w:t>
      </w:r>
      <w:r w:rsidRPr="00C20C94">
        <w:rPr>
          <w:rFonts w:cstheme="minorHAnsi"/>
          <w:sz w:val="24"/>
          <w:szCs w:val="24"/>
        </w:rPr>
        <w:t>; Morland, Wing, Roux, &amp; Poole,</w:t>
      </w:r>
      <w:r w:rsidR="00336BB0">
        <w:rPr>
          <w:rFonts w:cstheme="minorHAnsi"/>
          <w:sz w:val="24"/>
          <w:szCs w:val="24"/>
        </w:rPr>
        <w:t xml:space="preserve"> </w:t>
      </w:r>
      <w:r w:rsidR="00E744B1">
        <w:rPr>
          <w:rFonts w:cstheme="minorHAnsi"/>
          <w:sz w:val="24"/>
          <w:szCs w:val="24"/>
        </w:rPr>
        <w:t>2001</w:t>
      </w:r>
      <w:r w:rsidRPr="00C20C94">
        <w:rPr>
          <w:rFonts w:cstheme="minorHAnsi"/>
          <w:sz w:val="24"/>
          <w:szCs w:val="24"/>
        </w:rPr>
        <w:t xml:space="preserve">; </w:t>
      </w:r>
      <w:proofErr w:type="spellStart"/>
      <w:r w:rsidRPr="00C20C94">
        <w:rPr>
          <w:rFonts w:cstheme="minorHAnsi"/>
          <w:sz w:val="24"/>
          <w:szCs w:val="24"/>
        </w:rPr>
        <w:t>Zenk</w:t>
      </w:r>
      <w:proofErr w:type="spellEnd"/>
      <w:r w:rsidRPr="00C20C94">
        <w:rPr>
          <w:rFonts w:cstheme="minorHAnsi"/>
          <w:sz w:val="24"/>
          <w:szCs w:val="24"/>
        </w:rPr>
        <w:t xml:space="preserve"> et al.,</w:t>
      </w:r>
      <w:r w:rsidR="00E744B1">
        <w:rPr>
          <w:rFonts w:cstheme="minorHAnsi"/>
          <w:sz w:val="24"/>
          <w:szCs w:val="24"/>
        </w:rPr>
        <w:t xml:space="preserve"> 2005</w:t>
      </w:r>
      <w:r w:rsidRPr="00C20C94">
        <w:rPr>
          <w:rFonts w:cstheme="minorHAnsi"/>
          <w:sz w:val="24"/>
          <w:szCs w:val="24"/>
        </w:rPr>
        <w:t>). Predominantly African American and socially disorganized neighborhoods also experience a greater availability and exposure to fast-food restaurants (Block, Scribner, &amp; DeSalvo,</w:t>
      </w:r>
      <w:r w:rsidR="00E744B1">
        <w:rPr>
          <w:rFonts w:cstheme="minorHAnsi"/>
          <w:sz w:val="24"/>
          <w:szCs w:val="24"/>
        </w:rPr>
        <w:t xml:space="preserve"> 2004</w:t>
      </w:r>
      <w:r w:rsidRPr="00C20C94">
        <w:rPr>
          <w:rFonts w:cstheme="minorHAnsi"/>
          <w:sz w:val="24"/>
          <w:szCs w:val="24"/>
        </w:rPr>
        <w:t xml:space="preserve">; </w:t>
      </w:r>
      <w:proofErr w:type="spellStart"/>
      <w:r w:rsidRPr="00C20C94">
        <w:rPr>
          <w:rFonts w:cstheme="minorHAnsi"/>
          <w:sz w:val="24"/>
          <w:szCs w:val="24"/>
        </w:rPr>
        <w:t>Smoyer-Tomic</w:t>
      </w:r>
      <w:proofErr w:type="spellEnd"/>
      <w:r w:rsidRPr="00C20C94">
        <w:rPr>
          <w:rFonts w:cstheme="minorHAnsi"/>
          <w:sz w:val="24"/>
          <w:szCs w:val="24"/>
        </w:rPr>
        <w:t xml:space="preserve"> et al.,</w:t>
      </w:r>
      <w:r w:rsidR="00E744B1">
        <w:rPr>
          <w:rFonts w:cstheme="minorHAnsi"/>
          <w:sz w:val="24"/>
          <w:szCs w:val="24"/>
        </w:rPr>
        <w:t xml:space="preserve"> 2008</w:t>
      </w:r>
      <w:r w:rsidRPr="00C20C94">
        <w:rPr>
          <w:rFonts w:cstheme="minorHAnsi"/>
          <w:sz w:val="24"/>
          <w:szCs w:val="24"/>
        </w:rPr>
        <w:t>).</w:t>
      </w:r>
    </w:p>
    <w:p w14:paraId="63AA28CE" w14:textId="409DE95E" w:rsidR="00C20C94" w:rsidRPr="00C20C94" w:rsidRDefault="00C20C94" w:rsidP="00C20C94">
      <w:pPr>
        <w:rPr>
          <w:rFonts w:cstheme="minorHAnsi"/>
          <w:sz w:val="24"/>
          <w:szCs w:val="24"/>
        </w:rPr>
      </w:pPr>
      <w:r w:rsidRPr="00C20C94">
        <w:rPr>
          <w:rFonts w:cstheme="minorHAnsi"/>
          <w:sz w:val="24"/>
          <w:szCs w:val="24"/>
        </w:rPr>
        <w:t xml:space="preserve">Similar observations hold true for availability of alcohol-selling places. Prior literature in this area has measured the physical availability of alcohol in neighborhoods in terms of the number of alcohol outlets (i.e., places that are licensed to sell alcoholic beverages) operating in neighborhoods. This body of literature has typically disaggregated alcohol outlets into </w:t>
      </w:r>
      <w:proofErr w:type="gramStart"/>
      <w:r w:rsidRPr="00C20C94">
        <w:rPr>
          <w:rFonts w:cstheme="minorHAnsi"/>
          <w:sz w:val="24"/>
          <w:szCs w:val="24"/>
        </w:rPr>
        <w:t>on-premise</w:t>
      </w:r>
      <w:proofErr w:type="gramEnd"/>
      <w:r w:rsidRPr="00C20C94">
        <w:rPr>
          <w:rFonts w:cstheme="minorHAnsi"/>
          <w:sz w:val="24"/>
          <w:szCs w:val="24"/>
        </w:rPr>
        <w:t xml:space="preserve"> (i.e., places that sell alcoholic beverages that are meant for consumption while visiting the place, such as bars or restaurants) and off-premise (i.e., places such as liquor or convenience stores that sell alcoholic beverages meant for consumption elsewhere). This growing body of literature has found that areas that have high proportions of African Americans and Latinos also have high alcohol outlet density (</w:t>
      </w:r>
      <w:proofErr w:type="spellStart"/>
      <w:r w:rsidRPr="00C20C94">
        <w:rPr>
          <w:rFonts w:cstheme="minorHAnsi"/>
          <w:sz w:val="24"/>
          <w:szCs w:val="24"/>
        </w:rPr>
        <w:t>Berke</w:t>
      </w:r>
      <w:proofErr w:type="spellEnd"/>
      <w:r w:rsidRPr="00C20C94">
        <w:rPr>
          <w:rFonts w:cstheme="minorHAnsi"/>
          <w:sz w:val="24"/>
          <w:szCs w:val="24"/>
        </w:rPr>
        <w:t xml:space="preserve"> et al.,</w:t>
      </w:r>
      <w:r w:rsidR="00CA1692">
        <w:rPr>
          <w:rFonts w:cstheme="minorHAnsi"/>
          <w:sz w:val="24"/>
          <w:szCs w:val="24"/>
        </w:rPr>
        <w:t xml:space="preserve"> 2010</w:t>
      </w:r>
      <w:r w:rsidRPr="00C20C94">
        <w:rPr>
          <w:rFonts w:cstheme="minorHAnsi"/>
          <w:sz w:val="24"/>
          <w:szCs w:val="24"/>
        </w:rPr>
        <w:t>). Indeed, all racial/ethnic minorities, including African American, Hispanic, Asian/Pacific Islander, and Native American, live in zip codes with a significantly higher density of liquor stores per 100 roadway miles (</w:t>
      </w:r>
      <w:proofErr w:type="spellStart"/>
      <w:r w:rsidRPr="00C20C94">
        <w:rPr>
          <w:rFonts w:cstheme="minorHAnsi"/>
          <w:sz w:val="24"/>
          <w:szCs w:val="24"/>
        </w:rPr>
        <w:t>Romley</w:t>
      </w:r>
      <w:proofErr w:type="spellEnd"/>
      <w:r w:rsidRPr="00C20C94">
        <w:rPr>
          <w:rFonts w:cstheme="minorHAnsi"/>
          <w:sz w:val="24"/>
          <w:szCs w:val="24"/>
        </w:rPr>
        <w:t xml:space="preserve"> et al.,</w:t>
      </w:r>
      <w:r w:rsidR="00CA1692">
        <w:rPr>
          <w:rFonts w:cstheme="minorHAnsi"/>
          <w:sz w:val="24"/>
          <w:szCs w:val="24"/>
        </w:rPr>
        <w:t xml:space="preserve"> 2007</w:t>
      </w:r>
      <w:r w:rsidRPr="00C20C94">
        <w:rPr>
          <w:rFonts w:cstheme="minorHAnsi"/>
          <w:sz w:val="24"/>
          <w:szCs w:val="24"/>
        </w:rPr>
        <w:t>). Moreover, off-</w:t>
      </w:r>
      <w:proofErr w:type="gramStart"/>
      <w:r w:rsidRPr="00C20C94">
        <w:rPr>
          <w:rFonts w:cstheme="minorHAnsi"/>
          <w:sz w:val="24"/>
          <w:szCs w:val="24"/>
        </w:rPr>
        <w:t>premise</w:t>
      </w:r>
      <w:proofErr w:type="gramEnd"/>
      <w:r w:rsidRPr="00C20C94">
        <w:rPr>
          <w:rFonts w:cstheme="minorHAnsi"/>
          <w:sz w:val="24"/>
          <w:szCs w:val="24"/>
        </w:rPr>
        <w:t xml:space="preserve"> alcohol outlet availability is higher in predominantly African American neighborhoods (LaVeist &amp; Wallace, 2000; Nielsen, Hill, French, &amp; Hernandez,</w:t>
      </w:r>
      <w:r w:rsidR="00CA1692">
        <w:rPr>
          <w:rFonts w:cstheme="minorHAnsi"/>
          <w:sz w:val="24"/>
          <w:szCs w:val="24"/>
        </w:rPr>
        <w:t xml:space="preserve"> 2010</w:t>
      </w:r>
      <w:r w:rsidRPr="00C20C94">
        <w:rPr>
          <w:rFonts w:cstheme="minorHAnsi"/>
          <w:sz w:val="24"/>
          <w:szCs w:val="24"/>
        </w:rPr>
        <w:t>) as well as in Latino and Asian communities (Nielsen et al.,</w:t>
      </w:r>
      <w:r w:rsidR="00CA1692">
        <w:rPr>
          <w:rFonts w:cstheme="minorHAnsi"/>
          <w:sz w:val="24"/>
          <w:szCs w:val="24"/>
        </w:rPr>
        <w:t xml:space="preserve"> 2010</w:t>
      </w:r>
      <w:r w:rsidRPr="00C20C94">
        <w:rPr>
          <w:rFonts w:cstheme="minorHAnsi"/>
          <w:sz w:val="24"/>
          <w:szCs w:val="24"/>
        </w:rPr>
        <w:t xml:space="preserve">). These findings are troubling because living in a neighborhood with a higher proportion of African Americans is associated with heavy distilled spirits/liquor use and, in turn, reporting more negative drinking consequences (Jones-Webb &amp; </w:t>
      </w:r>
      <w:proofErr w:type="spellStart"/>
      <w:r w:rsidRPr="00C20C94">
        <w:rPr>
          <w:rFonts w:cstheme="minorHAnsi"/>
          <w:sz w:val="24"/>
          <w:szCs w:val="24"/>
        </w:rPr>
        <w:t>Karriker</w:t>
      </w:r>
      <w:proofErr w:type="spellEnd"/>
      <w:r w:rsidRPr="00C20C94">
        <w:rPr>
          <w:rFonts w:cstheme="minorHAnsi"/>
          <w:sz w:val="24"/>
          <w:szCs w:val="24"/>
        </w:rPr>
        <w:t>-Jaffe,</w:t>
      </w:r>
      <w:r w:rsidR="00CA1692">
        <w:rPr>
          <w:rFonts w:cstheme="minorHAnsi"/>
          <w:sz w:val="24"/>
          <w:szCs w:val="24"/>
        </w:rPr>
        <w:t xml:space="preserve"> 2013</w:t>
      </w:r>
      <w:r w:rsidRPr="00C20C94">
        <w:rPr>
          <w:rFonts w:cstheme="minorHAnsi"/>
          <w:sz w:val="24"/>
          <w:szCs w:val="24"/>
        </w:rPr>
        <w:t>), and availability of outlets such as liquor stores has a significant effect on at-risk alcohol consumption among African Americans (</w:t>
      </w:r>
      <w:proofErr w:type="spellStart"/>
      <w:r w:rsidRPr="00C20C94">
        <w:rPr>
          <w:rFonts w:cstheme="minorHAnsi"/>
          <w:sz w:val="24"/>
          <w:szCs w:val="24"/>
        </w:rPr>
        <w:t>Theall</w:t>
      </w:r>
      <w:proofErr w:type="spellEnd"/>
      <w:r w:rsidRPr="00C20C94">
        <w:rPr>
          <w:rFonts w:cstheme="minorHAnsi"/>
          <w:sz w:val="24"/>
          <w:szCs w:val="24"/>
        </w:rPr>
        <w:t xml:space="preserve"> et al.,</w:t>
      </w:r>
      <w:r w:rsidR="00CA1692">
        <w:rPr>
          <w:rFonts w:cstheme="minorHAnsi"/>
          <w:sz w:val="24"/>
          <w:szCs w:val="24"/>
        </w:rPr>
        <w:t xml:space="preserve"> 2011</w:t>
      </w:r>
      <w:r w:rsidRPr="00C20C94">
        <w:rPr>
          <w:rFonts w:cstheme="minorHAnsi"/>
          <w:sz w:val="24"/>
          <w:szCs w:val="24"/>
        </w:rPr>
        <w:t>).</w:t>
      </w:r>
    </w:p>
    <w:p w14:paraId="11EC45EC" w14:textId="712BAEEC" w:rsidR="00C20C94" w:rsidRPr="00C20C94" w:rsidRDefault="00C20C94" w:rsidP="00C20C94">
      <w:pPr>
        <w:rPr>
          <w:rFonts w:cstheme="minorHAnsi"/>
          <w:sz w:val="24"/>
          <w:szCs w:val="24"/>
        </w:rPr>
      </w:pPr>
      <w:r w:rsidRPr="00C20C94">
        <w:rPr>
          <w:rFonts w:cstheme="minorHAnsi"/>
          <w:sz w:val="24"/>
          <w:szCs w:val="24"/>
        </w:rPr>
        <w:t xml:space="preserve">Nonetheless, individual-level data on overall consumption across racial/ethnic differences suggests that non-Hispanic whites report higher overall consumption, suggesting that concentrations of alcohol outlets in racial/ethnic communities are likely not driven by market demands (Pollack, </w:t>
      </w:r>
      <w:proofErr w:type="spellStart"/>
      <w:r w:rsidRPr="00C20C94">
        <w:rPr>
          <w:rFonts w:cstheme="minorHAnsi"/>
          <w:sz w:val="24"/>
          <w:szCs w:val="24"/>
        </w:rPr>
        <w:t>Cubbin</w:t>
      </w:r>
      <w:proofErr w:type="spellEnd"/>
      <w:r w:rsidRPr="00C20C94">
        <w:rPr>
          <w:rFonts w:cstheme="minorHAnsi"/>
          <w:sz w:val="24"/>
          <w:szCs w:val="24"/>
        </w:rPr>
        <w:t xml:space="preserve">, </w:t>
      </w:r>
      <w:proofErr w:type="spellStart"/>
      <w:r w:rsidRPr="00C20C94">
        <w:rPr>
          <w:rFonts w:cstheme="minorHAnsi"/>
          <w:sz w:val="24"/>
          <w:szCs w:val="24"/>
        </w:rPr>
        <w:t>Ahn</w:t>
      </w:r>
      <w:proofErr w:type="spellEnd"/>
      <w:r w:rsidRPr="00C20C94">
        <w:rPr>
          <w:rFonts w:cstheme="minorHAnsi"/>
          <w:sz w:val="24"/>
          <w:szCs w:val="24"/>
        </w:rPr>
        <w:t xml:space="preserve">, &amp; </w:t>
      </w:r>
      <w:proofErr w:type="spellStart"/>
      <w:r w:rsidRPr="00C20C94">
        <w:rPr>
          <w:rFonts w:cstheme="minorHAnsi"/>
          <w:sz w:val="24"/>
          <w:szCs w:val="24"/>
        </w:rPr>
        <w:t>Winkleby</w:t>
      </w:r>
      <w:proofErr w:type="spellEnd"/>
      <w:r w:rsidRPr="00C20C94">
        <w:rPr>
          <w:rFonts w:cstheme="minorHAnsi"/>
          <w:sz w:val="24"/>
          <w:szCs w:val="24"/>
        </w:rPr>
        <w:t>,</w:t>
      </w:r>
      <w:r w:rsidR="00CA1692">
        <w:rPr>
          <w:rFonts w:cstheme="minorHAnsi"/>
          <w:sz w:val="24"/>
          <w:szCs w:val="24"/>
        </w:rPr>
        <w:t xml:space="preserve"> 2005</w:t>
      </w:r>
      <w:r w:rsidRPr="00C20C94">
        <w:rPr>
          <w:rFonts w:cstheme="minorHAnsi"/>
          <w:sz w:val="24"/>
          <w:szCs w:val="24"/>
        </w:rPr>
        <w:t>). However, racial/ethnic neighborhoods are heavily targeted by the alcohol industry (McKee, Jones-Webb, Hannan, &amp; Pham,</w:t>
      </w:r>
      <w:r w:rsidR="00CA1692">
        <w:rPr>
          <w:rFonts w:cstheme="minorHAnsi"/>
          <w:sz w:val="24"/>
          <w:szCs w:val="24"/>
        </w:rPr>
        <w:t xml:space="preserve"> 2011</w:t>
      </w:r>
      <w:r w:rsidRPr="00C20C94">
        <w:rPr>
          <w:rFonts w:cstheme="minorHAnsi"/>
          <w:sz w:val="24"/>
          <w:szCs w:val="24"/>
        </w:rPr>
        <w:t xml:space="preserve">), and representatives of ethnic </w:t>
      </w:r>
      <w:proofErr w:type="gramStart"/>
      <w:r w:rsidRPr="00C20C94">
        <w:rPr>
          <w:rFonts w:cstheme="minorHAnsi"/>
          <w:sz w:val="24"/>
          <w:szCs w:val="24"/>
        </w:rPr>
        <w:t>communities</w:t>
      </w:r>
      <w:proofErr w:type="gramEnd"/>
      <w:r w:rsidRPr="00C20C94">
        <w:rPr>
          <w:rFonts w:cstheme="minorHAnsi"/>
          <w:sz w:val="24"/>
          <w:szCs w:val="24"/>
        </w:rPr>
        <w:t xml:space="preserve"> express concerns about aggressive alcohol marketing campaigns that target the youth living in their neighborhoods (Alaniz &amp; Wilkes,</w:t>
      </w:r>
      <w:r w:rsidR="00CA1692">
        <w:rPr>
          <w:rFonts w:cstheme="minorHAnsi"/>
          <w:sz w:val="24"/>
          <w:szCs w:val="24"/>
        </w:rPr>
        <w:t xml:space="preserve"> </w:t>
      </w:r>
      <w:r w:rsidR="003920C4">
        <w:rPr>
          <w:rFonts w:cstheme="minorHAnsi"/>
          <w:sz w:val="24"/>
          <w:szCs w:val="24"/>
        </w:rPr>
        <w:t>1998</w:t>
      </w:r>
      <w:r w:rsidRPr="00C20C94">
        <w:rPr>
          <w:rFonts w:cstheme="minorHAnsi"/>
          <w:sz w:val="24"/>
          <w:szCs w:val="24"/>
        </w:rPr>
        <w:t>; McKee et al.,</w:t>
      </w:r>
      <w:r w:rsidR="003920C4">
        <w:rPr>
          <w:rFonts w:cstheme="minorHAnsi"/>
          <w:sz w:val="24"/>
          <w:szCs w:val="24"/>
        </w:rPr>
        <w:t xml:space="preserve"> 2011</w:t>
      </w:r>
      <w:r w:rsidRPr="00C20C94">
        <w:rPr>
          <w:rFonts w:cstheme="minorHAnsi"/>
          <w:sz w:val="24"/>
          <w:szCs w:val="24"/>
        </w:rPr>
        <w:t>; Moore, Williams, &amp; Qualls,</w:t>
      </w:r>
      <w:r w:rsidR="003920C4">
        <w:rPr>
          <w:rFonts w:cstheme="minorHAnsi"/>
          <w:sz w:val="24"/>
          <w:szCs w:val="24"/>
        </w:rPr>
        <w:t xml:space="preserve"> 1996</w:t>
      </w:r>
      <w:r w:rsidRPr="00C20C94">
        <w:rPr>
          <w:rFonts w:cstheme="minorHAnsi"/>
          <w:sz w:val="24"/>
          <w:szCs w:val="24"/>
        </w:rPr>
        <w:t xml:space="preserve">). To be sure, regardless of their racial/ethnic composition, communities tend to see alcohol outlets as an </w:t>
      </w:r>
      <w:r w:rsidRPr="00C20C94">
        <w:rPr>
          <w:rFonts w:cstheme="minorHAnsi"/>
          <w:sz w:val="24"/>
          <w:szCs w:val="24"/>
        </w:rPr>
        <w:lastRenderedPageBreak/>
        <w:t>unwanted enterprise, but because racial/ethnic communities are also often characterized by social disorganization (Sampson et al.,</w:t>
      </w:r>
      <w:r w:rsidR="003920C4">
        <w:rPr>
          <w:rFonts w:cstheme="minorHAnsi"/>
          <w:sz w:val="24"/>
          <w:szCs w:val="24"/>
        </w:rPr>
        <w:t xml:space="preserve"> 1997</w:t>
      </w:r>
      <w:r w:rsidRPr="00C20C94">
        <w:rPr>
          <w:rFonts w:cstheme="minorHAnsi"/>
          <w:sz w:val="24"/>
          <w:szCs w:val="24"/>
        </w:rPr>
        <w:t xml:space="preserve">), they may be less able to influence the opening of a new alcohol outlet in their neighborhoods. This theoretical proposition is supported by empirical evidence that shows that socially disorganized neighborhoods have the highest total alcohol outlet availability (Hay, Whigham, </w:t>
      </w:r>
      <w:proofErr w:type="spellStart"/>
      <w:r w:rsidRPr="00C20C94">
        <w:rPr>
          <w:rFonts w:cstheme="minorHAnsi"/>
          <w:sz w:val="24"/>
          <w:szCs w:val="24"/>
        </w:rPr>
        <w:t>Kypri</w:t>
      </w:r>
      <w:proofErr w:type="spellEnd"/>
      <w:r w:rsidRPr="00C20C94">
        <w:rPr>
          <w:rFonts w:cstheme="minorHAnsi"/>
          <w:sz w:val="24"/>
          <w:szCs w:val="24"/>
        </w:rPr>
        <w:t>, &amp; Langley,</w:t>
      </w:r>
      <w:r w:rsidR="00171ADE">
        <w:rPr>
          <w:rFonts w:cstheme="minorHAnsi"/>
          <w:sz w:val="24"/>
          <w:szCs w:val="24"/>
        </w:rPr>
        <w:t xml:space="preserve"> 2009</w:t>
      </w:r>
      <w:r w:rsidRPr="00C20C94">
        <w:rPr>
          <w:rFonts w:cstheme="minorHAnsi"/>
          <w:sz w:val="24"/>
          <w:szCs w:val="24"/>
        </w:rPr>
        <w:t>; Pearce, Day, &amp; Witten,</w:t>
      </w:r>
      <w:r w:rsidR="00171ADE">
        <w:rPr>
          <w:rFonts w:cstheme="minorHAnsi"/>
          <w:sz w:val="24"/>
          <w:szCs w:val="24"/>
        </w:rPr>
        <w:t xml:space="preserve"> 2008</w:t>
      </w:r>
      <w:r w:rsidRPr="00C20C94">
        <w:rPr>
          <w:rFonts w:cstheme="minorHAnsi"/>
          <w:sz w:val="24"/>
          <w:szCs w:val="24"/>
        </w:rPr>
        <w:t>; Pollack et al.,</w:t>
      </w:r>
      <w:r w:rsidR="00171ADE">
        <w:rPr>
          <w:rFonts w:cstheme="minorHAnsi"/>
          <w:sz w:val="24"/>
          <w:szCs w:val="24"/>
        </w:rPr>
        <w:t xml:space="preserve"> 2005</w:t>
      </w:r>
      <w:r w:rsidRPr="00C20C94">
        <w:rPr>
          <w:rFonts w:cstheme="minorHAnsi"/>
          <w:sz w:val="24"/>
          <w:szCs w:val="24"/>
        </w:rPr>
        <w:t>) and a significantly higher availability of off-premise alcohol outlets (Gorman &amp; Speer, 1997; Livingston,; Pollack et al.,</w:t>
      </w:r>
      <w:r w:rsidR="00171ADE">
        <w:rPr>
          <w:rFonts w:cstheme="minorHAnsi"/>
          <w:sz w:val="24"/>
          <w:szCs w:val="24"/>
        </w:rPr>
        <w:t xml:space="preserve"> 2005</w:t>
      </w:r>
      <w:r w:rsidRPr="00C20C94">
        <w:rPr>
          <w:rFonts w:cstheme="minorHAnsi"/>
          <w:sz w:val="24"/>
          <w:szCs w:val="24"/>
        </w:rPr>
        <w:t>), while race/ethnicity is found to be either unrelated or negatively associated with off-premise alcohol availability once social disorganization levels are accounted for (Nielsen et al.,</w:t>
      </w:r>
      <w:r w:rsidR="00171ADE">
        <w:rPr>
          <w:rFonts w:cstheme="minorHAnsi"/>
          <w:sz w:val="24"/>
          <w:szCs w:val="24"/>
        </w:rPr>
        <w:t xml:space="preserve"> 2010</w:t>
      </w:r>
      <w:r w:rsidRPr="00C20C94">
        <w:rPr>
          <w:rFonts w:cstheme="minorHAnsi"/>
          <w:sz w:val="24"/>
          <w:szCs w:val="24"/>
        </w:rPr>
        <w:t>).</w:t>
      </w:r>
    </w:p>
    <w:p w14:paraId="30433578" w14:textId="2EAFE003" w:rsidR="00C20C94" w:rsidRPr="00C20C94" w:rsidRDefault="00C20C94" w:rsidP="00C20C94">
      <w:pPr>
        <w:rPr>
          <w:rFonts w:cstheme="minorHAnsi"/>
          <w:sz w:val="24"/>
          <w:szCs w:val="24"/>
        </w:rPr>
      </w:pPr>
      <w:r w:rsidRPr="00C20C94">
        <w:rPr>
          <w:rFonts w:cstheme="minorHAnsi"/>
          <w:sz w:val="24"/>
          <w:szCs w:val="24"/>
        </w:rPr>
        <w:t>The notion that social disorganization matters more for alcohol availability is supported by the finding that in the most disadvantaged neighborhoods, the distance to the nearest alcohol outlet is lowest relative to the least disadvantaged neighborhoods (</w:t>
      </w:r>
      <w:proofErr w:type="spellStart"/>
      <w:r w:rsidRPr="00C20C94">
        <w:rPr>
          <w:rFonts w:cstheme="minorHAnsi"/>
          <w:sz w:val="24"/>
          <w:szCs w:val="24"/>
        </w:rPr>
        <w:t>Ellaway</w:t>
      </w:r>
      <w:proofErr w:type="spellEnd"/>
      <w:r w:rsidRPr="00C20C94">
        <w:rPr>
          <w:rFonts w:cstheme="minorHAnsi"/>
          <w:sz w:val="24"/>
          <w:szCs w:val="24"/>
        </w:rPr>
        <w:t>, Macdonald, Forsyth, &amp; Macintyre, 2010; Truong &amp; Sturm,</w:t>
      </w:r>
      <w:r w:rsidR="00171ADE">
        <w:rPr>
          <w:rFonts w:cstheme="minorHAnsi"/>
          <w:sz w:val="24"/>
          <w:szCs w:val="24"/>
        </w:rPr>
        <w:t xml:space="preserve"> 2009</w:t>
      </w:r>
      <w:r w:rsidRPr="00C20C94">
        <w:rPr>
          <w:rFonts w:cstheme="minorHAnsi"/>
          <w:sz w:val="24"/>
          <w:szCs w:val="24"/>
        </w:rPr>
        <w:t xml:space="preserve">). The homes of ethnic minority and lower-income families have high alcohol availability in the immediate (e.g., within one to two city blocks) environment (Bryden, Roberts, McKee, &amp; </w:t>
      </w:r>
      <w:proofErr w:type="spellStart"/>
      <w:r w:rsidRPr="00C20C94">
        <w:rPr>
          <w:rFonts w:cstheme="minorHAnsi"/>
          <w:sz w:val="24"/>
          <w:szCs w:val="24"/>
        </w:rPr>
        <w:t>Petticrew</w:t>
      </w:r>
      <w:proofErr w:type="spellEnd"/>
      <w:r w:rsidRPr="00C20C94">
        <w:rPr>
          <w:rFonts w:cstheme="minorHAnsi"/>
          <w:sz w:val="24"/>
          <w:szCs w:val="24"/>
        </w:rPr>
        <w:t>, 2012; Truong &amp; Sturm,</w:t>
      </w:r>
      <w:r w:rsidR="00C22664">
        <w:rPr>
          <w:rFonts w:cstheme="minorHAnsi"/>
          <w:sz w:val="24"/>
          <w:szCs w:val="24"/>
        </w:rPr>
        <w:t xml:space="preserve"> 2009</w:t>
      </w:r>
      <w:r w:rsidRPr="00C20C94">
        <w:rPr>
          <w:rFonts w:cstheme="minorHAnsi"/>
          <w:sz w:val="24"/>
          <w:szCs w:val="24"/>
        </w:rPr>
        <w:t>). The close proximity of alcohol outlets to the homes of ethnic minority and lower-income families is troubling given the empirical finding that neighborhoods with low mean distance to the closest off-</w:t>
      </w:r>
      <w:proofErr w:type="gramStart"/>
      <w:r w:rsidRPr="00C20C94">
        <w:rPr>
          <w:rFonts w:cstheme="minorHAnsi"/>
          <w:sz w:val="24"/>
          <w:szCs w:val="24"/>
        </w:rPr>
        <w:t>premise</w:t>
      </w:r>
      <w:proofErr w:type="gramEnd"/>
      <w:r w:rsidRPr="00C20C94">
        <w:rPr>
          <w:rFonts w:cstheme="minorHAnsi"/>
          <w:sz w:val="24"/>
          <w:szCs w:val="24"/>
        </w:rPr>
        <w:t xml:space="preserve"> alcohol outlet exhibit heavier drinking norms and heavier alcohol consumption (Scribner, Cohen, &amp; Fisher,</w:t>
      </w:r>
      <w:r w:rsidR="00C22664">
        <w:rPr>
          <w:rFonts w:cstheme="minorHAnsi"/>
          <w:sz w:val="24"/>
          <w:szCs w:val="24"/>
        </w:rPr>
        <w:t xml:space="preserve"> 2000</w:t>
      </w:r>
      <w:r w:rsidRPr="00C20C94">
        <w:rPr>
          <w:rFonts w:cstheme="minorHAnsi"/>
          <w:sz w:val="24"/>
          <w:szCs w:val="24"/>
        </w:rPr>
        <w:t>). In addition, high availability of alcohol in such neighborhoods may also encourage the use of alcohol as a coping strategy to obtain relief and escape from the personal suffering and deprivation among groups that appear to be most vulnerable (Scribner et al.,</w:t>
      </w:r>
      <w:r w:rsidR="00C22664">
        <w:rPr>
          <w:rFonts w:cstheme="minorHAnsi"/>
          <w:sz w:val="24"/>
          <w:szCs w:val="24"/>
        </w:rPr>
        <w:t xml:space="preserve"> 2000</w:t>
      </w:r>
      <w:r w:rsidRPr="00C20C94">
        <w:rPr>
          <w:rFonts w:cstheme="minorHAnsi"/>
          <w:sz w:val="24"/>
          <w:szCs w:val="24"/>
        </w:rPr>
        <w:t xml:space="preserve">). Thus, not only are the most vulnerable neighborhoods unable to protect themselves from negative social and health outcomes, </w:t>
      </w:r>
      <w:proofErr w:type="gramStart"/>
      <w:r w:rsidRPr="00C20C94">
        <w:rPr>
          <w:rFonts w:cstheme="minorHAnsi"/>
          <w:sz w:val="24"/>
          <w:szCs w:val="24"/>
        </w:rPr>
        <w:t>they are</w:t>
      </w:r>
      <w:proofErr w:type="gramEnd"/>
      <w:r w:rsidRPr="00C20C94">
        <w:rPr>
          <w:rFonts w:cstheme="minorHAnsi"/>
          <w:sz w:val="24"/>
          <w:szCs w:val="24"/>
        </w:rPr>
        <w:t xml:space="preserve"> disproportionately exposed to availability of commodities that typically produce these negative social and health outcomes.</w:t>
      </w:r>
    </w:p>
    <w:p w14:paraId="1D67020E" w14:textId="3C4B6D21" w:rsidR="00C20C94" w:rsidRPr="00C20C94" w:rsidRDefault="00C20C94" w:rsidP="00C20C94">
      <w:pPr>
        <w:rPr>
          <w:rFonts w:cstheme="minorHAnsi"/>
          <w:sz w:val="24"/>
          <w:szCs w:val="24"/>
        </w:rPr>
      </w:pPr>
      <w:r w:rsidRPr="00C20C94">
        <w:rPr>
          <w:rFonts w:cstheme="minorHAnsi"/>
          <w:sz w:val="24"/>
          <w:szCs w:val="24"/>
        </w:rPr>
        <w:t xml:space="preserve">This review of literature suggests that local neighborhood environments are important for alcohol availability. However, the research in this area has left three areas that need further exploration. The first relates to the issue of using large units of analysis (i.e., zip codes, census tracts) as carried out in previous studies to approximate neighborhood boundaries. The use of large units of analysis may obscure the fundamental nature of outlet density and can increase the likelihood of aggregation bias (Parker &amp; </w:t>
      </w:r>
      <w:proofErr w:type="spellStart"/>
      <w:r w:rsidRPr="00C20C94">
        <w:rPr>
          <w:rFonts w:cstheme="minorHAnsi"/>
          <w:sz w:val="24"/>
          <w:szCs w:val="24"/>
        </w:rPr>
        <w:t>Wolz</w:t>
      </w:r>
      <w:proofErr w:type="spellEnd"/>
      <w:r w:rsidRPr="00C20C94">
        <w:rPr>
          <w:rFonts w:cstheme="minorHAnsi"/>
          <w:sz w:val="24"/>
          <w:szCs w:val="24"/>
        </w:rPr>
        <w:t>,</w:t>
      </w:r>
      <w:r w:rsidR="00C22664">
        <w:rPr>
          <w:rFonts w:cstheme="minorHAnsi"/>
          <w:sz w:val="24"/>
          <w:szCs w:val="24"/>
        </w:rPr>
        <w:t xml:space="preserve"> 1979</w:t>
      </w:r>
      <w:r w:rsidRPr="00C20C94">
        <w:rPr>
          <w:rFonts w:cstheme="minorHAnsi"/>
          <w:sz w:val="24"/>
          <w:szCs w:val="24"/>
        </w:rPr>
        <w:t xml:space="preserve">). Instead, smaller units of analysis (such as census block groups, which are used in this study) might better represent natural neighborhood boundaries and reduce the likelihood of pattern obfuscation (Andersen &amp; </w:t>
      </w:r>
      <w:proofErr w:type="spellStart"/>
      <w:r w:rsidRPr="00C20C94">
        <w:rPr>
          <w:rFonts w:cstheme="minorHAnsi"/>
          <w:sz w:val="24"/>
          <w:szCs w:val="24"/>
        </w:rPr>
        <w:t>Malleson</w:t>
      </w:r>
      <w:proofErr w:type="spellEnd"/>
      <w:r w:rsidRPr="00C20C94">
        <w:rPr>
          <w:rFonts w:cstheme="minorHAnsi"/>
          <w:sz w:val="24"/>
          <w:szCs w:val="24"/>
        </w:rPr>
        <w:t>,</w:t>
      </w:r>
      <w:r w:rsidR="00C22664">
        <w:rPr>
          <w:rFonts w:cstheme="minorHAnsi"/>
          <w:sz w:val="24"/>
          <w:szCs w:val="24"/>
        </w:rPr>
        <w:t xml:space="preserve"> 2011</w:t>
      </w:r>
      <w:r w:rsidRPr="00C20C94">
        <w:rPr>
          <w:rFonts w:cstheme="minorHAnsi"/>
          <w:sz w:val="24"/>
          <w:szCs w:val="24"/>
        </w:rPr>
        <w:t xml:space="preserve">), making them a more appropriate spatial unit of analysis for estimating the association between neighborhood characteristics and alcohol availability. The second area relates to the role of both neighborhood race/ethnicity composition and social disorganization in alcohol availability, although there are some notable exceptions. While some prior studies have examined the role of race/ethnicity in alcohol availability and other studies have examined the role of socioeconomic characteristics, less is known about whether it is the race/ethnicity or social disorganization that best explains alcohol availability (see Nelson et al., 2010). The issue of measurement is important because prior studies in this area have produced different findings depending on which neighborhood characteristic measure they utilized, making it difficult to fully understand the relationship between race/ethnicity, social disorganization, and alcohol availability. The last area that needs further exploration relates to the alcohol outlet typology used in previous studies. Some studies have only examined total alcohol availability (e.g., </w:t>
      </w:r>
      <w:proofErr w:type="spellStart"/>
      <w:r w:rsidRPr="00C20C94">
        <w:rPr>
          <w:rFonts w:cstheme="minorHAnsi"/>
          <w:sz w:val="24"/>
          <w:szCs w:val="24"/>
        </w:rPr>
        <w:t>Berke</w:t>
      </w:r>
      <w:proofErr w:type="spellEnd"/>
      <w:r w:rsidRPr="00C20C94">
        <w:rPr>
          <w:rFonts w:cstheme="minorHAnsi"/>
          <w:sz w:val="24"/>
          <w:szCs w:val="24"/>
        </w:rPr>
        <w:t xml:space="preserve"> et al.,</w:t>
      </w:r>
      <w:r w:rsidR="00C22664">
        <w:rPr>
          <w:rFonts w:cstheme="minorHAnsi"/>
          <w:sz w:val="24"/>
          <w:szCs w:val="24"/>
        </w:rPr>
        <w:t xml:space="preserve"> </w:t>
      </w:r>
      <w:r w:rsidR="004F4B50">
        <w:rPr>
          <w:rFonts w:cstheme="minorHAnsi"/>
          <w:sz w:val="24"/>
          <w:szCs w:val="24"/>
        </w:rPr>
        <w:t>2010</w:t>
      </w:r>
      <w:r w:rsidRPr="00C20C94">
        <w:rPr>
          <w:rFonts w:cstheme="minorHAnsi"/>
          <w:sz w:val="24"/>
          <w:szCs w:val="24"/>
        </w:rPr>
        <w:t xml:space="preserve">; </w:t>
      </w:r>
      <w:proofErr w:type="spellStart"/>
      <w:r w:rsidRPr="00C20C94">
        <w:rPr>
          <w:rFonts w:cstheme="minorHAnsi"/>
          <w:sz w:val="24"/>
          <w:szCs w:val="24"/>
        </w:rPr>
        <w:lastRenderedPageBreak/>
        <w:t>Bluthenthal</w:t>
      </w:r>
      <w:proofErr w:type="spellEnd"/>
      <w:r w:rsidRPr="00C20C94">
        <w:rPr>
          <w:rFonts w:cstheme="minorHAnsi"/>
          <w:sz w:val="24"/>
          <w:szCs w:val="24"/>
        </w:rPr>
        <w:t xml:space="preserve"> et al.,</w:t>
      </w:r>
      <w:r w:rsidR="004F4B50">
        <w:rPr>
          <w:rFonts w:cstheme="minorHAnsi"/>
          <w:sz w:val="24"/>
          <w:szCs w:val="24"/>
        </w:rPr>
        <w:t xml:space="preserve"> 2008</w:t>
      </w:r>
      <w:r w:rsidRPr="00C20C94">
        <w:rPr>
          <w:rFonts w:cstheme="minorHAnsi"/>
          <w:sz w:val="24"/>
          <w:szCs w:val="24"/>
        </w:rPr>
        <w:t>), and others only off-</w:t>
      </w:r>
      <w:proofErr w:type="gramStart"/>
      <w:r w:rsidRPr="00C20C94">
        <w:rPr>
          <w:rFonts w:cstheme="minorHAnsi"/>
          <w:sz w:val="24"/>
          <w:szCs w:val="24"/>
        </w:rPr>
        <w:t>premise</w:t>
      </w:r>
      <w:proofErr w:type="gramEnd"/>
      <w:r w:rsidRPr="00C20C94">
        <w:rPr>
          <w:rFonts w:cstheme="minorHAnsi"/>
          <w:sz w:val="24"/>
          <w:szCs w:val="24"/>
        </w:rPr>
        <w:t xml:space="preserve"> alcohol availability (e.g., LaVeist &amp; Wallace,</w:t>
      </w:r>
      <w:r w:rsidR="004F4B50">
        <w:rPr>
          <w:rFonts w:cstheme="minorHAnsi"/>
          <w:sz w:val="24"/>
          <w:szCs w:val="24"/>
        </w:rPr>
        <w:t xml:space="preserve"> 2000</w:t>
      </w:r>
      <w:r w:rsidRPr="00C20C94">
        <w:rPr>
          <w:rFonts w:cstheme="minorHAnsi"/>
          <w:sz w:val="24"/>
          <w:szCs w:val="24"/>
        </w:rPr>
        <w:t>; Nielsen et al.,</w:t>
      </w:r>
      <w:r w:rsidR="004F4B50">
        <w:rPr>
          <w:rFonts w:cstheme="minorHAnsi"/>
          <w:sz w:val="24"/>
          <w:szCs w:val="24"/>
        </w:rPr>
        <w:t xml:space="preserve"> 2010</w:t>
      </w:r>
      <w:r w:rsidRPr="00C20C94">
        <w:rPr>
          <w:rFonts w:cstheme="minorHAnsi"/>
          <w:sz w:val="24"/>
          <w:szCs w:val="24"/>
        </w:rPr>
        <w:t xml:space="preserve">). Less is known about how these neighborhood characteristics are associated with the availability of all alcohol outlet types in one setting (i.e., total, </w:t>
      </w:r>
      <w:proofErr w:type="gramStart"/>
      <w:r w:rsidRPr="00C20C94">
        <w:rPr>
          <w:rFonts w:cstheme="minorHAnsi"/>
          <w:sz w:val="24"/>
          <w:szCs w:val="24"/>
        </w:rPr>
        <w:t>on-premise</w:t>
      </w:r>
      <w:proofErr w:type="gramEnd"/>
      <w:r w:rsidRPr="00C20C94">
        <w:rPr>
          <w:rFonts w:cstheme="minorHAnsi"/>
          <w:sz w:val="24"/>
          <w:szCs w:val="24"/>
        </w:rPr>
        <w:t>, and off-premise). Understanding the associations that different neighborhood characteristics have with different alcohol outlet types is essential to determining appropriate policy responses.</w:t>
      </w:r>
    </w:p>
    <w:p w14:paraId="13C6952D" w14:textId="77777777" w:rsidR="00C20C94" w:rsidRPr="00C20C94" w:rsidRDefault="00C20C94" w:rsidP="00C20C94">
      <w:pPr>
        <w:rPr>
          <w:rFonts w:cstheme="minorHAnsi"/>
          <w:sz w:val="24"/>
          <w:szCs w:val="24"/>
        </w:rPr>
      </w:pPr>
      <w:r w:rsidRPr="00C20C94">
        <w:rPr>
          <w:rFonts w:cstheme="minorHAnsi"/>
          <w:sz w:val="24"/>
          <w:szCs w:val="24"/>
        </w:rPr>
        <w:t xml:space="preserve">This study contributes to the empirical literature in several ways. First, it extends the study of the association between neighborhood characteristics and alcohol availability by focusing on a smaller unit of aggregation than previously examined in the literature and using the most recent decennial census data. Second, it directly tests the association of neighborhood racial/ethnic characteristics and social disorganization with alcohol availability. Third, it estimates whether the role of race/ethnicity and social disorganization in alcohol availability exists across different alcohol outlet types. Lastly, this study uses U.S. census and alcohol availability data from Milwaukee, Wisconsin, a large urban city with social, economic, and political problems </w:t>
      </w:r>
      <w:proofErr w:type="gramStart"/>
      <w:r w:rsidRPr="00C20C94">
        <w:rPr>
          <w:rFonts w:cstheme="minorHAnsi"/>
          <w:sz w:val="24"/>
          <w:szCs w:val="24"/>
        </w:rPr>
        <w:t>similar to</w:t>
      </w:r>
      <w:proofErr w:type="gramEnd"/>
      <w:r w:rsidRPr="00C20C94">
        <w:rPr>
          <w:rFonts w:cstheme="minorHAnsi"/>
          <w:sz w:val="24"/>
          <w:szCs w:val="24"/>
        </w:rPr>
        <w:t xml:space="preserve"> those experienced by other large urban cities across the Unites States.</w:t>
      </w:r>
    </w:p>
    <w:p w14:paraId="44559AC4" w14:textId="78535F8D" w:rsidR="00C20C94" w:rsidRPr="00301461" w:rsidRDefault="00C20C94" w:rsidP="00301461">
      <w:pPr>
        <w:pStyle w:val="Heading2"/>
      </w:pPr>
      <w:r w:rsidRPr="00F230A9">
        <w:t>Data and methods</w:t>
      </w:r>
    </w:p>
    <w:p w14:paraId="231F2C9E" w14:textId="77777777" w:rsidR="00C20C94" w:rsidRPr="00C20C94" w:rsidRDefault="00C20C94" w:rsidP="00C20C94">
      <w:pPr>
        <w:rPr>
          <w:rFonts w:cstheme="minorHAnsi"/>
          <w:sz w:val="24"/>
          <w:szCs w:val="24"/>
        </w:rPr>
      </w:pPr>
      <w:r w:rsidRPr="00C20C94">
        <w:rPr>
          <w:rFonts w:cstheme="minorHAnsi"/>
          <w:sz w:val="24"/>
          <w:szCs w:val="24"/>
        </w:rPr>
        <w:t>This cross-sectional study utilizes data from Milwaukee, Wisconsin, census block groups to examine whether race/ethnicity is associated with availability of alcohol outlets, including different alcohol outlet types, and whether the association changes with the introduction of the social disorganization variable.</w:t>
      </w:r>
    </w:p>
    <w:p w14:paraId="7DFF73F3" w14:textId="3C006032" w:rsidR="00C20C94" w:rsidRPr="00301461" w:rsidRDefault="00C20C94" w:rsidP="00301461">
      <w:pPr>
        <w:pStyle w:val="Heading2"/>
      </w:pPr>
      <w:r w:rsidRPr="00F230A9">
        <w:t>Research site</w:t>
      </w:r>
    </w:p>
    <w:p w14:paraId="4C102737" w14:textId="287440B5" w:rsidR="00C20C94" w:rsidRPr="00C20C94" w:rsidRDefault="00C20C94" w:rsidP="00C20C94">
      <w:pPr>
        <w:rPr>
          <w:rFonts w:cstheme="minorHAnsi"/>
          <w:sz w:val="24"/>
          <w:szCs w:val="24"/>
        </w:rPr>
      </w:pPr>
      <w:r w:rsidRPr="00C20C94">
        <w:rPr>
          <w:rFonts w:cstheme="minorHAnsi"/>
          <w:sz w:val="24"/>
          <w:szCs w:val="24"/>
        </w:rPr>
        <w:t xml:space="preserve">Milwaukee, Wisconsin, is the largest city in the state, covering a land area of about 96 square miles with an estimated population of 598,916 individuals (U.S. Census Bureau, 2014). Relative to the rest of the state, the city of Milwaukee is exceptionally diverse, with 44.8% White residents, 40% African American residents, 17.3% Hispanic or Latino residents, and 3.5% Asian residents (U.S. Census Bureau, 2014). Within the state of </w:t>
      </w:r>
      <w:r w:rsidR="00315693" w:rsidRPr="00C20C94">
        <w:rPr>
          <w:rFonts w:cstheme="minorHAnsi"/>
          <w:sz w:val="24"/>
          <w:szCs w:val="24"/>
        </w:rPr>
        <w:t>Wisconsin</w:t>
      </w:r>
      <w:r w:rsidRPr="00C20C94">
        <w:rPr>
          <w:rFonts w:cstheme="minorHAnsi"/>
          <w:sz w:val="24"/>
          <w:szCs w:val="24"/>
        </w:rPr>
        <w:t>, 86.2% of residents are White, 6.3% are African American, 5.9% are Hispanic or Latino, and 2.3% are Asian (U.S. Census Bureau, 2014). However, this diverse city has a lower homeownership rate relative to the rest of the state (44.5% in Milwaukee verses 68.6% in the state, U.S. Census Bureau, 2014). In addition, the median household income between 2008 and 2012 for Milwaukee was lower relative to the rest of the state, with the income being $35,823 for Milwaukee and $52,627 for the state. About 28% of Milwaukee residents live below the poverty level, while the percent of residents who live below the poverty level for the state of Wisconsin is much lower at 12.5% (U.S. Census Bureau, 2014).</w:t>
      </w:r>
    </w:p>
    <w:p w14:paraId="22BD3F3A" w14:textId="3B76D0EC" w:rsidR="00C20C94" w:rsidRPr="00301461" w:rsidRDefault="00C20C94" w:rsidP="00301461">
      <w:pPr>
        <w:pStyle w:val="Heading2"/>
      </w:pPr>
      <w:r w:rsidRPr="00F230A9">
        <w:t>Units of analysis</w:t>
      </w:r>
    </w:p>
    <w:p w14:paraId="512F4A2B" w14:textId="4CC8801F" w:rsidR="00C20C94" w:rsidRPr="00C20C94" w:rsidRDefault="00C20C94" w:rsidP="00C20C94">
      <w:pPr>
        <w:rPr>
          <w:rFonts w:cstheme="minorHAnsi"/>
          <w:sz w:val="24"/>
          <w:szCs w:val="24"/>
        </w:rPr>
      </w:pPr>
      <w:r w:rsidRPr="00C20C94">
        <w:rPr>
          <w:rFonts w:cstheme="minorHAnsi"/>
          <w:sz w:val="24"/>
          <w:szCs w:val="24"/>
        </w:rPr>
        <w:t xml:space="preserve">The units of analysis for this study are 571 census block groups that lie within the boundaries of the city of Milwaukee. Census block groups were chosen as the units of analysis as they are the smallest and most ecologically </w:t>
      </w:r>
      <w:r w:rsidR="00315693" w:rsidRPr="00C20C94">
        <w:rPr>
          <w:rFonts w:cstheme="minorHAnsi"/>
          <w:sz w:val="24"/>
          <w:szCs w:val="24"/>
        </w:rPr>
        <w:t>meaningful</w:t>
      </w:r>
      <w:r w:rsidRPr="00C20C94">
        <w:rPr>
          <w:rFonts w:cstheme="minorHAnsi"/>
          <w:sz w:val="24"/>
          <w:szCs w:val="24"/>
        </w:rPr>
        <w:t xml:space="preserve"> administrative units for approximating neighborhood boundaries. Sampson and </w:t>
      </w:r>
      <w:proofErr w:type="spellStart"/>
      <w:r w:rsidRPr="00C20C94">
        <w:rPr>
          <w:rFonts w:cstheme="minorHAnsi"/>
          <w:sz w:val="24"/>
          <w:szCs w:val="24"/>
        </w:rPr>
        <w:t>Raudenbush</w:t>
      </w:r>
      <w:proofErr w:type="spellEnd"/>
      <w:r w:rsidRPr="00C20C94">
        <w:rPr>
          <w:rFonts w:cstheme="minorHAnsi"/>
          <w:sz w:val="24"/>
          <w:szCs w:val="24"/>
        </w:rPr>
        <w:t xml:space="preserve"> </w:t>
      </w:r>
      <w:r w:rsidR="002B3E2E">
        <w:rPr>
          <w:rFonts w:cstheme="minorHAnsi"/>
          <w:sz w:val="24"/>
          <w:szCs w:val="24"/>
        </w:rPr>
        <w:t xml:space="preserve">(2004) </w:t>
      </w:r>
      <w:r w:rsidRPr="00C20C94">
        <w:rPr>
          <w:rFonts w:cstheme="minorHAnsi"/>
          <w:sz w:val="24"/>
          <w:szCs w:val="24"/>
        </w:rPr>
        <w:t>and Grannis</w:t>
      </w:r>
      <w:r w:rsidR="002B3E2E">
        <w:rPr>
          <w:rFonts w:cstheme="minorHAnsi"/>
          <w:sz w:val="24"/>
          <w:szCs w:val="24"/>
        </w:rPr>
        <w:t xml:space="preserve"> (1998)</w:t>
      </w:r>
      <w:r w:rsidRPr="00C20C94">
        <w:rPr>
          <w:rFonts w:cstheme="minorHAnsi"/>
          <w:sz w:val="24"/>
          <w:szCs w:val="24"/>
        </w:rPr>
        <w:t xml:space="preserve"> have shown that block groups adequately reflect the layout of neighborhoods. Moreover, Parker and </w:t>
      </w:r>
      <w:proofErr w:type="spellStart"/>
      <w:r w:rsidRPr="00C20C94">
        <w:rPr>
          <w:rFonts w:cstheme="minorHAnsi"/>
          <w:sz w:val="24"/>
          <w:szCs w:val="24"/>
        </w:rPr>
        <w:t>Wolz</w:t>
      </w:r>
      <w:proofErr w:type="spellEnd"/>
      <w:r w:rsidR="00FA4032">
        <w:rPr>
          <w:rFonts w:cstheme="minorHAnsi"/>
          <w:sz w:val="24"/>
          <w:szCs w:val="24"/>
        </w:rPr>
        <w:t xml:space="preserve"> (1979)</w:t>
      </w:r>
      <w:r w:rsidRPr="00C20C94">
        <w:rPr>
          <w:rFonts w:cstheme="minorHAnsi"/>
          <w:sz w:val="24"/>
          <w:szCs w:val="24"/>
        </w:rPr>
        <w:t xml:space="preserve"> argued that alcohol outlet density is related to locations that are small enough to be influenced by varying population structure and geographical stratification (Britt et al., 2005). This is especially important because using larger units of </w:t>
      </w:r>
      <w:r w:rsidRPr="00C20C94">
        <w:rPr>
          <w:rFonts w:cstheme="minorHAnsi"/>
          <w:sz w:val="24"/>
          <w:szCs w:val="24"/>
        </w:rPr>
        <w:lastRenderedPageBreak/>
        <w:t xml:space="preserve">analysis (e.g., zip codes, cities, states) may obscure the fundamental nature of outlet density (Parker and </w:t>
      </w:r>
      <w:proofErr w:type="spellStart"/>
      <w:r w:rsidRPr="00C20C94">
        <w:rPr>
          <w:rFonts w:cstheme="minorHAnsi"/>
          <w:sz w:val="24"/>
          <w:szCs w:val="24"/>
        </w:rPr>
        <w:t>Wolz</w:t>
      </w:r>
      <w:proofErr w:type="spellEnd"/>
      <w:r w:rsidRPr="00C20C94">
        <w:rPr>
          <w:rFonts w:cstheme="minorHAnsi"/>
          <w:sz w:val="24"/>
          <w:szCs w:val="24"/>
        </w:rPr>
        <w:t>,</w:t>
      </w:r>
      <w:r w:rsidR="00FA4032">
        <w:rPr>
          <w:rFonts w:cstheme="minorHAnsi"/>
          <w:sz w:val="24"/>
          <w:szCs w:val="24"/>
        </w:rPr>
        <w:t xml:space="preserve"> 1979</w:t>
      </w:r>
      <w:r w:rsidRPr="00C20C94">
        <w:rPr>
          <w:rFonts w:cstheme="minorHAnsi"/>
          <w:sz w:val="24"/>
          <w:szCs w:val="24"/>
        </w:rPr>
        <w:t>) and can increase the likelihood of aggregation bias.</w:t>
      </w:r>
    </w:p>
    <w:p w14:paraId="1E3D3302" w14:textId="77777777" w:rsidR="00C20C94" w:rsidRPr="00C20C94" w:rsidRDefault="00C20C94" w:rsidP="00C20C94">
      <w:pPr>
        <w:rPr>
          <w:rFonts w:cstheme="minorHAnsi"/>
          <w:sz w:val="24"/>
          <w:szCs w:val="24"/>
        </w:rPr>
      </w:pPr>
      <w:r w:rsidRPr="00C20C94">
        <w:rPr>
          <w:rFonts w:cstheme="minorHAnsi"/>
          <w:sz w:val="24"/>
          <w:szCs w:val="24"/>
        </w:rPr>
        <w:t>The population of these census block groups ranges between 288 and 3,391, with a mean of 1,045.46 (U.S. Census Bureau, 2010). The size of these 571 census block groups ranges from 0.03 square miles to 3.7 square miles, with a mean of 0.17 square miles (U.S. Census Bureau, 2010).</w:t>
      </w:r>
    </w:p>
    <w:p w14:paraId="2CDA8FF8" w14:textId="6532E6A7" w:rsidR="00C20C94" w:rsidRPr="00301461" w:rsidRDefault="00C20C94" w:rsidP="00301461">
      <w:pPr>
        <w:pStyle w:val="Heading2"/>
      </w:pPr>
      <w:r w:rsidRPr="00F230A9">
        <w:t>Dependent variables</w:t>
      </w:r>
    </w:p>
    <w:p w14:paraId="57D1F86E" w14:textId="6CBC67E9" w:rsidR="00C20C94" w:rsidRPr="00C20C94" w:rsidRDefault="00C20C94" w:rsidP="00C20C94">
      <w:pPr>
        <w:rPr>
          <w:rFonts w:cstheme="minorHAnsi"/>
          <w:sz w:val="24"/>
          <w:szCs w:val="24"/>
        </w:rPr>
      </w:pPr>
      <w:r w:rsidRPr="00C20C94">
        <w:rPr>
          <w:rFonts w:cstheme="minorHAnsi"/>
          <w:sz w:val="24"/>
          <w:szCs w:val="24"/>
        </w:rPr>
        <w:t xml:space="preserve">Data on all active alcohol outlet licenses were obtained from the Wisconsin Department of Revenue in summer 2013. The data included license address, which was geocoded using ArcMap 10 with 99.7% successful match, and license type (e.g., </w:t>
      </w:r>
      <w:proofErr w:type="gramStart"/>
      <w:r w:rsidRPr="00C20C94">
        <w:rPr>
          <w:rFonts w:cstheme="minorHAnsi"/>
          <w:sz w:val="24"/>
          <w:szCs w:val="24"/>
        </w:rPr>
        <w:t>on-premise</w:t>
      </w:r>
      <w:proofErr w:type="gramEnd"/>
      <w:r w:rsidRPr="00C20C94">
        <w:rPr>
          <w:rFonts w:cstheme="minorHAnsi"/>
          <w:sz w:val="24"/>
          <w:szCs w:val="24"/>
        </w:rPr>
        <w:t>, such as bars and restaurants, or off-premise, such as liquor and convenience stores). The license type attribute allowed for disaggregation into three dependent variables: (</w:t>
      </w:r>
      <w:r w:rsidRPr="00F230A9">
        <w:rPr>
          <w:rFonts w:cstheme="minorHAnsi"/>
          <w:sz w:val="24"/>
          <w:szCs w:val="24"/>
        </w:rPr>
        <w:t>1</w:t>
      </w:r>
      <w:r w:rsidRPr="00C20C94">
        <w:rPr>
          <w:rFonts w:cstheme="minorHAnsi"/>
          <w:sz w:val="24"/>
          <w:szCs w:val="24"/>
        </w:rPr>
        <w:t>) total number of alcohol outlets, (</w:t>
      </w:r>
      <w:r w:rsidRPr="00F230A9">
        <w:rPr>
          <w:rFonts w:cstheme="minorHAnsi"/>
          <w:sz w:val="24"/>
          <w:szCs w:val="24"/>
        </w:rPr>
        <w:t>2</w:t>
      </w:r>
      <w:r w:rsidRPr="00C20C94">
        <w:rPr>
          <w:rFonts w:cstheme="minorHAnsi"/>
          <w:sz w:val="24"/>
          <w:szCs w:val="24"/>
        </w:rPr>
        <w:t xml:space="preserve">) </w:t>
      </w:r>
      <w:proofErr w:type="gramStart"/>
      <w:r w:rsidRPr="00C20C94">
        <w:rPr>
          <w:rFonts w:cstheme="minorHAnsi"/>
          <w:sz w:val="24"/>
          <w:szCs w:val="24"/>
        </w:rPr>
        <w:t>on-premise</w:t>
      </w:r>
      <w:proofErr w:type="gramEnd"/>
      <w:r w:rsidRPr="00C20C94">
        <w:rPr>
          <w:rFonts w:cstheme="minorHAnsi"/>
          <w:sz w:val="24"/>
          <w:szCs w:val="24"/>
        </w:rPr>
        <w:t xml:space="preserve"> alcohol outlets, such as bars, taverns, or restaurants, and (</w:t>
      </w:r>
      <w:r w:rsidRPr="00F230A9">
        <w:rPr>
          <w:rFonts w:cstheme="minorHAnsi"/>
          <w:sz w:val="24"/>
          <w:szCs w:val="24"/>
        </w:rPr>
        <w:t>3</w:t>
      </w:r>
      <w:r w:rsidRPr="00C20C94">
        <w:rPr>
          <w:rFonts w:cstheme="minorHAnsi"/>
          <w:sz w:val="24"/>
          <w:szCs w:val="24"/>
        </w:rPr>
        <w:t xml:space="preserve">) off-premise alcohol outlets, such as liquor or convenience stores. Total alcohol outlets were all outlets that were active and licensed to sell alcoholic beverages, regardless of their license type; </w:t>
      </w:r>
      <w:proofErr w:type="gramStart"/>
      <w:r w:rsidRPr="00C20C94">
        <w:rPr>
          <w:rFonts w:cstheme="minorHAnsi"/>
          <w:sz w:val="24"/>
          <w:szCs w:val="24"/>
        </w:rPr>
        <w:t>on-premise</w:t>
      </w:r>
      <w:proofErr w:type="gramEnd"/>
      <w:r w:rsidRPr="00C20C94">
        <w:rPr>
          <w:rFonts w:cstheme="minorHAnsi"/>
          <w:sz w:val="24"/>
          <w:szCs w:val="24"/>
        </w:rPr>
        <w:t xml:space="preserve"> alcohol outlets included all types of alcohol-selling places that allowed for consumption to take place while visiting the premises; off-premise alcohol outlets were all alcohol outlets licensed to sell alcoholic beverages for off-premise consumption. As such, on- and off-</w:t>
      </w:r>
      <w:proofErr w:type="gramStart"/>
      <w:r w:rsidRPr="00C20C94">
        <w:rPr>
          <w:rFonts w:cstheme="minorHAnsi"/>
          <w:sz w:val="24"/>
          <w:szCs w:val="24"/>
        </w:rPr>
        <w:t>premise</w:t>
      </w:r>
      <w:proofErr w:type="gramEnd"/>
      <w:r w:rsidRPr="00C20C94">
        <w:rPr>
          <w:rFonts w:cstheme="minorHAnsi"/>
          <w:sz w:val="24"/>
          <w:szCs w:val="24"/>
        </w:rPr>
        <w:t xml:space="preserve"> alcohol outlet variables were not further disaggregated.</w:t>
      </w:r>
    </w:p>
    <w:p w14:paraId="2D347DE9" w14:textId="43140A87" w:rsidR="00C20C94" w:rsidRPr="00C20C94" w:rsidRDefault="00C20C94" w:rsidP="00C20C94">
      <w:pPr>
        <w:rPr>
          <w:rFonts w:cstheme="minorHAnsi"/>
          <w:sz w:val="24"/>
          <w:szCs w:val="24"/>
        </w:rPr>
      </w:pPr>
      <w:r w:rsidRPr="00C20C94">
        <w:rPr>
          <w:rFonts w:cstheme="minorHAnsi"/>
          <w:sz w:val="24"/>
          <w:szCs w:val="24"/>
        </w:rPr>
        <w:t xml:space="preserve">There are theoretical and empirical reasons to believe that different neighborhood characteristics will have different associations with different outlet types. Theoretically, </w:t>
      </w:r>
      <w:proofErr w:type="gramStart"/>
      <w:r w:rsidRPr="00C20C94">
        <w:rPr>
          <w:rFonts w:cstheme="minorHAnsi"/>
          <w:sz w:val="24"/>
          <w:szCs w:val="24"/>
        </w:rPr>
        <w:t>on-premise</w:t>
      </w:r>
      <w:proofErr w:type="gramEnd"/>
      <w:r w:rsidRPr="00C20C94">
        <w:rPr>
          <w:rFonts w:cstheme="minorHAnsi"/>
          <w:sz w:val="24"/>
          <w:szCs w:val="24"/>
        </w:rPr>
        <w:t xml:space="preserve"> alcohol outlets are typically seen as more desirable retail outlets than off-premise alcohol outlets, and even though communities in general tend to be reprehensive about unwanted retail activity of this sort, they may be more comfortable with the opening of a new restaurant or a bar than they would be with the opening of a new liquor store. Indeed, neighborhood socioeconomic characteristics matter for availability of these alcohol outlet types as empirical evidence suggests that high-income areas are more likely to mount strong opposition to the opening of an outlet that sells cheap alcohol and lesser opposition to the opening of a more expensive outlet (such as high-end wine retailers) (Morrison, </w:t>
      </w:r>
      <w:proofErr w:type="spellStart"/>
      <w:r w:rsidRPr="00C20C94">
        <w:rPr>
          <w:rFonts w:cstheme="minorHAnsi"/>
          <w:sz w:val="24"/>
          <w:szCs w:val="24"/>
        </w:rPr>
        <w:t>Ponicki</w:t>
      </w:r>
      <w:proofErr w:type="spellEnd"/>
      <w:r w:rsidRPr="00C20C94">
        <w:rPr>
          <w:rFonts w:cstheme="minorHAnsi"/>
          <w:sz w:val="24"/>
          <w:szCs w:val="24"/>
        </w:rPr>
        <w:t>, &amp; Smith,</w:t>
      </w:r>
      <w:r w:rsidR="00A87752">
        <w:rPr>
          <w:rFonts w:cstheme="minorHAnsi"/>
          <w:sz w:val="24"/>
          <w:szCs w:val="24"/>
        </w:rPr>
        <w:t xml:space="preserve"> 2015</w:t>
      </w:r>
      <w:r w:rsidRPr="00C20C94">
        <w:rPr>
          <w:rFonts w:cstheme="minorHAnsi"/>
          <w:sz w:val="24"/>
          <w:szCs w:val="24"/>
        </w:rPr>
        <w:t>).</w:t>
      </w:r>
    </w:p>
    <w:p w14:paraId="51CF2757" w14:textId="3C6C3B0C" w:rsidR="00C20C94" w:rsidRPr="00301461" w:rsidRDefault="00C20C94" w:rsidP="00301461">
      <w:pPr>
        <w:pStyle w:val="Heading2"/>
      </w:pPr>
      <w:r w:rsidRPr="00F230A9">
        <w:t>Independent variables</w:t>
      </w:r>
    </w:p>
    <w:p w14:paraId="13250A54" w14:textId="77777777" w:rsidR="00C20C94" w:rsidRPr="00C20C94" w:rsidRDefault="00C20C94" w:rsidP="00C20C94">
      <w:pPr>
        <w:rPr>
          <w:rFonts w:cstheme="minorHAnsi"/>
          <w:sz w:val="24"/>
          <w:szCs w:val="24"/>
        </w:rPr>
      </w:pPr>
      <w:r w:rsidRPr="00C20C94">
        <w:rPr>
          <w:rFonts w:cstheme="minorHAnsi"/>
          <w:sz w:val="24"/>
          <w:szCs w:val="24"/>
        </w:rPr>
        <w:t xml:space="preserve">Data for the independent variables were obtained from 2010 U.S. decennial census data, </w:t>
      </w:r>
      <w:proofErr w:type="gramStart"/>
      <w:r w:rsidRPr="00C20C94">
        <w:rPr>
          <w:rFonts w:cstheme="minorHAnsi"/>
          <w:sz w:val="24"/>
          <w:szCs w:val="24"/>
        </w:rPr>
        <w:t>with the exception of</w:t>
      </w:r>
      <w:proofErr w:type="gramEnd"/>
      <w:r w:rsidRPr="00C20C94">
        <w:rPr>
          <w:rFonts w:cstheme="minorHAnsi"/>
          <w:sz w:val="24"/>
          <w:szCs w:val="24"/>
        </w:rPr>
        <w:t xml:space="preserve"> poverty data, which was collected in the 2000 decennial census data but not so in the 2010 decennial census data (in 2010, the U.S. Census Bureau collected poverty data through the American Community Survey). The limitation associated with the use of poverty data from 2000 was not considered to be a serious problem because the trends were relatively stable for Milwaukee for this </w:t>
      </w:r>
      <w:proofErr w:type="gramStart"/>
      <w:r w:rsidRPr="00C20C94">
        <w:rPr>
          <w:rFonts w:cstheme="minorHAnsi"/>
          <w:sz w:val="24"/>
          <w:szCs w:val="24"/>
        </w:rPr>
        <w:t>particular variable</w:t>
      </w:r>
      <w:proofErr w:type="gramEnd"/>
      <w:r w:rsidRPr="00C20C94">
        <w:rPr>
          <w:rFonts w:cstheme="minorHAnsi"/>
          <w:sz w:val="24"/>
          <w:szCs w:val="24"/>
        </w:rPr>
        <w:t xml:space="preserve"> between 2000 and 2010. In addition, while the more recent poverty data from the American Community Survey could have provided another source for up-to-date information on this </w:t>
      </w:r>
      <w:proofErr w:type="gramStart"/>
      <w:r w:rsidRPr="00C20C94">
        <w:rPr>
          <w:rFonts w:cstheme="minorHAnsi"/>
          <w:sz w:val="24"/>
          <w:szCs w:val="24"/>
        </w:rPr>
        <w:t>particular variable</w:t>
      </w:r>
      <w:proofErr w:type="gramEnd"/>
      <w:r w:rsidRPr="00C20C94">
        <w:rPr>
          <w:rFonts w:cstheme="minorHAnsi"/>
          <w:sz w:val="24"/>
          <w:szCs w:val="24"/>
        </w:rPr>
        <w:t xml:space="preserve">, the use of this data would bring with it the limitations common to the American Community Survey (ACS) data, which are subject to sampling and </w:t>
      </w:r>
      <w:proofErr w:type="spellStart"/>
      <w:r w:rsidRPr="00C20C94">
        <w:rPr>
          <w:rFonts w:cstheme="minorHAnsi"/>
          <w:sz w:val="24"/>
          <w:szCs w:val="24"/>
        </w:rPr>
        <w:t>nonsampling</w:t>
      </w:r>
      <w:proofErr w:type="spellEnd"/>
      <w:r w:rsidRPr="00C20C94">
        <w:rPr>
          <w:rFonts w:cstheme="minorHAnsi"/>
          <w:sz w:val="24"/>
          <w:szCs w:val="24"/>
        </w:rPr>
        <w:t xml:space="preserve"> error. Sampling error in survey estimates arises due to the use of probability sampling. </w:t>
      </w:r>
      <w:proofErr w:type="spellStart"/>
      <w:r w:rsidRPr="00C20C94">
        <w:rPr>
          <w:rFonts w:cstheme="minorHAnsi"/>
          <w:sz w:val="24"/>
          <w:szCs w:val="24"/>
        </w:rPr>
        <w:t>Nonsampling</w:t>
      </w:r>
      <w:proofErr w:type="spellEnd"/>
      <w:r w:rsidRPr="00C20C94">
        <w:rPr>
          <w:rFonts w:cstheme="minorHAnsi"/>
          <w:sz w:val="24"/>
          <w:szCs w:val="24"/>
        </w:rPr>
        <w:t xml:space="preserve"> error may be introduced during the data collection process, such as incorrect data entry. Sampling error for </w:t>
      </w:r>
      <w:r w:rsidRPr="00C20C94">
        <w:rPr>
          <w:rFonts w:cstheme="minorHAnsi"/>
          <w:sz w:val="24"/>
          <w:szCs w:val="24"/>
        </w:rPr>
        <w:lastRenderedPageBreak/>
        <w:t>the ACS may affect parameter estimates and limit validity of the conclusions drawn. For these reasons, the 2000 decennial census poverty data was used in this study.</w:t>
      </w:r>
    </w:p>
    <w:p w14:paraId="0F09E434" w14:textId="04B434D2" w:rsidR="00C20C94" w:rsidRPr="00C20C94" w:rsidRDefault="00C20C94" w:rsidP="00C20C94">
      <w:pPr>
        <w:rPr>
          <w:rFonts w:cstheme="minorHAnsi"/>
          <w:sz w:val="24"/>
          <w:szCs w:val="24"/>
        </w:rPr>
      </w:pPr>
      <w:r w:rsidRPr="00C20C94">
        <w:rPr>
          <w:rFonts w:cstheme="minorHAnsi"/>
          <w:sz w:val="24"/>
          <w:szCs w:val="24"/>
        </w:rPr>
        <w:t xml:space="preserve">Several theoretically and empirically important neighborhood characteristics that may be associated with various levels of alcohol availability were examined. First, the proportion of block group residents that were Hispanic, African American, or Asian race/ethnicity, relative to the total block group population, was calculated. Second, a variable to directly measure social disorganization levels in census block groups was created. Initially, this social disorganization variable was conceptualized as an index consisting of four traditional measures of social disorganization at the block group level: ethnic heterogeneity, poverty, residential instability, and single-headed households. First, ethnic heterogeneity was calculated using the </w:t>
      </w:r>
      <w:proofErr w:type="spellStart"/>
      <w:r w:rsidRPr="00C20C94">
        <w:rPr>
          <w:rFonts w:cstheme="minorHAnsi"/>
          <w:sz w:val="24"/>
          <w:szCs w:val="24"/>
        </w:rPr>
        <w:t>Lieberson</w:t>
      </w:r>
      <w:proofErr w:type="spellEnd"/>
      <w:r w:rsidRPr="00C20C94">
        <w:rPr>
          <w:rFonts w:cstheme="minorHAnsi"/>
          <w:sz w:val="24"/>
          <w:szCs w:val="24"/>
        </w:rPr>
        <w:t xml:space="preserve"> Diversity Index (</w:t>
      </w:r>
      <w:proofErr w:type="spellStart"/>
      <w:r w:rsidRPr="00C20C94">
        <w:rPr>
          <w:rFonts w:cstheme="minorHAnsi"/>
          <w:sz w:val="24"/>
          <w:szCs w:val="24"/>
        </w:rPr>
        <w:t>Lieberson</w:t>
      </w:r>
      <w:proofErr w:type="spellEnd"/>
      <w:r w:rsidRPr="00C20C94">
        <w:rPr>
          <w:rFonts w:cstheme="minorHAnsi"/>
          <w:sz w:val="24"/>
          <w:szCs w:val="24"/>
        </w:rPr>
        <w:t>,</w:t>
      </w:r>
      <w:r w:rsidR="00F46456">
        <w:rPr>
          <w:rFonts w:cstheme="minorHAnsi"/>
          <w:sz w:val="24"/>
          <w:szCs w:val="24"/>
        </w:rPr>
        <w:t xml:space="preserve"> 1969</w:t>
      </w:r>
      <w:r w:rsidRPr="00C20C94">
        <w:rPr>
          <w:rFonts w:cstheme="minorHAnsi"/>
          <w:sz w:val="24"/>
          <w:szCs w:val="24"/>
        </w:rPr>
        <w:t xml:space="preserve">), which is a common measure of ethnic heterogeneity in social science research. It was operationalized as one minus the sum of squared proportions of each of four races/ethnicities—White, African American, Asian, and Hispanic—as was done in previous research on alcohol outlets (see Nielsen, Martinez, &amp; Lee, 2005; Emerick, Curry, Collins, &amp; Rodriguez, 2014; Benson, </w:t>
      </w:r>
      <w:proofErr w:type="spellStart"/>
      <w:r w:rsidRPr="00C20C94">
        <w:rPr>
          <w:rFonts w:cstheme="minorHAnsi"/>
          <w:sz w:val="24"/>
          <w:szCs w:val="24"/>
        </w:rPr>
        <w:t>Wooldredge</w:t>
      </w:r>
      <w:proofErr w:type="spellEnd"/>
      <w:r w:rsidRPr="00C20C94">
        <w:rPr>
          <w:rFonts w:cstheme="minorHAnsi"/>
          <w:sz w:val="24"/>
          <w:szCs w:val="24"/>
        </w:rPr>
        <w:t xml:space="preserve">, </w:t>
      </w:r>
      <w:proofErr w:type="spellStart"/>
      <w:r w:rsidRPr="00C20C94">
        <w:rPr>
          <w:rFonts w:cstheme="minorHAnsi"/>
          <w:sz w:val="24"/>
          <w:szCs w:val="24"/>
        </w:rPr>
        <w:t>Thistlethwaite</w:t>
      </w:r>
      <w:proofErr w:type="spellEnd"/>
      <w:r w:rsidRPr="00C20C94">
        <w:rPr>
          <w:rFonts w:cstheme="minorHAnsi"/>
          <w:sz w:val="24"/>
          <w:szCs w:val="24"/>
        </w:rPr>
        <w:t xml:space="preserve">, &amp; Fox, 2004; Roman, Reid, </w:t>
      </w:r>
      <w:proofErr w:type="spellStart"/>
      <w:r w:rsidRPr="00C20C94">
        <w:rPr>
          <w:rFonts w:cstheme="minorHAnsi"/>
          <w:sz w:val="24"/>
          <w:szCs w:val="24"/>
        </w:rPr>
        <w:t>Bhati</w:t>
      </w:r>
      <w:proofErr w:type="spellEnd"/>
      <w:r w:rsidRPr="00C20C94">
        <w:rPr>
          <w:rFonts w:cstheme="minorHAnsi"/>
          <w:sz w:val="24"/>
          <w:szCs w:val="24"/>
        </w:rPr>
        <w:t>, &amp; Tereshchenko,</w:t>
      </w:r>
      <w:r w:rsidR="00A80331">
        <w:rPr>
          <w:rFonts w:cstheme="minorHAnsi"/>
          <w:sz w:val="24"/>
          <w:szCs w:val="24"/>
        </w:rPr>
        <w:t xml:space="preserve"> 2008</w:t>
      </w:r>
      <w:r w:rsidRPr="00C20C94">
        <w:rPr>
          <w:rFonts w:cstheme="minorHAnsi"/>
          <w:sz w:val="24"/>
          <w:szCs w:val="24"/>
        </w:rPr>
        <w:t>). The second in the social disorganization index, poverty, was measured as the proportion of the population in each block group with income below the poverty level. The third measure of the index, residential instability, was measured as the proportion of housing that is renter occupied relative to total housing units. Finally, the last measure of the index, single-headed households, was measured as the proportion of single-headed households with children younger than 18 years of age relative to total households.</w:t>
      </w:r>
    </w:p>
    <w:p w14:paraId="09844E66" w14:textId="77777777" w:rsidR="00C20C94" w:rsidRPr="00C20C94" w:rsidRDefault="00C20C94" w:rsidP="00C20C94">
      <w:pPr>
        <w:rPr>
          <w:rFonts w:cstheme="minorHAnsi"/>
          <w:sz w:val="24"/>
          <w:szCs w:val="24"/>
        </w:rPr>
      </w:pPr>
      <w:r w:rsidRPr="00C20C94">
        <w:rPr>
          <w:rFonts w:cstheme="minorHAnsi"/>
          <w:sz w:val="24"/>
          <w:szCs w:val="24"/>
        </w:rPr>
        <w:t xml:space="preserve">However, principal component analysis suggested that the total variance among the four variables can be explained by two factors. The variables of poverty, residential stability, and single-headed households loaded on the first factor, and the ethnic heterogeneity loaded on the second factor, together yielding Cronbach's alpha of 0.504. Subsequently, the ethnic heterogeneity variable was removed from the disorganization index calculation. This procedure resulted in the three variables loading on only one factor, with Cronbach's alpha of 0.716. While ethnic heterogeneity is often used in creating a measure of social disorganization, in the context of Milwaukee (a city marked by extreme spatial segregation along racial/ethnic characteristics), it appeared that the other three social disorganization variables (poverty, residential stability, and single-headed household) were better able to capture the concept of social disorganization. To be sure, additional sensitivity analyses were previously carried out to ensure stability of the models, and ultimately the social disorganization index utilized in the </w:t>
      </w:r>
      <w:proofErr w:type="gramStart"/>
      <w:r w:rsidRPr="00C20C94">
        <w:rPr>
          <w:rFonts w:cstheme="minorHAnsi"/>
          <w:sz w:val="24"/>
          <w:szCs w:val="24"/>
        </w:rPr>
        <w:t>models</w:t>
      </w:r>
      <w:proofErr w:type="gramEnd"/>
      <w:r w:rsidRPr="00C20C94">
        <w:rPr>
          <w:rFonts w:cstheme="minorHAnsi"/>
          <w:sz w:val="24"/>
          <w:szCs w:val="24"/>
        </w:rPr>
        <w:t xml:space="preserve"> comprised poverty, residential instability, and single-parent households.</w:t>
      </w:r>
    </w:p>
    <w:p w14:paraId="33C058AD" w14:textId="43D5FC5F" w:rsidR="00C20C94" w:rsidRPr="00301461" w:rsidRDefault="00C20C94" w:rsidP="00301461">
      <w:pPr>
        <w:pStyle w:val="Heading2"/>
      </w:pPr>
      <w:r w:rsidRPr="00F230A9">
        <w:t>Control variables</w:t>
      </w:r>
    </w:p>
    <w:p w14:paraId="7516B278" w14:textId="71B1582F" w:rsidR="00C20C94" w:rsidRPr="00C20C94" w:rsidRDefault="00C20C94" w:rsidP="00C20C94">
      <w:pPr>
        <w:rPr>
          <w:rFonts w:cstheme="minorHAnsi"/>
          <w:sz w:val="24"/>
          <w:szCs w:val="24"/>
        </w:rPr>
      </w:pPr>
      <w:r w:rsidRPr="00C20C94">
        <w:rPr>
          <w:rFonts w:cstheme="minorHAnsi"/>
          <w:sz w:val="24"/>
          <w:szCs w:val="24"/>
        </w:rPr>
        <w:t>Data for the control variables were obtained from 2010 U.S. decennial census data and the Wisconsin Department of Revenue. All models controlled for (</w:t>
      </w:r>
      <w:r w:rsidRPr="00F230A9">
        <w:rPr>
          <w:rFonts w:cstheme="minorHAnsi"/>
          <w:sz w:val="24"/>
          <w:szCs w:val="24"/>
        </w:rPr>
        <w:t>1</w:t>
      </w:r>
      <w:r w:rsidRPr="00C20C94">
        <w:rPr>
          <w:rFonts w:cstheme="minorHAnsi"/>
          <w:sz w:val="24"/>
          <w:szCs w:val="24"/>
        </w:rPr>
        <w:t>) population density, calculated using the number of individuals residing in a census block group (the number was normalized using natural log transformation); (</w:t>
      </w:r>
      <w:r w:rsidRPr="00F230A9">
        <w:rPr>
          <w:rFonts w:cstheme="minorHAnsi"/>
          <w:sz w:val="24"/>
          <w:szCs w:val="24"/>
        </w:rPr>
        <w:t>2</w:t>
      </w:r>
      <w:r w:rsidRPr="00C20C94">
        <w:rPr>
          <w:rFonts w:cstheme="minorHAnsi"/>
          <w:sz w:val="24"/>
          <w:szCs w:val="24"/>
        </w:rPr>
        <w:t>) the size of Milwaukee block groups (in square miles); (</w:t>
      </w:r>
      <w:r w:rsidRPr="00F230A9">
        <w:rPr>
          <w:rFonts w:cstheme="minorHAnsi"/>
          <w:sz w:val="24"/>
          <w:szCs w:val="24"/>
        </w:rPr>
        <w:t>3</w:t>
      </w:r>
      <w:r w:rsidRPr="00C20C94">
        <w:rPr>
          <w:rFonts w:cstheme="minorHAnsi"/>
          <w:sz w:val="24"/>
          <w:szCs w:val="24"/>
        </w:rPr>
        <w:t>) the proportion of young block group residents, calculated using the number of individuals who were 15–24 years of age relative to total block group population, and (</w:t>
      </w:r>
      <w:r w:rsidRPr="00F230A9">
        <w:rPr>
          <w:rFonts w:cstheme="minorHAnsi"/>
          <w:sz w:val="24"/>
          <w:szCs w:val="24"/>
        </w:rPr>
        <w:t>4</w:t>
      </w:r>
      <w:r w:rsidRPr="00C20C94">
        <w:rPr>
          <w:rFonts w:cstheme="minorHAnsi"/>
          <w:sz w:val="24"/>
          <w:szCs w:val="24"/>
        </w:rPr>
        <w:t>) the spatial lag term (</w:t>
      </w:r>
      <w:r w:rsidRPr="00C20C94">
        <w:rPr>
          <w:rFonts w:cstheme="minorHAnsi"/>
          <w:i/>
          <w:iCs/>
          <w:sz w:val="24"/>
          <w:szCs w:val="24"/>
        </w:rPr>
        <w:t>Rho</w:t>
      </w:r>
      <w:r w:rsidRPr="00C20C94">
        <w:rPr>
          <w:rFonts w:cstheme="minorHAnsi"/>
          <w:sz w:val="24"/>
          <w:szCs w:val="24"/>
        </w:rPr>
        <w:t>) of total, on-premise, and off-premise alcohol outlets.</w:t>
      </w:r>
    </w:p>
    <w:p w14:paraId="02C9ACB2" w14:textId="77777777" w:rsidR="00C20C94" w:rsidRPr="00C20C94" w:rsidRDefault="00C20C94" w:rsidP="00C20C94">
      <w:pPr>
        <w:rPr>
          <w:rFonts w:cstheme="minorHAnsi"/>
          <w:sz w:val="24"/>
          <w:szCs w:val="24"/>
        </w:rPr>
      </w:pPr>
      <w:r w:rsidRPr="00C20C94">
        <w:rPr>
          <w:rFonts w:cstheme="minorHAnsi"/>
          <w:sz w:val="24"/>
          <w:szCs w:val="24"/>
        </w:rPr>
        <w:lastRenderedPageBreak/>
        <w:t xml:space="preserve">The models controlled for population density and the size of Milwaukee block groups </w:t>
      </w:r>
      <w:proofErr w:type="gramStart"/>
      <w:r w:rsidRPr="00C20C94">
        <w:rPr>
          <w:rFonts w:cstheme="minorHAnsi"/>
          <w:sz w:val="24"/>
          <w:szCs w:val="24"/>
        </w:rPr>
        <w:t>in order to</w:t>
      </w:r>
      <w:proofErr w:type="gramEnd"/>
      <w:r w:rsidRPr="00C20C94">
        <w:rPr>
          <w:rFonts w:cstheme="minorHAnsi"/>
          <w:sz w:val="24"/>
          <w:szCs w:val="24"/>
        </w:rPr>
        <w:t xml:space="preserve"> account for variation in alcohol availability across units of analysis with varying population and block group size; census block groups with high population density and large size are likely to have a high number of alcohol outlets. The models also controlled for the proportion of young block group residents because greater availability of alcohol outlets may </w:t>
      </w:r>
      <w:proofErr w:type="gramStart"/>
      <w:r w:rsidRPr="00C20C94">
        <w:rPr>
          <w:rFonts w:cstheme="minorHAnsi"/>
          <w:sz w:val="24"/>
          <w:szCs w:val="24"/>
        </w:rPr>
        <w:t>be located in</w:t>
      </w:r>
      <w:proofErr w:type="gramEnd"/>
      <w:r w:rsidRPr="00C20C94">
        <w:rPr>
          <w:rFonts w:cstheme="minorHAnsi"/>
          <w:sz w:val="24"/>
          <w:szCs w:val="24"/>
        </w:rPr>
        <w:t xml:space="preserve"> neighborhoods characterized by such populations. Finally, because the dependent variable used for this study contains spatially referenced data, spatial autocorrelation diagnostics were consulted and indicated that alcohol availability levels in one unit of analysis were influenced by the processes from another, indicating spatial autocorrelation in the dependent variables. This is because spatially distributed data (such as locations of alcohol outlets) generally exhibit patterned variation, or spatial autocorrelation, so that those data points that are closer together in space are more likely to have similar characteristics than those that are farther apart. Therefore, the estimated models also included the appropriate spatial lagged term (</w:t>
      </w:r>
      <w:r w:rsidRPr="00C20C94">
        <w:rPr>
          <w:rFonts w:cstheme="minorHAnsi"/>
          <w:i/>
          <w:iCs/>
          <w:sz w:val="24"/>
          <w:szCs w:val="24"/>
        </w:rPr>
        <w:t>Rho</w:t>
      </w:r>
      <w:r w:rsidRPr="00C20C94">
        <w:rPr>
          <w:rFonts w:cstheme="minorHAnsi"/>
          <w:sz w:val="24"/>
          <w:szCs w:val="24"/>
        </w:rPr>
        <w:t xml:space="preserve">) explanatory variables, which were calculated using the weighted average number of </w:t>
      </w:r>
      <w:proofErr w:type="gramStart"/>
      <w:r w:rsidRPr="00C20C94">
        <w:rPr>
          <w:rFonts w:cstheme="minorHAnsi"/>
          <w:sz w:val="24"/>
          <w:szCs w:val="24"/>
        </w:rPr>
        <w:t>total</w:t>
      </w:r>
      <w:proofErr w:type="gramEnd"/>
      <w:r w:rsidRPr="00C20C94">
        <w:rPr>
          <w:rFonts w:cstheme="minorHAnsi"/>
          <w:sz w:val="24"/>
          <w:szCs w:val="24"/>
        </w:rPr>
        <w:t>, on-premise, and off-premise alcohol outlets in the neighboring census block groups. All models controlled for the influence of spatial autocorrelation of alcohol outlets in neighboring block groups. Once this spatial autocorrelation was identified, it was easy to control for it by adding a term for it (</w:t>
      </w:r>
      <w:r w:rsidRPr="00C20C94">
        <w:rPr>
          <w:rFonts w:cstheme="minorHAnsi"/>
          <w:i/>
          <w:iCs/>
          <w:sz w:val="24"/>
          <w:szCs w:val="24"/>
        </w:rPr>
        <w:t>Rho</w:t>
      </w:r>
      <w:r w:rsidRPr="00C20C94">
        <w:rPr>
          <w:rFonts w:cstheme="minorHAnsi"/>
          <w:sz w:val="24"/>
          <w:szCs w:val="24"/>
        </w:rPr>
        <w:t xml:space="preserve">) to the models. Thus, the models controlled for the effect of this </w:t>
      </w:r>
      <w:r w:rsidRPr="00C20C94">
        <w:rPr>
          <w:rFonts w:cstheme="minorHAnsi"/>
          <w:i/>
          <w:iCs/>
          <w:sz w:val="24"/>
          <w:szCs w:val="24"/>
        </w:rPr>
        <w:t>nuisance</w:t>
      </w:r>
      <w:r w:rsidRPr="00C20C94">
        <w:rPr>
          <w:rFonts w:cstheme="minorHAnsi"/>
          <w:sz w:val="24"/>
          <w:szCs w:val="24"/>
        </w:rPr>
        <w:t xml:space="preserve"> on parameter estimates (</w:t>
      </w:r>
      <w:proofErr w:type="spellStart"/>
      <w:r w:rsidRPr="00C20C94">
        <w:rPr>
          <w:rFonts w:cstheme="minorHAnsi"/>
          <w:sz w:val="24"/>
          <w:szCs w:val="24"/>
        </w:rPr>
        <w:t>Anselin</w:t>
      </w:r>
      <w:proofErr w:type="spellEnd"/>
      <w:r w:rsidRPr="00C20C94">
        <w:rPr>
          <w:rFonts w:cstheme="minorHAnsi"/>
          <w:sz w:val="24"/>
          <w:szCs w:val="24"/>
        </w:rPr>
        <w:t>, 1988).</w:t>
      </w:r>
    </w:p>
    <w:p w14:paraId="0DF2C8F6" w14:textId="70C089AB" w:rsidR="00C20C94" w:rsidRPr="00301461" w:rsidRDefault="00C20C94" w:rsidP="00301461">
      <w:pPr>
        <w:pStyle w:val="Heading2"/>
      </w:pPr>
      <w:r w:rsidRPr="00F230A9">
        <w:t>Statistical analyses</w:t>
      </w:r>
    </w:p>
    <w:p w14:paraId="361443DC" w14:textId="7C798CDD" w:rsidR="00C20C94" w:rsidRPr="00C20C94" w:rsidRDefault="00C20C94" w:rsidP="00C20C94">
      <w:pPr>
        <w:rPr>
          <w:rFonts w:cstheme="minorHAnsi"/>
          <w:sz w:val="24"/>
          <w:szCs w:val="24"/>
        </w:rPr>
      </w:pPr>
      <w:r w:rsidRPr="00C20C94">
        <w:rPr>
          <w:rFonts w:cstheme="minorHAnsi"/>
          <w:sz w:val="24"/>
          <w:szCs w:val="24"/>
        </w:rPr>
        <w:t xml:space="preserve">ArcMap 10.0 and </w:t>
      </w:r>
      <w:proofErr w:type="spellStart"/>
      <w:r w:rsidRPr="00C20C94">
        <w:rPr>
          <w:rFonts w:cstheme="minorHAnsi"/>
          <w:sz w:val="24"/>
          <w:szCs w:val="24"/>
        </w:rPr>
        <w:t>Geoda</w:t>
      </w:r>
      <w:proofErr w:type="spellEnd"/>
      <w:r w:rsidRPr="00C20C94">
        <w:rPr>
          <w:rFonts w:cstheme="minorHAnsi"/>
          <w:sz w:val="24"/>
          <w:szCs w:val="24"/>
        </w:rPr>
        <w:t xml:space="preserve"> (</w:t>
      </w:r>
      <w:proofErr w:type="spellStart"/>
      <w:r w:rsidRPr="00C20C94">
        <w:rPr>
          <w:rFonts w:cstheme="minorHAnsi"/>
          <w:sz w:val="24"/>
          <w:szCs w:val="24"/>
        </w:rPr>
        <w:t>Anselin</w:t>
      </w:r>
      <w:proofErr w:type="spellEnd"/>
      <w:r w:rsidRPr="00C20C94">
        <w:rPr>
          <w:rFonts w:cstheme="minorHAnsi"/>
          <w:sz w:val="24"/>
          <w:szCs w:val="24"/>
        </w:rPr>
        <w:t xml:space="preserve">, </w:t>
      </w:r>
      <w:proofErr w:type="spellStart"/>
      <w:r w:rsidRPr="00C20C94">
        <w:rPr>
          <w:rFonts w:cstheme="minorHAnsi"/>
          <w:sz w:val="24"/>
          <w:szCs w:val="24"/>
        </w:rPr>
        <w:t>Syabri</w:t>
      </w:r>
      <w:proofErr w:type="spellEnd"/>
      <w:r w:rsidRPr="00C20C94">
        <w:rPr>
          <w:rFonts w:cstheme="minorHAnsi"/>
          <w:sz w:val="24"/>
          <w:szCs w:val="24"/>
        </w:rPr>
        <w:t>, &amp; Kho,</w:t>
      </w:r>
      <w:r w:rsidR="00A80331">
        <w:rPr>
          <w:rFonts w:cstheme="minorHAnsi"/>
          <w:sz w:val="24"/>
          <w:szCs w:val="24"/>
        </w:rPr>
        <w:t xml:space="preserve"> 2006</w:t>
      </w:r>
      <w:r w:rsidRPr="00C20C94">
        <w:rPr>
          <w:rFonts w:cstheme="minorHAnsi"/>
          <w:sz w:val="24"/>
          <w:szCs w:val="24"/>
        </w:rPr>
        <w:t xml:space="preserve">) software were used to clean, geocode, and manage data, and SPSS 20.0 software was used to estimate all models. Although alcohol availability in neighborhoods is often operationalized as alcohol outlet density (standardized by either area size or </w:t>
      </w:r>
      <w:proofErr w:type="gramStart"/>
      <w:r w:rsidRPr="00C20C94">
        <w:rPr>
          <w:rFonts w:cstheme="minorHAnsi"/>
          <w:sz w:val="24"/>
          <w:szCs w:val="24"/>
        </w:rPr>
        <w:t>population;</w:t>
      </w:r>
      <w:proofErr w:type="gramEnd"/>
      <w:r w:rsidRPr="00C20C94">
        <w:rPr>
          <w:rFonts w:cstheme="minorHAnsi"/>
          <w:sz w:val="24"/>
          <w:szCs w:val="24"/>
        </w:rPr>
        <w:t xml:space="preserve"> e.g., Snowden &amp; </w:t>
      </w:r>
      <w:proofErr w:type="spellStart"/>
      <w:r w:rsidRPr="00C20C94">
        <w:rPr>
          <w:rFonts w:cstheme="minorHAnsi"/>
          <w:sz w:val="24"/>
          <w:szCs w:val="24"/>
        </w:rPr>
        <w:t>Freiburger</w:t>
      </w:r>
      <w:proofErr w:type="spellEnd"/>
      <w:r w:rsidRPr="00C20C94">
        <w:rPr>
          <w:rFonts w:cstheme="minorHAnsi"/>
          <w:sz w:val="24"/>
          <w:szCs w:val="24"/>
        </w:rPr>
        <w:t>,</w:t>
      </w:r>
      <w:r w:rsidR="00A80331">
        <w:rPr>
          <w:rFonts w:cstheme="minorHAnsi"/>
          <w:sz w:val="24"/>
          <w:szCs w:val="24"/>
        </w:rPr>
        <w:t xml:space="preserve"> 2015</w:t>
      </w:r>
      <w:r w:rsidRPr="00C20C94">
        <w:rPr>
          <w:rFonts w:cstheme="minorHAnsi"/>
          <w:sz w:val="24"/>
          <w:szCs w:val="24"/>
        </w:rPr>
        <w:t>), the dependent variables of interest (i.e., number of total, on-premise, and off-premise alcohol outlets) were raw counts because of census block groups that had no alcohol outlets, and preliminary diagnostics suggested overdispersion in the dependent variables. Thus, all models were estimated using negative binomial regression that accounted for overdispersion in the variables instead of Poisson regression (Long, 1997), and this approach is in line with the recent neighborhood-level research on alcohol availability (see Nielsen et al.,</w:t>
      </w:r>
      <w:r w:rsidR="00A80331">
        <w:rPr>
          <w:rFonts w:cstheme="minorHAnsi"/>
          <w:sz w:val="24"/>
          <w:szCs w:val="24"/>
        </w:rPr>
        <w:t xml:space="preserve"> 2010</w:t>
      </w:r>
      <w:r w:rsidRPr="00C20C94">
        <w:rPr>
          <w:rFonts w:cstheme="minorHAnsi"/>
          <w:sz w:val="24"/>
          <w:szCs w:val="24"/>
        </w:rPr>
        <w:t>).</w:t>
      </w:r>
    </w:p>
    <w:p w14:paraId="427C2C22" w14:textId="77777777" w:rsidR="00C20C94" w:rsidRPr="00C20C94" w:rsidRDefault="00C20C94" w:rsidP="00C20C94">
      <w:pPr>
        <w:rPr>
          <w:rFonts w:cstheme="minorHAnsi"/>
          <w:sz w:val="24"/>
          <w:szCs w:val="24"/>
        </w:rPr>
      </w:pPr>
      <w:r w:rsidRPr="00C20C94">
        <w:rPr>
          <w:rFonts w:cstheme="minorHAnsi"/>
          <w:sz w:val="24"/>
          <w:szCs w:val="24"/>
        </w:rPr>
        <w:t>The spatial lags (</w:t>
      </w:r>
      <w:r w:rsidRPr="00C20C94">
        <w:rPr>
          <w:rFonts w:cstheme="minorHAnsi"/>
          <w:i/>
          <w:iCs/>
          <w:sz w:val="24"/>
          <w:szCs w:val="24"/>
        </w:rPr>
        <w:t>Rho</w:t>
      </w:r>
      <w:r w:rsidRPr="00C20C94">
        <w:rPr>
          <w:rFonts w:cstheme="minorHAnsi"/>
          <w:sz w:val="24"/>
          <w:szCs w:val="24"/>
        </w:rPr>
        <w:t xml:space="preserve">) for all three of the alcohol outlet types were created in </w:t>
      </w:r>
      <w:proofErr w:type="spellStart"/>
      <w:r w:rsidRPr="00C20C94">
        <w:rPr>
          <w:rFonts w:cstheme="minorHAnsi"/>
          <w:sz w:val="24"/>
          <w:szCs w:val="24"/>
        </w:rPr>
        <w:t>GeoDa</w:t>
      </w:r>
      <w:proofErr w:type="spellEnd"/>
      <w:r w:rsidRPr="00C20C94">
        <w:rPr>
          <w:rFonts w:cstheme="minorHAnsi"/>
          <w:sz w:val="24"/>
          <w:szCs w:val="24"/>
        </w:rPr>
        <w:t xml:space="preserve"> using queen contiguity first-order weight matrix and were subsequently included in the negative binomial regression models. The contiguity spatial weight matrix was chosen because the units of analysis (i.e., census block groups) are arranged in a grid-like manner; we used first-order queen contiguity because we wanted to allow for equal influence of neighboring alcohol outlet levels on our units of analysis. The use of the first-order rook contiguity matrix was considered but not used because rook weights would have produced fewer neighbors relative to the queen weights. As such, on average, each neighboring observation would have more influence on the census block groups.</w:t>
      </w:r>
    </w:p>
    <w:p w14:paraId="30B5ECB1" w14:textId="77777777" w:rsidR="00C20C94" w:rsidRPr="00C20C94" w:rsidRDefault="00C20C94" w:rsidP="00C20C94">
      <w:pPr>
        <w:rPr>
          <w:rFonts w:cstheme="minorHAnsi"/>
          <w:sz w:val="24"/>
          <w:szCs w:val="24"/>
        </w:rPr>
      </w:pPr>
      <w:r w:rsidRPr="00C20C94">
        <w:rPr>
          <w:rFonts w:cstheme="minorHAnsi"/>
          <w:sz w:val="24"/>
          <w:szCs w:val="24"/>
        </w:rPr>
        <w:t xml:space="preserve">The first set of analyses included Models 1 and 2 and examined the association among the total number of all alcohol outlet types in Milwaukee block groups, race/ethnicity, and social disorganization, net of control variables. The second set of analyses included Models 3 and 4 and examined the association among the number of </w:t>
      </w:r>
      <w:proofErr w:type="gramStart"/>
      <w:r w:rsidRPr="00C20C94">
        <w:rPr>
          <w:rFonts w:cstheme="minorHAnsi"/>
          <w:sz w:val="24"/>
          <w:szCs w:val="24"/>
        </w:rPr>
        <w:t>on-premise</w:t>
      </w:r>
      <w:proofErr w:type="gramEnd"/>
      <w:r w:rsidRPr="00C20C94">
        <w:rPr>
          <w:rFonts w:cstheme="minorHAnsi"/>
          <w:sz w:val="24"/>
          <w:szCs w:val="24"/>
        </w:rPr>
        <w:t xml:space="preserve"> alcohol outlets in Milwaukee block groups, race/ethnicity, and social disorganization, net of control variables. The last set of analyses included </w:t>
      </w:r>
      <w:r w:rsidRPr="00C20C94">
        <w:rPr>
          <w:rFonts w:cstheme="minorHAnsi"/>
          <w:sz w:val="24"/>
          <w:szCs w:val="24"/>
        </w:rPr>
        <w:lastRenderedPageBreak/>
        <w:t>Models 5 and 6 and examined the association among the number of off-</w:t>
      </w:r>
      <w:proofErr w:type="gramStart"/>
      <w:r w:rsidRPr="00C20C94">
        <w:rPr>
          <w:rFonts w:cstheme="minorHAnsi"/>
          <w:sz w:val="24"/>
          <w:szCs w:val="24"/>
        </w:rPr>
        <w:t>premise</w:t>
      </w:r>
      <w:proofErr w:type="gramEnd"/>
      <w:r w:rsidRPr="00C20C94">
        <w:rPr>
          <w:rFonts w:cstheme="minorHAnsi"/>
          <w:sz w:val="24"/>
          <w:szCs w:val="24"/>
        </w:rPr>
        <w:t xml:space="preserve"> alcohol outlets in Milwaukee block groups, race/ethnicity, and social disorganization, net of control variables.</w:t>
      </w:r>
    </w:p>
    <w:p w14:paraId="4E46220F" w14:textId="52233FCC" w:rsidR="00C20C94" w:rsidRPr="00301461" w:rsidRDefault="00C20C94" w:rsidP="00301461">
      <w:pPr>
        <w:pStyle w:val="Heading1"/>
      </w:pPr>
      <w:r w:rsidRPr="00F230A9">
        <w:t>Results</w:t>
      </w:r>
    </w:p>
    <w:p w14:paraId="73957888" w14:textId="77777777" w:rsidR="00C20C94" w:rsidRPr="00C20C94" w:rsidRDefault="00C20C94" w:rsidP="00C20C94">
      <w:pPr>
        <w:rPr>
          <w:rFonts w:cstheme="minorHAnsi"/>
          <w:sz w:val="24"/>
          <w:szCs w:val="24"/>
        </w:rPr>
      </w:pPr>
      <w:r w:rsidRPr="00C20C94">
        <w:rPr>
          <w:rFonts w:cstheme="minorHAnsi"/>
          <w:sz w:val="24"/>
          <w:szCs w:val="24"/>
        </w:rPr>
        <w:t xml:space="preserve">Descriptive statistics for the dependent, independent, and control variables used in the regression models are presented in Table 1. On average, the 571 Milwaukee block groups contained about two alcohol outlets of any type, most of which were </w:t>
      </w:r>
      <w:proofErr w:type="gramStart"/>
      <w:r w:rsidRPr="00C20C94">
        <w:rPr>
          <w:rFonts w:cstheme="minorHAnsi"/>
          <w:sz w:val="24"/>
          <w:szCs w:val="24"/>
        </w:rPr>
        <w:t>on-premise</w:t>
      </w:r>
      <w:proofErr w:type="gramEnd"/>
      <w:r w:rsidRPr="00C20C94">
        <w:rPr>
          <w:rFonts w:cstheme="minorHAnsi"/>
          <w:sz w:val="24"/>
          <w:szCs w:val="24"/>
        </w:rPr>
        <w:t xml:space="preserve"> alcohol outlets (e.g., bars and restaurants). On average, the 571 Milwaukee block groups contained about 16% residents of Hispanic ethnicity, 43% residents of African American ethnicity, and about 3% residents of Asian ethnicity. Social disorganization for the 571 Milwaukee block groups ranged from −1.69 (suggesting low levels of social disorganization) to 3.31 (suggesting high levels of social disorganization).</w:t>
      </w:r>
    </w:p>
    <w:p w14:paraId="483DE680" w14:textId="20EB5A93" w:rsidR="00C20C94" w:rsidRPr="00C20C94" w:rsidRDefault="00C20C94" w:rsidP="00301461">
      <w:pPr>
        <w:spacing w:after="0"/>
        <w:rPr>
          <w:rFonts w:cstheme="minorHAnsi"/>
          <w:sz w:val="24"/>
          <w:szCs w:val="24"/>
        </w:rPr>
      </w:pPr>
      <w:r w:rsidRPr="00C20C94">
        <w:rPr>
          <w:rFonts w:cstheme="minorHAnsi"/>
          <w:sz w:val="24"/>
          <w:szCs w:val="24"/>
        </w:rPr>
        <w:t xml:space="preserve">Table 1. Descriptive statistics for </w:t>
      </w:r>
      <w:r w:rsidR="00301461" w:rsidRPr="00C20C94">
        <w:rPr>
          <w:rFonts w:cstheme="minorHAnsi"/>
          <w:sz w:val="24"/>
          <w:szCs w:val="24"/>
        </w:rPr>
        <w:t>Milwaukee</w:t>
      </w:r>
      <w:r w:rsidRPr="00C20C94">
        <w:rPr>
          <w:rFonts w:cstheme="minorHAnsi"/>
          <w:sz w:val="24"/>
          <w:szCs w:val="24"/>
        </w:rPr>
        <w:t xml:space="preserve"> block groups (N = 571).</w:t>
      </w:r>
    </w:p>
    <w:tbl>
      <w:tblPr>
        <w:tblStyle w:val="TableGrid"/>
        <w:tblW w:w="0" w:type="auto"/>
        <w:tblLook w:val="04A0" w:firstRow="1" w:lastRow="0" w:firstColumn="1" w:lastColumn="0" w:noHBand="0" w:noVBand="1"/>
      </w:tblPr>
      <w:tblGrid>
        <w:gridCol w:w="2326"/>
        <w:gridCol w:w="1167"/>
        <w:gridCol w:w="1205"/>
        <w:gridCol w:w="782"/>
        <w:gridCol w:w="2065"/>
      </w:tblGrid>
      <w:tr w:rsidR="00C20C94" w:rsidRPr="00C20C94" w14:paraId="790FC117" w14:textId="77777777" w:rsidTr="00301461">
        <w:tc>
          <w:tcPr>
            <w:tcW w:w="0" w:type="auto"/>
            <w:hideMark/>
          </w:tcPr>
          <w:p w14:paraId="09C0A853" w14:textId="77777777" w:rsidR="00C20C94" w:rsidRPr="00C20C94" w:rsidRDefault="00C20C94" w:rsidP="00C20C94">
            <w:pPr>
              <w:rPr>
                <w:rFonts w:cstheme="minorHAnsi"/>
                <w:sz w:val="24"/>
                <w:szCs w:val="24"/>
              </w:rPr>
            </w:pPr>
          </w:p>
        </w:tc>
        <w:tc>
          <w:tcPr>
            <w:tcW w:w="0" w:type="auto"/>
            <w:hideMark/>
          </w:tcPr>
          <w:p w14:paraId="3F063A3D" w14:textId="77777777" w:rsidR="00C20C94" w:rsidRPr="00C20C94" w:rsidRDefault="00C20C94" w:rsidP="00C20C94">
            <w:pPr>
              <w:rPr>
                <w:rFonts w:cstheme="minorHAnsi"/>
                <w:sz w:val="24"/>
                <w:szCs w:val="24"/>
              </w:rPr>
            </w:pPr>
            <w:r w:rsidRPr="00C20C94">
              <w:rPr>
                <w:rFonts w:cstheme="minorHAnsi"/>
                <w:sz w:val="24"/>
                <w:szCs w:val="24"/>
              </w:rPr>
              <w:t>Minimum</w:t>
            </w:r>
          </w:p>
        </w:tc>
        <w:tc>
          <w:tcPr>
            <w:tcW w:w="0" w:type="auto"/>
            <w:hideMark/>
          </w:tcPr>
          <w:p w14:paraId="6CF517F0" w14:textId="77777777" w:rsidR="00C20C94" w:rsidRPr="00C20C94" w:rsidRDefault="00C20C94" w:rsidP="00C20C94">
            <w:pPr>
              <w:rPr>
                <w:rFonts w:cstheme="minorHAnsi"/>
                <w:sz w:val="24"/>
                <w:szCs w:val="24"/>
              </w:rPr>
            </w:pPr>
            <w:r w:rsidRPr="00C20C94">
              <w:rPr>
                <w:rFonts w:cstheme="minorHAnsi"/>
                <w:sz w:val="24"/>
                <w:szCs w:val="24"/>
              </w:rPr>
              <w:t>Maximum</w:t>
            </w:r>
          </w:p>
        </w:tc>
        <w:tc>
          <w:tcPr>
            <w:tcW w:w="0" w:type="auto"/>
            <w:hideMark/>
          </w:tcPr>
          <w:p w14:paraId="11A453F7" w14:textId="77777777" w:rsidR="00C20C94" w:rsidRPr="00C20C94" w:rsidRDefault="00C20C94" w:rsidP="00C20C94">
            <w:pPr>
              <w:rPr>
                <w:rFonts w:cstheme="minorHAnsi"/>
                <w:sz w:val="24"/>
                <w:szCs w:val="24"/>
              </w:rPr>
            </w:pPr>
            <w:r w:rsidRPr="00C20C94">
              <w:rPr>
                <w:rFonts w:cstheme="minorHAnsi"/>
                <w:sz w:val="24"/>
                <w:szCs w:val="24"/>
              </w:rPr>
              <w:t>Mean</w:t>
            </w:r>
          </w:p>
        </w:tc>
        <w:tc>
          <w:tcPr>
            <w:tcW w:w="0" w:type="auto"/>
            <w:hideMark/>
          </w:tcPr>
          <w:p w14:paraId="6835F548" w14:textId="77777777" w:rsidR="00C20C94" w:rsidRPr="00C20C94" w:rsidRDefault="00C20C94" w:rsidP="00C20C94">
            <w:pPr>
              <w:rPr>
                <w:rFonts w:cstheme="minorHAnsi"/>
                <w:sz w:val="24"/>
                <w:szCs w:val="24"/>
              </w:rPr>
            </w:pPr>
            <w:r w:rsidRPr="00C20C94">
              <w:rPr>
                <w:rFonts w:cstheme="minorHAnsi"/>
                <w:sz w:val="24"/>
                <w:szCs w:val="24"/>
              </w:rPr>
              <w:t>Standard deviation</w:t>
            </w:r>
          </w:p>
        </w:tc>
      </w:tr>
      <w:tr w:rsidR="00C20C94" w:rsidRPr="00C20C94" w14:paraId="7636F6B7" w14:textId="77777777" w:rsidTr="00301461">
        <w:tc>
          <w:tcPr>
            <w:tcW w:w="0" w:type="auto"/>
            <w:hideMark/>
          </w:tcPr>
          <w:p w14:paraId="6C6F8BCF" w14:textId="77777777" w:rsidR="00C20C94" w:rsidRPr="00C20C94" w:rsidRDefault="00C20C94" w:rsidP="00C20C94">
            <w:pPr>
              <w:rPr>
                <w:rFonts w:cstheme="minorHAnsi"/>
                <w:sz w:val="24"/>
                <w:szCs w:val="24"/>
              </w:rPr>
            </w:pPr>
            <w:r w:rsidRPr="00C20C94">
              <w:rPr>
                <w:rFonts w:cstheme="minorHAnsi"/>
                <w:sz w:val="24"/>
                <w:szCs w:val="24"/>
              </w:rPr>
              <w:t># Total outlets</w:t>
            </w:r>
          </w:p>
        </w:tc>
        <w:tc>
          <w:tcPr>
            <w:tcW w:w="0" w:type="auto"/>
            <w:hideMark/>
          </w:tcPr>
          <w:p w14:paraId="0E53792A" w14:textId="77777777" w:rsidR="00C20C94" w:rsidRPr="00C20C94" w:rsidRDefault="00C20C94" w:rsidP="0093381A">
            <w:pPr>
              <w:jc w:val="right"/>
              <w:rPr>
                <w:rFonts w:cstheme="minorHAnsi"/>
                <w:sz w:val="24"/>
                <w:szCs w:val="24"/>
              </w:rPr>
            </w:pPr>
            <w:r w:rsidRPr="00C20C94">
              <w:rPr>
                <w:rFonts w:cstheme="minorHAnsi"/>
                <w:sz w:val="24"/>
                <w:szCs w:val="24"/>
              </w:rPr>
              <w:t>0.00</w:t>
            </w:r>
          </w:p>
        </w:tc>
        <w:tc>
          <w:tcPr>
            <w:tcW w:w="0" w:type="auto"/>
            <w:hideMark/>
          </w:tcPr>
          <w:p w14:paraId="335C0891" w14:textId="77777777" w:rsidR="00C20C94" w:rsidRPr="00C20C94" w:rsidRDefault="00C20C94" w:rsidP="0093381A">
            <w:pPr>
              <w:jc w:val="right"/>
              <w:rPr>
                <w:rFonts w:cstheme="minorHAnsi"/>
                <w:sz w:val="24"/>
                <w:szCs w:val="24"/>
              </w:rPr>
            </w:pPr>
            <w:r w:rsidRPr="00C20C94">
              <w:rPr>
                <w:rFonts w:cstheme="minorHAnsi"/>
                <w:sz w:val="24"/>
                <w:szCs w:val="24"/>
              </w:rPr>
              <w:t>61.00</w:t>
            </w:r>
          </w:p>
        </w:tc>
        <w:tc>
          <w:tcPr>
            <w:tcW w:w="0" w:type="auto"/>
            <w:hideMark/>
          </w:tcPr>
          <w:p w14:paraId="6CC16104" w14:textId="77777777" w:rsidR="00C20C94" w:rsidRPr="00C20C94" w:rsidRDefault="00C20C94" w:rsidP="0093381A">
            <w:pPr>
              <w:jc w:val="right"/>
              <w:rPr>
                <w:rFonts w:cstheme="minorHAnsi"/>
                <w:sz w:val="24"/>
                <w:szCs w:val="24"/>
              </w:rPr>
            </w:pPr>
            <w:r w:rsidRPr="00C20C94">
              <w:rPr>
                <w:rFonts w:cstheme="minorHAnsi"/>
                <w:sz w:val="24"/>
                <w:szCs w:val="24"/>
              </w:rPr>
              <w:t>2.32</w:t>
            </w:r>
          </w:p>
        </w:tc>
        <w:tc>
          <w:tcPr>
            <w:tcW w:w="0" w:type="auto"/>
            <w:hideMark/>
          </w:tcPr>
          <w:p w14:paraId="51B3B516" w14:textId="77777777" w:rsidR="00C20C94" w:rsidRPr="00C20C94" w:rsidRDefault="00C20C94" w:rsidP="0093381A">
            <w:pPr>
              <w:jc w:val="right"/>
              <w:rPr>
                <w:rFonts w:cstheme="minorHAnsi"/>
                <w:sz w:val="24"/>
                <w:szCs w:val="24"/>
              </w:rPr>
            </w:pPr>
            <w:r w:rsidRPr="00C20C94">
              <w:rPr>
                <w:rFonts w:cstheme="minorHAnsi"/>
                <w:sz w:val="24"/>
                <w:szCs w:val="24"/>
              </w:rPr>
              <w:t>4.87</w:t>
            </w:r>
          </w:p>
        </w:tc>
      </w:tr>
      <w:tr w:rsidR="00C20C94" w:rsidRPr="00C20C94" w14:paraId="75D68987" w14:textId="77777777" w:rsidTr="00301461">
        <w:tc>
          <w:tcPr>
            <w:tcW w:w="0" w:type="auto"/>
            <w:hideMark/>
          </w:tcPr>
          <w:p w14:paraId="35A3AFA2" w14:textId="77777777" w:rsidR="00C20C94" w:rsidRPr="00C20C94" w:rsidRDefault="00C20C94" w:rsidP="00C20C94">
            <w:pPr>
              <w:rPr>
                <w:rFonts w:cstheme="minorHAnsi"/>
                <w:sz w:val="24"/>
                <w:szCs w:val="24"/>
              </w:rPr>
            </w:pPr>
            <w:r w:rsidRPr="00C20C94">
              <w:rPr>
                <w:rFonts w:cstheme="minorHAnsi"/>
                <w:sz w:val="24"/>
                <w:szCs w:val="24"/>
              </w:rPr>
              <w:t xml:space="preserve"># </w:t>
            </w:r>
            <w:proofErr w:type="gramStart"/>
            <w:r w:rsidRPr="00C20C94">
              <w:rPr>
                <w:rFonts w:cstheme="minorHAnsi"/>
                <w:sz w:val="24"/>
                <w:szCs w:val="24"/>
              </w:rPr>
              <w:t>On-premise</w:t>
            </w:r>
            <w:proofErr w:type="gramEnd"/>
            <w:r w:rsidRPr="00C20C94">
              <w:rPr>
                <w:rFonts w:cstheme="minorHAnsi"/>
                <w:sz w:val="24"/>
                <w:szCs w:val="24"/>
              </w:rPr>
              <w:t xml:space="preserve"> outlets</w:t>
            </w:r>
          </w:p>
        </w:tc>
        <w:tc>
          <w:tcPr>
            <w:tcW w:w="0" w:type="auto"/>
            <w:hideMark/>
          </w:tcPr>
          <w:p w14:paraId="6395BC15" w14:textId="77777777" w:rsidR="00C20C94" w:rsidRPr="00C20C94" w:rsidRDefault="00C20C94" w:rsidP="0093381A">
            <w:pPr>
              <w:jc w:val="right"/>
              <w:rPr>
                <w:rFonts w:cstheme="minorHAnsi"/>
                <w:sz w:val="24"/>
                <w:szCs w:val="24"/>
              </w:rPr>
            </w:pPr>
            <w:r w:rsidRPr="00C20C94">
              <w:rPr>
                <w:rFonts w:cstheme="minorHAnsi"/>
                <w:sz w:val="24"/>
                <w:szCs w:val="24"/>
              </w:rPr>
              <w:t>0.00</w:t>
            </w:r>
          </w:p>
        </w:tc>
        <w:tc>
          <w:tcPr>
            <w:tcW w:w="0" w:type="auto"/>
            <w:hideMark/>
          </w:tcPr>
          <w:p w14:paraId="025D507E" w14:textId="77777777" w:rsidR="00C20C94" w:rsidRPr="00C20C94" w:rsidRDefault="00C20C94" w:rsidP="0093381A">
            <w:pPr>
              <w:jc w:val="right"/>
              <w:rPr>
                <w:rFonts w:cstheme="minorHAnsi"/>
                <w:sz w:val="24"/>
                <w:szCs w:val="24"/>
              </w:rPr>
            </w:pPr>
            <w:r w:rsidRPr="00C20C94">
              <w:rPr>
                <w:rFonts w:cstheme="minorHAnsi"/>
                <w:sz w:val="24"/>
                <w:szCs w:val="24"/>
              </w:rPr>
              <w:t>60.00</w:t>
            </w:r>
          </w:p>
        </w:tc>
        <w:tc>
          <w:tcPr>
            <w:tcW w:w="0" w:type="auto"/>
            <w:hideMark/>
          </w:tcPr>
          <w:p w14:paraId="50E5A39A" w14:textId="77777777" w:rsidR="00C20C94" w:rsidRPr="00C20C94" w:rsidRDefault="00C20C94" w:rsidP="0093381A">
            <w:pPr>
              <w:jc w:val="right"/>
              <w:rPr>
                <w:rFonts w:cstheme="minorHAnsi"/>
                <w:sz w:val="24"/>
                <w:szCs w:val="24"/>
              </w:rPr>
            </w:pPr>
            <w:r w:rsidRPr="00C20C94">
              <w:rPr>
                <w:rFonts w:cstheme="minorHAnsi"/>
                <w:sz w:val="24"/>
                <w:szCs w:val="24"/>
              </w:rPr>
              <w:t>1.78</w:t>
            </w:r>
          </w:p>
        </w:tc>
        <w:tc>
          <w:tcPr>
            <w:tcW w:w="0" w:type="auto"/>
            <w:hideMark/>
          </w:tcPr>
          <w:p w14:paraId="14C21CC6" w14:textId="77777777" w:rsidR="00C20C94" w:rsidRPr="00C20C94" w:rsidRDefault="00C20C94" w:rsidP="0093381A">
            <w:pPr>
              <w:jc w:val="right"/>
              <w:rPr>
                <w:rFonts w:cstheme="minorHAnsi"/>
                <w:sz w:val="24"/>
                <w:szCs w:val="24"/>
              </w:rPr>
            </w:pPr>
            <w:r w:rsidRPr="00C20C94">
              <w:rPr>
                <w:rFonts w:cstheme="minorHAnsi"/>
                <w:sz w:val="24"/>
                <w:szCs w:val="24"/>
              </w:rPr>
              <w:t>4.62</w:t>
            </w:r>
          </w:p>
        </w:tc>
      </w:tr>
      <w:tr w:rsidR="00C20C94" w:rsidRPr="00C20C94" w14:paraId="4DAD38E9" w14:textId="77777777" w:rsidTr="00301461">
        <w:tc>
          <w:tcPr>
            <w:tcW w:w="0" w:type="auto"/>
            <w:hideMark/>
          </w:tcPr>
          <w:p w14:paraId="426709B0" w14:textId="77777777" w:rsidR="00C20C94" w:rsidRPr="00C20C94" w:rsidRDefault="00C20C94" w:rsidP="00C20C94">
            <w:pPr>
              <w:rPr>
                <w:rFonts w:cstheme="minorHAnsi"/>
                <w:sz w:val="24"/>
                <w:szCs w:val="24"/>
              </w:rPr>
            </w:pPr>
            <w:r w:rsidRPr="00C20C94">
              <w:rPr>
                <w:rFonts w:cstheme="minorHAnsi"/>
                <w:sz w:val="24"/>
                <w:szCs w:val="24"/>
              </w:rPr>
              <w:t># Off-</w:t>
            </w:r>
            <w:proofErr w:type="gramStart"/>
            <w:r w:rsidRPr="00C20C94">
              <w:rPr>
                <w:rFonts w:cstheme="minorHAnsi"/>
                <w:sz w:val="24"/>
                <w:szCs w:val="24"/>
              </w:rPr>
              <w:t>premise</w:t>
            </w:r>
            <w:proofErr w:type="gramEnd"/>
            <w:r w:rsidRPr="00C20C94">
              <w:rPr>
                <w:rFonts w:cstheme="minorHAnsi"/>
                <w:sz w:val="24"/>
                <w:szCs w:val="24"/>
              </w:rPr>
              <w:t xml:space="preserve"> outlets</w:t>
            </w:r>
          </w:p>
        </w:tc>
        <w:tc>
          <w:tcPr>
            <w:tcW w:w="0" w:type="auto"/>
            <w:hideMark/>
          </w:tcPr>
          <w:p w14:paraId="05EB7258" w14:textId="77777777" w:rsidR="00C20C94" w:rsidRPr="00C20C94" w:rsidRDefault="00C20C94" w:rsidP="0093381A">
            <w:pPr>
              <w:jc w:val="right"/>
              <w:rPr>
                <w:rFonts w:cstheme="minorHAnsi"/>
                <w:sz w:val="24"/>
                <w:szCs w:val="24"/>
              </w:rPr>
            </w:pPr>
            <w:r w:rsidRPr="00C20C94">
              <w:rPr>
                <w:rFonts w:cstheme="minorHAnsi"/>
                <w:sz w:val="24"/>
                <w:szCs w:val="24"/>
              </w:rPr>
              <w:t>0.00</w:t>
            </w:r>
          </w:p>
        </w:tc>
        <w:tc>
          <w:tcPr>
            <w:tcW w:w="0" w:type="auto"/>
            <w:hideMark/>
          </w:tcPr>
          <w:p w14:paraId="348E3F6F" w14:textId="77777777" w:rsidR="00C20C94" w:rsidRPr="00C20C94" w:rsidRDefault="00C20C94" w:rsidP="0093381A">
            <w:pPr>
              <w:jc w:val="right"/>
              <w:rPr>
                <w:rFonts w:cstheme="minorHAnsi"/>
                <w:sz w:val="24"/>
                <w:szCs w:val="24"/>
              </w:rPr>
            </w:pPr>
            <w:r w:rsidRPr="00C20C94">
              <w:rPr>
                <w:rFonts w:cstheme="minorHAnsi"/>
                <w:sz w:val="24"/>
                <w:szCs w:val="24"/>
              </w:rPr>
              <w:t>7.00</w:t>
            </w:r>
          </w:p>
        </w:tc>
        <w:tc>
          <w:tcPr>
            <w:tcW w:w="0" w:type="auto"/>
            <w:hideMark/>
          </w:tcPr>
          <w:p w14:paraId="50245845" w14:textId="77777777" w:rsidR="00C20C94" w:rsidRPr="00C20C94" w:rsidRDefault="00C20C94" w:rsidP="0093381A">
            <w:pPr>
              <w:jc w:val="right"/>
              <w:rPr>
                <w:rFonts w:cstheme="minorHAnsi"/>
                <w:sz w:val="24"/>
                <w:szCs w:val="24"/>
              </w:rPr>
            </w:pPr>
            <w:r w:rsidRPr="00C20C94">
              <w:rPr>
                <w:rFonts w:cstheme="minorHAnsi"/>
                <w:sz w:val="24"/>
                <w:szCs w:val="24"/>
              </w:rPr>
              <w:t>0.53</w:t>
            </w:r>
          </w:p>
        </w:tc>
        <w:tc>
          <w:tcPr>
            <w:tcW w:w="0" w:type="auto"/>
            <w:hideMark/>
          </w:tcPr>
          <w:p w14:paraId="1D5B2BD4" w14:textId="77777777" w:rsidR="00C20C94" w:rsidRPr="00C20C94" w:rsidRDefault="00C20C94" w:rsidP="0093381A">
            <w:pPr>
              <w:jc w:val="right"/>
              <w:rPr>
                <w:rFonts w:cstheme="minorHAnsi"/>
                <w:sz w:val="24"/>
                <w:szCs w:val="24"/>
              </w:rPr>
            </w:pPr>
            <w:r w:rsidRPr="00C20C94">
              <w:rPr>
                <w:rFonts w:cstheme="minorHAnsi"/>
                <w:sz w:val="24"/>
                <w:szCs w:val="24"/>
              </w:rPr>
              <w:t>0.85</w:t>
            </w:r>
          </w:p>
        </w:tc>
      </w:tr>
      <w:tr w:rsidR="00C20C94" w:rsidRPr="00C20C94" w14:paraId="6F6D7870" w14:textId="77777777" w:rsidTr="00301461">
        <w:tc>
          <w:tcPr>
            <w:tcW w:w="0" w:type="auto"/>
            <w:hideMark/>
          </w:tcPr>
          <w:p w14:paraId="096D14C5" w14:textId="77777777" w:rsidR="00C20C94" w:rsidRPr="00C20C94" w:rsidRDefault="00C20C94" w:rsidP="00C20C94">
            <w:pPr>
              <w:rPr>
                <w:rFonts w:cstheme="minorHAnsi"/>
                <w:sz w:val="24"/>
                <w:szCs w:val="24"/>
              </w:rPr>
            </w:pPr>
            <w:r w:rsidRPr="00C20C94">
              <w:rPr>
                <w:rFonts w:cstheme="minorHAnsi"/>
                <w:sz w:val="24"/>
                <w:szCs w:val="24"/>
              </w:rPr>
              <w:t>Social disorganization</w:t>
            </w:r>
          </w:p>
        </w:tc>
        <w:tc>
          <w:tcPr>
            <w:tcW w:w="0" w:type="auto"/>
            <w:hideMark/>
          </w:tcPr>
          <w:p w14:paraId="38C2800A" w14:textId="77777777" w:rsidR="00C20C94" w:rsidRPr="00C20C94" w:rsidRDefault="00C20C94" w:rsidP="0093381A">
            <w:pPr>
              <w:jc w:val="right"/>
              <w:rPr>
                <w:rFonts w:cstheme="minorHAnsi"/>
                <w:sz w:val="24"/>
                <w:szCs w:val="24"/>
              </w:rPr>
            </w:pPr>
            <w:r w:rsidRPr="00C20C94">
              <w:rPr>
                <w:rFonts w:cstheme="minorHAnsi"/>
                <w:sz w:val="24"/>
                <w:szCs w:val="24"/>
              </w:rPr>
              <w:t>−1.69</w:t>
            </w:r>
          </w:p>
        </w:tc>
        <w:tc>
          <w:tcPr>
            <w:tcW w:w="0" w:type="auto"/>
            <w:hideMark/>
          </w:tcPr>
          <w:p w14:paraId="18B6DB7F" w14:textId="77777777" w:rsidR="00C20C94" w:rsidRPr="00C20C94" w:rsidRDefault="00C20C94" w:rsidP="0093381A">
            <w:pPr>
              <w:jc w:val="right"/>
              <w:rPr>
                <w:rFonts w:cstheme="minorHAnsi"/>
                <w:sz w:val="24"/>
                <w:szCs w:val="24"/>
              </w:rPr>
            </w:pPr>
            <w:r w:rsidRPr="00C20C94">
              <w:rPr>
                <w:rFonts w:cstheme="minorHAnsi"/>
                <w:sz w:val="24"/>
                <w:szCs w:val="24"/>
              </w:rPr>
              <w:t>3.31</w:t>
            </w:r>
          </w:p>
        </w:tc>
        <w:tc>
          <w:tcPr>
            <w:tcW w:w="0" w:type="auto"/>
            <w:hideMark/>
          </w:tcPr>
          <w:p w14:paraId="3A0F6523" w14:textId="77777777" w:rsidR="00C20C94" w:rsidRPr="00C20C94" w:rsidRDefault="00C20C94" w:rsidP="0093381A">
            <w:pPr>
              <w:jc w:val="right"/>
              <w:rPr>
                <w:rFonts w:cstheme="minorHAnsi"/>
                <w:sz w:val="24"/>
                <w:szCs w:val="24"/>
              </w:rPr>
            </w:pPr>
            <w:r w:rsidRPr="00C20C94">
              <w:rPr>
                <w:rFonts w:cstheme="minorHAnsi"/>
                <w:sz w:val="24"/>
                <w:szCs w:val="24"/>
              </w:rPr>
              <w:t>0.00</w:t>
            </w:r>
          </w:p>
        </w:tc>
        <w:tc>
          <w:tcPr>
            <w:tcW w:w="0" w:type="auto"/>
            <w:hideMark/>
          </w:tcPr>
          <w:p w14:paraId="7BA7CCEC" w14:textId="77777777" w:rsidR="00C20C94" w:rsidRPr="00C20C94" w:rsidRDefault="00C20C94" w:rsidP="0093381A">
            <w:pPr>
              <w:jc w:val="right"/>
              <w:rPr>
                <w:rFonts w:cstheme="minorHAnsi"/>
                <w:sz w:val="24"/>
                <w:szCs w:val="24"/>
              </w:rPr>
            </w:pPr>
            <w:r w:rsidRPr="00C20C94">
              <w:rPr>
                <w:rFonts w:cstheme="minorHAnsi"/>
                <w:sz w:val="24"/>
                <w:szCs w:val="24"/>
              </w:rPr>
              <w:t>0.80</w:t>
            </w:r>
          </w:p>
        </w:tc>
      </w:tr>
      <w:tr w:rsidR="00C20C94" w:rsidRPr="00C20C94" w14:paraId="4BB1E7BD" w14:textId="77777777" w:rsidTr="00301461">
        <w:tc>
          <w:tcPr>
            <w:tcW w:w="0" w:type="auto"/>
            <w:hideMark/>
          </w:tcPr>
          <w:p w14:paraId="55B24085" w14:textId="77777777" w:rsidR="00C20C94" w:rsidRPr="00C20C94" w:rsidRDefault="00C20C94" w:rsidP="00C20C94">
            <w:pPr>
              <w:rPr>
                <w:rFonts w:cstheme="minorHAnsi"/>
                <w:sz w:val="24"/>
                <w:szCs w:val="24"/>
              </w:rPr>
            </w:pPr>
            <w:r w:rsidRPr="00C20C94">
              <w:rPr>
                <w:rFonts w:cstheme="minorHAnsi"/>
                <w:sz w:val="24"/>
                <w:szCs w:val="24"/>
              </w:rPr>
              <w:t>% Hispanic</w:t>
            </w:r>
          </w:p>
        </w:tc>
        <w:tc>
          <w:tcPr>
            <w:tcW w:w="0" w:type="auto"/>
            <w:hideMark/>
          </w:tcPr>
          <w:p w14:paraId="32621472" w14:textId="77777777" w:rsidR="00C20C94" w:rsidRPr="00C20C94" w:rsidRDefault="00C20C94" w:rsidP="0093381A">
            <w:pPr>
              <w:jc w:val="right"/>
              <w:rPr>
                <w:rFonts w:cstheme="minorHAnsi"/>
                <w:sz w:val="24"/>
                <w:szCs w:val="24"/>
              </w:rPr>
            </w:pPr>
            <w:r w:rsidRPr="00C20C94">
              <w:rPr>
                <w:rFonts w:cstheme="minorHAnsi"/>
                <w:sz w:val="24"/>
                <w:szCs w:val="24"/>
              </w:rPr>
              <w:t>0.33</w:t>
            </w:r>
          </w:p>
        </w:tc>
        <w:tc>
          <w:tcPr>
            <w:tcW w:w="0" w:type="auto"/>
            <w:hideMark/>
          </w:tcPr>
          <w:p w14:paraId="77B722FE" w14:textId="77777777" w:rsidR="00C20C94" w:rsidRPr="00C20C94" w:rsidRDefault="00C20C94" w:rsidP="0093381A">
            <w:pPr>
              <w:jc w:val="right"/>
              <w:rPr>
                <w:rFonts w:cstheme="minorHAnsi"/>
                <w:sz w:val="24"/>
                <w:szCs w:val="24"/>
              </w:rPr>
            </w:pPr>
            <w:r w:rsidRPr="00C20C94">
              <w:rPr>
                <w:rFonts w:cstheme="minorHAnsi"/>
                <w:sz w:val="24"/>
                <w:szCs w:val="24"/>
              </w:rPr>
              <w:t>83.40</w:t>
            </w:r>
          </w:p>
        </w:tc>
        <w:tc>
          <w:tcPr>
            <w:tcW w:w="0" w:type="auto"/>
            <w:hideMark/>
          </w:tcPr>
          <w:p w14:paraId="47C65259" w14:textId="77777777" w:rsidR="00C20C94" w:rsidRPr="00C20C94" w:rsidRDefault="00C20C94" w:rsidP="0093381A">
            <w:pPr>
              <w:jc w:val="right"/>
              <w:rPr>
                <w:rFonts w:cstheme="minorHAnsi"/>
                <w:sz w:val="24"/>
                <w:szCs w:val="24"/>
              </w:rPr>
            </w:pPr>
            <w:r w:rsidRPr="00C20C94">
              <w:rPr>
                <w:rFonts w:cstheme="minorHAnsi"/>
                <w:sz w:val="24"/>
                <w:szCs w:val="24"/>
              </w:rPr>
              <w:t>15.92</w:t>
            </w:r>
          </w:p>
        </w:tc>
        <w:tc>
          <w:tcPr>
            <w:tcW w:w="0" w:type="auto"/>
            <w:hideMark/>
          </w:tcPr>
          <w:p w14:paraId="1E5205B6" w14:textId="77777777" w:rsidR="00C20C94" w:rsidRPr="00C20C94" w:rsidRDefault="00C20C94" w:rsidP="0093381A">
            <w:pPr>
              <w:jc w:val="right"/>
              <w:rPr>
                <w:rFonts w:cstheme="minorHAnsi"/>
                <w:sz w:val="24"/>
                <w:szCs w:val="24"/>
              </w:rPr>
            </w:pPr>
            <w:r w:rsidRPr="00C20C94">
              <w:rPr>
                <w:rFonts w:cstheme="minorHAnsi"/>
                <w:sz w:val="24"/>
                <w:szCs w:val="24"/>
              </w:rPr>
              <w:t>22.92</w:t>
            </w:r>
          </w:p>
        </w:tc>
      </w:tr>
      <w:tr w:rsidR="00C20C94" w:rsidRPr="00C20C94" w14:paraId="2ABC499C" w14:textId="77777777" w:rsidTr="00301461">
        <w:tc>
          <w:tcPr>
            <w:tcW w:w="0" w:type="auto"/>
            <w:hideMark/>
          </w:tcPr>
          <w:p w14:paraId="03142896" w14:textId="77777777" w:rsidR="00C20C94" w:rsidRPr="00C20C94" w:rsidRDefault="00C20C94" w:rsidP="00C20C94">
            <w:pPr>
              <w:rPr>
                <w:rFonts w:cstheme="minorHAnsi"/>
                <w:sz w:val="24"/>
                <w:szCs w:val="24"/>
              </w:rPr>
            </w:pPr>
            <w:r w:rsidRPr="00C20C94">
              <w:rPr>
                <w:rFonts w:cstheme="minorHAnsi"/>
                <w:sz w:val="24"/>
                <w:szCs w:val="24"/>
              </w:rPr>
              <w:t>% African American</w:t>
            </w:r>
          </w:p>
        </w:tc>
        <w:tc>
          <w:tcPr>
            <w:tcW w:w="0" w:type="auto"/>
            <w:hideMark/>
          </w:tcPr>
          <w:p w14:paraId="3765BDB0" w14:textId="77777777" w:rsidR="00C20C94" w:rsidRPr="00C20C94" w:rsidRDefault="00C20C94" w:rsidP="0093381A">
            <w:pPr>
              <w:jc w:val="right"/>
              <w:rPr>
                <w:rFonts w:cstheme="minorHAnsi"/>
                <w:sz w:val="24"/>
                <w:szCs w:val="24"/>
              </w:rPr>
            </w:pPr>
            <w:r w:rsidRPr="00C20C94">
              <w:rPr>
                <w:rFonts w:cstheme="minorHAnsi"/>
                <w:sz w:val="24"/>
                <w:szCs w:val="24"/>
              </w:rPr>
              <w:t>0.33</w:t>
            </w:r>
          </w:p>
        </w:tc>
        <w:tc>
          <w:tcPr>
            <w:tcW w:w="0" w:type="auto"/>
            <w:hideMark/>
          </w:tcPr>
          <w:p w14:paraId="552ACF72" w14:textId="77777777" w:rsidR="00C20C94" w:rsidRPr="00C20C94" w:rsidRDefault="00C20C94" w:rsidP="0093381A">
            <w:pPr>
              <w:jc w:val="right"/>
              <w:rPr>
                <w:rFonts w:cstheme="minorHAnsi"/>
                <w:sz w:val="24"/>
                <w:szCs w:val="24"/>
              </w:rPr>
            </w:pPr>
            <w:r w:rsidRPr="00C20C94">
              <w:rPr>
                <w:rFonts w:cstheme="minorHAnsi"/>
                <w:sz w:val="24"/>
                <w:szCs w:val="24"/>
              </w:rPr>
              <w:t>98.53</w:t>
            </w:r>
          </w:p>
        </w:tc>
        <w:tc>
          <w:tcPr>
            <w:tcW w:w="0" w:type="auto"/>
            <w:hideMark/>
          </w:tcPr>
          <w:p w14:paraId="66653655" w14:textId="77777777" w:rsidR="00C20C94" w:rsidRPr="00C20C94" w:rsidRDefault="00C20C94" w:rsidP="0093381A">
            <w:pPr>
              <w:jc w:val="right"/>
              <w:rPr>
                <w:rFonts w:cstheme="minorHAnsi"/>
                <w:sz w:val="24"/>
                <w:szCs w:val="24"/>
              </w:rPr>
            </w:pPr>
            <w:r w:rsidRPr="00C20C94">
              <w:rPr>
                <w:rFonts w:cstheme="minorHAnsi"/>
                <w:sz w:val="24"/>
                <w:szCs w:val="24"/>
              </w:rPr>
              <w:t>42.63</w:t>
            </w:r>
          </w:p>
        </w:tc>
        <w:tc>
          <w:tcPr>
            <w:tcW w:w="0" w:type="auto"/>
            <w:hideMark/>
          </w:tcPr>
          <w:p w14:paraId="53E246A0" w14:textId="77777777" w:rsidR="00C20C94" w:rsidRPr="00C20C94" w:rsidRDefault="00C20C94" w:rsidP="0093381A">
            <w:pPr>
              <w:jc w:val="right"/>
              <w:rPr>
                <w:rFonts w:cstheme="minorHAnsi"/>
                <w:sz w:val="24"/>
                <w:szCs w:val="24"/>
              </w:rPr>
            </w:pPr>
            <w:r w:rsidRPr="00C20C94">
              <w:rPr>
                <w:rFonts w:cstheme="minorHAnsi"/>
                <w:sz w:val="24"/>
                <w:szCs w:val="24"/>
              </w:rPr>
              <w:t>36.88</w:t>
            </w:r>
          </w:p>
        </w:tc>
      </w:tr>
      <w:tr w:rsidR="00C20C94" w:rsidRPr="00C20C94" w14:paraId="7165D01F" w14:textId="77777777" w:rsidTr="00301461">
        <w:tc>
          <w:tcPr>
            <w:tcW w:w="0" w:type="auto"/>
            <w:hideMark/>
          </w:tcPr>
          <w:p w14:paraId="1460A537" w14:textId="77777777" w:rsidR="00C20C94" w:rsidRPr="00C20C94" w:rsidRDefault="00C20C94" w:rsidP="00C20C94">
            <w:pPr>
              <w:rPr>
                <w:rFonts w:cstheme="minorHAnsi"/>
                <w:sz w:val="24"/>
                <w:szCs w:val="24"/>
              </w:rPr>
            </w:pPr>
            <w:r w:rsidRPr="00C20C94">
              <w:rPr>
                <w:rFonts w:cstheme="minorHAnsi"/>
                <w:sz w:val="24"/>
                <w:szCs w:val="24"/>
              </w:rPr>
              <w:t>% Asian</w:t>
            </w:r>
          </w:p>
        </w:tc>
        <w:tc>
          <w:tcPr>
            <w:tcW w:w="0" w:type="auto"/>
            <w:hideMark/>
          </w:tcPr>
          <w:p w14:paraId="5AAEE3A7" w14:textId="77777777" w:rsidR="00C20C94" w:rsidRPr="00C20C94" w:rsidRDefault="00C20C94" w:rsidP="0093381A">
            <w:pPr>
              <w:jc w:val="right"/>
              <w:rPr>
                <w:rFonts w:cstheme="minorHAnsi"/>
                <w:sz w:val="24"/>
                <w:szCs w:val="24"/>
              </w:rPr>
            </w:pPr>
            <w:r w:rsidRPr="00C20C94">
              <w:rPr>
                <w:rFonts w:cstheme="minorHAnsi"/>
                <w:sz w:val="24"/>
                <w:szCs w:val="24"/>
              </w:rPr>
              <w:t>0.00</w:t>
            </w:r>
          </w:p>
        </w:tc>
        <w:tc>
          <w:tcPr>
            <w:tcW w:w="0" w:type="auto"/>
            <w:hideMark/>
          </w:tcPr>
          <w:p w14:paraId="0260721C" w14:textId="77777777" w:rsidR="00C20C94" w:rsidRPr="00C20C94" w:rsidRDefault="00C20C94" w:rsidP="0093381A">
            <w:pPr>
              <w:jc w:val="right"/>
              <w:rPr>
                <w:rFonts w:cstheme="minorHAnsi"/>
                <w:sz w:val="24"/>
                <w:szCs w:val="24"/>
              </w:rPr>
            </w:pPr>
            <w:r w:rsidRPr="00C20C94">
              <w:rPr>
                <w:rFonts w:cstheme="minorHAnsi"/>
                <w:sz w:val="24"/>
                <w:szCs w:val="24"/>
              </w:rPr>
              <w:t>56.88</w:t>
            </w:r>
          </w:p>
        </w:tc>
        <w:tc>
          <w:tcPr>
            <w:tcW w:w="0" w:type="auto"/>
            <w:hideMark/>
          </w:tcPr>
          <w:p w14:paraId="490659FD" w14:textId="77777777" w:rsidR="00C20C94" w:rsidRPr="00C20C94" w:rsidRDefault="00C20C94" w:rsidP="0093381A">
            <w:pPr>
              <w:jc w:val="right"/>
              <w:rPr>
                <w:rFonts w:cstheme="minorHAnsi"/>
                <w:sz w:val="24"/>
                <w:szCs w:val="24"/>
              </w:rPr>
            </w:pPr>
            <w:r w:rsidRPr="00C20C94">
              <w:rPr>
                <w:rFonts w:cstheme="minorHAnsi"/>
                <w:sz w:val="24"/>
                <w:szCs w:val="24"/>
              </w:rPr>
              <w:t>3.28</w:t>
            </w:r>
          </w:p>
        </w:tc>
        <w:tc>
          <w:tcPr>
            <w:tcW w:w="0" w:type="auto"/>
            <w:hideMark/>
          </w:tcPr>
          <w:p w14:paraId="13B71323" w14:textId="77777777" w:rsidR="00C20C94" w:rsidRPr="00C20C94" w:rsidRDefault="00C20C94" w:rsidP="0093381A">
            <w:pPr>
              <w:jc w:val="right"/>
              <w:rPr>
                <w:rFonts w:cstheme="minorHAnsi"/>
                <w:sz w:val="24"/>
                <w:szCs w:val="24"/>
              </w:rPr>
            </w:pPr>
            <w:r w:rsidRPr="00C20C94">
              <w:rPr>
                <w:rFonts w:cstheme="minorHAnsi"/>
                <w:sz w:val="24"/>
                <w:szCs w:val="24"/>
              </w:rPr>
              <w:t>5.25</w:t>
            </w:r>
          </w:p>
        </w:tc>
      </w:tr>
      <w:tr w:rsidR="00C20C94" w:rsidRPr="00C20C94" w14:paraId="3B8412B6" w14:textId="77777777" w:rsidTr="00301461">
        <w:tc>
          <w:tcPr>
            <w:tcW w:w="0" w:type="auto"/>
            <w:hideMark/>
          </w:tcPr>
          <w:p w14:paraId="69EE2E1E" w14:textId="77777777" w:rsidR="00C20C94" w:rsidRPr="00C20C94" w:rsidRDefault="00C20C94" w:rsidP="00C20C94">
            <w:pPr>
              <w:rPr>
                <w:rFonts w:cstheme="minorHAnsi"/>
                <w:sz w:val="24"/>
                <w:szCs w:val="24"/>
              </w:rPr>
            </w:pPr>
            <w:r w:rsidRPr="00C20C94">
              <w:rPr>
                <w:rFonts w:cstheme="minorHAnsi"/>
                <w:sz w:val="24"/>
                <w:szCs w:val="24"/>
              </w:rPr>
              <w:t>% Young population</w:t>
            </w:r>
          </w:p>
        </w:tc>
        <w:tc>
          <w:tcPr>
            <w:tcW w:w="0" w:type="auto"/>
            <w:hideMark/>
          </w:tcPr>
          <w:p w14:paraId="716C34A6" w14:textId="77777777" w:rsidR="00C20C94" w:rsidRPr="00C20C94" w:rsidRDefault="00C20C94" w:rsidP="0093381A">
            <w:pPr>
              <w:jc w:val="right"/>
              <w:rPr>
                <w:rFonts w:cstheme="minorHAnsi"/>
                <w:sz w:val="24"/>
                <w:szCs w:val="24"/>
              </w:rPr>
            </w:pPr>
            <w:r w:rsidRPr="00C20C94">
              <w:rPr>
                <w:rFonts w:cstheme="minorHAnsi"/>
                <w:sz w:val="24"/>
                <w:szCs w:val="24"/>
              </w:rPr>
              <w:t>2.69</w:t>
            </w:r>
          </w:p>
        </w:tc>
        <w:tc>
          <w:tcPr>
            <w:tcW w:w="0" w:type="auto"/>
            <w:hideMark/>
          </w:tcPr>
          <w:p w14:paraId="5F2CB8E4" w14:textId="77777777" w:rsidR="00C20C94" w:rsidRPr="00C20C94" w:rsidRDefault="00C20C94" w:rsidP="0093381A">
            <w:pPr>
              <w:jc w:val="right"/>
              <w:rPr>
                <w:rFonts w:cstheme="minorHAnsi"/>
                <w:sz w:val="24"/>
                <w:szCs w:val="24"/>
              </w:rPr>
            </w:pPr>
            <w:r w:rsidRPr="00C20C94">
              <w:rPr>
                <w:rFonts w:cstheme="minorHAnsi"/>
                <w:sz w:val="24"/>
                <w:szCs w:val="24"/>
              </w:rPr>
              <w:t>88.09</w:t>
            </w:r>
          </w:p>
        </w:tc>
        <w:tc>
          <w:tcPr>
            <w:tcW w:w="0" w:type="auto"/>
            <w:hideMark/>
          </w:tcPr>
          <w:p w14:paraId="51BDF4F1" w14:textId="77777777" w:rsidR="00C20C94" w:rsidRPr="00C20C94" w:rsidRDefault="00C20C94" w:rsidP="0093381A">
            <w:pPr>
              <w:jc w:val="right"/>
              <w:rPr>
                <w:rFonts w:cstheme="minorHAnsi"/>
                <w:sz w:val="24"/>
                <w:szCs w:val="24"/>
              </w:rPr>
            </w:pPr>
            <w:r w:rsidRPr="00C20C94">
              <w:rPr>
                <w:rFonts w:cstheme="minorHAnsi"/>
                <w:sz w:val="24"/>
                <w:szCs w:val="24"/>
              </w:rPr>
              <w:t>17.39</w:t>
            </w:r>
          </w:p>
        </w:tc>
        <w:tc>
          <w:tcPr>
            <w:tcW w:w="0" w:type="auto"/>
            <w:hideMark/>
          </w:tcPr>
          <w:p w14:paraId="7F6AB3E3" w14:textId="77777777" w:rsidR="00C20C94" w:rsidRPr="00C20C94" w:rsidRDefault="00C20C94" w:rsidP="0093381A">
            <w:pPr>
              <w:jc w:val="right"/>
              <w:rPr>
                <w:rFonts w:cstheme="minorHAnsi"/>
                <w:sz w:val="24"/>
                <w:szCs w:val="24"/>
              </w:rPr>
            </w:pPr>
            <w:r w:rsidRPr="00C20C94">
              <w:rPr>
                <w:rFonts w:cstheme="minorHAnsi"/>
                <w:sz w:val="24"/>
                <w:szCs w:val="24"/>
              </w:rPr>
              <w:t>10.27</w:t>
            </w:r>
          </w:p>
        </w:tc>
      </w:tr>
      <w:tr w:rsidR="00C20C94" w:rsidRPr="00C20C94" w14:paraId="1314AD1D" w14:textId="77777777" w:rsidTr="00301461">
        <w:tc>
          <w:tcPr>
            <w:tcW w:w="0" w:type="auto"/>
            <w:hideMark/>
          </w:tcPr>
          <w:p w14:paraId="54CEA4B6" w14:textId="77777777" w:rsidR="00C20C94" w:rsidRPr="00C20C94" w:rsidRDefault="00C20C94" w:rsidP="00C20C94">
            <w:pPr>
              <w:rPr>
                <w:rFonts w:cstheme="minorHAnsi"/>
                <w:sz w:val="24"/>
                <w:szCs w:val="24"/>
              </w:rPr>
            </w:pPr>
            <w:r w:rsidRPr="00C20C94">
              <w:rPr>
                <w:rFonts w:cstheme="minorHAnsi"/>
                <w:sz w:val="24"/>
                <w:szCs w:val="24"/>
              </w:rPr>
              <w:t># Persons (ln)</w:t>
            </w:r>
          </w:p>
        </w:tc>
        <w:tc>
          <w:tcPr>
            <w:tcW w:w="0" w:type="auto"/>
            <w:hideMark/>
          </w:tcPr>
          <w:p w14:paraId="1691B6BB" w14:textId="77777777" w:rsidR="00C20C94" w:rsidRPr="00C20C94" w:rsidRDefault="00C20C94" w:rsidP="0093381A">
            <w:pPr>
              <w:jc w:val="right"/>
              <w:rPr>
                <w:rFonts w:cstheme="minorHAnsi"/>
                <w:sz w:val="24"/>
                <w:szCs w:val="24"/>
              </w:rPr>
            </w:pPr>
            <w:r w:rsidRPr="00C20C94">
              <w:rPr>
                <w:rFonts w:cstheme="minorHAnsi"/>
                <w:sz w:val="24"/>
                <w:szCs w:val="24"/>
              </w:rPr>
              <w:t>5.66</w:t>
            </w:r>
          </w:p>
        </w:tc>
        <w:tc>
          <w:tcPr>
            <w:tcW w:w="0" w:type="auto"/>
            <w:hideMark/>
          </w:tcPr>
          <w:p w14:paraId="6F1BEAE3" w14:textId="77777777" w:rsidR="00C20C94" w:rsidRPr="00C20C94" w:rsidRDefault="00C20C94" w:rsidP="0093381A">
            <w:pPr>
              <w:jc w:val="right"/>
              <w:rPr>
                <w:rFonts w:cstheme="minorHAnsi"/>
                <w:sz w:val="24"/>
                <w:szCs w:val="24"/>
              </w:rPr>
            </w:pPr>
            <w:r w:rsidRPr="00C20C94">
              <w:rPr>
                <w:rFonts w:cstheme="minorHAnsi"/>
                <w:sz w:val="24"/>
                <w:szCs w:val="24"/>
              </w:rPr>
              <w:t>8.13</w:t>
            </w:r>
          </w:p>
        </w:tc>
        <w:tc>
          <w:tcPr>
            <w:tcW w:w="0" w:type="auto"/>
            <w:hideMark/>
          </w:tcPr>
          <w:p w14:paraId="1D0F0732" w14:textId="77777777" w:rsidR="00C20C94" w:rsidRPr="00C20C94" w:rsidRDefault="00C20C94" w:rsidP="0093381A">
            <w:pPr>
              <w:jc w:val="right"/>
              <w:rPr>
                <w:rFonts w:cstheme="minorHAnsi"/>
                <w:sz w:val="24"/>
                <w:szCs w:val="24"/>
              </w:rPr>
            </w:pPr>
            <w:r w:rsidRPr="00C20C94">
              <w:rPr>
                <w:rFonts w:cstheme="minorHAnsi"/>
                <w:sz w:val="24"/>
                <w:szCs w:val="24"/>
              </w:rPr>
              <w:t>6.89</w:t>
            </w:r>
          </w:p>
        </w:tc>
        <w:tc>
          <w:tcPr>
            <w:tcW w:w="0" w:type="auto"/>
            <w:hideMark/>
          </w:tcPr>
          <w:p w14:paraId="6493BF09" w14:textId="77777777" w:rsidR="00C20C94" w:rsidRPr="00C20C94" w:rsidRDefault="00C20C94" w:rsidP="0093381A">
            <w:pPr>
              <w:jc w:val="right"/>
              <w:rPr>
                <w:rFonts w:cstheme="minorHAnsi"/>
                <w:sz w:val="24"/>
                <w:szCs w:val="24"/>
              </w:rPr>
            </w:pPr>
            <w:r w:rsidRPr="00C20C94">
              <w:rPr>
                <w:rFonts w:cstheme="minorHAnsi"/>
                <w:sz w:val="24"/>
                <w:szCs w:val="24"/>
              </w:rPr>
              <w:t>0.35</w:t>
            </w:r>
          </w:p>
        </w:tc>
      </w:tr>
      <w:tr w:rsidR="00C20C94" w:rsidRPr="00C20C94" w14:paraId="293AE066" w14:textId="77777777" w:rsidTr="00301461">
        <w:tc>
          <w:tcPr>
            <w:tcW w:w="0" w:type="auto"/>
            <w:hideMark/>
          </w:tcPr>
          <w:p w14:paraId="1B41FA25" w14:textId="77777777" w:rsidR="00C20C94" w:rsidRPr="00C20C94" w:rsidRDefault="00C20C94" w:rsidP="00C20C94">
            <w:pPr>
              <w:rPr>
                <w:rFonts w:cstheme="minorHAnsi"/>
                <w:sz w:val="24"/>
                <w:szCs w:val="24"/>
              </w:rPr>
            </w:pPr>
            <w:r w:rsidRPr="00C20C94">
              <w:rPr>
                <w:rFonts w:cstheme="minorHAnsi"/>
                <w:sz w:val="24"/>
                <w:szCs w:val="24"/>
              </w:rPr>
              <w:t>Area size (sq. miles)</w:t>
            </w:r>
          </w:p>
        </w:tc>
        <w:tc>
          <w:tcPr>
            <w:tcW w:w="0" w:type="auto"/>
            <w:hideMark/>
          </w:tcPr>
          <w:p w14:paraId="4D26114B" w14:textId="77777777" w:rsidR="00C20C94" w:rsidRPr="00C20C94" w:rsidRDefault="00C20C94" w:rsidP="0093381A">
            <w:pPr>
              <w:jc w:val="right"/>
              <w:rPr>
                <w:rFonts w:cstheme="minorHAnsi"/>
                <w:sz w:val="24"/>
                <w:szCs w:val="24"/>
              </w:rPr>
            </w:pPr>
            <w:r w:rsidRPr="00C20C94">
              <w:rPr>
                <w:rFonts w:cstheme="minorHAnsi"/>
                <w:sz w:val="24"/>
                <w:szCs w:val="24"/>
              </w:rPr>
              <w:t>0.03</w:t>
            </w:r>
          </w:p>
        </w:tc>
        <w:tc>
          <w:tcPr>
            <w:tcW w:w="0" w:type="auto"/>
            <w:hideMark/>
          </w:tcPr>
          <w:p w14:paraId="48723865" w14:textId="77777777" w:rsidR="00C20C94" w:rsidRPr="00C20C94" w:rsidRDefault="00C20C94" w:rsidP="0093381A">
            <w:pPr>
              <w:jc w:val="right"/>
              <w:rPr>
                <w:rFonts w:cstheme="minorHAnsi"/>
                <w:sz w:val="24"/>
                <w:szCs w:val="24"/>
              </w:rPr>
            </w:pPr>
            <w:r w:rsidRPr="00C20C94">
              <w:rPr>
                <w:rFonts w:cstheme="minorHAnsi"/>
                <w:sz w:val="24"/>
                <w:szCs w:val="24"/>
              </w:rPr>
              <w:t>3.70</w:t>
            </w:r>
          </w:p>
        </w:tc>
        <w:tc>
          <w:tcPr>
            <w:tcW w:w="0" w:type="auto"/>
            <w:hideMark/>
          </w:tcPr>
          <w:p w14:paraId="60EA65D6" w14:textId="77777777" w:rsidR="00C20C94" w:rsidRPr="00C20C94" w:rsidRDefault="00C20C94" w:rsidP="0093381A">
            <w:pPr>
              <w:jc w:val="right"/>
              <w:rPr>
                <w:rFonts w:cstheme="minorHAnsi"/>
                <w:sz w:val="24"/>
                <w:szCs w:val="24"/>
              </w:rPr>
            </w:pPr>
            <w:r w:rsidRPr="00C20C94">
              <w:rPr>
                <w:rFonts w:cstheme="minorHAnsi"/>
                <w:sz w:val="24"/>
                <w:szCs w:val="24"/>
              </w:rPr>
              <w:t>0.17</w:t>
            </w:r>
          </w:p>
        </w:tc>
        <w:tc>
          <w:tcPr>
            <w:tcW w:w="0" w:type="auto"/>
            <w:hideMark/>
          </w:tcPr>
          <w:p w14:paraId="1B51B935" w14:textId="77777777" w:rsidR="00C20C94" w:rsidRPr="00C20C94" w:rsidRDefault="00C20C94" w:rsidP="0093381A">
            <w:pPr>
              <w:jc w:val="right"/>
              <w:rPr>
                <w:rFonts w:cstheme="minorHAnsi"/>
                <w:sz w:val="24"/>
                <w:szCs w:val="24"/>
              </w:rPr>
            </w:pPr>
            <w:r w:rsidRPr="00C20C94">
              <w:rPr>
                <w:rFonts w:cstheme="minorHAnsi"/>
                <w:sz w:val="24"/>
                <w:szCs w:val="24"/>
              </w:rPr>
              <w:t>0.26</w:t>
            </w:r>
          </w:p>
        </w:tc>
      </w:tr>
      <w:tr w:rsidR="00C20C94" w:rsidRPr="00C20C94" w14:paraId="6FD80940" w14:textId="77777777" w:rsidTr="00301461">
        <w:tc>
          <w:tcPr>
            <w:tcW w:w="0" w:type="auto"/>
            <w:hideMark/>
          </w:tcPr>
          <w:p w14:paraId="52BF8118" w14:textId="77777777" w:rsidR="00C20C94" w:rsidRPr="00C20C94" w:rsidRDefault="00C20C94" w:rsidP="00C20C94">
            <w:pPr>
              <w:rPr>
                <w:rFonts w:cstheme="minorHAnsi"/>
                <w:sz w:val="24"/>
                <w:szCs w:val="24"/>
              </w:rPr>
            </w:pPr>
            <w:r w:rsidRPr="00C20C94">
              <w:rPr>
                <w:rFonts w:cstheme="minorHAnsi"/>
                <w:sz w:val="24"/>
                <w:szCs w:val="24"/>
              </w:rPr>
              <w:t>Rho total outlets</w:t>
            </w:r>
          </w:p>
        </w:tc>
        <w:tc>
          <w:tcPr>
            <w:tcW w:w="0" w:type="auto"/>
            <w:hideMark/>
          </w:tcPr>
          <w:p w14:paraId="17C85FF8" w14:textId="77777777" w:rsidR="00C20C94" w:rsidRPr="00C20C94" w:rsidRDefault="00C20C94" w:rsidP="0093381A">
            <w:pPr>
              <w:jc w:val="right"/>
              <w:rPr>
                <w:rFonts w:cstheme="minorHAnsi"/>
                <w:sz w:val="24"/>
                <w:szCs w:val="24"/>
              </w:rPr>
            </w:pPr>
            <w:r w:rsidRPr="00C20C94">
              <w:rPr>
                <w:rFonts w:cstheme="minorHAnsi"/>
                <w:sz w:val="24"/>
                <w:szCs w:val="24"/>
              </w:rPr>
              <w:t>0.00</w:t>
            </w:r>
          </w:p>
        </w:tc>
        <w:tc>
          <w:tcPr>
            <w:tcW w:w="0" w:type="auto"/>
            <w:hideMark/>
          </w:tcPr>
          <w:p w14:paraId="7D16764C" w14:textId="77777777" w:rsidR="00C20C94" w:rsidRPr="00C20C94" w:rsidRDefault="00C20C94" w:rsidP="0093381A">
            <w:pPr>
              <w:jc w:val="right"/>
              <w:rPr>
                <w:rFonts w:cstheme="minorHAnsi"/>
                <w:sz w:val="24"/>
                <w:szCs w:val="24"/>
              </w:rPr>
            </w:pPr>
            <w:r w:rsidRPr="00C20C94">
              <w:rPr>
                <w:rFonts w:cstheme="minorHAnsi"/>
                <w:sz w:val="24"/>
                <w:szCs w:val="24"/>
              </w:rPr>
              <w:t>27.00</w:t>
            </w:r>
          </w:p>
        </w:tc>
        <w:tc>
          <w:tcPr>
            <w:tcW w:w="0" w:type="auto"/>
            <w:hideMark/>
          </w:tcPr>
          <w:p w14:paraId="61C52D34" w14:textId="77777777" w:rsidR="00C20C94" w:rsidRPr="00C20C94" w:rsidRDefault="00C20C94" w:rsidP="0093381A">
            <w:pPr>
              <w:jc w:val="right"/>
              <w:rPr>
                <w:rFonts w:cstheme="minorHAnsi"/>
                <w:sz w:val="24"/>
                <w:szCs w:val="24"/>
              </w:rPr>
            </w:pPr>
            <w:r w:rsidRPr="00C20C94">
              <w:rPr>
                <w:rFonts w:cstheme="minorHAnsi"/>
                <w:sz w:val="24"/>
                <w:szCs w:val="24"/>
              </w:rPr>
              <w:t>2.42</w:t>
            </w:r>
          </w:p>
        </w:tc>
        <w:tc>
          <w:tcPr>
            <w:tcW w:w="0" w:type="auto"/>
            <w:hideMark/>
          </w:tcPr>
          <w:p w14:paraId="64641DCC" w14:textId="77777777" w:rsidR="00C20C94" w:rsidRPr="00C20C94" w:rsidRDefault="00C20C94" w:rsidP="0093381A">
            <w:pPr>
              <w:jc w:val="right"/>
              <w:rPr>
                <w:rFonts w:cstheme="minorHAnsi"/>
                <w:sz w:val="24"/>
                <w:szCs w:val="24"/>
              </w:rPr>
            </w:pPr>
            <w:r w:rsidRPr="00C20C94">
              <w:rPr>
                <w:rFonts w:cstheme="minorHAnsi"/>
                <w:sz w:val="24"/>
                <w:szCs w:val="24"/>
              </w:rPr>
              <w:t>3.29</w:t>
            </w:r>
          </w:p>
        </w:tc>
      </w:tr>
      <w:tr w:rsidR="00C20C94" w:rsidRPr="00C20C94" w14:paraId="46C6BC35" w14:textId="77777777" w:rsidTr="00301461">
        <w:tc>
          <w:tcPr>
            <w:tcW w:w="0" w:type="auto"/>
            <w:hideMark/>
          </w:tcPr>
          <w:p w14:paraId="4DE7DCE7" w14:textId="77777777" w:rsidR="00C20C94" w:rsidRPr="00C20C94" w:rsidRDefault="00C20C94" w:rsidP="00C20C94">
            <w:pPr>
              <w:rPr>
                <w:rFonts w:cstheme="minorHAnsi"/>
                <w:sz w:val="24"/>
                <w:szCs w:val="24"/>
              </w:rPr>
            </w:pPr>
            <w:r w:rsidRPr="00C20C94">
              <w:rPr>
                <w:rFonts w:cstheme="minorHAnsi"/>
                <w:sz w:val="24"/>
                <w:szCs w:val="24"/>
              </w:rPr>
              <w:t xml:space="preserve">Rho </w:t>
            </w:r>
            <w:proofErr w:type="gramStart"/>
            <w:r w:rsidRPr="00C20C94">
              <w:rPr>
                <w:rFonts w:cstheme="minorHAnsi"/>
                <w:sz w:val="24"/>
                <w:szCs w:val="24"/>
              </w:rPr>
              <w:t>on-premise</w:t>
            </w:r>
            <w:proofErr w:type="gramEnd"/>
          </w:p>
        </w:tc>
        <w:tc>
          <w:tcPr>
            <w:tcW w:w="0" w:type="auto"/>
            <w:hideMark/>
          </w:tcPr>
          <w:p w14:paraId="53125F1C" w14:textId="77777777" w:rsidR="00C20C94" w:rsidRPr="00C20C94" w:rsidRDefault="00C20C94" w:rsidP="0093381A">
            <w:pPr>
              <w:jc w:val="right"/>
              <w:rPr>
                <w:rFonts w:cstheme="minorHAnsi"/>
                <w:sz w:val="24"/>
                <w:szCs w:val="24"/>
              </w:rPr>
            </w:pPr>
            <w:r w:rsidRPr="00C20C94">
              <w:rPr>
                <w:rFonts w:cstheme="minorHAnsi"/>
                <w:sz w:val="24"/>
                <w:szCs w:val="24"/>
              </w:rPr>
              <w:t>0.00</w:t>
            </w:r>
          </w:p>
        </w:tc>
        <w:tc>
          <w:tcPr>
            <w:tcW w:w="0" w:type="auto"/>
            <w:hideMark/>
          </w:tcPr>
          <w:p w14:paraId="02D7A32C" w14:textId="77777777" w:rsidR="00C20C94" w:rsidRPr="00C20C94" w:rsidRDefault="00C20C94" w:rsidP="0093381A">
            <w:pPr>
              <w:jc w:val="right"/>
              <w:rPr>
                <w:rFonts w:cstheme="minorHAnsi"/>
                <w:sz w:val="24"/>
                <w:szCs w:val="24"/>
              </w:rPr>
            </w:pPr>
            <w:r w:rsidRPr="00C20C94">
              <w:rPr>
                <w:rFonts w:cstheme="minorHAnsi"/>
                <w:sz w:val="24"/>
                <w:szCs w:val="24"/>
              </w:rPr>
              <w:t>26.00</w:t>
            </w:r>
          </w:p>
        </w:tc>
        <w:tc>
          <w:tcPr>
            <w:tcW w:w="0" w:type="auto"/>
            <w:hideMark/>
          </w:tcPr>
          <w:p w14:paraId="259B74FA" w14:textId="77777777" w:rsidR="00C20C94" w:rsidRPr="00C20C94" w:rsidRDefault="00C20C94" w:rsidP="0093381A">
            <w:pPr>
              <w:jc w:val="right"/>
              <w:rPr>
                <w:rFonts w:cstheme="minorHAnsi"/>
                <w:sz w:val="24"/>
                <w:szCs w:val="24"/>
              </w:rPr>
            </w:pPr>
            <w:r w:rsidRPr="00C20C94">
              <w:rPr>
                <w:rFonts w:cstheme="minorHAnsi"/>
                <w:sz w:val="24"/>
                <w:szCs w:val="24"/>
              </w:rPr>
              <w:t>1.88</w:t>
            </w:r>
          </w:p>
        </w:tc>
        <w:tc>
          <w:tcPr>
            <w:tcW w:w="0" w:type="auto"/>
            <w:hideMark/>
          </w:tcPr>
          <w:p w14:paraId="57E351D2" w14:textId="77777777" w:rsidR="00C20C94" w:rsidRPr="00C20C94" w:rsidRDefault="00C20C94" w:rsidP="0093381A">
            <w:pPr>
              <w:jc w:val="right"/>
              <w:rPr>
                <w:rFonts w:cstheme="minorHAnsi"/>
                <w:sz w:val="24"/>
                <w:szCs w:val="24"/>
              </w:rPr>
            </w:pPr>
            <w:r w:rsidRPr="00C20C94">
              <w:rPr>
                <w:rFonts w:cstheme="minorHAnsi"/>
                <w:sz w:val="24"/>
                <w:szCs w:val="24"/>
              </w:rPr>
              <w:t>3.18</w:t>
            </w:r>
          </w:p>
        </w:tc>
      </w:tr>
      <w:tr w:rsidR="00C20C94" w:rsidRPr="00C20C94" w14:paraId="68823C71" w14:textId="77777777" w:rsidTr="00301461">
        <w:tc>
          <w:tcPr>
            <w:tcW w:w="0" w:type="auto"/>
            <w:hideMark/>
          </w:tcPr>
          <w:p w14:paraId="512F0BB4" w14:textId="77777777" w:rsidR="00C20C94" w:rsidRPr="00C20C94" w:rsidRDefault="00C20C94" w:rsidP="00C20C94">
            <w:pPr>
              <w:rPr>
                <w:rFonts w:cstheme="minorHAnsi"/>
                <w:sz w:val="24"/>
                <w:szCs w:val="24"/>
              </w:rPr>
            </w:pPr>
            <w:r w:rsidRPr="00C20C94">
              <w:rPr>
                <w:rFonts w:cstheme="minorHAnsi"/>
                <w:sz w:val="24"/>
                <w:szCs w:val="24"/>
              </w:rPr>
              <w:t>Rho off-</w:t>
            </w:r>
            <w:proofErr w:type="gramStart"/>
            <w:r w:rsidRPr="00C20C94">
              <w:rPr>
                <w:rFonts w:cstheme="minorHAnsi"/>
                <w:sz w:val="24"/>
                <w:szCs w:val="24"/>
              </w:rPr>
              <w:t>premise</w:t>
            </w:r>
            <w:proofErr w:type="gramEnd"/>
          </w:p>
        </w:tc>
        <w:tc>
          <w:tcPr>
            <w:tcW w:w="0" w:type="auto"/>
            <w:hideMark/>
          </w:tcPr>
          <w:p w14:paraId="14E0D90D" w14:textId="77777777" w:rsidR="00C20C94" w:rsidRPr="00C20C94" w:rsidRDefault="00C20C94" w:rsidP="0093381A">
            <w:pPr>
              <w:jc w:val="right"/>
              <w:rPr>
                <w:rFonts w:cstheme="minorHAnsi"/>
                <w:sz w:val="24"/>
                <w:szCs w:val="24"/>
              </w:rPr>
            </w:pPr>
            <w:r w:rsidRPr="00C20C94">
              <w:rPr>
                <w:rFonts w:cstheme="minorHAnsi"/>
                <w:sz w:val="24"/>
                <w:szCs w:val="24"/>
              </w:rPr>
              <w:t>0.00</w:t>
            </w:r>
          </w:p>
        </w:tc>
        <w:tc>
          <w:tcPr>
            <w:tcW w:w="0" w:type="auto"/>
            <w:hideMark/>
          </w:tcPr>
          <w:p w14:paraId="10F38757" w14:textId="77777777" w:rsidR="00C20C94" w:rsidRPr="00C20C94" w:rsidRDefault="00C20C94" w:rsidP="0093381A">
            <w:pPr>
              <w:jc w:val="right"/>
              <w:rPr>
                <w:rFonts w:cstheme="minorHAnsi"/>
                <w:sz w:val="24"/>
                <w:szCs w:val="24"/>
              </w:rPr>
            </w:pPr>
            <w:r w:rsidRPr="00C20C94">
              <w:rPr>
                <w:rFonts w:cstheme="minorHAnsi"/>
                <w:sz w:val="24"/>
                <w:szCs w:val="24"/>
              </w:rPr>
              <w:t>1.83</w:t>
            </w:r>
          </w:p>
        </w:tc>
        <w:tc>
          <w:tcPr>
            <w:tcW w:w="0" w:type="auto"/>
            <w:hideMark/>
          </w:tcPr>
          <w:p w14:paraId="699BD03F" w14:textId="77777777" w:rsidR="00C20C94" w:rsidRPr="00C20C94" w:rsidRDefault="00C20C94" w:rsidP="0093381A">
            <w:pPr>
              <w:jc w:val="right"/>
              <w:rPr>
                <w:rFonts w:cstheme="minorHAnsi"/>
                <w:sz w:val="24"/>
                <w:szCs w:val="24"/>
              </w:rPr>
            </w:pPr>
            <w:r w:rsidRPr="00C20C94">
              <w:rPr>
                <w:rFonts w:cstheme="minorHAnsi"/>
                <w:sz w:val="24"/>
                <w:szCs w:val="24"/>
              </w:rPr>
              <w:t>0.54</w:t>
            </w:r>
          </w:p>
        </w:tc>
        <w:tc>
          <w:tcPr>
            <w:tcW w:w="0" w:type="auto"/>
            <w:hideMark/>
          </w:tcPr>
          <w:p w14:paraId="1990F135" w14:textId="77777777" w:rsidR="00C20C94" w:rsidRPr="00C20C94" w:rsidRDefault="00C20C94" w:rsidP="0093381A">
            <w:pPr>
              <w:jc w:val="right"/>
              <w:rPr>
                <w:rFonts w:cstheme="minorHAnsi"/>
                <w:sz w:val="24"/>
                <w:szCs w:val="24"/>
              </w:rPr>
            </w:pPr>
            <w:r w:rsidRPr="00C20C94">
              <w:rPr>
                <w:rFonts w:cstheme="minorHAnsi"/>
                <w:sz w:val="24"/>
                <w:szCs w:val="24"/>
              </w:rPr>
              <w:t>0.42</w:t>
            </w:r>
          </w:p>
        </w:tc>
      </w:tr>
    </w:tbl>
    <w:p w14:paraId="50E0AB19" w14:textId="77777777" w:rsidR="00301461" w:rsidRDefault="00301461" w:rsidP="00C20C94">
      <w:pPr>
        <w:rPr>
          <w:rFonts w:cstheme="minorHAnsi"/>
          <w:sz w:val="24"/>
          <w:szCs w:val="24"/>
        </w:rPr>
      </w:pPr>
    </w:p>
    <w:p w14:paraId="6755B21C" w14:textId="7215FEE6" w:rsidR="00C20C94" w:rsidRPr="00C20C94" w:rsidRDefault="00C20C94" w:rsidP="00C20C94">
      <w:pPr>
        <w:rPr>
          <w:rFonts w:cstheme="minorHAnsi"/>
          <w:sz w:val="24"/>
          <w:szCs w:val="24"/>
        </w:rPr>
      </w:pPr>
      <w:r w:rsidRPr="00C20C94">
        <w:rPr>
          <w:rFonts w:cstheme="minorHAnsi"/>
          <w:sz w:val="24"/>
          <w:szCs w:val="24"/>
        </w:rPr>
        <w:t>Table 2 shows the correlation matrix for Milwaukee block groups. As expected, the total number of alcohol outlets of any type was positively associated with most of the neighborhood variables, such as proportion Hispanic, proportion young population, population density, geographical size of block groups, and spatial autocorrelation terms (</w:t>
      </w:r>
      <w:r w:rsidRPr="00C20C94">
        <w:rPr>
          <w:rFonts w:cstheme="minorHAnsi"/>
          <w:i/>
          <w:iCs/>
          <w:sz w:val="24"/>
          <w:szCs w:val="24"/>
        </w:rPr>
        <w:t>Rho</w:t>
      </w:r>
      <w:r w:rsidRPr="00C20C94">
        <w:rPr>
          <w:rFonts w:cstheme="minorHAnsi"/>
          <w:sz w:val="24"/>
          <w:szCs w:val="24"/>
        </w:rPr>
        <w:t xml:space="preserve">) for all three categories of alcohol outlets (i.e., total, </w:t>
      </w:r>
      <w:proofErr w:type="gramStart"/>
      <w:r w:rsidRPr="00C20C94">
        <w:rPr>
          <w:rFonts w:cstheme="minorHAnsi"/>
          <w:sz w:val="24"/>
          <w:szCs w:val="24"/>
        </w:rPr>
        <w:t>on-premise</w:t>
      </w:r>
      <w:proofErr w:type="gramEnd"/>
      <w:r w:rsidRPr="00C20C94">
        <w:rPr>
          <w:rFonts w:cstheme="minorHAnsi"/>
          <w:sz w:val="24"/>
          <w:szCs w:val="24"/>
        </w:rPr>
        <w:t xml:space="preserve">, and off-premise). The results of these bivariate correlations suggest that a greater number of alcohol outlets of any type was common in Milwaukee block groups that were </w:t>
      </w:r>
      <w:proofErr w:type="gramStart"/>
      <w:r w:rsidRPr="00C20C94">
        <w:rPr>
          <w:rFonts w:cstheme="minorHAnsi"/>
          <w:sz w:val="24"/>
          <w:szCs w:val="24"/>
        </w:rPr>
        <w:t>large in size</w:t>
      </w:r>
      <w:proofErr w:type="gramEnd"/>
      <w:r w:rsidRPr="00C20C94">
        <w:rPr>
          <w:rFonts w:cstheme="minorHAnsi"/>
          <w:sz w:val="24"/>
          <w:szCs w:val="24"/>
        </w:rPr>
        <w:t>, had a high number of residents who are young and who are of Hispanic ethnicity, and neighbored block groups with an equally high number of alcohol outlets. These results also suggest that a greater number of alcohol outlets of any type was common in Milwaukee block groups that had a low proportion of residents who were African American.</w:t>
      </w:r>
    </w:p>
    <w:p w14:paraId="5610CD80" w14:textId="77777777" w:rsidR="00301461" w:rsidRDefault="00301461" w:rsidP="00C20C94">
      <w:pPr>
        <w:rPr>
          <w:rFonts w:cstheme="minorHAnsi"/>
          <w:sz w:val="24"/>
          <w:szCs w:val="24"/>
        </w:rPr>
        <w:sectPr w:rsidR="00301461" w:rsidSect="00013176">
          <w:pgSz w:w="12240" w:h="15840"/>
          <w:pgMar w:top="1080" w:right="1080" w:bottom="1080" w:left="1080" w:header="720" w:footer="720" w:gutter="0"/>
          <w:cols w:space="720"/>
          <w:docGrid w:linePitch="360"/>
        </w:sectPr>
      </w:pPr>
    </w:p>
    <w:p w14:paraId="5D9ECE10" w14:textId="1D76D9B0" w:rsidR="00C20C94" w:rsidRPr="00C20C94" w:rsidRDefault="00C20C94" w:rsidP="00B552A7">
      <w:pPr>
        <w:spacing w:after="0"/>
        <w:rPr>
          <w:rFonts w:cstheme="minorHAnsi"/>
          <w:sz w:val="24"/>
          <w:szCs w:val="24"/>
        </w:rPr>
      </w:pPr>
      <w:r w:rsidRPr="00C20C94">
        <w:rPr>
          <w:rFonts w:cstheme="minorHAnsi"/>
          <w:sz w:val="24"/>
          <w:szCs w:val="24"/>
        </w:rPr>
        <w:lastRenderedPageBreak/>
        <w:t xml:space="preserve">Table 2. Correlation matrix for </w:t>
      </w:r>
      <w:r w:rsidR="00B552A7" w:rsidRPr="00C20C94">
        <w:rPr>
          <w:rFonts w:cstheme="minorHAnsi"/>
          <w:sz w:val="24"/>
          <w:szCs w:val="24"/>
        </w:rPr>
        <w:t>Milwaukee</w:t>
      </w:r>
      <w:r w:rsidRPr="00C20C94">
        <w:rPr>
          <w:rFonts w:cstheme="minorHAnsi"/>
          <w:sz w:val="24"/>
          <w:szCs w:val="24"/>
        </w:rPr>
        <w:t xml:space="preserve"> block groups (N = 571).</w:t>
      </w:r>
    </w:p>
    <w:tbl>
      <w:tblPr>
        <w:tblStyle w:val="TableGrid"/>
        <w:tblW w:w="0" w:type="auto"/>
        <w:tblLook w:val="04A0" w:firstRow="1" w:lastRow="0" w:firstColumn="1" w:lastColumn="0" w:noHBand="0" w:noVBand="1"/>
      </w:tblPr>
      <w:tblGrid>
        <w:gridCol w:w="2992"/>
        <w:gridCol w:w="856"/>
        <w:gridCol w:w="856"/>
        <w:gridCol w:w="746"/>
        <w:gridCol w:w="856"/>
        <w:gridCol w:w="856"/>
        <w:gridCol w:w="856"/>
        <w:gridCol w:w="746"/>
        <w:gridCol w:w="746"/>
        <w:gridCol w:w="746"/>
        <w:gridCol w:w="716"/>
        <w:gridCol w:w="746"/>
        <w:gridCol w:w="746"/>
        <w:gridCol w:w="440"/>
      </w:tblGrid>
      <w:tr w:rsidR="00C20C94" w:rsidRPr="00C20C94" w14:paraId="4841B892" w14:textId="77777777" w:rsidTr="00B552A7">
        <w:tc>
          <w:tcPr>
            <w:tcW w:w="0" w:type="auto"/>
            <w:hideMark/>
          </w:tcPr>
          <w:p w14:paraId="30541940" w14:textId="77777777" w:rsidR="00C20C94" w:rsidRPr="00C20C94" w:rsidRDefault="00C20C94" w:rsidP="00B552A7">
            <w:pPr>
              <w:pStyle w:val="NoSpacing"/>
            </w:pPr>
          </w:p>
        </w:tc>
        <w:tc>
          <w:tcPr>
            <w:tcW w:w="0" w:type="auto"/>
            <w:hideMark/>
          </w:tcPr>
          <w:p w14:paraId="25597322" w14:textId="77777777" w:rsidR="00C20C94" w:rsidRPr="00C20C94" w:rsidRDefault="00C20C94" w:rsidP="00B552A7">
            <w:pPr>
              <w:pStyle w:val="NoSpacing"/>
            </w:pPr>
            <w:r w:rsidRPr="00C20C94">
              <w:t>1</w:t>
            </w:r>
          </w:p>
        </w:tc>
        <w:tc>
          <w:tcPr>
            <w:tcW w:w="0" w:type="auto"/>
            <w:hideMark/>
          </w:tcPr>
          <w:p w14:paraId="73A2B2BE" w14:textId="77777777" w:rsidR="00C20C94" w:rsidRPr="00C20C94" w:rsidRDefault="00C20C94" w:rsidP="00B552A7">
            <w:pPr>
              <w:pStyle w:val="NoSpacing"/>
            </w:pPr>
            <w:r w:rsidRPr="00C20C94">
              <w:t>2</w:t>
            </w:r>
          </w:p>
        </w:tc>
        <w:tc>
          <w:tcPr>
            <w:tcW w:w="0" w:type="auto"/>
            <w:hideMark/>
          </w:tcPr>
          <w:p w14:paraId="43B02998" w14:textId="77777777" w:rsidR="00C20C94" w:rsidRPr="00C20C94" w:rsidRDefault="00C20C94" w:rsidP="00B552A7">
            <w:pPr>
              <w:pStyle w:val="NoSpacing"/>
            </w:pPr>
            <w:r w:rsidRPr="00C20C94">
              <w:t>3</w:t>
            </w:r>
          </w:p>
        </w:tc>
        <w:tc>
          <w:tcPr>
            <w:tcW w:w="0" w:type="auto"/>
            <w:hideMark/>
          </w:tcPr>
          <w:p w14:paraId="58388EC0" w14:textId="77777777" w:rsidR="00C20C94" w:rsidRPr="00C20C94" w:rsidRDefault="00C20C94" w:rsidP="00B552A7">
            <w:pPr>
              <w:pStyle w:val="NoSpacing"/>
            </w:pPr>
            <w:r w:rsidRPr="00C20C94">
              <w:t>4</w:t>
            </w:r>
          </w:p>
        </w:tc>
        <w:tc>
          <w:tcPr>
            <w:tcW w:w="0" w:type="auto"/>
            <w:hideMark/>
          </w:tcPr>
          <w:p w14:paraId="0CC9301F" w14:textId="77777777" w:rsidR="00C20C94" w:rsidRPr="00C20C94" w:rsidRDefault="00C20C94" w:rsidP="00B552A7">
            <w:pPr>
              <w:pStyle w:val="NoSpacing"/>
            </w:pPr>
            <w:r w:rsidRPr="00C20C94">
              <w:t>5</w:t>
            </w:r>
          </w:p>
        </w:tc>
        <w:tc>
          <w:tcPr>
            <w:tcW w:w="0" w:type="auto"/>
            <w:hideMark/>
          </w:tcPr>
          <w:p w14:paraId="1D47DCF8" w14:textId="77777777" w:rsidR="00C20C94" w:rsidRPr="00C20C94" w:rsidRDefault="00C20C94" w:rsidP="00B552A7">
            <w:pPr>
              <w:pStyle w:val="NoSpacing"/>
            </w:pPr>
            <w:r w:rsidRPr="00C20C94">
              <w:t>6</w:t>
            </w:r>
          </w:p>
        </w:tc>
        <w:tc>
          <w:tcPr>
            <w:tcW w:w="0" w:type="auto"/>
            <w:hideMark/>
          </w:tcPr>
          <w:p w14:paraId="68F4E969" w14:textId="77777777" w:rsidR="00C20C94" w:rsidRPr="00C20C94" w:rsidRDefault="00C20C94" w:rsidP="00B552A7">
            <w:pPr>
              <w:pStyle w:val="NoSpacing"/>
            </w:pPr>
            <w:r w:rsidRPr="00C20C94">
              <w:t>7</w:t>
            </w:r>
          </w:p>
        </w:tc>
        <w:tc>
          <w:tcPr>
            <w:tcW w:w="0" w:type="auto"/>
            <w:hideMark/>
          </w:tcPr>
          <w:p w14:paraId="16AB60C0" w14:textId="77777777" w:rsidR="00C20C94" w:rsidRPr="00C20C94" w:rsidRDefault="00C20C94" w:rsidP="00B552A7">
            <w:pPr>
              <w:pStyle w:val="NoSpacing"/>
            </w:pPr>
            <w:r w:rsidRPr="00C20C94">
              <w:t>8</w:t>
            </w:r>
          </w:p>
        </w:tc>
        <w:tc>
          <w:tcPr>
            <w:tcW w:w="0" w:type="auto"/>
            <w:hideMark/>
          </w:tcPr>
          <w:p w14:paraId="47AB660A" w14:textId="77777777" w:rsidR="00C20C94" w:rsidRPr="00C20C94" w:rsidRDefault="00C20C94" w:rsidP="00B552A7">
            <w:pPr>
              <w:pStyle w:val="NoSpacing"/>
            </w:pPr>
            <w:r w:rsidRPr="00C20C94">
              <w:t>9</w:t>
            </w:r>
          </w:p>
        </w:tc>
        <w:tc>
          <w:tcPr>
            <w:tcW w:w="0" w:type="auto"/>
            <w:hideMark/>
          </w:tcPr>
          <w:p w14:paraId="157661A1" w14:textId="77777777" w:rsidR="00C20C94" w:rsidRPr="00C20C94" w:rsidRDefault="00C20C94" w:rsidP="00B552A7">
            <w:pPr>
              <w:pStyle w:val="NoSpacing"/>
            </w:pPr>
            <w:r w:rsidRPr="00C20C94">
              <w:t>10</w:t>
            </w:r>
          </w:p>
        </w:tc>
        <w:tc>
          <w:tcPr>
            <w:tcW w:w="0" w:type="auto"/>
            <w:hideMark/>
          </w:tcPr>
          <w:p w14:paraId="798C28B7" w14:textId="77777777" w:rsidR="00C20C94" w:rsidRPr="00C20C94" w:rsidRDefault="00C20C94" w:rsidP="00B552A7">
            <w:pPr>
              <w:pStyle w:val="NoSpacing"/>
            </w:pPr>
            <w:r w:rsidRPr="00C20C94">
              <w:t>11</w:t>
            </w:r>
          </w:p>
        </w:tc>
        <w:tc>
          <w:tcPr>
            <w:tcW w:w="0" w:type="auto"/>
            <w:hideMark/>
          </w:tcPr>
          <w:p w14:paraId="1102DC69" w14:textId="77777777" w:rsidR="00C20C94" w:rsidRPr="00C20C94" w:rsidRDefault="00C20C94" w:rsidP="00B552A7">
            <w:pPr>
              <w:pStyle w:val="NoSpacing"/>
            </w:pPr>
            <w:r w:rsidRPr="00C20C94">
              <w:t>12</w:t>
            </w:r>
          </w:p>
        </w:tc>
        <w:tc>
          <w:tcPr>
            <w:tcW w:w="0" w:type="auto"/>
            <w:hideMark/>
          </w:tcPr>
          <w:p w14:paraId="35CE5939" w14:textId="77777777" w:rsidR="00C20C94" w:rsidRPr="00C20C94" w:rsidRDefault="00C20C94" w:rsidP="00B552A7">
            <w:pPr>
              <w:pStyle w:val="NoSpacing"/>
            </w:pPr>
            <w:r w:rsidRPr="00C20C94">
              <w:t>13</w:t>
            </w:r>
          </w:p>
        </w:tc>
      </w:tr>
      <w:tr w:rsidR="00C20C94" w:rsidRPr="00C20C94" w14:paraId="5EAB5D58" w14:textId="77777777" w:rsidTr="00B552A7">
        <w:tc>
          <w:tcPr>
            <w:tcW w:w="0" w:type="auto"/>
            <w:hideMark/>
          </w:tcPr>
          <w:p w14:paraId="1C52A337" w14:textId="77777777" w:rsidR="00C20C94" w:rsidRPr="00C20C94" w:rsidRDefault="00C20C94" w:rsidP="00B552A7">
            <w:pPr>
              <w:pStyle w:val="NoSpacing"/>
            </w:pPr>
            <w:r w:rsidRPr="00C20C94">
              <w:t xml:space="preserve">1. #Total </w:t>
            </w:r>
            <w:proofErr w:type="gramStart"/>
            <w:r w:rsidRPr="00C20C94">
              <w:t>outlets</w:t>
            </w:r>
            <w:proofErr w:type="gramEnd"/>
          </w:p>
        </w:tc>
        <w:tc>
          <w:tcPr>
            <w:tcW w:w="0" w:type="auto"/>
            <w:hideMark/>
          </w:tcPr>
          <w:p w14:paraId="294C3738" w14:textId="77777777" w:rsidR="00C20C94" w:rsidRPr="00C20C94" w:rsidRDefault="00C20C94" w:rsidP="0048687C">
            <w:pPr>
              <w:pStyle w:val="NoSpacing"/>
              <w:jc w:val="center"/>
            </w:pPr>
            <w:r w:rsidRPr="00C20C94">
              <w:t>1</w:t>
            </w:r>
          </w:p>
        </w:tc>
        <w:tc>
          <w:tcPr>
            <w:tcW w:w="0" w:type="auto"/>
            <w:hideMark/>
          </w:tcPr>
          <w:p w14:paraId="6BEF28B2" w14:textId="77777777" w:rsidR="00C20C94" w:rsidRPr="00C20C94" w:rsidRDefault="00C20C94" w:rsidP="0048687C">
            <w:pPr>
              <w:pStyle w:val="NoSpacing"/>
              <w:jc w:val="center"/>
            </w:pPr>
          </w:p>
        </w:tc>
        <w:tc>
          <w:tcPr>
            <w:tcW w:w="0" w:type="auto"/>
            <w:hideMark/>
          </w:tcPr>
          <w:p w14:paraId="50F92E32" w14:textId="77777777" w:rsidR="00C20C94" w:rsidRPr="00C20C94" w:rsidRDefault="00C20C94" w:rsidP="0048687C">
            <w:pPr>
              <w:pStyle w:val="NoSpacing"/>
              <w:jc w:val="center"/>
            </w:pPr>
          </w:p>
        </w:tc>
        <w:tc>
          <w:tcPr>
            <w:tcW w:w="0" w:type="auto"/>
            <w:hideMark/>
          </w:tcPr>
          <w:p w14:paraId="026E25FC" w14:textId="77777777" w:rsidR="00C20C94" w:rsidRPr="00C20C94" w:rsidRDefault="00C20C94" w:rsidP="0048687C">
            <w:pPr>
              <w:pStyle w:val="NoSpacing"/>
              <w:jc w:val="center"/>
            </w:pPr>
          </w:p>
        </w:tc>
        <w:tc>
          <w:tcPr>
            <w:tcW w:w="0" w:type="auto"/>
            <w:hideMark/>
          </w:tcPr>
          <w:p w14:paraId="56B3E4A6" w14:textId="77777777" w:rsidR="00C20C94" w:rsidRPr="00C20C94" w:rsidRDefault="00C20C94" w:rsidP="0048687C">
            <w:pPr>
              <w:pStyle w:val="NoSpacing"/>
              <w:jc w:val="center"/>
            </w:pPr>
          </w:p>
        </w:tc>
        <w:tc>
          <w:tcPr>
            <w:tcW w:w="0" w:type="auto"/>
            <w:hideMark/>
          </w:tcPr>
          <w:p w14:paraId="4E57A5AC" w14:textId="77777777" w:rsidR="00C20C94" w:rsidRPr="00C20C94" w:rsidRDefault="00C20C94" w:rsidP="0048687C">
            <w:pPr>
              <w:pStyle w:val="NoSpacing"/>
              <w:jc w:val="center"/>
            </w:pPr>
          </w:p>
        </w:tc>
        <w:tc>
          <w:tcPr>
            <w:tcW w:w="0" w:type="auto"/>
            <w:hideMark/>
          </w:tcPr>
          <w:p w14:paraId="137BA183" w14:textId="77777777" w:rsidR="00C20C94" w:rsidRPr="00C20C94" w:rsidRDefault="00C20C94" w:rsidP="0048687C">
            <w:pPr>
              <w:pStyle w:val="NoSpacing"/>
              <w:jc w:val="center"/>
            </w:pPr>
          </w:p>
        </w:tc>
        <w:tc>
          <w:tcPr>
            <w:tcW w:w="0" w:type="auto"/>
            <w:hideMark/>
          </w:tcPr>
          <w:p w14:paraId="08EFD2E5" w14:textId="77777777" w:rsidR="00C20C94" w:rsidRPr="00C20C94" w:rsidRDefault="00C20C94" w:rsidP="0048687C">
            <w:pPr>
              <w:pStyle w:val="NoSpacing"/>
              <w:jc w:val="center"/>
            </w:pPr>
          </w:p>
        </w:tc>
        <w:tc>
          <w:tcPr>
            <w:tcW w:w="0" w:type="auto"/>
            <w:hideMark/>
          </w:tcPr>
          <w:p w14:paraId="737A466C" w14:textId="77777777" w:rsidR="00C20C94" w:rsidRPr="00C20C94" w:rsidRDefault="00C20C94" w:rsidP="0048687C">
            <w:pPr>
              <w:pStyle w:val="NoSpacing"/>
              <w:jc w:val="center"/>
            </w:pPr>
          </w:p>
        </w:tc>
        <w:tc>
          <w:tcPr>
            <w:tcW w:w="0" w:type="auto"/>
            <w:hideMark/>
          </w:tcPr>
          <w:p w14:paraId="34EC9605" w14:textId="77777777" w:rsidR="00C20C94" w:rsidRPr="00C20C94" w:rsidRDefault="00C20C94" w:rsidP="0048687C">
            <w:pPr>
              <w:pStyle w:val="NoSpacing"/>
              <w:jc w:val="center"/>
            </w:pPr>
          </w:p>
        </w:tc>
        <w:tc>
          <w:tcPr>
            <w:tcW w:w="0" w:type="auto"/>
            <w:hideMark/>
          </w:tcPr>
          <w:p w14:paraId="73441029" w14:textId="77777777" w:rsidR="00C20C94" w:rsidRPr="00C20C94" w:rsidRDefault="00C20C94" w:rsidP="0048687C">
            <w:pPr>
              <w:pStyle w:val="NoSpacing"/>
              <w:jc w:val="center"/>
            </w:pPr>
          </w:p>
        </w:tc>
        <w:tc>
          <w:tcPr>
            <w:tcW w:w="0" w:type="auto"/>
            <w:hideMark/>
          </w:tcPr>
          <w:p w14:paraId="152CE6A3" w14:textId="77777777" w:rsidR="00C20C94" w:rsidRPr="00C20C94" w:rsidRDefault="00C20C94" w:rsidP="0048687C">
            <w:pPr>
              <w:pStyle w:val="NoSpacing"/>
              <w:jc w:val="center"/>
            </w:pPr>
          </w:p>
        </w:tc>
        <w:tc>
          <w:tcPr>
            <w:tcW w:w="0" w:type="auto"/>
            <w:hideMark/>
          </w:tcPr>
          <w:p w14:paraId="7698CADC" w14:textId="77777777" w:rsidR="00C20C94" w:rsidRPr="00C20C94" w:rsidRDefault="00C20C94" w:rsidP="00B552A7">
            <w:pPr>
              <w:pStyle w:val="NoSpacing"/>
            </w:pPr>
          </w:p>
        </w:tc>
      </w:tr>
      <w:tr w:rsidR="00C20C94" w:rsidRPr="00C20C94" w14:paraId="72B2C24F" w14:textId="77777777" w:rsidTr="00B552A7">
        <w:tc>
          <w:tcPr>
            <w:tcW w:w="0" w:type="auto"/>
            <w:hideMark/>
          </w:tcPr>
          <w:p w14:paraId="6F28E9E2" w14:textId="77777777" w:rsidR="00C20C94" w:rsidRPr="00C20C94" w:rsidRDefault="00C20C94" w:rsidP="00B552A7">
            <w:pPr>
              <w:pStyle w:val="NoSpacing"/>
            </w:pPr>
            <w:r w:rsidRPr="00C20C94">
              <w:t>2. #</w:t>
            </w:r>
            <w:proofErr w:type="gramStart"/>
            <w:r w:rsidRPr="00C20C94">
              <w:t>On-premise</w:t>
            </w:r>
            <w:proofErr w:type="gramEnd"/>
            <w:r w:rsidRPr="00C20C94">
              <w:t xml:space="preserve"> outlets</w:t>
            </w:r>
          </w:p>
        </w:tc>
        <w:tc>
          <w:tcPr>
            <w:tcW w:w="0" w:type="auto"/>
            <w:hideMark/>
          </w:tcPr>
          <w:p w14:paraId="0FA1790B" w14:textId="77777777" w:rsidR="00C20C94" w:rsidRPr="00C20C94" w:rsidRDefault="00C20C94" w:rsidP="0048687C">
            <w:pPr>
              <w:pStyle w:val="NoSpacing"/>
              <w:jc w:val="center"/>
            </w:pPr>
            <w:r w:rsidRPr="00C20C94">
              <w:t>.985</w:t>
            </w:r>
            <w:r w:rsidRPr="00C20C94">
              <w:rPr>
                <w:vertAlign w:val="superscript"/>
              </w:rPr>
              <w:t>**</w:t>
            </w:r>
          </w:p>
        </w:tc>
        <w:tc>
          <w:tcPr>
            <w:tcW w:w="0" w:type="auto"/>
            <w:hideMark/>
          </w:tcPr>
          <w:p w14:paraId="40AD4AE0" w14:textId="77777777" w:rsidR="00C20C94" w:rsidRPr="00C20C94" w:rsidRDefault="00C20C94" w:rsidP="0048687C">
            <w:pPr>
              <w:pStyle w:val="NoSpacing"/>
              <w:jc w:val="center"/>
            </w:pPr>
            <w:r w:rsidRPr="00C20C94">
              <w:t>1</w:t>
            </w:r>
          </w:p>
        </w:tc>
        <w:tc>
          <w:tcPr>
            <w:tcW w:w="0" w:type="auto"/>
            <w:hideMark/>
          </w:tcPr>
          <w:p w14:paraId="531E4FD6" w14:textId="77777777" w:rsidR="00C20C94" w:rsidRPr="00C20C94" w:rsidRDefault="00C20C94" w:rsidP="0048687C">
            <w:pPr>
              <w:pStyle w:val="NoSpacing"/>
              <w:jc w:val="center"/>
            </w:pPr>
          </w:p>
        </w:tc>
        <w:tc>
          <w:tcPr>
            <w:tcW w:w="0" w:type="auto"/>
            <w:hideMark/>
          </w:tcPr>
          <w:p w14:paraId="4CE9A420" w14:textId="77777777" w:rsidR="00C20C94" w:rsidRPr="00C20C94" w:rsidRDefault="00C20C94" w:rsidP="0048687C">
            <w:pPr>
              <w:pStyle w:val="NoSpacing"/>
              <w:jc w:val="center"/>
            </w:pPr>
          </w:p>
        </w:tc>
        <w:tc>
          <w:tcPr>
            <w:tcW w:w="0" w:type="auto"/>
            <w:hideMark/>
          </w:tcPr>
          <w:p w14:paraId="3A4A423B" w14:textId="77777777" w:rsidR="00C20C94" w:rsidRPr="00C20C94" w:rsidRDefault="00C20C94" w:rsidP="0048687C">
            <w:pPr>
              <w:pStyle w:val="NoSpacing"/>
              <w:jc w:val="center"/>
            </w:pPr>
          </w:p>
        </w:tc>
        <w:tc>
          <w:tcPr>
            <w:tcW w:w="0" w:type="auto"/>
            <w:hideMark/>
          </w:tcPr>
          <w:p w14:paraId="4DDBACC5" w14:textId="77777777" w:rsidR="00C20C94" w:rsidRPr="00C20C94" w:rsidRDefault="00C20C94" w:rsidP="0048687C">
            <w:pPr>
              <w:pStyle w:val="NoSpacing"/>
              <w:jc w:val="center"/>
            </w:pPr>
          </w:p>
        </w:tc>
        <w:tc>
          <w:tcPr>
            <w:tcW w:w="0" w:type="auto"/>
            <w:hideMark/>
          </w:tcPr>
          <w:p w14:paraId="7F7FEB83" w14:textId="77777777" w:rsidR="00C20C94" w:rsidRPr="00C20C94" w:rsidRDefault="00C20C94" w:rsidP="0048687C">
            <w:pPr>
              <w:pStyle w:val="NoSpacing"/>
              <w:jc w:val="center"/>
            </w:pPr>
          </w:p>
        </w:tc>
        <w:tc>
          <w:tcPr>
            <w:tcW w:w="0" w:type="auto"/>
            <w:hideMark/>
          </w:tcPr>
          <w:p w14:paraId="697AFAA5" w14:textId="77777777" w:rsidR="00C20C94" w:rsidRPr="00C20C94" w:rsidRDefault="00C20C94" w:rsidP="0048687C">
            <w:pPr>
              <w:pStyle w:val="NoSpacing"/>
              <w:jc w:val="center"/>
            </w:pPr>
          </w:p>
        </w:tc>
        <w:tc>
          <w:tcPr>
            <w:tcW w:w="0" w:type="auto"/>
            <w:hideMark/>
          </w:tcPr>
          <w:p w14:paraId="2DEE8819" w14:textId="77777777" w:rsidR="00C20C94" w:rsidRPr="00C20C94" w:rsidRDefault="00C20C94" w:rsidP="0048687C">
            <w:pPr>
              <w:pStyle w:val="NoSpacing"/>
              <w:jc w:val="center"/>
            </w:pPr>
          </w:p>
        </w:tc>
        <w:tc>
          <w:tcPr>
            <w:tcW w:w="0" w:type="auto"/>
            <w:hideMark/>
          </w:tcPr>
          <w:p w14:paraId="32E80019" w14:textId="77777777" w:rsidR="00C20C94" w:rsidRPr="00C20C94" w:rsidRDefault="00C20C94" w:rsidP="0048687C">
            <w:pPr>
              <w:pStyle w:val="NoSpacing"/>
              <w:jc w:val="center"/>
            </w:pPr>
          </w:p>
        </w:tc>
        <w:tc>
          <w:tcPr>
            <w:tcW w:w="0" w:type="auto"/>
            <w:hideMark/>
          </w:tcPr>
          <w:p w14:paraId="095890D5" w14:textId="77777777" w:rsidR="00C20C94" w:rsidRPr="00C20C94" w:rsidRDefault="00C20C94" w:rsidP="0048687C">
            <w:pPr>
              <w:pStyle w:val="NoSpacing"/>
              <w:jc w:val="center"/>
            </w:pPr>
          </w:p>
        </w:tc>
        <w:tc>
          <w:tcPr>
            <w:tcW w:w="0" w:type="auto"/>
            <w:hideMark/>
          </w:tcPr>
          <w:p w14:paraId="25B8F560" w14:textId="77777777" w:rsidR="00C20C94" w:rsidRPr="00C20C94" w:rsidRDefault="00C20C94" w:rsidP="0048687C">
            <w:pPr>
              <w:pStyle w:val="NoSpacing"/>
              <w:jc w:val="center"/>
            </w:pPr>
          </w:p>
        </w:tc>
        <w:tc>
          <w:tcPr>
            <w:tcW w:w="0" w:type="auto"/>
            <w:hideMark/>
          </w:tcPr>
          <w:p w14:paraId="43AA2DFB" w14:textId="77777777" w:rsidR="00C20C94" w:rsidRPr="00C20C94" w:rsidRDefault="00C20C94" w:rsidP="00B552A7">
            <w:pPr>
              <w:pStyle w:val="NoSpacing"/>
            </w:pPr>
          </w:p>
        </w:tc>
      </w:tr>
      <w:tr w:rsidR="00C20C94" w:rsidRPr="00C20C94" w14:paraId="68A6AB46" w14:textId="77777777" w:rsidTr="00B552A7">
        <w:tc>
          <w:tcPr>
            <w:tcW w:w="0" w:type="auto"/>
            <w:hideMark/>
          </w:tcPr>
          <w:p w14:paraId="4ED53F85" w14:textId="77777777" w:rsidR="00C20C94" w:rsidRPr="00C20C94" w:rsidRDefault="00C20C94" w:rsidP="00B552A7">
            <w:pPr>
              <w:pStyle w:val="NoSpacing"/>
            </w:pPr>
            <w:r w:rsidRPr="00C20C94">
              <w:t>3. #Off-</w:t>
            </w:r>
            <w:proofErr w:type="gramStart"/>
            <w:r w:rsidRPr="00C20C94">
              <w:t>premise</w:t>
            </w:r>
            <w:proofErr w:type="gramEnd"/>
            <w:r w:rsidRPr="00C20C94">
              <w:t xml:space="preserve"> outlets</w:t>
            </w:r>
          </w:p>
        </w:tc>
        <w:tc>
          <w:tcPr>
            <w:tcW w:w="0" w:type="auto"/>
            <w:hideMark/>
          </w:tcPr>
          <w:p w14:paraId="65F29DAB" w14:textId="77777777" w:rsidR="00C20C94" w:rsidRPr="00C20C94" w:rsidRDefault="00C20C94" w:rsidP="0048687C">
            <w:pPr>
              <w:pStyle w:val="NoSpacing"/>
              <w:jc w:val="center"/>
            </w:pPr>
            <w:r w:rsidRPr="00C20C94">
              <w:t>.369</w:t>
            </w:r>
            <w:r w:rsidRPr="00C20C94">
              <w:rPr>
                <w:vertAlign w:val="superscript"/>
              </w:rPr>
              <w:t>**</w:t>
            </w:r>
          </w:p>
        </w:tc>
        <w:tc>
          <w:tcPr>
            <w:tcW w:w="0" w:type="auto"/>
            <w:hideMark/>
          </w:tcPr>
          <w:p w14:paraId="2797867C" w14:textId="77777777" w:rsidR="00C20C94" w:rsidRPr="00C20C94" w:rsidRDefault="00C20C94" w:rsidP="0048687C">
            <w:pPr>
              <w:pStyle w:val="NoSpacing"/>
              <w:jc w:val="center"/>
            </w:pPr>
            <w:r w:rsidRPr="00C20C94">
              <w:t>.204</w:t>
            </w:r>
            <w:r w:rsidRPr="00C20C94">
              <w:rPr>
                <w:vertAlign w:val="superscript"/>
              </w:rPr>
              <w:t>**</w:t>
            </w:r>
          </w:p>
        </w:tc>
        <w:tc>
          <w:tcPr>
            <w:tcW w:w="0" w:type="auto"/>
            <w:hideMark/>
          </w:tcPr>
          <w:p w14:paraId="7B0F02F5" w14:textId="77777777" w:rsidR="00C20C94" w:rsidRPr="00C20C94" w:rsidRDefault="00C20C94" w:rsidP="0048687C">
            <w:pPr>
              <w:pStyle w:val="NoSpacing"/>
              <w:jc w:val="center"/>
            </w:pPr>
            <w:r w:rsidRPr="00C20C94">
              <w:t>1</w:t>
            </w:r>
          </w:p>
        </w:tc>
        <w:tc>
          <w:tcPr>
            <w:tcW w:w="0" w:type="auto"/>
            <w:hideMark/>
          </w:tcPr>
          <w:p w14:paraId="09F16EE3" w14:textId="77777777" w:rsidR="00C20C94" w:rsidRPr="00C20C94" w:rsidRDefault="00C20C94" w:rsidP="0048687C">
            <w:pPr>
              <w:pStyle w:val="NoSpacing"/>
              <w:jc w:val="center"/>
            </w:pPr>
          </w:p>
        </w:tc>
        <w:tc>
          <w:tcPr>
            <w:tcW w:w="0" w:type="auto"/>
            <w:hideMark/>
          </w:tcPr>
          <w:p w14:paraId="0E37B3F0" w14:textId="77777777" w:rsidR="00C20C94" w:rsidRPr="00C20C94" w:rsidRDefault="00C20C94" w:rsidP="0048687C">
            <w:pPr>
              <w:pStyle w:val="NoSpacing"/>
              <w:jc w:val="center"/>
            </w:pPr>
          </w:p>
        </w:tc>
        <w:tc>
          <w:tcPr>
            <w:tcW w:w="0" w:type="auto"/>
            <w:hideMark/>
          </w:tcPr>
          <w:p w14:paraId="09FEBDE1" w14:textId="77777777" w:rsidR="00C20C94" w:rsidRPr="00C20C94" w:rsidRDefault="00C20C94" w:rsidP="0048687C">
            <w:pPr>
              <w:pStyle w:val="NoSpacing"/>
              <w:jc w:val="center"/>
            </w:pPr>
          </w:p>
        </w:tc>
        <w:tc>
          <w:tcPr>
            <w:tcW w:w="0" w:type="auto"/>
            <w:hideMark/>
          </w:tcPr>
          <w:p w14:paraId="0CC7235A" w14:textId="77777777" w:rsidR="00C20C94" w:rsidRPr="00C20C94" w:rsidRDefault="00C20C94" w:rsidP="0048687C">
            <w:pPr>
              <w:pStyle w:val="NoSpacing"/>
              <w:jc w:val="center"/>
            </w:pPr>
          </w:p>
        </w:tc>
        <w:tc>
          <w:tcPr>
            <w:tcW w:w="0" w:type="auto"/>
            <w:hideMark/>
          </w:tcPr>
          <w:p w14:paraId="4EA3F987" w14:textId="77777777" w:rsidR="00C20C94" w:rsidRPr="00C20C94" w:rsidRDefault="00C20C94" w:rsidP="0048687C">
            <w:pPr>
              <w:pStyle w:val="NoSpacing"/>
              <w:jc w:val="center"/>
            </w:pPr>
          </w:p>
        </w:tc>
        <w:tc>
          <w:tcPr>
            <w:tcW w:w="0" w:type="auto"/>
            <w:hideMark/>
          </w:tcPr>
          <w:p w14:paraId="03A894FA" w14:textId="77777777" w:rsidR="00C20C94" w:rsidRPr="00C20C94" w:rsidRDefault="00C20C94" w:rsidP="0048687C">
            <w:pPr>
              <w:pStyle w:val="NoSpacing"/>
              <w:jc w:val="center"/>
            </w:pPr>
          </w:p>
        </w:tc>
        <w:tc>
          <w:tcPr>
            <w:tcW w:w="0" w:type="auto"/>
            <w:hideMark/>
          </w:tcPr>
          <w:p w14:paraId="7567E1A1" w14:textId="77777777" w:rsidR="00C20C94" w:rsidRPr="00C20C94" w:rsidRDefault="00C20C94" w:rsidP="0048687C">
            <w:pPr>
              <w:pStyle w:val="NoSpacing"/>
              <w:jc w:val="center"/>
            </w:pPr>
          </w:p>
        </w:tc>
        <w:tc>
          <w:tcPr>
            <w:tcW w:w="0" w:type="auto"/>
            <w:hideMark/>
          </w:tcPr>
          <w:p w14:paraId="2D47E124" w14:textId="77777777" w:rsidR="00C20C94" w:rsidRPr="00C20C94" w:rsidRDefault="00C20C94" w:rsidP="0048687C">
            <w:pPr>
              <w:pStyle w:val="NoSpacing"/>
              <w:jc w:val="center"/>
            </w:pPr>
          </w:p>
        </w:tc>
        <w:tc>
          <w:tcPr>
            <w:tcW w:w="0" w:type="auto"/>
            <w:hideMark/>
          </w:tcPr>
          <w:p w14:paraId="3994DB19" w14:textId="77777777" w:rsidR="00C20C94" w:rsidRPr="00C20C94" w:rsidRDefault="00C20C94" w:rsidP="0048687C">
            <w:pPr>
              <w:pStyle w:val="NoSpacing"/>
              <w:jc w:val="center"/>
            </w:pPr>
          </w:p>
        </w:tc>
        <w:tc>
          <w:tcPr>
            <w:tcW w:w="0" w:type="auto"/>
            <w:hideMark/>
          </w:tcPr>
          <w:p w14:paraId="1EA630B1" w14:textId="77777777" w:rsidR="00C20C94" w:rsidRPr="00C20C94" w:rsidRDefault="00C20C94" w:rsidP="00B552A7">
            <w:pPr>
              <w:pStyle w:val="NoSpacing"/>
            </w:pPr>
          </w:p>
        </w:tc>
      </w:tr>
      <w:tr w:rsidR="00C20C94" w:rsidRPr="00C20C94" w14:paraId="02F035AE" w14:textId="77777777" w:rsidTr="00B552A7">
        <w:tc>
          <w:tcPr>
            <w:tcW w:w="0" w:type="auto"/>
            <w:hideMark/>
          </w:tcPr>
          <w:p w14:paraId="5D058660" w14:textId="77777777" w:rsidR="00C20C94" w:rsidRPr="00C20C94" w:rsidRDefault="00C20C94" w:rsidP="00B552A7">
            <w:pPr>
              <w:pStyle w:val="NoSpacing"/>
            </w:pPr>
            <w:r w:rsidRPr="00C20C94">
              <w:t>4. Social disorganization</w:t>
            </w:r>
          </w:p>
        </w:tc>
        <w:tc>
          <w:tcPr>
            <w:tcW w:w="0" w:type="auto"/>
            <w:hideMark/>
          </w:tcPr>
          <w:p w14:paraId="38010AEF" w14:textId="77777777" w:rsidR="00C20C94" w:rsidRPr="00C20C94" w:rsidRDefault="00C20C94" w:rsidP="0048687C">
            <w:pPr>
              <w:pStyle w:val="NoSpacing"/>
              <w:jc w:val="center"/>
            </w:pPr>
            <w:r w:rsidRPr="00C20C94">
              <w:t>.012</w:t>
            </w:r>
          </w:p>
        </w:tc>
        <w:tc>
          <w:tcPr>
            <w:tcW w:w="0" w:type="auto"/>
            <w:hideMark/>
          </w:tcPr>
          <w:p w14:paraId="1B0D488B" w14:textId="77777777" w:rsidR="00C20C94" w:rsidRPr="00C20C94" w:rsidRDefault="00C20C94" w:rsidP="0048687C">
            <w:pPr>
              <w:pStyle w:val="NoSpacing"/>
              <w:jc w:val="center"/>
            </w:pPr>
            <w:r w:rsidRPr="00C20C94">
              <w:t>–.033</w:t>
            </w:r>
          </w:p>
        </w:tc>
        <w:tc>
          <w:tcPr>
            <w:tcW w:w="0" w:type="auto"/>
            <w:hideMark/>
          </w:tcPr>
          <w:p w14:paraId="67A4CE8A" w14:textId="77777777" w:rsidR="00C20C94" w:rsidRPr="00C20C94" w:rsidRDefault="00C20C94" w:rsidP="0048687C">
            <w:pPr>
              <w:pStyle w:val="NoSpacing"/>
              <w:jc w:val="center"/>
            </w:pPr>
            <w:r w:rsidRPr="00C20C94">
              <w:t>.252</w:t>
            </w:r>
            <w:r w:rsidRPr="00C20C94">
              <w:rPr>
                <w:vertAlign w:val="superscript"/>
              </w:rPr>
              <w:t>**</w:t>
            </w:r>
          </w:p>
        </w:tc>
        <w:tc>
          <w:tcPr>
            <w:tcW w:w="0" w:type="auto"/>
            <w:hideMark/>
          </w:tcPr>
          <w:p w14:paraId="3894805D" w14:textId="77777777" w:rsidR="00C20C94" w:rsidRPr="00C20C94" w:rsidRDefault="00C20C94" w:rsidP="0048687C">
            <w:pPr>
              <w:pStyle w:val="NoSpacing"/>
              <w:jc w:val="center"/>
            </w:pPr>
            <w:r w:rsidRPr="00C20C94">
              <w:t>1</w:t>
            </w:r>
          </w:p>
        </w:tc>
        <w:tc>
          <w:tcPr>
            <w:tcW w:w="0" w:type="auto"/>
            <w:hideMark/>
          </w:tcPr>
          <w:p w14:paraId="340D4FC5" w14:textId="77777777" w:rsidR="00C20C94" w:rsidRPr="00C20C94" w:rsidRDefault="00C20C94" w:rsidP="0048687C">
            <w:pPr>
              <w:pStyle w:val="NoSpacing"/>
              <w:jc w:val="center"/>
            </w:pPr>
          </w:p>
        </w:tc>
        <w:tc>
          <w:tcPr>
            <w:tcW w:w="0" w:type="auto"/>
            <w:hideMark/>
          </w:tcPr>
          <w:p w14:paraId="7DBA0630" w14:textId="77777777" w:rsidR="00C20C94" w:rsidRPr="00C20C94" w:rsidRDefault="00C20C94" w:rsidP="0048687C">
            <w:pPr>
              <w:pStyle w:val="NoSpacing"/>
              <w:jc w:val="center"/>
            </w:pPr>
          </w:p>
        </w:tc>
        <w:tc>
          <w:tcPr>
            <w:tcW w:w="0" w:type="auto"/>
            <w:hideMark/>
          </w:tcPr>
          <w:p w14:paraId="648C6688" w14:textId="77777777" w:rsidR="00C20C94" w:rsidRPr="00C20C94" w:rsidRDefault="00C20C94" w:rsidP="0048687C">
            <w:pPr>
              <w:pStyle w:val="NoSpacing"/>
              <w:jc w:val="center"/>
            </w:pPr>
          </w:p>
        </w:tc>
        <w:tc>
          <w:tcPr>
            <w:tcW w:w="0" w:type="auto"/>
            <w:hideMark/>
          </w:tcPr>
          <w:p w14:paraId="79465C6C" w14:textId="77777777" w:rsidR="00C20C94" w:rsidRPr="00C20C94" w:rsidRDefault="00C20C94" w:rsidP="0048687C">
            <w:pPr>
              <w:pStyle w:val="NoSpacing"/>
              <w:jc w:val="center"/>
            </w:pPr>
          </w:p>
        </w:tc>
        <w:tc>
          <w:tcPr>
            <w:tcW w:w="0" w:type="auto"/>
            <w:hideMark/>
          </w:tcPr>
          <w:p w14:paraId="1B54A674" w14:textId="77777777" w:rsidR="00C20C94" w:rsidRPr="00C20C94" w:rsidRDefault="00C20C94" w:rsidP="0048687C">
            <w:pPr>
              <w:pStyle w:val="NoSpacing"/>
              <w:jc w:val="center"/>
            </w:pPr>
          </w:p>
        </w:tc>
        <w:tc>
          <w:tcPr>
            <w:tcW w:w="0" w:type="auto"/>
            <w:hideMark/>
          </w:tcPr>
          <w:p w14:paraId="19827680" w14:textId="77777777" w:rsidR="00C20C94" w:rsidRPr="00C20C94" w:rsidRDefault="00C20C94" w:rsidP="0048687C">
            <w:pPr>
              <w:pStyle w:val="NoSpacing"/>
              <w:jc w:val="center"/>
            </w:pPr>
          </w:p>
        </w:tc>
        <w:tc>
          <w:tcPr>
            <w:tcW w:w="0" w:type="auto"/>
            <w:hideMark/>
          </w:tcPr>
          <w:p w14:paraId="3D08D57B" w14:textId="77777777" w:rsidR="00C20C94" w:rsidRPr="00C20C94" w:rsidRDefault="00C20C94" w:rsidP="0048687C">
            <w:pPr>
              <w:pStyle w:val="NoSpacing"/>
              <w:jc w:val="center"/>
            </w:pPr>
          </w:p>
        </w:tc>
        <w:tc>
          <w:tcPr>
            <w:tcW w:w="0" w:type="auto"/>
            <w:hideMark/>
          </w:tcPr>
          <w:p w14:paraId="16F2A661" w14:textId="77777777" w:rsidR="00C20C94" w:rsidRPr="00C20C94" w:rsidRDefault="00C20C94" w:rsidP="0048687C">
            <w:pPr>
              <w:pStyle w:val="NoSpacing"/>
              <w:jc w:val="center"/>
            </w:pPr>
          </w:p>
        </w:tc>
        <w:tc>
          <w:tcPr>
            <w:tcW w:w="0" w:type="auto"/>
            <w:hideMark/>
          </w:tcPr>
          <w:p w14:paraId="75E590C8" w14:textId="77777777" w:rsidR="00C20C94" w:rsidRPr="00C20C94" w:rsidRDefault="00C20C94" w:rsidP="00B552A7">
            <w:pPr>
              <w:pStyle w:val="NoSpacing"/>
            </w:pPr>
          </w:p>
        </w:tc>
      </w:tr>
      <w:tr w:rsidR="00C20C94" w:rsidRPr="00C20C94" w14:paraId="41A60060" w14:textId="77777777" w:rsidTr="00B552A7">
        <w:tc>
          <w:tcPr>
            <w:tcW w:w="0" w:type="auto"/>
            <w:hideMark/>
          </w:tcPr>
          <w:p w14:paraId="544812C6" w14:textId="77777777" w:rsidR="00C20C94" w:rsidRPr="00C20C94" w:rsidRDefault="00C20C94" w:rsidP="00B552A7">
            <w:pPr>
              <w:pStyle w:val="NoSpacing"/>
            </w:pPr>
            <w:r w:rsidRPr="00C20C94">
              <w:t>5. Proportion Hispanic</w:t>
            </w:r>
          </w:p>
        </w:tc>
        <w:tc>
          <w:tcPr>
            <w:tcW w:w="0" w:type="auto"/>
            <w:hideMark/>
          </w:tcPr>
          <w:p w14:paraId="6C052978" w14:textId="77777777" w:rsidR="00C20C94" w:rsidRPr="00C20C94" w:rsidRDefault="00C20C94" w:rsidP="0048687C">
            <w:pPr>
              <w:pStyle w:val="NoSpacing"/>
              <w:jc w:val="center"/>
            </w:pPr>
            <w:r w:rsidRPr="00C20C94">
              <w:t>.084</w:t>
            </w:r>
            <w:r w:rsidRPr="00C20C94">
              <w:rPr>
                <w:vertAlign w:val="superscript"/>
              </w:rPr>
              <w:t>*</w:t>
            </w:r>
          </w:p>
        </w:tc>
        <w:tc>
          <w:tcPr>
            <w:tcW w:w="0" w:type="auto"/>
            <w:hideMark/>
          </w:tcPr>
          <w:p w14:paraId="1D14D4E3" w14:textId="77777777" w:rsidR="00C20C94" w:rsidRPr="00C20C94" w:rsidRDefault="00C20C94" w:rsidP="0048687C">
            <w:pPr>
              <w:pStyle w:val="NoSpacing"/>
              <w:jc w:val="center"/>
            </w:pPr>
            <w:r w:rsidRPr="00C20C94">
              <w:t>.069</w:t>
            </w:r>
          </w:p>
        </w:tc>
        <w:tc>
          <w:tcPr>
            <w:tcW w:w="0" w:type="auto"/>
            <w:hideMark/>
          </w:tcPr>
          <w:p w14:paraId="4337B858" w14:textId="77777777" w:rsidR="00C20C94" w:rsidRPr="00C20C94" w:rsidRDefault="00C20C94" w:rsidP="0048687C">
            <w:pPr>
              <w:pStyle w:val="NoSpacing"/>
              <w:jc w:val="center"/>
            </w:pPr>
            <w:r w:rsidRPr="00C20C94">
              <w:t>.106</w:t>
            </w:r>
            <w:r w:rsidRPr="00C20C94">
              <w:rPr>
                <w:vertAlign w:val="superscript"/>
              </w:rPr>
              <w:t>*</w:t>
            </w:r>
          </w:p>
        </w:tc>
        <w:tc>
          <w:tcPr>
            <w:tcW w:w="0" w:type="auto"/>
            <w:hideMark/>
          </w:tcPr>
          <w:p w14:paraId="4BA7E46E" w14:textId="77777777" w:rsidR="00C20C94" w:rsidRPr="00C20C94" w:rsidRDefault="00C20C94" w:rsidP="0048687C">
            <w:pPr>
              <w:pStyle w:val="NoSpacing"/>
              <w:jc w:val="center"/>
            </w:pPr>
            <w:r w:rsidRPr="00C20C94">
              <w:t>.103</w:t>
            </w:r>
            <w:r w:rsidRPr="00C20C94">
              <w:rPr>
                <w:vertAlign w:val="superscript"/>
              </w:rPr>
              <w:t>*</w:t>
            </w:r>
          </w:p>
        </w:tc>
        <w:tc>
          <w:tcPr>
            <w:tcW w:w="0" w:type="auto"/>
            <w:hideMark/>
          </w:tcPr>
          <w:p w14:paraId="02F32F59" w14:textId="77777777" w:rsidR="00C20C94" w:rsidRPr="00C20C94" w:rsidRDefault="00C20C94" w:rsidP="0048687C">
            <w:pPr>
              <w:pStyle w:val="NoSpacing"/>
              <w:jc w:val="center"/>
            </w:pPr>
            <w:r w:rsidRPr="00C20C94">
              <w:t>1</w:t>
            </w:r>
          </w:p>
        </w:tc>
        <w:tc>
          <w:tcPr>
            <w:tcW w:w="0" w:type="auto"/>
            <w:hideMark/>
          </w:tcPr>
          <w:p w14:paraId="466C2593" w14:textId="77777777" w:rsidR="00C20C94" w:rsidRPr="00C20C94" w:rsidRDefault="00C20C94" w:rsidP="0048687C">
            <w:pPr>
              <w:pStyle w:val="NoSpacing"/>
              <w:jc w:val="center"/>
            </w:pPr>
          </w:p>
        </w:tc>
        <w:tc>
          <w:tcPr>
            <w:tcW w:w="0" w:type="auto"/>
            <w:hideMark/>
          </w:tcPr>
          <w:p w14:paraId="3DEA53BE" w14:textId="77777777" w:rsidR="00C20C94" w:rsidRPr="00C20C94" w:rsidRDefault="00C20C94" w:rsidP="0048687C">
            <w:pPr>
              <w:pStyle w:val="NoSpacing"/>
              <w:jc w:val="center"/>
            </w:pPr>
          </w:p>
        </w:tc>
        <w:tc>
          <w:tcPr>
            <w:tcW w:w="0" w:type="auto"/>
            <w:hideMark/>
          </w:tcPr>
          <w:p w14:paraId="619B7A9C" w14:textId="77777777" w:rsidR="00C20C94" w:rsidRPr="00C20C94" w:rsidRDefault="00C20C94" w:rsidP="0048687C">
            <w:pPr>
              <w:pStyle w:val="NoSpacing"/>
              <w:jc w:val="center"/>
            </w:pPr>
          </w:p>
        </w:tc>
        <w:tc>
          <w:tcPr>
            <w:tcW w:w="0" w:type="auto"/>
            <w:hideMark/>
          </w:tcPr>
          <w:p w14:paraId="24BBA3AA" w14:textId="77777777" w:rsidR="00C20C94" w:rsidRPr="00C20C94" w:rsidRDefault="00C20C94" w:rsidP="0048687C">
            <w:pPr>
              <w:pStyle w:val="NoSpacing"/>
              <w:jc w:val="center"/>
            </w:pPr>
          </w:p>
        </w:tc>
        <w:tc>
          <w:tcPr>
            <w:tcW w:w="0" w:type="auto"/>
            <w:hideMark/>
          </w:tcPr>
          <w:p w14:paraId="4D82874D" w14:textId="77777777" w:rsidR="00C20C94" w:rsidRPr="00C20C94" w:rsidRDefault="00C20C94" w:rsidP="0048687C">
            <w:pPr>
              <w:pStyle w:val="NoSpacing"/>
              <w:jc w:val="center"/>
            </w:pPr>
          </w:p>
        </w:tc>
        <w:tc>
          <w:tcPr>
            <w:tcW w:w="0" w:type="auto"/>
            <w:hideMark/>
          </w:tcPr>
          <w:p w14:paraId="238D66F2" w14:textId="77777777" w:rsidR="00C20C94" w:rsidRPr="00C20C94" w:rsidRDefault="00C20C94" w:rsidP="0048687C">
            <w:pPr>
              <w:pStyle w:val="NoSpacing"/>
              <w:jc w:val="center"/>
            </w:pPr>
          </w:p>
        </w:tc>
        <w:tc>
          <w:tcPr>
            <w:tcW w:w="0" w:type="auto"/>
            <w:hideMark/>
          </w:tcPr>
          <w:p w14:paraId="02B320D1" w14:textId="77777777" w:rsidR="00C20C94" w:rsidRPr="00C20C94" w:rsidRDefault="00C20C94" w:rsidP="0048687C">
            <w:pPr>
              <w:pStyle w:val="NoSpacing"/>
              <w:jc w:val="center"/>
            </w:pPr>
          </w:p>
        </w:tc>
        <w:tc>
          <w:tcPr>
            <w:tcW w:w="0" w:type="auto"/>
            <w:hideMark/>
          </w:tcPr>
          <w:p w14:paraId="2CFEAFAB" w14:textId="77777777" w:rsidR="00C20C94" w:rsidRPr="00C20C94" w:rsidRDefault="00C20C94" w:rsidP="00B552A7">
            <w:pPr>
              <w:pStyle w:val="NoSpacing"/>
            </w:pPr>
          </w:p>
        </w:tc>
      </w:tr>
      <w:tr w:rsidR="00C20C94" w:rsidRPr="00C20C94" w14:paraId="5A655155" w14:textId="77777777" w:rsidTr="00B552A7">
        <w:tc>
          <w:tcPr>
            <w:tcW w:w="0" w:type="auto"/>
            <w:hideMark/>
          </w:tcPr>
          <w:p w14:paraId="186937C6" w14:textId="77777777" w:rsidR="00C20C94" w:rsidRPr="00C20C94" w:rsidRDefault="00C20C94" w:rsidP="00B552A7">
            <w:pPr>
              <w:pStyle w:val="NoSpacing"/>
            </w:pPr>
            <w:r w:rsidRPr="00C20C94">
              <w:t>6. Proportion African American</w:t>
            </w:r>
          </w:p>
        </w:tc>
        <w:tc>
          <w:tcPr>
            <w:tcW w:w="0" w:type="auto"/>
            <w:hideMark/>
          </w:tcPr>
          <w:p w14:paraId="178D52B1" w14:textId="77777777" w:rsidR="00C20C94" w:rsidRPr="00C20C94" w:rsidRDefault="00C20C94" w:rsidP="0048687C">
            <w:pPr>
              <w:pStyle w:val="NoSpacing"/>
              <w:jc w:val="center"/>
            </w:pPr>
            <w:r w:rsidRPr="00C20C94">
              <w:t>–.196</w:t>
            </w:r>
            <w:r w:rsidRPr="00C20C94">
              <w:rPr>
                <w:vertAlign w:val="superscript"/>
              </w:rPr>
              <w:t>**</w:t>
            </w:r>
          </w:p>
        </w:tc>
        <w:tc>
          <w:tcPr>
            <w:tcW w:w="0" w:type="auto"/>
            <w:hideMark/>
          </w:tcPr>
          <w:p w14:paraId="23AA06C7" w14:textId="77777777" w:rsidR="00C20C94" w:rsidRPr="00C20C94" w:rsidRDefault="00C20C94" w:rsidP="0048687C">
            <w:pPr>
              <w:pStyle w:val="NoSpacing"/>
              <w:jc w:val="center"/>
            </w:pPr>
            <w:r w:rsidRPr="00C20C94">
              <w:t>–.224</w:t>
            </w:r>
            <w:r w:rsidRPr="00C20C94">
              <w:rPr>
                <w:vertAlign w:val="superscript"/>
              </w:rPr>
              <w:t>**</w:t>
            </w:r>
          </w:p>
        </w:tc>
        <w:tc>
          <w:tcPr>
            <w:tcW w:w="0" w:type="auto"/>
            <w:hideMark/>
          </w:tcPr>
          <w:p w14:paraId="4CD2B5CB" w14:textId="77777777" w:rsidR="00C20C94" w:rsidRPr="00C20C94" w:rsidRDefault="00C20C94" w:rsidP="0048687C">
            <w:pPr>
              <w:pStyle w:val="NoSpacing"/>
              <w:jc w:val="center"/>
            </w:pPr>
            <w:r w:rsidRPr="00C20C94">
              <w:t>.099</w:t>
            </w:r>
            <w:r w:rsidRPr="00C20C94">
              <w:rPr>
                <w:vertAlign w:val="superscript"/>
              </w:rPr>
              <w:t>*</w:t>
            </w:r>
          </w:p>
        </w:tc>
        <w:tc>
          <w:tcPr>
            <w:tcW w:w="0" w:type="auto"/>
            <w:hideMark/>
          </w:tcPr>
          <w:p w14:paraId="4A94FABF" w14:textId="77777777" w:rsidR="00C20C94" w:rsidRPr="00C20C94" w:rsidRDefault="00C20C94" w:rsidP="0048687C">
            <w:pPr>
              <w:pStyle w:val="NoSpacing"/>
              <w:jc w:val="center"/>
            </w:pPr>
            <w:r w:rsidRPr="00C20C94">
              <w:t>.567</w:t>
            </w:r>
            <w:r w:rsidRPr="00C20C94">
              <w:rPr>
                <w:vertAlign w:val="superscript"/>
              </w:rPr>
              <w:t>**</w:t>
            </w:r>
          </w:p>
        </w:tc>
        <w:tc>
          <w:tcPr>
            <w:tcW w:w="0" w:type="auto"/>
            <w:hideMark/>
          </w:tcPr>
          <w:p w14:paraId="50644E99" w14:textId="77777777" w:rsidR="00C20C94" w:rsidRPr="00C20C94" w:rsidRDefault="00C20C94" w:rsidP="0048687C">
            <w:pPr>
              <w:pStyle w:val="NoSpacing"/>
              <w:jc w:val="center"/>
            </w:pPr>
            <w:r w:rsidRPr="00C20C94">
              <w:t>–.489</w:t>
            </w:r>
            <w:r w:rsidRPr="00C20C94">
              <w:rPr>
                <w:vertAlign w:val="superscript"/>
              </w:rPr>
              <w:t>**</w:t>
            </w:r>
          </w:p>
        </w:tc>
        <w:tc>
          <w:tcPr>
            <w:tcW w:w="0" w:type="auto"/>
            <w:hideMark/>
          </w:tcPr>
          <w:p w14:paraId="33281BEC" w14:textId="77777777" w:rsidR="00C20C94" w:rsidRPr="00C20C94" w:rsidRDefault="00C20C94" w:rsidP="0048687C">
            <w:pPr>
              <w:pStyle w:val="NoSpacing"/>
              <w:jc w:val="center"/>
            </w:pPr>
            <w:r w:rsidRPr="00C20C94">
              <w:t>1</w:t>
            </w:r>
          </w:p>
        </w:tc>
        <w:tc>
          <w:tcPr>
            <w:tcW w:w="0" w:type="auto"/>
            <w:hideMark/>
          </w:tcPr>
          <w:p w14:paraId="24C40C7F" w14:textId="77777777" w:rsidR="00C20C94" w:rsidRPr="00C20C94" w:rsidRDefault="00C20C94" w:rsidP="0048687C">
            <w:pPr>
              <w:pStyle w:val="NoSpacing"/>
              <w:jc w:val="center"/>
            </w:pPr>
          </w:p>
        </w:tc>
        <w:tc>
          <w:tcPr>
            <w:tcW w:w="0" w:type="auto"/>
            <w:hideMark/>
          </w:tcPr>
          <w:p w14:paraId="10201CDC" w14:textId="77777777" w:rsidR="00C20C94" w:rsidRPr="00C20C94" w:rsidRDefault="00C20C94" w:rsidP="0048687C">
            <w:pPr>
              <w:pStyle w:val="NoSpacing"/>
              <w:jc w:val="center"/>
            </w:pPr>
          </w:p>
        </w:tc>
        <w:tc>
          <w:tcPr>
            <w:tcW w:w="0" w:type="auto"/>
            <w:hideMark/>
          </w:tcPr>
          <w:p w14:paraId="3AFFEAA8" w14:textId="77777777" w:rsidR="00C20C94" w:rsidRPr="00C20C94" w:rsidRDefault="00C20C94" w:rsidP="0048687C">
            <w:pPr>
              <w:pStyle w:val="NoSpacing"/>
              <w:jc w:val="center"/>
            </w:pPr>
          </w:p>
        </w:tc>
        <w:tc>
          <w:tcPr>
            <w:tcW w:w="0" w:type="auto"/>
            <w:hideMark/>
          </w:tcPr>
          <w:p w14:paraId="06D9F47E" w14:textId="77777777" w:rsidR="00C20C94" w:rsidRPr="00C20C94" w:rsidRDefault="00C20C94" w:rsidP="0048687C">
            <w:pPr>
              <w:pStyle w:val="NoSpacing"/>
              <w:jc w:val="center"/>
            </w:pPr>
          </w:p>
        </w:tc>
        <w:tc>
          <w:tcPr>
            <w:tcW w:w="0" w:type="auto"/>
            <w:hideMark/>
          </w:tcPr>
          <w:p w14:paraId="728547DC" w14:textId="77777777" w:rsidR="00C20C94" w:rsidRPr="00C20C94" w:rsidRDefault="00C20C94" w:rsidP="0048687C">
            <w:pPr>
              <w:pStyle w:val="NoSpacing"/>
              <w:jc w:val="center"/>
            </w:pPr>
          </w:p>
        </w:tc>
        <w:tc>
          <w:tcPr>
            <w:tcW w:w="0" w:type="auto"/>
            <w:hideMark/>
          </w:tcPr>
          <w:p w14:paraId="7E22A4B3" w14:textId="77777777" w:rsidR="00C20C94" w:rsidRPr="00C20C94" w:rsidRDefault="00C20C94" w:rsidP="0048687C">
            <w:pPr>
              <w:pStyle w:val="NoSpacing"/>
              <w:jc w:val="center"/>
            </w:pPr>
          </w:p>
        </w:tc>
        <w:tc>
          <w:tcPr>
            <w:tcW w:w="0" w:type="auto"/>
            <w:hideMark/>
          </w:tcPr>
          <w:p w14:paraId="121568E2" w14:textId="77777777" w:rsidR="00C20C94" w:rsidRPr="00C20C94" w:rsidRDefault="00C20C94" w:rsidP="00B552A7">
            <w:pPr>
              <w:pStyle w:val="NoSpacing"/>
            </w:pPr>
          </w:p>
        </w:tc>
      </w:tr>
      <w:tr w:rsidR="00C20C94" w:rsidRPr="00C20C94" w14:paraId="15A31CEF" w14:textId="77777777" w:rsidTr="00B552A7">
        <w:tc>
          <w:tcPr>
            <w:tcW w:w="0" w:type="auto"/>
            <w:hideMark/>
          </w:tcPr>
          <w:p w14:paraId="7BEE22A9" w14:textId="77777777" w:rsidR="00C20C94" w:rsidRPr="00C20C94" w:rsidRDefault="00C20C94" w:rsidP="00B552A7">
            <w:pPr>
              <w:pStyle w:val="NoSpacing"/>
            </w:pPr>
            <w:r w:rsidRPr="00C20C94">
              <w:t>7. Proportion Asian</w:t>
            </w:r>
          </w:p>
        </w:tc>
        <w:tc>
          <w:tcPr>
            <w:tcW w:w="0" w:type="auto"/>
            <w:hideMark/>
          </w:tcPr>
          <w:p w14:paraId="79B4A61A" w14:textId="77777777" w:rsidR="00C20C94" w:rsidRPr="00C20C94" w:rsidRDefault="00C20C94" w:rsidP="0048687C">
            <w:pPr>
              <w:pStyle w:val="NoSpacing"/>
              <w:jc w:val="center"/>
            </w:pPr>
            <w:r w:rsidRPr="00C20C94">
              <w:t>.017</w:t>
            </w:r>
          </w:p>
        </w:tc>
        <w:tc>
          <w:tcPr>
            <w:tcW w:w="0" w:type="auto"/>
            <w:hideMark/>
          </w:tcPr>
          <w:p w14:paraId="22552543" w14:textId="77777777" w:rsidR="00C20C94" w:rsidRPr="00C20C94" w:rsidRDefault="00C20C94" w:rsidP="0048687C">
            <w:pPr>
              <w:pStyle w:val="NoSpacing"/>
              <w:jc w:val="center"/>
            </w:pPr>
            <w:r w:rsidRPr="00C20C94">
              <w:t>.008</w:t>
            </w:r>
          </w:p>
        </w:tc>
        <w:tc>
          <w:tcPr>
            <w:tcW w:w="0" w:type="auto"/>
            <w:hideMark/>
          </w:tcPr>
          <w:p w14:paraId="378351E2" w14:textId="77777777" w:rsidR="00C20C94" w:rsidRPr="00C20C94" w:rsidRDefault="00C20C94" w:rsidP="0048687C">
            <w:pPr>
              <w:pStyle w:val="NoSpacing"/>
              <w:jc w:val="center"/>
            </w:pPr>
            <w:r w:rsidRPr="00C20C94">
              <w:t>.054</w:t>
            </w:r>
          </w:p>
        </w:tc>
        <w:tc>
          <w:tcPr>
            <w:tcW w:w="0" w:type="auto"/>
            <w:hideMark/>
          </w:tcPr>
          <w:p w14:paraId="43E91D13" w14:textId="77777777" w:rsidR="00C20C94" w:rsidRPr="00C20C94" w:rsidRDefault="00C20C94" w:rsidP="0048687C">
            <w:pPr>
              <w:pStyle w:val="NoSpacing"/>
              <w:jc w:val="center"/>
            </w:pPr>
            <w:r w:rsidRPr="00C20C94">
              <w:t>.065</w:t>
            </w:r>
          </w:p>
        </w:tc>
        <w:tc>
          <w:tcPr>
            <w:tcW w:w="0" w:type="auto"/>
            <w:hideMark/>
          </w:tcPr>
          <w:p w14:paraId="610D30CD" w14:textId="77777777" w:rsidR="00C20C94" w:rsidRPr="00C20C94" w:rsidRDefault="00C20C94" w:rsidP="0048687C">
            <w:pPr>
              <w:pStyle w:val="NoSpacing"/>
              <w:jc w:val="center"/>
            </w:pPr>
            <w:r w:rsidRPr="00C20C94">
              <w:t>–.092</w:t>
            </w:r>
            <w:r w:rsidRPr="00C20C94">
              <w:rPr>
                <w:vertAlign w:val="superscript"/>
              </w:rPr>
              <w:t>*</w:t>
            </w:r>
          </w:p>
        </w:tc>
        <w:tc>
          <w:tcPr>
            <w:tcW w:w="0" w:type="auto"/>
            <w:hideMark/>
          </w:tcPr>
          <w:p w14:paraId="52160C93" w14:textId="77777777" w:rsidR="00C20C94" w:rsidRPr="00C20C94" w:rsidRDefault="00C20C94" w:rsidP="0048687C">
            <w:pPr>
              <w:pStyle w:val="NoSpacing"/>
              <w:jc w:val="center"/>
            </w:pPr>
            <w:r w:rsidRPr="00C20C94">
              <w:t>–.034</w:t>
            </w:r>
          </w:p>
        </w:tc>
        <w:tc>
          <w:tcPr>
            <w:tcW w:w="0" w:type="auto"/>
            <w:hideMark/>
          </w:tcPr>
          <w:p w14:paraId="32ED5705" w14:textId="77777777" w:rsidR="00C20C94" w:rsidRPr="00C20C94" w:rsidRDefault="00C20C94" w:rsidP="0048687C">
            <w:pPr>
              <w:pStyle w:val="NoSpacing"/>
              <w:jc w:val="center"/>
            </w:pPr>
            <w:r w:rsidRPr="00C20C94">
              <w:t>1</w:t>
            </w:r>
          </w:p>
        </w:tc>
        <w:tc>
          <w:tcPr>
            <w:tcW w:w="0" w:type="auto"/>
            <w:hideMark/>
          </w:tcPr>
          <w:p w14:paraId="563018B5" w14:textId="77777777" w:rsidR="00C20C94" w:rsidRPr="00C20C94" w:rsidRDefault="00C20C94" w:rsidP="0048687C">
            <w:pPr>
              <w:pStyle w:val="NoSpacing"/>
              <w:jc w:val="center"/>
            </w:pPr>
          </w:p>
        </w:tc>
        <w:tc>
          <w:tcPr>
            <w:tcW w:w="0" w:type="auto"/>
            <w:hideMark/>
          </w:tcPr>
          <w:p w14:paraId="0E30B2F2" w14:textId="77777777" w:rsidR="00C20C94" w:rsidRPr="00C20C94" w:rsidRDefault="00C20C94" w:rsidP="0048687C">
            <w:pPr>
              <w:pStyle w:val="NoSpacing"/>
              <w:jc w:val="center"/>
            </w:pPr>
          </w:p>
        </w:tc>
        <w:tc>
          <w:tcPr>
            <w:tcW w:w="0" w:type="auto"/>
            <w:hideMark/>
          </w:tcPr>
          <w:p w14:paraId="7D4DA38F" w14:textId="77777777" w:rsidR="00C20C94" w:rsidRPr="00C20C94" w:rsidRDefault="00C20C94" w:rsidP="0048687C">
            <w:pPr>
              <w:pStyle w:val="NoSpacing"/>
              <w:jc w:val="center"/>
            </w:pPr>
          </w:p>
        </w:tc>
        <w:tc>
          <w:tcPr>
            <w:tcW w:w="0" w:type="auto"/>
            <w:hideMark/>
          </w:tcPr>
          <w:p w14:paraId="2688A740" w14:textId="77777777" w:rsidR="00C20C94" w:rsidRPr="00C20C94" w:rsidRDefault="00C20C94" w:rsidP="0048687C">
            <w:pPr>
              <w:pStyle w:val="NoSpacing"/>
              <w:jc w:val="center"/>
            </w:pPr>
          </w:p>
        </w:tc>
        <w:tc>
          <w:tcPr>
            <w:tcW w:w="0" w:type="auto"/>
            <w:hideMark/>
          </w:tcPr>
          <w:p w14:paraId="6385174B" w14:textId="77777777" w:rsidR="00C20C94" w:rsidRPr="00C20C94" w:rsidRDefault="00C20C94" w:rsidP="0048687C">
            <w:pPr>
              <w:pStyle w:val="NoSpacing"/>
              <w:jc w:val="center"/>
            </w:pPr>
          </w:p>
        </w:tc>
        <w:tc>
          <w:tcPr>
            <w:tcW w:w="0" w:type="auto"/>
            <w:hideMark/>
          </w:tcPr>
          <w:p w14:paraId="03DB784F" w14:textId="77777777" w:rsidR="00C20C94" w:rsidRPr="00C20C94" w:rsidRDefault="00C20C94" w:rsidP="00B552A7">
            <w:pPr>
              <w:pStyle w:val="NoSpacing"/>
            </w:pPr>
          </w:p>
        </w:tc>
      </w:tr>
      <w:tr w:rsidR="00C20C94" w:rsidRPr="00C20C94" w14:paraId="1B1C482C" w14:textId="77777777" w:rsidTr="00B552A7">
        <w:tc>
          <w:tcPr>
            <w:tcW w:w="0" w:type="auto"/>
            <w:hideMark/>
          </w:tcPr>
          <w:p w14:paraId="2D99B313" w14:textId="77777777" w:rsidR="00C20C94" w:rsidRPr="00C20C94" w:rsidRDefault="00C20C94" w:rsidP="00B552A7">
            <w:pPr>
              <w:pStyle w:val="NoSpacing"/>
            </w:pPr>
            <w:r w:rsidRPr="00C20C94">
              <w:t>8. Proportion Young</w:t>
            </w:r>
          </w:p>
        </w:tc>
        <w:tc>
          <w:tcPr>
            <w:tcW w:w="0" w:type="auto"/>
            <w:hideMark/>
          </w:tcPr>
          <w:p w14:paraId="7C77A6DB" w14:textId="77777777" w:rsidR="00C20C94" w:rsidRPr="00C20C94" w:rsidRDefault="00C20C94" w:rsidP="0048687C">
            <w:pPr>
              <w:pStyle w:val="NoSpacing"/>
              <w:jc w:val="center"/>
            </w:pPr>
            <w:r w:rsidRPr="00C20C94">
              <w:t>.181</w:t>
            </w:r>
            <w:r w:rsidRPr="00C20C94">
              <w:rPr>
                <w:vertAlign w:val="superscript"/>
              </w:rPr>
              <w:t>**</w:t>
            </w:r>
          </w:p>
        </w:tc>
        <w:tc>
          <w:tcPr>
            <w:tcW w:w="0" w:type="auto"/>
            <w:hideMark/>
          </w:tcPr>
          <w:p w14:paraId="1549204A" w14:textId="77777777" w:rsidR="00C20C94" w:rsidRPr="00C20C94" w:rsidRDefault="00C20C94" w:rsidP="0048687C">
            <w:pPr>
              <w:pStyle w:val="NoSpacing"/>
              <w:jc w:val="center"/>
            </w:pPr>
            <w:r w:rsidRPr="00C20C94">
              <w:t>.175</w:t>
            </w:r>
            <w:r w:rsidRPr="00C20C94">
              <w:rPr>
                <w:vertAlign w:val="superscript"/>
              </w:rPr>
              <w:t>**</w:t>
            </w:r>
          </w:p>
        </w:tc>
        <w:tc>
          <w:tcPr>
            <w:tcW w:w="0" w:type="auto"/>
            <w:hideMark/>
          </w:tcPr>
          <w:p w14:paraId="31686CC2" w14:textId="77777777" w:rsidR="00C20C94" w:rsidRPr="00C20C94" w:rsidRDefault="00C20C94" w:rsidP="0048687C">
            <w:pPr>
              <w:pStyle w:val="NoSpacing"/>
              <w:jc w:val="center"/>
            </w:pPr>
            <w:r w:rsidRPr="00C20C94">
              <w:t>.085</w:t>
            </w:r>
            <w:r w:rsidRPr="00C20C94">
              <w:rPr>
                <w:vertAlign w:val="superscript"/>
              </w:rPr>
              <w:t>*</w:t>
            </w:r>
          </w:p>
        </w:tc>
        <w:tc>
          <w:tcPr>
            <w:tcW w:w="0" w:type="auto"/>
            <w:hideMark/>
          </w:tcPr>
          <w:p w14:paraId="0E2118F5" w14:textId="77777777" w:rsidR="00C20C94" w:rsidRPr="00C20C94" w:rsidRDefault="00C20C94" w:rsidP="0048687C">
            <w:pPr>
              <w:pStyle w:val="NoSpacing"/>
              <w:jc w:val="center"/>
            </w:pPr>
            <w:r w:rsidRPr="00C20C94">
              <w:t>.163</w:t>
            </w:r>
            <w:r w:rsidRPr="00C20C94">
              <w:rPr>
                <w:vertAlign w:val="superscript"/>
              </w:rPr>
              <w:t>**</w:t>
            </w:r>
          </w:p>
        </w:tc>
        <w:tc>
          <w:tcPr>
            <w:tcW w:w="0" w:type="auto"/>
            <w:hideMark/>
          </w:tcPr>
          <w:p w14:paraId="26C7379C" w14:textId="77777777" w:rsidR="00C20C94" w:rsidRPr="00C20C94" w:rsidRDefault="00C20C94" w:rsidP="0048687C">
            <w:pPr>
              <w:pStyle w:val="NoSpacing"/>
              <w:jc w:val="center"/>
            </w:pPr>
            <w:r w:rsidRPr="00C20C94">
              <w:t>–.008</w:t>
            </w:r>
          </w:p>
        </w:tc>
        <w:tc>
          <w:tcPr>
            <w:tcW w:w="0" w:type="auto"/>
            <w:hideMark/>
          </w:tcPr>
          <w:p w14:paraId="43AD35E3" w14:textId="77777777" w:rsidR="00C20C94" w:rsidRPr="00C20C94" w:rsidRDefault="00C20C94" w:rsidP="0048687C">
            <w:pPr>
              <w:pStyle w:val="NoSpacing"/>
              <w:jc w:val="center"/>
            </w:pPr>
            <w:r w:rsidRPr="00C20C94">
              <w:t>–.109</w:t>
            </w:r>
            <w:r w:rsidRPr="00C20C94">
              <w:rPr>
                <w:vertAlign w:val="superscript"/>
              </w:rPr>
              <w:t>**</w:t>
            </w:r>
          </w:p>
        </w:tc>
        <w:tc>
          <w:tcPr>
            <w:tcW w:w="0" w:type="auto"/>
            <w:hideMark/>
          </w:tcPr>
          <w:p w14:paraId="66F9139D" w14:textId="77777777" w:rsidR="00C20C94" w:rsidRPr="00C20C94" w:rsidRDefault="00C20C94" w:rsidP="0048687C">
            <w:pPr>
              <w:pStyle w:val="NoSpacing"/>
              <w:jc w:val="center"/>
            </w:pPr>
            <w:r w:rsidRPr="00C20C94">
              <w:t>.100</w:t>
            </w:r>
            <w:r w:rsidRPr="00C20C94">
              <w:rPr>
                <w:vertAlign w:val="superscript"/>
              </w:rPr>
              <w:t>*</w:t>
            </w:r>
          </w:p>
        </w:tc>
        <w:tc>
          <w:tcPr>
            <w:tcW w:w="0" w:type="auto"/>
            <w:hideMark/>
          </w:tcPr>
          <w:p w14:paraId="7C72592E" w14:textId="77777777" w:rsidR="00C20C94" w:rsidRPr="00C20C94" w:rsidRDefault="00C20C94" w:rsidP="0048687C">
            <w:pPr>
              <w:pStyle w:val="NoSpacing"/>
              <w:jc w:val="center"/>
            </w:pPr>
            <w:r w:rsidRPr="00C20C94">
              <w:t>1</w:t>
            </w:r>
          </w:p>
        </w:tc>
        <w:tc>
          <w:tcPr>
            <w:tcW w:w="0" w:type="auto"/>
            <w:hideMark/>
          </w:tcPr>
          <w:p w14:paraId="49D4302C" w14:textId="77777777" w:rsidR="00C20C94" w:rsidRPr="00C20C94" w:rsidRDefault="00C20C94" w:rsidP="0048687C">
            <w:pPr>
              <w:pStyle w:val="NoSpacing"/>
              <w:jc w:val="center"/>
            </w:pPr>
          </w:p>
        </w:tc>
        <w:tc>
          <w:tcPr>
            <w:tcW w:w="0" w:type="auto"/>
            <w:hideMark/>
          </w:tcPr>
          <w:p w14:paraId="6C48E891" w14:textId="77777777" w:rsidR="00C20C94" w:rsidRPr="00C20C94" w:rsidRDefault="00C20C94" w:rsidP="0048687C">
            <w:pPr>
              <w:pStyle w:val="NoSpacing"/>
              <w:jc w:val="center"/>
            </w:pPr>
          </w:p>
        </w:tc>
        <w:tc>
          <w:tcPr>
            <w:tcW w:w="0" w:type="auto"/>
            <w:hideMark/>
          </w:tcPr>
          <w:p w14:paraId="440EE1AF" w14:textId="77777777" w:rsidR="00C20C94" w:rsidRPr="00C20C94" w:rsidRDefault="00C20C94" w:rsidP="0048687C">
            <w:pPr>
              <w:pStyle w:val="NoSpacing"/>
              <w:jc w:val="center"/>
            </w:pPr>
          </w:p>
        </w:tc>
        <w:tc>
          <w:tcPr>
            <w:tcW w:w="0" w:type="auto"/>
            <w:hideMark/>
          </w:tcPr>
          <w:p w14:paraId="09F4DCB5" w14:textId="77777777" w:rsidR="00C20C94" w:rsidRPr="00C20C94" w:rsidRDefault="00C20C94" w:rsidP="0048687C">
            <w:pPr>
              <w:pStyle w:val="NoSpacing"/>
              <w:jc w:val="center"/>
            </w:pPr>
          </w:p>
        </w:tc>
        <w:tc>
          <w:tcPr>
            <w:tcW w:w="0" w:type="auto"/>
            <w:hideMark/>
          </w:tcPr>
          <w:p w14:paraId="11C3AEF9" w14:textId="77777777" w:rsidR="00C20C94" w:rsidRPr="00C20C94" w:rsidRDefault="00C20C94" w:rsidP="00B552A7">
            <w:pPr>
              <w:pStyle w:val="NoSpacing"/>
            </w:pPr>
          </w:p>
        </w:tc>
      </w:tr>
      <w:tr w:rsidR="00C20C94" w:rsidRPr="00C20C94" w14:paraId="5B14D8D3" w14:textId="77777777" w:rsidTr="00B552A7">
        <w:tc>
          <w:tcPr>
            <w:tcW w:w="0" w:type="auto"/>
            <w:hideMark/>
          </w:tcPr>
          <w:p w14:paraId="27097EED" w14:textId="77777777" w:rsidR="00C20C94" w:rsidRPr="00C20C94" w:rsidRDefault="00C20C94" w:rsidP="00B552A7">
            <w:pPr>
              <w:pStyle w:val="NoSpacing"/>
            </w:pPr>
            <w:r w:rsidRPr="00C20C94">
              <w:t>9. # Persons (ln)</w:t>
            </w:r>
          </w:p>
        </w:tc>
        <w:tc>
          <w:tcPr>
            <w:tcW w:w="0" w:type="auto"/>
            <w:hideMark/>
          </w:tcPr>
          <w:p w14:paraId="325713C1" w14:textId="77777777" w:rsidR="00C20C94" w:rsidRPr="00C20C94" w:rsidRDefault="00C20C94" w:rsidP="0048687C">
            <w:pPr>
              <w:pStyle w:val="NoSpacing"/>
              <w:jc w:val="center"/>
            </w:pPr>
            <w:r w:rsidRPr="00C20C94">
              <w:t>.217</w:t>
            </w:r>
            <w:r w:rsidRPr="00C20C94">
              <w:rPr>
                <w:vertAlign w:val="superscript"/>
              </w:rPr>
              <w:t>**</w:t>
            </w:r>
          </w:p>
        </w:tc>
        <w:tc>
          <w:tcPr>
            <w:tcW w:w="0" w:type="auto"/>
            <w:hideMark/>
          </w:tcPr>
          <w:p w14:paraId="519D9BCB" w14:textId="77777777" w:rsidR="00C20C94" w:rsidRPr="00C20C94" w:rsidRDefault="00C20C94" w:rsidP="0048687C">
            <w:pPr>
              <w:pStyle w:val="NoSpacing"/>
              <w:jc w:val="center"/>
            </w:pPr>
            <w:r w:rsidRPr="00C20C94">
              <w:t>.215</w:t>
            </w:r>
            <w:r w:rsidRPr="00C20C94">
              <w:rPr>
                <w:vertAlign w:val="superscript"/>
              </w:rPr>
              <w:t>**</w:t>
            </w:r>
          </w:p>
        </w:tc>
        <w:tc>
          <w:tcPr>
            <w:tcW w:w="0" w:type="auto"/>
            <w:hideMark/>
          </w:tcPr>
          <w:p w14:paraId="266E9BEE" w14:textId="77777777" w:rsidR="00C20C94" w:rsidRPr="00C20C94" w:rsidRDefault="00C20C94" w:rsidP="0048687C">
            <w:pPr>
              <w:pStyle w:val="NoSpacing"/>
              <w:jc w:val="center"/>
            </w:pPr>
            <w:r w:rsidRPr="00C20C94">
              <w:t>.074</w:t>
            </w:r>
          </w:p>
        </w:tc>
        <w:tc>
          <w:tcPr>
            <w:tcW w:w="0" w:type="auto"/>
            <w:hideMark/>
          </w:tcPr>
          <w:p w14:paraId="7C60C37D" w14:textId="77777777" w:rsidR="00C20C94" w:rsidRPr="00C20C94" w:rsidRDefault="00C20C94" w:rsidP="0048687C">
            <w:pPr>
              <w:pStyle w:val="NoSpacing"/>
              <w:jc w:val="center"/>
            </w:pPr>
            <w:r w:rsidRPr="00C20C94">
              <w:t>.032</w:t>
            </w:r>
          </w:p>
        </w:tc>
        <w:tc>
          <w:tcPr>
            <w:tcW w:w="0" w:type="auto"/>
            <w:hideMark/>
          </w:tcPr>
          <w:p w14:paraId="27387DEF" w14:textId="77777777" w:rsidR="00C20C94" w:rsidRPr="00C20C94" w:rsidRDefault="00C20C94" w:rsidP="0048687C">
            <w:pPr>
              <w:pStyle w:val="NoSpacing"/>
              <w:jc w:val="center"/>
            </w:pPr>
            <w:r w:rsidRPr="00C20C94">
              <w:t>.192</w:t>
            </w:r>
            <w:r w:rsidRPr="00C20C94">
              <w:rPr>
                <w:vertAlign w:val="superscript"/>
              </w:rPr>
              <w:t>**</w:t>
            </w:r>
          </w:p>
        </w:tc>
        <w:tc>
          <w:tcPr>
            <w:tcW w:w="0" w:type="auto"/>
            <w:hideMark/>
          </w:tcPr>
          <w:p w14:paraId="3D44067A" w14:textId="77777777" w:rsidR="00C20C94" w:rsidRPr="00C20C94" w:rsidRDefault="00C20C94" w:rsidP="0048687C">
            <w:pPr>
              <w:pStyle w:val="NoSpacing"/>
              <w:jc w:val="center"/>
            </w:pPr>
            <w:r w:rsidRPr="00C20C94">
              <w:t>–.203</w:t>
            </w:r>
            <w:r w:rsidRPr="00C20C94">
              <w:rPr>
                <w:vertAlign w:val="superscript"/>
              </w:rPr>
              <w:t>**</w:t>
            </w:r>
          </w:p>
        </w:tc>
        <w:tc>
          <w:tcPr>
            <w:tcW w:w="0" w:type="auto"/>
            <w:hideMark/>
          </w:tcPr>
          <w:p w14:paraId="75B94930" w14:textId="77777777" w:rsidR="00C20C94" w:rsidRPr="00C20C94" w:rsidRDefault="00C20C94" w:rsidP="0048687C">
            <w:pPr>
              <w:pStyle w:val="NoSpacing"/>
              <w:jc w:val="center"/>
            </w:pPr>
            <w:r w:rsidRPr="00C20C94">
              <w:t>.122</w:t>
            </w:r>
            <w:r w:rsidRPr="00C20C94">
              <w:rPr>
                <w:vertAlign w:val="superscript"/>
              </w:rPr>
              <w:t>**</w:t>
            </w:r>
          </w:p>
        </w:tc>
        <w:tc>
          <w:tcPr>
            <w:tcW w:w="0" w:type="auto"/>
            <w:hideMark/>
          </w:tcPr>
          <w:p w14:paraId="6039B298" w14:textId="77777777" w:rsidR="00C20C94" w:rsidRPr="00C20C94" w:rsidRDefault="00C20C94" w:rsidP="0048687C">
            <w:pPr>
              <w:pStyle w:val="NoSpacing"/>
              <w:jc w:val="center"/>
            </w:pPr>
            <w:r w:rsidRPr="00C20C94">
              <w:t>.495</w:t>
            </w:r>
            <w:r w:rsidRPr="00C20C94">
              <w:rPr>
                <w:vertAlign w:val="superscript"/>
              </w:rPr>
              <w:t>**</w:t>
            </w:r>
          </w:p>
        </w:tc>
        <w:tc>
          <w:tcPr>
            <w:tcW w:w="0" w:type="auto"/>
            <w:hideMark/>
          </w:tcPr>
          <w:p w14:paraId="20854A50" w14:textId="77777777" w:rsidR="00C20C94" w:rsidRPr="00C20C94" w:rsidRDefault="00C20C94" w:rsidP="0048687C">
            <w:pPr>
              <w:pStyle w:val="NoSpacing"/>
              <w:jc w:val="center"/>
            </w:pPr>
            <w:r w:rsidRPr="00C20C94">
              <w:t>1</w:t>
            </w:r>
          </w:p>
        </w:tc>
        <w:tc>
          <w:tcPr>
            <w:tcW w:w="0" w:type="auto"/>
            <w:hideMark/>
          </w:tcPr>
          <w:p w14:paraId="3480916A" w14:textId="77777777" w:rsidR="00C20C94" w:rsidRPr="00C20C94" w:rsidRDefault="00C20C94" w:rsidP="0048687C">
            <w:pPr>
              <w:pStyle w:val="NoSpacing"/>
              <w:jc w:val="center"/>
            </w:pPr>
          </w:p>
        </w:tc>
        <w:tc>
          <w:tcPr>
            <w:tcW w:w="0" w:type="auto"/>
            <w:hideMark/>
          </w:tcPr>
          <w:p w14:paraId="43576BBF" w14:textId="77777777" w:rsidR="00C20C94" w:rsidRPr="00C20C94" w:rsidRDefault="00C20C94" w:rsidP="0048687C">
            <w:pPr>
              <w:pStyle w:val="NoSpacing"/>
              <w:jc w:val="center"/>
            </w:pPr>
          </w:p>
        </w:tc>
        <w:tc>
          <w:tcPr>
            <w:tcW w:w="0" w:type="auto"/>
            <w:hideMark/>
          </w:tcPr>
          <w:p w14:paraId="0BCD48DE" w14:textId="77777777" w:rsidR="00C20C94" w:rsidRPr="00C20C94" w:rsidRDefault="00C20C94" w:rsidP="0048687C">
            <w:pPr>
              <w:pStyle w:val="NoSpacing"/>
              <w:jc w:val="center"/>
            </w:pPr>
          </w:p>
        </w:tc>
        <w:tc>
          <w:tcPr>
            <w:tcW w:w="0" w:type="auto"/>
            <w:hideMark/>
          </w:tcPr>
          <w:p w14:paraId="5D713541" w14:textId="77777777" w:rsidR="00C20C94" w:rsidRPr="00C20C94" w:rsidRDefault="00C20C94" w:rsidP="00B552A7">
            <w:pPr>
              <w:pStyle w:val="NoSpacing"/>
            </w:pPr>
          </w:p>
        </w:tc>
      </w:tr>
      <w:tr w:rsidR="00C20C94" w:rsidRPr="00C20C94" w14:paraId="6E2F045A" w14:textId="77777777" w:rsidTr="00B552A7">
        <w:tc>
          <w:tcPr>
            <w:tcW w:w="0" w:type="auto"/>
            <w:hideMark/>
          </w:tcPr>
          <w:p w14:paraId="49CF0B2A" w14:textId="77777777" w:rsidR="00C20C94" w:rsidRPr="00C20C94" w:rsidRDefault="00C20C94" w:rsidP="00B552A7">
            <w:pPr>
              <w:pStyle w:val="NoSpacing"/>
            </w:pPr>
            <w:r w:rsidRPr="00C20C94">
              <w:t>10. Area size (sq. miles)</w:t>
            </w:r>
          </w:p>
        </w:tc>
        <w:tc>
          <w:tcPr>
            <w:tcW w:w="0" w:type="auto"/>
            <w:hideMark/>
          </w:tcPr>
          <w:p w14:paraId="26EC3568" w14:textId="77777777" w:rsidR="00C20C94" w:rsidRPr="00C20C94" w:rsidRDefault="00C20C94" w:rsidP="0048687C">
            <w:pPr>
              <w:pStyle w:val="NoSpacing"/>
              <w:jc w:val="center"/>
            </w:pPr>
            <w:r w:rsidRPr="00C20C94">
              <w:t>.163</w:t>
            </w:r>
            <w:r w:rsidRPr="00C20C94">
              <w:rPr>
                <w:vertAlign w:val="superscript"/>
              </w:rPr>
              <w:t>**</w:t>
            </w:r>
          </w:p>
        </w:tc>
        <w:tc>
          <w:tcPr>
            <w:tcW w:w="0" w:type="auto"/>
            <w:hideMark/>
          </w:tcPr>
          <w:p w14:paraId="4EC9A6E1" w14:textId="77777777" w:rsidR="00C20C94" w:rsidRPr="00C20C94" w:rsidRDefault="00C20C94" w:rsidP="0048687C">
            <w:pPr>
              <w:pStyle w:val="NoSpacing"/>
              <w:jc w:val="center"/>
            </w:pPr>
            <w:r w:rsidRPr="00C20C94">
              <w:t>.175</w:t>
            </w:r>
            <w:r w:rsidRPr="00C20C94">
              <w:rPr>
                <w:vertAlign w:val="superscript"/>
              </w:rPr>
              <w:t>**</w:t>
            </w:r>
          </w:p>
        </w:tc>
        <w:tc>
          <w:tcPr>
            <w:tcW w:w="0" w:type="auto"/>
            <w:hideMark/>
          </w:tcPr>
          <w:p w14:paraId="2913E63F" w14:textId="77777777" w:rsidR="00C20C94" w:rsidRPr="00C20C94" w:rsidRDefault="00C20C94" w:rsidP="0048687C">
            <w:pPr>
              <w:pStyle w:val="NoSpacing"/>
              <w:jc w:val="center"/>
            </w:pPr>
            <w:r w:rsidRPr="00C20C94">
              <w:t>–.019</w:t>
            </w:r>
          </w:p>
        </w:tc>
        <w:tc>
          <w:tcPr>
            <w:tcW w:w="0" w:type="auto"/>
            <w:hideMark/>
          </w:tcPr>
          <w:p w14:paraId="7B74D6ED" w14:textId="77777777" w:rsidR="00C20C94" w:rsidRPr="00C20C94" w:rsidRDefault="00C20C94" w:rsidP="0048687C">
            <w:pPr>
              <w:pStyle w:val="NoSpacing"/>
              <w:jc w:val="center"/>
            </w:pPr>
            <w:r w:rsidRPr="00C20C94">
              <w:t>–.113</w:t>
            </w:r>
            <w:r w:rsidRPr="00C20C94">
              <w:rPr>
                <w:vertAlign w:val="superscript"/>
              </w:rPr>
              <w:t>**</w:t>
            </w:r>
          </w:p>
        </w:tc>
        <w:tc>
          <w:tcPr>
            <w:tcW w:w="0" w:type="auto"/>
            <w:hideMark/>
          </w:tcPr>
          <w:p w14:paraId="4C662C58" w14:textId="77777777" w:rsidR="00C20C94" w:rsidRPr="00C20C94" w:rsidRDefault="00C20C94" w:rsidP="0048687C">
            <w:pPr>
              <w:pStyle w:val="NoSpacing"/>
              <w:jc w:val="center"/>
            </w:pPr>
            <w:r w:rsidRPr="00C20C94">
              <w:t>–.089</w:t>
            </w:r>
            <w:r w:rsidRPr="00C20C94">
              <w:rPr>
                <w:vertAlign w:val="superscript"/>
              </w:rPr>
              <w:t>*</w:t>
            </w:r>
          </w:p>
        </w:tc>
        <w:tc>
          <w:tcPr>
            <w:tcW w:w="0" w:type="auto"/>
            <w:hideMark/>
          </w:tcPr>
          <w:p w14:paraId="06C01BB1" w14:textId="77777777" w:rsidR="00C20C94" w:rsidRPr="00C20C94" w:rsidRDefault="00C20C94" w:rsidP="0048687C">
            <w:pPr>
              <w:pStyle w:val="NoSpacing"/>
              <w:jc w:val="center"/>
            </w:pPr>
            <w:r w:rsidRPr="00C20C94">
              <w:t>–.045</w:t>
            </w:r>
          </w:p>
        </w:tc>
        <w:tc>
          <w:tcPr>
            <w:tcW w:w="0" w:type="auto"/>
            <w:hideMark/>
          </w:tcPr>
          <w:p w14:paraId="12F3021C" w14:textId="77777777" w:rsidR="00C20C94" w:rsidRPr="00C20C94" w:rsidRDefault="00C20C94" w:rsidP="0048687C">
            <w:pPr>
              <w:pStyle w:val="NoSpacing"/>
              <w:jc w:val="center"/>
            </w:pPr>
            <w:r w:rsidRPr="00C20C94">
              <w:t>.049</w:t>
            </w:r>
          </w:p>
        </w:tc>
        <w:tc>
          <w:tcPr>
            <w:tcW w:w="0" w:type="auto"/>
            <w:hideMark/>
          </w:tcPr>
          <w:p w14:paraId="0FA4B77A" w14:textId="77777777" w:rsidR="00C20C94" w:rsidRPr="00C20C94" w:rsidRDefault="00C20C94" w:rsidP="0048687C">
            <w:pPr>
              <w:pStyle w:val="NoSpacing"/>
              <w:jc w:val="center"/>
            </w:pPr>
            <w:r w:rsidRPr="00C20C94">
              <w:t>.044</w:t>
            </w:r>
          </w:p>
        </w:tc>
        <w:tc>
          <w:tcPr>
            <w:tcW w:w="0" w:type="auto"/>
            <w:hideMark/>
          </w:tcPr>
          <w:p w14:paraId="3D1F8BDA" w14:textId="77777777" w:rsidR="00C20C94" w:rsidRPr="00C20C94" w:rsidRDefault="00C20C94" w:rsidP="0048687C">
            <w:pPr>
              <w:pStyle w:val="NoSpacing"/>
              <w:jc w:val="center"/>
            </w:pPr>
            <w:r w:rsidRPr="00C20C94">
              <w:t>.351</w:t>
            </w:r>
            <w:r w:rsidRPr="00C20C94">
              <w:rPr>
                <w:vertAlign w:val="superscript"/>
              </w:rPr>
              <w:t>**</w:t>
            </w:r>
          </w:p>
        </w:tc>
        <w:tc>
          <w:tcPr>
            <w:tcW w:w="0" w:type="auto"/>
            <w:hideMark/>
          </w:tcPr>
          <w:p w14:paraId="7E44FD70" w14:textId="77777777" w:rsidR="00C20C94" w:rsidRPr="00C20C94" w:rsidRDefault="00C20C94" w:rsidP="0048687C">
            <w:pPr>
              <w:pStyle w:val="NoSpacing"/>
              <w:jc w:val="center"/>
            </w:pPr>
            <w:r w:rsidRPr="00C20C94">
              <w:t>1</w:t>
            </w:r>
          </w:p>
        </w:tc>
        <w:tc>
          <w:tcPr>
            <w:tcW w:w="0" w:type="auto"/>
            <w:hideMark/>
          </w:tcPr>
          <w:p w14:paraId="37BBAA53" w14:textId="77777777" w:rsidR="00C20C94" w:rsidRPr="00C20C94" w:rsidRDefault="00C20C94" w:rsidP="0048687C">
            <w:pPr>
              <w:pStyle w:val="NoSpacing"/>
              <w:jc w:val="center"/>
            </w:pPr>
          </w:p>
        </w:tc>
        <w:tc>
          <w:tcPr>
            <w:tcW w:w="0" w:type="auto"/>
            <w:hideMark/>
          </w:tcPr>
          <w:p w14:paraId="3581F6B6" w14:textId="77777777" w:rsidR="00C20C94" w:rsidRPr="00C20C94" w:rsidRDefault="00C20C94" w:rsidP="0048687C">
            <w:pPr>
              <w:pStyle w:val="NoSpacing"/>
              <w:jc w:val="center"/>
            </w:pPr>
          </w:p>
        </w:tc>
        <w:tc>
          <w:tcPr>
            <w:tcW w:w="0" w:type="auto"/>
            <w:hideMark/>
          </w:tcPr>
          <w:p w14:paraId="55E285AC" w14:textId="77777777" w:rsidR="00C20C94" w:rsidRPr="00C20C94" w:rsidRDefault="00C20C94" w:rsidP="00B552A7">
            <w:pPr>
              <w:pStyle w:val="NoSpacing"/>
            </w:pPr>
          </w:p>
        </w:tc>
      </w:tr>
      <w:tr w:rsidR="00C20C94" w:rsidRPr="00C20C94" w14:paraId="451C843E" w14:textId="77777777" w:rsidTr="00B552A7">
        <w:tc>
          <w:tcPr>
            <w:tcW w:w="0" w:type="auto"/>
            <w:hideMark/>
          </w:tcPr>
          <w:p w14:paraId="1CC6EDFA" w14:textId="77777777" w:rsidR="00C20C94" w:rsidRPr="00C20C94" w:rsidRDefault="00C20C94" w:rsidP="00B552A7">
            <w:pPr>
              <w:pStyle w:val="NoSpacing"/>
            </w:pPr>
            <w:r w:rsidRPr="00C20C94">
              <w:t>11. Rho total outlets</w:t>
            </w:r>
          </w:p>
        </w:tc>
        <w:tc>
          <w:tcPr>
            <w:tcW w:w="0" w:type="auto"/>
            <w:hideMark/>
          </w:tcPr>
          <w:p w14:paraId="16A45E46" w14:textId="77777777" w:rsidR="00C20C94" w:rsidRPr="00C20C94" w:rsidRDefault="00C20C94" w:rsidP="0048687C">
            <w:pPr>
              <w:pStyle w:val="NoSpacing"/>
              <w:jc w:val="center"/>
            </w:pPr>
            <w:r w:rsidRPr="00C20C94">
              <w:t>.693</w:t>
            </w:r>
            <w:r w:rsidRPr="00C20C94">
              <w:rPr>
                <w:vertAlign w:val="superscript"/>
              </w:rPr>
              <w:t>**</w:t>
            </w:r>
          </w:p>
        </w:tc>
        <w:tc>
          <w:tcPr>
            <w:tcW w:w="0" w:type="auto"/>
            <w:hideMark/>
          </w:tcPr>
          <w:p w14:paraId="3AC15DB9" w14:textId="77777777" w:rsidR="00C20C94" w:rsidRPr="00C20C94" w:rsidRDefault="00C20C94" w:rsidP="0048687C">
            <w:pPr>
              <w:pStyle w:val="NoSpacing"/>
              <w:jc w:val="center"/>
            </w:pPr>
            <w:r w:rsidRPr="00C20C94">
              <w:t>.702</w:t>
            </w:r>
            <w:r w:rsidRPr="00C20C94">
              <w:rPr>
                <w:vertAlign w:val="superscript"/>
              </w:rPr>
              <w:t>**</w:t>
            </w:r>
          </w:p>
        </w:tc>
        <w:tc>
          <w:tcPr>
            <w:tcW w:w="0" w:type="auto"/>
            <w:hideMark/>
          </w:tcPr>
          <w:p w14:paraId="27356830" w14:textId="77777777" w:rsidR="00C20C94" w:rsidRPr="00C20C94" w:rsidRDefault="00C20C94" w:rsidP="0048687C">
            <w:pPr>
              <w:pStyle w:val="NoSpacing"/>
              <w:jc w:val="center"/>
            </w:pPr>
            <w:r w:rsidRPr="00C20C94">
              <w:t>.150</w:t>
            </w:r>
            <w:r w:rsidRPr="00C20C94">
              <w:rPr>
                <w:vertAlign w:val="superscript"/>
              </w:rPr>
              <w:t>**</w:t>
            </w:r>
          </w:p>
        </w:tc>
        <w:tc>
          <w:tcPr>
            <w:tcW w:w="0" w:type="auto"/>
            <w:hideMark/>
          </w:tcPr>
          <w:p w14:paraId="46EAB515" w14:textId="77777777" w:rsidR="00C20C94" w:rsidRPr="00C20C94" w:rsidRDefault="00C20C94" w:rsidP="0048687C">
            <w:pPr>
              <w:pStyle w:val="NoSpacing"/>
              <w:jc w:val="center"/>
            </w:pPr>
            <w:r w:rsidRPr="00C20C94">
              <w:t>.034</w:t>
            </w:r>
          </w:p>
        </w:tc>
        <w:tc>
          <w:tcPr>
            <w:tcW w:w="0" w:type="auto"/>
            <w:hideMark/>
          </w:tcPr>
          <w:p w14:paraId="3531B096" w14:textId="77777777" w:rsidR="00C20C94" w:rsidRPr="00C20C94" w:rsidRDefault="00C20C94" w:rsidP="0048687C">
            <w:pPr>
              <w:pStyle w:val="NoSpacing"/>
              <w:jc w:val="center"/>
            </w:pPr>
            <w:r w:rsidRPr="00C20C94">
              <w:t>.165</w:t>
            </w:r>
            <w:r w:rsidRPr="00C20C94">
              <w:rPr>
                <w:vertAlign w:val="superscript"/>
              </w:rPr>
              <w:t>**</w:t>
            </w:r>
          </w:p>
        </w:tc>
        <w:tc>
          <w:tcPr>
            <w:tcW w:w="0" w:type="auto"/>
            <w:hideMark/>
          </w:tcPr>
          <w:p w14:paraId="4E5028AF" w14:textId="77777777" w:rsidR="00C20C94" w:rsidRPr="00C20C94" w:rsidRDefault="00C20C94" w:rsidP="0048687C">
            <w:pPr>
              <w:pStyle w:val="NoSpacing"/>
              <w:jc w:val="center"/>
            </w:pPr>
            <w:r w:rsidRPr="00C20C94">
              <w:t>–.287</w:t>
            </w:r>
            <w:r w:rsidRPr="00C20C94">
              <w:rPr>
                <w:vertAlign w:val="superscript"/>
              </w:rPr>
              <w:t>**</w:t>
            </w:r>
          </w:p>
        </w:tc>
        <w:tc>
          <w:tcPr>
            <w:tcW w:w="0" w:type="auto"/>
            <w:hideMark/>
          </w:tcPr>
          <w:p w14:paraId="74359245" w14:textId="77777777" w:rsidR="00C20C94" w:rsidRPr="00C20C94" w:rsidRDefault="00C20C94" w:rsidP="0048687C">
            <w:pPr>
              <w:pStyle w:val="NoSpacing"/>
              <w:jc w:val="center"/>
            </w:pPr>
            <w:r w:rsidRPr="00C20C94">
              <w:t>–.017</w:t>
            </w:r>
          </w:p>
        </w:tc>
        <w:tc>
          <w:tcPr>
            <w:tcW w:w="0" w:type="auto"/>
            <w:hideMark/>
          </w:tcPr>
          <w:p w14:paraId="463952F5" w14:textId="77777777" w:rsidR="00C20C94" w:rsidRPr="00C20C94" w:rsidRDefault="00C20C94" w:rsidP="0048687C">
            <w:pPr>
              <w:pStyle w:val="NoSpacing"/>
              <w:jc w:val="center"/>
            </w:pPr>
            <w:r w:rsidRPr="00C20C94">
              <w:t>.170</w:t>
            </w:r>
            <w:r w:rsidRPr="00C20C94">
              <w:rPr>
                <w:vertAlign w:val="superscript"/>
              </w:rPr>
              <w:t>**</w:t>
            </w:r>
          </w:p>
        </w:tc>
        <w:tc>
          <w:tcPr>
            <w:tcW w:w="0" w:type="auto"/>
            <w:hideMark/>
          </w:tcPr>
          <w:p w14:paraId="20305E71" w14:textId="77777777" w:rsidR="00C20C94" w:rsidRPr="00C20C94" w:rsidRDefault="00C20C94" w:rsidP="0048687C">
            <w:pPr>
              <w:pStyle w:val="NoSpacing"/>
              <w:jc w:val="center"/>
            </w:pPr>
            <w:r w:rsidRPr="00C20C94">
              <w:t>.135</w:t>
            </w:r>
            <w:r w:rsidRPr="00C20C94">
              <w:rPr>
                <w:vertAlign w:val="superscript"/>
              </w:rPr>
              <w:t>**</w:t>
            </w:r>
          </w:p>
        </w:tc>
        <w:tc>
          <w:tcPr>
            <w:tcW w:w="0" w:type="auto"/>
            <w:hideMark/>
          </w:tcPr>
          <w:p w14:paraId="7AA3DBEE" w14:textId="77777777" w:rsidR="00C20C94" w:rsidRPr="00C20C94" w:rsidRDefault="00C20C94" w:rsidP="0048687C">
            <w:pPr>
              <w:pStyle w:val="NoSpacing"/>
              <w:jc w:val="center"/>
            </w:pPr>
            <w:r w:rsidRPr="00C20C94">
              <w:t>.076</w:t>
            </w:r>
          </w:p>
        </w:tc>
        <w:tc>
          <w:tcPr>
            <w:tcW w:w="0" w:type="auto"/>
            <w:hideMark/>
          </w:tcPr>
          <w:p w14:paraId="7B393337" w14:textId="77777777" w:rsidR="00C20C94" w:rsidRPr="00C20C94" w:rsidRDefault="00C20C94" w:rsidP="0048687C">
            <w:pPr>
              <w:pStyle w:val="NoSpacing"/>
              <w:jc w:val="center"/>
            </w:pPr>
            <w:r w:rsidRPr="00C20C94">
              <w:t>1</w:t>
            </w:r>
          </w:p>
        </w:tc>
        <w:tc>
          <w:tcPr>
            <w:tcW w:w="0" w:type="auto"/>
            <w:hideMark/>
          </w:tcPr>
          <w:p w14:paraId="5C6ECBA0" w14:textId="77777777" w:rsidR="00C20C94" w:rsidRPr="00C20C94" w:rsidRDefault="00C20C94" w:rsidP="0048687C">
            <w:pPr>
              <w:pStyle w:val="NoSpacing"/>
              <w:jc w:val="center"/>
            </w:pPr>
          </w:p>
        </w:tc>
        <w:tc>
          <w:tcPr>
            <w:tcW w:w="0" w:type="auto"/>
            <w:hideMark/>
          </w:tcPr>
          <w:p w14:paraId="2186A2B3" w14:textId="77777777" w:rsidR="00C20C94" w:rsidRPr="00C20C94" w:rsidRDefault="00C20C94" w:rsidP="00B552A7">
            <w:pPr>
              <w:pStyle w:val="NoSpacing"/>
            </w:pPr>
          </w:p>
        </w:tc>
      </w:tr>
      <w:tr w:rsidR="00C20C94" w:rsidRPr="00C20C94" w14:paraId="239453F5" w14:textId="77777777" w:rsidTr="00B552A7">
        <w:tc>
          <w:tcPr>
            <w:tcW w:w="0" w:type="auto"/>
            <w:hideMark/>
          </w:tcPr>
          <w:p w14:paraId="720A28D8" w14:textId="77777777" w:rsidR="00C20C94" w:rsidRPr="00C20C94" w:rsidRDefault="00C20C94" w:rsidP="00B552A7">
            <w:pPr>
              <w:pStyle w:val="NoSpacing"/>
            </w:pPr>
            <w:r w:rsidRPr="00C20C94">
              <w:t xml:space="preserve">12. Rho </w:t>
            </w:r>
            <w:proofErr w:type="gramStart"/>
            <w:r w:rsidRPr="00C20C94">
              <w:t>on-premise</w:t>
            </w:r>
            <w:proofErr w:type="gramEnd"/>
          </w:p>
        </w:tc>
        <w:tc>
          <w:tcPr>
            <w:tcW w:w="0" w:type="auto"/>
            <w:hideMark/>
          </w:tcPr>
          <w:p w14:paraId="0ACDDD02" w14:textId="77777777" w:rsidR="00C20C94" w:rsidRPr="00C20C94" w:rsidRDefault="00C20C94" w:rsidP="0048687C">
            <w:pPr>
              <w:pStyle w:val="NoSpacing"/>
              <w:jc w:val="center"/>
            </w:pPr>
            <w:r w:rsidRPr="00C20C94">
              <w:t>.696</w:t>
            </w:r>
            <w:r w:rsidRPr="00C20C94">
              <w:rPr>
                <w:vertAlign w:val="superscript"/>
              </w:rPr>
              <w:t>**</w:t>
            </w:r>
          </w:p>
        </w:tc>
        <w:tc>
          <w:tcPr>
            <w:tcW w:w="0" w:type="auto"/>
            <w:hideMark/>
          </w:tcPr>
          <w:p w14:paraId="16A456FE" w14:textId="77777777" w:rsidR="00C20C94" w:rsidRPr="00C20C94" w:rsidRDefault="00C20C94" w:rsidP="0048687C">
            <w:pPr>
              <w:pStyle w:val="NoSpacing"/>
              <w:jc w:val="center"/>
            </w:pPr>
            <w:r w:rsidRPr="00C20C94">
              <w:t>.708</w:t>
            </w:r>
            <w:r w:rsidRPr="00C20C94">
              <w:rPr>
                <w:vertAlign w:val="superscript"/>
              </w:rPr>
              <w:t>**</w:t>
            </w:r>
          </w:p>
        </w:tc>
        <w:tc>
          <w:tcPr>
            <w:tcW w:w="0" w:type="auto"/>
            <w:hideMark/>
          </w:tcPr>
          <w:p w14:paraId="39AA09C4" w14:textId="77777777" w:rsidR="00C20C94" w:rsidRPr="00C20C94" w:rsidRDefault="00C20C94" w:rsidP="0048687C">
            <w:pPr>
              <w:pStyle w:val="NoSpacing"/>
              <w:jc w:val="center"/>
            </w:pPr>
            <w:r w:rsidRPr="00C20C94">
              <w:t>.138</w:t>
            </w:r>
            <w:r w:rsidRPr="00C20C94">
              <w:rPr>
                <w:vertAlign w:val="superscript"/>
              </w:rPr>
              <w:t>**</w:t>
            </w:r>
          </w:p>
        </w:tc>
        <w:tc>
          <w:tcPr>
            <w:tcW w:w="0" w:type="auto"/>
            <w:hideMark/>
          </w:tcPr>
          <w:p w14:paraId="4B458695" w14:textId="77777777" w:rsidR="00C20C94" w:rsidRPr="00C20C94" w:rsidRDefault="00C20C94" w:rsidP="0048687C">
            <w:pPr>
              <w:pStyle w:val="NoSpacing"/>
              <w:jc w:val="center"/>
            </w:pPr>
            <w:r w:rsidRPr="00C20C94">
              <w:t>–.022</w:t>
            </w:r>
          </w:p>
        </w:tc>
        <w:tc>
          <w:tcPr>
            <w:tcW w:w="0" w:type="auto"/>
            <w:hideMark/>
          </w:tcPr>
          <w:p w14:paraId="4548EEED" w14:textId="77777777" w:rsidR="00C20C94" w:rsidRPr="00C20C94" w:rsidRDefault="00C20C94" w:rsidP="0048687C">
            <w:pPr>
              <w:pStyle w:val="NoSpacing"/>
              <w:jc w:val="center"/>
            </w:pPr>
            <w:r w:rsidRPr="00C20C94">
              <w:t>.138</w:t>
            </w:r>
            <w:r w:rsidRPr="00C20C94">
              <w:rPr>
                <w:vertAlign w:val="superscript"/>
              </w:rPr>
              <w:t>**</w:t>
            </w:r>
          </w:p>
        </w:tc>
        <w:tc>
          <w:tcPr>
            <w:tcW w:w="0" w:type="auto"/>
            <w:hideMark/>
          </w:tcPr>
          <w:p w14:paraId="1A02CA0C" w14:textId="77777777" w:rsidR="00C20C94" w:rsidRPr="00C20C94" w:rsidRDefault="00C20C94" w:rsidP="0048687C">
            <w:pPr>
              <w:pStyle w:val="NoSpacing"/>
              <w:jc w:val="center"/>
            </w:pPr>
            <w:r w:rsidRPr="00C20C94">
              <w:t>–.321</w:t>
            </w:r>
            <w:r w:rsidRPr="00C20C94">
              <w:rPr>
                <w:vertAlign w:val="superscript"/>
              </w:rPr>
              <w:t>**</w:t>
            </w:r>
          </w:p>
        </w:tc>
        <w:tc>
          <w:tcPr>
            <w:tcW w:w="0" w:type="auto"/>
            <w:hideMark/>
          </w:tcPr>
          <w:p w14:paraId="780E00ED" w14:textId="77777777" w:rsidR="00C20C94" w:rsidRPr="00C20C94" w:rsidRDefault="00C20C94" w:rsidP="0048687C">
            <w:pPr>
              <w:pStyle w:val="NoSpacing"/>
              <w:jc w:val="center"/>
            </w:pPr>
            <w:r w:rsidRPr="00C20C94">
              <w:t>–.015</w:t>
            </w:r>
          </w:p>
        </w:tc>
        <w:tc>
          <w:tcPr>
            <w:tcW w:w="0" w:type="auto"/>
            <w:hideMark/>
          </w:tcPr>
          <w:p w14:paraId="4C468ABE" w14:textId="77777777" w:rsidR="00C20C94" w:rsidRPr="00C20C94" w:rsidRDefault="00C20C94" w:rsidP="0048687C">
            <w:pPr>
              <w:pStyle w:val="NoSpacing"/>
              <w:jc w:val="center"/>
            </w:pPr>
            <w:r w:rsidRPr="00C20C94">
              <w:t>.166</w:t>
            </w:r>
            <w:r w:rsidRPr="00C20C94">
              <w:rPr>
                <w:vertAlign w:val="superscript"/>
              </w:rPr>
              <w:t>**</w:t>
            </w:r>
          </w:p>
        </w:tc>
        <w:tc>
          <w:tcPr>
            <w:tcW w:w="0" w:type="auto"/>
            <w:hideMark/>
          </w:tcPr>
          <w:p w14:paraId="49458499" w14:textId="77777777" w:rsidR="00C20C94" w:rsidRPr="00C20C94" w:rsidRDefault="00C20C94" w:rsidP="0048687C">
            <w:pPr>
              <w:pStyle w:val="NoSpacing"/>
              <w:jc w:val="center"/>
            </w:pPr>
            <w:r w:rsidRPr="00C20C94">
              <w:t>.134</w:t>
            </w:r>
            <w:r w:rsidRPr="00C20C94">
              <w:rPr>
                <w:vertAlign w:val="superscript"/>
              </w:rPr>
              <w:t>**</w:t>
            </w:r>
          </w:p>
        </w:tc>
        <w:tc>
          <w:tcPr>
            <w:tcW w:w="0" w:type="auto"/>
            <w:hideMark/>
          </w:tcPr>
          <w:p w14:paraId="0AFCB8CD" w14:textId="77777777" w:rsidR="00C20C94" w:rsidRPr="00C20C94" w:rsidRDefault="00C20C94" w:rsidP="0048687C">
            <w:pPr>
              <w:pStyle w:val="NoSpacing"/>
              <w:jc w:val="center"/>
            </w:pPr>
            <w:r w:rsidRPr="00C20C94">
              <w:t>.083</w:t>
            </w:r>
            <w:r w:rsidRPr="00C20C94">
              <w:rPr>
                <w:vertAlign w:val="superscript"/>
              </w:rPr>
              <w:t>*</w:t>
            </w:r>
          </w:p>
        </w:tc>
        <w:tc>
          <w:tcPr>
            <w:tcW w:w="0" w:type="auto"/>
            <w:hideMark/>
          </w:tcPr>
          <w:p w14:paraId="1C4A546F" w14:textId="77777777" w:rsidR="00C20C94" w:rsidRPr="00C20C94" w:rsidRDefault="00C20C94" w:rsidP="0048687C">
            <w:pPr>
              <w:pStyle w:val="NoSpacing"/>
              <w:jc w:val="center"/>
            </w:pPr>
            <w:r w:rsidRPr="00C20C94">
              <w:t>.992</w:t>
            </w:r>
            <w:r w:rsidRPr="00C20C94">
              <w:rPr>
                <w:vertAlign w:val="superscript"/>
              </w:rPr>
              <w:t>**</w:t>
            </w:r>
          </w:p>
        </w:tc>
        <w:tc>
          <w:tcPr>
            <w:tcW w:w="0" w:type="auto"/>
            <w:hideMark/>
          </w:tcPr>
          <w:p w14:paraId="6A95F67F" w14:textId="77777777" w:rsidR="00C20C94" w:rsidRPr="00C20C94" w:rsidRDefault="00C20C94" w:rsidP="0048687C">
            <w:pPr>
              <w:pStyle w:val="NoSpacing"/>
              <w:jc w:val="center"/>
            </w:pPr>
            <w:r w:rsidRPr="00C20C94">
              <w:t>1</w:t>
            </w:r>
          </w:p>
        </w:tc>
        <w:tc>
          <w:tcPr>
            <w:tcW w:w="0" w:type="auto"/>
            <w:hideMark/>
          </w:tcPr>
          <w:p w14:paraId="161E4D9E" w14:textId="77777777" w:rsidR="00C20C94" w:rsidRPr="00C20C94" w:rsidRDefault="00C20C94" w:rsidP="00B552A7">
            <w:pPr>
              <w:pStyle w:val="NoSpacing"/>
            </w:pPr>
          </w:p>
        </w:tc>
      </w:tr>
      <w:tr w:rsidR="00C20C94" w:rsidRPr="00C20C94" w14:paraId="53721553" w14:textId="77777777" w:rsidTr="00B552A7">
        <w:tc>
          <w:tcPr>
            <w:tcW w:w="0" w:type="auto"/>
            <w:hideMark/>
          </w:tcPr>
          <w:p w14:paraId="0C65A244" w14:textId="77777777" w:rsidR="00C20C94" w:rsidRPr="00C20C94" w:rsidRDefault="00C20C94" w:rsidP="00B552A7">
            <w:pPr>
              <w:pStyle w:val="NoSpacing"/>
            </w:pPr>
            <w:r w:rsidRPr="00C20C94">
              <w:t>13. Rho off-</w:t>
            </w:r>
            <w:proofErr w:type="gramStart"/>
            <w:r w:rsidRPr="00C20C94">
              <w:t>premise</w:t>
            </w:r>
            <w:proofErr w:type="gramEnd"/>
          </w:p>
        </w:tc>
        <w:tc>
          <w:tcPr>
            <w:tcW w:w="0" w:type="auto"/>
            <w:hideMark/>
          </w:tcPr>
          <w:p w14:paraId="320ED063" w14:textId="77777777" w:rsidR="00C20C94" w:rsidRPr="00C20C94" w:rsidRDefault="00C20C94" w:rsidP="0048687C">
            <w:pPr>
              <w:pStyle w:val="NoSpacing"/>
              <w:jc w:val="center"/>
            </w:pPr>
            <w:r w:rsidRPr="00C20C94">
              <w:t>.155</w:t>
            </w:r>
            <w:r w:rsidRPr="00C20C94">
              <w:rPr>
                <w:vertAlign w:val="superscript"/>
              </w:rPr>
              <w:t>**</w:t>
            </w:r>
          </w:p>
        </w:tc>
        <w:tc>
          <w:tcPr>
            <w:tcW w:w="0" w:type="auto"/>
            <w:hideMark/>
          </w:tcPr>
          <w:p w14:paraId="7D5D3CF4" w14:textId="77777777" w:rsidR="00C20C94" w:rsidRPr="00C20C94" w:rsidRDefault="00C20C94" w:rsidP="0048687C">
            <w:pPr>
              <w:pStyle w:val="NoSpacing"/>
              <w:jc w:val="center"/>
            </w:pPr>
            <w:r w:rsidRPr="00C20C94">
              <w:t>.139</w:t>
            </w:r>
            <w:r w:rsidRPr="00C20C94">
              <w:rPr>
                <w:vertAlign w:val="superscript"/>
              </w:rPr>
              <w:t>**</w:t>
            </w:r>
          </w:p>
        </w:tc>
        <w:tc>
          <w:tcPr>
            <w:tcW w:w="0" w:type="auto"/>
            <w:hideMark/>
          </w:tcPr>
          <w:p w14:paraId="7CF8586B" w14:textId="77777777" w:rsidR="00C20C94" w:rsidRPr="00C20C94" w:rsidRDefault="00C20C94" w:rsidP="0048687C">
            <w:pPr>
              <w:pStyle w:val="NoSpacing"/>
              <w:jc w:val="center"/>
            </w:pPr>
            <w:r w:rsidRPr="00C20C94">
              <w:t>.131</w:t>
            </w:r>
            <w:r w:rsidRPr="00C20C94">
              <w:rPr>
                <w:vertAlign w:val="superscript"/>
              </w:rPr>
              <w:t>**</w:t>
            </w:r>
          </w:p>
        </w:tc>
        <w:tc>
          <w:tcPr>
            <w:tcW w:w="0" w:type="auto"/>
            <w:hideMark/>
          </w:tcPr>
          <w:p w14:paraId="5E6503C5" w14:textId="77777777" w:rsidR="00C20C94" w:rsidRPr="00C20C94" w:rsidRDefault="00C20C94" w:rsidP="0048687C">
            <w:pPr>
              <w:pStyle w:val="NoSpacing"/>
              <w:jc w:val="center"/>
            </w:pPr>
            <w:r w:rsidRPr="00C20C94">
              <w:t>.435</w:t>
            </w:r>
            <w:r w:rsidRPr="00C20C94">
              <w:rPr>
                <w:vertAlign w:val="superscript"/>
              </w:rPr>
              <w:t>**</w:t>
            </w:r>
          </w:p>
        </w:tc>
        <w:tc>
          <w:tcPr>
            <w:tcW w:w="0" w:type="auto"/>
            <w:hideMark/>
          </w:tcPr>
          <w:p w14:paraId="644E82FE" w14:textId="77777777" w:rsidR="00C20C94" w:rsidRPr="00C20C94" w:rsidRDefault="00C20C94" w:rsidP="0048687C">
            <w:pPr>
              <w:pStyle w:val="NoSpacing"/>
              <w:jc w:val="center"/>
            </w:pPr>
            <w:r w:rsidRPr="00C20C94">
              <w:t>.247</w:t>
            </w:r>
            <w:r w:rsidRPr="00C20C94">
              <w:rPr>
                <w:vertAlign w:val="superscript"/>
              </w:rPr>
              <w:t>**</w:t>
            </w:r>
          </w:p>
        </w:tc>
        <w:tc>
          <w:tcPr>
            <w:tcW w:w="0" w:type="auto"/>
            <w:hideMark/>
          </w:tcPr>
          <w:p w14:paraId="33042FBA" w14:textId="77777777" w:rsidR="00C20C94" w:rsidRPr="00C20C94" w:rsidRDefault="00C20C94" w:rsidP="0048687C">
            <w:pPr>
              <w:pStyle w:val="NoSpacing"/>
              <w:jc w:val="center"/>
            </w:pPr>
            <w:r w:rsidRPr="00C20C94">
              <w:t>.183</w:t>
            </w:r>
            <w:r w:rsidRPr="00C20C94">
              <w:rPr>
                <w:vertAlign w:val="superscript"/>
              </w:rPr>
              <w:t>**</w:t>
            </w:r>
          </w:p>
        </w:tc>
        <w:tc>
          <w:tcPr>
            <w:tcW w:w="0" w:type="auto"/>
            <w:hideMark/>
          </w:tcPr>
          <w:p w14:paraId="42A7CA29" w14:textId="77777777" w:rsidR="00C20C94" w:rsidRPr="00C20C94" w:rsidRDefault="00C20C94" w:rsidP="0048687C">
            <w:pPr>
              <w:pStyle w:val="NoSpacing"/>
              <w:jc w:val="center"/>
            </w:pPr>
            <w:r w:rsidRPr="00C20C94">
              <w:t>–.018</w:t>
            </w:r>
          </w:p>
        </w:tc>
        <w:tc>
          <w:tcPr>
            <w:tcW w:w="0" w:type="auto"/>
            <w:hideMark/>
          </w:tcPr>
          <w:p w14:paraId="3A036DB2" w14:textId="77777777" w:rsidR="00C20C94" w:rsidRPr="00C20C94" w:rsidRDefault="00C20C94" w:rsidP="0048687C">
            <w:pPr>
              <w:pStyle w:val="NoSpacing"/>
              <w:jc w:val="center"/>
            </w:pPr>
            <w:r w:rsidRPr="00C20C94">
              <w:t>.071</w:t>
            </w:r>
          </w:p>
        </w:tc>
        <w:tc>
          <w:tcPr>
            <w:tcW w:w="0" w:type="auto"/>
            <w:hideMark/>
          </w:tcPr>
          <w:p w14:paraId="30942799" w14:textId="77777777" w:rsidR="00C20C94" w:rsidRPr="00C20C94" w:rsidRDefault="00C20C94" w:rsidP="0048687C">
            <w:pPr>
              <w:pStyle w:val="NoSpacing"/>
              <w:jc w:val="center"/>
            </w:pPr>
            <w:r w:rsidRPr="00C20C94">
              <w:t>.044</w:t>
            </w:r>
          </w:p>
        </w:tc>
        <w:tc>
          <w:tcPr>
            <w:tcW w:w="0" w:type="auto"/>
            <w:hideMark/>
          </w:tcPr>
          <w:p w14:paraId="3EBFDB91" w14:textId="77777777" w:rsidR="00C20C94" w:rsidRPr="00C20C94" w:rsidRDefault="00C20C94" w:rsidP="0048687C">
            <w:pPr>
              <w:pStyle w:val="NoSpacing"/>
              <w:jc w:val="center"/>
            </w:pPr>
            <w:r w:rsidRPr="00C20C94">
              <w:t>–.032</w:t>
            </w:r>
          </w:p>
        </w:tc>
        <w:tc>
          <w:tcPr>
            <w:tcW w:w="0" w:type="auto"/>
            <w:hideMark/>
          </w:tcPr>
          <w:p w14:paraId="61573259" w14:textId="77777777" w:rsidR="00C20C94" w:rsidRPr="00C20C94" w:rsidRDefault="00C20C94" w:rsidP="0048687C">
            <w:pPr>
              <w:pStyle w:val="NoSpacing"/>
              <w:jc w:val="center"/>
            </w:pPr>
            <w:r w:rsidRPr="00C20C94">
              <w:t>.320</w:t>
            </w:r>
            <w:r w:rsidRPr="00C20C94">
              <w:rPr>
                <w:vertAlign w:val="superscript"/>
              </w:rPr>
              <w:t>**</w:t>
            </w:r>
          </w:p>
        </w:tc>
        <w:tc>
          <w:tcPr>
            <w:tcW w:w="0" w:type="auto"/>
            <w:hideMark/>
          </w:tcPr>
          <w:p w14:paraId="69337704" w14:textId="77777777" w:rsidR="00C20C94" w:rsidRPr="00C20C94" w:rsidRDefault="00C20C94" w:rsidP="0048687C">
            <w:pPr>
              <w:pStyle w:val="NoSpacing"/>
              <w:jc w:val="center"/>
            </w:pPr>
            <w:r w:rsidRPr="00C20C94">
              <w:t>.199</w:t>
            </w:r>
            <w:r w:rsidRPr="00C20C94">
              <w:rPr>
                <w:vertAlign w:val="superscript"/>
              </w:rPr>
              <w:t>**</w:t>
            </w:r>
          </w:p>
        </w:tc>
        <w:tc>
          <w:tcPr>
            <w:tcW w:w="0" w:type="auto"/>
            <w:hideMark/>
          </w:tcPr>
          <w:p w14:paraId="7669C9DD" w14:textId="77777777" w:rsidR="00C20C94" w:rsidRPr="00C20C94" w:rsidRDefault="00C20C94" w:rsidP="0048687C">
            <w:pPr>
              <w:pStyle w:val="NoSpacing"/>
              <w:jc w:val="center"/>
            </w:pPr>
            <w:r w:rsidRPr="00C20C94">
              <w:t>1</w:t>
            </w:r>
          </w:p>
        </w:tc>
      </w:tr>
    </w:tbl>
    <w:p w14:paraId="5AA8FCAC" w14:textId="07D2524A" w:rsidR="00C20C94" w:rsidRPr="00C20C94" w:rsidRDefault="00C20C94" w:rsidP="00B552A7">
      <w:pPr>
        <w:pStyle w:val="NoSpacing"/>
      </w:pPr>
      <w:r w:rsidRPr="00C20C94">
        <w:t>*Correlation is significant at the.05 level (2-tailed); **correlation is significant at the.01 level (2-tailed).</w:t>
      </w:r>
    </w:p>
    <w:p w14:paraId="2AAB9483" w14:textId="77777777" w:rsidR="00B552A7" w:rsidRDefault="00B552A7" w:rsidP="00B552A7">
      <w:pPr>
        <w:pStyle w:val="NoSpacing"/>
        <w:sectPr w:rsidR="00B552A7" w:rsidSect="00301461">
          <w:pgSz w:w="15840" w:h="12240" w:orient="landscape"/>
          <w:pgMar w:top="1080" w:right="1080" w:bottom="1080" w:left="1080" w:header="720" w:footer="720" w:gutter="0"/>
          <w:cols w:space="720"/>
          <w:docGrid w:linePitch="360"/>
        </w:sectPr>
      </w:pPr>
    </w:p>
    <w:p w14:paraId="1FF2456D" w14:textId="77777777" w:rsidR="00C20C94" w:rsidRPr="00C20C94" w:rsidRDefault="00C20C94" w:rsidP="00C20C94">
      <w:pPr>
        <w:rPr>
          <w:rFonts w:cstheme="minorHAnsi"/>
          <w:sz w:val="24"/>
          <w:szCs w:val="24"/>
        </w:rPr>
      </w:pPr>
      <w:r w:rsidRPr="00C20C94">
        <w:rPr>
          <w:rFonts w:cstheme="minorHAnsi"/>
          <w:sz w:val="24"/>
          <w:szCs w:val="24"/>
        </w:rPr>
        <w:lastRenderedPageBreak/>
        <w:t xml:space="preserve">In terms of the number of </w:t>
      </w:r>
      <w:proofErr w:type="gramStart"/>
      <w:r w:rsidRPr="00C20C94">
        <w:rPr>
          <w:rFonts w:cstheme="minorHAnsi"/>
          <w:sz w:val="24"/>
          <w:szCs w:val="24"/>
        </w:rPr>
        <w:t>on-premise</w:t>
      </w:r>
      <w:proofErr w:type="gramEnd"/>
      <w:r w:rsidRPr="00C20C94">
        <w:rPr>
          <w:rFonts w:cstheme="minorHAnsi"/>
          <w:sz w:val="24"/>
          <w:szCs w:val="24"/>
        </w:rPr>
        <w:t xml:space="preserve"> alcohol outlets (e.g., bars, restaurants), the results of the bivariate correlations are similar to those for the total alcohol outlets. The only exception was the proportion of Hispanic variable—the bivariate association between the number of </w:t>
      </w:r>
      <w:proofErr w:type="gramStart"/>
      <w:r w:rsidRPr="00C20C94">
        <w:rPr>
          <w:rFonts w:cstheme="minorHAnsi"/>
          <w:sz w:val="24"/>
          <w:szCs w:val="24"/>
        </w:rPr>
        <w:t>on-premise</w:t>
      </w:r>
      <w:proofErr w:type="gramEnd"/>
      <w:r w:rsidRPr="00C20C94">
        <w:rPr>
          <w:rFonts w:cstheme="minorHAnsi"/>
          <w:sz w:val="24"/>
          <w:szCs w:val="24"/>
        </w:rPr>
        <w:t xml:space="preserve"> alcohol outlets and proportion Hispanic was not statistically significant. Finally, the number of off-</w:t>
      </w:r>
      <w:proofErr w:type="gramStart"/>
      <w:r w:rsidRPr="00C20C94">
        <w:rPr>
          <w:rFonts w:cstheme="minorHAnsi"/>
          <w:sz w:val="24"/>
          <w:szCs w:val="24"/>
        </w:rPr>
        <w:t>premise</w:t>
      </w:r>
      <w:proofErr w:type="gramEnd"/>
      <w:r w:rsidRPr="00C20C94">
        <w:rPr>
          <w:rFonts w:cstheme="minorHAnsi"/>
          <w:sz w:val="24"/>
          <w:szCs w:val="24"/>
        </w:rPr>
        <w:t xml:space="preserve"> alcohol outlets (e.g., convenience stores, liquor stores) was positively associated with social disorganization, proportion Hispanic, proportion African American, proportion young population, and spatial autocorrelation terms (</w:t>
      </w:r>
      <w:r w:rsidRPr="00C20C94">
        <w:rPr>
          <w:rFonts w:cstheme="minorHAnsi"/>
          <w:i/>
          <w:iCs/>
          <w:sz w:val="24"/>
          <w:szCs w:val="24"/>
        </w:rPr>
        <w:t>Rho</w:t>
      </w:r>
      <w:r w:rsidRPr="00C20C94">
        <w:rPr>
          <w:rFonts w:cstheme="minorHAnsi"/>
          <w:sz w:val="24"/>
          <w:szCs w:val="24"/>
        </w:rPr>
        <w:t>) for all three categories of alcohol outlets (i.e., total, on-premise, and off-premise). These bivariate results suggest that a greater number of off-</w:t>
      </w:r>
      <w:proofErr w:type="gramStart"/>
      <w:r w:rsidRPr="00C20C94">
        <w:rPr>
          <w:rFonts w:cstheme="minorHAnsi"/>
          <w:sz w:val="24"/>
          <w:szCs w:val="24"/>
        </w:rPr>
        <w:t>premise</w:t>
      </w:r>
      <w:proofErr w:type="gramEnd"/>
      <w:r w:rsidRPr="00C20C94">
        <w:rPr>
          <w:rFonts w:cstheme="minorHAnsi"/>
          <w:sz w:val="24"/>
          <w:szCs w:val="24"/>
        </w:rPr>
        <w:t xml:space="preserve"> alcohol outlets was found in block groups that contained a high number of young, Hispanic, and African American residents. The block groups with high availability of off-</w:t>
      </w:r>
      <w:proofErr w:type="gramStart"/>
      <w:r w:rsidRPr="00C20C94">
        <w:rPr>
          <w:rFonts w:cstheme="minorHAnsi"/>
          <w:sz w:val="24"/>
          <w:szCs w:val="24"/>
        </w:rPr>
        <w:t>premise</w:t>
      </w:r>
      <w:proofErr w:type="gramEnd"/>
      <w:r w:rsidRPr="00C20C94">
        <w:rPr>
          <w:rFonts w:cstheme="minorHAnsi"/>
          <w:sz w:val="24"/>
          <w:szCs w:val="24"/>
        </w:rPr>
        <w:t xml:space="preserve"> alcohol outlets were also neighboring block groups with equally high availability of all alcohol outlet types.</w:t>
      </w:r>
    </w:p>
    <w:p w14:paraId="2C5E3280" w14:textId="77777777" w:rsidR="00C20C94" w:rsidRPr="00C20C94" w:rsidRDefault="00C20C94" w:rsidP="00C20C94">
      <w:pPr>
        <w:rPr>
          <w:rFonts w:cstheme="minorHAnsi"/>
          <w:sz w:val="24"/>
          <w:szCs w:val="24"/>
        </w:rPr>
      </w:pPr>
      <w:r w:rsidRPr="00C20C94">
        <w:rPr>
          <w:rFonts w:cstheme="minorHAnsi"/>
          <w:sz w:val="24"/>
          <w:szCs w:val="24"/>
        </w:rPr>
        <w:t xml:space="preserve">Table 3 shows results of the negative binomial regression for two models that examined the relationship between total alcohol outlets and neighborhood characteristics for Milwaukee block groups. Model 1 examined the association between neighborhood racial/ethnic characteristics and the total number of alcohol outlets, net of control variables (i.e., population density, proportion young, block group size, and spatial lag term, </w:t>
      </w:r>
      <w:r w:rsidRPr="00C20C94">
        <w:rPr>
          <w:rFonts w:cstheme="minorHAnsi"/>
          <w:i/>
          <w:iCs/>
          <w:sz w:val="24"/>
          <w:szCs w:val="24"/>
        </w:rPr>
        <w:t>Rho</w:t>
      </w:r>
      <w:r w:rsidRPr="00C20C94">
        <w:rPr>
          <w:rFonts w:cstheme="minorHAnsi"/>
          <w:sz w:val="24"/>
          <w:szCs w:val="24"/>
        </w:rPr>
        <w:t>, for neighboring total alcohol outlets). Results of Model 1 suggest that proportion Hispanic was positively and significantly associated with total alcohol outlets, although proportion African American and proportion Asian were not. Table 3 also shows results of Model 2, which examined the relationship among total alcohol outlets, social disorganization, and race/ethnicity, net of control variables. Results of Model 2 suggest that social disorganization was positively and significantly associated with total alcohol outlets, net of control and race/ethnicity variables. In addition, once social disorganization was accounted for, proportion Hispanic and proportion Asian were not associated with the total number of alcohol outlets, while proportion African American was negatively and significantly associated with total alcohol outlets. In both models, the spatial lag term (</w:t>
      </w:r>
      <w:r w:rsidRPr="00C20C94">
        <w:rPr>
          <w:rFonts w:cstheme="minorHAnsi"/>
          <w:i/>
          <w:iCs/>
          <w:sz w:val="24"/>
          <w:szCs w:val="24"/>
        </w:rPr>
        <w:t>Rho</w:t>
      </w:r>
      <w:r w:rsidRPr="00C20C94">
        <w:rPr>
          <w:rFonts w:cstheme="minorHAnsi"/>
          <w:sz w:val="24"/>
          <w:szCs w:val="24"/>
        </w:rPr>
        <w:t>) associated with total alcohol outlets was a positive and significant contributor to the models, revealing the importance of controlling for spatial autocorrelation when examining this relationship at the block group level.</w:t>
      </w:r>
    </w:p>
    <w:p w14:paraId="34C4326A" w14:textId="77777777" w:rsidR="00C20C94" w:rsidRPr="00C20C94" w:rsidRDefault="00C20C94" w:rsidP="00F201C0">
      <w:pPr>
        <w:spacing w:after="0"/>
        <w:rPr>
          <w:rFonts w:cstheme="minorHAnsi"/>
          <w:sz w:val="24"/>
          <w:szCs w:val="24"/>
        </w:rPr>
      </w:pPr>
      <w:r w:rsidRPr="00C20C94">
        <w:rPr>
          <w:rFonts w:cstheme="minorHAnsi"/>
          <w:sz w:val="24"/>
          <w:szCs w:val="24"/>
        </w:rPr>
        <w:t>Table 3. Negative binomial regression results for total alcohol outlets (N = 571).</w:t>
      </w:r>
    </w:p>
    <w:tbl>
      <w:tblPr>
        <w:tblStyle w:val="TableGrid"/>
        <w:tblW w:w="0" w:type="auto"/>
        <w:tblLook w:val="04A0" w:firstRow="1" w:lastRow="0" w:firstColumn="1" w:lastColumn="0" w:noHBand="0" w:noVBand="1"/>
      </w:tblPr>
      <w:tblGrid>
        <w:gridCol w:w="3008"/>
        <w:gridCol w:w="1871"/>
        <w:gridCol w:w="1871"/>
      </w:tblGrid>
      <w:tr w:rsidR="00C20C94" w:rsidRPr="00C20C94" w14:paraId="49C34018" w14:textId="77777777" w:rsidTr="00F201C0">
        <w:tc>
          <w:tcPr>
            <w:tcW w:w="0" w:type="auto"/>
            <w:hideMark/>
          </w:tcPr>
          <w:p w14:paraId="65CEE525" w14:textId="77777777" w:rsidR="00C20C94" w:rsidRPr="00C20C94" w:rsidRDefault="00C20C94" w:rsidP="00C20C94">
            <w:pPr>
              <w:rPr>
                <w:rFonts w:cstheme="minorHAnsi"/>
                <w:sz w:val="24"/>
                <w:szCs w:val="24"/>
              </w:rPr>
            </w:pPr>
          </w:p>
        </w:tc>
        <w:tc>
          <w:tcPr>
            <w:tcW w:w="0" w:type="auto"/>
            <w:hideMark/>
          </w:tcPr>
          <w:p w14:paraId="4D39B813" w14:textId="77777777" w:rsidR="00C20C94" w:rsidRPr="00C20C94" w:rsidRDefault="00C20C94" w:rsidP="00C20C94">
            <w:pPr>
              <w:rPr>
                <w:rFonts w:cstheme="minorHAnsi"/>
                <w:sz w:val="24"/>
                <w:szCs w:val="24"/>
              </w:rPr>
            </w:pPr>
            <w:r w:rsidRPr="00C20C94">
              <w:rPr>
                <w:rFonts w:cstheme="minorHAnsi"/>
                <w:sz w:val="24"/>
                <w:szCs w:val="24"/>
              </w:rPr>
              <w:t>Model 1</w:t>
            </w:r>
          </w:p>
        </w:tc>
        <w:tc>
          <w:tcPr>
            <w:tcW w:w="0" w:type="auto"/>
            <w:hideMark/>
          </w:tcPr>
          <w:p w14:paraId="3A577F81" w14:textId="77777777" w:rsidR="00C20C94" w:rsidRPr="00C20C94" w:rsidRDefault="00C20C94" w:rsidP="00C20C94">
            <w:pPr>
              <w:rPr>
                <w:rFonts w:cstheme="minorHAnsi"/>
                <w:sz w:val="24"/>
                <w:szCs w:val="24"/>
              </w:rPr>
            </w:pPr>
            <w:r w:rsidRPr="00C20C94">
              <w:rPr>
                <w:rFonts w:cstheme="minorHAnsi"/>
                <w:sz w:val="24"/>
                <w:szCs w:val="24"/>
              </w:rPr>
              <w:t>Model 2</w:t>
            </w:r>
          </w:p>
        </w:tc>
      </w:tr>
      <w:tr w:rsidR="00C20C94" w:rsidRPr="00C20C94" w14:paraId="4983BAF0" w14:textId="77777777" w:rsidTr="00F201C0">
        <w:tc>
          <w:tcPr>
            <w:tcW w:w="0" w:type="auto"/>
            <w:hideMark/>
          </w:tcPr>
          <w:p w14:paraId="627EB674" w14:textId="77777777" w:rsidR="00C20C94" w:rsidRPr="00C20C94" w:rsidRDefault="00C20C94" w:rsidP="00C20C94">
            <w:pPr>
              <w:rPr>
                <w:rFonts w:cstheme="minorHAnsi"/>
                <w:sz w:val="24"/>
                <w:szCs w:val="24"/>
              </w:rPr>
            </w:pPr>
            <w:r w:rsidRPr="00C20C94">
              <w:rPr>
                <w:rFonts w:cstheme="minorHAnsi"/>
                <w:sz w:val="24"/>
                <w:szCs w:val="24"/>
              </w:rPr>
              <w:t>Proportion Hispanic</w:t>
            </w:r>
          </w:p>
        </w:tc>
        <w:tc>
          <w:tcPr>
            <w:tcW w:w="0" w:type="auto"/>
            <w:hideMark/>
          </w:tcPr>
          <w:p w14:paraId="322A62E6" w14:textId="77777777" w:rsidR="00C20C94" w:rsidRPr="00C20C94" w:rsidRDefault="00C20C94" w:rsidP="0048687C">
            <w:pPr>
              <w:jc w:val="center"/>
              <w:rPr>
                <w:rFonts w:cstheme="minorHAnsi"/>
                <w:sz w:val="24"/>
                <w:szCs w:val="24"/>
              </w:rPr>
            </w:pPr>
            <w:r w:rsidRPr="00C20C94">
              <w:rPr>
                <w:rFonts w:cstheme="minorHAnsi"/>
                <w:sz w:val="24"/>
                <w:szCs w:val="24"/>
              </w:rPr>
              <w:t>0.570* (0.2604)</w:t>
            </w:r>
          </w:p>
        </w:tc>
        <w:tc>
          <w:tcPr>
            <w:tcW w:w="0" w:type="auto"/>
            <w:hideMark/>
          </w:tcPr>
          <w:p w14:paraId="1F20D478" w14:textId="77777777" w:rsidR="00C20C94" w:rsidRPr="00C20C94" w:rsidRDefault="00C20C94" w:rsidP="0048687C">
            <w:pPr>
              <w:jc w:val="center"/>
              <w:rPr>
                <w:rFonts w:cstheme="minorHAnsi"/>
                <w:sz w:val="24"/>
                <w:szCs w:val="24"/>
              </w:rPr>
            </w:pPr>
            <w:r w:rsidRPr="00C20C94">
              <w:rPr>
                <w:rFonts w:cstheme="minorHAnsi"/>
                <w:sz w:val="24"/>
                <w:szCs w:val="24"/>
              </w:rPr>
              <w:t>–0.153 (0.3342)</w:t>
            </w:r>
          </w:p>
        </w:tc>
      </w:tr>
      <w:tr w:rsidR="00C20C94" w:rsidRPr="00C20C94" w14:paraId="751E1436" w14:textId="77777777" w:rsidTr="00F201C0">
        <w:tc>
          <w:tcPr>
            <w:tcW w:w="0" w:type="auto"/>
            <w:hideMark/>
          </w:tcPr>
          <w:p w14:paraId="5DA75DA1" w14:textId="77777777" w:rsidR="00C20C94" w:rsidRPr="00C20C94" w:rsidRDefault="00C20C94" w:rsidP="00C20C94">
            <w:pPr>
              <w:rPr>
                <w:rFonts w:cstheme="minorHAnsi"/>
                <w:sz w:val="24"/>
                <w:szCs w:val="24"/>
              </w:rPr>
            </w:pPr>
            <w:r w:rsidRPr="00C20C94">
              <w:rPr>
                <w:rFonts w:cstheme="minorHAnsi"/>
                <w:sz w:val="24"/>
                <w:szCs w:val="24"/>
              </w:rPr>
              <w:t>Proportion African American</w:t>
            </w:r>
          </w:p>
        </w:tc>
        <w:tc>
          <w:tcPr>
            <w:tcW w:w="0" w:type="auto"/>
            <w:hideMark/>
          </w:tcPr>
          <w:p w14:paraId="78BFDE86" w14:textId="77777777" w:rsidR="00C20C94" w:rsidRPr="00C20C94" w:rsidRDefault="00C20C94" w:rsidP="0048687C">
            <w:pPr>
              <w:jc w:val="center"/>
              <w:rPr>
                <w:rFonts w:cstheme="minorHAnsi"/>
                <w:sz w:val="24"/>
                <w:szCs w:val="24"/>
              </w:rPr>
            </w:pPr>
            <w:r w:rsidRPr="00C20C94">
              <w:rPr>
                <w:rFonts w:cstheme="minorHAnsi"/>
                <w:sz w:val="24"/>
                <w:szCs w:val="24"/>
              </w:rPr>
              <w:t>–0.141 (0.1774)</w:t>
            </w:r>
          </w:p>
        </w:tc>
        <w:tc>
          <w:tcPr>
            <w:tcW w:w="0" w:type="auto"/>
            <w:hideMark/>
          </w:tcPr>
          <w:p w14:paraId="73C8B03D" w14:textId="77777777" w:rsidR="00C20C94" w:rsidRPr="00C20C94" w:rsidRDefault="00C20C94" w:rsidP="0048687C">
            <w:pPr>
              <w:jc w:val="center"/>
              <w:rPr>
                <w:rFonts w:cstheme="minorHAnsi"/>
                <w:sz w:val="24"/>
                <w:szCs w:val="24"/>
              </w:rPr>
            </w:pPr>
            <w:r w:rsidRPr="00C20C94">
              <w:rPr>
                <w:rFonts w:cstheme="minorHAnsi"/>
                <w:sz w:val="24"/>
                <w:szCs w:val="24"/>
              </w:rPr>
              <w:t>–0.895* (0.2840)</w:t>
            </w:r>
          </w:p>
        </w:tc>
      </w:tr>
      <w:tr w:rsidR="00C20C94" w:rsidRPr="00C20C94" w14:paraId="2E8564FB" w14:textId="77777777" w:rsidTr="00F201C0">
        <w:tc>
          <w:tcPr>
            <w:tcW w:w="0" w:type="auto"/>
            <w:hideMark/>
          </w:tcPr>
          <w:p w14:paraId="1DFA45CB" w14:textId="77777777" w:rsidR="00C20C94" w:rsidRPr="00C20C94" w:rsidRDefault="00C20C94" w:rsidP="00C20C94">
            <w:pPr>
              <w:rPr>
                <w:rFonts w:cstheme="minorHAnsi"/>
                <w:sz w:val="24"/>
                <w:szCs w:val="24"/>
              </w:rPr>
            </w:pPr>
            <w:r w:rsidRPr="00C20C94">
              <w:rPr>
                <w:rFonts w:cstheme="minorHAnsi"/>
                <w:sz w:val="24"/>
                <w:szCs w:val="24"/>
              </w:rPr>
              <w:t>Proportion Asian</w:t>
            </w:r>
          </w:p>
        </w:tc>
        <w:tc>
          <w:tcPr>
            <w:tcW w:w="0" w:type="auto"/>
            <w:hideMark/>
          </w:tcPr>
          <w:p w14:paraId="25543F0F" w14:textId="77777777" w:rsidR="00C20C94" w:rsidRPr="00C20C94" w:rsidRDefault="00C20C94" w:rsidP="0048687C">
            <w:pPr>
              <w:jc w:val="center"/>
              <w:rPr>
                <w:rFonts w:cstheme="minorHAnsi"/>
                <w:sz w:val="24"/>
                <w:szCs w:val="24"/>
              </w:rPr>
            </w:pPr>
            <w:r w:rsidRPr="00C20C94">
              <w:rPr>
                <w:rFonts w:cstheme="minorHAnsi"/>
                <w:sz w:val="24"/>
                <w:szCs w:val="24"/>
              </w:rPr>
              <w:t>–0.542 (1.1009)</w:t>
            </w:r>
          </w:p>
        </w:tc>
        <w:tc>
          <w:tcPr>
            <w:tcW w:w="0" w:type="auto"/>
            <w:hideMark/>
          </w:tcPr>
          <w:p w14:paraId="2C03F2C6" w14:textId="77777777" w:rsidR="00C20C94" w:rsidRPr="00C20C94" w:rsidRDefault="00C20C94" w:rsidP="0048687C">
            <w:pPr>
              <w:jc w:val="center"/>
              <w:rPr>
                <w:rFonts w:cstheme="minorHAnsi"/>
                <w:sz w:val="24"/>
                <w:szCs w:val="24"/>
              </w:rPr>
            </w:pPr>
            <w:r w:rsidRPr="00C20C94">
              <w:rPr>
                <w:rFonts w:cstheme="minorHAnsi"/>
                <w:sz w:val="24"/>
                <w:szCs w:val="24"/>
              </w:rPr>
              <w:t>–1.250 (1.1042)</w:t>
            </w:r>
          </w:p>
        </w:tc>
      </w:tr>
      <w:tr w:rsidR="00C20C94" w:rsidRPr="00C20C94" w14:paraId="63E3AC65" w14:textId="77777777" w:rsidTr="00F201C0">
        <w:tc>
          <w:tcPr>
            <w:tcW w:w="0" w:type="auto"/>
            <w:hideMark/>
          </w:tcPr>
          <w:p w14:paraId="4E7FBCDC" w14:textId="77777777" w:rsidR="00C20C94" w:rsidRPr="00C20C94" w:rsidRDefault="00C20C94" w:rsidP="00C20C94">
            <w:pPr>
              <w:rPr>
                <w:rFonts w:cstheme="minorHAnsi"/>
                <w:sz w:val="24"/>
                <w:szCs w:val="24"/>
              </w:rPr>
            </w:pPr>
            <w:r w:rsidRPr="00C20C94">
              <w:rPr>
                <w:rFonts w:cstheme="minorHAnsi"/>
                <w:sz w:val="24"/>
                <w:szCs w:val="24"/>
              </w:rPr>
              <w:t>Persons (ln)</w:t>
            </w:r>
          </w:p>
        </w:tc>
        <w:tc>
          <w:tcPr>
            <w:tcW w:w="0" w:type="auto"/>
            <w:hideMark/>
          </w:tcPr>
          <w:p w14:paraId="157D2F4C" w14:textId="77777777" w:rsidR="00C20C94" w:rsidRPr="00C20C94" w:rsidRDefault="00C20C94" w:rsidP="0048687C">
            <w:pPr>
              <w:jc w:val="center"/>
              <w:rPr>
                <w:rFonts w:cstheme="minorHAnsi"/>
                <w:sz w:val="24"/>
                <w:szCs w:val="24"/>
              </w:rPr>
            </w:pPr>
            <w:r w:rsidRPr="00C20C94">
              <w:rPr>
                <w:rFonts w:cstheme="minorHAnsi"/>
                <w:sz w:val="24"/>
                <w:szCs w:val="24"/>
              </w:rPr>
              <w:t>0.469* (0.1689)</w:t>
            </w:r>
          </w:p>
        </w:tc>
        <w:tc>
          <w:tcPr>
            <w:tcW w:w="0" w:type="auto"/>
            <w:hideMark/>
          </w:tcPr>
          <w:p w14:paraId="7E8C353F" w14:textId="77777777" w:rsidR="00C20C94" w:rsidRPr="00C20C94" w:rsidRDefault="00C20C94" w:rsidP="0048687C">
            <w:pPr>
              <w:jc w:val="center"/>
              <w:rPr>
                <w:rFonts w:cstheme="minorHAnsi"/>
                <w:sz w:val="24"/>
                <w:szCs w:val="24"/>
              </w:rPr>
            </w:pPr>
            <w:r w:rsidRPr="00C20C94">
              <w:rPr>
                <w:rFonts w:cstheme="minorHAnsi"/>
                <w:sz w:val="24"/>
                <w:szCs w:val="24"/>
              </w:rPr>
              <w:t>0.451* (0.1689)</w:t>
            </w:r>
          </w:p>
        </w:tc>
      </w:tr>
      <w:tr w:rsidR="00C20C94" w:rsidRPr="00C20C94" w14:paraId="4BCC54B5" w14:textId="77777777" w:rsidTr="00F201C0">
        <w:tc>
          <w:tcPr>
            <w:tcW w:w="0" w:type="auto"/>
            <w:hideMark/>
          </w:tcPr>
          <w:p w14:paraId="305977EF" w14:textId="77777777" w:rsidR="00C20C94" w:rsidRPr="00C20C94" w:rsidRDefault="00C20C94" w:rsidP="00C20C94">
            <w:pPr>
              <w:rPr>
                <w:rFonts w:cstheme="minorHAnsi"/>
                <w:sz w:val="24"/>
                <w:szCs w:val="24"/>
              </w:rPr>
            </w:pPr>
            <w:r w:rsidRPr="00C20C94">
              <w:rPr>
                <w:rFonts w:cstheme="minorHAnsi"/>
                <w:sz w:val="24"/>
                <w:szCs w:val="24"/>
              </w:rPr>
              <w:t>Proportion young</w:t>
            </w:r>
          </w:p>
        </w:tc>
        <w:tc>
          <w:tcPr>
            <w:tcW w:w="0" w:type="auto"/>
            <w:hideMark/>
          </w:tcPr>
          <w:p w14:paraId="735ACC1C" w14:textId="77777777" w:rsidR="00C20C94" w:rsidRPr="00C20C94" w:rsidRDefault="00C20C94" w:rsidP="0048687C">
            <w:pPr>
              <w:jc w:val="center"/>
              <w:rPr>
                <w:rFonts w:cstheme="minorHAnsi"/>
                <w:sz w:val="24"/>
                <w:szCs w:val="24"/>
              </w:rPr>
            </w:pPr>
            <w:r w:rsidRPr="00C20C94">
              <w:rPr>
                <w:rFonts w:cstheme="minorHAnsi"/>
                <w:sz w:val="24"/>
                <w:szCs w:val="24"/>
              </w:rPr>
              <w:t>1.523* (0.4992)</w:t>
            </w:r>
          </w:p>
        </w:tc>
        <w:tc>
          <w:tcPr>
            <w:tcW w:w="0" w:type="auto"/>
            <w:hideMark/>
          </w:tcPr>
          <w:p w14:paraId="7D554887" w14:textId="77777777" w:rsidR="00C20C94" w:rsidRPr="00C20C94" w:rsidRDefault="00C20C94" w:rsidP="0048687C">
            <w:pPr>
              <w:jc w:val="center"/>
              <w:rPr>
                <w:rFonts w:cstheme="minorHAnsi"/>
                <w:sz w:val="24"/>
                <w:szCs w:val="24"/>
              </w:rPr>
            </w:pPr>
            <w:r w:rsidRPr="00C20C94">
              <w:rPr>
                <w:rFonts w:cstheme="minorHAnsi"/>
                <w:sz w:val="24"/>
                <w:szCs w:val="24"/>
              </w:rPr>
              <w:t>0.599 (0.5571)</w:t>
            </w:r>
          </w:p>
        </w:tc>
      </w:tr>
      <w:tr w:rsidR="00C20C94" w:rsidRPr="00C20C94" w14:paraId="2AE8C8D3" w14:textId="77777777" w:rsidTr="00F201C0">
        <w:tc>
          <w:tcPr>
            <w:tcW w:w="0" w:type="auto"/>
            <w:hideMark/>
          </w:tcPr>
          <w:p w14:paraId="78DA92B8" w14:textId="77777777" w:rsidR="00C20C94" w:rsidRPr="00C20C94" w:rsidRDefault="00C20C94" w:rsidP="00C20C94">
            <w:pPr>
              <w:rPr>
                <w:rFonts w:cstheme="minorHAnsi"/>
                <w:sz w:val="24"/>
                <w:szCs w:val="24"/>
              </w:rPr>
            </w:pPr>
            <w:r w:rsidRPr="00C20C94">
              <w:rPr>
                <w:rFonts w:cstheme="minorHAnsi"/>
                <w:sz w:val="24"/>
                <w:szCs w:val="24"/>
              </w:rPr>
              <w:t>Area size (sq. miles)</w:t>
            </w:r>
          </w:p>
        </w:tc>
        <w:tc>
          <w:tcPr>
            <w:tcW w:w="0" w:type="auto"/>
            <w:hideMark/>
          </w:tcPr>
          <w:p w14:paraId="743B9D6B" w14:textId="77777777" w:rsidR="00C20C94" w:rsidRPr="00C20C94" w:rsidRDefault="00C20C94" w:rsidP="0048687C">
            <w:pPr>
              <w:jc w:val="center"/>
              <w:rPr>
                <w:rFonts w:cstheme="minorHAnsi"/>
                <w:sz w:val="24"/>
                <w:szCs w:val="24"/>
              </w:rPr>
            </w:pPr>
            <w:r w:rsidRPr="00C20C94">
              <w:rPr>
                <w:rFonts w:cstheme="minorHAnsi"/>
                <w:sz w:val="24"/>
                <w:szCs w:val="24"/>
              </w:rPr>
              <w:t>0.421* (0.1976)</w:t>
            </w:r>
          </w:p>
        </w:tc>
        <w:tc>
          <w:tcPr>
            <w:tcW w:w="0" w:type="auto"/>
            <w:hideMark/>
          </w:tcPr>
          <w:p w14:paraId="2E130663" w14:textId="77777777" w:rsidR="00C20C94" w:rsidRPr="00C20C94" w:rsidRDefault="00C20C94" w:rsidP="0048687C">
            <w:pPr>
              <w:jc w:val="center"/>
              <w:rPr>
                <w:rFonts w:cstheme="minorHAnsi"/>
                <w:sz w:val="24"/>
                <w:szCs w:val="24"/>
              </w:rPr>
            </w:pPr>
            <w:r w:rsidRPr="00C20C94">
              <w:rPr>
                <w:rFonts w:cstheme="minorHAnsi"/>
                <w:sz w:val="24"/>
                <w:szCs w:val="24"/>
              </w:rPr>
              <w:t>0.471* (0.1961)</w:t>
            </w:r>
          </w:p>
        </w:tc>
      </w:tr>
      <w:tr w:rsidR="00C20C94" w:rsidRPr="00C20C94" w14:paraId="0A83B690" w14:textId="77777777" w:rsidTr="00F201C0">
        <w:tc>
          <w:tcPr>
            <w:tcW w:w="0" w:type="auto"/>
            <w:hideMark/>
          </w:tcPr>
          <w:p w14:paraId="3F6D1DB8" w14:textId="77777777" w:rsidR="00C20C94" w:rsidRPr="00C20C94" w:rsidRDefault="00C20C94" w:rsidP="00C20C94">
            <w:pPr>
              <w:rPr>
                <w:rFonts w:cstheme="minorHAnsi"/>
                <w:sz w:val="24"/>
                <w:szCs w:val="24"/>
              </w:rPr>
            </w:pPr>
            <w:r w:rsidRPr="00C20C94">
              <w:rPr>
                <w:rFonts w:cstheme="minorHAnsi"/>
                <w:sz w:val="24"/>
                <w:szCs w:val="24"/>
              </w:rPr>
              <w:t>Rho—total alcohol outlets</w:t>
            </w:r>
          </w:p>
        </w:tc>
        <w:tc>
          <w:tcPr>
            <w:tcW w:w="0" w:type="auto"/>
            <w:hideMark/>
          </w:tcPr>
          <w:p w14:paraId="5819F83B" w14:textId="77777777" w:rsidR="00C20C94" w:rsidRPr="00C20C94" w:rsidRDefault="00C20C94" w:rsidP="0048687C">
            <w:pPr>
              <w:jc w:val="center"/>
              <w:rPr>
                <w:rFonts w:cstheme="minorHAnsi"/>
                <w:sz w:val="24"/>
                <w:szCs w:val="24"/>
              </w:rPr>
            </w:pPr>
            <w:r w:rsidRPr="00C20C94">
              <w:rPr>
                <w:rFonts w:cstheme="minorHAnsi"/>
                <w:sz w:val="24"/>
                <w:szCs w:val="24"/>
              </w:rPr>
              <w:t>0.140** (0.0147)</w:t>
            </w:r>
          </w:p>
        </w:tc>
        <w:tc>
          <w:tcPr>
            <w:tcW w:w="0" w:type="auto"/>
            <w:hideMark/>
          </w:tcPr>
          <w:p w14:paraId="7754C7D9" w14:textId="77777777" w:rsidR="00C20C94" w:rsidRPr="00C20C94" w:rsidRDefault="00C20C94" w:rsidP="0048687C">
            <w:pPr>
              <w:jc w:val="center"/>
              <w:rPr>
                <w:rFonts w:cstheme="minorHAnsi"/>
                <w:sz w:val="24"/>
                <w:szCs w:val="24"/>
              </w:rPr>
            </w:pPr>
            <w:r w:rsidRPr="00C20C94">
              <w:rPr>
                <w:rFonts w:cstheme="minorHAnsi"/>
                <w:sz w:val="24"/>
                <w:szCs w:val="24"/>
              </w:rPr>
              <w:t>0.127** (0.0150)</w:t>
            </w:r>
          </w:p>
        </w:tc>
      </w:tr>
      <w:tr w:rsidR="00C20C94" w:rsidRPr="00C20C94" w14:paraId="51F8CB88" w14:textId="77777777" w:rsidTr="00F201C0">
        <w:tc>
          <w:tcPr>
            <w:tcW w:w="0" w:type="auto"/>
            <w:hideMark/>
          </w:tcPr>
          <w:p w14:paraId="79FF66FC" w14:textId="77777777" w:rsidR="00C20C94" w:rsidRPr="00C20C94" w:rsidRDefault="00C20C94" w:rsidP="00C20C94">
            <w:pPr>
              <w:rPr>
                <w:rFonts w:cstheme="minorHAnsi"/>
                <w:sz w:val="24"/>
                <w:szCs w:val="24"/>
              </w:rPr>
            </w:pPr>
            <w:r w:rsidRPr="00C20C94">
              <w:rPr>
                <w:rFonts w:cstheme="minorHAnsi"/>
                <w:sz w:val="24"/>
                <w:szCs w:val="24"/>
              </w:rPr>
              <w:t>Social disorganization</w:t>
            </w:r>
          </w:p>
        </w:tc>
        <w:tc>
          <w:tcPr>
            <w:tcW w:w="0" w:type="auto"/>
            <w:hideMark/>
          </w:tcPr>
          <w:p w14:paraId="561EC5FC" w14:textId="77777777" w:rsidR="00C20C94" w:rsidRPr="00C20C94" w:rsidRDefault="00C20C94" w:rsidP="0048687C">
            <w:pPr>
              <w:jc w:val="center"/>
              <w:rPr>
                <w:rFonts w:cstheme="minorHAnsi"/>
                <w:sz w:val="24"/>
                <w:szCs w:val="24"/>
              </w:rPr>
            </w:pPr>
            <w:r w:rsidRPr="00C20C94">
              <w:rPr>
                <w:rFonts w:cstheme="minorHAnsi"/>
                <w:sz w:val="24"/>
                <w:szCs w:val="24"/>
              </w:rPr>
              <w:t>—</w:t>
            </w:r>
          </w:p>
        </w:tc>
        <w:tc>
          <w:tcPr>
            <w:tcW w:w="0" w:type="auto"/>
            <w:hideMark/>
          </w:tcPr>
          <w:p w14:paraId="759E38DF" w14:textId="77777777" w:rsidR="00C20C94" w:rsidRPr="00C20C94" w:rsidRDefault="00C20C94" w:rsidP="0048687C">
            <w:pPr>
              <w:jc w:val="center"/>
              <w:rPr>
                <w:rFonts w:cstheme="minorHAnsi"/>
                <w:sz w:val="24"/>
                <w:szCs w:val="24"/>
              </w:rPr>
            </w:pPr>
            <w:r w:rsidRPr="00C20C94">
              <w:rPr>
                <w:rFonts w:cstheme="minorHAnsi"/>
                <w:sz w:val="24"/>
                <w:szCs w:val="24"/>
              </w:rPr>
              <w:t>0.408** (0.1131)</w:t>
            </w:r>
          </w:p>
        </w:tc>
      </w:tr>
      <w:tr w:rsidR="00C20C94" w:rsidRPr="00C20C94" w14:paraId="33ACD1F7" w14:textId="77777777" w:rsidTr="00F201C0">
        <w:tc>
          <w:tcPr>
            <w:tcW w:w="0" w:type="auto"/>
            <w:hideMark/>
          </w:tcPr>
          <w:p w14:paraId="50A4F872" w14:textId="77777777" w:rsidR="00C20C94" w:rsidRPr="00C20C94" w:rsidRDefault="00C20C94" w:rsidP="00C20C94">
            <w:pPr>
              <w:rPr>
                <w:rFonts w:cstheme="minorHAnsi"/>
                <w:sz w:val="24"/>
                <w:szCs w:val="24"/>
              </w:rPr>
            </w:pPr>
            <w:r w:rsidRPr="00C20C94">
              <w:rPr>
                <w:rFonts w:cstheme="minorHAnsi"/>
                <w:sz w:val="24"/>
                <w:szCs w:val="24"/>
              </w:rPr>
              <w:t>Constant</w:t>
            </w:r>
          </w:p>
        </w:tc>
        <w:tc>
          <w:tcPr>
            <w:tcW w:w="0" w:type="auto"/>
            <w:hideMark/>
          </w:tcPr>
          <w:p w14:paraId="63DC17A9" w14:textId="77777777" w:rsidR="00C20C94" w:rsidRPr="00C20C94" w:rsidRDefault="00C20C94" w:rsidP="0048687C">
            <w:pPr>
              <w:jc w:val="center"/>
              <w:rPr>
                <w:rFonts w:cstheme="minorHAnsi"/>
                <w:sz w:val="24"/>
                <w:szCs w:val="24"/>
              </w:rPr>
            </w:pPr>
            <w:r w:rsidRPr="00C20C94">
              <w:rPr>
                <w:rFonts w:cstheme="minorHAnsi"/>
                <w:sz w:val="24"/>
                <w:szCs w:val="24"/>
              </w:rPr>
              <w:t>–3.397* (1.1412)</w:t>
            </w:r>
          </w:p>
        </w:tc>
        <w:tc>
          <w:tcPr>
            <w:tcW w:w="0" w:type="auto"/>
            <w:hideMark/>
          </w:tcPr>
          <w:p w14:paraId="0D849DF7" w14:textId="77777777" w:rsidR="00C20C94" w:rsidRPr="00C20C94" w:rsidRDefault="00C20C94" w:rsidP="0048687C">
            <w:pPr>
              <w:jc w:val="center"/>
              <w:rPr>
                <w:rFonts w:cstheme="minorHAnsi"/>
                <w:sz w:val="24"/>
                <w:szCs w:val="24"/>
              </w:rPr>
            </w:pPr>
            <w:r w:rsidRPr="00C20C94">
              <w:rPr>
                <w:rFonts w:cstheme="minorHAnsi"/>
                <w:sz w:val="24"/>
                <w:szCs w:val="24"/>
              </w:rPr>
              <w:t>–2.652* (1.1674)</w:t>
            </w:r>
          </w:p>
        </w:tc>
      </w:tr>
      <w:tr w:rsidR="00C20C94" w:rsidRPr="00C20C94" w14:paraId="0DB9EF7F" w14:textId="77777777" w:rsidTr="00F201C0">
        <w:tc>
          <w:tcPr>
            <w:tcW w:w="0" w:type="auto"/>
            <w:hideMark/>
          </w:tcPr>
          <w:p w14:paraId="07FFC447" w14:textId="77777777" w:rsidR="00C20C94" w:rsidRPr="00C20C94" w:rsidRDefault="00C20C94" w:rsidP="00C20C94">
            <w:pPr>
              <w:rPr>
                <w:rFonts w:cstheme="minorHAnsi"/>
                <w:sz w:val="24"/>
                <w:szCs w:val="24"/>
              </w:rPr>
            </w:pPr>
            <w:r w:rsidRPr="00C20C94">
              <w:rPr>
                <w:rFonts w:cstheme="minorHAnsi"/>
                <w:sz w:val="24"/>
                <w:szCs w:val="24"/>
              </w:rPr>
              <w:t>Likelihood ratio X</w:t>
            </w:r>
            <w:r w:rsidRPr="00C20C94">
              <w:rPr>
                <w:rFonts w:cstheme="minorHAnsi"/>
                <w:sz w:val="24"/>
                <w:szCs w:val="24"/>
                <w:vertAlign w:val="superscript"/>
              </w:rPr>
              <w:t>2</w:t>
            </w:r>
          </w:p>
        </w:tc>
        <w:tc>
          <w:tcPr>
            <w:tcW w:w="0" w:type="auto"/>
            <w:hideMark/>
          </w:tcPr>
          <w:p w14:paraId="7A199F92" w14:textId="77777777" w:rsidR="00C20C94" w:rsidRPr="00C20C94" w:rsidRDefault="00C20C94" w:rsidP="0048687C">
            <w:pPr>
              <w:jc w:val="center"/>
              <w:rPr>
                <w:rFonts w:cstheme="minorHAnsi"/>
                <w:sz w:val="24"/>
                <w:szCs w:val="24"/>
              </w:rPr>
            </w:pPr>
            <w:r w:rsidRPr="00C20C94">
              <w:rPr>
                <w:rFonts w:cstheme="minorHAnsi"/>
                <w:sz w:val="24"/>
                <w:szCs w:val="24"/>
              </w:rPr>
              <w:t>269.805**</w:t>
            </w:r>
          </w:p>
        </w:tc>
        <w:tc>
          <w:tcPr>
            <w:tcW w:w="0" w:type="auto"/>
            <w:hideMark/>
          </w:tcPr>
          <w:p w14:paraId="440BA4B1" w14:textId="77777777" w:rsidR="00C20C94" w:rsidRPr="00C20C94" w:rsidRDefault="00C20C94" w:rsidP="0048687C">
            <w:pPr>
              <w:jc w:val="center"/>
              <w:rPr>
                <w:rFonts w:cstheme="minorHAnsi"/>
                <w:sz w:val="24"/>
                <w:szCs w:val="24"/>
              </w:rPr>
            </w:pPr>
            <w:r w:rsidRPr="00C20C94">
              <w:rPr>
                <w:rFonts w:cstheme="minorHAnsi"/>
                <w:sz w:val="24"/>
                <w:szCs w:val="24"/>
              </w:rPr>
              <w:t>280.813**</w:t>
            </w:r>
          </w:p>
        </w:tc>
      </w:tr>
      <w:tr w:rsidR="00C20C94" w:rsidRPr="00C20C94" w14:paraId="01EAF337" w14:textId="77777777" w:rsidTr="00F201C0">
        <w:tc>
          <w:tcPr>
            <w:tcW w:w="0" w:type="auto"/>
            <w:hideMark/>
          </w:tcPr>
          <w:p w14:paraId="3125A2C5" w14:textId="77777777" w:rsidR="00C20C94" w:rsidRPr="00C20C94" w:rsidRDefault="00C20C94" w:rsidP="00C20C94">
            <w:pPr>
              <w:rPr>
                <w:rFonts w:cstheme="minorHAnsi"/>
                <w:sz w:val="24"/>
                <w:szCs w:val="24"/>
              </w:rPr>
            </w:pPr>
            <w:r w:rsidRPr="00C20C94">
              <w:rPr>
                <w:rFonts w:cstheme="minorHAnsi"/>
                <w:sz w:val="24"/>
                <w:szCs w:val="24"/>
              </w:rPr>
              <w:t>Degrees of freedom</w:t>
            </w:r>
          </w:p>
        </w:tc>
        <w:tc>
          <w:tcPr>
            <w:tcW w:w="0" w:type="auto"/>
            <w:hideMark/>
          </w:tcPr>
          <w:p w14:paraId="0BE22BEC" w14:textId="77777777" w:rsidR="00C20C94" w:rsidRPr="00C20C94" w:rsidRDefault="00C20C94" w:rsidP="0048687C">
            <w:pPr>
              <w:jc w:val="center"/>
              <w:rPr>
                <w:rFonts w:cstheme="minorHAnsi"/>
                <w:sz w:val="24"/>
                <w:szCs w:val="24"/>
              </w:rPr>
            </w:pPr>
            <w:r w:rsidRPr="00C20C94">
              <w:rPr>
                <w:rFonts w:cstheme="minorHAnsi"/>
                <w:sz w:val="24"/>
                <w:szCs w:val="24"/>
              </w:rPr>
              <w:t>7</w:t>
            </w:r>
          </w:p>
        </w:tc>
        <w:tc>
          <w:tcPr>
            <w:tcW w:w="0" w:type="auto"/>
            <w:hideMark/>
          </w:tcPr>
          <w:p w14:paraId="7EBBB3BA" w14:textId="77777777" w:rsidR="00C20C94" w:rsidRPr="00C20C94" w:rsidRDefault="00C20C94" w:rsidP="0048687C">
            <w:pPr>
              <w:jc w:val="center"/>
              <w:rPr>
                <w:rFonts w:cstheme="minorHAnsi"/>
                <w:sz w:val="24"/>
                <w:szCs w:val="24"/>
              </w:rPr>
            </w:pPr>
            <w:r w:rsidRPr="00C20C94">
              <w:rPr>
                <w:rFonts w:cstheme="minorHAnsi"/>
                <w:sz w:val="24"/>
                <w:szCs w:val="24"/>
              </w:rPr>
              <w:t>8</w:t>
            </w:r>
          </w:p>
        </w:tc>
      </w:tr>
    </w:tbl>
    <w:p w14:paraId="2D813636" w14:textId="77777777" w:rsidR="00C20C94" w:rsidRPr="00C20C94" w:rsidRDefault="00C20C94" w:rsidP="00F201C0">
      <w:pPr>
        <w:pStyle w:val="NoSpacing"/>
      </w:pPr>
      <w:r w:rsidRPr="00C20C94">
        <w:rPr>
          <w:i/>
          <w:iCs/>
        </w:rPr>
        <w:t>Notes</w:t>
      </w:r>
      <w:r w:rsidRPr="00C20C94">
        <w:t>: Coefficients shown with standard errors in parentheses. *</w:t>
      </w:r>
      <w:r w:rsidRPr="00C20C94">
        <w:rPr>
          <w:i/>
          <w:iCs/>
        </w:rPr>
        <w:t>p</w:t>
      </w:r>
      <w:r w:rsidRPr="00C20C94">
        <w:t> &lt; .05; **</w:t>
      </w:r>
      <w:r w:rsidRPr="00C20C94">
        <w:rPr>
          <w:i/>
          <w:iCs/>
        </w:rPr>
        <w:t>p</w:t>
      </w:r>
      <w:r w:rsidRPr="00C20C94">
        <w:t> &lt; .01.</w:t>
      </w:r>
    </w:p>
    <w:p w14:paraId="4C2EF955" w14:textId="77777777" w:rsidR="00F201C0" w:rsidRDefault="00F201C0" w:rsidP="00C20C94">
      <w:pPr>
        <w:rPr>
          <w:rFonts w:cstheme="minorHAnsi"/>
          <w:sz w:val="24"/>
          <w:szCs w:val="24"/>
        </w:rPr>
      </w:pPr>
    </w:p>
    <w:p w14:paraId="5109760F" w14:textId="72F2157B" w:rsidR="00C20C94" w:rsidRPr="00C20C94" w:rsidRDefault="00C20C94" w:rsidP="00C20C94">
      <w:pPr>
        <w:rPr>
          <w:rFonts w:cstheme="minorHAnsi"/>
          <w:sz w:val="24"/>
          <w:szCs w:val="24"/>
        </w:rPr>
      </w:pPr>
      <w:r w:rsidRPr="00C20C94">
        <w:rPr>
          <w:rFonts w:cstheme="minorHAnsi"/>
          <w:sz w:val="24"/>
          <w:szCs w:val="24"/>
        </w:rPr>
        <w:lastRenderedPageBreak/>
        <w:t>Given the results of this global model, four additional models with different alcohol outlet types (</w:t>
      </w:r>
      <w:proofErr w:type="gramStart"/>
      <w:r w:rsidRPr="00C20C94">
        <w:rPr>
          <w:rFonts w:cstheme="minorHAnsi"/>
          <w:sz w:val="24"/>
          <w:szCs w:val="24"/>
        </w:rPr>
        <w:t>on-premise</w:t>
      </w:r>
      <w:proofErr w:type="gramEnd"/>
      <w:r w:rsidRPr="00C20C94">
        <w:rPr>
          <w:rFonts w:cstheme="minorHAnsi"/>
          <w:sz w:val="24"/>
          <w:szCs w:val="24"/>
        </w:rPr>
        <w:t xml:space="preserve"> and off-premise) as the dependent variables were estimated to provide a more nuanced analysis of the relationship among alcohol availability, race/ethnicity, and social disorganization, net of control variables. These models are presented in Table 4 and in Table 5.</w:t>
      </w:r>
    </w:p>
    <w:p w14:paraId="7302F004" w14:textId="77777777" w:rsidR="00C20C94" w:rsidRPr="00C20C94" w:rsidRDefault="00C20C94" w:rsidP="00F201C0">
      <w:pPr>
        <w:spacing w:after="0"/>
        <w:rPr>
          <w:rFonts w:cstheme="minorHAnsi"/>
          <w:sz w:val="24"/>
          <w:szCs w:val="24"/>
        </w:rPr>
      </w:pPr>
      <w:r w:rsidRPr="00C20C94">
        <w:rPr>
          <w:rFonts w:cstheme="minorHAnsi"/>
          <w:sz w:val="24"/>
          <w:szCs w:val="24"/>
        </w:rPr>
        <w:t xml:space="preserve">Table 4. Negative binomial regression results for </w:t>
      </w:r>
      <w:proofErr w:type="gramStart"/>
      <w:r w:rsidRPr="00C20C94">
        <w:rPr>
          <w:rFonts w:cstheme="minorHAnsi"/>
          <w:sz w:val="24"/>
          <w:szCs w:val="24"/>
        </w:rPr>
        <w:t>on-premise</w:t>
      </w:r>
      <w:proofErr w:type="gramEnd"/>
      <w:r w:rsidRPr="00C20C94">
        <w:rPr>
          <w:rFonts w:cstheme="minorHAnsi"/>
          <w:sz w:val="24"/>
          <w:szCs w:val="24"/>
        </w:rPr>
        <w:t xml:space="preserve"> alcohol outlets (N = 571).</w:t>
      </w:r>
    </w:p>
    <w:tbl>
      <w:tblPr>
        <w:tblStyle w:val="TableGrid"/>
        <w:tblW w:w="0" w:type="auto"/>
        <w:tblLook w:val="04A0" w:firstRow="1" w:lastRow="0" w:firstColumn="1" w:lastColumn="0" w:noHBand="0" w:noVBand="1"/>
      </w:tblPr>
      <w:tblGrid>
        <w:gridCol w:w="3409"/>
        <w:gridCol w:w="1991"/>
        <w:gridCol w:w="2112"/>
      </w:tblGrid>
      <w:tr w:rsidR="00C20C94" w:rsidRPr="00C20C94" w14:paraId="20D3C736" w14:textId="77777777" w:rsidTr="00F201C0">
        <w:tc>
          <w:tcPr>
            <w:tcW w:w="0" w:type="auto"/>
            <w:hideMark/>
          </w:tcPr>
          <w:p w14:paraId="52BED019" w14:textId="77777777" w:rsidR="00C20C94" w:rsidRPr="00C20C94" w:rsidRDefault="00C20C94" w:rsidP="00C20C94">
            <w:pPr>
              <w:rPr>
                <w:rFonts w:cstheme="minorHAnsi"/>
                <w:sz w:val="24"/>
                <w:szCs w:val="24"/>
              </w:rPr>
            </w:pPr>
          </w:p>
        </w:tc>
        <w:tc>
          <w:tcPr>
            <w:tcW w:w="0" w:type="auto"/>
            <w:hideMark/>
          </w:tcPr>
          <w:p w14:paraId="7D4238A7" w14:textId="77777777" w:rsidR="00C20C94" w:rsidRPr="00C20C94" w:rsidRDefault="00C20C94" w:rsidP="00C20C94">
            <w:pPr>
              <w:rPr>
                <w:rFonts w:cstheme="minorHAnsi"/>
                <w:sz w:val="24"/>
                <w:szCs w:val="24"/>
              </w:rPr>
            </w:pPr>
            <w:r w:rsidRPr="00C20C94">
              <w:rPr>
                <w:rFonts w:cstheme="minorHAnsi"/>
                <w:sz w:val="24"/>
                <w:szCs w:val="24"/>
              </w:rPr>
              <w:t>Model 3</w:t>
            </w:r>
          </w:p>
        </w:tc>
        <w:tc>
          <w:tcPr>
            <w:tcW w:w="0" w:type="auto"/>
            <w:hideMark/>
          </w:tcPr>
          <w:p w14:paraId="70845C3F" w14:textId="77777777" w:rsidR="00C20C94" w:rsidRPr="00C20C94" w:rsidRDefault="00C20C94" w:rsidP="00C20C94">
            <w:pPr>
              <w:rPr>
                <w:rFonts w:cstheme="minorHAnsi"/>
                <w:sz w:val="24"/>
                <w:szCs w:val="24"/>
              </w:rPr>
            </w:pPr>
            <w:r w:rsidRPr="00C20C94">
              <w:rPr>
                <w:rFonts w:cstheme="minorHAnsi"/>
                <w:sz w:val="24"/>
                <w:szCs w:val="24"/>
              </w:rPr>
              <w:t>Model 4</w:t>
            </w:r>
          </w:p>
        </w:tc>
      </w:tr>
      <w:tr w:rsidR="00C20C94" w:rsidRPr="00C20C94" w14:paraId="757C77AB" w14:textId="77777777" w:rsidTr="00F201C0">
        <w:tc>
          <w:tcPr>
            <w:tcW w:w="0" w:type="auto"/>
            <w:hideMark/>
          </w:tcPr>
          <w:p w14:paraId="778E32DD" w14:textId="77777777" w:rsidR="00C20C94" w:rsidRPr="00C20C94" w:rsidRDefault="00C20C94" w:rsidP="00C20C94">
            <w:pPr>
              <w:rPr>
                <w:rFonts w:cstheme="minorHAnsi"/>
                <w:sz w:val="24"/>
                <w:szCs w:val="24"/>
              </w:rPr>
            </w:pPr>
            <w:r w:rsidRPr="00C20C94">
              <w:rPr>
                <w:rFonts w:cstheme="minorHAnsi"/>
                <w:sz w:val="24"/>
                <w:szCs w:val="24"/>
              </w:rPr>
              <w:t>Proportion Hispanic</w:t>
            </w:r>
          </w:p>
        </w:tc>
        <w:tc>
          <w:tcPr>
            <w:tcW w:w="0" w:type="auto"/>
            <w:hideMark/>
          </w:tcPr>
          <w:p w14:paraId="254236BB" w14:textId="77777777" w:rsidR="00C20C94" w:rsidRPr="00C20C94" w:rsidRDefault="00C20C94" w:rsidP="00433477">
            <w:pPr>
              <w:jc w:val="center"/>
              <w:rPr>
                <w:rFonts w:cstheme="minorHAnsi"/>
                <w:sz w:val="24"/>
                <w:szCs w:val="24"/>
              </w:rPr>
            </w:pPr>
            <w:r w:rsidRPr="00C20C94">
              <w:rPr>
                <w:rFonts w:cstheme="minorHAnsi"/>
                <w:sz w:val="24"/>
                <w:szCs w:val="24"/>
              </w:rPr>
              <w:t>0.314 (0.2730)</w:t>
            </w:r>
          </w:p>
        </w:tc>
        <w:tc>
          <w:tcPr>
            <w:tcW w:w="0" w:type="auto"/>
            <w:hideMark/>
          </w:tcPr>
          <w:p w14:paraId="783A73E1" w14:textId="77777777" w:rsidR="00C20C94" w:rsidRPr="00C20C94" w:rsidRDefault="00C20C94" w:rsidP="00433477">
            <w:pPr>
              <w:jc w:val="center"/>
              <w:rPr>
                <w:rFonts w:cstheme="minorHAnsi"/>
                <w:sz w:val="24"/>
                <w:szCs w:val="24"/>
              </w:rPr>
            </w:pPr>
            <w:r w:rsidRPr="00C20C94">
              <w:rPr>
                <w:rFonts w:cstheme="minorHAnsi"/>
                <w:sz w:val="24"/>
                <w:szCs w:val="24"/>
              </w:rPr>
              <w:t>–0.475 (0.3586)</w:t>
            </w:r>
          </w:p>
        </w:tc>
      </w:tr>
      <w:tr w:rsidR="00C20C94" w:rsidRPr="00C20C94" w14:paraId="029857F6" w14:textId="77777777" w:rsidTr="00F201C0">
        <w:tc>
          <w:tcPr>
            <w:tcW w:w="0" w:type="auto"/>
            <w:hideMark/>
          </w:tcPr>
          <w:p w14:paraId="4307E1EB" w14:textId="77777777" w:rsidR="00C20C94" w:rsidRPr="00C20C94" w:rsidRDefault="00C20C94" w:rsidP="00C20C94">
            <w:pPr>
              <w:rPr>
                <w:rFonts w:cstheme="minorHAnsi"/>
                <w:sz w:val="24"/>
                <w:szCs w:val="24"/>
              </w:rPr>
            </w:pPr>
            <w:r w:rsidRPr="00C20C94">
              <w:rPr>
                <w:rFonts w:cstheme="minorHAnsi"/>
                <w:sz w:val="24"/>
                <w:szCs w:val="24"/>
              </w:rPr>
              <w:t>Proportion African American</w:t>
            </w:r>
          </w:p>
        </w:tc>
        <w:tc>
          <w:tcPr>
            <w:tcW w:w="0" w:type="auto"/>
            <w:hideMark/>
          </w:tcPr>
          <w:p w14:paraId="2072C585" w14:textId="77777777" w:rsidR="00C20C94" w:rsidRPr="00C20C94" w:rsidRDefault="00C20C94" w:rsidP="00433477">
            <w:pPr>
              <w:jc w:val="center"/>
              <w:rPr>
                <w:rFonts w:cstheme="minorHAnsi"/>
                <w:sz w:val="24"/>
                <w:szCs w:val="24"/>
              </w:rPr>
            </w:pPr>
            <w:r w:rsidRPr="00C20C94">
              <w:rPr>
                <w:rFonts w:cstheme="minorHAnsi"/>
                <w:sz w:val="24"/>
                <w:szCs w:val="24"/>
              </w:rPr>
              <w:t>–0.789** (0.1976)</w:t>
            </w:r>
          </w:p>
        </w:tc>
        <w:tc>
          <w:tcPr>
            <w:tcW w:w="0" w:type="auto"/>
            <w:hideMark/>
          </w:tcPr>
          <w:p w14:paraId="6E104E4A" w14:textId="77777777" w:rsidR="00C20C94" w:rsidRPr="00C20C94" w:rsidRDefault="00C20C94" w:rsidP="00433477">
            <w:pPr>
              <w:jc w:val="center"/>
              <w:rPr>
                <w:rFonts w:cstheme="minorHAnsi"/>
                <w:sz w:val="24"/>
                <w:szCs w:val="24"/>
              </w:rPr>
            </w:pPr>
            <w:r w:rsidRPr="00C20C94">
              <w:rPr>
                <w:rFonts w:cstheme="minorHAnsi"/>
                <w:sz w:val="24"/>
                <w:szCs w:val="24"/>
              </w:rPr>
              <w:t>–0.1618** (0.3192)</w:t>
            </w:r>
          </w:p>
        </w:tc>
      </w:tr>
      <w:tr w:rsidR="00C20C94" w:rsidRPr="00C20C94" w14:paraId="09FAC21B" w14:textId="77777777" w:rsidTr="00F201C0">
        <w:tc>
          <w:tcPr>
            <w:tcW w:w="0" w:type="auto"/>
            <w:hideMark/>
          </w:tcPr>
          <w:p w14:paraId="29731B36" w14:textId="77777777" w:rsidR="00C20C94" w:rsidRPr="00C20C94" w:rsidRDefault="00C20C94" w:rsidP="00C20C94">
            <w:pPr>
              <w:rPr>
                <w:rFonts w:cstheme="minorHAnsi"/>
                <w:sz w:val="24"/>
                <w:szCs w:val="24"/>
              </w:rPr>
            </w:pPr>
            <w:r w:rsidRPr="00C20C94">
              <w:rPr>
                <w:rFonts w:cstheme="minorHAnsi"/>
                <w:sz w:val="24"/>
                <w:szCs w:val="24"/>
              </w:rPr>
              <w:t>Proportion Asian</w:t>
            </w:r>
          </w:p>
        </w:tc>
        <w:tc>
          <w:tcPr>
            <w:tcW w:w="0" w:type="auto"/>
            <w:hideMark/>
          </w:tcPr>
          <w:p w14:paraId="3FE7ABDB" w14:textId="77777777" w:rsidR="00C20C94" w:rsidRPr="00C20C94" w:rsidRDefault="00C20C94" w:rsidP="00433477">
            <w:pPr>
              <w:jc w:val="center"/>
              <w:rPr>
                <w:rFonts w:cstheme="minorHAnsi"/>
                <w:sz w:val="24"/>
                <w:szCs w:val="24"/>
              </w:rPr>
            </w:pPr>
            <w:r w:rsidRPr="00C20C94">
              <w:rPr>
                <w:rFonts w:cstheme="minorHAnsi"/>
                <w:sz w:val="24"/>
                <w:szCs w:val="24"/>
              </w:rPr>
              <w:t>–2.638 (1.4894)</w:t>
            </w:r>
          </w:p>
        </w:tc>
        <w:tc>
          <w:tcPr>
            <w:tcW w:w="0" w:type="auto"/>
            <w:hideMark/>
          </w:tcPr>
          <w:p w14:paraId="35B8B4BF" w14:textId="77777777" w:rsidR="00C20C94" w:rsidRPr="00C20C94" w:rsidRDefault="00C20C94" w:rsidP="00433477">
            <w:pPr>
              <w:jc w:val="center"/>
              <w:rPr>
                <w:rFonts w:cstheme="minorHAnsi"/>
                <w:sz w:val="24"/>
                <w:szCs w:val="24"/>
              </w:rPr>
            </w:pPr>
            <w:r w:rsidRPr="00C20C94">
              <w:rPr>
                <w:rFonts w:cstheme="minorHAnsi"/>
                <w:sz w:val="24"/>
                <w:szCs w:val="24"/>
              </w:rPr>
              <w:t>–3.276* (1.4552)</w:t>
            </w:r>
          </w:p>
        </w:tc>
      </w:tr>
      <w:tr w:rsidR="00C20C94" w:rsidRPr="00C20C94" w14:paraId="09F79559" w14:textId="77777777" w:rsidTr="00F201C0">
        <w:tc>
          <w:tcPr>
            <w:tcW w:w="0" w:type="auto"/>
            <w:hideMark/>
          </w:tcPr>
          <w:p w14:paraId="73F53A8E" w14:textId="77777777" w:rsidR="00C20C94" w:rsidRPr="00C20C94" w:rsidRDefault="00C20C94" w:rsidP="00C20C94">
            <w:pPr>
              <w:rPr>
                <w:rFonts w:cstheme="minorHAnsi"/>
                <w:sz w:val="24"/>
                <w:szCs w:val="24"/>
              </w:rPr>
            </w:pPr>
            <w:r w:rsidRPr="00C20C94">
              <w:rPr>
                <w:rFonts w:cstheme="minorHAnsi"/>
                <w:sz w:val="24"/>
                <w:szCs w:val="24"/>
              </w:rPr>
              <w:t>Persons (ln)</w:t>
            </w:r>
          </w:p>
        </w:tc>
        <w:tc>
          <w:tcPr>
            <w:tcW w:w="0" w:type="auto"/>
            <w:hideMark/>
          </w:tcPr>
          <w:p w14:paraId="21D454FF" w14:textId="77777777" w:rsidR="00C20C94" w:rsidRPr="00C20C94" w:rsidRDefault="00C20C94" w:rsidP="00433477">
            <w:pPr>
              <w:jc w:val="center"/>
              <w:rPr>
                <w:rFonts w:cstheme="minorHAnsi"/>
                <w:sz w:val="24"/>
                <w:szCs w:val="24"/>
              </w:rPr>
            </w:pPr>
            <w:r w:rsidRPr="00C20C94">
              <w:rPr>
                <w:rFonts w:cstheme="minorHAnsi"/>
                <w:sz w:val="24"/>
                <w:szCs w:val="24"/>
              </w:rPr>
              <w:t>0.582* (0.1823)</w:t>
            </w:r>
          </w:p>
        </w:tc>
        <w:tc>
          <w:tcPr>
            <w:tcW w:w="0" w:type="auto"/>
            <w:hideMark/>
          </w:tcPr>
          <w:p w14:paraId="69CD7467" w14:textId="77777777" w:rsidR="00C20C94" w:rsidRPr="00C20C94" w:rsidRDefault="00C20C94" w:rsidP="00433477">
            <w:pPr>
              <w:jc w:val="center"/>
              <w:rPr>
                <w:rFonts w:cstheme="minorHAnsi"/>
                <w:sz w:val="24"/>
                <w:szCs w:val="24"/>
              </w:rPr>
            </w:pPr>
            <w:r w:rsidRPr="00C20C94">
              <w:rPr>
                <w:rFonts w:cstheme="minorHAnsi"/>
                <w:sz w:val="24"/>
                <w:szCs w:val="24"/>
              </w:rPr>
              <w:t>0.568* (0.1823)</w:t>
            </w:r>
          </w:p>
        </w:tc>
      </w:tr>
      <w:tr w:rsidR="00C20C94" w:rsidRPr="00C20C94" w14:paraId="23AC25FF" w14:textId="77777777" w:rsidTr="00F201C0">
        <w:tc>
          <w:tcPr>
            <w:tcW w:w="0" w:type="auto"/>
            <w:hideMark/>
          </w:tcPr>
          <w:p w14:paraId="7A292975" w14:textId="77777777" w:rsidR="00C20C94" w:rsidRPr="00C20C94" w:rsidRDefault="00C20C94" w:rsidP="00C20C94">
            <w:pPr>
              <w:rPr>
                <w:rFonts w:cstheme="minorHAnsi"/>
                <w:sz w:val="24"/>
                <w:szCs w:val="24"/>
              </w:rPr>
            </w:pPr>
            <w:r w:rsidRPr="00C20C94">
              <w:rPr>
                <w:rFonts w:cstheme="minorHAnsi"/>
                <w:sz w:val="24"/>
                <w:szCs w:val="24"/>
              </w:rPr>
              <w:t>Proportion young</w:t>
            </w:r>
          </w:p>
        </w:tc>
        <w:tc>
          <w:tcPr>
            <w:tcW w:w="0" w:type="auto"/>
            <w:hideMark/>
          </w:tcPr>
          <w:p w14:paraId="18285B34" w14:textId="77777777" w:rsidR="00C20C94" w:rsidRPr="00C20C94" w:rsidRDefault="00C20C94" w:rsidP="00433477">
            <w:pPr>
              <w:jc w:val="center"/>
              <w:rPr>
                <w:rFonts w:cstheme="minorHAnsi"/>
                <w:sz w:val="24"/>
                <w:szCs w:val="24"/>
              </w:rPr>
            </w:pPr>
            <w:r w:rsidRPr="00C20C94">
              <w:rPr>
                <w:rFonts w:cstheme="minorHAnsi"/>
                <w:sz w:val="24"/>
                <w:szCs w:val="24"/>
              </w:rPr>
              <w:t>1.489 * (0.5112)</w:t>
            </w:r>
          </w:p>
        </w:tc>
        <w:tc>
          <w:tcPr>
            <w:tcW w:w="0" w:type="auto"/>
            <w:hideMark/>
          </w:tcPr>
          <w:p w14:paraId="5F3F8A5E" w14:textId="77777777" w:rsidR="00C20C94" w:rsidRPr="00C20C94" w:rsidRDefault="00C20C94" w:rsidP="00433477">
            <w:pPr>
              <w:jc w:val="center"/>
              <w:rPr>
                <w:rFonts w:cstheme="minorHAnsi"/>
                <w:sz w:val="24"/>
                <w:szCs w:val="24"/>
              </w:rPr>
            </w:pPr>
            <w:r w:rsidRPr="00C20C94">
              <w:rPr>
                <w:rFonts w:cstheme="minorHAnsi"/>
                <w:sz w:val="24"/>
                <w:szCs w:val="24"/>
              </w:rPr>
              <w:t>0.478 (0.5776)</w:t>
            </w:r>
          </w:p>
        </w:tc>
      </w:tr>
      <w:tr w:rsidR="00C20C94" w:rsidRPr="00C20C94" w14:paraId="5AEC68C5" w14:textId="77777777" w:rsidTr="00F201C0">
        <w:tc>
          <w:tcPr>
            <w:tcW w:w="0" w:type="auto"/>
            <w:hideMark/>
          </w:tcPr>
          <w:p w14:paraId="1E3A660E" w14:textId="77777777" w:rsidR="00C20C94" w:rsidRPr="00C20C94" w:rsidRDefault="00C20C94" w:rsidP="00C20C94">
            <w:pPr>
              <w:rPr>
                <w:rFonts w:cstheme="minorHAnsi"/>
                <w:sz w:val="24"/>
                <w:szCs w:val="24"/>
              </w:rPr>
            </w:pPr>
            <w:r w:rsidRPr="00C20C94">
              <w:rPr>
                <w:rFonts w:cstheme="minorHAnsi"/>
                <w:sz w:val="24"/>
                <w:szCs w:val="24"/>
              </w:rPr>
              <w:t>Area size (sq. miles)</w:t>
            </w:r>
          </w:p>
        </w:tc>
        <w:tc>
          <w:tcPr>
            <w:tcW w:w="0" w:type="auto"/>
            <w:hideMark/>
          </w:tcPr>
          <w:p w14:paraId="4169E653" w14:textId="77777777" w:rsidR="00C20C94" w:rsidRPr="00C20C94" w:rsidRDefault="00C20C94" w:rsidP="00433477">
            <w:pPr>
              <w:jc w:val="center"/>
              <w:rPr>
                <w:rFonts w:cstheme="minorHAnsi"/>
                <w:sz w:val="24"/>
                <w:szCs w:val="24"/>
              </w:rPr>
            </w:pPr>
            <w:r w:rsidRPr="00C20C94">
              <w:rPr>
                <w:rFonts w:cstheme="minorHAnsi"/>
                <w:sz w:val="24"/>
                <w:szCs w:val="24"/>
              </w:rPr>
              <w:t>0.496* (0.2025)</w:t>
            </w:r>
          </w:p>
        </w:tc>
        <w:tc>
          <w:tcPr>
            <w:tcW w:w="0" w:type="auto"/>
            <w:hideMark/>
          </w:tcPr>
          <w:p w14:paraId="16B5E3AF" w14:textId="77777777" w:rsidR="00C20C94" w:rsidRPr="00C20C94" w:rsidRDefault="00C20C94" w:rsidP="00433477">
            <w:pPr>
              <w:jc w:val="center"/>
              <w:rPr>
                <w:rFonts w:cstheme="minorHAnsi"/>
                <w:sz w:val="24"/>
                <w:szCs w:val="24"/>
              </w:rPr>
            </w:pPr>
            <w:r w:rsidRPr="00C20C94">
              <w:rPr>
                <w:rFonts w:cstheme="minorHAnsi"/>
                <w:sz w:val="24"/>
                <w:szCs w:val="24"/>
              </w:rPr>
              <w:t>0.552* (0.2007)</w:t>
            </w:r>
          </w:p>
        </w:tc>
      </w:tr>
      <w:tr w:rsidR="00C20C94" w:rsidRPr="00C20C94" w14:paraId="5948388E" w14:textId="77777777" w:rsidTr="00F201C0">
        <w:tc>
          <w:tcPr>
            <w:tcW w:w="0" w:type="auto"/>
            <w:hideMark/>
          </w:tcPr>
          <w:p w14:paraId="3A7C303F" w14:textId="77777777" w:rsidR="00C20C94" w:rsidRPr="00C20C94" w:rsidRDefault="00C20C94" w:rsidP="00C20C94">
            <w:pPr>
              <w:rPr>
                <w:rFonts w:cstheme="minorHAnsi"/>
                <w:sz w:val="24"/>
                <w:szCs w:val="24"/>
              </w:rPr>
            </w:pPr>
            <w:r w:rsidRPr="00C20C94">
              <w:rPr>
                <w:rFonts w:cstheme="minorHAnsi"/>
                <w:sz w:val="24"/>
                <w:szCs w:val="24"/>
              </w:rPr>
              <w:t>Rho—on premise alcohol outlets</w:t>
            </w:r>
          </w:p>
        </w:tc>
        <w:tc>
          <w:tcPr>
            <w:tcW w:w="0" w:type="auto"/>
            <w:hideMark/>
          </w:tcPr>
          <w:p w14:paraId="4953C331" w14:textId="77777777" w:rsidR="00C20C94" w:rsidRPr="00C20C94" w:rsidRDefault="00C20C94" w:rsidP="00433477">
            <w:pPr>
              <w:jc w:val="center"/>
              <w:rPr>
                <w:rFonts w:cstheme="minorHAnsi"/>
                <w:sz w:val="24"/>
                <w:szCs w:val="24"/>
              </w:rPr>
            </w:pPr>
            <w:r w:rsidRPr="00C20C94">
              <w:rPr>
                <w:rFonts w:cstheme="minorHAnsi"/>
                <w:sz w:val="24"/>
                <w:szCs w:val="24"/>
              </w:rPr>
              <w:t>0.158** (0.0153)</w:t>
            </w:r>
          </w:p>
        </w:tc>
        <w:tc>
          <w:tcPr>
            <w:tcW w:w="0" w:type="auto"/>
            <w:hideMark/>
          </w:tcPr>
          <w:p w14:paraId="2D7414A1" w14:textId="77777777" w:rsidR="00C20C94" w:rsidRPr="00C20C94" w:rsidRDefault="00C20C94" w:rsidP="00433477">
            <w:pPr>
              <w:jc w:val="center"/>
              <w:rPr>
                <w:rFonts w:cstheme="minorHAnsi"/>
                <w:sz w:val="24"/>
                <w:szCs w:val="24"/>
              </w:rPr>
            </w:pPr>
            <w:r w:rsidRPr="00C20C94">
              <w:rPr>
                <w:rFonts w:cstheme="minorHAnsi"/>
                <w:sz w:val="24"/>
                <w:szCs w:val="24"/>
              </w:rPr>
              <w:t>0.144** (0.0157)</w:t>
            </w:r>
          </w:p>
        </w:tc>
      </w:tr>
      <w:tr w:rsidR="00C20C94" w:rsidRPr="00C20C94" w14:paraId="6B8235DC" w14:textId="77777777" w:rsidTr="00F201C0">
        <w:tc>
          <w:tcPr>
            <w:tcW w:w="0" w:type="auto"/>
            <w:hideMark/>
          </w:tcPr>
          <w:p w14:paraId="42AE9825" w14:textId="77777777" w:rsidR="00C20C94" w:rsidRPr="00C20C94" w:rsidRDefault="00C20C94" w:rsidP="00C20C94">
            <w:pPr>
              <w:rPr>
                <w:rFonts w:cstheme="minorHAnsi"/>
                <w:sz w:val="24"/>
                <w:szCs w:val="24"/>
              </w:rPr>
            </w:pPr>
            <w:r w:rsidRPr="00C20C94">
              <w:rPr>
                <w:rFonts w:cstheme="minorHAnsi"/>
                <w:sz w:val="24"/>
                <w:szCs w:val="24"/>
              </w:rPr>
              <w:t>Social disorganization</w:t>
            </w:r>
          </w:p>
        </w:tc>
        <w:tc>
          <w:tcPr>
            <w:tcW w:w="0" w:type="auto"/>
            <w:hideMark/>
          </w:tcPr>
          <w:p w14:paraId="3F0FA73F" w14:textId="77777777" w:rsidR="00C20C94" w:rsidRPr="00C20C94" w:rsidRDefault="00C20C94" w:rsidP="00433477">
            <w:pPr>
              <w:jc w:val="center"/>
              <w:rPr>
                <w:rFonts w:cstheme="minorHAnsi"/>
                <w:sz w:val="24"/>
                <w:szCs w:val="24"/>
              </w:rPr>
            </w:pPr>
            <w:r w:rsidRPr="00C20C94">
              <w:rPr>
                <w:rFonts w:cstheme="minorHAnsi"/>
                <w:sz w:val="24"/>
                <w:szCs w:val="24"/>
              </w:rPr>
              <w:t>—</w:t>
            </w:r>
          </w:p>
        </w:tc>
        <w:tc>
          <w:tcPr>
            <w:tcW w:w="0" w:type="auto"/>
            <w:hideMark/>
          </w:tcPr>
          <w:p w14:paraId="568FF3A0" w14:textId="77777777" w:rsidR="00C20C94" w:rsidRPr="00C20C94" w:rsidRDefault="00C20C94" w:rsidP="00433477">
            <w:pPr>
              <w:jc w:val="center"/>
              <w:rPr>
                <w:rFonts w:cstheme="minorHAnsi"/>
                <w:sz w:val="24"/>
                <w:szCs w:val="24"/>
              </w:rPr>
            </w:pPr>
            <w:r w:rsidRPr="00C20C94">
              <w:rPr>
                <w:rFonts w:cstheme="minorHAnsi"/>
                <w:sz w:val="24"/>
                <w:szCs w:val="24"/>
              </w:rPr>
              <w:t>0.445** (0.1261)</w:t>
            </w:r>
          </w:p>
        </w:tc>
      </w:tr>
      <w:tr w:rsidR="00C20C94" w:rsidRPr="00C20C94" w14:paraId="7A9D0294" w14:textId="77777777" w:rsidTr="00F201C0">
        <w:tc>
          <w:tcPr>
            <w:tcW w:w="0" w:type="auto"/>
            <w:hideMark/>
          </w:tcPr>
          <w:p w14:paraId="7D5938F9" w14:textId="77777777" w:rsidR="00C20C94" w:rsidRPr="00C20C94" w:rsidRDefault="00C20C94" w:rsidP="00C20C94">
            <w:pPr>
              <w:rPr>
                <w:rFonts w:cstheme="minorHAnsi"/>
                <w:sz w:val="24"/>
                <w:szCs w:val="24"/>
              </w:rPr>
            </w:pPr>
            <w:r w:rsidRPr="00C20C94">
              <w:rPr>
                <w:rFonts w:cstheme="minorHAnsi"/>
                <w:sz w:val="24"/>
                <w:szCs w:val="24"/>
              </w:rPr>
              <w:t>Constant</w:t>
            </w:r>
          </w:p>
        </w:tc>
        <w:tc>
          <w:tcPr>
            <w:tcW w:w="0" w:type="auto"/>
            <w:hideMark/>
          </w:tcPr>
          <w:p w14:paraId="62EB92A1" w14:textId="77777777" w:rsidR="00C20C94" w:rsidRPr="00C20C94" w:rsidRDefault="00C20C94" w:rsidP="00433477">
            <w:pPr>
              <w:jc w:val="center"/>
              <w:rPr>
                <w:rFonts w:cstheme="minorHAnsi"/>
                <w:sz w:val="24"/>
                <w:szCs w:val="24"/>
              </w:rPr>
            </w:pPr>
            <w:r w:rsidRPr="00C20C94">
              <w:rPr>
                <w:rFonts w:cstheme="minorHAnsi"/>
                <w:sz w:val="24"/>
                <w:szCs w:val="24"/>
              </w:rPr>
              <w:t>–4.193* (1.2310)</w:t>
            </w:r>
          </w:p>
        </w:tc>
        <w:tc>
          <w:tcPr>
            <w:tcW w:w="0" w:type="auto"/>
            <w:hideMark/>
          </w:tcPr>
          <w:p w14:paraId="0265132B" w14:textId="77777777" w:rsidR="00C20C94" w:rsidRPr="00C20C94" w:rsidRDefault="00C20C94" w:rsidP="00433477">
            <w:pPr>
              <w:jc w:val="center"/>
              <w:rPr>
                <w:rFonts w:cstheme="minorHAnsi"/>
                <w:sz w:val="24"/>
                <w:szCs w:val="24"/>
              </w:rPr>
            </w:pPr>
            <w:r w:rsidRPr="00C20C94">
              <w:rPr>
                <w:rFonts w:cstheme="minorHAnsi"/>
                <w:sz w:val="24"/>
                <w:szCs w:val="24"/>
              </w:rPr>
              <w:t>–3.428* (1.2608)</w:t>
            </w:r>
          </w:p>
        </w:tc>
      </w:tr>
      <w:tr w:rsidR="00C20C94" w:rsidRPr="00C20C94" w14:paraId="46B2428D" w14:textId="77777777" w:rsidTr="00F201C0">
        <w:tc>
          <w:tcPr>
            <w:tcW w:w="0" w:type="auto"/>
            <w:hideMark/>
          </w:tcPr>
          <w:p w14:paraId="7478DD2D" w14:textId="77777777" w:rsidR="00C20C94" w:rsidRPr="00C20C94" w:rsidRDefault="00C20C94" w:rsidP="00C20C94">
            <w:pPr>
              <w:rPr>
                <w:rFonts w:cstheme="minorHAnsi"/>
                <w:sz w:val="24"/>
                <w:szCs w:val="24"/>
              </w:rPr>
            </w:pPr>
            <w:r w:rsidRPr="00C20C94">
              <w:rPr>
                <w:rFonts w:cstheme="minorHAnsi"/>
                <w:sz w:val="24"/>
                <w:szCs w:val="24"/>
              </w:rPr>
              <w:t>Likelihood ratio X</w:t>
            </w:r>
            <w:r w:rsidRPr="00C20C94">
              <w:rPr>
                <w:rFonts w:cstheme="minorHAnsi"/>
                <w:sz w:val="24"/>
                <w:szCs w:val="24"/>
                <w:vertAlign w:val="superscript"/>
              </w:rPr>
              <w:t>2</w:t>
            </w:r>
          </w:p>
        </w:tc>
        <w:tc>
          <w:tcPr>
            <w:tcW w:w="0" w:type="auto"/>
            <w:hideMark/>
          </w:tcPr>
          <w:p w14:paraId="5BCA1064" w14:textId="77777777" w:rsidR="00C20C94" w:rsidRPr="00C20C94" w:rsidRDefault="00C20C94" w:rsidP="00433477">
            <w:pPr>
              <w:jc w:val="center"/>
              <w:rPr>
                <w:rFonts w:cstheme="minorHAnsi"/>
                <w:sz w:val="24"/>
                <w:szCs w:val="24"/>
              </w:rPr>
            </w:pPr>
            <w:r w:rsidRPr="00C20C94">
              <w:rPr>
                <w:rFonts w:cstheme="minorHAnsi"/>
                <w:sz w:val="24"/>
                <w:szCs w:val="24"/>
              </w:rPr>
              <w:t>372.789**</w:t>
            </w:r>
          </w:p>
        </w:tc>
        <w:tc>
          <w:tcPr>
            <w:tcW w:w="0" w:type="auto"/>
            <w:hideMark/>
          </w:tcPr>
          <w:p w14:paraId="71E3AEB5" w14:textId="77777777" w:rsidR="00C20C94" w:rsidRPr="00C20C94" w:rsidRDefault="00C20C94" w:rsidP="00433477">
            <w:pPr>
              <w:jc w:val="center"/>
              <w:rPr>
                <w:rFonts w:cstheme="minorHAnsi"/>
                <w:sz w:val="24"/>
                <w:szCs w:val="24"/>
              </w:rPr>
            </w:pPr>
            <w:r w:rsidRPr="00C20C94">
              <w:rPr>
                <w:rFonts w:cstheme="minorHAnsi"/>
                <w:sz w:val="24"/>
                <w:szCs w:val="24"/>
              </w:rPr>
              <w:t>383.775**</w:t>
            </w:r>
          </w:p>
        </w:tc>
      </w:tr>
      <w:tr w:rsidR="00C20C94" w:rsidRPr="00C20C94" w14:paraId="14E82A27" w14:textId="77777777" w:rsidTr="00F201C0">
        <w:tc>
          <w:tcPr>
            <w:tcW w:w="0" w:type="auto"/>
            <w:hideMark/>
          </w:tcPr>
          <w:p w14:paraId="3FAFEB2C" w14:textId="77777777" w:rsidR="00C20C94" w:rsidRPr="00C20C94" w:rsidRDefault="00C20C94" w:rsidP="00C20C94">
            <w:pPr>
              <w:rPr>
                <w:rFonts w:cstheme="minorHAnsi"/>
                <w:sz w:val="24"/>
                <w:szCs w:val="24"/>
              </w:rPr>
            </w:pPr>
            <w:r w:rsidRPr="00C20C94">
              <w:rPr>
                <w:rFonts w:cstheme="minorHAnsi"/>
                <w:sz w:val="24"/>
                <w:szCs w:val="24"/>
              </w:rPr>
              <w:t>Degrees of freedom</w:t>
            </w:r>
          </w:p>
        </w:tc>
        <w:tc>
          <w:tcPr>
            <w:tcW w:w="0" w:type="auto"/>
            <w:hideMark/>
          </w:tcPr>
          <w:p w14:paraId="5ADDC98E" w14:textId="77777777" w:rsidR="00C20C94" w:rsidRPr="00C20C94" w:rsidRDefault="00C20C94" w:rsidP="00433477">
            <w:pPr>
              <w:jc w:val="center"/>
              <w:rPr>
                <w:rFonts w:cstheme="minorHAnsi"/>
                <w:sz w:val="24"/>
                <w:szCs w:val="24"/>
              </w:rPr>
            </w:pPr>
            <w:r w:rsidRPr="00C20C94">
              <w:rPr>
                <w:rFonts w:cstheme="minorHAnsi"/>
                <w:sz w:val="24"/>
                <w:szCs w:val="24"/>
              </w:rPr>
              <w:t>7</w:t>
            </w:r>
          </w:p>
        </w:tc>
        <w:tc>
          <w:tcPr>
            <w:tcW w:w="0" w:type="auto"/>
            <w:hideMark/>
          </w:tcPr>
          <w:p w14:paraId="098A2CDF" w14:textId="77777777" w:rsidR="00C20C94" w:rsidRPr="00C20C94" w:rsidRDefault="00C20C94" w:rsidP="00433477">
            <w:pPr>
              <w:jc w:val="center"/>
              <w:rPr>
                <w:rFonts w:cstheme="minorHAnsi"/>
                <w:sz w:val="24"/>
                <w:szCs w:val="24"/>
              </w:rPr>
            </w:pPr>
            <w:r w:rsidRPr="00C20C94">
              <w:rPr>
                <w:rFonts w:cstheme="minorHAnsi"/>
                <w:sz w:val="24"/>
                <w:szCs w:val="24"/>
              </w:rPr>
              <w:t>8</w:t>
            </w:r>
          </w:p>
        </w:tc>
      </w:tr>
    </w:tbl>
    <w:p w14:paraId="29A5C40E" w14:textId="77777777" w:rsidR="00C20C94" w:rsidRPr="00C20C94" w:rsidRDefault="00C20C94" w:rsidP="00A56E03">
      <w:pPr>
        <w:pStyle w:val="NoSpacing"/>
      </w:pPr>
      <w:r w:rsidRPr="00C20C94">
        <w:rPr>
          <w:i/>
          <w:iCs/>
        </w:rPr>
        <w:t>Notes</w:t>
      </w:r>
      <w:r w:rsidRPr="00C20C94">
        <w:t>: Coefficients shown with standard errors in parentheses. *</w:t>
      </w:r>
      <w:r w:rsidRPr="00C20C94">
        <w:rPr>
          <w:i/>
          <w:iCs/>
        </w:rPr>
        <w:t>p</w:t>
      </w:r>
      <w:r w:rsidRPr="00C20C94">
        <w:t> &lt; .05; **</w:t>
      </w:r>
      <w:r w:rsidRPr="00C20C94">
        <w:rPr>
          <w:i/>
          <w:iCs/>
        </w:rPr>
        <w:t>p</w:t>
      </w:r>
      <w:r w:rsidRPr="00C20C94">
        <w:t> &lt; .01.</w:t>
      </w:r>
    </w:p>
    <w:p w14:paraId="575F152A" w14:textId="77777777" w:rsidR="00C20C94" w:rsidRPr="00C20C94" w:rsidRDefault="00C20C94" w:rsidP="00F201C0">
      <w:pPr>
        <w:spacing w:after="0"/>
        <w:rPr>
          <w:rFonts w:cstheme="minorHAnsi"/>
          <w:sz w:val="24"/>
          <w:szCs w:val="24"/>
        </w:rPr>
      </w:pPr>
      <w:r w:rsidRPr="00C20C94">
        <w:rPr>
          <w:rFonts w:cstheme="minorHAnsi"/>
          <w:sz w:val="24"/>
          <w:szCs w:val="24"/>
        </w:rPr>
        <w:t>Table 5. Negative binomial regression results for off-</w:t>
      </w:r>
      <w:proofErr w:type="gramStart"/>
      <w:r w:rsidRPr="00C20C94">
        <w:rPr>
          <w:rFonts w:cstheme="minorHAnsi"/>
          <w:sz w:val="24"/>
          <w:szCs w:val="24"/>
        </w:rPr>
        <w:t>premise</w:t>
      </w:r>
      <w:proofErr w:type="gramEnd"/>
      <w:r w:rsidRPr="00C20C94">
        <w:rPr>
          <w:rFonts w:cstheme="minorHAnsi"/>
          <w:sz w:val="24"/>
          <w:szCs w:val="24"/>
        </w:rPr>
        <w:t xml:space="preserve"> alcohol outlets (N = 571).</w:t>
      </w:r>
    </w:p>
    <w:tbl>
      <w:tblPr>
        <w:tblStyle w:val="TableGrid"/>
        <w:tblW w:w="0" w:type="auto"/>
        <w:tblLook w:val="04A0" w:firstRow="1" w:lastRow="0" w:firstColumn="1" w:lastColumn="0" w:noHBand="0" w:noVBand="1"/>
      </w:tblPr>
      <w:tblGrid>
        <w:gridCol w:w="3429"/>
        <w:gridCol w:w="1871"/>
        <w:gridCol w:w="1871"/>
      </w:tblGrid>
      <w:tr w:rsidR="00C20C94" w:rsidRPr="00C20C94" w14:paraId="26E50EBC" w14:textId="77777777" w:rsidTr="00F201C0">
        <w:tc>
          <w:tcPr>
            <w:tcW w:w="0" w:type="auto"/>
            <w:hideMark/>
          </w:tcPr>
          <w:p w14:paraId="75BBE26B" w14:textId="77777777" w:rsidR="00C20C94" w:rsidRPr="00C20C94" w:rsidRDefault="00C20C94" w:rsidP="00C20C94">
            <w:pPr>
              <w:rPr>
                <w:rFonts w:cstheme="minorHAnsi"/>
                <w:sz w:val="24"/>
                <w:szCs w:val="24"/>
              </w:rPr>
            </w:pPr>
          </w:p>
        </w:tc>
        <w:tc>
          <w:tcPr>
            <w:tcW w:w="0" w:type="auto"/>
            <w:hideMark/>
          </w:tcPr>
          <w:p w14:paraId="43EA0DDE" w14:textId="77777777" w:rsidR="00C20C94" w:rsidRPr="00C20C94" w:rsidRDefault="00C20C94" w:rsidP="00C20C94">
            <w:pPr>
              <w:rPr>
                <w:rFonts w:cstheme="minorHAnsi"/>
                <w:sz w:val="24"/>
                <w:szCs w:val="24"/>
              </w:rPr>
            </w:pPr>
            <w:r w:rsidRPr="00C20C94">
              <w:rPr>
                <w:rFonts w:cstheme="minorHAnsi"/>
                <w:sz w:val="24"/>
                <w:szCs w:val="24"/>
              </w:rPr>
              <w:t>Model 5</w:t>
            </w:r>
          </w:p>
        </w:tc>
        <w:tc>
          <w:tcPr>
            <w:tcW w:w="0" w:type="auto"/>
            <w:hideMark/>
          </w:tcPr>
          <w:p w14:paraId="0522E62D" w14:textId="77777777" w:rsidR="00C20C94" w:rsidRPr="00C20C94" w:rsidRDefault="00C20C94" w:rsidP="00C20C94">
            <w:pPr>
              <w:rPr>
                <w:rFonts w:cstheme="minorHAnsi"/>
                <w:sz w:val="24"/>
                <w:szCs w:val="24"/>
              </w:rPr>
            </w:pPr>
            <w:r w:rsidRPr="00C20C94">
              <w:rPr>
                <w:rFonts w:cstheme="minorHAnsi"/>
                <w:sz w:val="24"/>
                <w:szCs w:val="24"/>
              </w:rPr>
              <w:t>Model 6</w:t>
            </w:r>
          </w:p>
        </w:tc>
      </w:tr>
      <w:tr w:rsidR="00C20C94" w:rsidRPr="00C20C94" w14:paraId="571E7963" w14:textId="77777777" w:rsidTr="00F201C0">
        <w:tc>
          <w:tcPr>
            <w:tcW w:w="0" w:type="auto"/>
            <w:hideMark/>
          </w:tcPr>
          <w:p w14:paraId="3C731997" w14:textId="77777777" w:rsidR="00C20C94" w:rsidRPr="00C20C94" w:rsidRDefault="00C20C94" w:rsidP="00C20C94">
            <w:pPr>
              <w:rPr>
                <w:rFonts w:cstheme="minorHAnsi"/>
                <w:sz w:val="24"/>
                <w:szCs w:val="24"/>
              </w:rPr>
            </w:pPr>
            <w:r w:rsidRPr="00C20C94">
              <w:rPr>
                <w:rFonts w:cstheme="minorHAnsi"/>
                <w:sz w:val="24"/>
                <w:szCs w:val="24"/>
              </w:rPr>
              <w:t>Proportion Hispanic</w:t>
            </w:r>
          </w:p>
        </w:tc>
        <w:tc>
          <w:tcPr>
            <w:tcW w:w="0" w:type="auto"/>
            <w:hideMark/>
          </w:tcPr>
          <w:p w14:paraId="26A980C9" w14:textId="77777777" w:rsidR="00C20C94" w:rsidRPr="00C20C94" w:rsidRDefault="00C20C94" w:rsidP="00433477">
            <w:pPr>
              <w:jc w:val="center"/>
              <w:rPr>
                <w:rFonts w:cstheme="minorHAnsi"/>
                <w:sz w:val="24"/>
                <w:szCs w:val="24"/>
              </w:rPr>
            </w:pPr>
            <w:r w:rsidRPr="00C20C94">
              <w:rPr>
                <w:rFonts w:cstheme="minorHAnsi"/>
                <w:sz w:val="24"/>
                <w:szCs w:val="24"/>
              </w:rPr>
              <w:t>1.607** (0.4108)</w:t>
            </w:r>
          </w:p>
        </w:tc>
        <w:tc>
          <w:tcPr>
            <w:tcW w:w="0" w:type="auto"/>
            <w:hideMark/>
          </w:tcPr>
          <w:p w14:paraId="4FBE6B12" w14:textId="77777777" w:rsidR="00C20C94" w:rsidRPr="00C20C94" w:rsidRDefault="00C20C94" w:rsidP="00433477">
            <w:pPr>
              <w:jc w:val="center"/>
              <w:rPr>
                <w:rFonts w:cstheme="minorHAnsi"/>
                <w:sz w:val="24"/>
                <w:szCs w:val="24"/>
              </w:rPr>
            </w:pPr>
            <w:r w:rsidRPr="00C20C94">
              <w:rPr>
                <w:rFonts w:cstheme="minorHAnsi"/>
                <w:sz w:val="24"/>
                <w:szCs w:val="24"/>
              </w:rPr>
              <w:t>0.924 (0.4819)</w:t>
            </w:r>
          </w:p>
        </w:tc>
      </w:tr>
      <w:tr w:rsidR="00C20C94" w:rsidRPr="00C20C94" w14:paraId="097B51E5" w14:textId="77777777" w:rsidTr="00F201C0">
        <w:tc>
          <w:tcPr>
            <w:tcW w:w="0" w:type="auto"/>
            <w:hideMark/>
          </w:tcPr>
          <w:p w14:paraId="4723C1BA" w14:textId="77777777" w:rsidR="00C20C94" w:rsidRPr="00C20C94" w:rsidRDefault="00C20C94" w:rsidP="00C20C94">
            <w:pPr>
              <w:rPr>
                <w:rFonts w:cstheme="minorHAnsi"/>
                <w:sz w:val="24"/>
                <w:szCs w:val="24"/>
              </w:rPr>
            </w:pPr>
            <w:r w:rsidRPr="00C20C94">
              <w:rPr>
                <w:rFonts w:cstheme="minorHAnsi"/>
                <w:sz w:val="24"/>
                <w:szCs w:val="24"/>
              </w:rPr>
              <w:t>Proportion African American</w:t>
            </w:r>
          </w:p>
        </w:tc>
        <w:tc>
          <w:tcPr>
            <w:tcW w:w="0" w:type="auto"/>
            <w:hideMark/>
          </w:tcPr>
          <w:p w14:paraId="41CBD297" w14:textId="77777777" w:rsidR="00C20C94" w:rsidRPr="00C20C94" w:rsidRDefault="00C20C94" w:rsidP="00433477">
            <w:pPr>
              <w:jc w:val="center"/>
              <w:rPr>
                <w:rFonts w:cstheme="minorHAnsi"/>
                <w:sz w:val="24"/>
                <w:szCs w:val="24"/>
              </w:rPr>
            </w:pPr>
            <w:r w:rsidRPr="00C20C94">
              <w:rPr>
                <w:rFonts w:cstheme="minorHAnsi"/>
                <w:sz w:val="24"/>
                <w:szCs w:val="24"/>
              </w:rPr>
              <w:t>1.168** (0.2746)</w:t>
            </w:r>
          </w:p>
        </w:tc>
        <w:tc>
          <w:tcPr>
            <w:tcW w:w="0" w:type="auto"/>
            <w:hideMark/>
          </w:tcPr>
          <w:p w14:paraId="435AB26A" w14:textId="77777777" w:rsidR="00C20C94" w:rsidRPr="00C20C94" w:rsidRDefault="00C20C94" w:rsidP="00433477">
            <w:pPr>
              <w:jc w:val="center"/>
              <w:rPr>
                <w:rFonts w:cstheme="minorHAnsi"/>
                <w:sz w:val="24"/>
                <w:szCs w:val="24"/>
              </w:rPr>
            </w:pPr>
            <w:r w:rsidRPr="00C20C94">
              <w:rPr>
                <w:rFonts w:cstheme="minorHAnsi"/>
                <w:sz w:val="24"/>
                <w:szCs w:val="24"/>
              </w:rPr>
              <w:t>0.470 (0.3830)</w:t>
            </w:r>
          </w:p>
        </w:tc>
      </w:tr>
      <w:tr w:rsidR="00C20C94" w:rsidRPr="00C20C94" w14:paraId="425B009F" w14:textId="77777777" w:rsidTr="00F201C0">
        <w:tc>
          <w:tcPr>
            <w:tcW w:w="0" w:type="auto"/>
            <w:hideMark/>
          </w:tcPr>
          <w:p w14:paraId="5B01794F" w14:textId="77777777" w:rsidR="00C20C94" w:rsidRPr="00C20C94" w:rsidRDefault="00C20C94" w:rsidP="00C20C94">
            <w:pPr>
              <w:rPr>
                <w:rFonts w:cstheme="minorHAnsi"/>
                <w:sz w:val="24"/>
                <w:szCs w:val="24"/>
              </w:rPr>
            </w:pPr>
            <w:r w:rsidRPr="00C20C94">
              <w:rPr>
                <w:rFonts w:cstheme="minorHAnsi"/>
                <w:sz w:val="24"/>
                <w:szCs w:val="24"/>
              </w:rPr>
              <w:t>Proportion Asian</w:t>
            </w:r>
          </w:p>
        </w:tc>
        <w:tc>
          <w:tcPr>
            <w:tcW w:w="0" w:type="auto"/>
            <w:hideMark/>
          </w:tcPr>
          <w:p w14:paraId="6297B19A" w14:textId="77777777" w:rsidR="00C20C94" w:rsidRPr="00C20C94" w:rsidRDefault="00C20C94" w:rsidP="00433477">
            <w:pPr>
              <w:jc w:val="center"/>
              <w:rPr>
                <w:rFonts w:cstheme="minorHAnsi"/>
                <w:sz w:val="24"/>
                <w:szCs w:val="24"/>
              </w:rPr>
            </w:pPr>
            <w:r w:rsidRPr="00C20C94">
              <w:rPr>
                <w:rFonts w:cstheme="minorHAnsi"/>
                <w:sz w:val="24"/>
                <w:szCs w:val="24"/>
              </w:rPr>
              <w:t>1.708 (1.2398)</w:t>
            </w:r>
          </w:p>
        </w:tc>
        <w:tc>
          <w:tcPr>
            <w:tcW w:w="0" w:type="auto"/>
            <w:hideMark/>
          </w:tcPr>
          <w:p w14:paraId="70853BFB" w14:textId="77777777" w:rsidR="00C20C94" w:rsidRPr="00C20C94" w:rsidRDefault="00C20C94" w:rsidP="00433477">
            <w:pPr>
              <w:jc w:val="center"/>
              <w:rPr>
                <w:rFonts w:cstheme="minorHAnsi"/>
                <w:sz w:val="24"/>
                <w:szCs w:val="24"/>
              </w:rPr>
            </w:pPr>
            <w:r w:rsidRPr="00C20C94">
              <w:rPr>
                <w:rFonts w:cstheme="minorHAnsi"/>
                <w:sz w:val="24"/>
                <w:szCs w:val="24"/>
              </w:rPr>
              <w:t>1.013 (1.2559)</w:t>
            </w:r>
          </w:p>
        </w:tc>
      </w:tr>
      <w:tr w:rsidR="00C20C94" w:rsidRPr="00C20C94" w14:paraId="6A79CBFE" w14:textId="77777777" w:rsidTr="00F201C0">
        <w:tc>
          <w:tcPr>
            <w:tcW w:w="0" w:type="auto"/>
            <w:hideMark/>
          </w:tcPr>
          <w:p w14:paraId="3833B817" w14:textId="77777777" w:rsidR="00C20C94" w:rsidRPr="00C20C94" w:rsidRDefault="00C20C94" w:rsidP="00C20C94">
            <w:pPr>
              <w:rPr>
                <w:rFonts w:cstheme="minorHAnsi"/>
                <w:sz w:val="24"/>
                <w:szCs w:val="24"/>
              </w:rPr>
            </w:pPr>
            <w:r w:rsidRPr="00C20C94">
              <w:rPr>
                <w:rFonts w:cstheme="minorHAnsi"/>
                <w:sz w:val="24"/>
                <w:szCs w:val="24"/>
              </w:rPr>
              <w:t>Persons (ln)</w:t>
            </w:r>
          </w:p>
        </w:tc>
        <w:tc>
          <w:tcPr>
            <w:tcW w:w="0" w:type="auto"/>
            <w:hideMark/>
          </w:tcPr>
          <w:p w14:paraId="332A2C83" w14:textId="77777777" w:rsidR="00C20C94" w:rsidRPr="00C20C94" w:rsidRDefault="00C20C94" w:rsidP="00433477">
            <w:pPr>
              <w:jc w:val="center"/>
              <w:rPr>
                <w:rFonts w:cstheme="minorHAnsi"/>
                <w:sz w:val="24"/>
                <w:szCs w:val="24"/>
              </w:rPr>
            </w:pPr>
            <w:r w:rsidRPr="00C20C94">
              <w:rPr>
                <w:rFonts w:cstheme="minorHAnsi"/>
                <w:sz w:val="24"/>
                <w:szCs w:val="24"/>
              </w:rPr>
              <w:t>0.323 (0.2378)</w:t>
            </w:r>
          </w:p>
        </w:tc>
        <w:tc>
          <w:tcPr>
            <w:tcW w:w="0" w:type="auto"/>
            <w:hideMark/>
          </w:tcPr>
          <w:p w14:paraId="73FA757A" w14:textId="77777777" w:rsidR="00C20C94" w:rsidRPr="00C20C94" w:rsidRDefault="00C20C94" w:rsidP="00433477">
            <w:pPr>
              <w:jc w:val="center"/>
              <w:rPr>
                <w:rFonts w:cstheme="minorHAnsi"/>
                <w:sz w:val="24"/>
                <w:szCs w:val="24"/>
              </w:rPr>
            </w:pPr>
            <w:r w:rsidRPr="00C20C94">
              <w:rPr>
                <w:rFonts w:cstheme="minorHAnsi"/>
                <w:sz w:val="24"/>
                <w:szCs w:val="24"/>
              </w:rPr>
              <w:t>0.277 (0.2370)</w:t>
            </w:r>
          </w:p>
        </w:tc>
      </w:tr>
      <w:tr w:rsidR="00C20C94" w:rsidRPr="00C20C94" w14:paraId="6C528245" w14:textId="77777777" w:rsidTr="00F201C0">
        <w:tc>
          <w:tcPr>
            <w:tcW w:w="0" w:type="auto"/>
            <w:hideMark/>
          </w:tcPr>
          <w:p w14:paraId="5D93C715" w14:textId="77777777" w:rsidR="00C20C94" w:rsidRPr="00C20C94" w:rsidRDefault="00C20C94" w:rsidP="00C20C94">
            <w:pPr>
              <w:rPr>
                <w:rFonts w:cstheme="minorHAnsi"/>
                <w:sz w:val="24"/>
                <w:szCs w:val="24"/>
              </w:rPr>
            </w:pPr>
            <w:r w:rsidRPr="00C20C94">
              <w:rPr>
                <w:rFonts w:cstheme="minorHAnsi"/>
                <w:sz w:val="24"/>
                <w:szCs w:val="24"/>
              </w:rPr>
              <w:t>Proportion young</w:t>
            </w:r>
          </w:p>
        </w:tc>
        <w:tc>
          <w:tcPr>
            <w:tcW w:w="0" w:type="auto"/>
            <w:hideMark/>
          </w:tcPr>
          <w:p w14:paraId="09495B7B" w14:textId="77777777" w:rsidR="00C20C94" w:rsidRPr="00C20C94" w:rsidRDefault="00C20C94" w:rsidP="00433477">
            <w:pPr>
              <w:jc w:val="center"/>
              <w:rPr>
                <w:rFonts w:cstheme="minorHAnsi"/>
                <w:sz w:val="24"/>
                <w:szCs w:val="24"/>
              </w:rPr>
            </w:pPr>
            <w:r w:rsidRPr="00C20C94">
              <w:rPr>
                <w:rFonts w:cstheme="minorHAnsi"/>
                <w:sz w:val="24"/>
                <w:szCs w:val="24"/>
              </w:rPr>
              <w:t>2.103* (0.6890)</w:t>
            </w:r>
          </w:p>
        </w:tc>
        <w:tc>
          <w:tcPr>
            <w:tcW w:w="0" w:type="auto"/>
            <w:hideMark/>
          </w:tcPr>
          <w:p w14:paraId="5E4731E8" w14:textId="77777777" w:rsidR="00C20C94" w:rsidRPr="00C20C94" w:rsidRDefault="00C20C94" w:rsidP="00433477">
            <w:pPr>
              <w:jc w:val="center"/>
              <w:rPr>
                <w:rFonts w:cstheme="minorHAnsi"/>
                <w:sz w:val="24"/>
                <w:szCs w:val="24"/>
              </w:rPr>
            </w:pPr>
            <w:r w:rsidRPr="00C20C94">
              <w:rPr>
                <w:rFonts w:cstheme="minorHAnsi"/>
                <w:sz w:val="24"/>
                <w:szCs w:val="24"/>
              </w:rPr>
              <w:t>1.187 * (0.7755)</w:t>
            </w:r>
          </w:p>
        </w:tc>
      </w:tr>
      <w:tr w:rsidR="00C20C94" w:rsidRPr="00C20C94" w14:paraId="02819AEC" w14:textId="77777777" w:rsidTr="00F201C0">
        <w:tc>
          <w:tcPr>
            <w:tcW w:w="0" w:type="auto"/>
            <w:hideMark/>
          </w:tcPr>
          <w:p w14:paraId="345C8DF9" w14:textId="77777777" w:rsidR="00C20C94" w:rsidRPr="00C20C94" w:rsidRDefault="00C20C94" w:rsidP="00C20C94">
            <w:pPr>
              <w:rPr>
                <w:rFonts w:cstheme="minorHAnsi"/>
                <w:sz w:val="24"/>
                <w:szCs w:val="24"/>
              </w:rPr>
            </w:pPr>
            <w:r w:rsidRPr="00C20C94">
              <w:rPr>
                <w:rFonts w:cstheme="minorHAnsi"/>
                <w:sz w:val="24"/>
                <w:szCs w:val="24"/>
              </w:rPr>
              <w:t>Area size (sq. miles)</w:t>
            </w:r>
          </w:p>
        </w:tc>
        <w:tc>
          <w:tcPr>
            <w:tcW w:w="0" w:type="auto"/>
            <w:hideMark/>
          </w:tcPr>
          <w:p w14:paraId="5DBF5B81" w14:textId="77777777" w:rsidR="00C20C94" w:rsidRPr="00C20C94" w:rsidRDefault="00C20C94" w:rsidP="00433477">
            <w:pPr>
              <w:jc w:val="center"/>
              <w:rPr>
                <w:rFonts w:cstheme="minorHAnsi"/>
                <w:sz w:val="24"/>
                <w:szCs w:val="24"/>
              </w:rPr>
            </w:pPr>
            <w:r w:rsidRPr="00C20C94">
              <w:rPr>
                <w:rFonts w:cstheme="minorHAnsi"/>
                <w:sz w:val="24"/>
                <w:szCs w:val="24"/>
              </w:rPr>
              <w:t>0.078 (0.3075)</w:t>
            </w:r>
          </w:p>
        </w:tc>
        <w:tc>
          <w:tcPr>
            <w:tcW w:w="0" w:type="auto"/>
            <w:hideMark/>
          </w:tcPr>
          <w:p w14:paraId="112639BC" w14:textId="77777777" w:rsidR="00C20C94" w:rsidRPr="00C20C94" w:rsidRDefault="00C20C94" w:rsidP="00433477">
            <w:pPr>
              <w:jc w:val="center"/>
              <w:rPr>
                <w:rFonts w:cstheme="minorHAnsi"/>
                <w:sz w:val="24"/>
                <w:szCs w:val="24"/>
              </w:rPr>
            </w:pPr>
            <w:r w:rsidRPr="00C20C94">
              <w:rPr>
                <w:rFonts w:cstheme="minorHAnsi"/>
                <w:sz w:val="24"/>
                <w:szCs w:val="24"/>
              </w:rPr>
              <w:t>0.103 (0.2977)</w:t>
            </w:r>
          </w:p>
        </w:tc>
      </w:tr>
      <w:tr w:rsidR="00C20C94" w:rsidRPr="00C20C94" w14:paraId="7DB1E2E6" w14:textId="77777777" w:rsidTr="00F201C0">
        <w:tc>
          <w:tcPr>
            <w:tcW w:w="0" w:type="auto"/>
            <w:hideMark/>
          </w:tcPr>
          <w:p w14:paraId="4120F6FF" w14:textId="77777777" w:rsidR="00C20C94" w:rsidRPr="00C20C94" w:rsidRDefault="00C20C94" w:rsidP="00C20C94">
            <w:pPr>
              <w:rPr>
                <w:rFonts w:cstheme="minorHAnsi"/>
                <w:sz w:val="24"/>
                <w:szCs w:val="24"/>
              </w:rPr>
            </w:pPr>
            <w:r w:rsidRPr="00C20C94">
              <w:rPr>
                <w:rFonts w:cstheme="minorHAnsi"/>
                <w:sz w:val="24"/>
                <w:szCs w:val="24"/>
              </w:rPr>
              <w:t>Rho—off premise alcohol outlets</w:t>
            </w:r>
          </w:p>
        </w:tc>
        <w:tc>
          <w:tcPr>
            <w:tcW w:w="0" w:type="auto"/>
            <w:hideMark/>
          </w:tcPr>
          <w:p w14:paraId="28B07560" w14:textId="77777777" w:rsidR="00C20C94" w:rsidRPr="00C20C94" w:rsidRDefault="00C20C94" w:rsidP="00433477">
            <w:pPr>
              <w:jc w:val="center"/>
              <w:rPr>
                <w:rFonts w:cstheme="minorHAnsi"/>
                <w:sz w:val="24"/>
                <w:szCs w:val="24"/>
              </w:rPr>
            </w:pPr>
            <w:r w:rsidRPr="00C20C94">
              <w:rPr>
                <w:rFonts w:cstheme="minorHAnsi"/>
                <w:sz w:val="24"/>
                <w:szCs w:val="24"/>
              </w:rPr>
              <w:t>0.089 (0.1905)</w:t>
            </w:r>
          </w:p>
        </w:tc>
        <w:tc>
          <w:tcPr>
            <w:tcW w:w="0" w:type="auto"/>
            <w:hideMark/>
          </w:tcPr>
          <w:p w14:paraId="14939B1A" w14:textId="77777777" w:rsidR="00C20C94" w:rsidRPr="00C20C94" w:rsidRDefault="00C20C94" w:rsidP="00433477">
            <w:pPr>
              <w:jc w:val="center"/>
              <w:rPr>
                <w:rFonts w:cstheme="minorHAnsi"/>
                <w:sz w:val="24"/>
                <w:szCs w:val="24"/>
              </w:rPr>
            </w:pPr>
            <w:r w:rsidRPr="00C20C94">
              <w:rPr>
                <w:rFonts w:cstheme="minorHAnsi"/>
                <w:sz w:val="24"/>
                <w:szCs w:val="24"/>
              </w:rPr>
              <w:t>0.015 (0.1946)</w:t>
            </w:r>
          </w:p>
        </w:tc>
      </w:tr>
      <w:tr w:rsidR="00C20C94" w:rsidRPr="00C20C94" w14:paraId="1890A68A" w14:textId="77777777" w:rsidTr="00F201C0">
        <w:tc>
          <w:tcPr>
            <w:tcW w:w="0" w:type="auto"/>
            <w:hideMark/>
          </w:tcPr>
          <w:p w14:paraId="2C5A8313" w14:textId="77777777" w:rsidR="00C20C94" w:rsidRPr="00C20C94" w:rsidRDefault="00C20C94" w:rsidP="00C20C94">
            <w:pPr>
              <w:rPr>
                <w:rFonts w:cstheme="minorHAnsi"/>
                <w:sz w:val="24"/>
                <w:szCs w:val="24"/>
              </w:rPr>
            </w:pPr>
            <w:r w:rsidRPr="00C20C94">
              <w:rPr>
                <w:rFonts w:cstheme="minorHAnsi"/>
                <w:sz w:val="24"/>
                <w:szCs w:val="24"/>
              </w:rPr>
              <w:t>Social disorganization</w:t>
            </w:r>
          </w:p>
        </w:tc>
        <w:tc>
          <w:tcPr>
            <w:tcW w:w="0" w:type="auto"/>
            <w:hideMark/>
          </w:tcPr>
          <w:p w14:paraId="27632A93" w14:textId="77777777" w:rsidR="00C20C94" w:rsidRPr="00C20C94" w:rsidRDefault="00C20C94" w:rsidP="00433477">
            <w:pPr>
              <w:jc w:val="center"/>
              <w:rPr>
                <w:rFonts w:cstheme="minorHAnsi"/>
                <w:sz w:val="24"/>
                <w:szCs w:val="24"/>
              </w:rPr>
            </w:pPr>
            <w:r w:rsidRPr="00C20C94">
              <w:rPr>
                <w:rFonts w:cstheme="minorHAnsi"/>
                <w:sz w:val="24"/>
                <w:szCs w:val="24"/>
              </w:rPr>
              <w:t>—</w:t>
            </w:r>
          </w:p>
        </w:tc>
        <w:tc>
          <w:tcPr>
            <w:tcW w:w="0" w:type="auto"/>
            <w:hideMark/>
          </w:tcPr>
          <w:p w14:paraId="2265057F" w14:textId="77777777" w:rsidR="00C20C94" w:rsidRPr="00C20C94" w:rsidRDefault="00C20C94" w:rsidP="00433477">
            <w:pPr>
              <w:jc w:val="center"/>
              <w:rPr>
                <w:rFonts w:cstheme="minorHAnsi"/>
                <w:sz w:val="24"/>
                <w:szCs w:val="24"/>
              </w:rPr>
            </w:pPr>
            <w:r w:rsidRPr="00C20C94">
              <w:rPr>
                <w:rFonts w:cstheme="minorHAnsi"/>
                <w:sz w:val="24"/>
                <w:szCs w:val="24"/>
              </w:rPr>
              <w:t>0.398* (0.1459)</w:t>
            </w:r>
          </w:p>
        </w:tc>
      </w:tr>
      <w:tr w:rsidR="00C20C94" w:rsidRPr="00C20C94" w14:paraId="666D69EE" w14:textId="77777777" w:rsidTr="00F201C0">
        <w:tc>
          <w:tcPr>
            <w:tcW w:w="0" w:type="auto"/>
            <w:hideMark/>
          </w:tcPr>
          <w:p w14:paraId="0051C7F7" w14:textId="77777777" w:rsidR="00C20C94" w:rsidRPr="00C20C94" w:rsidRDefault="00C20C94" w:rsidP="00C20C94">
            <w:pPr>
              <w:rPr>
                <w:rFonts w:cstheme="minorHAnsi"/>
                <w:sz w:val="24"/>
                <w:szCs w:val="24"/>
              </w:rPr>
            </w:pPr>
            <w:r w:rsidRPr="00C20C94">
              <w:rPr>
                <w:rFonts w:cstheme="minorHAnsi"/>
                <w:sz w:val="24"/>
                <w:szCs w:val="24"/>
              </w:rPr>
              <w:t>Constant</w:t>
            </w:r>
          </w:p>
        </w:tc>
        <w:tc>
          <w:tcPr>
            <w:tcW w:w="0" w:type="auto"/>
            <w:hideMark/>
          </w:tcPr>
          <w:p w14:paraId="5C70FB50" w14:textId="77777777" w:rsidR="00C20C94" w:rsidRPr="00C20C94" w:rsidRDefault="00C20C94" w:rsidP="00433477">
            <w:pPr>
              <w:jc w:val="center"/>
              <w:rPr>
                <w:rFonts w:cstheme="minorHAnsi"/>
                <w:sz w:val="24"/>
                <w:szCs w:val="24"/>
              </w:rPr>
            </w:pPr>
            <w:r w:rsidRPr="00C20C94">
              <w:rPr>
                <w:rFonts w:cstheme="minorHAnsi"/>
                <w:sz w:val="24"/>
                <w:szCs w:val="24"/>
              </w:rPr>
              <w:t>–4.200* (1.6136)</w:t>
            </w:r>
          </w:p>
        </w:tc>
        <w:tc>
          <w:tcPr>
            <w:tcW w:w="0" w:type="auto"/>
            <w:hideMark/>
          </w:tcPr>
          <w:p w14:paraId="756608D2" w14:textId="77777777" w:rsidR="00C20C94" w:rsidRPr="00C20C94" w:rsidRDefault="00C20C94" w:rsidP="00433477">
            <w:pPr>
              <w:jc w:val="center"/>
              <w:rPr>
                <w:rFonts w:cstheme="minorHAnsi"/>
                <w:sz w:val="24"/>
                <w:szCs w:val="24"/>
              </w:rPr>
            </w:pPr>
            <w:r w:rsidRPr="00C20C94">
              <w:rPr>
                <w:rFonts w:cstheme="minorHAnsi"/>
                <w:sz w:val="24"/>
                <w:szCs w:val="24"/>
              </w:rPr>
              <w:t>–3.271* (1.6435)</w:t>
            </w:r>
          </w:p>
        </w:tc>
      </w:tr>
      <w:tr w:rsidR="00C20C94" w:rsidRPr="00C20C94" w14:paraId="26A91843" w14:textId="77777777" w:rsidTr="00F201C0">
        <w:tc>
          <w:tcPr>
            <w:tcW w:w="0" w:type="auto"/>
            <w:hideMark/>
          </w:tcPr>
          <w:p w14:paraId="0E85C33A" w14:textId="77777777" w:rsidR="00C20C94" w:rsidRPr="00C20C94" w:rsidRDefault="00C20C94" w:rsidP="00C20C94">
            <w:pPr>
              <w:rPr>
                <w:rFonts w:cstheme="minorHAnsi"/>
                <w:sz w:val="24"/>
                <w:szCs w:val="24"/>
              </w:rPr>
            </w:pPr>
            <w:r w:rsidRPr="00C20C94">
              <w:rPr>
                <w:rFonts w:cstheme="minorHAnsi"/>
                <w:sz w:val="24"/>
                <w:szCs w:val="24"/>
              </w:rPr>
              <w:t>Likelihood ratio X</w:t>
            </w:r>
            <w:r w:rsidRPr="00C20C94">
              <w:rPr>
                <w:rFonts w:cstheme="minorHAnsi"/>
                <w:sz w:val="24"/>
                <w:szCs w:val="24"/>
                <w:vertAlign w:val="superscript"/>
              </w:rPr>
              <w:t>2</w:t>
            </w:r>
          </w:p>
        </w:tc>
        <w:tc>
          <w:tcPr>
            <w:tcW w:w="0" w:type="auto"/>
            <w:hideMark/>
          </w:tcPr>
          <w:p w14:paraId="3C9F53E6" w14:textId="77777777" w:rsidR="00C20C94" w:rsidRPr="00C20C94" w:rsidRDefault="00C20C94" w:rsidP="00433477">
            <w:pPr>
              <w:jc w:val="center"/>
              <w:rPr>
                <w:rFonts w:cstheme="minorHAnsi"/>
                <w:sz w:val="24"/>
                <w:szCs w:val="24"/>
              </w:rPr>
            </w:pPr>
            <w:r w:rsidRPr="00C20C94">
              <w:rPr>
                <w:rFonts w:cstheme="minorHAnsi"/>
                <w:sz w:val="24"/>
                <w:szCs w:val="24"/>
              </w:rPr>
              <w:t>37.560**</w:t>
            </w:r>
          </w:p>
        </w:tc>
        <w:tc>
          <w:tcPr>
            <w:tcW w:w="0" w:type="auto"/>
            <w:hideMark/>
          </w:tcPr>
          <w:p w14:paraId="47627180" w14:textId="77777777" w:rsidR="00C20C94" w:rsidRPr="00C20C94" w:rsidRDefault="00C20C94" w:rsidP="00433477">
            <w:pPr>
              <w:jc w:val="center"/>
              <w:rPr>
                <w:rFonts w:cstheme="minorHAnsi"/>
                <w:sz w:val="24"/>
                <w:szCs w:val="24"/>
              </w:rPr>
            </w:pPr>
            <w:r w:rsidRPr="00C20C94">
              <w:rPr>
                <w:rFonts w:cstheme="minorHAnsi"/>
                <w:sz w:val="24"/>
                <w:szCs w:val="24"/>
              </w:rPr>
              <w:t>44.034**</w:t>
            </w:r>
          </w:p>
        </w:tc>
      </w:tr>
      <w:tr w:rsidR="00C20C94" w:rsidRPr="00C20C94" w14:paraId="38D58B31" w14:textId="77777777" w:rsidTr="00F201C0">
        <w:tc>
          <w:tcPr>
            <w:tcW w:w="0" w:type="auto"/>
            <w:hideMark/>
          </w:tcPr>
          <w:p w14:paraId="4014973C" w14:textId="77777777" w:rsidR="00C20C94" w:rsidRPr="00C20C94" w:rsidRDefault="00C20C94" w:rsidP="00C20C94">
            <w:pPr>
              <w:rPr>
                <w:rFonts w:cstheme="minorHAnsi"/>
                <w:sz w:val="24"/>
                <w:szCs w:val="24"/>
              </w:rPr>
            </w:pPr>
            <w:r w:rsidRPr="00C20C94">
              <w:rPr>
                <w:rFonts w:cstheme="minorHAnsi"/>
                <w:sz w:val="24"/>
                <w:szCs w:val="24"/>
              </w:rPr>
              <w:t>Degrees of freedom</w:t>
            </w:r>
          </w:p>
        </w:tc>
        <w:tc>
          <w:tcPr>
            <w:tcW w:w="0" w:type="auto"/>
            <w:hideMark/>
          </w:tcPr>
          <w:p w14:paraId="70FAAAEA" w14:textId="77777777" w:rsidR="00C20C94" w:rsidRPr="00C20C94" w:rsidRDefault="00C20C94" w:rsidP="00433477">
            <w:pPr>
              <w:jc w:val="center"/>
              <w:rPr>
                <w:rFonts w:cstheme="minorHAnsi"/>
                <w:sz w:val="24"/>
                <w:szCs w:val="24"/>
              </w:rPr>
            </w:pPr>
            <w:r w:rsidRPr="00C20C94">
              <w:rPr>
                <w:rFonts w:cstheme="minorHAnsi"/>
                <w:sz w:val="24"/>
                <w:szCs w:val="24"/>
              </w:rPr>
              <w:t>7</w:t>
            </w:r>
          </w:p>
        </w:tc>
        <w:tc>
          <w:tcPr>
            <w:tcW w:w="0" w:type="auto"/>
            <w:hideMark/>
          </w:tcPr>
          <w:p w14:paraId="5B7BD635" w14:textId="77777777" w:rsidR="00C20C94" w:rsidRPr="00C20C94" w:rsidRDefault="00C20C94" w:rsidP="00433477">
            <w:pPr>
              <w:jc w:val="center"/>
              <w:rPr>
                <w:rFonts w:cstheme="minorHAnsi"/>
                <w:sz w:val="24"/>
                <w:szCs w:val="24"/>
              </w:rPr>
            </w:pPr>
            <w:r w:rsidRPr="00C20C94">
              <w:rPr>
                <w:rFonts w:cstheme="minorHAnsi"/>
                <w:sz w:val="24"/>
                <w:szCs w:val="24"/>
              </w:rPr>
              <w:t>8</w:t>
            </w:r>
          </w:p>
        </w:tc>
      </w:tr>
    </w:tbl>
    <w:p w14:paraId="7349ABC4" w14:textId="77777777" w:rsidR="00C20C94" w:rsidRPr="00C20C94" w:rsidRDefault="00C20C94" w:rsidP="00A56E03">
      <w:pPr>
        <w:pStyle w:val="NoSpacing"/>
      </w:pPr>
      <w:r w:rsidRPr="00C20C94">
        <w:rPr>
          <w:i/>
          <w:iCs/>
        </w:rPr>
        <w:t>Notes</w:t>
      </w:r>
      <w:r w:rsidRPr="00C20C94">
        <w:t>: Coefficients shown with standard errors in parentheses. *</w:t>
      </w:r>
      <w:r w:rsidRPr="00C20C94">
        <w:rPr>
          <w:i/>
          <w:iCs/>
        </w:rPr>
        <w:t>p</w:t>
      </w:r>
      <w:r w:rsidRPr="00C20C94">
        <w:t> &lt; .05; **</w:t>
      </w:r>
      <w:r w:rsidRPr="00C20C94">
        <w:rPr>
          <w:i/>
          <w:iCs/>
        </w:rPr>
        <w:t>p</w:t>
      </w:r>
      <w:r w:rsidRPr="00C20C94">
        <w:t> &lt; .01.</w:t>
      </w:r>
    </w:p>
    <w:p w14:paraId="43E3EAEC" w14:textId="77777777" w:rsidR="00A56E03" w:rsidRDefault="00A56E03" w:rsidP="00C20C94">
      <w:pPr>
        <w:rPr>
          <w:rFonts w:cstheme="minorHAnsi"/>
          <w:sz w:val="24"/>
          <w:szCs w:val="24"/>
        </w:rPr>
      </w:pPr>
    </w:p>
    <w:p w14:paraId="6C4F7DA7" w14:textId="407E2F28" w:rsidR="00C20C94" w:rsidRPr="00C20C94" w:rsidRDefault="00C20C94" w:rsidP="00C20C94">
      <w:pPr>
        <w:rPr>
          <w:rFonts w:cstheme="minorHAnsi"/>
          <w:sz w:val="24"/>
          <w:szCs w:val="24"/>
        </w:rPr>
      </w:pPr>
      <w:r w:rsidRPr="00C20C94">
        <w:rPr>
          <w:rFonts w:cstheme="minorHAnsi"/>
          <w:sz w:val="24"/>
          <w:szCs w:val="24"/>
        </w:rPr>
        <w:t xml:space="preserve">Table 4 shows the results of negative binomial regression for </w:t>
      </w:r>
      <w:proofErr w:type="gramStart"/>
      <w:r w:rsidRPr="00C20C94">
        <w:rPr>
          <w:rFonts w:cstheme="minorHAnsi"/>
          <w:sz w:val="24"/>
          <w:szCs w:val="24"/>
        </w:rPr>
        <w:t>on-premise</w:t>
      </w:r>
      <w:proofErr w:type="gramEnd"/>
      <w:r w:rsidRPr="00C20C94">
        <w:rPr>
          <w:rFonts w:cstheme="minorHAnsi"/>
          <w:sz w:val="24"/>
          <w:szCs w:val="24"/>
        </w:rPr>
        <w:t xml:space="preserve"> alcohol outlets. Model 3 examined the association between </w:t>
      </w:r>
      <w:proofErr w:type="gramStart"/>
      <w:r w:rsidRPr="00C20C94">
        <w:rPr>
          <w:rFonts w:cstheme="minorHAnsi"/>
          <w:sz w:val="24"/>
          <w:szCs w:val="24"/>
        </w:rPr>
        <w:t>on-premise</w:t>
      </w:r>
      <w:proofErr w:type="gramEnd"/>
      <w:r w:rsidRPr="00C20C94">
        <w:rPr>
          <w:rFonts w:cstheme="minorHAnsi"/>
          <w:sz w:val="24"/>
          <w:szCs w:val="24"/>
        </w:rPr>
        <w:t xml:space="preserve"> alcohol outlets and racial/ethnic composition of Milwaukee block groups, net of control variables. In Model 3, results show that proportion African American was negatively and significantly associated with the number of </w:t>
      </w:r>
      <w:proofErr w:type="gramStart"/>
      <w:r w:rsidRPr="00C20C94">
        <w:rPr>
          <w:rFonts w:cstheme="minorHAnsi"/>
          <w:sz w:val="24"/>
          <w:szCs w:val="24"/>
        </w:rPr>
        <w:t>on-premise</w:t>
      </w:r>
      <w:proofErr w:type="gramEnd"/>
      <w:r w:rsidRPr="00C20C94">
        <w:rPr>
          <w:rFonts w:cstheme="minorHAnsi"/>
          <w:sz w:val="24"/>
          <w:szCs w:val="24"/>
        </w:rPr>
        <w:t xml:space="preserve"> alcohol outlets. In addition, there was no association between </w:t>
      </w:r>
      <w:proofErr w:type="gramStart"/>
      <w:r w:rsidRPr="00C20C94">
        <w:rPr>
          <w:rFonts w:cstheme="minorHAnsi"/>
          <w:sz w:val="24"/>
          <w:szCs w:val="24"/>
        </w:rPr>
        <w:t>on-premise</w:t>
      </w:r>
      <w:proofErr w:type="gramEnd"/>
      <w:r w:rsidRPr="00C20C94">
        <w:rPr>
          <w:rFonts w:cstheme="minorHAnsi"/>
          <w:sz w:val="24"/>
          <w:szCs w:val="24"/>
        </w:rPr>
        <w:t xml:space="preserve"> alcohol outlets and proportion Hispanic, and between on-premise alcohol outlets and proportion Asian. Model 4 examined the association among </w:t>
      </w:r>
      <w:proofErr w:type="gramStart"/>
      <w:r w:rsidRPr="00C20C94">
        <w:rPr>
          <w:rFonts w:cstheme="minorHAnsi"/>
          <w:sz w:val="24"/>
          <w:szCs w:val="24"/>
        </w:rPr>
        <w:t>on-premise</w:t>
      </w:r>
      <w:proofErr w:type="gramEnd"/>
      <w:r w:rsidRPr="00C20C94">
        <w:rPr>
          <w:rFonts w:cstheme="minorHAnsi"/>
          <w:sz w:val="24"/>
          <w:szCs w:val="24"/>
        </w:rPr>
        <w:t xml:space="preserve"> alcohol outlets, social disorganization, and racial/ethnic composition of Milwaukee block groups, net of control variables. Results of Model 4 suggest that social disorganization was positively and significantly associated with </w:t>
      </w:r>
      <w:proofErr w:type="gramStart"/>
      <w:r w:rsidRPr="00C20C94">
        <w:rPr>
          <w:rFonts w:cstheme="minorHAnsi"/>
          <w:sz w:val="24"/>
          <w:szCs w:val="24"/>
        </w:rPr>
        <w:t>on-premise</w:t>
      </w:r>
      <w:proofErr w:type="gramEnd"/>
      <w:r w:rsidRPr="00C20C94">
        <w:rPr>
          <w:rFonts w:cstheme="minorHAnsi"/>
          <w:sz w:val="24"/>
          <w:szCs w:val="24"/>
        </w:rPr>
        <w:t xml:space="preserve"> alcohol outlets, net of control and race/ethnicity variables. In addition, proportion Hispanic was not significantly associated with </w:t>
      </w:r>
      <w:proofErr w:type="gramStart"/>
      <w:r w:rsidRPr="00C20C94">
        <w:rPr>
          <w:rFonts w:cstheme="minorHAnsi"/>
          <w:sz w:val="24"/>
          <w:szCs w:val="24"/>
        </w:rPr>
        <w:t>on-premise</w:t>
      </w:r>
      <w:proofErr w:type="gramEnd"/>
      <w:r w:rsidRPr="00C20C94">
        <w:rPr>
          <w:rFonts w:cstheme="minorHAnsi"/>
          <w:sz w:val="24"/>
          <w:szCs w:val="24"/>
        </w:rPr>
        <w:t xml:space="preserve"> alcohol </w:t>
      </w:r>
      <w:r w:rsidRPr="00C20C94">
        <w:rPr>
          <w:rFonts w:cstheme="minorHAnsi"/>
          <w:sz w:val="24"/>
          <w:szCs w:val="24"/>
        </w:rPr>
        <w:lastRenderedPageBreak/>
        <w:t xml:space="preserve">outlets. However, proportion African American and proportion Asian were negatively and significantly associated with </w:t>
      </w:r>
      <w:proofErr w:type="gramStart"/>
      <w:r w:rsidRPr="00C20C94">
        <w:rPr>
          <w:rFonts w:cstheme="minorHAnsi"/>
          <w:sz w:val="24"/>
          <w:szCs w:val="24"/>
        </w:rPr>
        <w:t>on-premise</w:t>
      </w:r>
      <w:proofErr w:type="gramEnd"/>
      <w:r w:rsidRPr="00C20C94">
        <w:rPr>
          <w:rFonts w:cstheme="minorHAnsi"/>
          <w:sz w:val="24"/>
          <w:szCs w:val="24"/>
        </w:rPr>
        <w:t xml:space="preserve"> alcohol outlets. As with total alcohol outlets, the spatial lag term (</w:t>
      </w:r>
      <w:r w:rsidRPr="00C20C94">
        <w:rPr>
          <w:rFonts w:cstheme="minorHAnsi"/>
          <w:i/>
          <w:iCs/>
          <w:sz w:val="24"/>
          <w:szCs w:val="24"/>
        </w:rPr>
        <w:t>Rho</w:t>
      </w:r>
      <w:r w:rsidRPr="00C20C94">
        <w:rPr>
          <w:rFonts w:cstheme="minorHAnsi"/>
          <w:sz w:val="24"/>
          <w:szCs w:val="24"/>
        </w:rPr>
        <w:t xml:space="preserve">) associated with </w:t>
      </w:r>
      <w:proofErr w:type="gramStart"/>
      <w:r w:rsidRPr="00C20C94">
        <w:rPr>
          <w:rFonts w:cstheme="minorHAnsi"/>
          <w:sz w:val="24"/>
          <w:szCs w:val="24"/>
        </w:rPr>
        <w:t>on-premise</w:t>
      </w:r>
      <w:proofErr w:type="gramEnd"/>
      <w:r w:rsidRPr="00C20C94">
        <w:rPr>
          <w:rFonts w:cstheme="minorHAnsi"/>
          <w:sz w:val="24"/>
          <w:szCs w:val="24"/>
        </w:rPr>
        <w:t xml:space="preserve"> alcohol outlets was a positive and significant contributor to the models, suggesting that block group availability of on-premise alcohol outlets can be predicted according to the availability of on-premise alcohol outlets in neighboring block groups.</w:t>
      </w:r>
    </w:p>
    <w:p w14:paraId="40946ED2" w14:textId="77777777" w:rsidR="00C20C94" w:rsidRPr="00C20C94" w:rsidRDefault="00C20C94" w:rsidP="00C20C94">
      <w:pPr>
        <w:rPr>
          <w:rFonts w:cstheme="minorHAnsi"/>
          <w:sz w:val="24"/>
          <w:szCs w:val="24"/>
        </w:rPr>
      </w:pPr>
      <w:r w:rsidRPr="00C20C94">
        <w:rPr>
          <w:rFonts w:cstheme="minorHAnsi"/>
          <w:sz w:val="24"/>
          <w:szCs w:val="24"/>
        </w:rPr>
        <w:t>Finally, Table 5 shows results of negative binomial regression for off-</w:t>
      </w:r>
      <w:proofErr w:type="gramStart"/>
      <w:r w:rsidRPr="00C20C94">
        <w:rPr>
          <w:rFonts w:cstheme="minorHAnsi"/>
          <w:sz w:val="24"/>
          <w:szCs w:val="24"/>
        </w:rPr>
        <w:t>premise</w:t>
      </w:r>
      <w:proofErr w:type="gramEnd"/>
      <w:r w:rsidRPr="00C20C94">
        <w:rPr>
          <w:rFonts w:cstheme="minorHAnsi"/>
          <w:sz w:val="24"/>
          <w:szCs w:val="24"/>
        </w:rPr>
        <w:t xml:space="preserve"> alcohol outlets. Model 5 examined the association between off-</w:t>
      </w:r>
      <w:proofErr w:type="gramStart"/>
      <w:r w:rsidRPr="00C20C94">
        <w:rPr>
          <w:rFonts w:cstheme="minorHAnsi"/>
          <w:sz w:val="24"/>
          <w:szCs w:val="24"/>
        </w:rPr>
        <w:t>premise</w:t>
      </w:r>
      <w:proofErr w:type="gramEnd"/>
      <w:r w:rsidRPr="00C20C94">
        <w:rPr>
          <w:rFonts w:cstheme="minorHAnsi"/>
          <w:sz w:val="24"/>
          <w:szCs w:val="24"/>
        </w:rPr>
        <w:t xml:space="preserve"> alcohol outlets and racial/ethnic characteristic for Milwaukee block groups, net of control variables. Results of Model 5 suggest that both proportion Hispanic and proportion African American were positively and significantly associated with off-</w:t>
      </w:r>
      <w:proofErr w:type="gramStart"/>
      <w:r w:rsidRPr="00C20C94">
        <w:rPr>
          <w:rFonts w:cstheme="minorHAnsi"/>
          <w:sz w:val="24"/>
          <w:szCs w:val="24"/>
        </w:rPr>
        <w:t>premise</w:t>
      </w:r>
      <w:proofErr w:type="gramEnd"/>
      <w:r w:rsidRPr="00C20C94">
        <w:rPr>
          <w:rFonts w:cstheme="minorHAnsi"/>
          <w:sz w:val="24"/>
          <w:szCs w:val="24"/>
        </w:rPr>
        <w:t xml:space="preserve"> alcohol outlets, although proportion Asian was not. Model 6 examined the association among off-</w:t>
      </w:r>
      <w:proofErr w:type="gramStart"/>
      <w:r w:rsidRPr="00C20C94">
        <w:rPr>
          <w:rFonts w:cstheme="minorHAnsi"/>
          <w:sz w:val="24"/>
          <w:szCs w:val="24"/>
        </w:rPr>
        <w:t>premise</w:t>
      </w:r>
      <w:proofErr w:type="gramEnd"/>
      <w:r w:rsidRPr="00C20C94">
        <w:rPr>
          <w:rFonts w:cstheme="minorHAnsi"/>
          <w:sz w:val="24"/>
          <w:szCs w:val="24"/>
        </w:rPr>
        <w:t xml:space="preserve"> alcohol outlets, social disorganization, and racial/ethnic characteristics for Milwaukee block groups, net of control variables. Results of Model 6 suggest that social disorganization was significantly associated with off-</w:t>
      </w:r>
      <w:proofErr w:type="gramStart"/>
      <w:r w:rsidRPr="00C20C94">
        <w:rPr>
          <w:rFonts w:cstheme="minorHAnsi"/>
          <w:sz w:val="24"/>
          <w:szCs w:val="24"/>
        </w:rPr>
        <w:t>premise</w:t>
      </w:r>
      <w:proofErr w:type="gramEnd"/>
      <w:r w:rsidRPr="00C20C94">
        <w:rPr>
          <w:rFonts w:cstheme="minorHAnsi"/>
          <w:sz w:val="24"/>
          <w:szCs w:val="24"/>
        </w:rPr>
        <w:t xml:space="preserve"> alcohol outlets, net of control variables and race/ethnicity variables. In addition, the inclusion of social disorganization in the model rendered race/ethnicity proportion variables nonsignificant. Unlike with total and </w:t>
      </w:r>
      <w:proofErr w:type="gramStart"/>
      <w:r w:rsidRPr="00C20C94">
        <w:rPr>
          <w:rFonts w:cstheme="minorHAnsi"/>
          <w:sz w:val="24"/>
          <w:szCs w:val="24"/>
        </w:rPr>
        <w:t>on-premise</w:t>
      </w:r>
      <w:proofErr w:type="gramEnd"/>
      <w:r w:rsidRPr="00C20C94">
        <w:rPr>
          <w:rFonts w:cstheme="minorHAnsi"/>
          <w:sz w:val="24"/>
          <w:szCs w:val="24"/>
        </w:rPr>
        <w:t xml:space="preserve"> alcohol outlet models shown in Table 3 and 4, respectively, the spatial lag term (Rho) associated with off-premise alcohol outlets was not a significant contributor to the models.</w:t>
      </w:r>
    </w:p>
    <w:p w14:paraId="196C5192" w14:textId="77777777" w:rsidR="00C20C94" w:rsidRPr="00C20C94" w:rsidRDefault="00C20C94" w:rsidP="00C20C94">
      <w:pPr>
        <w:rPr>
          <w:rFonts w:cstheme="minorHAnsi"/>
          <w:sz w:val="24"/>
          <w:szCs w:val="24"/>
        </w:rPr>
      </w:pPr>
      <w:r w:rsidRPr="00C20C94">
        <w:rPr>
          <w:rFonts w:cstheme="minorHAnsi"/>
          <w:sz w:val="24"/>
          <w:szCs w:val="24"/>
        </w:rPr>
        <w:t xml:space="preserve">To summarize, taken together these results suggest that race/ethnicity of neighborhoods is either unrelated or negatively related to total, </w:t>
      </w:r>
      <w:proofErr w:type="gramStart"/>
      <w:r w:rsidRPr="00C20C94">
        <w:rPr>
          <w:rFonts w:cstheme="minorHAnsi"/>
          <w:sz w:val="24"/>
          <w:szCs w:val="24"/>
        </w:rPr>
        <w:t>on-premise</w:t>
      </w:r>
      <w:proofErr w:type="gramEnd"/>
      <w:r w:rsidRPr="00C20C94">
        <w:rPr>
          <w:rFonts w:cstheme="minorHAnsi"/>
          <w:sz w:val="24"/>
          <w:szCs w:val="24"/>
        </w:rPr>
        <w:t xml:space="preserve">, and off-premise alcohol outlets once social disorganization of neighborhoods is accounted for. That is, areas marked with high levels of social disorganization are also characterized by high levels of total, </w:t>
      </w:r>
      <w:proofErr w:type="gramStart"/>
      <w:r w:rsidRPr="00C20C94">
        <w:rPr>
          <w:rFonts w:cstheme="minorHAnsi"/>
          <w:sz w:val="24"/>
          <w:szCs w:val="24"/>
        </w:rPr>
        <w:t>on-premise</w:t>
      </w:r>
      <w:proofErr w:type="gramEnd"/>
      <w:r w:rsidRPr="00C20C94">
        <w:rPr>
          <w:rFonts w:cstheme="minorHAnsi"/>
          <w:sz w:val="24"/>
          <w:szCs w:val="24"/>
        </w:rPr>
        <w:t>, and off-premise alcohol outlets, independent of racial/ethnic composition of the neighborhoods.</w:t>
      </w:r>
    </w:p>
    <w:p w14:paraId="6B821B5D" w14:textId="4B4625B1" w:rsidR="00C20C94" w:rsidRPr="002F6180" w:rsidRDefault="00C20C94" w:rsidP="002F6180">
      <w:pPr>
        <w:pStyle w:val="Heading1"/>
      </w:pPr>
      <w:r w:rsidRPr="00F230A9">
        <w:t>Discussion and conclusion</w:t>
      </w:r>
    </w:p>
    <w:p w14:paraId="7960AA01" w14:textId="5FCA9E4E" w:rsidR="00C20C94" w:rsidRPr="00C20C94" w:rsidRDefault="00C20C94" w:rsidP="00C20C94">
      <w:pPr>
        <w:rPr>
          <w:rFonts w:cstheme="minorHAnsi"/>
          <w:sz w:val="24"/>
          <w:szCs w:val="24"/>
        </w:rPr>
      </w:pPr>
      <w:r w:rsidRPr="00C20C94">
        <w:rPr>
          <w:rFonts w:cstheme="minorHAnsi"/>
          <w:sz w:val="24"/>
          <w:szCs w:val="24"/>
        </w:rPr>
        <w:t>This study examined the role that neighborhood racial/ethnic composition and social disorganization levels play in alcohol availability in Milwaukee, Wisconsin. This study extends the literature on the association between neighborhood characteristics and alcohol availability by (</w:t>
      </w:r>
      <w:r w:rsidRPr="00F230A9">
        <w:rPr>
          <w:rFonts w:cstheme="minorHAnsi"/>
          <w:sz w:val="24"/>
          <w:szCs w:val="24"/>
        </w:rPr>
        <w:t>1</w:t>
      </w:r>
      <w:r w:rsidRPr="00C20C94">
        <w:rPr>
          <w:rFonts w:cstheme="minorHAnsi"/>
          <w:sz w:val="24"/>
          <w:szCs w:val="24"/>
        </w:rPr>
        <w:t>) directly testing the role of race/ethnicity and social disorganization in alcohol availability, (</w:t>
      </w:r>
      <w:r w:rsidRPr="00F230A9">
        <w:rPr>
          <w:rFonts w:cstheme="minorHAnsi"/>
          <w:sz w:val="24"/>
          <w:szCs w:val="24"/>
        </w:rPr>
        <w:t>2</w:t>
      </w:r>
      <w:r w:rsidRPr="00C20C94">
        <w:rPr>
          <w:rFonts w:cstheme="minorHAnsi"/>
          <w:sz w:val="24"/>
          <w:szCs w:val="24"/>
        </w:rPr>
        <w:t>) focusing on a smaller unit of aggregation using most recent decennial census data, and (</w:t>
      </w:r>
      <w:r w:rsidRPr="00F230A9">
        <w:rPr>
          <w:rFonts w:cstheme="minorHAnsi"/>
          <w:sz w:val="24"/>
          <w:szCs w:val="24"/>
        </w:rPr>
        <w:t>3</w:t>
      </w:r>
      <w:r w:rsidRPr="00C20C94">
        <w:rPr>
          <w:rFonts w:cstheme="minorHAnsi"/>
          <w:sz w:val="24"/>
          <w:szCs w:val="24"/>
        </w:rPr>
        <w:t xml:space="preserve">) estimating separately the relationship among race/ethnicity, social disorganization, and alcohol outlet types (i.e., total, </w:t>
      </w:r>
      <w:proofErr w:type="gramStart"/>
      <w:r w:rsidRPr="00C20C94">
        <w:rPr>
          <w:rFonts w:cstheme="minorHAnsi"/>
          <w:sz w:val="24"/>
          <w:szCs w:val="24"/>
        </w:rPr>
        <w:t>on-premise</w:t>
      </w:r>
      <w:proofErr w:type="gramEnd"/>
      <w:r w:rsidRPr="00C20C94">
        <w:rPr>
          <w:rFonts w:cstheme="minorHAnsi"/>
          <w:sz w:val="24"/>
          <w:szCs w:val="24"/>
        </w:rPr>
        <w:t>, and off-premise).</w:t>
      </w:r>
    </w:p>
    <w:p w14:paraId="0C66E5DF" w14:textId="77777777" w:rsidR="00C20C94" w:rsidRPr="00C20C94" w:rsidRDefault="00C20C94" w:rsidP="00C20C94">
      <w:pPr>
        <w:rPr>
          <w:rFonts w:cstheme="minorHAnsi"/>
          <w:sz w:val="24"/>
          <w:szCs w:val="24"/>
        </w:rPr>
      </w:pPr>
      <w:r w:rsidRPr="00C20C94">
        <w:rPr>
          <w:rFonts w:cstheme="minorHAnsi"/>
          <w:sz w:val="24"/>
          <w:szCs w:val="24"/>
        </w:rPr>
        <w:t>Results of this study suggest that neighborhood characteristics play an important role in alcohol availability across urban census block groups. Examination of the relationship between race/ethnicity and alcohol availability suggests several conclusions. First, neighborhoods characterized by a high proportion of Hispanic residents are also characterized by high availability of all types of alcohol outlets and of off-</w:t>
      </w:r>
      <w:proofErr w:type="gramStart"/>
      <w:r w:rsidRPr="00C20C94">
        <w:rPr>
          <w:rFonts w:cstheme="minorHAnsi"/>
          <w:sz w:val="24"/>
          <w:szCs w:val="24"/>
        </w:rPr>
        <w:t>premise</w:t>
      </w:r>
      <w:proofErr w:type="gramEnd"/>
      <w:r w:rsidRPr="00C20C94">
        <w:rPr>
          <w:rFonts w:cstheme="minorHAnsi"/>
          <w:sz w:val="24"/>
          <w:szCs w:val="24"/>
        </w:rPr>
        <w:t xml:space="preserve"> alcohol outlets, although this association becomes nonsignificant after controlling for social disorganization. Second, neighborhoods that are characterized by a high proportion of African American residents have a low availability of </w:t>
      </w:r>
      <w:proofErr w:type="gramStart"/>
      <w:r w:rsidRPr="00C20C94">
        <w:rPr>
          <w:rFonts w:cstheme="minorHAnsi"/>
          <w:sz w:val="24"/>
          <w:szCs w:val="24"/>
        </w:rPr>
        <w:t>on-premise</w:t>
      </w:r>
      <w:proofErr w:type="gramEnd"/>
      <w:r w:rsidRPr="00C20C94">
        <w:rPr>
          <w:rFonts w:cstheme="minorHAnsi"/>
          <w:sz w:val="24"/>
          <w:szCs w:val="24"/>
        </w:rPr>
        <w:t xml:space="preserve"> alcohol outlets and a high availability of off-premise alcohol outlets. The negative relationship between proportion African American and </w:t>
      </w:r>
      <w:proofErr w:type="gramStart"/>
      <w:r w:rsidRPr="00C20C94">
        <w:rPr>
          <w:rFonts w:cstheme="minorHAnsi"/>
          <w:sz w:val="24"/>
          <w:szCs w:val="24"/>
        </w:rPr>
        <w:t>on-premise</w:t>
      </w:r>
      <w:proofErr w:type="gramEnd"/>
      <w:r w:rsidRPr="00C20C94">
        <w:rPr>
          <w:rFonts w:cstheme="minorHAnsi"/>
          <w:sz w:val="24"/>
          <w:szCs w:val="24"/>
        </w:rPr>
        <w:t xml:space="preserve"> alcohol outlets remained significant even after controlling for social disorganization levels. However, the positive relationship between proportion African American and off-</w:t>
      </w:r>
      <w:proofErr w:type="gramStart"/>
      <w:r w:rsidRPr="00C20C94">
        <w:rPr>
          <w:rFonts w:cstheme="minorHAnsi"/>
          <w:sz w:val="24"/>
          <w:szCs w:val="24"/>
        </w:rPr>
        <w:t>premise</w:t>
      </w:r>
      <w:proofErr w:type="gramEnd"/>
      <w:r w:rsidRPr="00C20C94">
        <w:rPr>
          <w:rFonts w:cstheme="minorHAnsi"/>
          <w:sz w:val="24"/>
          <w:szCs w:val="24"/>
        </w:rPr>
        <w:t xml:space="preserve"> alcohol </w:t>
      </w:r>
      <w:r w:rsidRPr="00C20C94">
        <w:rPr>
          <w:rFonts w:cstheme="minorHAnsi"/>
          <w:sz w:val="24"/>
          <w:szCs w:val="24"/>
        </w:rPr>
        <w:lastRenderedPageBreak/>
        <w:t xml:space="preserve">outlets became nonsignificant after controlling for social disorganization levels. Third, proportion Asian was not associated with total, </w:t>
      </w:r>
      <w:proofErr w:type="gramStart"/>
      <w:r w:rsidRPr="00C20C94">
        <w:rPr>
          <w:rFonts w:cstheme="minorHAnsi"/>
          <w:sz w:val="24"/>
          <w:szCs w:val="24"/>
        </w:rPr>
        <w:t>on-premise</w:t>
      </w:r>
      <w:proofErr w:type="gramEnd"/>
      <w:r w:rsidRPr="00C20C94">
        <w:rPr>
          <w:rFonts w:cstheme="minorHAnsi"/>
          <w:sz w:val="24"/>
          <w:szCs w:val="24"/>
        </w:rPr>
        <w:t>, or off-premise alcohol outlets, although the association between total alcohol outlets and proportion Asian becomes significant after controlling for social disorganization levels.</w:t>
      </w:r>
    </w:p>
    <w:p w14:paraId="628D5914" w14:textId="5AEAC640" w:rsidR="00C20C94" w:rsidRPr="00C20C94" w:rsidRDefault="00C20C94" w:rsidP="00C20C94">
      <w:pPr>
        <w:rPr>
          <w:rFonts w:cstheme="minorHAnsi"/>
          <w:sz w:val="24"/>
          <w:szCs w:val="24"/>
        </w:rPr>
      </w:pPr>
      <w:r w:rsidRPr="00C20C94">
        <w:rPr>
          <w:rFonts w:cstheme="minorHAnsi"/>
          <w:sz w:val="24"/>
          <w:szCs w:val="24"/>
        </w:rPr>
        <w:t xml:space="preserve">These results also suggest that the association between race/ethnicity and alcohol availability may be spurious because the effects of race/ethnicity on alcohol availability are either unrelated or negatively related to alcohol outlet availability once social disorganization levels are </w:t>
      </w:r>
      <w:proofErr w:type="gramStart"/>
      <w:r w:rsidRPr="00C20C94">
        <w:rPr>
          <w:rFonts w:cstheme="minorHAnsi"/>
          <w:sz w:val="24"/>
          <w:szCs w:val="24"/>
        </w:rPr>
        <w:t>taken into account</w:t>
      </w:r>
      <w:proofErr w:type="gramEnd"/>
      <w:r w:rsidRPr="00C20C94">
        <w:rPr>
          <w:rFonts w:cstheme="minorHAnsi"/>
          <w:sz w:val="24"/>
          <w:szCs w:val="24"/>
        </w:rPr>
        <w:t xml:space="preserve">. Moreover, social disorganization was positively and significantly associated with all alcohol outlet types. This finding is </w:t>
      </w:r>
      <w:proofErr w:type="gramStart"/>
      <w:r w:rsidRPr="00C20C94">
        <w:rPr>
          <w:rFonts w:cstheme="minorHAnsi"/>
          <w:sz w:val="24"/>
          <w:szCs w:val="24"/>
        </w:rPr>
        <w:t>similar to</w:t>
      </w:r>
      <w:proofErr w:type="gramEnd"/>
      <w:r w:rsidRPr="00C20C94">
        <w:rPr>
          <w:rFonts w:cstheme="minorHAnsi"/>
          <w:sz w:val="24"/>
          <w:szCs w:val="24"/>
        </w:rPr>
        <w:t xml:space="preserve"> the findings of prior empirical research that highlighted important neighborhood characteristics in creating various levels of alcohol availability. For example, socioeconomic disadvantage levels predicted availability of alcohol outlets found in neighborhoods (Livingston,</w:t>
      </w:r>
      <w:r w:rsidR="00433477">
        <w:rPr>
          <w:rFonts w:cstheme="minorHAnsi"/>
          <w:sz w:val="24"/>
          <w:szCs w:val="24"/>
        </w:rPr>
        <w:t xml:space="preserve"> 2012</w:t>
      </w:r>
      <w:r w:rsidRPr="00C20C94">
        <w:rPr>
          <w:rFonts w:cstheme="minorHAnsi"/>
          <w:sz w:val="24"/>
          <w:szCs w:val="24"/>
        </w:rPr>
        <w:t>), with the availability of alcohol outlets being greatest in the most socioeconomically deprived neighborhoods, even though overall alcohol consumption is lower in such neighborhoods (Pollack et al.,</w:t>
      </w:r>
      <w:r w:rsidR="00433477">
        <w:rPr>
          <w:rFonts w:cstheme="minorHAnsi"/>
          <w:sz w:val="24"/>
          <w:szCs w:val="24"/>
        </w:rPr>
        <w:t xml:space="preserve"> 2005</w:t>
      </w:r>
      <w:r w:rsidRPr="00C20C94">
        <w:rPr>
          <w:rFonts w:cstheme="minorHAnsi"/>
          <w:sz w:val="24"/>
          <w:szCs w:val="24"/>
        </w:rPr>
        <w:t xml:space="preserve">). The finding that suggests race/ethnicity to be either unrelated or negatively related to alcohol availability after accounting for social disorganization is similar to a recent study by </w:t>
      </w:r>
      <w:r w:rsidR="00F1556A">
        <w:rPr>
          <w:rFonts w:cstheme="minorHAnsi"/>
          <w:sz w:val="24"/>
          <w:szCs w:val="24"/>
        </w:rPr>
        <w:t>(</w:t>
      </w:r>
      <w:r w:rsidRPr="00C20C94">
        <w:rPr>
          <w:rFonts w:cstheme="minorHAnsi"/>
          <w:sz w:val="24"/>
          <w:szCs w:val="24"/>
        </w:rPr>
        <w:t>Nielsen et al.</w:t>
      </w:r>
      <w:r w:rsidR="000C2B9C">
        <w:rPr>
          <w:rFonts w:cstheme="minorHAnsi"/>
          <w:sz w:val="24"/>
          <w:szCs w:val="24"/>
        </w:rPr>
        <w:t xml:space="preserve"> 2010</w:t>
      </w:r>
      <w:r w:rsidR="00F1556A">
        <w:rPr>
          <w:rFonts w:cstheme="minorHAnsi"/>
          <w:sz w:val="24"/>
          <w:szCs w:val="24"/>
        </w:rPr>
        <w:t>)</w:t>
      </w:r>
      <w:r w:rsidRPr="00C20C94">
        <w:rPr>
          <w:rFonts w:cstheme="minorHAnsi"/>
          <w:sz w:val="24"/>
          <w:szCs w:val="24"/>
        </w:rPr>
        <w:t>, which examined off-</w:t>
      </w:r>
      <w:proofErr w:type="gramStart"/>
      <w:r w:rsidRPr="00C20C94">
        <w:rPr>
          <w:rFonts w:cstheme="minorHAnsi"/>
          <w:sz w:val="24"/>
          <w:szCs w:val="24"/>
        </w:rPr>
        <w:t>premise</w:t>
      </w:r>
      <w:proofErr w:type="gramEnd"/>
      <w:r w:rsidRPr="00C20C94">
        <w:rPr>
          <w:rFonts w:cstheme="minorHAnsi"/>
          <w:sz w:val="24"/>
          <w:szCs w:val="24"/>
        </w:rPr>
        <w:t xml:space="preserve"> alcohol outlet availability and drew similar conclusions.</w:t>
      </w:r>
    </w:p>
    <w:p w14:paraId="639F2F87" w14:textId="19F87F5C" w:rsidR="00C20C94" w:rsidRPr="00C20C94" w:rsidRDefault="00C20C94" w:rsidP="00C20C94">
      <w:pPr>
        <w:rPr>
          <w:rFonts w:cstheme="minorHAnsi"/>
          <w:sz w:val="24"/>
          <w:szCs w:val="24"/>
        </w:rPr>
      </w:pPr>
      <w:r w:rsidRPr="00C20C94">
        <w:rPr>
          <w:rFonts w:cstheme="minorHAnsi"/>
          <w:sz w:val="24"/>
          <w:szCs w:val="24"/>
        </w:rPr>
        <w:t>It appears that alcohol availability is better explained by social disorganization than by race/ethnicity because socially disorganized neighborhoods lack social capital and sufficient collective efficacy to organize politically and influence policy decisions about alcohol availability in the neighborhoods (</w:t>
      </w:r>
      <w:proofErr w:type="spellStart"/>
      <w:r w:rsidRPr="00C20C94">
        <w:rPr>
          <w:rFonts w:cstheme="minorHAnsi"/>
          <w:sz w:val="24"/>
          <w:szCs w:val="24"/>
        </w:rPr>
        <w:t>Pridemore</w:t>
      </w:r>
      <w:proofErr w:type="spellEnd"/>
      <w:r w:rsidRPr="00C20C94">
        <w:rPr>
          <w:rFonts w:cstheme="minorHAnsi"/>
          <w:sz w:val="24"/>
          <w:szCs w:val="24"/>
        </w:rPr>
        <w:t xml:space="preserve"> &amp; Grubesic,</w:t>
      </w:r>
      <w:r w:rsidR="00433477">
        <w:rPr>
          <w:rFonts w:cstheme="minorHAnsi"/>
          <w:sz w:val="24"/>
          <w:szCs w:val="24"/>
        </w:rPr>
        <w:t xml:space="preserve"> </w:t>
      </w:r>
      <w:r w:rsidR="00F1556A">
        <w:rPr>
          <w:rFonts w:cstheme="minorHAnsi"/>
          <w:sz w:val="24"/>
          <w:szCs w:val="24"/>
        </w:rPr>
        <w:t>2012</w:t>
      </w:r>
      <w:r w:rsidRPr="00C20C94">
        <w:rPr>
          <w:rFonts w:cstheme="minorHAnsi"/>
          <w:sz w:val="24"/>
          <w:szCs w:val="24"/>
        </w:rPr>
        <w:t xml:space="preserve">). Lacking the economic support, social ties, and social involvement in key community institutions, the health of neighborhoods deteriorates and allows for unwanted retail activity. At the same time, however, social institutions allow the citizens in organized neighborhoods to attend local alcohol board meetings and exert influence over whether an additional alcohol outlet can open in their neighborhood. In addition, socioeconomically disadvantaged areas have lower priced alcohol (Morrison et al., 2015) so that not only are such areas disproportionately exposed to alcohol outlets but they also provide alcohol at a lower price, potentially creating a host of other negative health and social outcomes (e.g., </w:t>
      </w:r>
      <w:proofErr w:type="spellStart"/>
      <w:r w:rsidRPr="00C20C94">
        <w:rPr>
          <w:rFonts w:cstheme="minorHAnsi"/>
          <w:sz w:val="24"/>
          <w:szCs w:val="24"/>
        </w:rPr>
        <w:t>Cunradi</w:t>
      </w:r>
      <w:proofErr w:type="spellEnd"/>
      <w:r w:rsidRPr="00C20C94">
        <w:rPr>
          <w:rFonts w:cstheme="minorHAnsi"/>
          <w:sz w:val="24"/>
          <w:szCs w:val="24"/>
        </w:rPr>
        <w:t xml:space="preserve"> et al., 2011; Gruenewald et al.,</w:t>
      </w:r>
      <w:r w:rsidR="00A179A3">
        <w:rPr>
          <w:rFonts w:cstheme="minorHAnsi"/>
          <w:sz w:val="24"/>
          <w:szCs w:val="24"/>
        </w:rPr>
        <w:t xml:space="preserve"> 2002</w:t>
      </w:r>
      <w:r w:rsidRPr="00C20C94">
        <w:rPr>
          <w:rFonts w:cstheme="minorHAnsi"/>
          <w:sz w:val="24"/>
          <w:szCs w:val="24"/>
        </w:rPr>
        <w:t xml:space="preserve">; Scribner et al., 1995; Snowden, 2016; Snowden &amp; </w:t>
      </w:r>
      <w:proofErr w:type="spellStart"/>
      <w:r w:rsidRPr="00C20C94">
        <w:rPr>
          <w:rFonts w:cstheme="minorHAnsi"/>
          <w:sz w:val="24"/>
          <w:szCs w:val="24"/>
        </w:rPr>
        <w:t>Freiburger</w:t>
      </w:r>
      <w:proofErr w:type="spellEnd"/>
      <w:r w:rsidRPr="00C20C94">
        <w:rPr>
          <w:rFonts w:cstheme="minorHAnsi"/>
          <w:sz w:val="24"/>
          <w:szCs w:val="24"/>
        </w:rPr>
        <w:t>,</w:t>
      </w:r>
      <w:r w:rsidR="00A179A3">
        <w:rPr>
          <w:rFonts w:cstheme="minorHAnsi"/>
          <w:sz w:val="24"/>
          <w:szCs w:val="24"/>
        </w:rPr>
        <w:t xml:space="preserve"> 2015</w:t>
      </w:r>
      <w:r w:rsidRPr="00C20C94">
        <w:rPr>
          <w:rFonts w:cstheme="minorHAnsi"/>
          <w:sz w:val="24"/>
          <w:szCs w:val="24"/>
        </w:rPr>
        <w:t xml:space="preserve">; Snowden &amp; </w:t>
      </w:r>
      <w:proofErr w:type="spellStart"/>
      <w:r w:rsidRPr="00C20C94">
        <w:rPr>
          <w:rFonts w:cstheme="minorHAnsi"/>
          <w:sz w:val="24"/>
          <w:szCs w:val="24"/>
        </w:rPr>
        <w:t>Pridemore</w:t>
      </w:r>
      <w:proofErr w:type="spellEnd"/>
      <w:r w:rsidRPr="00C20C94">
        <w:rPr>
          <w:rFonts w:cstheme="minorHAnsi"/>
          <w:sz w:val="24"/>
          <w:szCs w:val="24"/>
        </w:rPr>
        <w:t>,</w:t>
      </w:r>
      <w:r w:rsidR="00A179A3">
        <w:rPr>
          <w:rFonts w:cstheme="minorHAnsi"/>
          <w:sz w:val="24"/>
          <w:szCs w:val="24"/>
        </w:rPr>
        <w:t xml:space="preserve"> 2013</w:t>
      </w:r>
      <w:r w:rsidRPr="00C20C94">
        <w:rPr>
          <w:rFonts w:cstheme="minorHAnsi"/>
          <w:sz w:val="24"/>
          <w:szCs w:val="24"/>
        </w:rPr>
        <w:t>; S</w:t>
      </w:r>
      <w:proofErr w:type="spellStart"/>
      <w:r w:rsidRPr="00C20C94">
        <w:rPr>
          <w:rFonts w:cstheme="minorHAnsi"/>
          <w:sz w:val="24"/>
          <w:szCs w:val="24"/>
        </w:rPr>
        <w:t>tockwell</w:t>
      </w:r>
      <w:proofErr w:type="spellEnd"/>
      <w:r w:rsidRPr="00C20C94">
        <w:rPr>
          <w:rFonts w:cstheme="minorHAnsi"/>
          <w:sz w:val="24"/>
          <w:szCs w:val="24"/>
        </w:rPr>
        <w:t>, Auld, Zhao, &amp; Martin,</w:t>
      </w:r>
      <w:r w:rsidR="00A179A3">
        <w:rPr>
          <w:rFonts w:cstheme="minorHAnsi"/>
          <w:sz w:val="24"/>
          <w:szCs w:val="24"/>
        </w:rPr>
        <w:t xml:space="preserve"> 2012</w:t>
      </w:r>
      <w:r w:rsidRPr="00C20C94">
        <w:rPr>
          <w:rFonts w:cstheme="minorHAnsi"/>
          <w:sz w:val="24"/>
          <w:szCs w:val="24"/>
        </w:rPr>
        <w:t>).</w:t>
      </w:r>
    </w:p>
    <w:p w14:paraId="6CEF3105" w14:textId="692C78ED" w:rsidR="00C20C94" w:rsidRPr="00C20C94" w:rsidRDefault="00C20C94" w:rsidP="00C20C94">
      <w:pPr>
        <w:rPr>
          <w:rFonts w:cstheme="minorHAnsi"/>
          <w:sz w:val="24"/>
          <w:szCs w:val="24"/>
        </w:rPr>
      </w:pPr>
      <w:r w:rsidRPr="00C20C94">
        <w:rPr>
          <w:rFonts w:cstheme="minorHAnsi"/>
          <w:sz w:val="24"/>
          <w:szCs w:val="24"/>
        </w:rPr>
        <w:t>Alternatively, high availability of alcohol in socially disorganized areas can also be explained by other processes, including land use and business cost, and future studies should examine their association with alcohol availability. Since alcohol consumption is higher in neighborhoods that typically have greater population and disposable income (Morrison et al., 2015), we would expect to find more alcohol outlets in socially organized neighborhoods to satisfy the demand. However, retail operating cost is likely to be higher in such areas due to higher land and structure rents common in socioeconomically advantaged areas, leading businesses to weigh the costs of operating in those neighborhoods instead of neighborhoods where their operating costs would be lower (Morrison et al., 2015). In addition, socioeconomically advantaged neighborhoods may have a greater ability to limit nuisance businesses and unwanted retail activity (DiPasquale &amp; Wheaton,</w:t>
      </w:r>
      <w:r w:rsidR="00A179A3">
        <w:rPr>
          <w:rFonts w:cstheme="minorHAnsi"/>
          <w:sz w:val="24"/>
          <w:szCs w:val="24"/>
        </w:rPr>
        <w:t xml:space="preserve"> 1992</w:t>
      </w:r>
      <w:r w:rsidRPr="00C20C94">
        <w:rPr>
          <w:rFonts w:cstheme="minorHAnsi"/>
          <w:sz w:val="24"/>
          <w:szCs w:val="24"/>
        </w:rPr>
        <w:t xml:space="preserve">), creating greater </w:t>
      </w:r>
      <w:r w:rsidRPr="00C20C94">
        <w:rPr>
          <w:rFonts w:cstheme="minorHAnsi"/>
          <w:sz w:val="24"/>
          <w:szCs w:val="24"/>
        </w:rPr>
        <w:lastRenderedPageBreak/>
        <w:t>exposure to alcohol outlets in socially disorganized areas that service demand from surrounding areas and bear the risk related to the presence of alcohol outlets (Morrison et al., 2015).</w:t>
      </w:r>
    </w:p>
    <w:p w14:paraId="2F388AFF" w14:textId="6A2802AC" w:rsidR="00C20C94" w:rsidRPr="00C20C94" w:rsidRDefault="00C20C94" w:rsidP="00C20C94">
      <w:pPr>
        <w:rPr>
          <w:rFonts w:cstheme="minorHAnsi"/>
          <w:sz w:val="24"/>
          <w:szCs w:val="24"/>
        </w:rPr>
      </w:pPr>
      <w:r w:rsidRPr="00C20C94">
        <w:rPr>
          <w:rFonts w:cstheme="minorHAnsi"/>
          <w:sz w:val="24"/>
          <w:szCs w:val="24"/>
        </w:rPr>
        <w:t>Even though organizing inner city neighborhoods to make changes related to alcohol problems is a difficult process (Clapp,</w:t>
      </w:r>
      <w:r w:rsidR="00A179A3">
        <w:rPr>
          <w:rFonts w:cstheme="minorHAnsi"/>
          <w:sz w:val="24"/>
          <w:szCs w:val="24"/>
        </w:rPr>
        <w:t xml:space="preserve"> </w:t>
      </w:r>
      <w:r w:rsidR="00BE154C">
        <w:rPr>
          <w:rFonts w:cstheme="minorHAnsi"/>
          <w:sz w:val="24"/>
          <w:szCs w:val="24"/>
        </w:rPr>
        <w:t>1995),</w:t>
      </w:r>
      <w:r w:rsidRPr="00C20C94">
        <w:rPr>
          <w:rFonts w:cstheme="minorHAnsi"/>
          <w:sz w:val="24"/>
          <w:szCs w:val="24"/>
        </w:rPr>
        <w:t xml:space="preserve"> </w:t>
      </w:r>
      <w:proofErr w:type="spellStart"/>
      <w:r w:rsidRPr="00C20C94">
        <w:rPr>
          <w:rFonts w:cstheme="minorHAnsi"/>
          <w:sz w:val="24"/>
          <w:szCs w:val="24"/>
        </w:rPr>
        <w:t>Piat's</w:t>
      </w:r>
      <w:proofErr w:type="spellEnd"/>
      <w:r w:rsidR="00766435">
        <w:rPr>
          <w:rFonts w:cstheme="minorHAnsi"/>
          <w:sz w:val="24"/>
          <w:szCs w:val="24"/>
        </w:rPr>
        <w:t xml:space="preserve"> (2000</w:t>
      </w:r>
      <w:r w:rsidRPr="00C20C94">
        <w:rPr>
          <w:rFonts w:cstheme="minorHAnsi"/>
          <w:sz w:val="24"/>
          <w:szCs w:val="24"/>
        </w:rPr>
        <w:t xml:space="preserve">) study showed how community action can be called upon in opposing unwelcome developments in neighborhoods. In studying how communities respond to implementation of housing for deinstitutionalized people through the lenses of the "Not in My Back Yard" (NIMBY) phenomenon, </w:t>
      </w:r>
      <w:proofErr w:type="spellStart"/>
      <w:r w:rsidRPr="00C20C94">
        <w:rPr>
          <w:rFonts w:cstheme="minorHAnsi"/>
          <w:sz w:val="24"/>
          <w:szCs w:val="24"/>
        </w:rPr>
        <w:t>Piat</w:t>
      </w:r>
      <w:proofErr w:type="spellEnd"/>
      <w:r w:rsidRPr="00C20C94">
        <w:rPr>
          <w:rFonts w:cstheme="minorHAnsi"/>
          <w:sz w:val="24"/>
          <w:szCs w:val="24"/>
        </w:rPr>
        <w:t xml:space="preserve"> (</w:t>
      </w:r>
      <w:r w:rsidR="00766435">
        <w:rPr>
          <w:rFonts w:cstheme="minorHAnsi"/>
          <w:sz w:val="24"/>
          <w:szCs w:val="24"/>
        </w:rPr>
        <w:t>2000</w:t>
      </w:r>
      <w:r w:rsidRPr="00C20C94">
        <w:rPr>
          <w:rFonts w:cstheme="minorHAnsi"/>
          <w:sz w:val="24"/>
          <w:szCs w:val="24"/>
        </w:rPr>
        <w:t>) found that community residents organized their efforts to oppose the existence of such facilities by circulating petitions and holding public information meetings. Perhaps more such studies are necessary to better explain how community organization influences alcohol availability and alcohol selling in the neighborhoods (Drabble &amp; Herd, 2014).</w:t>
      </w:r>
    </w:p>
    <w:p w14:paraId="27392DFB" w14:textId="1895C88F" w:rsidR="00C20C94" w:rsidRPr="00C20C94" w:rsidRDefault="00C20C94" w:rsidP="00C20C94">
      <w:pPr>
        <w:rPr>
          <w:rFonts w:cstheme="minorHAnsi"/>
          <w:sz w:val="24"/>
          <w:szCs w:val="24"/>
        </w:rPr>
      </w:pPr>
      <w:r w:rsidRPr="00C20C94">
        <w:rPr>
          <w:rFonts w:cstheme="minorHAnsi"/>
          <w:sz w:val="24"/>
          <w:szCs w:val="24"/>
        </w:rPr>
        <w:t xml:space="preserve">This study has a few limitations. First, this study uses census block groups as units of analysis to approximate neighborhood boundaries. The census block groups are artificially imposed boundaries that may not accurately approximate neighborhood processes. However, this focus on smaller units of analysis is in line with recent work in environmental and spatial literature that argues that smaller units of analysis (such as census block groups) are more appropriate both theoretically and empirically in assessment of neighborhood-level influences relative to larger units (such as tracts, zip codes, etc.) (Andersen &amp; </w:t>
      </w:r>
      <w:proofErr w:type="spellStart"/>
      <w:r w:rsidRPr="00C20C94">
        <w:rPr>
          <w:rFonts w:cstheme="minorHAnsi"/>
          <w:sz w:val="24"/>
          <w:szCs w:val="24"/>
        </w:rPr>
        <w:t>Malleson</w:t>
      </w:r>
      <w:proofErr w:type="spellEnd"/>
      <w:r w:rsidRPr="00C20C94">
        <w:rPr>
          <w:rFonts w:cstheme="minorHAnsi"/>
          <w:sz w:val="24"/>
          <w:szCs w:val="24"/>
        </w:rPr>
        <w:t>,</w:t>
      </w:r>
      <w:r w:rsidR="004628B4">
        <w:rPr>
          <w:rFonts w:cstheme="minorHAnsi"/>
          <w:sz w:val="24"/>
          <w:szCs w:val="24"/>
        </w:rPr>
        <w:t xml:space="preserve"> 2011</w:t>
      </w:r>
      <w:r w:rsidRPr="00C20C94">
        <w:rPr>
          <w:rFonts w:cstheme="minorHAnsi"/>
          <w:sz w:val="24"/>
          <w:szCs w:val="24"/>
        </w:rPr>
        <w:t xml:space="preserve">; Weisburd, </w:t>
      </w:r>
      <w:proofErr w:type="spellStart"/>
      <w:r w:rsidRPr="00C20C94">
        <w:rPr>
          <w:rFonts w:cstheme="minorHAnsi"/>
          <w:sz w:val="24"/>
          <w:szCs w:val="24"/>
        </w:rPr>
        <w:t>Bernasco</w:t>
      </w:r>
      <w:proofErr w:type="spellEnd"/>
      <w:r w:rsidRPr="00C20C94">
        <w:rPr>
          <w:rFonts w:cstheme="minorHAnsi"/>
          <w:sz w:val="24"/>
          <w:szCs w:val="24"/>
        </w:rPr>
        <w:t xml:space="preserve">, &amp; </w:t>
      </w:r>
      <w:proofErr w:type="spellStart"/>
      <w:r w:rsidRPr="00C20C94">
        <w:rPr>
          <w:rFonts w:cstheme="minorHAnsi"/>
          <w:sz w:val="24"/>
          <w:szCs w:val="24"/>
        </w:rPr>
        <w:t>Bruinsma</w:t>
      </w:r>
      <w:proofErr w:type="spellEnd"/>
      <w:r w:rsidRPr="00C20C94">
        <w:rPr>
          <w:rFonts w:cstheme="minorHAnsi"/>
          <w:sz w:val="24"/>
          <w:szCs w:val="24"/>
        </w:rPr>
        <w:t xml:space="preserve">, 2008). Second, this study uses a cross-sectional approach. It is possible that the availability of alcohol determines social disorganization levels, rather than being determined by those. Greater availability of alcohol may break up families, sever interpersonal relationships, and lead to single-family households with limited financial resources creating socioeconomic disadvantage and social disorganization. Third, this study uses data from a racially segregated city, an experience common to many </w:t>
      </w:r>
      <w:proofErr w:type="gramStart"/>
      <w:r w:rsidRPr="00C20C94">
        <w:rPr>
          <w:rFonts w:cstheme="minorHAnsi"/>
          <w:sz w:val="24"/>
          <w:szCs w:val="24"/>
        </w:rPr>
        <w:t>Rust</w:t>
      </w:r>
      <w:proofErr w:type="gramEnd"/>
      <w:r w:rsidRPr="00C20C94">
        <w:rPr>
          <w:rFonts w:cstheme="minorHAnsi"/>
          <w:sz w:val="24"/>
          <w:szCs w:val="24"/>
        </w:rPr>
        <w:t xml:space="preserve"> Belt urban cities. This makes Milwaukee a particularly interesting research site for the examination of the role of race/ethnicity, social disorganization, and alcohol availability. Finally, this study examines the f broad alcohol outlet typology (i.e., on- and off-</w:t>
      </w:r>
      <w:proofErr w:type="gramStart"/>
      <w:r w:rsidRPr="00C20C94">
        <w:rPr>
          <w:rFonts w:cstheme="minorHAnsi"/>
          <w:sz w:val="24"/>
          <w:szCs w:val="24"/>
        </w:rPr>
        <w:t>premise</w:t>
      </w:r>
      <w:proofErr w:type="gramEnd"/>
      <w:r w:rsidRPr="00C20C94">
        <w:rPr>
          <w:rFonts w:cstheme="minorHAnsi"/>
          <w:sz w:val="24"/>
          <w:szCs w:val="24"/>
        </w:rPr>
        <w:t>) and less is known about how access to particular subtypes of these alcohol outlet types varies across neighborhoods. Future studies should examine how these neighborhood characteristics explain availability of specific on- and off-</w:t>
      </w:r>
      <w:proofErr w:type="gramStart"/>
      <w:r w:rsidRPr="00C20C94">
        <w:rPr>
          <w:rFonts w:cstheme="minorHAnsi"/>
          <w:sz w:val="24"/>
          <w:szCs w:val="24"/>
        </w:rPr>
        <w:t>premise</w:t>
      </w:r>
      <w:proofErr w:type="gramEnd"/>
      <w:r w:rsidRPr="00C20C94">
        <w:rPr>
          <w:rFonts w:cstheme="minorHAnsi"/>
          <w:sz w:val="24"/>
          <w:szCs w:val="24"/>
        </w:rPr>
        <w:t xml:space="preserve"> alcohol outlets, such as taverns, pubs, bars, and restaurants (for on-premise outlets) and liquor stores, convenience stores, and beer/wine-only outlets (for off-premise outlets).</w:t>
      </w:r>
    </w:p>
    <w:p w14:paraId="57A5CBC0" w14:textId="77777777" w:rsidR="00C20C94" w:rsidRPr="00C20C94" w:rsidRDefault="00C20C94" w:rsidP="00C20C94">
      <w:pPr>
        <w:rPr>
          <w:rFonts w:cstheme="minorHAnsi"/>
          <w:sz w:val="24"/>
          <w:szCs w:val="24"/>
        </w:rPr>
      </w:pPr>
      <w:r w:rsidRPr="00C20C94">
        <w:rPr>
          <w:rFonts w:cstheme="minorHAnsi"/>
          <w:sz w:val="24"/>
          <w:szCs w:val="24"/>
        </w:rPr>
        <w:t xml:space="preserve">Despite these limitations, this study is carefully designed to shed additional light on the role of neighborhood characteristics in alcohol availability by focusing on the role of race/ethnicity and social disorganization in urban census block groups. Neighborhood characteristics, such as race/ethnicity and social disorganization, appear to contribute to alcohol availability. These characteristics must be considered in any efforts aimed toward prevention of alcohol-related health and social outcomes in general, and in neighborhoods marked by social </w:t>
      </w:r>
      <w:proofErr w:type="gramStart"/>
      <w:r w:rsidRPr="00C20C94">
        <w:rPr>
          <w:rFonts w:cstheme="minorHAnsi"/>
          <w:sz w:val="24"/>
          <w:szCs w:val="24"/>
        </w:rPr>
        <w:t>disorganization, in particular</w:t>
      </w:r>
      <w:proofErr w:type="gramEnd"/>
      <w:r w:rsidRPr="00C20C94">
        <w:rPr>
          <w:rFonts w:cstheme="minorHAnsi"/>
          <w:sz w:val="24"/>
          <w:szCs w:val="24"/>
        </w:rPr>
        <w:t>.</w:t>
      </w:r>
    </w:p>
    <w:p w14:paraId="0E866F3A" w14:textId="61CA94CC" w:rsidR="00C20C94" w:rsidRPr="002F6180" w:rsidRDefault="00C20C94" w:rsidP="002F6180">
      <w:pPr>
        <w:pStyle w:val="Heading1"/>
      </w:pPr>
      <w:r w:rsidRPr="00F230A9">
        <w:t xml:space="preserve">References </w:t>
      </w:r>
    </w:p>
    <w:p w14:paraId="5665BBD1" w14:textId="26A4897C"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Alaniz, M. L., &amp; Wilkes, C. (1998). Pro-drinking messages and message environments for young adults: The case of alcohol industry advertising in African American, Latino, and Native American communities. </w:t>
      </w:r>
      <w:r w:rsidRPr="00D62EBD">
        <w:rPr>
          <w:rFonts w:cstheme="minorHAnsi"/>
          <w:i/>
          <w:iCs/>
          <w:sz w:val="24"/>
          <w:szCs w:val="24"/>
        </w:rPr>
        <w:t>Journal of Public Health Policy</w:t>
      </w:r>
      <w:r w:rsidRPr="000B036D">
        <w:rPr>
          <w:rFonts w:cstheme="minorHAnsi"/>
          <w:sz w:val="24"/>
          <w:szCs w:val="24"/>
        </w:rPr>
        <w:t>, 19(4), 447–472. doi:10.2307/3343076</w:t>
      </w:r>
    </w:p>
    <w:p w14:paraId="17E3202A" w14:textId="041508FB" w:rsidR="00C20C94" w:rsidRPr="000B036D" w:rsidRDefault="00C20C94" w:rsidP="000B036D">
      <w:pPr>
        <w:pStyle w:val="NoSpacing"/>
        <w:ind w:left="720" w:hanging="720"/>
        <w:rPr>
          <w:rFonts w:cstheme="minorHAnsi"/>
          <w:sz w:val="24"/>
          <w:szCs w:val="24"/>
        </w:rPr>
      </w:pPr>
      <w:r w:rsidRPr="000B036D">
        <w:rPr>
          <w:rFonts w:cstheme="minorHAnsi"/>
          <w:sz w:val="24"/>
          <w:szCs w:val="24"/>
        </w:rPr>
        <w:lastRenderedPageBreak/>
        <w:t xml:space="preserve">Andersen, M. A., &amp; </w:t>
      </w:r>
      <w:proofErr w:type="spellStart"/>
      <w:r w:rsidRPr="000B036D">
        <w:rPr>
          <w:rFonts w:cstheme="minorHAnsi"/>
          <w:sz w:val="24"/>
          <w:szCs w:val="24"/>
        </w:rPr>
        <w:t>Malleson</w:t>
      </w:r>
      <w:proofErr w:type="spellEnd"/>
      <w:r w:rsidRPr="000B036D">
        <w:rPr>
          <w:rFonts w:cstheme="minorHAnsi"/>
          <w:sz w:val="24"/>
          <w:szCs w:val="24"/>
        </w:rPr>
        <w:t xml:space="preserve">, N. (2011). Testing the stability of crime patterns: Implications for theory and policy. </w:t>
      </w:r>
      <w:r w:rsidRPr="00D62EBD">
        <w:rPr>
          <w:rFonts w:cstheme="minorHAnsi"/>
          <w:i/>
          <w:iCs/>
          <w:sz w:val="24"/>
          <w:szCs w:val="24"/>
        </w:rPr>
        <w:t>Journal of Research in Crime and Delinquency</w:t>
      </w:r>
      <w:r w:rsidRPr="000B036D">
        <w:rPr>
          <w:rFonts w:cstheme="minorHAnsi"/>
          <w:sz w:val="24"/>
          <w:szCs w:val="24"/>
        </w:rPr>
        <w:t>, 48(1), 58–82. doi:10.1177/0022427810384136</w:t>
      </w:r>
    </w:p>
    <w:p w14:paraId="7F55998F" w14:textId="3E783A8A"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Anselin</w:t>
      </w:r>
      <w:proofErr w:type="spellEnd"/>
      <w:r w:rsidRPr="000B036D">
        <w:rPr>
          <w:rFonts w:cstheme="minorHAnsi"/>
          <w:sz w:val="24"/>
          <w:szCs w:val="24"/>
        </w:rPr>
        <w:t xml:space="preserve">, L. (1988). </w:t>
      </w:r>
      <w:r w:rsidRPr="00D62EBD">
        <w:rPr>
          <w:rFonts w:cstheme="minorHAnsi"/>
          <w:i/>
          <w:iCs/>
          <w:sz w:val="24"/>
          <w:szCs w:val="24"/>
        </w:rPr>
        <w:t>Spatial econometrics: Methods and models</w:t>
      </w:r>
      <w:r w:rsidRPr="000B036D">
        <w:rPr>
          <w:rFonts w:cstheme="minorHAnsi"/>
          <w:sz w:val="24"/>
          <w:szCs w:val="24"/>
        </w:rPr>
        <w:t xml:space="preserve"> (Vol. 4). Dordrecht, the Netherlands: Springer.</w:t>
      </w:r>
    </w:p>
    <w:p w14:paraId="11F10CE5" w14:textId="28F2A4BE"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Anselin</w:t>
      </w:r>
      <w:proofErr w:type="spellEnd"/>
      <w:r w:rsidRPr="000B036D">
        <w:rPr>
          <w:rFonts w:cstheme="minorHAnsi"/>
          <w:sz w:val="24"/>
          <w:szCs w:val="24"/>
        </w:rPr>
        <w:t xml:space="preserve">, L., </w:t>
      </w:r>
      <w:proofErr w:type="spellStart"/>
      <w:r w:rsidRPr="000B036D">
        <w:rPr>
          <w:rFonts w:cstheme="minorHAnsi"/>
          <w:sz w:val="24"/>
          <w:szCs w:val="24"/>
        </w:rPr>
        <w:t>Syabri</w:t>
      </w:r>
      <w:proofErr w:type="spellEnd"/>
      <w:r w:rsidRPr="000B036D">
        <w:rPr>
          <w:rFonts w:cstheme="minorHAnsi"/>
          <w:sz w:val="24"/>
          <w:szCs w:val="24"/>
        </w:rPr>
        <w:t xml:space="preserve">, I., &amp; Kho, Y. (2006). </w:t>
      </w:r>
      <w:proofErr w:type="spellStart"/>
      <w:r w:rsidRPr="000B036D">
        <w:rPr>
          <w:rFonts w:cstheme="minorHAnsi"/>
          <w:sz w:val="24"/>
          <w:szCs w:val="24"/>
        </w:rPr>
        <w:t>GeoDa</w:t>
      </w:r>
      <w:proofErr w:type="spellEnd"/>
      <w:r w:rsidRPr="000B036D">
        <w:rPr>
          <w:rFonts w:cstheme="minorHAnsi"/>
          <w:sz w:val="24"/>
          <w:szCs w:val="24"/>
        </w:rPr>
        <w:t xml:space="preserve">: An introduction to spatial data analysis. </w:t>
      </w:r>
      <w:r w:rsidRPr="00D62EBD">
        <w:rPr>
          <w:rFonts w:cstheme="minorHAnsi"/>
          <w:i/>
          <w:iCs/>
          <w:sz w:val="24"/>
          <w:szCs w:val="24"/>
        </w:rPr>
        <w:t>Geographical Analysis</w:t>
      </w:r>
      <w:r w:rsidRPr="000B036D">
        <w:rPr>
          <w:rFonts w:cstheme="minorHAnsi"/>
          <w:sz w:val="24"/>
          <w:szCs w:val="24"/>
        </w:rPr>
        <w:t>, 38(1), 5–22. doi:10.1111/j.0016-7363.</w:t>
      </w:r>
      <w:proofErr w:type="gramStart"/>
      <w:r w:rsidRPr="000B036D">
        <w:rPr>
          <w:rFonts w:cstheme="minorHAnsi"/>
          <w:sz w:val="24"/>
          <w:szCs w:val="24"/>
        </w:rPr>
        <w:t>2005.00671.x</w:t>
      </w:r>
      <w:proofErr w:type="gramEnd"/>
    </w:p>
    <w:p w14:paraId="6788701A" w14:textId="3C1B7772"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Benson, M. L., </w:t>
      </w:r>
      <w:proofErr w:type="spellStart"/>
      <w:r w:rsidRPr="000B036D">
        <w:rPr>
          <w:rFonts w:cstheme="minorHAnsi"/>
          <w:sz w:val="24"/>
          <w:szCs w:val="24"/>
        </w:rPr>
        <w:t>Wooldredge</w:t>
      </w:r>
      <w:proofErr w:type="spellEnd"/>
      <w:r w:rsidRPr="000B036D">
        <w:rPr>
          <w:rFonts w:cstheme="minorHAnsi"/>
          <w:sz w:val="24"/>
          <w:szCs w:val="24"/>
        </w:rPr>
        <w:t xml:space="preserve">, J., </w:t>
      </w:r>
      <w:proofErr w:type="spellStart"/>
      <w:r w:rsidRPr="000B036D">
        <w:rPr>
          <w:rFonts w:cstheme="minorHAnsi"/>
          <w:sz w:val="24"/>
          <w:szCs w:val="24"/>
        </w:rPr>
        <w:t>Thistlethwaite</w:t>
      </w:r>
      <w:proofErr w:type="spellEnd"/>
      <w:r w:rsidRPr="000B036D">
        <w:rPr>
          <w:rFonts w:cstheme="minorHAnsi"/>
          <w:sz w:val="24"/>
          <w:szCs w:val="24"/>
        </w:rPr>
        <w:t xml:space="preserve">, A. B., &amp; Fox, G. L. (2004). The correlation between race and domestic violence is confounded with community context. </w:t>
      </w:r>
      <w:r w:rsidRPr="00D62EBD">
        <w:rPr>
          <w:rFonts w:cstheme="minorHAnsi"/>
          <w:i/>
          <w:iCs/>
          <w:sz w:val="24"/>
          <w:szCs w:val="24"/>
        </w:rPr>
        <w:t>Social Problems</w:t>
      </w:r>
      <w:r w:rsidRPr="000B036D">
        <w:rPr>
          <w:rFonts w:cstheme="minorHAnsi"/>
          <w:sz w:val="24"/>
          <w:szCs w:val="24"/>
        </w:rPr>
        <w:t>, 51(3), 326–342. doi:10.1525/sp.2004.51.3.326</w:t>
      </w:r>
    </w:p>
    <w:p w14:paraId="78417726" w14:textId="0A96B766"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Berke</w:t>
      </w:r>
      <w:proofErr w:type="spellEnd"/>
      <w:r w:rsidRPr="000B036D">
        <w:rPr>
          <w:rFonts w:cstheme="minorHAnsi"/>
          <w:sz w:val="24"/>
          <w:szCs w:val="24"/>
        </w:rPr>
        <w:t xml:space="preserve">, E., </w:t>
      </w:r>
      <w:proofErr w:type="spellStart"/>
      <w:r w:rsidRPr="000B036D">
        <w:rPr>
          <w:rFonts w:cstheme="minorHAnsi"/>
          <w:sz w:val="24"/>
          <w:szCs w:val="24"/>
        </w:rPr>
        <w:t>Tanski</w:t>
      </w:r>
      <w:proofErr w:type="spellEnd"/>
      <w:r w:rsidRPr="000B036D">
        <w:rPr>
          <w:rFonts w:cstheme="minorHAnsi"/>
          <w:sz w:val="24"/>
          <w:szCs w:val="24"/>
        </w:rPr>
        <w:t>, S., Demidenko, E., Alford-</w:t>
      </w:r>
      <w:proofErr w:type="spellStart"/>
      <w:r w:rsidRPr="000B036D">
        <w:rPr>
          <w:rFonts w:cstheme="minorHAnsi"/>
          <w:sz w:val="24"/>
          <w:szCs w:val="24"/>
        </w:rPr>
        <w:t>Teaster</w:t>
      </w:r>
      <w:proofErr w:type="spellEnd"/>
      <w:r w:rsidRPr="000B036D">
        <w:rPr>
          <w:rFonts w:cstheme="minorHAnsi"/>
          <w:sz w:val="24"/>
          <w:szCs w:val="24"/>
        </w:rPr>
        <w:t xml:space="preserve">, J., Shi, X., &amp; Sargent, J. (2010). Alcohol retail density and demographic predictors of health disparities: A geographic analysis. </w:t>
      </w:r>
      <w:r w:rsidRPr="00D62EBD">
        <w:rPr>
          <w:rFonts w:cstheme="minorHAnsi"/>
          <w:i/>
          <w:iCs/>
          <w:sz w:val="24"/>
          <w:szCs w:val="24"/>
        </w:rPr>
        <w:t>American Journal of Public Health</w:t>
      </w:r>
      <w:r w:rsidRPr="000B036D">
        <w:rPr>
          <w:rFonts w:cstheme="minorHAnsi"/>
          <w:sz w:val="24"/>
          <w:szCs w:val="24"/>
        </w:rPr>
        <w:t>, 100(10), 1967–1971.</w:t>
      </w:r>
    </w:p>
    <w:p w14:paraId="0284E79E" w14:textId="13CF0F48"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Black, C., </w:t>
      </w:r>
      <w:proofErr w:type="spellStart"/>
      <w:r w:rsidRPr="000B036D">
        <w:rPr>
          <w:rFonts w:cstheme="minorHAnsi"/>
          <w:sz w:val="24"/>
          <w:szCs w:val="24"/>
        </w:rPr>
        <w:t>Ntani</w:t>
      </w:r>
      <w:proofErr w:type="spellEnd"/>
      <w:r w:rsidRPr="000B036D">
        <w:rPr>
          <w:rFonts w:cstheme="minorHAnsi"/>
          <w:sz w:val="24"/>
          <w:szCs w:val="24"/>
        </w:rPr>
        <w:t xml:space="preserve">, G., Kenny, R., </w:t>
      </w:r>
      <w:proofErr w:type="spellStart"/>
      <w:r w:rsidRPr="000B036D">
        <w:rPr>
          <w:rFonts w:cstheme="minorHAnsi"/>
          <w:sz w:val="24"/>
          <w:szCs w:val="24"/>
        </w:rPr>
        <w:t>Tinati</w:t>
      </w:r>
      <w:proofErr w:type="spellEnd"/>
      <w:r w:rsidRPr="000B036D">
        <w:rPr>
          <w:rFonts w:cstheme="minorHAnsi"/>
          <w:sz w:val="24"/>
          <w:szCs w:val="24"/>
        </w:rPr>
        <w:t xml:space="preserve">, T., </w:t>
      </w:r>
      <w:proofErr w:type="spellStart"/>
      <w:r w:rsidRPr="000B036D">
        <w:rPr>
          <w:rFonts w:cstheme="minorHAnsi"/>
          <w:sz w:val="24"/>
          <w:szCs w:val="24"/>
        </w:rPr>
        <w:t>Jarman</w:t>
      </w:r>
      <w:proofErr w:type="spellEnd"/>
      <w:r w:rsidRPr="000B036D">
        <w:rPr>
          <w:rFonts w:cstheme="minorHAnsi"/>
          <w:sz w:val="24"/>
          <w:szCs w:val="24"/>
        </w:rPr>
        <w:t xml:space="preserve">, M., Lawrence, W., ... Baird, J. (2012). Variety and quality of healthy foods differ according to neighborhood deprivation. </w:t>
      </w:r>
      <w:r w:rsidRPr="00D62EBD">
        <w:rPr>
          <w:rFonts w:cstheme="minorHAnsi"/>
          <w:i/>
          <w:iCs/>
          <w:sz w:val="24"/>
          <w:szCs w:val="24"/>
        </w:rPr>
        <w:t>Health and Place</w:t>
      </w:r>
      <w:r w:rsidRPr="000B036D">
        <w:rPr>
          <w:rFonts w:cstheme="minorHAnsi"/>
          <w:sz w:val="24"/>
          <w:szCs w:val="24"/>
        </w:rPr>
        <w:t xml:space="preserve">, 18, 1292–1299. </w:t>
      </w:r>
      <w:proofErr w:type="gramStart"/>
      <w:r w:rsidRPr="000B036D">
        <w:rPr>
          <w:rFonts w:cstheme="minorHAnsi"/>
          <w:sz w:val="24"/>
          <w:szCs w:val="24"/>
        </w:rPr>
        <w:t>doi:10.1016/j.healthplace</w:t>
      </w:r>
      <w:proofErr w:type="gramEnd"/>
      <w:r w:rsidRPr="000B036D">
        <w:rPr>
          <w:rFonts w:cstheme="minorHAnsi"/>
          <w:sz w:val="24"/>
          <w:szCs w:val="24"/>
        </w:rPr>
        <w:t>.2012.09.003</w:t>
      </w:r>
    </w:p>
    <w:p w14:paraId="3FB640C9" w14:textId="5AA2B128"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Block, J., Scribner, R., &amp; DeSalvo, K. (2004). Fast food, race/ethnicity, and income: A geographic analysis. </w:t>
      </w:r>
      <w:r w:rsidRPr="00D62EBD">
        <w:rPr>
          <w:rFonts w:cstheme="minorHAnsi"/>
          <w:i/>
          <w:iCs/>
          <w:sz w:val="24"/>
          <w:szCs w:val="24"/>
        </w:rPr>
        <w:t>American Journal of Preventive Medicine</w:t>
      </w:r>
      <w:r w:rsidRPr="000B036D">
        <w:rPr>
          <w:rFonts w:cstheme="minorHAnsi"/>
          <w:sz w:val="24"/>
          <w:szCs w:val="24"/>
        </w:rPr>
        <w:t>, 27(3), 211–217. doi:10.1016/s0749-3797(04)00139-4</w:t>
      </w:r>
    </w:p>
    <w:p w14:paraId="4DE03530" w14:textId="724D246D"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Bluthenthal</w:t>
      </w:r>
      <w:proofErr w:type="spellEnd"/>
      <w:r w:rsidRPr="000B036D">
        <w:rPr>
          <w:rFonts w:cstheme="minorHAnsi"/>
          <w:sz w:val="24"/>
          <w:szCs w:val="24"/>
        </w:rPr>
        <w:t xml:space="preserve">, R. N., Cohen, D. A., Farley, T. A., Scribner, R., </w:t>
      </w:r>
      <w:proofErr w:type="spellStart"/>
      <w:r w:rsidRPr="000B036D">
        <w:rPr>
          <w:rFonts w:cstheme="minorHAnsi"/>
          <w:sz w:val="24"/>
          <w:szCs w:val="24"/>
        </w:rPr>
        <w:t>Beighley</w:t>
      </w:r>
      <w:proofErr w:type="spellEnd"/>
      <w:r w:rsidRPr="000B036D">
        <w:rPr>
          <w:rFonts w:cstheme="minorHAnsi"/>
          <w:sz w:val="24"/>
          <w:szCs w:val="24"/>
        </w:rPr>
        <w:t xml:space="preserve">, C., </w:t>
      </w:r>
      <w:proofErr w:type="spellStart"/>
      <w:r w:rsidRPr="000B036D">
        <w:rPr>
          <w:rFonts w:cstheme="minorHAnsi"/>
          <w:sz w:val="24"/>
          <w:szCs w:val="24"/>
        </w:rPr>
        <w:t>Schonlau</w:t>
      </w:r>
      <w:proofErr w:type="spellEnd"/>
      <w:r w:rsidRPr="000B036D">
        <w:rPr>
          <w:rFonts w:cstheme="minorHAnsi"/>
          <w:sz w:val="24"/>
          <w:szCs w:val="24"/>
        </w:rPr>
        <w:t xml:space="preserve">, M., &amp; Robinson, P. L. (2008). Alcohol availability and neighborhood characteristics in Los Angeles, </w:t>
      </w:r>
      <w:proofErr w:type="gramStart"/>
      <w:r w:rsidRPr="000B036D">
        <w:rPr>
          <w:rFonts w:cstheme="minorHAnsi"/>
          <w:sz w:val="24"/>
          <w:szCs w:val="24"/>
        </w:rPr>
        <w:t>California</w:t>
      </w:r>
      <w:proofErr w:type="gramEnd"/>
      <w:r w:rsidRPr="000B036D">
        <w:rPr>
          <w:rFonts w:cstheme="minorHAnsi"/>
          <w:sz w:val="24"/>
          <w:szCs w:val="24"/>
        </w:rPr>
        <w:t xml:space="preserve"> and Southern Louisiana. </w:t>
      </w:r>
      <w:r w:rsidRPr="00D62EBD">
        <w:rPr>
          <w:rFonts w:cstheme="minorHAnsi"/>
          <w:i/>
          <w:iCs/>
          <w:sz w:val="24"/>
          <w:szCs w:val="24"/>
        </w:rPr>
        <w:t>Journal of Urban Health: Bulletin of the New York Academy of Medicine</w:t>
      </w:r>
      <w:r w:rsidRPr="000B036D">
        <w:rPr>
          <w:rFonts w:cstheme="minorHAnsi"/>
          <w:sz w:val="24"/>
          <w:szCs w:val="24"/>
        </w:rPr>
        <w:t>, 85(2), 191–205. doi:10.1007/s11524-008-9255-1</w:t>
      </w:r>
    </w:p>
    <w:p w14:paraId="2D655EEF"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Britt, H. R., Carlin, B. P., Toomey, T. L., &amp; </w:t>
      </w:r>
      <w:proofErr w:type="spellStart"/>
      <w:r w:rsidRPr="000B036D">
        <w:rPr>
          <w:rFonts w:cstheme="minorHAnsi"/>
          <w:sz w:val="24"/>
          <w:szCs w:val="24"/>
        </w:rPr>
        <w:t>Wagenaar</w:t>
      </w:r>
      <w:proofErr w:type="spellEnd"/>
      <w:r w:rsidRPr="000B036D">
        <w:rPr>
          <w:rFonts w:cstheme="minorHAnsi"/>
          <w:sz w:val="24"/>
          <w:szCs w:val="24"/>
        </w:rPr>
        <w:t xml:space="preserve">, A. C. (2005). Neighborhood level spatial analysis of the relationship between alcohol outlet density and criminal violence. </w:t>
      </w:r>
      <w:r w:rsidRPr="00D62EBD">
        <w:rPr>
          <w:rFonts w:cstheme="minorHAnsi"/>
          <w:i/>
          <w:iCs/>
          <w:sz w:val="24"/>
          <w:szCs w:val="24"/>
        </w:rPr>
        <w:t>Environmental and Ecological Statistics</w:t>
      </w:r>
      <w:r w:rsidRPr="000B036D">
        <w:rPr>
          <w:rFonts w:cstheme="minorHAnsi"/>
          <w:sz w:val="24"/>
          <w:szCs w:val="24"/>
        </w:rPr>
        <w:t>, 12, 411–426.</w:t>
      </w:r>
    </w:p>
    <w:p w14:paraId="24F7D144"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Bryden, A., Roberts, B., McKee, M., &amp; </w:t>
      </w:r>
      <w:proofErr w:type="spellStart"/>
      <w:r w:rsidRPr="000B036D">
        <w:rPr>
          <w:rFonts w:cstheme="minorHAnsi"/>
          <w:sz w:val="24"/>
          <w:szCs w:val="24"/>
        </w:rPr>
        <w:t>Petticrew</w:t>
      </w:r>
      <w:proofErr w:type="spellEnd"/>
      <w:r w:rsidRPr="000B036D">
        <w:rPr>
          <w:rFonts w:cstheme="minorHAnsi"/>
          <w:sz w:val="24"/>
          <w:szCs w:val="24"/>
        </w:rPr>
        <w:t xml:space="preserve">, M. (2012). A systematic review of the influence on alcohol use of community level availability and marketing of alcohol. </w:t>
      </w:r>
      <w:r w:rsidRPr="00D62EBD">
        <w:rPr>
          <w:rFonts w:cstheme="minorHAnsi"/>
          <w:i/>
          <w:iCs/>
          <w:sz w:val="24"/>
          <w:szCs w:val="24"/>
        </w:rPr>
        <w:t>Health &amp; Place</w:t>
      </w:r>
      <w:r w:rsidRPr="000B036D">
        <w:rPr>
          <w:rFonts w:cstheme="minorHAnsi"/>
          <w:sz w:val="24"/>
          <w:szCs w:val="24"/>
        </w:rPr>
        <w:t xml:space="preserve">, 18(2), 349–357. </w:t>
      </w:r>
      <w:proofErr w:type="gramStart"/>
      <w:r w:rsidRPr="000B036D">
        <w:rPr>
          <w:rFonts w:cstheme="minorHAnsi"/>
          <w:sz w:val="24"/>
          <w:szCs w:val="24"/>
        </w:rPr>
        <w:t>doi:10.1016/j.healthplace</w:t>
      </w:r>
      <w:proofErr w:type="gramEnd"/>
      <w:r w:rsidRPr="000B036D">
        <w:rPr>
          <w:rFonts w:cstheme="minorHAnsi"/>
          <w:sz w:val="24"/>
          <w:szCs w:val="24"/>
        </w:rPr>
        <w:t>.2011.11.003</w:t>
      </w:r>
    </w:p>
    <w:p w14:paraId="5223DA65"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Clapp, J. D. (1995). Organizing inner city neighborhoods to reduce alcohol and drug problems. </w:t>
      </w:r>
      <w:r w:rsidRPr="00D62EBD">
        <w:rPr>
          <w:rFonts w:cstheme="minorHAnsi"/>
          <w:i/>
          <w:iCs/>
          <w:sz w:val="24"/>
          <w:szCs w:val="24"/>
        </w:rPr>
        <w:t>Journal of Community Practice</w:t>
      </w:r>
      <w:r w:rsidRPr="000B036D">
        <w:rPr>
          <w:rFonts w:cstheme="minorHAnsi"/>
          <w:sz w:val="24"/>
          <w:szCs w:val="24"/>
        </w:rPr>
        <w:t>, 2(1), 43–60. doi:10.1300/j125v02n01_03</w:t>
      </w:r>
    </w:p>
    <w:p w14:paraId="447E337A"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Cunradi</w:t>
      </w:r>
      <w:proofErr w:type="spellEnd"/>
      <w:r w:rsidRPr="000B036D">
        <w:rPr>
          <w:rFonts w:cstheme="minorHAnsi"/>
          <w:sz w:val="24"/>
          <w:szCs w:val="24"/>
        </w:rPr>
        <w:t xml:space="preserve">, C. B., Mair, C., </w:t>
      </w:r>
      <w:proofErr w:type="spellStart"/>
      <w:r w:rsidRPr="000B036D">
        <w:rPr>
          <w:rFonts w:cstheme="minorHAnsi"/>
          <w:sz w:val="24"/>
          <w:szCs w:val="24"/>
        </w:rPr>
        <w:t>Ponicki</w:t>
      </w:r>
      <w:proofErr w:type="spellEnd"/>
      <w:r w:rsidRPr="000B036D">
        <w:rPr>
          <w:rFonts w:cstheme="minorHAnsi"/>
          <w:sz w:val="24"/>
          <w:szCs w:val="24"/>
        </w:rPr>
        <w:t xml:space="preserve">, W., &amp; Remer, L. (2012). Alcohol outlet density and intimate partner violence-related emergency department visits. </w:t>
      </w:r>
      <w:r w:rsidRPr="00D62EBD">
        <w:rPr>
          <w:rFonts w:cstheme="minorHAnsi"/>
          <w:i/>
          <w:iCs/>
          <w:sz w:val="24"/>
          <w:szCs w:val="24"/>
        </w:rPr>
        <w:t>Alcoholism: Clinical and Experimental Research</w:t>
      </w:r>
      <w:r w:rsidRPr="000B036D">
        <w:rPr>
          <w:rFonts w:cstheme="minorHAnsi"/>
          <w:sz w:val="24"/>
          <w:szCs w:val="24"/>
        </w:rPr>
        <w:t>, 36(5), 847–853. doi:10.1111/j.1530-0277.</w:t>
      </w:r>
      <w:proofErr w:type="gramStart"/>
      <w:r w:rsidRPr="000B036D">
        <w:rPr>
          <w:rFonts w:cstheme="minorHAnsi"/>
          <w:sz w:val="24"/>
          <w:szCs w:val="24"/>
        </w:rPr>
        <w:t>2011.01683.x</w:t>
      </w:r>
      <w:proofErr w:type="gramEnd"/>
    </w:p>
    <w:p w14:paraId="3889A08B"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DiPasquale, D., &amp; Wheaton, W. C. (1992). The markets for real estate assets and space: A conceptual framework. </w:t>
      </w:r>
      <w:r w:rsidRPr="00D62EBD">
        <w:rPr>
          <w:rFonts w:cstheme="minorHAnsi"/>
          <w:i/>
          <w:iCs/>
          <w:sz w:val="24"/>
          <w:szCs w:val="24"/>
        </w:rPr>
        <w:t>Real Estate Economics</w:t>
      </w:r>
      <w:r w:rsidRPr="000B036D">
        <w:rPr>
          <w:rFonts w:cstheme="minorHAnsi"/>
          <w:sz w:val="24"/>
          <w:szCs w:val="24"/>
        </w:rPr>
        <w:t>, 20(2), 181–198. doi:10.1111/1540-6229.00579</w:t>
      </w:r>
    </w:p>
    <w:p w14:paraId="12E0CA71"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Drabble, L., &amp; Herd, D. (2014). Strategies employed by inner-city activists to reduce alcohol-related problems and advance social justice. </w:t>
      </w:r>
      <w:r w:rsidRPr="00D62EBD">
        <w:rPr>
          <w:rFonts w:cstheme="minorHAnsi"/>
          <w:i/>
          <w:iCs/>
          <w:sz w:val="24"/>
          <w:szCs w:val="24"/>
        </w:rPr>
        <w:t>Journal of Ethnicity in Substance Abuse</w:t>
      </w:r>
      <w:r w:rsidRPr="000B036D">
        <w:rPr>
          <w:rFonts w:cstheme="minorHAnsi"/>
          <w:sz w:val="24"/>
          <w:szCs w:val="24"/>
        </w:rPr>
        <w:t>, 13(4), 362–384. doi:10.1080/15332640.2014.958637</w:t>
      </w:r>
    </w:p>
    <w:p w14:paraId="54C311A3"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Ellaway</w:t>
      </w:r>
      <w:proofErr w:type="spellEnd"/>
      <w:r w:rsidRPr="000B036D">
        <w:rPr>
          <w:rFonts w:cstheme="minorHAnsi"/>
          <w:sz w:val="24"/>
          <w:szCs w:val="24"/>
        </w:rPr>
        <w:t xml:space="preserve">, A., Macdonald, L., Forsyth, A., &amp; Macintyre, S. (2010). The socio-spatial distribution of alcohol outlets in Glasgow city. </w:t>
      </w:r>
      <w:r w:rsidRPr="00DA173D">
        <w:rPr>
          <w:rFonts w:cstheme="minorHAnsi"/>
          <w:i/>
          <w:iCs/>
          <w:sz w:val="24"/>
          <w:szCs w:val="24"/>
        </w:rPr>
        <w:t>Health &amp; Place</w:t>
      </w:r>
      <w:r w:rsidRPr="000B036D">
        <w:rPr>
          <w:rFonts w:cstheme="minorHAnsi"/>
          <w:sz w:val="24"/>
          <w:szCs w:val="24"/>
        </w:rPr>
        <w:t xml:space="preserve">, 16, 167–172. </w:t>
      </w:r>
      <w:proofErr w:type="gramStart"/>
      <w:r w:rsidRPr="000B036D">
        <w:rPr>
          <w:rFonts w:cstheme="minorHAnsi"/>
          <w:sz w:val="24"/>
          <w:szCs w:val="24"/>
        </w:rPr>
        <w:t>doi:10.1016/j.healthplace</w:t>
      </w:r>
      <w:proofErr w:type="gramEnd"/>
      <w:r w:rsidRPr="000B036D">
        <w:rPr>
          <w:rFonts w:cstheme="minorHAnsi"/>
          <w:sz w:val="24"/>
          <w:szCs w:val="24"/>
        </w:rPr>
        <w:t>.2009.08.007</w:t>
      </w:r>
    </w:p>
    <w:p w14:paraId="5A888A15"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Emerick, N. A., Curry, T. R., Collins, T. W., &amp; Rodriguez, S. F. (2014). Homicide and social disorganization on the border: Implications for Latino and immigrant populations. </w:t>
      </w:r>
      <w:r w:rsidRPr="00DA173D">
        <w:rPr>
          <w:rFonts w:cstheme="minorHAnsi"/>
          <w:i/>
          <w:iCs/>
          <w:sz w:val="24"/>
          <w:szCs w:val="24"/>
        </w:rPr>
        <w:t>Social Science Quarterly</w:t>
      </w:r>
      <w:r w:rsidRPr="000B036D">
        <w:rPr>
          <w:rFonts w:cstheme="minorHAnsi"/>
          <w:sz w:val="24"/>
          <w:szCs w:val="24"/>
        </w:rPr>
        <w:t>, 95(2), 360–379. doi:10.1111/ssqu.12051</w:t>
      </w:r>
    </w:p>
    <w:p w14:paraId="432628BC"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lastRenderedPageBreak/>
        <w:t>Freisthler</w:t>
      </w:r>
      <w:proofErr w:type="spellEnd"/>
      <w:r w:rsidRPr="000B036D">
        <w:rPr>
          <w:rFonts w:cstheme="minorHAnsi"/>
          <w:sz w:val="24"/>
          <w:szCs w:val="24"/>
        </w:rPr>
        <w:t xml:space="preserve">, B., Needell, B., &amp; Gruenewald, P. J. (2005). Is the physical availability of alcohol and illicit drugs related to neighborhood rates of child maltreatment? </w:t>
      </w:r>
      <w:r w:rsidRPr="00DA173D">
        <w:rPr>
          <w:rFonts w:cstheme="minorHAnsi"/>
          <w:i/>
          <w:iCs/>
          <w:sz w:val="24"/>
          <w:szCs w:val="24"/>
        </w:rPr>
        <w:t>Child Abuse &amp; Neglect</w:t>
      </w:r>
      <w:r w:rsidRPr="000B036D">
        <w:rPr>
          <w:rFonts w:cstheme="minorHAnsi"/>
          <w:sz w:val="24"/>
          <w:szCs w:val="24"/>
        </w:rPr>
        <w:t xml:space="preserve">, 29(9), 1049–1060. </w:t>
      </w:r>
      <w:proofErr w:type="gramStart"/>
      <w:r w:rsidRPr="000B036D">
        <w:rPr>
          <w:rFonts w:cstheme="minorHAnsi"/>
          <w:sz w:val="24"/>
          <w:szCs w:val="24"/>
        </w:rPr>
        <w:t>doi:10.1016/j.chiabu</w:t>
      </w:r>
      <w:proofErr w:type="gramEnd"/>
      <w:r w:rsidRPr="000B036D">
        <w:rPr>
          <w:rFonts w:cstheme="minorHAnsi"/>
          <w:sz w:val="24"/>
          <w:szCs w:val="24"/>
        </w:rPr>
        <w:t>.2004.12.014</w:t>
      </w:r>
    </w:p>
    <w:p w14:paraId="29F59DB9"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Gorman, D. M., &amp; Speer, P. W. (1997). The concentration of liquor outlets in </w:t>
      </w:r>
      <w:proofErr w:type="gramStart"/>
      <w:r w:rsidRPr="000B036D">
        <w:rPr>
          <w:rFonts w:cstheme="minorHAnsi"/>
          <w:sz w:val="24"/>
          <w:szCs w:val="24"/>
        </w:rPr>
        <w:t>an economically disadvantaged</w:t>
      </w:r>
      <w:proofErr w:type="gramEnd"/>
      <w:r w:rsidRPr="000B036D">
        <w:rPr>
          <w:rFonts w:cstheme="minorHAnsi"/>
          <w:sz w:val="24"/>
          <w:szCs w:val="24"/>
        </w:rPr>
        <w:t xml:space="preserve"> city in the northeastern United States. </w:t>
      </w:r>
      <w:r w:rsidRPr="00DA173D">
        <w:rPr>
          <w:rFonts w:cstheme="minorHAnsi"/>
          <w:i/>
          <w:iCs/>
          <w:sz w:val="24"/>
          <w:szCs w:val="24"/>
        </w:rPr>
        <w:t>Substance Use &amp; Misuse</w:t>
      </w:r>
      <w:r w:rsidRPr="000B036D">
        <w:rPr>
          <w:rFonts w:cstheme="minorHAnsi"/>
          <w:sz w:val="24"/>
          <w:szCs w:val="24"/>
        </w:rPr>
        <w:t>, 32(14), 2033–2046. doi:10.3109/10826089709035618</w:t>
      </w:r>
    </w:p>
    <w:p w14:paraId="4EB08B7D"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Gorman, D. M., Speer, P. W., Gruenewald, P. J., &amp; </w:t>
      </w:r>
      <w:proofErr w:type="spellStart"/>
      <w:r w:rsidRPr="000B036D">
        <w:rPr>
          <w:rFonts w:cstheme="minorHAnsi"/>
          <w:sz w:val="24"/>
          <w:szCs w:val="24"/>
        </w:rPr>
        <w:t>Labouvie</w:t>
      </w:r>
      <w:proofErr w:type="spellEnd"/>
      <w:r w:rsidRPr="000B036D">
        <w:rPr>
          <w:rFonts w:cstheme="minorHAnsi"/>
          <w:sz w:val="24"/>
          <w:szCs w:val="24"/>
        </w:rPr>
        <w:t xml:space="preserve">, E. W. (2001). Spatial dynamics of alcohol availability, neighborhood structure and violent crime. </w:t>
      </w:r>
      <w:r w:rsidRPr="00DA173D">
        <w:rPr>
          <w:rFonts w:cstheme="minorHAnsi"/>
          <w:i/>
          <w:iCs/>
          <w:sz w:val="24"/>
          <w:szCs w:val="24"/>
        </w:rPr>
        <w:t>Journal of Studies on Alcohol and Drugs</w:t>
      </w:r>
      <w:r w:rsidRPr="000B036D">
        <w:rPr>
          <w:rFonts w:cstheme="minorHAnsi"/>
          <w:sz w:val="24"/>
          <w:szCs w:val="24"/>
        </w:rPr>
        <w:t>, 62, 628–636. doi:10.15288/jsa.2001.62.628</w:t>
      </w:r>
    </w:p>
    <w:p w14:paraId="65E4069C"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Grannis, R. (1998). The importance of trivial streets: Residential streets and residential segregation. </w:t>
      </w:r>
      <w:r w:rsidRPr="00DA173D">
        <w:rPr>
          <w:rFonts w:cstheme="minorHAnsi"/>
          <w:i/>
          <w:iCs/>
          <w:sz w:val="24"/>
          <w:szCs w:val="24"/>
        </w:rPr>
        <w:t>American Journal of Sociology</w:t>
      </w:r>
      <w:r w:rsidRPr="000B036D">
        <w:rPr>
          <w:rFonts w:cstheme="minorHAnsi"/>
          <w:sz w:val="24"/>
          <w:szCs w:val="24"/>
        </w:rPr>
        <w:t>, 103(6), 1530–1564. doi:10.1086/231400</w:t>
      </w:r>
    </w:p>
    <w:p w14:paraId="77DE8475"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Gruenewald, P. J., Johnson, F. W., &amp; </w:t>
      </w:r>
      <w:proofErr w:type="spellStart"/>
      <w:r w:rsidRPr="000B036D">
        <w:rPr>
          <w:rFonts w:cstheme="minorHAnsi"/>
          <w:sz w:val="24"/>
          <w:szCs w:val="24"/>
        </w:rPr>
        <w:t>Treno</w:t>
      </w:r>
      <w:proofErr w:type="spellEnd"/>
      <w:r w:rsidRPr="000B036D">
        <w:rPr>
          <w:rFonts w:cstheme="minorHAnsi"/>
          <w:sz w:val="24"/>
          <w:szCs w:val="24"/>
        </w:rPr>
        <w:t xml:space="preserve">, A. J. (2002). Outlets, drinking and driving: </w:t>
      </w:r>
      <w:proofErr w:type="spellStart"/>
      <w:r w:rsidRPr="000B036D">
        <w:rPr>
          <w:rFonts w:cstheme="minorHAnsi"/>
          <w:sz w:val="24"/>
          <w:szCs w:val="24"/>
        </w:rPr>
        <w:t>Amultilevel</w:t>
      </w:r>
      <w:proofErr w:type="spellEnd"/>
      <w:r w:rsidRPr="000B036D">
        <w:rPr>
          <w:rFonts w:cstheme="minorHAnsi"/>
          <w:sz w:val="24"/>
          <w:szCs w:val="24"/>
        </w:rPr>
        <w:t xml:space="preserve"> analysis of availability. </w:t>
      </w:r>
      <w:r w:rsidRPr="00DA173D">
        <w:rPr>
          <w:rFonts w:cstheme="minorHAnsi"/>
          <w:i/>
          <w:iCs/>
          <w:sz w:val="24"/>
          <w:szCs w:val="24"/>
        </w:rPr>
        <w:t>Journal of Studies on Alcohol and Drugs</w:t>
      </w:r>
      <w:r w:rsidRPr="000B036D">
        <w:rPr>
          <w:rFonts w:cstheme="minorHAnsi"/>
          <w:sz w:val="24"/>
          <w:szCs w:val="24"/>
        </w:rPr>
        <w:t>, 63(4), 460–468. doi:10.15288/jsa.2002.63.460</w:t>
      </w:r>
    </w:p>
    <w:p w14:paraId="2E8C6B06"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Hay, G. C., Whigham, P. A., </w:t>
      </w:r>
      <w:proofErr w:type="spellStart"/>
      <w:r w:rsidRPr="000B036D">
        <w:rPr>
          <w:rFonts w:cstheme="minorHAnsi"/>
          <w:sz w:val="24"/>
          <w:szCs w:val="24"/>
        </w:rPr>
        <w:t>Kypri</w:t>
      </w:r>
      <w:proofErr w:type="spellEnd"/>
      <w:r w:rsidRPr="000B036D">
        <w:rPr>
          <w:rFonts w:cstheme="minorHAnsi"/>
          <w:sz w:val="24"/>
          <w:szCs w:val="24"/>
        </w:rPr>
        <w:t xml:space="preserve">, K., &amp; Langley, J. D. (2009). Neighborhood deprivation and access to alcohol outlets: A national study. </w:t>
      </w:r>
      <w:r w:rsidRPr="00DA173D">
        <w:rPr>
          <w:rFonts w:cstheme="minorHAnsi"/>
          <w:i/>
          <w:iCs/>
          <w:sz w:val="24"/>
          <w:szCs w:val="24"/>
        </w:rPr>
        <w:t>Health &amp; Place</w:t>
      </w:r>
      <w:r w:rsidRPr="000B036D">
        <w:rPr>
          <w:rFonts w:cstheme="minorHAnsi"/>
          <w:sz w:val="24"/>
          <w:szCs w:val="24"/>
        </w:rPr>
        <w:t xml:space="preserve">, 15, 1086–1093. </w:t>
      </w:r>
      <w:proofErr w:type="gramStart"/>
      <w:r w:rsidRPr="000B036D">
        <w:rPr>
          <w:rFonts w:cstheme="minorHAnsi"/>
          <w:sz w:val="24"/>
          <w:szCs w:val="24"/>
        </w:rPr>
        <w:t>doi:10.1016/j.healthplace</w:t>
      </w:r>
      <w:proofErr w:type="gramEnd"/>
      <w:r w:rsidRPr="000B036D">
        <w:rPr>
          <w:rFonts w:cstheme="minorHAnsi"/>
          <w:sz w:val="24"/>
          <w:szCs w:val="24"/>
        </w:rPr>
        <w:t>.2009.05.008</w:t>
      </w:r>
    </w:p>
    <w:p w14:paraId="5BF29C05"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Jones-Webb, R., &amp; </w:t>
      </w:r>
      <w:proofErr w:type="spellStart"/>
      <w:r w:rsidRPr="000B036D">
        <w:rPr>
          <w:rFonts w:cstheme="minorHAnsi"/>
          <w:sz w:val="24"/>
          <w:szCs w:val="24"/>
        </w:rPr>
        <w:t>Karriker</w:t>
      </w:r>
      <w:proofErr w:type="spellEnd"/>
      <w:r w:rsidRPr="000B036D">
        <w:rPr>
          <w:rFonts w:cstheme="minorHAnsi"/>
          <w:sz w:val="24"/>
          <w:szCs w:val="24"/>
        </w:rPr>
        <w:t xml:space="preserve">-Jaffe, K. J. (2013). Neighborhood disadvantage, high alcohol content beverage consumption, drinking norms, and drinking consequences: a mediation analysis. </w:t>
      </w:r>
      <w:r w:rsidRPr="00DA173D">
        <w:rPr>
          <w:rFonts w:cstheme="minorHAnsi"/>
          <w:i/>
          <w:iCs/>
          <w:sz w:val="24"/>
          <w:szCs w:val="24"/>
        </w:rPr>
        <w:t>Journal of Urban Health</w:t>
      </w:r>
      <w:r w:rsidRPr="000B036D">
        <w:rPr>
          <w:rFonts w:cstheme="minorHAnsi"/>
          <w:sz w:val="24"/>
          <w:szCs w:val="24"/>
        </w:rPr>
        <w:t>, 90(4), 667–684. doi:10.1007/s11524-013-9786-y</w:t>
      </w:r>
    </w:p>
    <w:p w14:paraId="055859AA"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LaScala</w:t>
      </w:r>
      <w:proofErr w:type="spellEnd"/>
      <w:r w:rsidRPr="000B036D">
        <w:rPr>
          <w:rFonts w:cstheme="minorHAnsi"/>
          <w:sz w:val="24"/>
          <w:szCs w:val="24"/>
        </w:rPr>
        <w:t xml:space="preserve">, E. A., Johnson, F. W., &amp; Gruenewald, P. J. (2001). Neighborhood characteristics of alcohol-related pedestrian injury collisions: A geostatistical analysis. </w:t>
      </w:r>
      <w:r w:rsidRPr="00DA173D">
        <w:rPr>
          <w:rFonts w:cstheme="minorHAnsi"/>
          <w:i/>
          <w:iCs/>
          <w:sz w:val="24"/>
          <w:szCs w:val="24"/>
        </w:rPr>
        <w:t>Prevention Science</w:t>
      </w:r>
      <w:r w:rsidRPr="000B036D">
        <w:rPr>
          <w:rFonts w:cstheme="minorHAnsi"/>
          <w:sz w:val="24"/>
          <w:szCs w:val="24"/>
        </w:rPr>
        <w:t>, 2(2), 123–134.</w:t>
      </w:r>
    </w:p>
    <w:p w14:paraId="29748D2D"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LaVeist, T. A., &amp; Wallace, J. M., Jr. (2000). Health risk and inequitable distribution of liquor stores in African American neighborhoods. </w:t>
      </w:r>
      <w:r w:rsidRPr="00DA173D">
        <w:rPr>
          <w:rFonts w:cstheme="minorHAnsi"/>
          <w:i/>
          <w:iCs/>
          <w:sz w:val="24"/>
          <w:szCs w:val="24"/>
        </w:rPr>
        <w:t>Social Science &amp; Medicine</w:t>
      </w:r>
      <w:r w:rsidRPr="000B036D">
        <w:rPr>
          <w:rFonts w:cstheme="minorHAnsi"/>
          <w:sz w:val="24"/>
          <w:szCs w:val="24"/>
        </w:rPr>
        <w:t xml:space="preserve">, 51, 613–617. </w:t>
      </w:r>
      <w:proofErr w:type="spellStart"/>
      <w:r w:rsidRPr="000B036D">
        <w:rPr>
          <w:rFonts w:cstheme="minorHAnsi"/>
          <w:sz w:val="24"/>
          <w:szCs w:val="24"/>
        </w:rPr>
        <w:t>doi</w:t>
      </w:r>
      <w:proofErr w:type="spellEnd"/>
      <w:r w:rsidRPr="000B036D">
        <w:rPr>
          <w:rFonts w:cstheme="minorHAnsi"/>
          <w:sz w:val="24"/>
          <w:szCs w:val="24"/>
        </w:rPr>
        <w:t>:</w:t>
      </w:r>
    </w:p>
    <w:p w14:paraId="7758B696"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Lieberson</w:t>
      </w:r>
      <w:proofErr w:type="spellEnd"/>
      <w:r w:rsidRPr="000B036D">
        <w:rPr>
          <w:rFonts w:cstheme="minorHAnsi"/>
          <w:sz w:val="24"/>
          <w:szCs w:val="24"/>
        </w:rPr>
        <w:t xml:space="preserve">, S. (1969). Measuring population diversity. </w:t>
      </w:r>
      <w:r w:rsidRPr="00DA173D">
        <w:rPr>
          <w:rFonts w:cstheme="minorHAnsi"/>
          <w:i/>
          <w:iCs/>
          <w:sz w:val="24"/>
          <w:szCs w:val="24"/>
        </w:rPr>
        <w:t>American Sociological Review</w:t>
      </w:r>
      <w:r w:rsidRPr="000B036D">
        <w:rPr>
          <w:rFonts w:cstheme="minorHAnsi"/>
          <w:sz w:val="24"/>
          <w:szCs w:val="24"/>
        </w:rPr>
        <w:t>, 34(6), 850–862. doi:10.2307/2095977</w:t>
      </w:r>
    </w:p>
    <w:p w14:paraId="21617E06"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Livingston, M. (2011). A longitudinal analysis of alcohol outlet density and domestic violence. </w:t>
      </w:r>
      <w:r w:rsidRPr="00B156BF">
        <w:rPr>
          <w:rFonts w:cstheme="minorHAnsi"/>
          <w:i/>
          <w:iCs/>
          <w:sz w:val="24"/>
          <w:szCs w:val="24"/>
        </w:rPr>
        <w:t>Addiction</w:t>
      </w:r>
      <w:r w:rsidRPr="000B036D">
        <w:rPr>
          <w:rFonts w:cstheme="minorHAnsi"/>
          <w:sz w:val="24"/>
          <w:szCs w:val="24"/>
        </w:rPr>
        <w:t>, 106, 919–925. doi:10.1111/j.1360-0443.</w:t>
      </w:r>
      <w:proofErr w:type="gramStart"/>
      <w:r w:rsidRPr="000B036D">
        <w:rPr>
          <w:rFonts w:cstheme="minorHAnsi"/>
          <w:sz w:val="24"/>
          <w:szCs w:val="24"/>
        </w:rPr>
        <w:t>2010.03333.x</w:t>
      </w:r>
      <w:proofErr w:type="gramEnd"/>
    </w:p>
    <w:p w14:paraId="342C6474"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Livingston, M. (2012). The social gradient of alcohol availability in Victoria, Australia. </w:t>
      </w:r>
      <w:r w:rsidRPr="00B156BF">
        <w:rPr>
          <w:rFonts w:cstheme="minorHAnsi"/>
          <w:i/>
          <w:iCs/>
          <w:sz w:val="24"/>
          <w:szCs w:val="24"/>
        </w:rPr>
        <w:t>Australian and New Zealand Journal of Public Health</w:t>
      </w:r>
      <w:r w:rsidRPr="000B036D">
        <w:rPr>
          <w:rFonts w:cstheme="minorHAnsi"/>
          <w:sz w:val="24"/>
          <w:szCs w:val="24"/>
        </w:rPr>
        <w:t>, 36(1), 41–47. doi:10.1111/j.1753-6405.</w:t>
      </w:r>
      <w:proofErr w:type="gramStart"/>
      <w:r w:rsidRPr="000B036D">
        <w:rPr>
          <w:rFonts w:cstheme="minorHAnsi"/>
          <w:sz w:val="24"/>
          <w:szCs w:val="24"/>
        </w:rPr>
        <w:t>2011.00776.x</w:t>
      </w:r>
      <w:proofErr w:type="gramEnd"/>
    </w:p>
    <w:p w14:paraId="2616796E"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Long, J. S. (1997). </w:t>
      </w:r>
      <w:r w:rsidRPr="00B156BF">
        <w:rPr>
          <w:rFonts w:cstheme="minorHAnsi"/>
          <w:i/>
          <w:iCs/>
          <w:sz w:val="24"/>
          <w:szCs w:val="24"/>
        </w:rPr>
        <w:t>Regression models for categorical and limited dependent variables</w:t>
      </w:r>
      <w:r w:rsidRPr="000B036D">
        <w:rPr>
          <w:rFonts w:cstheme="minorHAnsi"/>
          <w:sz w:val="24"/>
          <w:szCs w:val="24"/>
        </w:rPr>
        <w:t>. Thousand Oaks, CA: Sage Publications.</w:t>
      </w:r>
    </w:p>
    <w:p w14:paraId="473D28C8"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McKee, P., Jones-Webb, R., Hannan, P., &amp; Pham, L. (2011). Malt liquor marketing in inner cities: The role of neighborhood racial composition</w:t>
      </w:r>
      <w:r w:rsidRPr="00B156BF">
        <w:rPr>
          <w:rFonts w:cstheme="minorHAnsi"/>
          <w:sz w:val="24"/>
          <w:szCs w:val="24"/>
        </w:rPr>
        <w:t xml:space="preserve">. </w:t>
      </w:r>
      <w:r w:rsidRPr="00B156BF">
        <w:rPr>
          <w:rFonts w:cstheme="minorHAnsi"/>
          <w:i/>
          <w:iCs/>
          <w:sz w:val="24"/>
          <w:szCs w:val="24"/>
        </w:rPr>
        <w:t>Journal of Ethnicity in Substance Abuse</w:t>
      </w:r>
      <w:r w:rsidRPr="000B036D">
        <w:rPr>
          <w:rFonts w:cstheme="minorHAnsi"/>
          <w:sz w:val="24"/>
          <w:szCs w:val="24"/>
        </w:rPr>
        <w:t>, 10(1), 24–38.</w:t>
      </w:r>
    </w:p>
    <w:p w14:paraId="105266DD"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Moore, D. J., Williams, J. D., &amp; Qualls, W. J. (1996). Target marketing of tobacco and alcohol-related products to ethnic minority groups in the United States. </w:t>
      </w:r>
      <w:r w:rsidRPr="00497E36">
        <w:rPr>
          <w:rFonts w:cstheme="minorHAnsi"/>
          <w:i/>
          <w:iCs/>
          <w:sz w:val="24"/>
          <w:szCs w:val="24"/>
        </w:rPr>
        <w:t>Ethnicity and Disease</w:t>
      </w:r>
      <w:r w:rsidRPr="000B036D">
        <w:rPr>
          <w:rFonts w:cstheme="minorHAnsi"/>
          <w:sz w:val="24"/>
          <w:szCs w:val="24"/>
        </w:rPr>
        <w:t>, 6, 83–98.</w:t>
      </w:r>
    </w:p>
    <w:p w14:paraId="4440D678"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Morland, K., Wing, S., Roux, A., &amp; Poole, C. (2001). Neighborhood characteristics associated with the location of food stores and food service places. </w:t>
      </w:r>
      <w:r w:rsidRPr="00497E36">
        <w:rPr>
          <w:rFonts w:cstheme="minorHAnsi"/>
          <w:i/>
          <w:iCs/>
          <w:sz w:val="24"/>
          <w:szCs w:val="24"/>
        </w:rPr>
        <w:t>American Journal of Preventive Medicine</w:t>
      </w:r>
      <w:r w:rsidRPr="000B036D">
        <w:rPr>
          <w:rFonts w:cstheme="minorHAnsi"/>
          <w:sz w:val="24"/>
          <w:szCs w:val="24"/>
        </w:rPr>
        <w:t>, 22(1), 23–29.</w:t>
      </w:r>
    </w:p>
    <w:p w14:paraId="06709D8D"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Morrison, C., </w:t>
      </w:r>
      <w:proofErr w:type="spellStart"/>
      <w:r w:rsidRPr="000B036D">
        <w:rPr>
          <w:rFonts w:cstheme="minorHAnsi"/>
          <w:sz w:val="24"/>
          <w:szCs w:val="24"/>
        </w:rPr>
        <w:t>Ponicki</w:t>
      </w:r>
      <w:proofErr w:type="spellEnd"/>
      <w:r w:rsidRPr="000B036D">
        <w:rPr>
          <w:rFonts w:cstheme="minorHAnsi"/>
          <w:sz w:val="24"/>
          <w:szCs w:val="24"/>
        </w:rPr>
        <w:t>, W. R., &amp; Smith, K. (2015). Social disadvantage and exposure to lower priced alcohol in off‐</w:t>
      </w:r>
      <w:proofErr w:type="gramStart"/>
      <w:r w:rsidRPr="000B036D">
        <w:rPr>
          <w:rFonts w:cstheme="minorHAnsi"/>
          <w:sz w:val="24"/>
          <w:szCs w:val="24"/>
        </w:rPr>
        <w:t>premise</w:t>
      </w:r>
      <w:proofErr w:type="gramEnd"/>
      <w:r w:rsidRPr="000B036D">
        <w:rPr>
          <w:rFonts w:cstheme="minorHAnsi"/>
          <w:sz w:val="24"/>
          <w:szCs w:val="24"/>
        </w:rPr>
        <w:t xml:space="preserve"> outlets. </w:t>
      </w:r>
      <w:r w:rsidRPr="00497E36">
        <w:rPr>
          <w:rFonts w:cstheme="minorHAnsi"/>
          <w:i/>
          <w:iCs/>
          <w:sz w:val="24"/>
          <w:szCs w:val="24"/>
        </w:rPr>
        <w:t>Drug and Alcohol Review</w:t>
      </w:r>
      <w:r w:rsidRPr="000B036D">
        <w:rPr>
          <w:rFonts w:cstheme="minorHAnsi"/>
          <w:sz w:val="24"/>
          <w:szCs w:val="24"/>
        </w:rPr>
        <w:t>, 34(4), 375–378. doi:10.1111/dar.12256</w:t>
      </w:r>
    </w:p>
    <w:p w14:paraId="2958E98A"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Nielsen, A. L., Hill, T. D., French, M. T., &amp; Hernandez, M. N. (2010). Racial/ethnic composition, social disorganization, and offsite alcohol availability in San Diego County, California. </w:t>
      </w:r>
      <w:r w:rsidRPr="00497E36">
        <w:rPr>
          <w:rFonts w:cstheme="minorHAnsi"/>
          <w:i/>
          <w:iCs/>
          <w:sz w:val="24"/>
          <w:szCs w:val="24"/>
        </w:rPr>
        <w:t>Social Science</w:t>
      </w:r>
      <w:r w:rsidRPr="000B036D">
        <w:rPr>
          <w:rFonts w:cstheme="minorHAnsi"/>
          <w:sz w:val="24"/>
          <w:szCs w:val="24"/>
        </w:rPr>
        <w:t xml:space="preserve"> </w:t>
      </w:r>
      <w:r w:rsidRPr="00497E36">
        <w:rPr>
          <w:rFonts w:cstheme="minorHAnsi"/>
          <w:i/>
          <w:iCs/>
          <w:sz w:val="24"/>
          <w:szCs w:val="24"/>
        </w:rPr>
        <w:t>Research</w:t>
      </w:r>
      <w:r w:rsidRPr="000B036D">
        <w:rPr>
          <w:rFonts w:cstheme="minorHAnsi"/>
          <w:sz w:val="24"/>
          <w:szCs w:val="24"/>
        </w:rPr>
        <w:t xml:space="preserve">, 39, 165–175. </w:t>
      </w:r>
      <w:proofErr w:type="gramStart"/>
      <w:r w:rsidRPr="000B036D">
        <w:rPr>
          <w:rFonts w:cstheme="minorHAnsi"/>
          <w:sz w:val="24"/>
          <w:szCs w:val="24"/>
        </w:rPr>
        <w:t>doi:10.1016/j.ssresearch</w:t>
      </w:r>
      <w:proofErr w:type="gramEnd"/>
      <w:r w:rsidRPr="000B036D">
        <w:rPr>
          <w:rFonts w:cstheme="minorHAnsi"/>
          <w:sz w:val="24"/>
          <w:szCs w:val="24"/>
        </w:rPr>
        <w:t>.2009.04.006</w:t>
      </w:r>
    </w:p>
    <w:p w14:paraId="53041944"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lastRenderedPageBreak/>
        <w:t xml:space="preserve">Nielsen, A. L., Martinez, R., Jr., &amp; Lee, M. T. (2005). Alcohol, ethnicity, and violence: The role of alcohol availability for Latino and Black aggravated assaults and robberies. </w:t>
      </w:r>
      <w:r w:rsidRPr="00497E36">
        <w:rPr>
          <w:rFonts w:cstheme="minorHAnsi"/>
          <w:i/>
          <w:iCs/>
          <w:sz w:val="24"/>
          <w:szCs w:val="24"/>
        </w:rPr>
        <w:t>The Sociological Quarterly</w:t>
      </w:r>
      <w:r w:rsidRPr="000B036D">
        <w:rPr>
          <w:rFonts w:cstheme="minorHAnsi"/>
          <w:sz w:val="24"/>
          <w:szCs w:val="24"/>
        </w:rPr>
        <w:t>, 46(3), 479–502. doi:10.1111/j.1533-8525.</w:t>
      </w:r>
      <w:proofErr w:type="gramStart"/>
      <w:r w:rsidRPr="000B036D">
        <w:rPr>
          <w:rFonts w:cstheme="minorHAnsi"/>
          <w:sz w:val="24"/>
          <w:szCs w:val="24"/>
        </w:rPr>
        <w:t>2005.00023.x</w:t>
      </w:r>
      <w:proofErr w:type="gramEnd"/>
    </w:p>
    <w:p w14:paraId="5F4A2024"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Ornstein, S. I., &amp; </w:t>
      </w:r>
      <w:proofErr w:type="spellStart"/>
      <w:r w:rsidRPr="000B036D">
        <w:rPr>
          <w:rFonts w:cstheme="minorHAnsi"/>
          <w:sz w:val="24"/>
          <w:szCs w:val="24"/>
        </w:rPr>
        <w:t>Hanssens</w:t>
      </w:r>
      <w:proofErr w:type="spellEnd"/>
      <w:r w:rsidRPr="000B036D">
        <w:rPr>
          <w:rFonts w:cstheme="minorHAnsi"/>
          <w:sz w:val="24"/>
          <w:szCs w:val="24"/>
        </w:rPr>
        <w:t xml:space="preserve">, D. M. (1985). Alcohol control laws and the consumption of distilled spirits and beer. </w:t>
      </w:r>
      <w:r w:rsidRPr="00497E36">
        <w:rPr>
          <w:rFonts w:cstheme="minorHAnsi"/>
          <w:i/>
          <w:iCs/>
          <w:sz w:val="24"/>
          <w:szCs w:val="24"/>
        </w:rPr>
        <w:t>Journal of Consumer Research</w:t>
      </w:r>
      <w:r w:rsidRPr="000B036D">
        <w:rPr>
          <w:rFonts w:cstheme="minorHAnsi"/>
          <w:sz w:val="24"/>
          <w:szCs w:val="24"/>
        </w:rPr>
        <w:t>, 12(2), 200–213.</w:t>
      </w:r>
    </w:p>
    <w:p w14:paraId="39BFE822"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Parker, D. A., &amp; </w:t>
      </w:r>
      <w:proofErr w:type="spellStart"/>
      <w:r w:rsidRPr="000B036D">
        <w:rPr>
          <w:rFonts w:cstheme="minorHAnsi"/>
          <w:sz w:val="24"/>
          <w:szCs w:val="24"/>
        </w:rPr>
        <w:t>Wolz</w:t>
      </w:r>
      <w:proofErr w:type="spellEnd"/>
      <w:r w:rsidRPr="000B036D">
        <w:rPr>
          <w:rFonts w:cstheme="minorHAnsi"/>
          <w:sz w:val="24"/>
          <w:szCs w:val="24"/>
        </w:rPr>
        <w:t xml:space="preserve">, M. W. (1979). Alcohol problems and the availability of alcohol. </w:t>
      </w:r>
      <w:r w:rsidRPr="00497E36">
        <w:rPr>
          <w:rFonts w:cstheme="minorHAnsi"/>
          <w:i/>
          <w:iCs/>
          <w:sz w:val="24"/>
          <w:szCs w:val="24"/>
        </w:rPr>
        <w:t>Alcohol Clinical Experimental Research</w:t>
      </w:r>
      <w:r w:rsidRPr="000B036D">
        <w:rPr>
          <w:rFonts w:cstheme="minorHAnsi"/>
          <w:sz w:val="24"/>
          <w:szCs w:val="24"/>
        </w:rPr>
        <w:t>, 3, 309–312.</w:t>
      </w:r>
    </w:p>
    <w:p w14:paraId="12393F24"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Pearce, J., Day, P., &amp; Witten, K. (2008). Neighborhood provision of food and alcohol retailing and social deprivation in Urban New Zealand. </w:t>
      </w:r>
      <w:r w:rsidRPr="00497E36">
        <w:rPr>
          <w:rFonts w:cstheme="minorHAnsi"/>
          <w:i/>
          <w:iCs/>
          <w:sz w:val="24"/>
          <w:szCs w:val="24"/>
        </w:rPr>
        <w:t>Urban Policy and Research</w:t>
      </w:r>
      <w:r w:rsidRPr="000B036D">
        <w:rPr>
          <w:rFonts w:cstheme="minorHAnsi"/>
          <w:sz w:val="24"/>
          <w:szCs w:val="24"/>
        </w:rPr>
        <w:t>, 26(2), 213–227. doi:10.1080/08111140701697610</w:t>
      </w:r>
    </w:p>
    <w:p w14:paraId="3937F2F0"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Piat</w:t>
      </w:r>
      <w:proofErr w:type="spellEnd"/>
      <w:r w:rsidRPr="000B036D">
        <w:rPr>
          <w:rFonts w:cstheme="minorHAnsi"/>
          <w:sz w:val="24"/>
          <w:szCs w:val="24"/>
        </w:rPr>
        <w:t xml:space="preserve">, M. (2000). The NIMBY phenomenon: Community residents' concerns about housing for deinstitutionalized people. </w:t>
      </w:r>
      <w:r w:rsidRPr="00497E36">
        <w:rPr>
          <w:rFonts w:cstheme="minorHAnsi"/>
          <w:i/>
          <w:iCs/>
          <w:sz w:val="24"/>
          <w:szCs w:val="24"/>
        </w:rPr>
        <w:t>Health and Social Work</w:t>
      </w:r>
      <w:r w:rsidRPr="000B036D">
        <w:rPr>
          <w:rFonts w:cstheme="minorHAnsi"/>
          <w:sz w:val="24"/>
          <w:szCs w:val="24"/>
        </w:rPr>
        <w:t>, 25, 127–138. doi:10.1093/</w:t>
      </w:r>
      <w:proofErr w:type="spellStart"/>
      <w:r w:rsidRPr="000B036D">
        <w:rPr>
          <w:rFonts w:cstheme="minorHAnsi"/>
          <w:sz w:val="24"/>
          <w:szCs w:val="24"/>
        </w:rPr>
        <w:t>hsw</w:t>
      </w:r>
      <w:proofErr w:type="spellEnd"/>
      <w:r w:rsidRPr="000B036D">
        <w:rPr>
          <w:rFonts w:cstheme="minorHAnsi"/>
          <w:sz w:val="24"/>
          <w:szCs w:val="24"/>
        </w:rPr>
        <w:t>/25.2.127</w:t>
      </w:r>
    </w:p>
    <w:p w14:paraId="326FB722"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Pollack, C. E., </w:t>
      </w:r>
      <w:proofErr w:type="spellStart"/>
      <w:r w:rsidRPr="000B036D">
        <w:rPr>
          <w:rFonts w:cstheme="minorHAnsi"/>
          <w:sz w:val="24"/>
          <w:szCs w:val="24"/>
        </w:rPr>
        <w:t>Cubbin</w:t>
      </w:r>
      <w:proofErr w:type="spellEnd"/>
      <w:r w:rsidRPr="000B036D">
        <w:rPr>
          <w:rFonts w:cstheme="minorHAnsi"/>
          <w:sz w:val="24"/>
          <w:szCs w:val="24"/>
        </w:rPr>
        <w:t xml:space="preserve">, C., </w:t>
      </w:r>
      <w:proofErr w:type="spellStart"/>
      <w:r w:rsidRPr="000B036D">
        <w:rPr>
          <w:rFonts w:cstheme="minorHAnsi"/>
          <w:sz w:val="24"/>
          <w:szCs w:val="24"/>
        </w:rPr>
        <w:t>Ahn</w:t>
      </w:r>
      <w:proofErr w:type="spellEnd"/>
      <w:r w:rsidRPr="000B036D">
        <w:rPr>
          <w:rFonts w:cstheme="minorHAnsi"/>
          <w:sz w:val="24"/>
          <w:szCs w:val="24"/>
        </w:rPr>
        <w:t xml:space="preserve">, D., &amp; </w:t>
      </w:r>
      <w:proofErr w:type="spellStart"/>
      <w:r w:rsidRPr="000B036D">
        <w:rPr>
          <w:rFonts w:cstheme="minorHAnsi"/>
          <w:sz w:val="24"/>
          <w:szCs w:val="24"/>
        </w:rPr>
        <w:t>Winkleby</w:t>
      </w:r>
      <w:proofErr w:type="spellEnd"/>
      <w:r w:rsidRPr="000B036D">
        <w:rPr>
          <w:rFonts w:cstheme="minorHAnsi"/>
          <w:sz w:val="24"/>
          <w:szCs w:val="24"/>
        </w:rPr>
        <w:t xml:space="preserve">, M. (2005). Neighborhood deprivation and alcohol consumption: Does the availability of alcohol play a role? </w:t>
      </w:r>
      <w:r w:rsidRPr="00497E36">
        <w:rPr>
          <w:rFonts w:cstheme="minorHAnsi"/>
          <w:i/>
          <w:iCs/>
          <w:sz w:val="24"/>
          <w:szCs w:val="24"/>
        </w:rPr>
        <w:t>International Journal of Epidemiology</w:t>
      </w:r>
      <w:r w:rsidRPr="000B036D">
        <w:rPr>
          <w:rFonts w:cstheme="minorHAnsi"/>
          <w:sz w:val="24"/>
          <w:szCs w:val="24"/>
        </w:rPr>
        <w:t>, 34, 772–780.</w:t>
      </w:r>
    </w:p>
    <w:p w14:paraId="02D153F2"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Pridemore</w:t>
      </w:r>
      <w:proofErr w:type="spellEnd"/>
      <w:r w:rsidRPr="000B036D">
        <w:rPr>
          <w:rFonts w:cstheme="minorHAnsi"/>
          <w:sz w:val="24"/>
          <w:szCs w:val="24"/>
        </w:rPr>
        <w:t xml:space="preserve">, W. A., &amp; Grubesic, T. (2012). Community organization moderates the effect of alcohol outlet density on violence. </w:t>
      </w:r>
      <w:r w:rsidRPr="00497E36">
        <w:rPr>
          <w:rFonts w:cstheme="minorHAnsi"/>
          <w:i/>
          <w:iCs/>
          <w:sz w:val="24"/>
          <w:szCs w:val="24"/>
        </w:rPr>
        <w:t>British Journal of Sociology</w:t>
      </w:r>
      <w:r w:rsidRPr="000B036D">
        <w:rPr>
          <w:rFonts w:cstheme="minorHAnsi"/>
          <w:sz w:val="24"/>
          <w:szCs w:val="24"/>
        </w:rPr>
        <w:t>, 63(4), 680–703. doi:10.1111/j.1468-4446.</w:t>
      </w:r>
      <w:proofErr w:type="gramStart"/>
      <w:r w:rsidRPr="000B036D">
        <w:rPr>
          <w:rFonts w:cstheme="minorHAnsi"/>
          <w:sz w:val="24"/>
          <w:szCs w:val="24"/>
        </w:rPr>
        <w:t>2012.01432.x</w:t>
      </w:r>
      <w:proofErr w:type="gramEnd"/>
    </w:p>
    <w:p w14:paraId="338E0E0E"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Rabow</w:t>
      </w:r>
      <w:proofErr w:type="spellEnd"/>
      <w:r w:rsidRPr="000B036D">
        <w:rPr>
          <w:rFonts w:cstheme="minorHAnsi"/>
          <w:sz w:val="24"/>
          <w:szCs w:val="24"/>
        </w:rPr>
        <w:t xml:space="preserve">, J., &amp; Watts, R. K. (1982). Alcohol availability, alcoholic beverage sales and alcohol-related problems. </w:t>
      </w:r>
      <w:r w:rsidRPr="00497E36">
        <w:rPr>
          <w:rFonts w:cstheme="minorHAnsi"/>
          <w:i/>
          <w:iCs/>
          <w:sz w:val="24"/>
          <w:szCs w:val="24"/>
        </w:rPr>
        <w:t>Journal of Studies on Alcohol</w:t>
      </w:r>
      <w:r w:rsidRPr="000B036D">
        <w:rPr>
          <w:rFonts w:cstheme="minorHAnsi"/>
          <w:sz w:val="24"/>
          <w:szCs w:val="24"/>
        </w:rPr>
        <w:t>, 43(7), 767–801.</w:t>
      </w:r>
    </w:p>
    <w:p w14:paraId="6BBE1031" w14:textId="58D5BE63"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Roman, C. G., Reid, S., </w:t>
      </w:r>
      <w:proofErr w:type="spellStart"/>
      <w:r w:rsidRPr="000B036D">
        <w:rPr>
          <w:rFonts w:cstheme="minorHAnsi"/>
          <w:sz w:val="24"/>
          <w:szCs w:val="24"/>
        </w:rPr>
        <w:t>Bhati</w:t>
      </w:r>
      <w:proofErr w:type="spellEnd"/>
      <w:r w:rsidRPr="000B036D">
        <w:rPr>
          <w:rFonts w:cstheme="minorHAnsi"/>
          <w:sz w:val="24"/>
          <w:szCs w:val="24"/>
        </w:rPr>
        <w:t xml:space="preserve">, A., &amp; Tereshchenko, B. (2008). </w:t>
      </w:r>
      <w:r w:rsidRPr="00497E36">
        <w:rPr>
          <w:rFonts w:cstheme="minorHAnsi"/>
          <w:i/>
          <w:iCs/>
          <w:sz w:val="24"/>
          <w:szCs w:val="24"/>
        </w:rPr>
        <w:t>Alcohol outlets as attractors of violence and disorder: A closer look at the neighborhood environment</w:t>
      </w:r>
      <w:r w:rsidRPr="000B036D">
        <w:rPr>
          <w:rFonts w:cstheme="minorHAnsi"/>
          <w:sz w:val="24"/>
          <w:szCs w:val="24"/>
        </w:rPr>
        <w:t xml:space="preserve">. Washington, DC: Urban Institute. Retrieved December 1, 2009, from </w:t>
      </w:r>
      <w:r w:rsidRPr="00F230A9">
        <w:rPr>
          <w:rFonts w:cstheme="minorHAnsi"/>
          <w:sz w:val="24"/>
          <w:szCs w:val="24"/>
        </w:rPr>
        <w:t>http://www.urban.org/publications/411663.html</w:t>
      </w:r>
    </w:p>
    <w:p w14:paraId="7580283A"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Romley</w:t>
      </w:r>
      <w:proofErr w:type="spellEnd"/>
      <w:r w:rsidRPr="000B036D">
        <w:rPr>
          <w:rFonts w:cstheme="minorHAnsi"/>
          <w:sz w:val="24"/>
          <w:szCs w:val="24"/>
        </w:rPr>
        <w:t xml:space="preserve">, J. A., Cohen, D., </w:t>
      </w:r>
      <w:proofErr w:type="spellStart"/>
      <w:r w:rsidRPr="000B036D">
        <w:rPr>
          <w:rFonts w:cstheme="minorHAnsi"/>
          <w:sz w:val="24"/>
          <w:szCs w:val="24"/>
        </w:rPr>
        <w:t>Ringel</w:t>
      </w:r>
      <w:proofErr w:type="spellEnd"/>
      <w:r w:rsidRPr="000B036D">
        <w:rPr>
          <w:rFonts w:cstheme="minorHAnsi"/>
          <w:sz w:val="24"/>
          <w:szCs w:val="24"/>
        </w:rPr>
        <w:t xml:space="preserve">, J., &amp; Sturm, R. (2007). Alcohol and environmental justice: The density of liquor stores and bars in urban neighborhoods in the United States. </w:t>
      </w:r>
      <w:r w:rsidRPr="00497E36">
        <w:rPr>
          <w:rFonts w:cstheme="minorHAnsi"/>
          <w:i/>
          <w:iCs/>
          <w:sz w:val="24"/>
          <w:szCs w:val="24"/>
        </w:rPr>
        <w:t>Journal of Studies on</w:t>
      </w:r>
      <w:r w:rsidRPr="000B036D">
        <w:rPr>
          <w:rFonts w:cstheme="minorHAnsi"/>
          <w:sz w:val="24"/>
          <w:szCs w:val="24"/>
        </w:rPr>
        <w:t xml:space="preserve"> </w:t>
      </w:r>
      <w:r w:rsidRPr="00497E36">
        <w:rPr>
          <w:rFonts w:cstheme="minorHAnsi"/>
          <w:i/>
          <w:iCs/>
          <w:sz w:val="24"/>
          <w:szCs w:val="24"/>
        </w:rPr>
        <w:t>Alcohol and Drugs</w:t>
      </w:r>
      <w:r w:rsidRPr="000B036D">
        <w:rPr>
          <w:rFonts w:cstheme="minorHAnsi"/>
          <w:sz w:val="24"/>
          <w:szCs w:val="24"/>
        </w:rPr>
        <w:t>, 68(1), 48–55. doi:10.15288/jsad.2007.68.48</w:t>
      </w:r>
    </w:p>
    <w:p w14:paraId="50941FCC"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Sampson, R. J., &amp; </w:t>
      </w:r>
      <w:proofErr w:type="spellStart"/>
      <w:r w:rsidRPr="000B036D">
        <w:rPr>
          <w:rFonts w:cstheme="minorHAnsi"/>
          <w:sz w:val="24"/>
          <w:szCs w:val="24"/>
        </w:rPr>
        <w:t>Raudenbush</w:t>
      </w:r>
      <w:proofErr w:type="spellEnd"/>
      <w:r w:rsidRPr="000B036D">
        <w:rPr>
          <w:rFonts w:cstheme="minorHAnsi"/>
          <w:sz w:val="24"/>
          <w:szCs w:val="24"/>
        </w:rPr>
        <w:t xml:space="preserve">, S. W. (2004). Seeing disorder: Neighborhood stigma and the social construction of "broken windows". </w:t>
      </w:r>
      <w:r w:rsidRPr="00497E36">
        <w:rPr>
          <w:rFonts w:cstheme="minorHAnsi"/>
          <w:i/>
          <w:iCs/>
          <w:sz w:val="24"/>
          <w:szCs w:val="24"/>
        </w:rPr>
        <w:t>Social Psychology Quarterly</w:t>
      </w:r>
      <w:r w:rsidRPr="000B036D">
        <w:rPr>
          <w:rFonts w:cstheme="minorHAnsi"/>
          <w:sz w:val="24"/>
          <w:szCs w:val="24"/>
        </w:rPr>
        <w:t>, 67(4), 319–342. doi:10.1177/019027250406700401</w:t>
      </w:r>
    </w:p>
    <w:p w14:paraId="5D94B025"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Sampson, R. J., </w:t>
      </w:r>
      <w:proofErr w:type="spellStart"/>
      <w:r w:rsidRPr="000B036D">
        <w:rPr>
          <w:rFonts w:cstheme="minorHAnsi"/>
          <w:sz w:val="24"/>
          <w:szCs w:val="24"/>
        </w:rPr>
        <w:t>Raudenbush</w:t>
      </w:r>
      <w:proofErr w:type="spellEnd"/>
      <w:r w:rsidRPr="000B036D">
        <w:rPr>
          <w:rFonts w:cstheme="minorHAnsi"/>
          <w:sz w:val="24"/>
          <w:szCs w:val="24"/>
        </w:rPr>
        <w:t xml:space="preserve">, S., &amp; Earls, F. (1997). Neighborhoods and violent crime: A multilevel study of collective efficacy. </w:t>
      </w:r>
      <w:r w:rsidRPr="00497E36">
        <w:rPr>
          <w:rFonts w:cstheme="minorHAnsi"/>
          <w:i/>
          <w:iCs/>
          <w:sz w:val="24"/>
          <w:szCs w:val="24"/>
        </w:rPr>
        <w:t>Science</w:t>
      </w:r>
      <w:r w:rsidRPr="000B036D">
        <w:rPr>
          <w:rFonts w:cstheme="minorHAnsi"/>
          <w:sz w:val="24"/>
          <w:szCs w:val="24"/>
        </w:rPr>
        <w:t>, 277, 918–924. doi:10.1126/science.277.5328.918</w:t>
      </w:r>
    </w:p>
    <w:p w14:paraId="2C366FE2"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Sampson, R. J., &amp; Groves, W. B. (1989). Community structure and crime: Testing social-disorganization theory. </w:t>
      </w:r>
      <w:r w:rsidRPr="00497E36">
        <w:rPr>
          <w:rFonts w:cstheme="minorHAnsi"/>
          <w:i/>
          <w:iCs/>
          <w:sz w:val="24"/>
          <w:szCs w:val="24"/>
        </w:rPr>
        <w:t>The American Journal of Sociology</w:t>
      </w:r>
      <w:r w:rsidRPr="000B036D">
        <w:rPr>
          <w:rFonts w:cstheme="minorHAnsi"/>
          <w:sz w:val="24"/>
          <w:szCs w:val="24"/>
        </w:rPr>
        <w:t>, 94, 774–802. doi:10.1086/229068</w:t>
      </w:r>
    </w:p>
    <w:p w14:paraId="3F6EEEEB"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Scribner, R. A., MacKinnon, D. P., &amp; Dwyer, J. H. (1995). The risk of assaultive violence and alcohol availability in Los Angeles County. </w:t>
      </w:r>
      <w:r w:rsidRPr="00497E36">
        <w:rPr>
          <w:rFonts w:cstheme="minorHAnsi"/>
          <w:i/>
          <w:iCs/>
          <w:sz w:val="24"/>
          <w:szCs w:val="24"/>
        </w:rPr>
        <w:t>American Journal of Public Health</w:t>
      </w:r>
      <w:r w:rsidRPr="000B036D">
        <w:rPr>
          <w:rFonts w:cstheme="minorHAnsi"/>
          <w:sz w:val="24"/>
          <w:szCs w:val="24"/>
        </w:rPr>
        <w:t>, 85, 335–340.</w:t>
      </w:r>
    </w:p>
    <w:p w14:paraId="1DD08198"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Scribner, R. A., Cohen, D. A., &amp; Fisher, W. (2000). Evidence of a structural effect for alcohol outlet density: A multilevel analysis. </w:t>
      </w:r>
      <w:r w:rsidRPr="00497E36">
        <w:rPr>
          <w:rFonts w:cstheme="minorHAnsi"/>
          <w:i/>
          <w:iCs/>
          <w:sz w:val="24"/>
          <w:szCs w:val="24"/>
        </w:rPr>
        <w:t>Alcoholism: Clinical and Experimental Research</w:t>
      </w:r>
      <w:r w:rsidRPr="000B036D">
        <w:rPr>
          <w:rFonts w:cstheme="minorHAnsi"/>
          <w:sz w:val="24"/>
          <w:szCs w:val="24"/>
        </w:rPr>
        <w:t>, 24(2), 188–195. doi:10.1111/j.1530-</w:t>
      </w:r>
      <w:proofErr w:type="gramStart"/>
      <w:r w:rsidRPr="000B036D">
        <w:rPr>
          <w:rFonts w:cstheme="minorHAnsi"/>
          <w:sz w:val="24"/>
          <w:szCs w:val="24"/>
        </w:rPr>
        <w:t>0277.2000.tb</w:t>
      </w:r>
      <w:proofErr w:type="gramEnd"/>
      <w:r w:rsidRPr="000B036D">
        <w:rPr>
          <w:rFonts w:cstheme="minorHAnsi"/>
          <w:sz w:val="24"/>
          <w:szCs w:val="24"/>
        </w:rPr>
        <w:t>04590.x</w:t>
      </w:r>
    </w:p>
    <w:p w14:paraId="63085DFD"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Shaw, C. R., &amp; </w:t>
      </w:r>
      <w:proofErr w:type="spellStart"/>
      <w:r w:rsidRPr="000B036D">
        <w:rPr>
          <w:rFonts w:cstheme="minorHAnsi"/>
          <w:sz w:val="24"/>
          <w:szCs w:val="24"/>
        </w:rPr>
        <w:t>Mckay</w:t>
      </w:r>
      <w:proofErr w:type="spellEnd"/>
      <w:r w:rsidRPr="000B036D">
        <w:rPr>
          <w:rFonts w:cstheme="minorHAnsi"/>
          <w:sz w:val="24"/>
          <w:szCs w:val="24"/>
        </w:rPr>
        <w:t xml:space="preserve">, H. D. (1942). </w:t>
      </w:r>
      <w:r w:rsidRPr="00497E36">
        <w:rPr>
          <w:rFonts w:cstheme="minorHAnsi"/>
          <w:i/>
          <w:iCs/>
          <w:sz w:val="24"/>
          <w:szCs w:val="24"/>
        </w:rPr>
        <w:t>Juvenile Delinquency and Urban Areas</w:t>
      </w:r>
      <w:r w:rsidRPr="000B036D">
        <w:rPr>
          <w:rFonts w:cstheme="minorHAnsi"/>
          <w:sz w:val="24"/>
          <w:szCs w:val="24"/>
        </w:rPr>
        <w:t>. Chicago: The University of Chicago Press.</w:t>
      </w:r>
    </w:p>
    <w:p w14:paraId="530A8E79"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Smoyer-Tomic</w:t>
      </w:r>
      <w:proofErr w:type="spellEnd"/>
      <w:r w:rsidRPr="000B036D">
        <w:rPr>
          <w:rFonts w:cstheme="minorHAnsi"/>
          <w:sz w:val="24"/>
          <w:szCs w:val="24"/>
        </w:rPr>
        <w:t xml:space="preserve">, K. E., Spence, J. C., Raine, K. D., </w:t>
      </w:r>
      <w:proofErr w:type="spellStart"/>
      <w:r w:rsidRPr="000B036D">
        <w:rPr>
          <w:rFonts w:cstheme="minorHAnsi"/>
          <w:sz w:val="24"/>
          <w:szCs w:val="24"/>
        </w:rPr>
        <w:t>Amrhein</w:t>
      </w:r>
      <w:proofErr w:type="spellEnd"/>
      <w:r w:rsidRPr="000B036D">
        <w:rPr>
          <w:rFonts w:cstheme="minorHAnsi"/>
          <w:sz w:val="24"/>
          <w:szCs w:val="24"/>
        </w:rPr>
        <w:t xml:space="preserve">, C., Cameron, N., </w:t>
      </w:r>
      <w:proofErr w:type="spellStart"/>
      <w:r w:rsidRPr="000B036D">
        <w:rPr>
          <w:rFonts w:cstheme="minorHAnsi"/>
          <w:sz w:val="24"/>
          <w:szCs w:val="24"/>
        </w:rPr>
        <w:t>Yasenovskiy</w:t>
      </w:r>
      <w:proofErr w:type="spellEnd"/>
      <w:r w:rsidRPr="000B036D">
        <w:rPr>
          <w:rFonts w:cstheme="minorHAnsi"/>
          <w:sz w:val="24"/>
          <w:szCs w:val="24"/>
        </w:rPr>
        <w:t xml:space="preserve">, V., ... Healy, J. (2008). The association between neighborhood socioeconomic status and exposure to supermarkets and </w:t>
      </w:r>
      <w:proofErr w:type="gramStart"/>
      <w:r w:rsidRPr="000B036D">
        <w:rPr>
          <w:rFonts w:cstheme="minorHAnsi"/>
          <w:sz w:val="24"/>
          <w:szCs w:val="24"/>
        </w:rPr>
        <w:t>fast food</w:t>
      </w:r>
      <w:proofErr w:type="gramEnd"/>
      <w:r w:rsidRPr="000B036D">
        <w:rPr>
          <w:rFonts w:cstheme="minorHAnsi"/>
          <w:sz w:val="24"/>
          <w:szCs w:val="24"/>
        </w:rPr>
        <w:t xml:space="preserve"> outlets. </w:t>
      </w:r>
      <w:r w:rsidRPr="00497E36">
        <w:rPr>
          <w:rFonts w:cstheme="minorHAnsi"/>
          <w:i/>
          <w:iCs/>
          <w:sz w:val="24"/>
          <w:szCs w:val="24"/>
        </w:rPr>
        <w:t>Health and Place</w:t>
      </w:r>
      <w:r w:rsidRPr="000B036D">
        <w:rPr>
          <w:rFonts w:cstheme="minorHAnsi"/>
          <w:sz w:val="24"/>
          <w:szCs w:val="24"/>
        </w:rPr>
        <w:t xml:space="preserve">, 14, 740–754. </w:t>
      </w:r>
      <w:proofErr w:type="gramStart"/>
      <w:r w:rsidRPr="000B036D">
        <w:rPr>
          <w:rFonts w:cstheme="minorHAnsi"/>
          <w:sz w:val="24"/>
          <w:szCs w:val="24"/>
        </w:rPr>
        <w:t>doi:10.1016/j.healthplace</w:t>
      </w:r>
      <w:proofErr w:type="gramEnd"/>
      <w:r w:rsidRPr="000B036D">
        <w:rPr>
          <w:rFonts w:cstheme="minorHAnsi"/>
          <w:sz w:val="24"/>
          <w:szCs w:val="24"/>
        </w:rPr>
        <w:t>.2007.12.001</w:t>
      </w:r>
    </w:p>
    <w:p w14:paraId="57089072"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lastRenderedPageBreak/>
        <w:t xml:space="preserve">Snowden, A. J. (2016) Alcohol outlet density and intimate partner violence in a non-metropolitan college town: Accounting for neighborhood characteristics and alcohol outlet types. Forthcoming in </w:t>
      </w:r>
      <w:r w:rsidRPr="00497E36">
        <w:rPr>
          <w:rFonts w:cstheme="minorHAnsi"/>
          <w:i/>
          <w:iCs/>
          <w:sz w:val="24"/>
          <w:szCs w:val="24"/>
        </w:rPr>
        <w:t>Violence and Victims</w:t>
      </w:r>
      <w:r w:rsidRPr="000B036D">
        <w:rPr>
          <w:rFonts w:cstheme="minorHAnsi"/>
          <w:sz w:val="24"/>
          <w:szCs w:val="24"/>
        </w:rPr>
        <w:t>, 37(1).</w:t>
      </w:r>
    </w:p>
    <w:p w14:paraId="7E9A531B"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Snowden, A. J., &amp; </w:t>
      </w:r>
      <w:proofErr w:type="spellStart"/>
      <w:r w:rsidRPr="000B036D">
        <w:rPr>
          <w:rFonts w:cstheme="minorHAnsi"/>
          <w:sz w:val="24"/>
          <w:szCs w:val="24"/>
        </w:rPr>
        <w:t>Freiburger</w:t>
      </w:r>
      <w:proofErr w:type="spellEnd"/>
      <w:r w:rsidRPr="000B036D">
        <w:rPr>
          <w:rFonts w:cstheme="minorHAnsi"/>
          <w:sz w:val="24"/>
          <w:szCs w:val="24"/>
        </w:rPr>
        <w:t xml:space="preserve">, T. L. (2015). Alcohol outlets, social disorganization, and robberies: Accounting for neighborhood characteristics and alcohol outlet types. </w:t>
      </w:r>
      <w:r w:rsidRPr="00497E36">
        <w:rPr>
          <w:rFonts w:cstheme="minorHAnsi"/>
          <w:i/>
          <w:iCs/>
          <w:sz w:val="24"/>
          <w:szCs w:val="24"/>
        </w:rPr>
        <w:t>Social Science Research</w:t>
      </w:r>
      <w:r w:rsidRPr="000B036D">
        <w:rPr>
          <w:rFonts w:cstheme="minorHAnsi"/>
          <w:sz w:val="24"/>
          <w:szCs w:val="24"/>
        </w:rPr>
        <w:t xml:space="preserve">, 51, 145–162. </w:t>
      </w:r>
      <w:proofErr w:type="gramStart"/>
      <w:r w:rsidRPr="000B036D">
        <w:rPr>
          <w:rFonts w:cstheme="minorHAnsi"/>
          <w:sz w:val="24"/>
          <w:szCs w:val="24"/>
        </w:rPr>
        <w:t>doi:10.1016/j.ssresearch</w:t>
      </w:r>
      <w:proofErr w:type="gramEnd"/>
      <w:r w:rsidRPr="000B036D">
        <w:rPr>
          <w:rFonts w:cstheme="minorHAnsi"/>
          <w:sz w:val="24"/>
          <w:szCs w:val="24"/>
        </w:rPr>
        <w:t>.2015.01.011</w:t>
      </w:r>
    </w:p>
    <w:p w14:paraId="01733005"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Snowden, A. J., &amp; </w:t>
      </w:r>
      <w:proofErr w:type="spellStart"/>
      <w:r w:rsidRPr="000B036D">
        <w:rPr>
          <w:rFonts w:cstheme="minorHAnsi"/>
          <w:sz w:val="24"/>
          <w:szCs w:val="24"/>
        </w:rPr>
        <w:t>Pridemore</w:t>
      </w:r>
      <w:proofErr w:type="spellEnd"/>
      <w:r w:rsidRPr="000B036D">
        <w:rPr>
          <w:rFonts w:cstheme="minorHAnsi"/>
          <w:sz w:val="24"/>
          <w:szCs w:val="24"/>
        </w:rPr>
        <w:t xml:space="preserve">, W. A. (2013). Alcohol outlets, social disorganization, land use, and violence in a large college town: Direct and moderating effects. </w:t>
      </w:r>
      <w:r w:rsidRPr="00497E36">
        <w:rPr>
          <w:rFonts w:cstheme="minorHAnsi"/>
          <w:i/>
          <w:iCs/>
          <w:sz w:val="24"/>
          <w:szCs w:val="24"/>
        </w:rPr>
        <w:t>Criminal Justice Review</w:t>
      </w:r>
      <w:r w:rsidRPr="000B036D">
        <w:rPr>
          <w:rFonts w:cstheme="minorHAnsi"/>
          <w:sz w:val="24"/>
          <w:szCs w:val="24"/>
        </w:rPr>
        <w:t>, 38(1), 29–49. doi:10.1177/0734016812467198</w:t>
      </w:r>
    </w:p>
    <w:p w14:paraId="3B05D103"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Stockwell</w:t>
      </w:r>
      <w:proofErr w:type="spellEnd"/>
      <w:r w:rsidRPr="000B036D">
        <w:rPr>
          <w:rFonts w:cstheme="minorHAnsi"/>
          <w:sz w:val="24"/>
          <w:szCs w:val="24"/>
        </w:rPr>
        <w:t xml:space="preserve">, T., Auld, M. C., Zhao, J., &amp; Martin, G. (2012). Does minimum pricing reduce alcohol consumption? The experience of a Canadian province. </w:t>
      </w:r>
      <w:r w:rsidRPr="00497E36">
        <w:rPr>
          <w:rFonts w:cstheme="minorHAnsi"/>
          <w:i/>
          <w:iCs/>
          <w:sz w:val="24"/>
          <w:szCs w:val="24"/>
        </w:rPr>
        <w:t>Addiction</w:t>
      </w:r>
      <w:r w:rsidRPr="000B036D">
        <w:rPr>
          <w:rFonts w:cstheme="minorHAnsi"/>
          <w:sz w:val="24"/>
          <w:szCs w:val="24"/>
        </w:rPr>
        <w:t>, 107(5), 912–920. doi:10.1111/j.1360-0443.</w:t>
      </w:r>
      <w:proofErr w:type="gramStart"/>
      <w:r w:rsidRPr="000B036D">
        <w:rPr>
          <w:rFonts w:cstheme="minorHAnsi"/>
          <w:sz w:val="24"/>
          <w:szCs w:val="24"/>
        </w:rPr>
        <w:t>2011.03763.x</w:t>
      </w:r>
      <w:proofErr w:type="gramEnd"/>
    </w:p>
    <w:p w14:paraId="69302579"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Theall</w:t>
      </w:r>
      <w:proofErr w:type="spellEnd"/>
      <w:r w:rsidRPr="000B036D">
        <w:rPr>
          <w:rFonts w:cstheme="minorHAnsi"/>
          <w:sz w:val="24"/>
          <w:szCs w:val="24"/>
        </w:rPr>
        <w:t xml:space="preserve">, K. P., Lancaster, B. P., Lynch, S., Haines, R. T., Scribner, S., Scribner, R., &amp; Kishore, V. (2011). The neighborhood alcohol environment and at‐risk drinking among </w:t>
      </w:r>
      <w:proofErr w:type="gramStart"/>
      <w:r w:rsidRPr="000B036D">
        <w:rPr>
          <w:rFonts w:cstheme="minorHAnsi"/>
          <w:sz w:val="24"/>
          <w:szCs w:val="24"/>
        </w:rPr>
        <w:t>African‐Americans</w:t>
      </w:r>
      <w:proofErr w:type="gramEnd"/>
      <w:r w:rsidRPr="000B036D">
        <w:rPr>
          <w:rFonts w:cstheme="minorHAnsi"/>
          <w:sz w:val="24"/>
          <w:szCs w:val="24"/>
        </w:rPr>
        <w:t xml:space="preserve">. </w:t>
      </w:r>
      <w:r w:rsidRPr="00497E36">
        <w:rPr>
          <w:rFonts w:cstheme="minorHAnsi"/>
          <w:i/>
          <w:iCs/>
          <w:sz w:val="24"/>
          <w:szCs w:val="24"/>
        </w:rPr>
        <w:t>Alcoholism: Clinical and Experimental Research</w:t>
      </w:r>
      <w:r w:rsidRPr="000B036D">
        <w:rPr>
          <w:rFonts w:cstheme="minorHAnsi"/>
          <w:sz w:val="24"/>
          <w:szCs w:val="24"/>
        </w:rPr>
        <w:t>, 35(5), 996–1003. doi:10.1111/j.1530-0277.</w:t>
      </w:r>
      <w:proofErr w:type="gramStart"/>
      <w:r w:rsidRPr="000B036D">
        <w:rPr>
          <w:rFonts w:cstheme="minorHAnsi"/>
          <w:sz w:val="24"/>
          <w:szCs w:val="24"/>
        </w:rPr>
        <w:t>2010.01430.x</w:t>
      </w:r>
      <w:proofErr w:type="gramEnd"/>
    </w:p>
    <w:p w14:paraId="771A7FE6"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Trolldal</w:t>
      </w:r>
      <w:proofErr w:type="spellEnd"/>
      <w:r w:rsidRPr="000B036D">
        <w:rPr>
          <w:rFonts w:cstheme="minorHAnsi"/>
          <w:sz w:val="24"/>
          <w:szCs w:val="24"/>
        </w:rPr>
        <w:t xml:space="preserve">, B. (2005). The privatization of wine sales in Quebec in 1978 and 1983 to 1984. </w:t>
      </w:r>
      <w:r w:rsidRPr="00497E36">
        <w:rPr>
          <w:rFonts w:cstheme="minorHAnsi"/>
          <w:i/>
          <w:iCs/>
          <w:sz w:val="24"/>
          <w:szCs w:val="24"/>
        </w:rPr>
        <w:t>Alcoholism: Clinical and Experimental Research</w:t>
      </w:r>
      <w:r w:rsidRPr="000B036D">
        <w:rPr>
          <w:rFonts w:cstheme="minorHAnsi"/>
          <w:sz w:val="24"/>
          <w:szCs w:val="24"/>
        </w:rPr>
        <w:t xml:space="preserve">, 29, 410–416. </w:t>
      </w:r>
      <w:proofErr w:type="gramStart"/>
      <w:r w:rsidRPr="000B036D">
        <w:rPr>
          <w:rFonts w:cstheme="minorHAnsi"/>
          <w:sz w:val="24"/>
          <w:szCs w:val="24"/>
        </w:rPr>
        <w:t>doi:10.1097/01.alc</w:t>
      </w:r>
      <w:proofErr w:type="gramEnd"/>
      <w:r w:rsidRPr="000B036D">
        <w:rPr>
          <w:rFonts w:cstheme="minorHAnsi"/>
          <w:sz w:val="24"/>
          <w:szCs w:val="24"/>
        </w:rPr>
        <w:t>.0000156084.27547.ec</w:t>
      </w:r>
    </w:p>
    <w:p w14:paraId="4EA99ECD"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Truong, K. D., &amp; Sturm, R. (2009). Alcohol environments and disparities in exposure associated with adolescent drinking in California. </w:t>
      </w:r>
      <w:r w:rsidRPr="00497E36">
        <w:rPr>
          <w:rFonts w:cstheme="minorHAnsi"/>
          <w:i/>
          <w:iCs/>
          <w:sz w:val="24"/>
          <w:szCs w:val="24"/>
        </w:rPr>
        <w:t>American Journal of Public Health</w:t>
      </w:r>
      <w:r w:rsidRPr="000B036D">
        <w:rPr>
          <w:rFonts w:cstheme="minorHAnsi"/>
          <w:sz w:val="24"/>
          <w:szCs w:val="24"/>
        </w:rPr>
        <w:t>, 99(2), 264–270. doi:10.2105/ajph.2007.122077</w:t>
      </w:r>
    </w:p>
    <w:p w14:paraId="5C3E0F3D" w14:textId="4C1E7E0A"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US Census Bureau. (2010). American </w:t>
      </w:r>
      <w:proofErr w:type="spellStart"/>
      <w:r w:rsidRPr="000B036D">
        <w:rPr>
          <w:rFonts w:cstheme="minorHAnsi"/>
          <w:sz w:val="24"/>
          <w:szCs w:val="24"/>
        </w:rPr>
        <w:t>FacFinder</w:t>
      </w:r>
      <w:proofErr w:type="spellEnd"/>
      <w:r w:rsidRPr="000B036D">
        <w:rPr>
          <w:rFonts w:cstheme="minorHAnsi"/>
          <w:sz w:val="24"/>
          <w:szCs w:val="24"/>
        </w:rPr>
        <w:t xml:space="preserve">. Retrieved July 28, 2013, from </w:t>
      </w:r>
      <w:r w:rsidRPr="00F230A9">
        <w:rPr>
          <w:rFonts w:cstheme="minorHAnsi"/>
          <w:sz w:val="24"/>
          <w:szCs w:val="24"/>
        </w:rPr>
        <w:t>http://factfinder2.census.gov/faces/nav/jsf/pages/community%5ffacts.xhtml</w:t>
      </w:r>
    </w:p>
    <w:p w14:paraId="53DB7F29" w14:textId="13B418CF"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US Census Bureau. (2014, January). State and County QuickFacts. Retrieved from </w:t>
      </w:r>
      <w:r w:rsidRPr="00F230A9">
        <w:rPr>
          <w:rFonts w:cstheme="minorHAnsi"/>
          <w:sz w:val="24"/>
          <w:szCs w:val="24"/>
        </w:rPr>
        <w:t>http://quickfacts.census.gov/qfd/states/55/5553000.html</w:t>
      </w:r>
    </w:p>
    <w:p w14:paraId="26AA263B" w14:textId="77777777" w:rsidR="00C20C94" w:rsidRPr="000B036D" w:rsidRDefault="00C20C94" w:rsidP="000B036D">
      <w:pPr>
        <w:pStyle w:val="NoSpacing"/>
        <w:ind w:left="720" w:hanging="720"/>
        <w:rPr>
          <w:rFonts w:cstheme="minorHAnsi"/>
          <w:sz w:val="24"/>
          <w:szCs w:val="24"/>
        </w:rPr>
      </w:pPr>
      <w:r w:rsidRPr="000B036D">
        <w:rPr>
          <w:rFonts w:cstheme="minorHAnsi"/>
          <w:sz w:val="24"/>
          <w:szCs w:val="24"/>
        </w:rPr>
        <w:t xml:space="preserve">Weisburd, D., </w:t>
      </w:r>
      <w:proofErr w:type="spellStart"/>
      <w:r w:rsidRPr="000B036D">
        <w:rPr>
          <w:rFonts w:cstheme="minorHAnsi"/>
          <w:sz w:val="24"/>
          <w:szCs w:val="24"/>
        </w:rPr>
        <w:t>Bernasco</w:t>
      </w:r>
      <w:proofErr w:type="spellEnd"/>
      <w:r w:rsidRPr="000B036D">
        <w:rPr>
          <w:rFonts w:cstheme="minorHAnsi"/>
          <w:sz w:val="24"/>
          <w:szCs w:val="24"/>
        </w:rPr>
        <w:t xml:space="preserve">, W., &amp; </w:t>
      </w:r>
      <w:proofErr w:type="spellStart"/>
      <w:r w:rsidRPr="000B036D">
        <w:rPr>
          <w:rFonts w:cstheme="minorHAnsi"/>
          <w:sz w:val="24"/>
          <w:szCs w:val="24"/>
        </w:rPr>
        <w:t>Bruinsma</w:t>
      </w:r>
      <w:proofErr w:type="spellEnd"/>
      <w:r w:rsidRPr="000B036D">
        <w:rPr>
          <w:rFonts w:cstheme="minorHAnsi"/>
          <w:sz w:val="24"/>
          <w:szCs w:val="24"/>
        </w:rPr>
        <w:t xml:space="preserve">, G. J. (Eds.) (2008). Units of analysis in geographic criminology: Historical development, critical issues, and open questions. In </w:t>
      </w:r>
      <w:r w:rsidRPr="00497E36">
        <w:rPr>
          <w:rFonts w:cstheme="minorHAnsi"/>
          <w:i/>
          <w:iCs/>
          <w:sz w:val="24"/>
          <w:szCs w:val="24"/>
        </w:rPr>
        <w:t>Putting crime in its place</w:t>
      </w:r>
      <w:r w:rsidRPr="000B036D">
        <w:rPr>
          <w:rFonts w:cstheme="minorHAnsi"/>
          <w:sz w:val="24"/>
          <w:szCs w:val="24"/>
        </w:rPr>
        <w:t xml:space="preserve"> (pp. 3–31). New York: Springer.</w:t>
      </w:r>
    </w:p>
    <w:p w14:paraId="68897335" w14:textId="77777777" w:rsidR="00C20C94" w:rsidRPr="000B036D" w:rsidRDefault="00C20C94" w:rsidP="000B036D">
      <w:pPr>
        <w:pStyle w:val="NoSpacing"/>
        <w:ind w:left="720" w:hanging="720"/>
        <w:rPr>
          <w:rFonts w:cstheme="minorHAnsi"/>
          <w:sz w:val="24"/>
          <w:szCs w:val="24"/>
        </w:rPr>
      </w:pPr>
      <w:proofErr w:type="spellStart"/>
      <w:r w:rsidRPr="000B036D">
        <w:rPr>
          <w:rFonts w:cstheme="minorHAnsi"/>
          <w:sz w:val="24"/>
          <w:szCs w:val="24"/>
        </w:rPr>
        <w:t>Zenk</w:t>
      </w:r>
      <w:proofErr w:type="spellEnd"/>
      <w:r w:rsidRPr="000B036D">
        <w:rPr>
          <w:rFonts w:cstheme="minorHAnsi"/>
          <w:sz w:val="24"/>
          <w:szCs w:val="24"/>
        </w:rPr>
        <w:t xml:space="preserve">, S. N., Schultz, A. J., Israel, B. A., James, S. A., Bao, S., &amp; Wilson, M. L. (2005). Neighborhood racial composition, neighborhood poverty, and the spatial accessibility of supermarkets in metropolitan Detroit. </w:t>
      </w:r>
      <w:r w:rsidRPr="00497E36">
        <w:rPr>
          <w:rFonts w:cstheme="minorHAnsi"/>
          <w:i/>
          <w:iCs/>
          <w:sz w:val="24"/>
          <w:szCs w:val="24"/>
        </w:rPr>
        <w:t>American Journal of Public Health</w:t>
      </w:r>
      <w:r w:rsidRPr="000B036D">
        <w:rPr>
          <w:rFonts w:cstheme="minorHAnsi"/>
          <w:sz w:val="24"/>
          <w:szCs w:val="24"/>
        </w:rPr>
        <w:t>, 95(4), 660–667. doi:10.2105/ajph.2004.042150</w:t>
      </w:r>
    </w:p>
    <w:p w14:paraId="7C15A6EB" w14:textId="1D22DC3D" w:rsidR="00C20C94" w:rsidRPr="00C20C94" w:rsidRDefault="00C20C94" w:rsidP="00C20C94">
      <w:pPr>
        <w:rPr>
          <w:rFonts w:cstheme="minorHAnsi"/>
          <w:sz w:val="24"/>
          <w:szCs w:val="24"/>
        </w:rPr>
      </w:pPr>
    </w:p>
    <w:sectPr w:rsidR="00C20C94" w:rsidRPr="00C20C94" w:rsidSect="00B552A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zRYr5yyw2jgNrJ9fbpzd9SMnqy817GrQShHLDsYKNL8r2MKBCuBG9RXCaYLQkG57dsGNeduAMd/ueUN/XstvIA==" w:salt="t67ehNw8NvTqGIWKjI0or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036D"/>
    <w:rsid w:val="000B1EEB"/>
    <w:rsid w:val="000B22D3"/>
    <w:rsid w:val="000B2768"/>
    <w:rsid w:val="000B3464"/>
    <w:rsid w:val="000B389E"/>
    <w:rsid w:val="000B501D"/>
    <w:rsid w:val="000B5152"/>
    <w:rsid w:val="000B5170"/>
    <w:rsid w:val="000C0E5B"/>
    <w:rsid w:val="000C15D5"/>
    <w:rsid w:val="000C2B9C"/>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6EE8"/>
    <w:rsid w:val="00117F89"/>
    <w:rsid w:val="00120313"/>
    <w:rsid w:val="0012104C"/>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ADE"/>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85948"/>
    <w:rsid w:val="0029129F"/>
    <w:rsid w:val="00296B90"/>
    <w:rsid w:val="00297296"/>
    <w:rsid w:val="002A0668"/>
    <w:rsid w:val="002A0CCE"/>
    <w:rsid w:val="002A1619"/>
    <w:rsid w:val="002A6B8B"/>
    <w:rsid w:val="002A7CE4"/>
    <w:rsid w:val="002A7EC8"/>
    <w:rsid w:val="002A7FBB"/>
    <w:rsid w:val="002B09A8"/>
    <w:rsid w:val="002B1ED8"/>
    <w:rsid w:val="002B3E2E"/>
    <w:rsid w:val="002B45EC"/>
    <w:rsid w:val="002B62C6"/>
    <w:rsid w:val="002C12EA"/>
    <w:rsid w:val="002C17A7"/>
    <w:rsid w:val="002C2DA5"/>
    <w:rsid w:val="002C42FB"/>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2F6180"/>
    <w:rsid w:val="00300EE4"/>
    <w:rsid w:val="00301461"/>
    <w:rsid w:val="0030197F"/>
    <w:rsid w:val="0030223E"/>
    <w:rsid w:val="00303A1E"/>
    <w:rsid w:val="00303BBD"/>
    <w:rsid w:val="00313440"/>
    <w:rsid w:val="00314FCD"/>
    <w:rsid w:val="00315693"/>
    <w:rsid w:val="0032274D"/>
    <w:rsid w:val="00323F17"/>
    <w:rsid w:val="00324290"/>
    <w:rsid w:val="00331737"/>
    <w:rsid w:val="0033243D"/>
    <w:rsid w:val="003332F4"/>
    <w:rsid w:val="0033652E"/>
    <w:rsid w:val="00336BB0"/>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77D0E"/>
    <w:rsid w:val="00381F0E"/>
    <w:rsid w:val="0038549B"/>
    <w:rsid w:val="0038628A"/>
    <w:rsid w:val="0038634F"/>
    <w:rsid w:val="00391C48"/>
    <w:rsid w:val="003920C4"/>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02A8"/>
    <w:rsid w:val="004010E3"/>
    <w:rsid w:val="004055B8"/>
    <w:rsid w:val="0040709D"/>
    <w:rsid w:val="004122F9"/>
    <w:rsid w:val="004124D3"/>
    <w:rsid w:val="0041326A"/>
    <w:rsid w:val="004139BA"/>
    <w:rsid w:val="00414591"/>
    <w:rsid w:val="0041717B"/>
    <w:rsid w:val="00420CFB"/>
    <w:rsid w:val="00421CBC"/>
    <w:rsid w:val="0043008C"/>
    <w:rsid w:val="00430B91"/>
    <w:rsid w:val="0043209E"/>
    <w:rsid w:val="00433477"/>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28B4"/>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687C"/>
    <w:rsid w:val="00487185"/>
    <w:rsid w:val="004873AE"/>
    <w:rsid w:val="00487718"/>
    <w:rsid w:val="00490ABE"/>
    <w:rsid w:val="004932A8"/>
    <w:rsid w:val="00495B8D"/>
    <w:rsid w:val="00497E36"/>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4B50"/>
    <w:rsid w:val="004F52AA"/>
    <w:rsid w:val="004F657B"/>
    <w:rsid w:val="004F73E6"/>
    <w:rsid w:val="0050408D"/>
    <w:rsid w:val="00504C6A"/>
    <w:rsid w:val="00510364"/>
    <w:rsid w:val="005116C9"/>
    <w:rsid w:val="00511BEE"/>
    <w:rsid w:val="00515801"/>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5677"/>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435"/>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383E"/>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381A"/>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2B9A"/>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179A3"/>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03"/>
    <w:rsid w:val="00A56ED1"/>
    <w:rsid w:val="00A648A4"/>
    <w:rsid w:val="00A650B2"/>
    <w:rsid w:val="00A7290A"/>
    <w:rsid w:val="00A72B02"/>
    <w:rsid w:val="00A75006"/>
    <w:rsid w:val="00A76653"/>
    <w:rsid w:val="00A80331"/>
    <w:rsid w:val="00A81E28"/>
    <w:rsid w:val="00A82932"/>
    <w:rsid w:val="00A82D07"/>
    <w:rsid w:val="00A868FB"/>
    <w:rsid w:val="00A87752"/>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A73"/>
    <w:rsid w:val="00AF6D69"/>
    <w:rsid w:val="00AF7626"/>
    <w:rsid w:val="00B03D08"/>
    <w:rsid w:val="00B0429D"/>
    <w:rsid w:val="00B05BF7"/>
    <w:rsid w:val="00B079F6"/>
    <w:rsid w:val="00B1094A"/>
    <w:rsid w:val="00B129D1"/>
    <w:rsid w:val="00B12F61"/>
    <w:rsid w:val="00B14CBC"/>
    <w:rsid w:val="00B156BF"/>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2A7"/>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154C"/>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266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692"/>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5269"/>
    <w:rsid w:val="00D3640D"/>
    <w:rsid w:val="00D3682F"/>
    <w:rsid w:val="00D42634"/>
    <w:rsid w:val="00D42AE0"/>
    <w:rsid w:val="00D43F4A"/>
    <w:rsid w:val="00D45330"/>
    <w:rsid w:val="00D45705"/>
    <w:rsid w:val="00D45A48"/>
    <w:rsid w:val="00D45DB8"/>
    <w:rsid w:val="00D45FAE"/>
    <w:rsid w:val="00D47D29"/>
    <w:rsid w:val="00D505CD"/>
    <w:rsid w:val="00D50821"/>
    <w:rsid w:val="00D52D25"/>
    <w:rsid w:val="00D6141E"/>
    <w:rsid w:val="00D62EBD"/>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173D"/>
    <w:rsid w:val="00DA4D83"/>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3721"/>
    <w:rsid w:val="00E744B1"/>
    <w:rsid w:val="00E747D9"/>
    <w:rsid w:val="00E75D5D"/>
    <w:rsid w:val="00E766CA"/>
    <w:rsid w:val="00E77278"/>
    <w:rsid w:val="00E81F85"/>
    <w:rsid w:val="00E8413D"/>
    <w:rsid w:val="00E84C2A"/>
    <w:rsid w:val="00E90CA1"/>
    <w:rsid w:val="00E91D25"/>
    <w:rsid w:val="00E95F4D"/>
    <w:rsid w:val="00E97067"/>
    <w:rsid w:val="00EA1A8C"/>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31B9"/>
    <w:rsid w:val="00EF586D"/>
    <w:rsid w:val="00F00B9A"/>
    <w:rsid w:val="00F0246E"/>
    <w:rsid w:val="00F026DB"/>
    <w:rsid w:val="00F04133"/>
    <w:rsid w:val="00F1073E"/>
    <w:rsid w:val="00F10B7C"/>
    <w:rsid w:val="00F1126D"/>
    <w:rsid w:val="00F12233"/>
    <w:rsid w:val="00F12CE1"/>
    <w:rsid w:val="00F14096"/>
    <w:rsid w:val="00F14820"/>
    <w:rsid w:val="00F1556A"/>
    <w:rsid w:val="00F201C0"/>
    <w:rsid w:val="00F230A9"/>
    <w:rsid w:val="00F247AC"/>
    <w:rsid w:val="00F24CEE"/>
    <w:rsid w:val="00F30DED"/>
    <w:rsid w:val="00F31DB2"/>
    <w:rsid w:val="00F3556C"/>
    <w:rsid w:val="00F37720"/>
    <w:rsid w:val="00F4046D"/>
    <w:rsid w:val="00F40A6C"/>
    <w:rsid w:val="00F4263B"/>
    <w:rsid w:val="00F426E0"/>
    <w:rsid w:val="00F44EA5"/>
    <w:rsid w:val="00F4518D"/>
    <w:rsid w:val="00F46456"/>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032"/>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5269"/>
  </w:style>
  <w:style w:type="paragraph" w:styleId="Heading1">
    <w:name w:val="heading 1"/>
    <w:basedOn w:val="Normal"/>
    <w:next w:val="Normal"/>
    <w:link w:val="Heading1Char"/>
    <w:uiPriority w:val="9"/>
    <w:qFormat/>
    <w:rsid w:val="00D3526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3526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3526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35269"/>
    <w:pPr>
      <w:keepNext/>
      <w:keepLines/>
      <w:spacing w:before="40" w:after="0"/>
      <w:outlineLvl w:val="3"/>
    </w:pPr>
    <w:rPr>
      <w:i/>
      <w:iCs/>
    </w:rPr>
  </w:style>
  <w:style w:type="paragraph" w:styleId="Heading5">
    <w:name w:val="heading 5"/>
    <w:basedOn w:val="Normal"/>
    <w:next w:val="Normal"/>
    <w:link w:val="Heading5Char"/>
    <w:uiPriority w:val="9"/>
    <w:unhideWhenUsed/>
    <w:qFormat/>
    <w:rsid w:val="00D3526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D35269"/>
    <w:pPr>
      <w:keepNext/>
      <w:keepLines/>
      <w:spacing w:before="40" w:after="0"/>
      <w:outlineLvl w:val="5"/>
    </w:pPr>
  </w:style>
  <w:style w:type="paragraph" w:styleId="Heading7">
    <w:name w:val="heading 7"/>
    <w:basedOn w:val="Normal"/>
    <w:next w:val="Normal"/>
    <w:link w:val="Heading7Char"/>
    <w:uiPriority w:val="9"/>
    <w:semiHidden/>
    <w:unhideWhenUsed/>
    <w:qFormat/>
    <w:rsid w:val="00D3526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3526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3526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526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3526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3526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35269"/>
    <w:rPr>
      <w:i/>
      <w:iCs/>
    </w:rPr>
  </w:style>
  <w:style w:type="character" w:customStyle="1" w:styleId="Heading5Char">
    <w:name w:val="Heading 5 Char"/>
    <w:basedOn w:val="DefaultParagraphFont"/>
    <w:link w:val="Heading5"/>
    <w:uiPriority w:val="9"/>
    <w:rsid w:val="00D35269"/>
    <w:rPr>
      <w:color w:val="404040" w:themeColor="text1" w:themeTint="BF"/>
    </w:rPr>
  </w:style>
  <w:style w:type="character" w:customStyle="1" w:styleId="Heading6Char">
    <w:name w:val="Heading 6 Char"/>
    <w:basedOn w:val="DefaultParagraphFont"/>
    <w:link w:val="Heading6"/>
    <w:uiPriority w:val="9"/>
    <w:rsid w:val="00D35269"/>
  </w:style>
  <w:style w:type="character" w:customStyle="1" w:styleId="Heading7Char">
    <w:name w:val="Heading 7 Char"/>
    <w:basedOn w:val="DefaultParagraphFont"/>
    <w:link w:val="Heading7"/>
    <w:uiPriority w:val="9"/>
    <w:semiHidden/>
    <w:rsid w:val="00D3526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35269"/>
    <w:rPr>
      <w:color w:val="262626" w:themeColor="text1" w:themeTint="D9"/>
      <w:sz w:val="21"/>
      <w:szCs w:val="21"/>
    </w:rPr>
  </w:style>
  <w:style w:type="character" w:customStyle="1" w:styleId="Heading9Char">
    <w:name w:val="Heading 9 Char"/>
    <w:basedOn w:val="DefaultParagraphFont"/>
    <w:link w:val="Heading9"/>
    <w:uiPriority w:val="9"/>
    <w:semiHidden/>
    <w:rsid w:val="00D3526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3526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3526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3526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3526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35269"/>
    <w:rPr>
      <w:color w:val="5A5A5A" w:themeColor="text1" w:themeTint="A5"/>
      <w:spacing w:val="15"/>
    </w:rPr>
  </w:style>
  <w:style w:type="character" w:styleId="Strong">
    <w:name w:val="Strong"/>
    <w:basedOn w:val="DefaultParagraphFont"/>
    <w:uiPriority w:val="22"/>
    <w:qFormat/>
    <w:rsid w:val="00D35269"/>
    <w:rPr>
      <w:b/>
      <w:bCs/>
      <w:color w:val="auto"/>
    </w:rPr>
  </w:style>
  <w:style w:type="character" w:styleId="Emphasis">
    <w:name w:val="Emphasis"/>
    <w:basedOn w:val="DefaultParagraphFont"/>
    <w:uiPriority w:val="20"/>
    <w:qFormat/>
    <w:rsid w:val="00D35269"/>
    <w:rPr>
      <w:i/>
      <w:iCs/>
      <w:color w:val="auto"/>
    </w:rPr>
  </w:style>
  <w:style w:type="paragraph" w:styleId="NoSpacing">
    <w:name w:val="No Spacing"/>
    <w:uiPriority w:val="1"/>
    <w:qFormat/>
    <w:rsid w:val="00D3526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3526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35269"/>
    <w:rPr>
      <w:i/>
      <w:iCs/>
      <w:color w:val="404040" w:themeColor="text1" w:themeTint="BF"/>
    </w:rPr>
  </w:style>
  <w:style w:type="paragraph" w:styleId="IntenseQuote">
    <w:name w:val="Intense Quote"/>
    <w:basedOn w:val="Normal"/>
    <w:next w:val="Normal"/>
    <w:link w:val="IntenseQuoteChar"/>
    <w:uiPriority w:val="30"/>
    <w:qFormat/>
    <w:rsid w:val="00D3526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35269"/>
    <w:rPr>
      <w:i/>
      <w:iCs/>
      <w:color w:val="404040" w:themeColor="text1" w:themeTint="BF"/>
    </w:rPr>
  </w:style>
  <w:style w:type="character" w:styleId="SubtleEmphasis">
    <w:name w:val="Subtle Emphasis"/>
    <w:basedOn w:val="DefaultParagraphFont"/>
    <w:uiPriority w:val="19"/>
    <w:qFormat/>
    <w:rsid w:val="00D35269"/>
    <w:rPr>
      <w:i/>
      <w:iCs/>
      <w:color w:val="404040" w:themeColor="text1" w:themeTint="BF"/>
    </w:rPr>
  </w:style>
  <w:style w:type="character" w:styleId="IntenseEmphasis">
    <w:name w:val="Intense Emphasis"/>
    <w:basedOn w:val="DefaultParagraphFont"/>
    <w:uiPriority w:val="21"/>
    <w:qFormat/>
    <w:rsid w:val="00D35269"/>
    <w:rPr>
      <w:b/>
      <w:bCs/>
      <w:i/>
      <w:iCs/>
      <w:color w:val="auto"/>
    </w:rPr>
  </w:style>
  <w:style w:type="character" w:styleId="SubtleReference">
    <w:name w:val="Subtle Reference"/>
    <w:basedOn w:val="DefaultParagraphFont"/>
    <w:uiPriority w:val="31"/>
    <w:qFormat/>
    <w:rsid w:val="00D35269"/>
    <w:rPr>
      <w:smallCaps/>
      <w:color w:val="404040" w:themeColor="text1" w:themeTint="BF"/>
    </w:rPr>
  </w:style>
  <w:style w:type="character" w:styleId="IntenseReference">
    <w:name w:val="Intense Reference"/>
    <w:basedOn w:val="DefaultParagraphFont"/>
    <w:uiPriority w:val="32"/>
    <w:qFormat/>
    <w:rsid w:val="00D35269"/>
    <w:rPr>
      <w:b/>
      <w:bCs/>
      <w:smallCaps/>
      <w:color w:val="404040" w:themeColor="text1" w:themeTint="BF"/>
      <w:spacing w:val="5"/>
    </w:rPr>
  </w:style>
  <w:style w:type="character" w:styleId="BookTitle">
    <w:name w:val="Book Title"/>
    <w:basedOn w:val="DefaultParagraphFont"/>
    <w:uiPriority w:val="33"/>
    <w:qFormat/>
    <w:rsid w:val="00D35269"/>
    <w:rPr>
      <w:b/>
      <w:bCs/>
      <w:i/>
      <w:iCs/>
      <w:spacing w:val="5"/>
    </w:rPr>
  </w:style>
  <w:style w:type="paragraph" w:styleId="TOCHeading">
    <w:name w:val="TOC Heading"/>
    <w:basedOn w:val="Heading1"/>
    <w:next w:val="Normal"/>
    <w:uiPriority w:val="39"/>
    <w:semiHidden/>
    <w:unhideWhenUsed/>
    <w:qFormat/>
    <w:rsid w:val="00D3526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80/15332640.2015.107364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19</Pages>
  <Words>9251</Words>
  <Characters>52735</Characters>
  <Application>Microsoft Office Word</Application>
  <DocSecurity>8</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53</cp:revision>
  <dcterms:created xsi:type="dcterms:W3CDTF">2022-07-22T14:06:00Z</dcterms:created>
  <dcterms:modified xsi:type="dcterms:W3CDTF">2022-08-04T19:36:00Z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