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C807DAE" w:rsidR="000A7622" w:rsidRPr="00C04F25" w:rsidRDefault="001A17C1" w:rsidP="00D14423">
      <w:pPr>
        <w:autoSpaceDE w:val="0"/>
        <w:autoSpaceDN w:val="0"/>
        <w:adjustRightInd w:val="0"/>
        <w:rPr>
          <w:rFonts w:cstheme="minorHAnsi"/>
          <w:b/>
          <w:bCs/>
          <w:i/>
          <w:iCs/>
          <w:sz w:val="32"/>
          <w:szCs w:val="32"/>
        </w:rPr>
      </w:pPr>
      <w:r>
        <w:rPr>
          <w:rFonts w:cstheme="minorHAnsi"/>
          <w:b/>
          <w:bCs/>
          <w:i/>
          <w:iCs/>
          <w:sz w:val="32"/>
          <w:szCs w:val="32"/>
        </w:rPr>
        <w:t xml:space="preserve">Civil, Construction and Environmental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10137FDE" w:rsidR="00440BC4" w:rsidRDefault="000A7622" w:rsidP="00D14423">
      <w:pPr>
        <w:rPr>
          <w:rFonts w:cstheme="minorHAnsi"/>
          <w:b/>
          <w:bCs/>
          <w:sz w:val="24"/>
          <w:szCs w:val="24"/>
        </w:rPr>
      </w:pPr>
      <w:r w:rsidRPr="53F0BCD5">
        <w:rPr>
          <w:i/>
          <w:iCs/>
          <w:sz w:val="24"/>
          <w:szCs w:val="24"/>
          <w:lang w:val="fr-FR"/>
        </w:rPr>
        <w:t>Journal</w:t>
      </w:r>
      <w:r w:rsidR="00297838">
        <w:rPr>
          <w:i/>
          <w:iCs/>
          <w:sz w:val="24"/>
          <w:szCs w:val="24"/>
          <w:lang w:val="fr-FR"/>
        </w:rPr>
        <w:t xml:space="preserve"> of </w:t>
      </w:r>
      <w:proofErr w:type="spellStart"/>
      <w:r w:rsidR="00297838">
        <w:rPr>
          <w:i/>
          <w:iCs/>
          <w:sz w:val="24"/>
          <w:szCs w:val="24"/>
          <w:lang w:val="fr-FR"/>
        </w:rPr>
        <w:t>Environmental</w:t>
      </w:r>
      <w:proofErr w:type="spellEnd"/>
      <w:r w:rsidR="00297838">
        <w:rPr>
          <w:i/>
          <w:iCs/>
          <w:sz w:val="24"/>
          <w:szCs w:val="24"/>
          <w:lang w:val="fr-FR"/>
        </w:rPr>
        <w:t xml:space="preserve"> Engineering</w:t>
      </w:r>
      <w:r w:rsidRPr="53F0BCD5">
        <w:rPr>
          <w:sz w:val="24"/>
          <w:szCs w:val="24"/>
          <w:lang w:val="fr-FR"/>
        </w:rPr>
        <w:t xml:space="preserve">, Vol. </w:t>
      </w:r>
      <w:r w:rsidR="00297838">
        <w:rPr>
          <w:sz w:val="24"/>
          <w:szCs w:val="24"/>
          <w:lang w:val="fr-FR"/>
        </w:rPr>
        <w:t>148</w:t>
      </w:r>
      <w:r w:rsidRPr="53F0BCD5">
        <w:rPr>
          <w:sz w:val="24"/>
          <w:szCs w:val="24"/>
          <w:lang w:val="fr-FR"/>
        </w:rPr>
        <w:t xml:space="preserve">, No. </w:t>
      </w:r>
      <w:r w:rsidR="00297838">
        <w:rPr>
          <w:sz w:val="24"/>
          <w:szCs w:val="24"/>
          <w:lang w:val="fr-FR"/>
        </w:rPr>
        <w:t>5</w:t>
      </w:r>
      <w:r w:rsidRPr="53F0BCD5">
        <w:rPr>
          <w:sz w:val="24"/>
          <w:szCs w:val="24"/>
          <w:lang w:val="fr-FR"/>
        </w:rPr>
        <w:t xml:space="preserve"> (</w:t>
      </w:r>
      <w:r w:rsidR="00AA75C5">
        <w:rPr>
          <w:sz w:val="24"/>
          <w:szCs w:val="24"/>
          <w:lang w:val="fr-FR"/>
        </w:rPr>
        <w:t>May 2022</w:t>
      </w:r>
      <w:r w:rsidRPr="53F0BCD5">
        <w:rPr>
          <w:sz w:val="24"/>
          <w:szCs w:val="24"/>
          <w:lang w:val="fr-FR"/>
        </w:rPr>
        <w:t xml:space="preserve">). </w:t>
      </w:r>
      <w:hyperlink r:id="rId8">
        <w:r w:rsidRPr="53F0BCD5">
          <w:rPr>
            <w:color w:val="0563C1"/>
            <w:sz w:val="24"/>
            <w:szCs w:val="24"/>
            <w:u w:val="single"/>
            <w:lang w:val="fr-FR"/>
          </w:rPr>
          <w:t>DOI</w:t>
        </w:r>
      </w:hyperlink>
      <w:r w:rsidRPr="53F0BCD5">
        <w:rPr>
          <w:sz w:val="24"/>
          <w:szCs w:val="24"/>
          <w:lang w:val="fr-FR"/>
        </w:rPr>
        <w:t xml:space="preserve">. </w:t>
      </w:r>
      <w:r w:rsidRPr="53F0BCD5">
        <w:rPr>
          <w:sz w:val="24"/>
          <w:szCs w:val="24"/>
        </w:rPr>
        <w:t xml:space="preserve">This article is © </w:t>
      </w:r>
      <w:r w:rsidR="00782B7F" w:rsidRPr="00782B7F">
        <w:rPr>
          <w:sz w:val="24"/>
          <w:szCs w:val="24"/>
        </w:rPr>
        <w:t>American Society of Civil Engineers</w:t>
      </w:r>
      <w:r w:rsidRPr="53F0BCD5">
        <w:rPr>
          <w:sz w:val="24"/>
          <w:szCs w:val="24"/>
        </w:rPr>
        <w:t xml:space="preserve"> and permission has been granted for this version to appear in </w:t>
      </w:r>
      <w:hyperlink r:id="rId9">
        <w:r w:rsidRPr="53F0BCD5">
          <w:rPr>
            <w:color w:val="0563C1"/>
            <w:sz w:val="24"/>
            <w:szCs w:val="24"/>
            <w:u w:val="single"/>
          </w:rPr>
          <w:t>e-Publications@Marquette</w:t>
        </w:r>
      </w:hyperlink>
      <w:r w:rsidRPr="53F0BCD5">
        <w:rPr>
          <w:sz w:val="24"/>
          <w:szCs w:val="24"/>
        </w:rPr>
        <w:t xml:space="preserve">. </w:t>
      </w:r>
      <w:r w:rsidR="00782B7F" w:rsidRPr="00782B7F">
        <w:rPr>
          <w:sz w:val="24"/>
          <w:szCs w:val="24"/>
        </w:rPr>
        <w:t>American Society of Civil Engineers</w:t>
      </w:r>
      <w:r w:rsidRPr="53F0BCD5">
        <w:rPr>
          <w:sz w:val="24"/>
          <w:szCs w:val="24"/>
        </w:rPr>
        <w:t xml:space="preserve"> does not grant permission for this article to be further copied/distributed or hosted elsewhere without express permission from </w:t>
      </w:r>
      <w:r w:rsidR="00782B7F" w:rsidRPr="00782B7F">
        <w:rPr>
          <w:sz w:val="24"/>
          <w:szCs w:val="24"/>
        </w:rPr>
        <w:t>American Society of Civil Engineers</w:t>
      </w:r>
      <w:r w:rsidRPr="53F0BCD5">
        <w:rPr>
          <w:sz w:val="24"/>
          <w:szCs w:val="24"/>
        </w:rPr>
        <w:t>.</w:t>
      </w:r>
      <w:r w:rsidRPr="53F0BCD5">
        <w:rPr>
          <w:b/>
          <w:bCs/>
          <w:sz w:val="24"/>
          <w:szCs w:val="24"/>
        </w:rPr>
        <w:t xml:space="preserve"> </w:t>
      </w:r>
      <w:bookmarkEnd w:id="1"/>
    </w:p>
    <w:p w14:paraId="6D1CA8AF" w14:textId="4C8715DE" w:rsidR="53F0BCD5" w:rsidRDefault="53F0BCD5" w:rsidP="53F0BCD5">
      <w:pPr>
        <w:rPr>
          <w:b/>
          <w:bCs/>
          <w:sz w:val="24"/>
          <w:szCs w:val="24"/>
        </w:rPr>
      </w:pPr>
    </w:p>
    <w:p w14:paraId="4AD2A8EE" w14:textId="77777777" w:rsidR="007911C4" w:rsidRDefault="007911C4" w:rsidP="53F0BCD5">
      <w:pPr>
        <w:pStyle w:val="Title"/>
        <w:rPr>
          <w:rFonts w:ascii="Calibri Light" w:eastAsia="MS Gothic" w:hAnsi="Calibri Light" w:cs="Times New Roman"/>
        </w:rPr>
      </w:pPr>
      <w:r>
        <w:t>An Extraction Method to Quantify the Fraction of Extracellular and Intracellular Antibiotic Resistance Genes in Aquatic Environments</w:t>
      </w:r>
    </w:p>
    <w:p w14:paraId="454611F1" w14:textId="202706F6" w:rsidR="53F0BCD5" w:rsidRDefault="53F0BCD5" w:rsidP="53F0BCD5">
      <w:pPr>
        <w:rPr>
          <w:b/>
          <w:bCs/>
          <w:sz w:val="24"/>
          <w:szCs w:val="24"/>
        </w:rPr>
      </w:pPr>
    </w:p>
    <w:p w14:paraId="06710953" w14:textId="222CCBAA" w:rsidR="00187116" w:rsidRPr="007911C4" w:rsidRDefault="00187116" w:rsidP="53F0BCD5">
      <w:pPr>
        <w:pStyle w:val="NoSpacing"/>
        <w:rPr>
          <w:sz w:val="28"/>
          <w:szCs w:val="28"/>
        </w:rPr>
      </w:pPr>
      <w:r w:rsidRPr="53F0BCD5">
        <w:rPr>
          <w:sz w:val="28"/>
          <w:szCs w:val="28"/>
        </w:rPr>
        <w:t>Kassidy O’Malley</w:t>
      </w:r>
    </w:p>
    <w:p w14:paraId="2E077255" w14:textId="3CB0E021" w:rsidR="00187116" w:rsidRPr="007911C4" w:rsidRDefault="53F0BCD5" w:rsidP="53F0BCD5">
      <w:pPr>
        <w:pStyle w:val="NoSpacing"/>
      </w:pPr>
      <w:r>
        <w:t>Department of Civil, Construction, and Environmental Engineering, Marquette University, Milwaukee, WI</w:t>
      </w:r>
    </w:p>
    <w:p w14:paraId="24D8D5DA" w14:textId="606F732F" w:rsidR="00187116" w:rsidRPr="007911C4" w:rsidRDefault="00187116" w:rsidP="53F0BCD5">
      <w:pPr>
        <w:pStyle w:val="NoSpacing"/>
        <w:rPr>
          <w:sz w:val="28"/>
          <w:szCs w:val="28"/>
        </w:rPr>
      </w:pPr>
      <w:r w:rsidRPr="53F0BCD5">
        <w:rPr>
          <w:sz w:val="28"/>
          <w:szCs w:val="28"/>
        </w:rPr>
        <w:t>Walter McDonald</w:t>
      </w:r>
    </w:p>
    <w:p w14:paraId="17863A4D" w14:textId="5396F8C8" w:rsidR="00187116" w:rsidRPr="007911C4" w:rsidRDefault="53F0BCD5" w:rsidP="53F0BCD5">
      <w:pPr>
        <w:pStyle w:val="NoSpacing"/>
      </w:pPr>
      <w:r>
        <w:t>Department of Civil, Construction, and Environmental Engineering, Marquette University, Milwaukee, WI</w:t>
      </w:r>
    </w:p>
    <w:p w14:paraId="44455EDA" w14:textId="53771EBB" w:rsidR="00187116" w:rsidRPr="007911C4" w:rsidRDefault="00187116" w:rsidP="53F0BCD5">
      <w:pPr>
        <w:pStyle w:val="NoSpacing"/>
        <w:rPr>
          <w:sz w:val="28"/>
          <w:szCs w:val="28"/>
        </w:rPr>
      </w:pPr>
      <w:r w:rsidRPr="53F0BCD5">
        <w:rPr>
          <w:sz w:val="28"/>
          <w:szCs w:val="28"/>
        </w:rPr>
        <w:t>Patrick McNamara</w:t>
      </w:r>
    </w:p>
    <w:p w14:paraId="38208FF2" w14:textId="24B0BE87" w:rsidR="53F0BCD5" w:rsidRDefault="53F0BCD5" w:rsidP="53F0BCD5">
      <w:pPr>
        <w:pStyle w:val="NoSpacing"/>
      </w:pPr>
      <w:r>
        <w:t>Department of Civil, Construction, and Environmental Engineering, Marquette University, Milwaukee, WI</w:t>
      </w:r>
    </w:p>
    <w:p w14:paraId="46114237" w14:textId="77777777" w:rsidR="00EE53C7" w:rsidRPr="00EE53C7" w:rsidRDefault="00EE53C7" w:rsidP="53F0BCD5">
      <w:pPr>
        <w:pStyle w:val="Heading1"/>
        <w:rPr>
          <w:rFonts w:ascii="Calibri Light" w:eastAsia="MS Gothic" w:hAnsi="Calibri Light" w:cs="Times New Roman"/>
          <w:b/>
          <w:bCs/>
        </w:rPr>
      </w:pPr>
      <w:r>
        <w:t>Abstract</w:t>
      </w:r>
    </w:p>
    <w:p w14:paraId="1F260828" w14:textId="2CAEFECB" w:rsidR="00EE53C7" w:rsidRDefault="00EE53C7" w:rsidP="53F0BCD5">
      <w:r w:rsidRPr="53F0BCD5">
        <w:t xml:space="preserve">As the abundance and diversity of antibiotic resistance genes increases in the environment, there is a concurrent increase in the threat to public and ecosystem health. Extracellular antibiotic resistance genes (eARGs) are cell-free DNA that can promote the development of antibiotic resistance via transformation by competent bacterial cells. Despite this role, eARGs have not been well characterized in different environmental waters. Their small size and low concentrations in some aquatic environments render them difficult to extract. The aim of this research was to modify an </w:t>
      </w:r>
      <w:proofErr w:type="spellStart"/>
      <w:r w:rsidRPr="53F0BCD5">
        <w:t>eARG</w:t>
      </w:r>
      <w:proofErr w:type="spellEnd"/>
      <w:r w:rsidRPr="53F0BCD5">
        <w:t xml:space="preserve"> extraction method to determine the abundance of both eARGs and intracellular ARGs (iARGs) in the same water sample. The modified method, consisting of sequential filtration to separate </w:t>
      </w:r>
      <w:r w:rsidRPr="53F0BCD5">
        <w:lastRenderedPageBreak/>
        <w:t>iARGs from eARGs, adsorption-elution with aluminum hydroxide–coated silica gel, and precipitation, extracted eARGs and iARGs with a recovery rate between 79.5% and 99.0%. The novel method was then utilized for the extraction of the extracellular and intracellular fractions of four ARGs, one mobile genetic element, and the 16S rRNA in tap water, river surface water, lake surface water, stormwater, and wastewater effluent. This is the first instance in which the extracellular and intracellular fractions of the 16S rRNA, </w:t>
      </w:r>
      <m:oMath>
        <m:r>
          <w:rPr>
            <w:rFonts w:ascii="Cambria Math" w:hAnsi="Cambria Math"/>
          </w:rPr>
          <m:t>intI1</m:t>
        </m:r>
      </m:oMath>
      <w:r w:rsidRPr="53F0BCD5">
        <w:t>, </w:t>
      </w:r>
      <m:oMath>
        <m:r>
          <w:rPr>
            <w:rFonts w:ascii="Cambria Math" w:hAnsi="Cambria Math"/>
          </w:rPr>
          <m:t>bl</m:t>
        </m:r>
        <m:sSub>
          <m:sSubPr>
            <m:ctrlPr>
              <w:rPr>
                <w:rFonts w:ascii="Cambria Math" w:hAnsi="Cambria Math"/>
              </w:rPr>
            </m:ctrlPr>
          </m:sSubPr>
          <m:e>
            <m:r>
              <w:rPr>
                <w:rFonts w:ascii="Cambria Math" w:hAnsi="Cambria Math"/>
              </w:rPr>
              <m:t>a</m:t>
            </m:r>
          </m:e>
          <m:sub>
            <m:r>
              <m:rPr>
                <m:sty m:val="p"/>
              </m:rPr>
              <w:rPr>
                <w:rFonts w:ascii="Cambria Math" w:hAnsi="Cambria Math"/>
              </w:rPr>
              <m:t>TEM</m:t>
            </m:r>
          </m:sub>
        </m:sSub>
      </m:oMath>
      <w:r w:rsidRPr="53F0BCD5">
        <w:t>, </w:t>
      </w:r>
      <m:oMath>
        <m:r>
          <w:rPr>
            <w:rFonts w:ascii="Cambria Math" w:hAnsi="Cambria Math"/>
          </w:rPr>
          <m:t>erm</m:t>
        </m:r>
        <m:r>
          <m:rPr>
            <m:sty m:val="p"/>
          </m:rPr>
          <w:rPr>
            <w:rFonts w:ascii="Cambria Math" w:hAnsi="Cambria Math"/>
          </w:rPr>
          <m:t>F</m:t>
        </m:r>
      </m:oMath>
      <w:r w:rsidRPr="53F0BCD5">
        <w:t>, </w:t>
      </w:r>
      <m:oMath>
        <m:r>
          <w:rPr>
            <w:rFonts w:ascii="Cambria Math" w:hAnsi="Cambria Math"/>
          </w:rPr>
          <m:t>sul1</m:t>
        </m:r>
      </m:oMath>
      <w:r w:rsidRPr="53F0BCD5">
        <w:t>, and </w:t>
      </w:r>
      <m:oMath>
        <m:r>
          <w:rPr>
            <w:rFonts w:ascii="Cambria Math" w:hAnsi="Cambria Math"/>
          </w:rPr>
          <m:t>tet</m:t>
        </m:r>
        <m:r>
          <m:rPr>
            <m:sty m:val="p"/>
          </m:rPr>
          <w:rPr>
            <w:rFonts w:ascii="Cambria Math" w:hAnsi="Cambria Math"/>
          </w:rPr>
          <m:t>C</m:t>
        </m:r>
      </m:oMath>
      <w:r w:rsidRPr="53F0BCD5">
        <w:t> genes in stormwater and lake surface water are reported. In addition, this modified method enabled the quantification of the extracellular concentration of the erythromycin resistance gene </w:t>
      </w:r>
      <m:oMath>
        <m:r>
          <w:rPr>
            <w:rFonts w:ascii="Cambria Math" w:hAnsi="Cambria Math"/>
          </w:rPr>
          <m:t>erm</m:t>
        </m:r>
        <m:r>
          <m:rPr>
            <m:sty m:val="p"/>
          </m:rPr>
          <w:rPr>
            <w:rFonts w:ascii="Cambria Math" w:hAnsi="Cambria Math"/>
          </w:rPr>
          <m:t>F</m:t>
        </m:r>
      </m:oMath>
      <w:r w:rsidRPr="53F0BCD5">
        <w:t> in envir</w:t>
      </w:r>
      <w:proofErr w:type="spellStart"/>
      <w:r w:rsidRPr="53F0BCD5">
        <w:t>onmental</w:t>
      </w:r>
      <w:proofErr w:type="spellEnd"/>
      <w:r w:rsidRPr="53F0BCD5">
        <w:t xml:space="preserve"> waters for the first time; the gene’s abundance ranged from </w:t>
      </w:r>
      <m:oMath>
        <m:r>
          <w:rPr>
            <w:rFonts w:ascii="Cambria Math" w:hAnsi="Cambria Math"/>
          </w:rPr>
          <m:t>1.26×</m:t>
        </m:r>
        <m:sSup>
          <m:sSupPr>
            <m:ctrlPr>
              <w:rPr>
                <w:rFonts w:ascii="Cambria Math" w:hAnsi="Cambria Math"/>
              </w:rPr>
            </m:ctrlPr>
          </m:sSupPr>
          <m:e>
            <m:r>
              <w:rPr>
                <w:rFonts w:ascii="Cambria Math" w:hAnsi="Cambria Math"/>
              </w:rPr>
              <m:t>10</m:t>
            </m:r>
          </m:e>
          <m:sup>
            <m:r>
              <w:rPr>
                <w:rFonts w:ascii="Cambria Math" w:hAnsi="Cambria Math"/>
              </w:rPr>
              <m:t>5</m:t>
            </m:r>
          </m:sup>
        </m:sSup>
      </m:oMath>
      <w:r w:rsidRPr="53F0BCD5">
        <w:t> to </w:t>
      </w:r>
      <m:oMath>
        <m:r>
          <w:rPr>
            <w:rFonts w:ascii="Cambria Math" w:hAnsi="Cambria Math"/>
          </w:rPr>
          <m:t>8.82×</m:t>
        </m:r>
        <m:sSup>
          <m:sSupPr>
            <m:ctrlPr>
              <w:rPr>
                <w:rFonts w:ascii="Cambria Math" w:hAnsi="Cambria Math"/>
              </w:rPr>
            </m:ctrlPr>
          </m:sSupPr>
          <m:e>
            <m:r>
              <w:rPr>
                <w:rFonts w:ascii="Cambria Math" w:hAnsi="Cambria Math"/>
              </w:rPr>
              <m:t>10</m:t>
            </m:r>
          </m:e>
          <m:sup>
            <m:r>
              <w:rPr>
                <w:rFonts w:ascii="Cambria Math" w:hAnsi="Cambria Math"/>
              </w:rPr>
              <m:t>6</m:t>
            </m:r>
          </m:sup>
        </m:sSup>
      </m:oMath>
      <w:r w:rsidRPr="53F0BCD5">
        <w:t> gene copies/L across the aquatic waters sampled. The extracellular abundance of the mobile genetic element </w:t>
      </w:r>
      <m:oMath>
        <m:r>
          <w:rPr>
            <w:rFonts w:ascii="Cambria Math" w:hAnsi="Cambria Math"/>
          </w:rPr>
          <m:t>intI1</m:t>
        </m:r>
      </m:oMath>
      <w:r w:rsidRPr="53F0BCD5">
        <w:t>, moreover, was quantified in tap water (</w:t>
      </w:r>
      <m:oMath>
        <m:r>
          <w:rPr>
            <w:rFonts w:ascii="Cambria Math" w:hAnsi="Cambria Math"/>
          </w:rPr>
          <m:t>7.00×</m:t>
        </m:r>
        <m:sSup>
          <m:sSupPr>
            <m:ctrlPr>
              <w:rPr>
                <w:rFonts w:ascii="Cambria Math" w:hAnsi="Cambria Math"/>
              </w:rPr>
            </m:ctrlPr>
          </m:sSupPr>
          <m:e>
            <m:r>
              <w:rPr>
                <w:rFonts w:ascii="Cambria Math" w:hAnsi="Cambria Math"/>
              </w:rPr>
              <m:t>10</m:t>
            </m:r>
          </m:e>
          <m:sup>
            <m:r>
              <w:rPr>
                <w:rFonts w:ascii="Cambria Math" w:hAnsi="Cambria Math"/>
              </w:rPr>
              <m:t>4</m:t>
            </m:r>
          </m:sup>
        </m:sSup>
      </m:oMath>
      <w:r w:rsidRPr="53F0BCD5">
        <w:t> gene copies/L) for the first time. The validation and application of this method to diverse environmental matrices should allow for further research to be conducted to better understand the role of eARGs in the spread of antibiotic resistance.</w:t>
      </w:r>
    </w:p>
    <w:p w14:paraId="5E8293C5" w14:textId="0349ED54" w:rsidR="00AA75C5" w:rsidRDefault="008A4A08" w:rsidP="008A4A08">
      <w:pPr>
        <w:pStyle w:val="Heading1"/>
      </w:pPr>
      <w:r>
        <w:t>Keywords</w:t>
      </w:r>
    </w:p>
    <w:p w14:paraId="2E2E739E" w14:textId="1B472036" w:rsidR="008A4A08" w:rsidRPr="00EE53C7" w:rsidRDefault="008A4A08" w:rsidP="53F0BCD5">
      <w:r w:rsidRPr="008A4A08">
        <w:t>Environmental antibiotic resistance genes (ARGs)</w:t>
      </w:r>
      <w:r>
        <w:t>,</w:t>
      </w:r>
      <w:r w:rsidRPr="008A4A08">
        <w:t xml:space="preserve"> Aquatic environment</w:t>
      </w:r>
      <w:r>
        <w:t>,</w:t>
      </w:r>
      <w:r w:rsidRPr="008A4A08">
        <w:t xml:space="preserve"> Extracellular genetic material</w:t>
      </w:r>
      <w:r>
        <w:t>,</w:t>
      </w:r>
      <w:r w:rsidRPr="008A4A08">
        <w:t xml:space="preserve"> Adsorption-elution</w:t>
      </w:r>
      <w:r>
        <w:t>,</w:t>
      </w:r>
      <w:r w:rsidRPr="008A4A08">
        <w:t xml:space="preserve"> Droplet digital polymerase chain reaction (PCR</w:t>
      </w:r>
      <w:r>
        <w:t>)</w:t>
      </w:r>
    </w:p>
    <w:p w14:paraId="1113A7A6" w14:textId="77777777" w:rsidR="00EE53C7" w:rsidRPr="00EE53C7" w:rsidRDefault="00EE53C7" w:rsidP="53F0BCD5">
      <w:pPr>
        <w:pStyle w:val="Heading1"/>
        <w:rPr>
          <w:rFonts w:ascii="Calibri Light" w:eastAsia="MS Gothic" w:hAnsi="Calibri Light" w:cs="Times New Roman"/>
          <w:b/>
          <w:bCs/>
        </w:rPr>
      </w:pPr>
      <w:r>
        <w:t>Introduction</w:t>
      </w:r>
    </w:p>
    <w:p w14:paraId="3A1338DD" w14:textId="0D6C0186" w:rsidR="00EE53C7" w:rsidRPr="00EE53C7" w:rsidRDefault="00EE53C7" w:rsidP="53F0BCD5">
      <w:r w:rsidRPr="53F0BCD5">
        <w:t>Both the natural and engineered environment are reservoirs of antibiotic resistance elements, including antibiotic-resistant bacteria (ARB), antibiotic resistance genes (ARGs), and other genetic determinants (e.g., </w:t>
      </w:r>
      <w:proofErr w:type="spellStart"/>
      <w:r w:rsidRPr="53F0BCD5">
        <w:t>integrons</w:t>
      </w:r>
      <w:proofErr w:type="spellEnd"/>
      <w:r w:rsidRPr="53F0BCD5">
        <w:t>, transposons, and plasmids) (</w:t>
      </w:r>
      <w:r w:rsidRPr="00297838">
        <w:t>He et al. 2021</w:t>
      </w:r>
      <w:r w:rsidRPr="53F0BCD5">
        <w:t>; </w:t>
      </w:r>
      <w:r w:rsidRPr="00297838">
        <w:t>Pruden et al. 2018</w:t>
      </w:r>
      <w:r w:rsidRPr="53F0BCD5">
        <w:t>). The occurrence of antibiotic resistance in the environment is a natural phenomenon (</w:t>
      </w:r>
      <w:r w:rsidRPr="00297838">
        <w:t>D’Costa et al. 2011</w:t>
      </w:r>
      <w:r w:rsidRPr="53F0BCD5">
        <w:t>), yet human activity, specifically the mishandling of antibiotics and the discharge of effluents carrying resistance elements, is drastically intensifying the spread of antibiotic resistance (</w:t>
      </w:r>
      <w:r w:rsidRPr="00297838">
        <w:t>Finley et al. 2013</w:t>
      </w:r>
      <w:r w:rsidRPr="53F0BCD5">
        <w:t>; </w:t>
      </w:r>
      <w:r w:rsidRPr="00297838">
        <w:t>Kumar and Pal 2018</w:t>
      </w:r>
      <w:r w:rsidRPr="53F0BCD5">
        <w:t xml:space="preserve">). Environmental disturbances originating from anthropogenic influence have impacted microbial ecology in several ways, including the amplification and diversification of the environmental </w:t>
      </w:r>
      <w:proofErr w:type="spellStart"/>
      <w:r w:rsidRPr="53F0BCD5">
        <w:t>resistome</w:t>
      </w:r>
      <w:proofErr w:type="spellEnd"/>
      <w:r w:rsidRPr="53F0BCD5">
        <w:t>, an increase in the abundance and distribution of ARGs, and the emergence of novel resistance elements (</w:t>
      </w:r>
      <w:r w:rsidRPr="00297838">
        <w:t>Finley et al. 2013</w:t>
      </w:r>
      <w:r w:rsidRPr="53F0BCD5">
        <w:t>; </w:t>
      </w:r>
      <w:r w:rsidRPr="00297838">
        <w:t>Surette and Wright 2017</w:t>
      </w:r>
      <w:r w:rsidRPr="53F0BCD5">
        <w:t>). The proliferation of ARGs is facilitated primarily through horizontal gene transfer, of which three mechanisms have been identified: (1) conjugation, (2) transduction, and (3) transformation (</w:t>
      </w:r>
      <w:r w:rsidRPr="00297838">
        <w:t>Levy 1989</w:t>
      </w:r>
      <w:r w:rsidRPr="53F0BCD5">
        <w:t>; </w:t>
      </w:r>
      <w:r w:rsidRPr="00297838">
        <w:t xml:space="preserve">Von </w:t>
      </w:r>
      <w:proofErr w:type="spellStart"/>
      <w:r w:rsidRPr="00297838">
        <w:t>Wintersdorff</w:t>
      </w:r>
      <w:proofErr w:type="spellEnd"/>
      <w:r w:rsidRPr="00297838">
        <w:t xml:space="preserve"> et al. 2016</w:t>
      </w:r>
      <w:r w:rsidRPr="53F0BCD5">
        <w:t>). Transformation, specifically, is the uptake, integration, and functional expression of extracellular DNA (eDNA) by competent bacterial cells (</w:t>
      </w:r>
      <w:r w:rsidRPr="00297838">
        <w:t>Thomas and Nielsen 2005</w:t>
      </w:r>
      <w:r w:rsidRPr="53F0BCD5">
        <w:t>). eDNA can originate in the environment indirectly from input sources containing eDNA, or directly from the extrusion of intracellular DNA (</w:t>
      </w:r>
      <w:proofErr w:type="spellStart"/>
      <w:r w:rsidRPr="53F0BCD5">
        <w:t>iDNA</w:t>
      </w:r>
      <w:proofErr w:type="spellEnd"/>
      <w:r w:rsidRPr="53F0BCD5">
        <w:t xml:space="preserve">) from microbial cells or passive release </w:t>
      </w:r>
      <w:proofErr w:type="gramStart"/>
      <w:r w:rsidRPr="53F0BCD5">
        <w:t>as a result of</w:t>
      </w:r>
      <w:proofErr w:type="gramEnd"/>
      <w:r w:rsidRPr="53F0BCD5">
        <w:t xml:space="preserve"> cell lysis (</w:t>
      </w:r>
      <w:proofErr w:type="spellStart"/>
      <w:r w:rsidRPr="00297838">
        <w:rPr>
          <w:sz w:val="24"/>
          <w:szCs w:val="24"/>
        </w:rPr>
        <w:t>Nagler</w:t>
      </w:r>
      <w:proofErr w:type="spellEnd"/>
      <w:r w:rsidRPr="00297838">
        <w:rPr>
          <w:sz w:val="24"/>
          <w:szCs w:val="24"/>
        </w:rPr>
        <w:t xml:space="preserve"> et al. 2018</w:t>
      </w:r>
      <w:r w:rsidRPr="53F0BCD5">
        <w:t>; </w:t>
      </w:r>
      <w:r w:rsidRPr="00297838">
        <w:t>Nielsen et al. 2007</w:t>
      </w:r>
      <w:r w:rsidRPr="53F0BCD5">
        <w:t>). In the environment, eDNA can act as a nutrient and energy source (</w:t>
      </w:r>
      <w:proofErr w:type="spellStart"/>
      <w:r w:rsidRPr="00297838">
        <w:rPr>
          <w:sz w:val="24"/>
          <w:szCs w:val="24"/>
        </w:rPr>
        <w:t>Johnsborg</w:t>
      </w:r>
      <w:proofErr w:type="spellEnd"/>
      <w:r w:rsidRPr="00297838">
        <w:rPr>
          <w:sz w:val="24"/>
          <w:szCs w:val="24"/>
        </w:rPr>
        <w:t xml:space="preserve"> et al. 2007</w:t>
      </w:r>
      <w:r w:rsidRPr="53F0BCD5">
        <w:t>), serve in the formation of biofilms (</w:t>
      </w:r>
      <w:proofErr w:type="spellStart"/>
      <w:r w:rsidRPr="00297838">
        <w:rPr>
          <w:sz w:val="24"/>
          <w:szCs w:val="24"/>
        </w:rPr>
        <w:t>Jakubovics</w:t>
      </w:r>
      <w:proofErr w:type="spellEnd"/>
      <w:r w:rsidRPr="00297838">
        <w:rPr>
          <w:sz w:val="24"/>
          <w:szCs w:val="24"/>
        </w:rPr>
        <w:t xml:space="preserve"> et al. 2013</w:t>
      </w:r>
      <w:r w:rsidRPr="53F0BCD5">
        <w:t>; </w:t>
      </w:r>
      <w:proofErr w:type="spellStart"/>
      <w:r w:rsidRPr="00297838">
        <w:rPr>
          <w:sz w:val="24"/>
          <w:szCs w:val="24"/>
        </w:rPr>
        <w:t>Nagler</w:t>
      </w:r>
      <w:proofErr w:type="spellEnd"/>
      <w:r w:rsidRPr="00297838">
        <w:rPr>
          <w:sz w:val="24"/>
          <w:szCs w:val="24"/>
        </w:rPr>
        <w:t xml:space="preserve"> et al. 2018</w:t>
      </w:r>
      <w:r w:rsidRPr="53F0BCD5">
        <w:t>), and is a source of genetic material for microbes to acquire by gene transformation (</w:t>
      </w:r>
      <w:r w:rsidRPr="00297838">
        <w:t>Nielsen et al. 2007</w:t>
      </w:r>
      <w:r w:rsidRPr="53F0BCD5">
        <w:t xml:space="preserve">). The dynamic pool of extracellular genetic elements found in the environment ranges from </w:t>
      </w:r>
      <w:proofErr w:type="spellStart"/>
      <w:r w:rsidRPr="53F0BCD5">
        <w:t>integrons</w:t>
      </w:r>
      <w:proofErr w:type="spellEnd"/>
      <w:r w:rsidRPr="53F0BCD5">
        <w:t>, transposons, and gene cassettes to eARGs present as chromosomal or plasmid eDNA fragments (</w:t>
      </w:r>
      <w:r w:rsidRPr="00297838">
        <w:t>Barnes et al. 2014</w:t>
      </w:r>
      <w:r w:rsidRPr="53F0BCD5">
        <w:t>). Such genetic material has the potential to host various resistance determinants and be integrated via transformation into competent bacteria, thereby enriching the cell with resistance mechanisms (</w:t>
      </w:r>
      <w:r w:rsidRPr="00297838">
        <w:t>Dong et al. 2019</w:t>
      </w:r>
      <w:r w:rsidRPr="53F0BCD5">
        <w:t>; </w:t>
      </w:r>
      <w:r w:rsidRPr="00297838">
        <w:t>Lu et al. 2010</w:t>
      </w:r>
      <w:r w:rsidRPr="53F0BCD5">
        <w:t>; </w:t>
      </w:r>
      <w:r w:rsidRPr="00297838">
        <w:t>Mao et al. 2014</w:t>
      </w:r>
      <w:r w:rsidRPr="53F0BCD5">
        <w:t>).</w:t>
      </w:r>
    </w:p>
    <w:p w14:paraId="0E793A8C" w14:textId="5659A4A8" w:rsidR="00EE53C7" w:rsidRPr="00EE53C7" w:rsidRDefault="00EE53C7" w:rsidP="53F0BCD5">
      <w:r w:rsidRPr="53F0BCD5">
        <w:t xml:space="preserve">eDNA can represent a relevant fraction of the total DNA </w:t>
      </w:r>
      <w:proofErr w:type="gramStart"/>
      <w:r w:rsidRPr="53F0BCD5">
        <w:t>in a given</w:t>
      </w:r>
      <w:proofErr w:type="gramEnd"/>
      <w:r w:rsidRPr="53F0BCD5">
        <w:t xml:space="preserve"> environment, and it differs comparatively from </w:t>
      </w:r>
      <w:proofErr w:type="spellStart"/>
      <w:r w:rsidRPr="53F0BCD5">
        <w:t>iDNA</w:t>
      </w:r>
      <w:proofErr w:type="spellEnd"/>
      <w:r w:rsidRPr="53F0BCD5">
        <w:t xml:space="preserve"> in its fate, stability, and transport (</w:t>
      </w:r>
      <w:r w:rsidRPr="00297838">
        <w:t>Mao et al. 2014</w:t>
      </w:r>
      <w:r w:rsidRPr="53F0BCD5">
        <w:t>; </w:t>
      </w:r>
      <w:proofErr w:type="spellStart"/>
      <w:r w:rsidRPr="00297838">
        <w:rPr>
          <w:sz w:val="24"/>
          <w:szCs w:val="24"/>
        </w:rPr>
        <w:t>Pietramellara</w:t>
      </w:r>
      <w:proofErr w:type="spellEnd"/>
      <w:r w:rsidRPr="00297838">
        <w:rPr>
          <w:sz w:val="24"/>
          <w:szCs w:val="24"/>
        </w:rPr>
        <w:t xml:space="preserve"> et al. 2009</w:t>
      </w:r>
      <w:r w:rsidRPr="53F0BCD5">
        <w:t>; </w:t>
      </w:r>
      <w:proofErr w:type="spellStart"/>
      <w:r w:rsidRPr="00297838">
        <w:rPr>
          <w:sz w:val="24"/>
          <w:szCs w:val="24"/>
        </w:rPr>
        <w:t>Zarei-Baygi</w:t>
      </w:r>
      <w:proofErr w:type="spellEnd"/>
      <w:r w:rsidRPr="00297838">
        <w:rPr>
          <w:sz w:val="24"/>
          <w:szCs w:val="24"/>
        </w:rPr>
        <w:t xml:space="preserve"> and Smith 2021</w:t>
      </w:r>
      <w:r w:rsidRPr="53F0BCD5">
        <w:t>). Numerous studies have evaluated the persistence of eDNA and found that it can range from a few days to years, while demonstrating that the fate of eDNA is specific to the conditions of its environment (</w:t>
      </w:r>
      <w:r w:rsidRPr="00297838">
        <w:t>Barnes et al. 2014</w:t>
      </w:r>
      <w:r w:rsidRPr="53F0BCD5">
        <w:t>; </w:t>
      </w:r>
      <w:r w:rsidRPr="00297838">
        <w:t>Levy-booth et al. 2007</w:t>
      </w:r>
      <w:r w:rsidRPr="53F0BCD5">
        <w:t>; </w:t>
      </w:r>
      <w:r w:rsidRPr="00297838">
        <w:t>Mao et al. 2014</w:t>
      </w:r>
      <w:r w:rsidRPr="53F0BCD5">
        <w:t>; </w:t>
      </w:r>
      <w:r w:rsidRPr="00297838">
        <w:t>Nielsen et al. 2007</w:t>
      </w:r>
      <w:r w:rsidRPr="53F0BCD5">
        <w:t>; </w:t>
      </w:r>
      <w:r w:rsidRPr="00297838">
        <w:t>Zhu 2006</w:t>
      </w:r>
      <w:r w:rsidRPr="53F0BCD5">
        <w:t xml:space="preserve">). Notably, the adhesion with clay minerals, sand, </w:t>
      </w:r>
      <w:proofErr w:type="spellStart"/>
      <w:r w:rsidRPr="53F0BCD5">
        <w:t>humic</w:t>
      </w:r>
      <w:proofErr w:type="spellEnd"/>
      <w:r w:rsidRPr="53F0BCD5">
        <w:t xml:space="preserve"> substances, and other organic molecules has been shown to protect and stabilize eDNA (</w:t>
      </w:r>
      <w:proofErr w:type="spellStart"/>
      <w:r w:rsidRPr="00297838">
        <w:rPr>
          <w:sz w:val="24"/>
          <w:szCs w:val="24"/>
        </w:rPr>
        <w:t>Corinaldesi</w:t>
      </w:r>
      <w:proofErr w:type="spellEnd"/>
      <w:r w:rsidRPr="00297838">
        <w:rPr>
          <w:sz w:val="24"/>
          <w:szCs w:val="24"/>
        </w:rPr>
        <w:t xml:space="preserve"> et al. 2005</w:t>
      </w:r>
      <w:r w:rsidRPr="53F0BCD5">
        <w:t>; </w:t>
      </w:r>
      <w:r w:rsidRPr="00297838">
        <w:t>Mao et al. 2014</w:t>
      </w:r>
      <w:r w:rsidRPr="53F0BCD5">
        <w:t>). Adsorption protects eDNA from nuclease-mediated enzymatic hydrolyzation, specifically by DNase enzymes (</w:t>
      </w:r>
      <w:r w:rsidRPr="00297838">
        <w:t>Levy-booth et al. 2007</w:t>
      </w:r>
      <w:r w:rsidRPr="53F0BCD5">
        <w:t xml:space="preserve">). As a result, soil environments have been </w:t>
      </w:r>
      <w:r w:rsidRPr="53F0BCD5">
        <w:lastRenderedPageBreak/>
        <w:t>reported to harbor the largest fractions of eDNA (</w:t>
      </w:r>
      <w:r w:rsidRPr="00297838">
        <w:t>Dong et al. 2019</w:t>
      </w:r>
      <w:r w:rsidRPr="53F0BCD5">
        <w:t>; </w:t>
      </w:r>
      <w:r w:rsidRPr="00297838">
        <w:t>Mao et al. 2014</w:t>
      </w:r>
      <w:r w:rsidRPr="53F0BCD5">
        <w:t>; </w:t>
      </w:r>
      <w:proofErr w:type="spellStart"/>
      <w:r w:rsidRPr="00297838">
        <w:rPr>
          <w:sz w:val="24"/>
          <w:szCs w:val="24"/>
        </w:rPr>
        <w:t>Pietramellara</w:t>
      </w:r>
      <w:proofErr w:type="spellEnd"/>
      <w:r w:rsidRPr="00297838">
        <w:rPr>
          <w:sz w:val="24"/>
          <w:szCs w:val="24"/>
        </w:rPr>
        <w:t xml:space="preserve"> et al. 2009</w:t>
      </w:r>
      <w:r w:rsidRPr="53F0BCD5">
        <w:t>; </w:t>
      </w:r>
      <w:r w:rsidRPr="00297838">
        <w:t>Zhao et al. 2020</w:t>
      </w:r>
      <w:r w:rsidRPr="53F0BCD5">
        <w:t>).</w:t>
      </w:r>
    </w:p>
    <w:p w14:paraId="5BC7D28B" w14:textId="66C853B9" w:rsidR="00EE53C7" w:rsidRPr="00EE53C7" w:rsidRDefault="00EE53C7" w:rsidP="53F0BCD5">
      <w:r w:rsidRPr="53F0BCD5">
        <w:t>The eDNA adsorbed to soil particles, as well as eDNA floating in the water column, remains bioavailable for transformation, the rate of which can be comparable to that of conjugation in certain environments (</w:t>
      </w:r>
      <w:proofErr w:type="spellStart"/>
      <w:r w:rsidRPr="00297838">
        <w:rPr>
          <w:sz w:val="24"/>
          <w:szCs w:val="24"/>
        </w:rPr>
        <w:t>Zarei-Baygi</w:t>
      </w:r>
      <w:proofErr w:type="spellEnd"/>
      <w:r w:rsidRPr="00297838">
        <w:rPr>
          <w:sz w:val="24"/>
          <w:szCs w:val="24"/>
        </w:rPr>
        <w:t xml:space="preserve"> and Smith 2021</w:t>
      </w:r>
      <w:r w:rsidRPr="53F0BCD5">
        <w:t>). Moreover, transformation has a broad capacity for the exchange of resistance determinants efficiently between phylogenetically distant species (</w:t>
      </w:r>
      <w:proofErr w:type="spellStart"/>
      <w:r w:rsidRPr="00297838">
        <w:rPr>
          <w:sz w:val="24"/>
          <w:szCs w:val="24"/>
        </w:rPr>
        <w:t>Domingues</w:t>
      </w:r>
      <w:proofErr w:type="spellEnd"/>
      <w:r w:rsidRPr="00297838">
        <w:rPr>
          <w:sz w:val="24"/>
          <w:szCs w:val="24"/>
        </w:rPr>
        <w:t xml:space="preserve"> et al. 2012</w:t>
      </w:r>
      <w:r w:rsidRPr="53F0BCD5">
        <w:t>; </w:t>
      </w:r>
      <w:r w:rsidRPr="00297838">
        <w:t>Lu et al. 2020</w:t>
      </w:r>
      <w:r w:rsidRPr="53F0BCD5">
        <w:t>; </w:t>
      </w:r>
      <w:r w:rsidRPr="00297838">
        <w:t>Mantilla-Calderon et al. 2019</w:t>
      </w:r>
      <w:r w:rsidRPr="53F0BCD5">
        <w:t>; </w:t>
      </w:r>
      <w:r w:rsidRPr="00297838">
        <w:t xml:space="preserve">Von </w:t>
      </w:r>
      <w:proofErr w:type="spellStart"/>
      <w:r w:rsidRPr="00297838">
        <w:t>Wintersdorff</w:t>
      </w:r>
      <w:proofErr w:type="spellEnd"/>
      <w:r w:rsidRPr="00297838">
        <w:t xml:space="preserve"> et al. 2016</w:t>
      </w:r>
      <w:r w:rsidRPr="53F0BCD5">
        <w:t>). Consequently, eARGs are at risk of being assimilated by pathogens of clinical relevance (</w:t>
      </w:r>
      <w:proofErr w:type="spellStart"/>
      <w:r w:rsidRPr="00297838">
        <w:rPr>
          <w:sz w:val="24"/>
          <w:szCs w:val="24"/>
        </w:rPr>
        <w:t>Chancey</w:t>
      </w:r>
      <w:proofErr w:type="spellEnd"/>
      <w:r w:rsidRPr="00297838">
        <w:rPr>
          <w:sz w:val="24"/>
          <w:szCs w:val="24"/>
        </w:rPr>
        <w:t xml:space="preserve"> et al. 2015</w:t>
      </w:r>
      <w:r w:rsidRPr="53F0BCD5">
        <w:t>; </w:t>
      </w:r>
      <w:r w:rsidRPr="00297838">
        <w:t xml:space="preserve">Von </w:t>
      </w:r>
      <w:proofErr w:type="spellStart"/>
      <w:r w:rsidRPr="00297838">
        <w:t>Wintersdorff</w:t>
      </w:r>
      <w:proofErr w:type="spellEnd"/>
      <w:r w:rsidRPr="00297838">
        <w:t xml:space="preserve"> et al. 2016</w:t>
      </w:r>
      <w:r w:rsidRPr="53F0BCD5">
        <w:t>) and thus could play a critical role in the proliferation of antibiotic resistance.</w:t>
      </w:r>
    </w:p>
    <w:p w14:paraId="1BE4F57E" w14:textId="2BA6F795" w:rsidR="00EE53C7" w:rsidRPr="00EE53C7" w:rsidRDefault="00EE53C7" w:rsidP="53F0BCD5">
      <w:r w:rsidRPr="53F0BCD5">
        <w:t>Despite the potentially significant role of eARGs in the propagation of antibiotic resistance, their abundance in aquatic environments has not been well characterized. This gap exists in part due to the small size and low concentrations of eARGs in aquatic environments (</w:t>
      </w:r>
      <w:r w:rsidRPr="00297838">
        <w:t>Liu et al. 2020</w:t>
      </w:r>
      <w:r w:rsidRPr="53F0BCD5">
        <w:t>; </w:t>
      </w:r>
      <w:proofErr w:type="spellStart"/>
      <w:r w:rsidRPr="00297838">
        <w:rPr>
          <w:sz w:val="24"/>
          <w:szCs w:val="24"/>
        </w:rPr>
        <w:t>Zarei-Baygi</w:t>
      </w:r>
      <w:proofErr w:type="spellEnd"/>
      <w:r w:rsidRPr="00297838">
        <w:rPr>
          <w:sz w:val="24"/>
          <w:szCs w:val="24"/>
        </w:rPr>
        <w:t xml:space="preserve"> and Smith 2021</w:t>
      </w:r>
      <w:r w:rsidRPr="53F0BCD5">
        <w:t>), leading to variable extraction methods targeting different environmental waters. Chemical precipitation methods have been widely and successfully applied for the extraction of eARGs from sediment and sludge (</w:t>
      </w:r>
      <w:proofErr w:type="spellStart"/>
      <w:r w:rsidRPr="00297838">
        <w:rPr>
          <w:sz w:val="24"/>
          <w:szCs w:val="24"/>
        </w:rPr>
        <w:t>Corinaldesi</w:t>
      </w:r>
      <w:proofErr w:type="spellEnd"/>
      <w:r w:rsidRPr="00297838">
        <w:rPr>
          <w:sz w:val="24"/>
          <w:szCs w:val="24"/>
        </w:rPr>
        <w:t xml:space="preserve"> et al. 2005</w:t>
      </w:r>
      <w:r w:rsidRPr="53F0BCD5">
        <w:t>; </w:t>
      </w:r>
      <w:r w:rsidRPr="00297838">
        <w:t>Dong et al. 2019</w:t>
      </w:r>
      <w:r w:rsidRPr="53F0BCD5">
        <w:t>; </w:t>
      </w:r>
      <w:r w:rsidRPr="00297838">
        <w:t>Mao et al. 2014</w:t>
      </w:r>
      <w:r w:rsidRPr="53F0BCD5">
        <w:t>; </w:t>
      </w:r>
      <w:r w:rsidRPr="00297838">
        <w:t>Sui et al. 2019</w:t>
      </w:r>
      <w:r w:rsidRPr="53F0BCD5">
        <w:t>; </w:t>
      </w:r>
      <w:r w:rsidRPr="00297838">
        <w:t>Zhang et al. 2013</w:t>
      </w:r>
      <w:r w:rsidRPr="53F0BCD5">
        <w:t>; </w:t>
      </w:r>
      <w:r w:rsidRPr="00297838">
        <w:t>Zhao et al. 2020</w:t>
      </w:r>
      <w:r w:rsidRPr="53F0BCD5">
        <w:t>; </w:t>
      </w:r>
      <w:r w:rsidRPr="00297838">
        <w:t>Zhou et al. 2019</w:t>
      </w:r>
      <w:r w:rsidRPr="53F0BCD5">
        <w:t>) but scarcely utilized for the extraction of eARGs from aquatic environments (</w:t>
      </w:r>
      <w:r w:rsidRPr="00297838">
        <w:t>Mao et al. 2014</w:t>
      </w:r>
      <w:r w:rsidRPr="53F0BCD5">
        <w:t>; </w:t>
      </w:r>
      <w:r w:rsidRPr="00297838">
        <w:t>Zhang et al. 2018</w:t>
      </w:r>
      <w:r w:rsidRPr="53F0BCD5">
        <w:t xml:space="preserve">). In the instances in which precipitation was used, aquatic environments of higher </w:t>
      </w:r>
      <w:proofErr w:type="spellStart"/>
      <w:r w:rsidRPr="53F0BCD5">
        <w:t>eARG</w:t>
      </w:r>
      <w:proofErr w:type="spellEnd"/>
      <w:r w:rsidRPr="53F0BCD5">
        <w:t xml:space="preserve"> concentrations were the focus, thus keeping sample volumes and chemical requirements low. Precipitation methods, however, are difficult to apply across aquatic environments of variable </w:t>
      </w:r>
      <w:proofErr w:type="spellStart"/>
      <w:r w:rsidRPr="53F0BCD5">
        <w:t>eARG</w:t>
      </w:r>
      <w:proofErr w:type="spellEnd"/>
      <w:r w:rsidRPr="53F0BCD5">
        <w:t xml:space="preserve"> concentrations.</w:t>
      </w:r>
    </w:p>
    <w:p w14:paraId="39AA91D4" w14:textId="07CA644E" w:rsidR="00EE53C7" w:rsidRPr="00EE53C7" w:rsidRDefault="00EE53C7" w:rsidP="53F0BCD5">
      <w:r w:rsidRPr="53F0BCD5">
        <w:t>Additional methods that have recently emerged have utilized hydroxyl magnetic beads (</w:t>
      </w:r>
      <w:r w:rsidRPr="00297838">
        <w:t>Yuan et al. 2019</w:t>
      </w:r>
      <w:r w:rsidRPr="53F0BCD5">
        <w:t>) and consecutive ultrafiltration with silica adsorption (</w:t>
      </w:r>
      <w:r w:rsidRPr="00297838">
        <w:t>Liu et al. 2020</w:t>
      </w:r>
      <w:r w:rsidRPr="53F0BCD5">
        <w:t>) for the extraction of eARGs from environmental waters. The use of magnetic beads for the extraction of eARGs has only been applied to small-volume (2–5 mL) wastewater samples and was developed and optimized based on the recovery of eDNA (16S rDNA gene) only, from which the recovery efficiency was 85.3%. Liu et al. (</w:t>
      </w:r>
      <w:r w:rsidRPr="00297838">
        <w:t>2020</w:t>
      </w:r>
      <w:r w:rsidRPr="53F0BCD5">
        <w:t>), however, showed that recovery of extracellular genes is highly dependent on gene length. The consecutive ultrafiltration with a silica adsorption method was only able to achieve 38.8% and 44.5% recovery of the </w:t>
      </w:r>
      <m:oMath>
        <m:r>
          <w:rPr>
            <w:rFonts w:ascii="Cambria Math" w:hAnsi="Cambria Math"/>
          </w:rPr>
          <m:t>bl</m:t>
        </m:r>
        <m:sSub>
          <m:sSubPr>
            <m:ctrlPr>
              <w:rPr>
                <w:rFonts w:ascii="Cambria Math" w:hAnsi="Cambria Math"/>
              </w:rPr>
            </m:ctrlPr>
          </m:sSubPr>
          <m:e>
            <m:r>
              <w:rPr>
                <w:rFonts w:ascii="Cambria Math" w:hAnsi="Cambria Math"/>
              </w:rPr>
              <m:t>a</m:t>
            </m:r>
          </m:e>
          <m:sub>
            <m:r>
              <m:rPr>
                <m:sty m:val="p"/>
              </m:rPr>
              <w:rPr>
                <w:rFonts w:ascii="Cambria Math" w:hAnsi="Cambria Math"/>
              </w:rPr>
              <m:t>TEM</m:t>
            </m:r>
          </m:sub>
        </m:sSub>
      </m:oMath>
      <w:r w:rsidRPr="53F0BCD5">
        <w:t> (1,043 bp) and </w:t>
      </w:r>
      <m:oMath>
        <m:r>
          <w:rPr>
            <w:rFonts w:ascii="Cambria Math" w:hAnsi="Cambria Math"/>
          </w:rPr>
          <m:t>tet</m:t>
        </m:r>
        <m:r>
          <m:rPr>
            <m:sty m:val="p"/>
          </m:rPr>
          <w:rPr>
            <w:rFonts w:ascii="Cambria Math" w:hAnsi="Cambria Math"/>
          </w:rPr>
          <m:t>A</m:t>
        </m:r>
      </m:oMath>
      <w:r w:rsidRPr="53F0BCD5">
        <w:t> (472 bp) eARGs, respectively, compared to the 62.2% recovery of the 16S rRNA gene (approximately 10,000 bp) (</w:t>
      </w:r>
      <w:r w:rsidRPr="00297838">
        <w:t>Liu et al. 2020</w:t>
      </w:r>
      <w:r w:rsidRPr="53F0BCD5">
        <w:t>). An adsorption-elution method developed by Wang et al. (</w:t>
      </w:r>
      <w:r w:rsidRPr="00297838">
        <w:t>2016</w:t>
      </w:r>
      <w:r w:rsidRPr="53F0BCD5">
        <w:t>) was optimized based on the recovery of eARGs from synthetic and environmental waters and was able to achieve greater than 90% recovery. This method has been further applied for the extraction of eARGs from wastewater effluent, tap water, and the effluent of a bench-scale anaerobic membrane bioreactor cotreating domestic wastewater and a manure slurry in Liu et al. (</w:t>
      </w:r>
      <w:r w:rsidRPr="00297838">
        <w:t>2018</w:t>
      </w:r>
      <w:r w:rsidRPr="53F0BCD5">
        <w:t>), Hao et al. (</w:t>
      </w:r>
      <w:r w:rsidRPr="00297838">
        <w:t>2019</w:t>
      </w:r>
      <w:r w:rsidRPr="53F0BCD5">
        <w:t>), and Lou et al. (</w:t>
      </w:r>
      <w:r w:rsidRPr="00297838">
        <w:t>2020</w:t>
      </w:r>
      <w:r w:rsidRPr="53F0BCD5">
        <w:t>), respectively. The method established by Wang et al. (</w:t>
      </w:r>
      <w:r w:rsidRPr="00297838">
        <w:t>2016</w:t>
      </w:r>
      <w:r w:rsidRPr="53F0BCD5">
        <w:t>), however, was not developed to extract both eARGs and iARGs from an environmental water sample. In addition, subsequent studies utilizing this method did not use consistent techniques for either the separation of iARGs from eARGs or the extraction of eARGs following concentration. Moreover, no study has evaluated this method’s ability to simultaneously extract eARGs and iARGs from multiple aquatic environments of varying ARG concentrations. To fill the research gap concerning the role of eARGs relative to iARGs in aquatic environments, a reliable method must be applicable to diverse water samples.</w:t>
      </w:r>
    </w:p>
    <w:p w14:paraId="5FA94E8D" w14:textId="31191EA0" w:rsidR="00EE53C7" w:rsidRPr="00EE53C7" w:rsidRDefault="00EE53C7" w:rsidP="53F0BCD5">
      <w:r w:rsidRPr="53F0BCD5">
        <w:t>The fate of eARGs relative to iARGs is important to understand for characterizing the threat and extent of antibiotic resistance originating from different environments. Therefore, the objectives of this study were to (1) adapt a previously developed method (</w:t>
      </w:r>
      <w:r w:rsidRPr="00297838">
        <w:t>Wang et al. 2016</w:t>
      </w:r>
      <w:r w:rsidRPr="53F0BCD5">
        <w:t xml:space="preserve">) for the simultaneous extraction of eARGs and iARGs from the same water sample; and (2) verify that the method can quantify the fraction of eARGs and iARGs in different aquatic environments of varying ARG concentrations, including tap water, wastewater effluent, river surface water, lake surface water, and stormwater. The abundances of four ARGs, the Class 1 </w:t>
      </w:r>
      <w:proofErr w:type="spellStart"/>
      <w:r w:rsidRPr="53F0BCD5">
        <w:t>integron</w:t>
      </w:r>
      <w:proofErr w:type="spellEnd"/>
      <w:r w:rsidRPr="53F0BCD5">
        <w:t>, </w:t>
      </w:r>
      <m:oMath>
        <m:r>
          <w:rPr>
            <w:rFonts w:ascii="Cambria Math" w:hAnsi="Cambria Math"/>
          </w:rPr>
          <m:t>intI1</m:t>
        </m:r>
      </m:oMath>
      <w:r w:rsidRPr="53F0BCD5">
        <w:t>, and the 16S rRNA gene in both extracellular and intracellular DNA were quantified via droplet digital polymerase chain reaction (ddPCR) from environmental samples.</w:t>
      </w:r>
    </w:p>
    <w:p w14:paraId="7D375D92" w14:textId="77777777" w:rsidR="00EE53C7" w:rsidRPr="00EE53C7" w:rsidRDefault="00EE53C7" w:rsidP="53F0BCD5">
      <w:pPr>
        <w:pStyle w:val="Heading1"/>
        <w:rPr>
          <w:rFonts w:ascii="Calibri Light" w:eastAsia="MS Gothic" w:hAnsi="Calibri Light" w:cs="Times New Roman"/>
          <w:b/>
          <w:bCs/>
        </w:rPr>
      </w:pPr>
      <w:r>
        <w:t>Materials and Methods</w:t>
      </w:r>
    </w:p>
    <w:p w14:paraId="500DAEE3" w14:textId="77777777" w:rsidR="00EE53C7" w:rsidRPr="00EE53C7" w:rsidRDefault="00EE53C7" w:rsidP="53F0BCD5">
      <w:pPr>
        <w:pStyle w:val="Heading2"/>
        <w:rPr>
          <w:rFonts w:ascii="Calibri Light" w:eastAsia="MS Gothic" w:hAnsi="Calibri Light" w:cs="Times New Roman"/>
        </w:rPr>
      </w:pPr>
      <w:r>
        <w:t>Extracellular DNA Extraction</w:t>
      </w:r>
    </w:p>
    <w:p w14:paraId="37FB1641" w14:textId="02E36806" w:rsidR="00EE53C7" w:rsidRPr="00EE53C7" w:rsidRDefault="00EE53C7" w:rsidP="53F0BCD5">
      <w:r w:rsidRPr="53F0BCD5">
        <w:t>The eDNA extraction method utilized in this study was adapted from a previously described method (</w:t>
      </w:r>
      <w:r w:rsidRPr="00297838">
        <w:t>Wang et al. 2016</w:t>
      </w:r>
      <w:r w:rsidRPr="53F0BCD5">
        <w:t>). Nucleic acid adsorption particles (NAAPs), aluminum hydroxide–coated silica gel, were first produced according to Wang et al. (</w:t>
      </w:r>
      <w:r w:rsidRPr="00297838">
        <w:t>2016</w:t>
      </w:r>
      <w:r w:rsidRPr="53F0BCD5">
        <w:t>). The modified laboratory extraction procedure is depicted in Fig. </w:t>
      </w:r>
      <w:r w:rsidRPr="00297838">
        <w:t>1</w:t>
      </w:r>
      <w:r w:rsidRPr="53F0BCD5">
        <w:t xml:space="preserve">. Step 1, i.e., separation of </w:t>
      </w:r>
      <w:proofErr w:type="spellStart"/>
      <w:r w:rsidRPr="53F0BCD5">
        <w:t>iDNA</w:t>
      </w:r>
      <w:proofErr w:type="spellEnd"/>
      <w:r w:rsidRPr="53F0BCD5">
        <w:t xml:space="preserve"> from eDNA, was specifically added to modify the Wang et al. (</w:t>
      </w:r>
      <w:r w:rsidRPr="00297838">
        <w:t>2016</w:t>
      </w:r>
      <w:r w:rsidRPr="53F0BCD5">
        <w:t xml:space="preserve">) method for </w:t>
      </w:r>
      <w:proofErr w:type="spellStart"/>
      <w:r w:rsidRPr="53F0BCD5">
        <w:t>iDNA</w:t>
      </w:r>
      <w:proofErr w:type="spellEnd"/>
      <w:r w:rsidRPr="53F0BCD5">
        <w:t xml:space="preserve"> and eDNA fractionation. Step 2, concentration of eDNA, and Step 3, extraction via precipitation, were thus modified to only concentrate extracellular material with NAAPs and limit the concentration of material to recover.</w:t>
      </w:r>
    </w:p>
    <w:p w14:paraId="369182A5" w14:textId="1613B7F9" w:rsidR="00EE53C7" w:rsidRPr="00EE53C7" w:rsidRDefault="00EE53C7" w:rsidP="53F0BCD5">
      <w:r w:rsidRPr="53F0BCD5">
        <w:t xml:space="preserve">In detail, the environmental samples were first filtered through a vacuum filtration apparatus using a 0.22-μm Millipore Express Plus hydrophilic </w:t>
      </w:r>
      <w:proofErr w:type="spellStart"/>
      <w:r w:rsidRPr="53F0BCD5">
        <w:t>polyethersulfone</w:t>
      </w:r>
      <w:proofErr w:type="spellEnd"/>
      <w:r w:rsidRPr="53F0BCD5">
        <w:t xml:space="preserve"> (PES) membrane filter (Fisher Scientific, Hampton, New Hampshire) (Fig. </w:t>
      </w:r>
      <w:r w:rsidRPr="00297838">
        <w:t>1</w:t>
      </w:r>
      <w:r w:rsidRPr="53F0BCD5">
        <w:t>, Step 1). A 0.22-μm sized filter is applicable to the capture of intracellular DNA (</w:t>
      </w:r>
      <w:proofErr w:type="spellStart"/>
      <w:r w:rsidRPr="00297838">
        <w:rPr>
          <w:sz w:val="24"/>
          <w:szCs w:val="24"/>
        </w:rPr>
        <w:t>Kaboosi</w:t>
      </w:r>
      <w:proofErr w:type="spellEnd"/>
      <w:r w:rsidRPr="00297838">
        <w:rPr>
          <w:sz w:val="24"/>
          <w:szCs w:val="24"/>
        </w:rPr>
        <w:t xml:space="preserve"> et al. 2010</w:t>
      </w:r>
      <w:r w:rsidRPr="53F0BCD5">
        <w:t>) and has been consistently applied to the extraction of cellular material from environmental waters (</w:t>
      </w:r>
      <w:r w:rsidRPr="00297838">
        <w:t>Chen et al. 2020</w:t>
      </w:r>
      <w:r w:rsidRPr="53F0BCD5">
        <w:t>; </w:t>
      </w:r>
      <w:proofErr w:type="spellStart"/>
      <w:r w:rsidRPr="00297838">
        <w:rPr>
          <w:sz w:val="24"/>
          <w:szCs w:val="24"/>
        </w:rPr>
        <w:t>Corinaldesi</w:t>
      </w:r>
      <w:proofErr w:type="spellEnd"/>
      <w:r w:rsidRPr="00297838">
        <w:rPr>
          <w:sz w:val="24"/>
          <w:szCs w:val="24"/>
        </w:rPr>
        <w:t xml:space="preserve"> et al. 2005</w:t>
      </w:r>
      <w:r w:rsidRPr="53F0BCD5">
        <w:t>; </w:t>
      </w:r>
      <w:r w:rsidRPr="00297838">
        <w:t>Dong et al. 2019</w:t>
      </w:r>
      <w:r w:rsidRPr="53F0BCD5">
        <w:t>; </w:t>
      </w:r>
      <w:r w:rsidRPr="00297838">
        <w:t>Reynolds et al. 2020</w:t>
      </w:r>
      <w:r w:rsidRPr="53F0BCD5">
        <w:t>). Moreover, 0.22-μm PES filters have been reported to recover minimal eDNA, between 4.96% and 5.54%, when spiked at environmental concentrations between </w:t>
      </w:r>
      <m:oMath>
        <m:r>
          <w:rPr>
            <w:rFonts w:ascii="Cambria Math" w:hAnsi="Cambria Math"/>
          </w:rPr>
          <m:t>5×</m:t>
        </m:r>
        <m:sSup>
          <m:sSupPr>
            <m:ctrlPr>
              <w:rPr>
                <w:rFonts w:ascii="Cambria Math" w:hAnsi="Cambria Math"/>
              </w:rPr>
            </m:ctrlPr>
          </m:sSupPr>
          <m:e>
            <m:r>
              <w:rPr>
                <w:rFonts w:ascii="Cambria Math" w:hAnsi="Cambria Math"/>
              </w:rPr>
              <m:t>10</m:t>
            </m:r>
          </m:e>
          <m:sup>
            <m:r>
              <w:rPr>
                <w:rFonts w:ascii="Cambria Math" w:hAnsi="Cambria Math"/>
              </w:rPr>
              <m:t>4</m:t>
            </m:r>
          </m:sup>
        </m:sSup>
      </m:oMath>
      <w:r w:rsidRPr="53F0BCD5">
        <w:t> and </w:t>
      </w:r>
      <m:oMath>
        <m:r>
          <w:rPr>
            <w:rFonts w:ascii="Cambria Math" w:hAnsi="Cambria Math"/>
          </w:rPr>
          <m:t>5×</m:t>
        </m:r>
        <m:sSup>
          <m:sSupPr>
            <m:ctrlPr>
              <w:rPr>
                <w:rFonts w:ascii="Cambria Math" w:hAnsi="Cambria Math"/>
              </w:rPr>
            </m:ctrlPr>
          </m:sSupPr>
          <m:e>
            <m:r>
              <w:rPr>
                <w:rFonts w:ascii="Cambria Math" w:hAnsi="Cambria Math"/>
              </w:rPr>
              <m:t>10</m:t>
            </m:r>
          </m:e>
          <m:sup>
            <m:r>
              <w:rPr>
                <w:rFonts w:ascii="Cambria Math" w:hAnsi="Cambria Math"/>
              </w:rPr>
              <m:t>6</m:t>
            </m:r>
          </m:sup>
        </m:sSup>
        <m:r>
          <m:rPr>
            <m:nor/>
          </m:rPr>
          <m:t>  </m:t>
        </m:r>
        <m:r>
          <m:rPr>
            <m:sty m:val="p"/>
          </m:rPr>
          <w:rPr>
            <w:rFonts w:ascii="Cambria Math" w:hAnsi="Cambria Math"/>
          </w:rPr>
          <m:t>copies</m:t>
        </m:r>
        <m:r>
          <w:rPr>
            <w:rFonts w:ascii="Cambria Math" w:hAnsi="Cambria Math"/>
          </w:rPr>
          <m:t>/</m:t>
        </m:r>
        <m:r>
          <m:rPr>
            <m:sty m:val="p"/>
          </m:rPr>
          <w:rPr>
            <w:rFonts w:ascii="Cambria Math" w:hAnsi="Cambria Math"/>
          </w:rPr>
          <m:t>mL</m:t>
        </m:r>
      </m:oMath>
      <w:r w:rsidRPr="53F0BCD5">
        <w:t> (</w:t>
      </w:r>
      <w:r w:rsidRPr="00297838">
        <w:t>Liang and Keeley 2013</w:t>
      </w:r>
      <w:r w:rsidRPr="53F0BCD5">
        <w:t xml:space="preserve">). Total suspended solids (TSS) as well as organic particles and solution pH were found to be the primary factors influencing eDNA retention. Consequently, a 0.22-μm filter was selected to fractionate </w:t>
      </w:r>
      <w:proofErr w:type="spellStart"/>
      <w:r w:rsidRPr="53F0BCD5">
        <w:t>iDNA</w:t>
      </w:r>
      <w:proofErr w:type="spellEnd"/>
      <w:r w:rsidRPr="53F0BCD5">
        <w:t xml:space="preserve"> from eDNA in the environmental samples. The filter, thus, represents the fraction of DNA contained within a cell as well as the minimal eDNA adsorbed to a cell or solid and captured on a filter. The filtrate represents the cell-free fraction of DNA and the small number of intact cells that pass through a 0.22-μm filter. The filter was utilized for </w:t>
      </w:r>
      <w:proofErr w:type="spellStart"/>
      <w:r w:rsidRPr="53F0BCD5">
        <w:t>iDNA</w:t>
      </w:r>
      <w:proofErr w:type="spellEnd"/>
      <w:r w:rsidRPr="53F0BCD5">
        <w:t xml:space="preserve"> extraction (see the section “Intracellular DNA Extraction”), and the filtrate was collected for eDNA extraction.</w:t>
      </w:r>
    </w:p>
    <w:p w14:paraId="074DD547" w14:textId="1DC7259A" w:rsidR="00EE53C7" w:rsidRPr="00EE53C7" w:rsidRDefault="00EE53C7" w:rsidP="53F0BCD5">
      <w:r w:rsidRPr="53F0BCD5">
        <w:t>To concentrate eDNA present within the filtrate, a glass column (</w:t>
      </w:r>
      <m:oMath>
        <m:r>
          <w:rPr>
            <w:rFonts w:ascii="Cambria Math" w:hAnsi="Cambria Math"/>
          </w:rPr>
          <m:t>1.5×50</m:t>
        </m:r>
        <m:r>
          <m:rPr>
            <m:nor/>
          </m:rPr>
          <m:t>  </m:t>
        </m:r>
        <m:r>
          <m:rPr>
            <m:sty m:val="p"/>
          </m:rPr>
          <w:rPr>
            <w:rFonts w:ascii="Cambria Math" w:hAnsi="Cambria Math"/>
          </w:rPr>
          <m:t>cm</m:t>
        </m:r>
      </m:oMath>
      <w:r w:rsidRPr="53F0BCD5">
        <w:t>, Bio-Rad Laboratories, Hercules, California) was first sealed with 18 g of NAAPs, and then the filtrate was pumped (</w:t>
      </w:r>
      <w:proofErr w:type="gramStart"/>
      <w:r w:rsidRPr="53F0BCD5">
        <w:t>30  mL</w:t>
      </w:r>
      <w:proofErr w:type="gramEnd"/>
      <w:r w:rsidRPr="53F0BCD5">
        <w:t>/min30  mL/min) through the column using a peristaltic pump (Fig. </w:t>
      </w:r>
      <w:r w:rsidRPr="00297838">
        <w:t>1</w:t>
      </w:r>
      <w:r w:rsidRPr="53F0BCD5">
        <w:t>, Step 2). Following the passage of the sample filtrate, 100 mL of an eluent [</w:t>
      </w:r>
      <m:oMath>
        <m:r>
          <w:rPr>
            <w:rFonts w:ascii="Cambria Math" w:hAnsi="Cambria Math"/>
          </w:rPr>
          <m:t>15</m:t>
        </m:r>
        <m:r>
          <m:rPr>
            <m:nor/>
          </m:rPr>
          <m:t>  </m:t>
        </m:r>
        <m:r>
          <m:rPr>
            <m:sty m:val="p"/>
          </m:rPr>
          <w:rPr>
            <w:rFonts w:ascii="Cambria Math" w:hAnsi="Cambria Math"/>
          </w:rPr>
          <m:t>g</m:t>
        </m:r>
        <m:r>
          <w:rPr>
            <w:rFonts w:ascii="Cambria Math" w:hAnsi="Cambria Math"/>
          </w:rPr>
          <m:t>/</m:t>
        </m:r>
        <m:r>
          <m:rPr>
            <m:sty m:val="p"/>
          </m:rPr>
          <w:rPr>
            <w:rFonts w:ascii="Cambria Math" w:hAnsi="Cambria Math"/>
          </w:rPr>
          <m:t>L</m:t>
        </m:r>
        <m:r>
          <m:rPr>
            <m:nor/>
          </m:rPr>
          <m:t> </m:t>
        </m:r>
        <m:r>
          <m:rPr>
            <m:sty m:val="p"/>
          </m:rPr>
          <w:rPr>
            <w:rFonts w:ascii="Cambria Math" w:hAnsi="Cambria Math"/>
          </w:rPr>
          <m:t>NaCl</m:t>
        </m:r>
      </m:oMath>
      <w:r w:rsidRPr="53F0BCD5">
        <w:t>, </w:t>
      </w:r>
      <m:oMath>
        <m:r>
          <w:rPr>
            <w:rFonts w:ascii="Cambria Math" w:hAnsi="Cambria Math"/>
          </w:rPr>
          <m:t>30</m:t>
        </m:r>
        <m:r>
          <m:rPr>
            <m:nor/>
          </m:rPr>
          <m:t>  </m:t>
        </m:r>
        <m:r>
          <m:rPr>
            <m:sty m:val="p"/>
          </m:rPr>
          <w:rPr>
            <w:rFonts w:ascii="Cambria Math" w:hAnsi="Cambria Math"/>
          </w:rPr>
          <m:t>g</m:t>
        </m:r>
        <m:r>
          <w:rPr>
            <w:rFonts w:ascii="Cambria Math" w:hAnsi="Cambria Math"/>
          </w:rPr>
          <m:t>/</m:t>
        </m:r>
        <m:r>
          <m:rPr>
            <m:sty m:val="p"/>
          </m:rPr>
          <w:rPr>
            <w:rFonts w:ascii="Cambria Math" w:hAnsi="Cambria Math"/>
          </w:rPr>
          <m:t>L</m:t>
        </m:r>
      </m:oMath>
      <w:r w:rsidRPr="53F0BCD5">
        <w:t> tryptone, </w:t>
      </w:r>
      <m:oMath>
        <m:r>
          <w:rPr>
            <w:rFonts w:ascii="Cambria Math" w:hAnsi="Cambria Math"/>
          </w:rPr>
          <m:t>15</m:t>
        </m:r>
        <m:r>
          <m:rPr>
            <m:nor/>
          </m:rPr>
          <m:t>  </m:t>
        </m:r>
        <m:r>
          <m:rPr>
            <m:sty m:val="p"/>
          </m:rPr>
          <w:rPr>
            <w:rFonts w:ascii="Cambria Math" w:hAnsi="Cambria Math"/>
          </w:rPr>
          <m:t>g</m:t>
        </m:r>
        <m:r>
          <w:rPr>
            <w:rFonts w:ascii="Cambria Math" w:hAnsi="Cambria Math"/>
          </w:rPr>
          <m:t>/</m:t>
        </m:r>
        <m:r>
          <m:rPr>
            <m:sty m:val="p"/>
          </m:rPr>
          <w:rPr>
            <w:rFonts w:ascii="Cambria Math" w:hAnsi="Cambria Math"/>
          </w:rPr>
          <m:t>L</m:t>
        </m:r>
      </m:oMath>
      <w:r w:rsidRPr="53F0BCD5">
        <w:t> beef extract, </w:t>
      </w:r>
      <m:oMath>
        <m:r>
          <w:rPr>
            <w:rFonts w:ascii="Cambria Math" w:hAnsi="Cambria Math"/>
          </w:rPr>
          <m:t>3.75</m:t>
        </m:r>
        <m:r>
          <m:rPr>
            <m:nor/>
          </m:rPr>
          <m:t>  </m:t>
        </m:r>
        <m:r>
          <m:rPr>
            <m:sty m:val="p"/>
          </m:rPr>
          <w:rPr>
            <w:rFonts w:ascii="Cambria Math" w:hAnsi="Cambria Math"/>
          </w:rPr>
          <m:t>g</m:t>
        </m:r>
        <m:r>
          <w:rPr>
            <w:rFonts w:ascii="Cambria Math" w:hAnsi="Cambria Math"/>
          </w:rPr>
          <m:t>/</m:t>
        </m:r>
        <m:r>
          <m:rPr>
            <m:sty m:val="p"/>
          </m:rPr>
          <w:rPr>
            <w:rFonts w:ascii="Cambria Math" w:hAnsi="Cambria Math"/>
          </w:rPr>
          <m:t>L</m:t>
        </m:r>
      </m:oMath>
      <w:r w:rsidRPr="53F0BCD5">
        <w:t> glycine, </w:t>
      </w:r>
      <m:oMath>
        <m:r>
          <w:rPr>
            <w:rFonts w:ascii="Cambria Math" w:hAnsi="Cambria Math"/>
          </w:rPr>
          <m:t>0.28</m:t>
        </m:r>
        <m:r>
          <m:rPr>
            <m:nor/>
          </m:rPr>
          <m:t>  </m:t>
        </m:r>
        <m:r>
          <m:rPr>
            <m:sty m:val="p"/>
          </m:rPr>
          <w:rPr>
            <w:rFonts w:ascii="Cambria Math" w:hAnsi="Cambria Math"/>
          </w:rPr>
          <m:t>g</m:t>
        </m:r>
        <m:r>
          <w:rPr>
            <w:rFonts w:ascii="Cambria Math" w:hAnsi="Cambria Math"/>
          </w:rPr>
          <m:t>/</m:t>
        </m:r>
        <m:r>
          <m:rPr>
            <m:sty m:val="p"/>
          </m:rPr>
          <w:rPr>
            <w:rFonts w:ascii="Cambria Math" w:hAnsi="Cambria Math"/>
          </w:rPr>
          <m:t>L</m:t>
        </m:r>
      </m:oMath>
      <w:r w:rsidR="00505F4F" w:rsidRPr="00505F4F">
        <w:t xml:space="preserve"> </w:t>
      </w:r>
      <w:proofErr w:type="gramStart"/>
      <w:r w:rsidRPr="53F0BCD5">
        <w:t>Na(</w:t>
      </w:r>
      <w:proofErr w:type="gramEnd"/>
      <w:r w:rsidRPr="53F0BCD5">
        <w:t>OH), </w:t>
      </w:r>
      <m:oMath>
        <m:r>
          <m:rPr>
            <m:sty m:val="p"/>
          </m:rPr>
          <w:rPr>
            <w:rFonts w:ascii="Cambria Math" w:hAnsi="Cambria Math"/>
          </w:rPr>
          <m:t>pH</m:t>
        </m:r>
        <m:r>
          <w:rPr>
            <w:rFonts w:ascii="Cambria Math" w:hAnsi="Cambria Math"/>
          </w:rPr>
          <m:t>=9.3±0.2</m:t>
        </m:r>
      </m:oMath>
      <w:r w:rsidRPr="53F0BCD5">
        <w:t>; autoclaved at 120°C for 20 min] was pumped through the column and collected in a centrifuge tube. After the eluent was transferred to the centrifuge tube, an equal volume of isopropanol was ad</w:t>
      </w:r>
      <w:proofErr w:type="spellStart"/>
      <w:r w:rsidRPr="53F0BCD5">
        <w:t>ded</w:t>
      </w:r>
      <w:proofErr w:type="spellEnd"/>
      <w:r w:rsidRPr="53F0BCD5">
        <w:t>, and the solution was maintained at room temperature for 16 h (Fig. </w:t>
      </w:r>
      <w:r w:rsidRPr="00297838">
        <w:t>1</w:t>
      </w:r>
      <w:r w:rsidRPr="53F0BCD5">
        <w:t>, Step 3). After precipitation, the mixture was centrifuged (</w:t>
      </w:r>
      <m:oMath>
        <m:r>
          <m:rPr>
            <m:sty m:val="p"/>
          </m:rPr>
          <w:rPr>
            <w:rFonts w:ascii="Cambria Math" w:hAnsi="Cambria Math"/>
          </w:rPr>
          <m:t>10,000</m:t>
        </m:r>
        <m:r>
          <w:rPr>
            <w:rFonts w:ascii="Cambria Math" w:hAnsi="Cambria Math"/>
          </w:rPr>
          <m:t>×g</m:t>
        </m:r>
      </m:oMath>
      <w:r w:rsidRPr="53F0BCD5">
        <w:t> for 10 min at room temperature), and the supernatant was decanted. The pellet was washed with 10 mL of 70% ethanol and centrifuged once more (</w:t>
      </w:r>
      <m:oMath>
        <m:r>
          <m:rPr>
            <m:sty m:val="p"/>
          </m:rPr>
          <w:rPr>
            <w:rFonts w:ascii="Cambria Math" w:hAnsi="Cambria Math"/>
          </w:rPr>
          <m:t>10,000</m:t>
        </m:r>
        <m:r>
          <w:rPr>
            <w:rFonts w:ascii="Cambria Math" w:hAnsi="Cambria Math"/>
          </w:rPr>
          <m:t>×g</m:t>
        </m:r>
      </m:oMath>
      <w:r w:rsidRPr="53F0BCD5">
        <w:t> for 5 min at room temperature) and the supernatant decanted. The pellet was air dried and resuspended with a Tris–et</w:t>
      </w:r>
      <w:proofErr w:type="spellStart"/>
      <w:r w:rsidRPr="53F0BCD5">
        <w:t>hylenediamine</w:t>
      </w:r>
      <w:proofErr w:type="spellEnd"/>
      <w:r w:rsidRPr="53F0BCD5">
        <w:t xml:space="preserve"> </w:t>
      </w:r>
      <w:proofErr w:type="spellStart"/>
      <w:r w:rsidRPr="53F0BCD5">
        <w:t>tetraacetic</w:t>
      </w:r>
      <w:proofErr w:type="spellEnd"/>
      <w:r w:rsidRPr="53F0BCD5">
        <w:t xml:space="preserve"> acid (EDTA) buffer. The final eDNA extracts were stored at </w:t>
      </w:r>
      <m:oMath>
        <m:r>
          <w:rPr>
            <w:rFonts w:ascii="Cambria Math" w:hAnsi="Cambria Math"/>
          </w:rPr>
          <m:t>-20°</m:t>
        </m:r>
        <m:r>
          <m:rPr>
            <m:sty m:val="p"/>
          </m:rPr>
          <w:rPr>
            <w:rFonts w:ascii="Cambria Math" w:hAnsi="Cambria Math"/>
          </w:rPr>
          <m:t>C</m:t>
        </m:r>
      </m:oMath>
      <w:r w:rsidRPr="53F0BCD5">
        <w:t> for subsequent analyses.</w:t>
      </w:r>
    </w:p>
    <w:p w14:paraId="4FFBB665" w14:textId="77777777" w:rsidR="00EE53C7" w:rsidRPr="00EE53C7" w:rsidRDefault="00EE53C7" w:rsidP="53F0BCD5">
      <w:pPr>
        <w:pStyle w:val="Heading2"/>
        <w:rPr>
          <w:rFonts w:ascii="Calibri Light" w:eastAsia="MS Gothic" w:hAnsi="Calibri Light" w:cs="Times New Roman"/>
        </w:rPr>
      </w:pPr>
      <w:r>
        <w:t>Intracellular DNA Extraction</w:t>
      </w:r>
    </w:p>
    <w:p w14:paraId="069123FA" w14:textId="7F11CE1F" w:rsidR="00EE53C7" w:rsidRPr="00EE53C7" w:rsidRDefault="00EE53C7" w:rsidP="53F0BCD5">
      <w:r w:rsidRPr="53F0BCD5">
        <w:t xml:space="preserve">After vacuum filtration (see the section “Extracellular DNA Extraction”), the filters were cut into fragments, and </w:t>
      </w:r>
      <w:proofErr w:type="spellStart"/>
      <w:r w:rsidRPr="53F0BCD5">
        <w:t>iDNA</w:t>
      </w:r>
      <w:proofErr w:type="spellEnd"/>
      <w:r w:rsidRPr="53F0BCD5">
        <w:t xml:space="preserve"> was extracted from the filters according to the </w:t>
      </w:r>
      <w:proofErr w:type="spellStart"/>
      <w:r w:rsidRPr="53F0BCD5">
        <w:t>FastDNA</w:t>
      </w:r>
      <w:proofErr w:type="spellEnd"/>
      <w:r w:rsidRPr="53F0BCD5">
        <w:t xml:space="preserve"> Spin Kit manufacturer’s protocol (MP Biomedicals, Santa Ana, California). Briefly, 1.0 mL of cell lysing solution for tissues and cells (CLS-TC) was used, and in modification to the specified protocol, cells were lysed using liquid nitrogen freeze thaw cycling rather than homogenization (</w:t>
      </w:r>
      <w:proofErr w:type="spellStart"/>
      <w:r w:rsidRPr="00297838">
        <w:rPr>
          <w:sz w:val="24"/>
          <w:szCs w:val="24"/>
        </w:rPr>
        <w:t>Kappell</w:t>
      </w:r>
      <w:proofErr w:type="spellEnd"/>
      <w:r w:rsidRPr="00297838">
        <w:rPr>
          <w:sz w:val="24"/>
          <w:szCs w:val="24"/>
        </w:rPr>
        <w:t xml:space="preserve"> et al. 2019</w:t>
      </w:r>
      <w:r w:rsidRPr="53F0BCD5">
        <w:t>). The following steps included binding, washing, and eluting the DNA in a DNase/pyrogen-free water. DNA extracts were stored at </w:t>
      </w:r>
      <m:oMath>
        <m:r>
          <w:rPr>
            <w:rFonts w:ascii="Cambria Math" w:hAnsi="Cambria Math"/>
          </w:rPr>
          <m:t>-20°</m:t>
        </m:r>
        <m:r>
          <m:rPr>
            <m:sty m:val="p"/>
          </m:rPr>
          <w:rPr>
            <w:rFonts w:ascii="Cambria Math" w:hAnsi="Cambria Math"/>
          </w:rPr>
          <m:t>C</m:t>
        </m:r>
      </m:oMath>
      <w:r w:rsidRPr="53F0BCD5">
        <w:t> until further analysis.</w:t>
      </w:r>
    </w:p>
    <w:p w14:paraId="091DD4C9" w14:textId="77777777" w:rsidR="00EE53C7" w:rsidRPr="00EE53C7" w:rsidRDefault="00EE53C7" w:rsidP="53F0BCD5">
      <w:pPr>
        <w:pStyle w:val="Heading2"/>
        <w:rPr>
          <w:rFonts w:ascii="Calibri Light" w:eastAsia="MS Gothic" w:hAnsi="Calibri Light" w:cs="Times New Roman"/>
        </w:rPr>
      </w:pPr>
      <w:r>
        <w:t>eDNA Extraction Method Validation: Negative Control, Spike and Recovery, and Reproducibility</w:t>
      </w:r>
    </w:p>
    <w:p w14:paraId="5878E7E1" w14:textId="088C2D12" w:rsidR="00EE53C7" w:rsidRPr="00EE53C7" w:rsidRDefault="00EE53C7" w:rsidP="53F0BCD5">
      <w:r w:rsidRPr="53F0BCD5">
        <w:t xml:space="preserve">The eDNA extraction method utilized for this study was validated first by processing triplicate sterilized Milli-Q water samples as a negative control through the method to quantify residual contamination. Second, Milli-Q water was spiked with lysed DNA extracts to quantify the simultaneous recovery of ARGs via the eDNA extraction method. The spike for this experiment was obtained from an environmental river water sample selected because it was assumed to contain similar targets and concentrations of eDNA. The river water was processed through the </w:t>
      </w:r>
      <w:proofErr w:type="spellStart"/>
      <w:r w:rsidRPr="53F0BCD5">
        <w:t>iDNA</w:t>
      </w:r>
      <w:proofErr w:type="spellEnd"/>
      <w:r w:rsidRPr="53F0BCD5">
        <w:t xml:space="preserve"> extraction method, and the lysed DNA extract was utilized as the spike. The initial concentration of the extract was determined via </w:t>
      </w:r>
      <w:proofErr w:type="spellStart"/>
      <w:r w:rsidRPr="53F0BCD5">
        <w:t>ddPCR</w:t>
      </w:r>
      <w:proofErr w:type="spellEnd"/>
      <w:r w:rsidRPr="53F0BCD5">
        <w:t>. The spiked DNA was then added to 1 L Milli-Q water, and the spiked water underwent the eDNA extraction procedure. Then the abundances of five genes (</w:t>
      </w:r>
      <m:oMath>
        <m:r>
          <w:rPr>
            <w:rFonts w:ascii="Cambria Math" w:hAnsi="Cambria Math"/>
          </w:rPr>
          <m:t>erm</m:t>
        </m:r>
        <m:r>
          <m:rPr>
            <m:sty m:val="p"/>
          </m:rPr>
          <w:rPr>
            <w:rFonts w:ascii="Cambria Math" w:hAnsi="Cambria Math"/>
          </w:rPr>
          <m:t>B</m:t>
        </m:r>
      </m:oMath>
      <w:r w:rsidRPr="53F0BCD5">
        <w:t>, </w:t>
      </w:r>
      <m:oMath>
        <m:r>
          <w:rPr>
            <w:rFonts w:ascii="Cambria Math" w:hAnsi="Cambria Math"/>
          </w:rPr>
          <m:t>sul1</m:t>
        </m:r>
      </m:oMath>
      <w:r w:rsidRPr="53F0BCD5">
        <w:t>, </w:t>
      </w:r>
      <m:oMath>
        <m:r>
          <w:rPr>
            <w:rFonts w:ascii="Cambria Math" w:hAnsi="Cambria Math"/>
          </w:rPr>
          <m:t>bl</m:t>
        </m:r>
        <m:sSub>
          <m:sSubPr>
            <m:ctrlPr>
              <w:rPr>
                <w:rFonts w:ascii="Cambria Math" w:hAnsi="Cambria Math"/>
              </w:rPr>
            </m:ctrlPr>
          </m:sSubPr>
          <m:e>
            <m:r>
              <w:rPr>
                <w:rFonts w:ascii="Cambria Math" w:hAnsi="Cambria Math"/>
              </w:rPr>
              <m:t>a</m:t>
            </m:r>
          </m:e>
          <m:sub>
            <m:r>
              <m:rPr>
                <m:sty m:val="p"/>
              </m:rPr>
              <w:rPr>
                <w:rFonts w:ascii="Cambria Math" w:hAnsi="Cambria Math"/>
              </w:rPr>
              <m:t>TEM</m:t>
            </m:r>
          </m:sub>
        </m:sSub>
      </m:oMath>
      <w:r w:rsidRPr="53F0BCD5">
        <w:t>, </w:t>
      </w:r>
      <m:oMath>
        <m:r>
          <w:rPr>
            <w:rFonts w:ascii="Cambria Math" w:hAnsi="Cambria Math"/>
          </w:rPr>
          <m:t>intI1</m:t>
        </m:r>
      </m:oMath>
      <w:r w:rsidRPr="53F0BCD5">
        <w:t>, and the 16S rRNA gene) were quantified by ddPCR, and the recovery was calculated as follows using Eq. (</w:t>
      </w:r>
      <w:r w:rsidRPr="00297838">
        <w:t>1</w:t>
      </w:r>
      <w:r w:rsidRPr="53F0BCD5">
        <w:t>):</w:t>
      </w:r>
    </w:p>
    <w:p w14:paraId="316479CE" w14:textId="77777777" w:rsidR="00EE53C7" w:rsidRPr="00EE53C7" w:rsidRDefault="00EE53C7" w:rsidP="53F0BCD5">
      <w:r w:rsidRPr="53F0BCD5">
        <w:t>(1)</w:t>
      </w:r>
    </w:p>
    <w:p w14:paraId="4BB251D8" w14:textId="5B9D2C16" w:rsidR="00641A2D" w:rsidRPr="00EE53C7" w:rsidRDefault="004C34E4" w:rsidP="53F0BCD5">
      <w:proofErr w:type="spellStart"/>
      <m:oMathPara>
        <m:oMath>
          <m:r>
            <m:rPr>
              <m:nor/>
            </m:rPr>
            <m:t>eARG</m:t>
          </m:r>
          <w:proofErr w:type="spellEnd"/>
          <m:r>
            <m:rPr>
              <m:nor/>
            </m:rPr>
            <m:t> recovery rate </m:t>
          </m:r>
          <m:r>
            <w:rPr>
              <w:rFonts w:ascii="Cambria Math" w:hAnsi="Cambria Math"/>
            </w:rPr>
            <m:t>(%)=</m:t>
          </m:r>
          <m:f>
            <m:fPr>
              <m:ctrlPr>
                <w:rPr>
                  <w:rFonts w:ascii="Cambria Math" w:hAnsi="Cambria Math"/>
                </w:rPr>
              </m:ctrlPr>
            </m:fPr>
            <m:num>
              <m:r>
                <w:rPr>
                  <w:rFonts w:ascii="Cambria Math" w:hAnsi="Cambria Math"/>
                </w:rPr>
                <m:t>B-C</m:t>
              </m:r>
            </m:num>
            <m:den>
              <m:r>
                <w:rPr>
                  <w:rFonts w:ascii="Cambria Math" w:hAnsi="Cambria Math"/>
                </w:rPr>
                <m:t>A-C</m:t>
              </m:r>
            </m:den>
          </m:f>
          <m:r>
            <w:rPr>
              <w:rFonts w:ascii="Cambria Math" w:hAnsi="Cambria Math"/>
            </w:rPr>
            <m:t>×100</m:t>
          </m:r>
        </m:oMath>
      </m:oMathPara>
    </w:p>
    <w:p w14:paraId="33F25320" w14:textId="5CA78AEB" w:rsidR="00EE53C7" w:rsidRPr="00EE53C7" w:rsidRDefault="00EE53C7" w:rsidP="53F0BCD5">
      <w:r w:rsidRPr="53F0BCD5">
        <w:t>where </w:t>
      </w:r>
      <m:oMath>
        <m:r>
          <w:rPr>
            <w:rFonts w:ascii="Cambria Math" w:hAnsi="Cambria Math"/>
          </w:rPr>
          <m:t>A</m:t>
        </m:r>
      </m:oMath>
      <w:r w:rsidRPr="53F0BCD5">
        <w:t> is the absolute concentration (gene copies </w:t>
      </w:r>
      <m:oMath>
        <m:r>
          <w:rPr>
            <w:rFonts w:ascii="Cambria Math" w:hAnsi="Cambria Math"/>
          </w:rPr>
          <m:t>(</m:t>
        </m:r>
        <m:r>
          <m:rPr>
            <m:sty m:val="p"/>
          </m:rPr>
          <w:rPr>
            <w:rFonts w:ascii="Cambria Math" w:hAnsi="Cambria Math"/>
          </w:rPr>
          <m:t>GC</m:t>
        </m:r>
        <m:r>
          <w:rPr>
            <w:rFonts w:ascii="Cambria Math" w:hAnsi="Cambria Math"/>
          </w:rPr>
          <m:t>)/</m:t>
        </m:r>
        <m:r>
          <m:rPr>
            <m:sty m:val="p"/>
          </m:rPr>
          <w:rPr>
            <w:rFonts w:ascii="Cambria Math" w:hAnsi="Cambria Math"/>
          </w:rPr>
          <m:t>μL</m:t>
        </m:r>
        <m:r>
          <w:rPr>
            <w:rFonts w:ascii="Cambria Math" w:hAnsi="Cambria Math"/>
          </w:rPr>
          <m:t>)</m:t>
        </m:r>
      </m:oMath>
      <w:r w:rsidRPr="53F0BCD5">
        <w:t>) of eARGs added to the water samples (spike determined by ddPCR); </w:t>
      </w:r>
      <m:oMath>
        <m:r>
          <w:rPr>
            <w:rFonts w:ascii="Cambria Math" w:hAnsi="Cambria Math"/>
          </w:rPr>
          <m:t>B</m:t>
        </m:r>
      </m:oMath>
      <w:r w:rsidRPr="53F0BCD5">
        <w:t> is the absolute concentration (</w:t>
      </w:r>
      <m:oMath>
        <m:f>
          <m:fPr>
            <m:type m:val="lin"/>
            <m:ctrlPr>
              <w:rPr>
                <w:rFonts w:ascii="Cambria Math" w:hAnsi="Cambria Math"/>
              </w:rPr>
            </m:ctrlPr>
          </m:fPr>
          <m:num>
            <m:r>
              <m:rPr>
                <m:sty m:val="p"/>
              </m:rPr>
              <w:rPr>
                <w:rFonts w:ascii="Cambria Math" w:hAnsi="Cambria Math"/>
              </w:rPr>
              <m:t>GCs</m:t>
            </m:r>
          </m:num>
          <m:den>
            <m:r>
              <m:rPr>
                <m:sty m:val="p"/>
              </m:rPr>
              <w:rPr>
                <w:rFonts w:ascii="Cambria Math" w:hAnsi="Cambria Math"/>
              </w:rPr>
              <m:t>μL</m:t>
            </m:r>
          </m:den>
        </m:f>
      </m:oMath>
      <w:r w:rsidRPr="53F0BCD5">
        <w:t>) of ARGs quantified by ddPCR following eDNA extraction; and </w:t>
      </w:r>
      <m:oMath>
        <m:r>
          <w:rPr>
            <w:rFonts w:ascii="Cambria Math" w:hAnsi="Cambria Math"/>
          </w:rPr>
          <m:t>C</m:t>
        </m:r>
      </m:oMath>
      <w:r w:rsidRPr="53F0BCD5">
        <w:t> is the residual absolute concentration (</w:t>
      </w:r>
      <m:oMath>
        <m:f>
          <m:fPr>
            <m:type m:val="lin"/>
            <m:ctrlPr>
              <w:rPr>
                <w:rFonts w:ascii="Cambria Math" w:hAnsi="Cambria Math"/>
              </w:rPr>
            </m:ctrlPr>
          </m:fPr>
          <m:num>
            <m:r>
              <m:rPr>
                <m:sty m:val="p"/>
              </m:rPr>
              <w:rPr>
                <w:rFonts w:ascii="Cambria Math" w:hAnsi="Cambria Math"/>
              </w:rPr>
              <m:t>GCs</m:t>
            </m:r>
          </m:num>
          <m:den>
            <m:r>
              <m:rPr>
                <m:sty m:val="p"/>
              </m:rPr>
              <w:rPr>
                <w:rFonts w:ascii="Cambria Math" w:hAnsi="Cambria Math"/>
              </w:rPr>
              <m:t>μL</m:t>
            </m:r>
          </m:den>
        </m:f>
      </m:oMath>
      <w:r w:rsidRPr="53F0BCD5">
        <w:t>) of eARGs in the control group (negative control) (</w:t>
      </w:r>
      <w:r w:rsidRPr="00297838">
        <w:t>Wang et al. 2016</w:t>
      </w:r>
      <w:r w:rsidRPr="53F0BCD5">
        <w:t>).</w:t>
      </w:r>
    </w:p>
    <w:p w14:paraId="726BB2FC" w14:textId="25D17A83" w:rsidR="00EE53C7" w:rsidRPr="00EE53C7" w:rsidRDefault="00EE53C7" w:rsidP="53F0BCD5">
      <w:r w:rsidRPr="53F0BCD5">
        <w:t xml:space="preserve">The final step taken to validate the extraction method was to evaluate its reproducibility. On August 22, 2020, three 1-L water grab samples were taken from the </w:t>
      </w:r>
      <w:proofErr w:type="spellStart"/>
      <w:r w:rsidRPr="53F0BCD5">
        <w:t>Kinnickinnic</w:t>
      </w:r>
      <w:proofErr w:type="spellEnd"/>
      <w:r w:rsidRPr="53F0BCD5">
        <w:t xml:space="preserve"> River in Milwaukee, Wisconsin. The environmental river water samples were then processed through the </w:t>
      </w:r>
      <w:proofErr w:type="spellStart"/>
      <w:r w:rsidRPr="53F0BCD5">
        <w:t>iDNA</w:t>
      </w:r>
      <w:proofErr w:type="spellEnd"/>
      <w:r w:rsidRPr="53F0BCD5">
        <w:t xml:space="preserve"> and eDNA extraction method. Three genes, 16S rRNA, </w:t>
      </w:r>
      <m:oMath>
        <m:r>
          <w:rPr>
            <w:rFonts w:ascii="Cambria Math" w:hAnsi="Cambria Math"/>
          </w:rPr>
          <m:t>erm</m:t>
        </m:r>
        <m:r>
          <m:rPr>
            <m:sty m:val="p"/>
          </m:rPr>
          <w:rPr>
            <w:rFonts w:ascii="Cambria Math" w:hAnsi="Cambria Math"/>
          </w:rPr>
          <m:t>B</m:t>
        </m:r>
      </m:oMath>
      <w:r w:rsidRPr="53F0BCD5">
        <w:t>, and </w:t>
      </w:r>
      <m:oMath>
        <m:r>
          <w:rPr>
            <w:rFonts w:ascii="Cambria Math" w:hAnsi="Cambria Math"/>
          </w:rPr>
          <m:t>sul1</m:t>
        </m:r>
      </m:oMath>
      <w:r w:rsidRPr="53F0BCD5">
        <w:t>, were quantified via ddPCR from the DNA extracts, and reproducibility was assessed by calculating the relative standard deviation of the mean absolute abundance across the triplicate samples.</w:t>
      </w:r>
    </w:p>
    <w:p w14:paraId="28BE6EE0" w14:textId="77777777" w:rsidR="00EE53C7" w:rsidRPr="00EE53C7" w:rsidRDefault="00EE53C7" w:rsidP="53F0BCD5">
      <w:pPr>
        <w:pStyle w:val="Heading2"/>
        <w:rPr>
          <w:rFonts w:ascii="Calibri Light" w:eastAsia="MS Gothic" w:hAnsi="Calibri Light" w:cs="Times New Roman"/>
        </w:rPr>
      </w:pPr>
      <w:r>
        <w:t>Environmental Water Sampling</w:t>
      </w:r>
    </w:p>
    <w:p w14:paraId="2CB04EA2" w14:textId="77777777" w:rsidR="00EE53C7" w:rsidRPr="00EE53C7" w:rsidRDefault="00EE53C7" w:rsidP="53F0BCD5">
      <w:r w:rsidRPr="53F0BCD5">
        <w:t>Five different aquatic environments were targeted for the quantification of iARGs and eARGs: tap water, river surface water, lake surface water, stormwater from an outfall, and wastewater effluent. For each environment, triplicate samples were taken on one occasion. The selected environments were chosen to represent a variety of water types and environmental conditions, and the objective of sampling was to validate and test the capacity of this method to extract iARGs and eARGs from environments of varying water quality. Future work will aim to fully characterize eARGs in the environment with further sampling over time to determine how environmental processes impact the fate of eARGs.</w:t>
      </w:r>
    </w:p>
    <w:p w14:paraId="02C56CBB" w14:textId="3EB35985" w:rsidR="00EE53C7" w:rsidRPr="00EE53C7" w:rsidRDefault="00EE53C7" w:rsidP="53F0BCD5">
      <w:r w:rsidRPr="53F0BCD5">
        <w:t>For tap water, 5 L tap water were collected in triplicate from the laboratory cold-water faucet on February 3, 2021, after being thoroughly flushed for 5 min. The drinking water treatment processes preceding distribution are detailed in the Supporting Information in the Supplemental Materials (Fig. </w:t>
      </w:r>
      <w:r w:rsidRPr="00297838">
        <w:t>S1</w:t>
      </w:r>
      <w:r w:rsidRPr="53F0BCD5">
        <w:t xml:space="preserve">). The wastewater effluent sample was collected on the same day at a full-scale conventional wastewater treatment plant that services residential, industrial, and commercial sources and had an average daily flow of approximately 281 million liters per day in 2021. Five liters were collected from the surface of the chlorination tank prior to </w:t>
      </w:r>
      <w:proofErr w:type="spellStart"/>
      <w:r w:rsidRPr="53F0BCD5">
        <w:t>dechlorination</w:t>
      </w:r>
      <w:proofErr w:type="spellEnd"/>
      <w:r w:rsidRPr="53F0BCD5">
        <w:t>. The wastewater treatment processes preceding chlorination are detailed in Fig. </w:t>
      </w:r>
      <w:r w:rsidRPr="00297838">
        <w:t>S2</w:t>
      </w:r>
      <w:r w:rsidRPr="53F0BCD5">
        <w:t xml:space="preserve">. On November 5, 2020, 1-L grab samples were collected in triplicate from the Menomonee River and Lake Michigan in Wauwatosa and Milwaukee, Wisconsin, respectively. River water samples were collected in the center of the stream cross section at a depth of 0.3 m (1 ft), while the lake water samples were collected off a dock at the surface of the water; both samples were collected during baseflow conditions. During a storm event on November 10, 2020, stormwater grab samples were collected from a stormwater outfall structure in triplicate in Wauwatosa, Wisconsin. The depth of rainfall that fell during the storm on November 10, </w:t>
      </w:r>
      <w:proofErr w:type="gramStart"/>
      <w:r w:rsidRPr="53F0BCD5">
        <w:t>2020</w:t>
      </w:r>
      <w:proofErr w:type="gramEnd"/>
      <w:r w:rsidRPr="53F0BCD5">
        <w:t xml:space="preserve"> was 11.43 mm (0.45 in.), according to Milwaukee Metropolitan Sewerage District rain gauge data (</w:t>
      </w:r>
      <w:r w:rsidRPr="00297838">
        <w:t>MMSD 2020</w:t>
      </w:r>
      <w:r w:rsidRPr="53F0BCD5">
        <w:t xml:space="preserve">). Following collection, all samples were transported to the lab, stored at 4°C, and underwent </w:t>
      </w:r>
      <w:proofErr w:type="spellStart"/>
      <w:r w:rsidRPr="53F0BCD5">
        <w:t>iDNA</w:t>
      </w:r>
      <w:proofErr w:type="spellEnd"/>
      <w:r w:rsidRPr="53F0BCD5">
        <w:t xml:space="preserve"> and eDNA extraction within 24 h.</w:t>
      </w:r>
    </w:p>
    <w:p w14:paraId="6AE8E72C" w14:textId="77777777" w:rsidR="00EE53C7" w:rsidRPr="00EE53C7" w:rsidRDefault="00EE53C7" w:rsidP="53F0BCD5">
      <w:pPr>
        <w:pStyle w:val="Heading2"/>
        <w:rPr>
          <w:rFonts w:ascii="Calibri Light" w:eastAsia="MS Gothic" w:hAnsi="Calibri Light" w:cs="Times New Roman"/>
        </w:rPr>
      </w:pPr>
      <w:r>
        <w:t>ARG Quantification</w:t>
      </w:r>
    </w:p>
    <w:p w14:paraId="03F96765" w14:textId="77AD1034" w:rsidR="00EE53C7" w:rsidRPr="00EE53C7" w:rsidRDefault="00EE53C7" w:rsidP="53F0BCD5">
      <w:r w:rsidRPr="53F0BCD5">
        <w:t xml:space="preserve">From the five environmental sampling locations, four ARGs, the integrase gene of the Class 1 </w:t>
      </w:r>
      <w:proofErr w:type="spellStart"/>
      <w:r w:rsidRPr="53F0BCD5">
        <w:t>integron</w:t>
      </w:r>
      <w:proofErr w:type="spellEnd"/>
      <w:r w:rsidRPr="53F0BCD5">
        <w:t>, </w:t>
      </w:r>
      <m:oMath>
        <m:r>
          <w:rPr>
            <w:rFonts w:ascii="Cambria Math" w:hAnsi="Cambria Math"/>
          </w:rPr>
          <m:t>intI1</m:t>
        </m:r>
      </m:oMath>
      <w:r w:rsidRPr="53F0BCD5">
        <w:t>, and the 16S rRNA gene, were quantified from the iDNA and eDNA extracts. The ARGs selected, </w:t>
      </w:r>
      <m:oMath>
        <m:r>
          <w:rPr>
            <w:rFonts w:ascii="Cambria Math" w:hAnsi="Cambria Math"/>
          </w:rPr>
          <m:t>tet</m:t>
        </m:r>
        <m:r>
          <m:rPr>
            <m:sty m:val="p"/>
          </m:rPr>
          <w:rPr>
            <w:rFonts w:ascii="Cambria Math" w:hAnsi="Cambria Math"/>
          </w:rPr>
          <m:t>C</m:t>
        </m:r>
      </m:oMath>
      <w:r w:rsidRPr="53F0BCD5">
        <w:t>, </w:t>
      </w:r>
      <m:oMath>
        <m:r>
          <w:rPr>
            <w:rFonts w:ascii="Cambria Math" w:hAnsi="Cambria Math"/>
          </w:rPr>
          <m:t>sul1</m:t>
        </m:r>
      </m:oMath>
      <w:r w:rsidRPr="53F0BCD5">
        <w:t>, </w:t>
      </w:r>
      <m:oMath>
        <m:r>
          <w:rPr>
            <w:rFonts w:ascii="Cambria Math" w:hAnsi="Cambria Math"/>
          </w:rPr>
          <m:t>bl</m:t>
        </m:r>
        <m:sSub>
          <m:sSubPr>
            <m:ctrlPr>
              <w:rPr>
                <w:rFonts w:ascii="Cambria Math" w:hAnsi="Cambria Math"/>
              </w:rPr>
            </m:ctrlPr>
          </m:sSubPr>
          <m:e>
            <m:r>
              <w:rPr>
                <w:rFonts w:ascii="Cambria Math" w:hAnsi="Cambria Math"/>
              </w:rPr>
              <m:t>a</m:t>
            </m:r>
          </m:e>
          <m:sub>
            <m:r>
              <m:rPr>
                <m:sty m:val="p"/>
              </m:rPr>
              <w:rPr>
                <w:rFonts w:ascii="Cambria Math" w:hAnsi="Cambria Math"/>
              </w:rPr>
              <m:t>TEM</m:t>
            </m:r>
          </m:sub>
        </m:sSub>
      </m:oMath>
      <w:r w:rsidRPr="53F0BCD5">
        <w:t>, and </w:t>
      </w:r>
      <m:oMath>
        <m:r>
          <w:rPr>
            <w:rFonts w:ascii="Cambria Math" w:hAnsi="Cambria Math"/>
          </w:rPr>
          <m:t>erm</m:t>
        </m:r>
        <m:r>
          <m:rPr>
            <m:sty m:val="p"/>
          </m:rPr>
          <w:rPr>
            <w:rFonts w:ascii="Cambria Math" w:hAnsi="Cambria Math"/>
          </w:rPr>
          <m:t>F</m:t>
        </m:r>
      </m:oMath>
      <w:r w:rsidRPr="53F0BCD5">
        <w:t>, are of the tetracycline, sulfonamide, beta-lactam, and macrolide antibiotic classes, respectively, and were quantified due to the frequency of their intracellular fraction being detected in the environment (</w:t>
      </w:r>
      <w:r w:rsidRPr="00297838">
        <w:t>Zhang et al. 2018</w:t>
      </w:r>
      <w:r w:rsidRPr="53F0BCD5">
        <w:t>). The 16S rRNA was quantified because it is a representative measurement of the total biomass in the sample, and </w:t>
      </w:r>
      <m:oMath>
        <m:r>
          <w:rPr>
            <w:rFonts w:ascii="Cambria Math" w:hAnsi="Cambria Math"/>
          </w:rPr>
          <m:t>intI1</m:t>
        </m:r>
      </m:oMath>
      <w:r w:rsidRPr="53F0BCD5">
        <w:t> was selected because it is a mobile genetic element, frequently associated with ARG horizontal gene transfer. For the validation of the eDNA extraction method, five genes, </w:t>
      </w:r>
      <m:oMath>
        <m:r>
          <w:rPr>
            <w:rFonts w:ascii="Cambria Math" w:hAnsi="Cambria Math"/>
          </w:rPr>
          <m:t>bl</m:t>
        </m:r>
        <m:sSub>
          <m:sSubPr>
            <m:ctrlPr>
              <w:rPr>
                <w:rFonts w:ascii="Cambria Math" w:hAnsi="Cambria Math"/>
              </w:rPr>
            </m:ctrlPr>
          </m:sSubPr>
          <m:e>
            <m:r>
              <w:rPr>
                <w:rFonts w:ascii="Cambria Math" w:hAnsi="Cambria Math"/>
              </w:rPr>
              <m:t>a</m:t>
            </m:r>
          </m:e>
          <m:sub>
            <m:r>
              <m:rPr>
                <m:sty m:val="p"/>
              </m:rPr>
              <w:rPr>
                <w:rFonts w:ascii="Cambria Math" w:hAnsi="Cambria Math"/>
              </w:rPr>
              <m:t>TEM</m:t>
            </m:r>
          </m:sub>
        </m:sSub>
      </m:oMath>
      <w:r w:rsidRPr="53F0BCD5">
        <w:t>, </w:t>
      </w:r>
      <m:oMath>
        <m:r>
          <w:rPr>
            <w:rFonts w:ascii="Cambria Math" w:hAnsi="Cambria Math"/>
          </w:rPr>
          <m:t>erm</m:t>
        </m:r>
        <m:r>
          <m:rPr>
            <m:sty m:val="p"/>
          </m:rPr>
          <w:rPr>
            <w:rFonts w:ascii="Cambria Math" w:hAnsi="Cambria Math"/>
          </w:rPr>
          <m:t>B</m:t>
        </m:r>
      </m:oMath>
      <w:r w:rsidRPr="53F0BCD5">
        <w:t>, </w:t>
      </w:r>
      <m:oMath>
        <m:r>
          <w:rPr>
            <w:rFonts w:ascii="Cambria Math" w:hAnsi="Cambria Math"/>
          </w:rPr>
          <m:t>intI1</m:t>
        </m:r>
      </m:oMath>
      <w:r w:rsidRPr="53F0BCD5">
        <w:t>, </w:t>
      </w:r>
      <m:oMath>
        <m:r>
          <w:rPr>
            <w:rFonts w:ascii="Cambria Math" w:hAnsi="Cambria Math"/>
          </w:rPr>
          <m:t>sul1</m:t>
        </m:r>
      </m:oMath>
      <w:r w:rsidRPr="53F0BCD5">
        <w:t>, and 16S rRNA, were quantified via ddPCR from the spike and recovery extracts for evaluating simultaneous recovery (i.e., determine whether the presence of one gene would impact the recovery of another gene). The genes se</w:t>
      </w:r>
      <w:proofErr w:type="spellStart"/>
      <w:r w:rsidRPr="53F0BCD5">
        <w:t>lected</w:t>
      </w:r>
      <w:proofErr w:type="spellEnd"/>
      <w:r w:rsidRPr="53F0BCD5">
        <w:t xml:space="preserve"> represent a range of sequence length, 245–1,500 bp. The same five genes were also quantified from negative control experiments to measure background contamination and calculate recovery. Three genes, 16S rRNA gene, </w:t>
      </w:r>
      <m:oMath>
        <m:r>
          <w:rPr>
            <w:rFonts w:ascii="Cambria Math" w:hAnsi="Cambria Math"/>
          </w:rPr>
          <m:t>erm</m:t>
        </m:r>
        <m:r>
          <m:rPr>
            <m:sty m:val="p"/>
          </m:rPr>
          <w:rPr>
            <w:rFonts w:ascii="Cambria Math" w:hAnsi="Cambria Math"/>
          </w:rPr>
          <m:t>B</m:t>
        </m:r>
      </m:oMath>
      <w:r w:rsidRPr="53F0BCD5">
        <w:t>, and </w:t>
      </w:r>
      <m:oMath>
        <m:r>
          <w:rPr>
            <w:rFonts w:ascii="Cambria Math" w:hAnsi="Cambria Math"/>
          </w:rPr>
          <m:t>sul1</m:t>
        </m:r>
      </m:oMath>
      <w:r w:rsidRPr="53F0BCD5">
        <w:t xml:space="preserve">, were selected to be quantified from the </w:t>
      </w:r>
      <w:proofErr w:type="spellStart"/>
      <w:r w:rsidRPr="53F0BCD5">
        <w:t>Kinnickinnic</w:t>
      </w:r>
      <w:proofErr w:type="spellEnd"/>
      <w:r w:rsidRPr="53F0BCD5">
        <w:t xml:space="preserve"> River water sample to assess reproducibility.</w:t>
      </w:r>
    </w:p>
    <w:p w14:paraId="1200412C" w14:textId="70E0999D" w:rsidR="00EE53C7" w:rsidRPr="00EE53C7" w:rsidRDefault="00EE53C7" w:rsidP="53F0BCD5">
      <w:proofErr w:type="spellStart"/>
      <w:r w:rsidRPr="53F0BCD5">
        <w:t>ddPCR</w:t>
      </w:r>
      <w:proofErr w:type="spellEnd"/>
      <w:r w:rsidRPr="53F0BCD5">
        <w:t xml:space="preserve"> was conducted as previously described (</w:t>
      </w:r>
      <w:r w:rsidRPr="00297838">
        <w:t>Kimbell et al. 2021</w:t>
      </w:r>
      <w:r w:rsidRPr="53F0BCD5">
        <w:t xml:space="preserve">). Briefly, the </w:t>
      </w:r>
      <w:proofErr w:type="spellStart"/>
      <w:r w:rsidRPr="53F0BCD5">
        <w:t>ddPCR</w:t>
      </w:r>
      <w:proofErr w:type="spellEnd"/>
      <w:r w:rsidRPr="53F0BCD5">
        <w:t xml:space="preserve"> assays used consisted of 11 </w:t>
      </w:r>
      <w:proofErr w:type="spellStart"/>
      <w:r w:rsidRPr="53F0BCD5">
        <w:t>μL</w:t>
      </w:r>
      <w:proofErr w:type="spellEnd"/>
      <w:r w:rsidRPr="53F0BCD5">
        <w:t xml:space="preserve"> QX200 </w:t>
      </w:r>
      <w:proofErr w:type="spellStart"/>
      <w:r w:rsidRPr="53F0BCD5">
        <w:t>ddPCR</w:t>
      </w:r>
      <w:proofErr w:type="spellEnd"/>
      <w:r w:rsidRPr="53F0BCD5">
        <w:t xml:space="preserve"> </w:t>
      </w:r>
      <w:proofErr w:type="spellStart"/>
      <w:r w:rsidRPr="53F0BCD5">
        <w:t>EvaGreen</w:t>
      </w:r>
      <w:proofErr w:type="spellEnd"/>
      <w:r w:rsidRPr="53F0BCD5">
        <w:t xml:space="preserve"> </w:t>
      </w:r>
      <w:proofErr w:type="spellStart"/>
      <w:r w:rsidRPr="53F0BCD5">
        <w:t>Supermix</w:t>
      </w:r>
      <w:proofErr w:type="spellEnd"/>
      <w:r w:rsidRPr="53F0BCD5">
        <w:t xml:space="preserve"> (Bio-Rad Laboratories, Hercules, California), 0.55 </w:t>
      </w:r>
      <w:proofErr w:type="spellStart"/>
      <w:r w:rsidRPr="53F0BCD5">
        <w:t>μL</w:t>
      </w:r>
      <w:proofErr w:type="spellEnd"/>
      <w:r w:rsidRPr="53F0BCD5">
        <w:t xml:space="preserve"> forward and reverse primers (250 </w:t>
      </w:r>
      <w:proofErr w:type="spellStart"/>
      <w:r w:rsidRPr="53F0BCD5">
        <w:t>nM</w:t>
      </w:r>
      <w:proofErr w:type="spellEnd"/>
      <w:r w:rsidRPr="53F0BCD5">
        <w:t xml:space="preserve"> each) (Table </w:t>
      </w:r>
      <w:r w:rsidRPr="00297838">
        <w:t>S7</w:t>
      </w:r>
      <w:r w:rsidRPr="53F0BCD5">
        <w:t>), 4 </w:t>
      </w:r>
      <w:proofErr w:type="spellStart"/>
      <w:r w:rsidRPr="53F0BCD5">
        <w:t>μL</w:t>
      </w:r>
      <w:proofErr w:type="spellEnd"/>
      <w:r w:rsidRPr="53F0BCD5">
        <w:t xml:space="preserve"> diluted DNA extracts, and 5.9 </w:t>
      </w:r>
      <w:proofErr w:type="spellStart"/>
      <w:r w:rsidRPr="53F0BCD5">
        <w:t>μL</w:t>
      </w:r>
      <w:proofErr w:type="spellEnd"/>
      <w:r w:rsidRPr="53F0BCD5">
        <w:t xml:space="preserve"> nuclease-free water, for a total reaction mixture volume of 22 </w:t>
      </w:r>
      <w:proofErr w:type="spellStart"/>
      <w:r w:rsidRPr="53F0BCD5">
        <w:t>μL</w:t>
      </w:r>
      <w:proofErr w:type="spellEnd"/>
      <w:r w:rsidRPr="53F0BCD5">
        <w:t>. The assays were pipetted into a 96-well plate, sealed, vortexed, and centrifuged to ensure homogenization. Droplets were generated in the QX200 Droplet Generator (Bio-Rad) with 20 </w:t>
      </w:r>
      <w:proofErr w:type="spellStart"/>
      <w:r w:rsidRPr="53F0BCD5">
        <w:t>μL</w:t>
      </w:r>
      <w:proofErr w:type="spellEnd"/>
      <w:r w:rsidRPr="53F0BCD5">
        <w:t xml:space="preserve"> of each reaction mixture and 70 </w:t>
      </w:r>
      <w:proofErr w:type="spellStart"/>
      <w:r w:rsidRPr="53F0BCD5">
        <w:t>μL</w:t>
      </w:r>
      <w:proofErr w:type="spellEnd"/>
      <w:r w:rsidRPr="53F0BCD5">
        <w:t xml:space="preserve"> of QX200 Droplet Generation Oil for </w:t>
      </w:r>
      <w:proofErr w:type="spellStart"/>
      <w:r w:rsidRPr="53F0BCD5">
        <w:t>EvaGreen</w:t>
      </w:r>
      <w:proofErr w:type="spellEnd"/>
      <w:r w:rsidRPr="53F0BCD5">
        <w:t xml:space="preserve"> (Bio-Rad) being dispersed into the separate wells of the eight-channel cartridges. The generated droplets (approximately 40 </w:t>
      </w:r>
      <w:proofErr w:type="spellStart"/>
      <w:r w:rsidRPr="53F0BCD5">
        <w:t>μL</w:t>
      </w:r>
      <w:proofErr w:type="spellEnd"/>
      <w:r w:rsidRPr="53F0BCD5">
        <w:t xml:space="preserve">) were pipetted into a new 96-well PCR plate and sealed with pierceable foil heat seals at 180°C using a PX1 PCR Plate Sealer (Bio-Rad). The plate was subsequently transferred to the C1000 Touch Thermal Cycler (Bio-Rad) for thermal cycling under the following conditions: 5 min at 95°C for activation of DNA polymerase, 39 cycles at 95°C for 30 s, and 60°C for 60 s, followed by signal stabilization at 4°C for 5 min and 90°C for 5 min. The targeted genes were then quantified using the QX200 Droplet Reader (Bio-Rad) using </w:t>
      </w:r>
      <w:proofErr w:type="spellStart"/>
      <w:r w:rsidRPr="53F0BCD5">
        <w:t>QuantaSoft</w:t>
      </w:r>
      <w:proofErr w:type="spellEnd"/>
      <w:r w:rsidRPr="53F0BCD5">
        <w:t xml:space="preserve"> software (version 1.7.4.0917).</w:t>
      </w:r>
    </w:p>
    <w:p w14:paraId="2ED0E04B" w14:textId="77777777" w:rsidR="00EE53C7" w:rsidRPr="00EE53C7" w:rsidRDefault="00EE53C7" w:rsidP="53F0BCD5">
      <w:pPr>
        <w:pStyle w:val="Heading2"/>
        <w:rPr>
          <w:rFonts w:ascii="Calibri Light" w:eastAsia="MS Gothic" w:hAnsi="Calibri Light" w:cs="Times New Roman"/>
        </w:rPr>
      </w:pPr>
      <w:r>
        <w:t xml:space="preserve">QA/QC for </w:t>
      </w:r>
      <w:proofErr w:type="spellStart"/>
      <w:r>
        <w:t>ddPCR</w:t>
      </w:r>
      <w:proofErr w:type="spellEnd"/>
    </w:p>
    <w:p w14:paraId="1E3976A3" w14:textId="4778130C" w:rsidR="00EE53C7" w:rsidRPr="00EE53C7" w:rsidRDefault="00EE53C7" w:rsidP="53F0BCD5">
      <w:r w:rsidRPr="53F0BCD5">
        <w:t>The quantitative digital PCR experiments (</w:t>
      </w:r>
      <w:proofErr w:type="spellStart"/>
      <w:r w:rsidRPr="53F0BCD5">
        <w:t>dMIQE</w:t>
      </w:r>
      <w:proofErr w:type="spellEnd"/>
      <w:r w:rsidRPr="53F0BCD5">
        <w:t>) checklist (Table </w:t>
      </w:r>
      <w:r w:rsidRPr="00297838">
        <w:t>S8</w:t>
      </w:r>
      <w:r w:rsidRPr="53F0BCD5">
        <w:t xml:space="preserve">) was completed to document quality assurance and quality control steps taken for </w:t>
      </w:r>
      <w:proofErr w:type="spellStart"/>
      <w:r w:rsidRPr="53F0BCD5">
        <w:t>ddPCR</w:t>
      </w:r>
      <w:proofErr w:type="spellEnd"/>
      <w:r w:rsidRPr="53F0BCD5">
        <w:t xml:space="preserve"> analysis (</w:t>
      </w:r>
      <w:r w:rsidRPr="00297838">
        <w:t>Huggett et al. 2013</w:t>
      </w:r>
      <w:r w:rsidRPr="53F0BCD5">
        <w:t>). In addition, the limit of blanks, detection, and quantification were quantified for each gene in accordance with the MIQE guidelines (</w:t>
      </w:r>
      <w:proofErr w:type="spellStart"/>
      <w:r w:rsidRPr="00297838">
        <w:rPr>
          <w:sz w:val="24"/>
          <w:szCs w:val="24"/>
        </w:rPr>
        <w:t>Bustin</w:t>
      </w:r>
      <w:proofErr w:type="spellEnd"/>
      <w:r w:rsidRPr="00297838">
        <w:rPr>
          <w:sz w:val="24"/>
          <w:szCs w:val="24"/>
        </w:rPr>
        <w:t xml:space="preserve"> et al. 2009</w:t>
      </w:r>
      <w:r w:rsidRPr="53F0BCD5">
        <w:t>; </w:t>
      </w:r>
      <w:proofErr w:type="spellStart"/>
      <w:r w:rsidRPr="00297838">
        <w:rPr>
          <w:sz w:val="24"/>
          <w:szCs w:val="24"/>
        </w:rPr>
        <w:t>Deprez</w:t>
      </w:r>
      <w:proofErr w:type="spellEnd"/>
      <w:r w:rsidRPr="00297838">
        <w:rPr>
          <w:sz w:val="24"/>
          <w:szCs w:val="24"/>
        </w:rPr>
        <w:t xml:space="preserve"> et al. 2016</w:t>
      </w:r>
      <w:r w:rsidRPr="53F0BCD5">
        <w:t>; </w:t>
      </w:r>
      <w:r w:rsidRPr="00297838">
        <w:t>Taylor et al. 2017</w:t>
      </w:r>
      <w:r w:rsidRPr="53F0BCD5">
        <w:t>).</w:t>
      </w:r>
    </w:p>
    <w:p w14:paraId="1D891971" w14:textId="77777777" w:rsidR="00EE53C7" w:rsidRPr="00EE53C7" w:rsidRDefault="00EE53C7" w:rsidP="53F0BCD5">
      <w:pPr>
        <w:pStyle w:val="Heading2"/>
        <w:rPr>
          <w:rFonts w:ascii="Calibri Light" w:eastAsia="MS Gothic" w:hAnsi="Calibri Light" w:cs="Times New Roman"/>
        </w:rPr>
      </w:pPr>
      <w:r>
        <w:t>Water Quality Analysis</w:t>
      </w:r>
    </w:p>
    <w:p w14:paraId="2FA1CFCE" w14:textId="58DCD8C0" w:rsidR="00EE53C7" w:rsidRPr="00EE53C7" w:rsidRDefault="00EE53C7" w:rsidP="53F0BCD5">
      <w:r w:rsidRPr="53F0BCD5">
        <w:t xml:space="preserve">Temperature readings were gathered for all samples in situ, except for the wastewater effluent sample, which was measured after being transported to the lab. pH and conductivity were measured via </w:t>
      </w:r>
      <w:proofErr w:type="spellStart"/>
      <w:r w:rsidRPr="53F0BCD5">
        <w:t>Thermo</w:t>
      </w:r>
      <w:proofErr w:type="spellEnd"/>
      <w:r w:rsidRPr="53F0BCD5">
        <w:t xml:space="preserve"> Scientific Orion probes (</w:t>
      </w:r>
      <w:proofErr w:type="spellStart"/>
      <w:r w:rsidRPr="53F0BCD5">
        <w:t>Thermo</w:t>
      </w:r>
      <w:proofErr w:type="spellEnd"/>
      <w:r w:rsidRPr="53F0BCD5">
        <w:t xml:space="preserve"> Fisher Scientific, Waltham, Massachusetts) immediately after being transported to the lab. Total nitrogen (TN) was analyzed using the Hach Total Nitrogen Reagent Set (Hach Company, Ames, Iowa). The Hach set applies a persulfate digestion test method for the determination of TN at a range of </w:t>
      </w:r>
      <m:oMath>
        <m:r>
          <w:rPr>
            <w:rFonts w:ascii="Cambria Math" w:hAnsi="Cambria Math"/>
          </w:rPr>
          <m:t>0.5–25</m:t>
        </m:r>
        <m:r>
          <m:rPr>
            <m:nor/>
          </m:rPr>
          <m:t>  </m:t>
        </m:r>
        <m:r>
          <m:rPr>
            <m:sty m:val="p"/>
          </m:rPr>
          <w:rPr>
            <w:rFonts w:ascii="Cambria Math" w:hAnsi="Cambria Math"/>
          </w:rPr>
          <m:t>mg</m:t>
        </m:r>
        <m:r>
          <m:rPr>
            <m:nor/>
          </m:rPr>
          <m:t> </m:t>
        </m:r>
        <m:r>
          <m:rPr>
            <m:sty m:val="p"/>
          </m:rPr>
          <w:rPr>
            <w:rFonts w:ascii="Cambria Math" w:hAnsi="Cambria Math"/>
          </w:rPr>
          <m:t>N</m:t>
        </m:r>
        <m:r>
          <w:rPr>
            <w:rFonts w:ascii="Cambria Math" w:hAnsi="Cambria Math"/>
          </w:rPr>
          <m:t>/</m:t>
        </m:r>
        <m:r>
          <m:rPr>
            <m:sty m:val="p"/>
          </m:rPr>
          <w:rPr>
            <w:rFonts w:ascii="Cambria Math" w:hAnsi="Cambria Math"/>
          </w:rPr>
          <m:t>L</m:t>
        </m:r>
      </m:oMath>
      <w:r w:rsidRPr="53F0BCD5">
        <w:t>. Hach Phosphorus TNTplus Vial Tests (Hach Company) were utilized for total phosphorus (TP) quantification by the ascorbic acid test method, equivalent to EPA Method 365.1 (</w:t>
      </w:r>
      <w:r w:rsidRPr="00297838">
        <w:t>USEPA 1993</w:t>
      </w:r>
      <w:r w:rsidRPr="53F0BCD5">
        <w:t>). The range of TP measurement is </w:t>
      </w:r>
      <m:oMath>
        <m:r>
          <w:rPr>
            <w:rFonts w:ascii="Cambria Math" w:hAnsi="Cambria Math"/>
          </w:rPr>
          <m:t>0.05–1.5</m:t>
        </m:r>
        <m:r>
          <m:rPr>
            <m:nor/>
          </m:rPr>
          <m:t>  </m:t>
        </m:r>
        <m:r>
          <m:rPr>
            <m:sty m:val="p"/>
          </m:rPr>
          <w:rPr>
            <w:rFonts w:ascii="Cambria Math" w:hAnsi="Cambria Math"/>
          </w:rPr>
          <m:t>mg</m:t>
        </m:r>
        <m:r>
          <m:rPr>
            <m:nor/>
          </m:rPr>
          <m:t> </m:t>
        </m:r>
        <m:r>
          <m:rPr>
            <m:sty m:val="p"/>
          </m:rPr>
          <w:rPr>
            <w:rFonts w:ascii="Cambria Math" w:hAnsi="Cambria Math"/>
          </w:rPr>
          <m:t>P</m:t>
        </m:r>
        <m:r>
          <w:rPr>
            <w:rFonts w:ascii="Cambria Math" w:hAnsi="Cambria Math"/>
          </w:rPr>
          <m:t>/</m:t>
        </m:r>
        <m:r>
          <m:rPr>
            <m:sty m:val="p"/>
          </m:rPr>
          <w:rPr>
            <w:rFonts w:ascii="Cambria Math" w:hAnsi="Cambria Math"/>
          </w:rPr>
          <m:t>L</m:t>
        </m:r>
      </m:oMath>
      <w:r w:rsidRPr="53F0BCD5">
        <w:t xml:space="preserve">. TSS from a 1,000-mL sample was processed according to Standard Method 2540D. Dissolved organic carbon (DOC) and ultraviolet–visible (UV-Vis) spectrophotometry </w:t>
      </w:r>
      <w:proofErr w:type="gramStart"/>
      <w:r w:rsidRPr="53F0BCD5">
        <w:t>were</w:t>
      </w:r>
      <w:proofErr w:type="gramEnd"/>
      <w:r w:rsidRPr="53F0BCD5">
        <w:t xml:space="preserve"> determined according to the USEPA Method 415.3 (</w:t>
      </w:r>
      <w:r w:rsidRPr="00297838">
        <w:t xml:space="preserve">Potter and </w:t>
      </w:r>
      <w:proofErr w:type="spellStart"/>
      <w:r w:rsidRPr="00297838">
        <w:t>Wimsatt</w:t>
      </w:r>
      <w:proofErr w:type="spellEnd"/>
      <w:r w:rsidRPr="00297838">
        <w:t xml:space="preserve"> 2009</w:t>
      </w:r>
      <w:r w:rsidRPr="53F0BCD5">
        <w:t>) using a </w:t>
      </w:r>
      <m:oMath>
        <m:r>
          <m:rPr>
            <m:sty m:val="p"/>
          </m:rPr>
          <w:rPr>
            <w:rFonts w:ascii="Cambria Math" w:hAnsi="Cambria Math"/>
          </w:rPr>
          <m:t>TOC</m:t>
        </m:r>
        <m:r>
          <m:rPr>
            <m:nor/>
          </m: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CSN</m:t>
            </m:r>
          </m:sub>
        </m:sSub>
      </m:oMath>
      <w:r w:rsidRPr="53F0BCD5">
        <w:t> analyzer (Shimadzu, Kyoto, Japan) and GENESYS 50 UV-Vis spectrophotometer (</w:t>
      </w:r>
      <w:proofErr w:type="spellStart"/>
      <w:r w:rsidRPr="53F0BCD5">
        <w:t>Thermo</w:t>
      </w:r>
      <w:proofErr w:type="spellEnd"/>
      <w:r w:rsidRPr="53F0BCD5">
        <w:t xml:space="preserve"> Fisher Scientific), respectively. All water quality analysis results can be found in Table </w:t>
      </w:r>
      <w:r w:rsidRPr="00297838">
        <w:t>S1</w:t>
      </w:r>
      <w:r w:rsidRPr="53F0BCD5">
        <w:t>.</w:t>
      </w:r>
    </w:p>
    <w:p w14:paraId="6DADDDD0" w14:textId="77777777" w:rsidR="00EE53C7" w:rsidRPr="00EE53C7" w:rsidRDefault="00EE53C7" w:rsidP="53F0BCD5">
      <w:pPr>
        <w:pStyle w:val="Heading2"/>
        <w:rPr>
          <w:rFonts w:ascii="Calibri Light" w:eastAsia="MS Gothic" w:hAnsi="Calibri Light" w:cs="Times New Roman"/>
        </w:rPr>
      </w:pPr>
      <w:r>
        <w:t>Statistical Analysis</w:t>
      </w:r>
    </w:p>
    <w:p w14:paraId="42235572" w14:textId="31D0272C" w:rsidR="00EE53C7" w:rsidRPr="00EE53C7" w:rsidRDefault="00EE53C7" w:rsidP="53F0BCD5">
      <w:proofErr w:type="spellStart"/>
      <w:r w:rsidRPr="53F0BCD5">
        <w:t>ddPCR</w:t>
      </w:r>
      <w:proofErr w:type="spellEnd"/>
      <w:r w:rsidRPr="53F0BCD5">
        <w:t xml:space="preserve"> results were analyzed using </w:t>
      </w:r>
      <w:proofErr w:type="spellStart"/>
      <w:r w:rsidRPr="53F0BCD5">
        <w:t>QuantaSoft</w:t>
      </w:r>
      <w:proofErr w:type="spellEnd"/>
      <w:r w:rsidRPr="53F0BCD5">
        <w:t xml:space="preserve"> Analysis Pro Software (version 1.0.596). If a low number of droplets were measured (</w:t>
      </w:r>
      <m:oMath>
        <m:r>
          <w:rPr>
            <w:rFonts w:ascii="Cambria Math" w:hAnsi="Cambria Math"/>
          </w:rPr>
          <m:t>&lt;</m:t>
        </m:r>
        <m:r>
          <m:rPr>
            <m:sty m:val="p"/>
          </m:rPr>
          <w:rPr>
            <w:rFonts w:ascii="Cambria Math" w:hAnsi="Cambria Math"/>
          </w:rPr>
          <m:t>10,000</m:t>
        </m:r>
      </m:oMath>
      <w:r w:rsidRPr="53F0BCD5">
        <w:t> per 20 μL PCR), the reaction was rejected (</w:t>
      </w:r>
      <w:proofErr w:type="spellStart"/>
      <w:r w:rsidRPr="00297838">
        <w:rPr>
          <w:sz w:val="24"/>
          <w:szCs w:val="24"/>
        </w:rPr>
        <w:t>Košir</w:t>
      </w:r>
      <w:proofErr w:type="spellEnd"/>
      <w:r w:rsidRPr="00297838">
        <w:rPr>
          <w:sz w:val="24"/>
          <w:szCs w:val="24"/>
        </w:rPr>
        <w:t xml:space="preserve"> et al. 2017</w:t>
      </w:r>
      <w:r w:rsidRPr="53F0BCD5">
        <w:t>); the average number of droplets accepted across all samples was 14,487. The Shapiro-Wilk test (</w:t>
      </w:r>
      <m:oMath>
        <m:r>
          <w:rPr>
            <w:rFonts w:ascii="Cambria Math" w:hAnsi="Cambria Math"/>
          </w:rPr>
          <m:t>α=0.05</m:t>
        </m:r>
      </m:oMath>
      <w:r w:rsidRPr="53F0BCD5">
        <w:t>) was used to confirm that the absolute abundance of the gene data from each sampling location was not normally distributed. Consequently, the data were log-transformed, Shapiro-Wilk was performed once more to confirm normal distributions, and all subsequent statistical analyses were performed on the transformed data. A one-way ANOVA with the post hoc Tukey’s multiple comparisons test was performed to evaluate the significant relationships (</w:t>
      </w:r>
      <m:oMath>
        <m:r>
          <w:rPr>
            <w:rFonts w:ascii="Cambria Math" w:hAnsi="Cambria Math"/>
          </w:rPr>
          <m:t>p</m:t>
        </m:r>
        <m:r>
          <m:rPr>
            <m:nor/>
          </m:rPr>
          <m:t>-value</m:t>
        </m:r>
        <m:r>
          <w:rPr>
            <w:rFonts w:ascii="Cambria Math" w:hAnsi="Cambria Math"/>
          </w:rPr>
          <m:t>≤0.05</m:t>
        </m:r>
      </m:oMath>
      <w:r w:rsidRPr="53F0BCD5">
        <w:t>) between data sets. All statistical analyses were performed, and figures were produced using GraphPad Prism 7 (GraphPad Software, La Jolla, California).</w:t>
      </w:r>
    </w:p>
    <w:p w14:paraId="6091CB02" w14:textId="77777777" w:rsidR="00EE53C7" w:rsidRPr="00EE53C7" w:rsidRDefault="00EE53C7" w:rsidP="53F0BCD5">
      <w:pPr>
        <w:pStyle w:val="Heading1"/>
        <w:rPr>
          <w:rFonts w:ascii="Calibri Light" w:eastAsia="MS Gothic" w:hAnsi="Calibri Light" w:cs="Times New Roman"/>
          <w:b/>
          <w:bCs/>
        </w:rPr>
      </w:pPr>
      <w:r>
        <w:t>Results and Discussion</w:t>
      </w:r>
    </w:p>
    <w:p w14:paraId="5425E856" w14:textId="77777777" w:rsidR="00EE53C7" w:rsidRPr="00EE53C7" w:rsidRDefault="00EE53C7" w:rsidP="53F0BCD5">
      <w:pPr>
        <w:pStyle w:val="Heading2"/>
        <w:rPr>
          <w:rFonts w:ascii="Calibri Light" w:eastAsia="MS Gothic" w:hAnsi="Calibri Light" w:cs="Times New Roman"/>
        </w:rPr>
      </w:pPr>
      <w:r>
        <w:t>Validation of Adapted Adsorption-Elution Extracellular DNA Extraction Method</w:t>
      </w:r>
    </w:p>
    <w:p w14:paraId="4D4F1890" w14:textId="44458B62" w:rsidR="00EE53C7" w:rsidRPr="00EE53C7" w:rsidRDefault="00EE53C7" w:rsidP="53F0BCD5">
      <w:r w:rsidRPr="53F0BCD5">
        <w:t>The steps taken to validate this adapted eDNA extraction method included (1) running negative controls to quantify background contamination, (2) conducting spike and recovery experiments to evaluate recovery of multiple ARGs, and (3) employing the method on environmental samples to determine the method’s reproducibility in real-world water matrices. The results of the negative control experiments indicated that there was minimal contamination throughout the extraction process. Only </w:t>
      </w:r>
      <m:oMath>
        <m:r>
          <w:rPr>
            <w:rFonts w:ascii="Cambria Math" w:hAnsi="Cambria Math"/>
          </w:rPr>
          <m:t>bl</m:t>
        </m:r>
        <m:sSub>
          <m:sSubPr>
            <m:ctrlPr>
              <w:rPr>
                <w:rFonts w:ascii="Cambria Math" w:hAnsi="Cambria Math"/>
              </w:rPr>
            </m:ctrlPr>
          </m:sSubPr>
          <m:e>
            <m:r>
              <w:rPr>
                <w:rFonts w:ascii="Cambria Math" w:hAnsi="Cambria Math"/>
              </w:rPr>
              <m:t>a</m:t>
            </m:r>
          </m:e>
          <m:sub>
            <m:r>
              <m:rPr>
                <m:sty m:val="p"/>
              </m:rPr>
              <w:rPr>
                <w:rFonts w:ascii="Cambria Math" w:hAnsi="Cambria Math"/>
              </w:rPr>
              <m:t>TEM</m:t>
            </m:r>
          </m:sub>
        </m:sSub>
      </m:oMath>
      <w:r w:rsidRPr="53F0BCD5">
        <w:t> and </w:t>
      </w:r>
      <m:oMath>
        <m:r>
          <w:rPr>
            <w:rFonts w:ascii="Cambria Math" w:hAnsi="Cambria Math"/>
          </w:rPr>
          <m:t>intI1</m:t>
        </m:r>
      </m:oMath>
      <w:r w:rsidRPr="53F0BCD5">
        <w:t> were detectable above their limit of quantification in the negative control eDNA extracts (Table </w:t>
      </w:r>
      <w:r w:rsidRPr="00297838">
        <w:t>S2</w:t>
      </w:r>
      <w:r w:rsidRPr="53F0BCD5">
        <w:t>), and the detect values were more than two orders of magnitude lower than environmental concentrations.</w:t>
      </w:r>
    </w:p>
    <w:p w14:paraId="6E6E26AC" w14:textId="2E2D6B94" w:rsidR="00EE53C7" w:rsidRPr="00EE53C7" w:rsidRDefault="00EE53C7" w:rsidP="53F0BCD5">
      <w:r w:rsidRPr="53F0BCD5">
        <w:t>The recovery efficiency of the extracellular genes extracted via adsorption-elution using aluminum hydroxide–coated silica gel can be found in Fig. </w:t>
      </w:r>
      <w:r w:rsidRPr="00297838">
        <w:t>2</w:t>
      </w:r>
      <w:r w:rsidRPr="53F0BCD5">
        <w:t>. The average percentage recoveries were calculated to be </w:t>
      </w:r>
      <m:oMath>
        <m:r>
          <w:rPr>
            <w:rFonts w:ascii="Cambria Math" w:hAnsi="Cambria Math"/>
          </w:rPr>
          <m:t>99.0%±0.01%</m:t>
        </m:r>
      </m:oMath>
      <w:r w:rsidRPr="53F0BCD5">
        <w:t> for the 16S rRNA gene, while the mobile genetic element </w:t>
      </w:r>
      <m:oMath>
        <m:r>
          <w:rPr>
            <w:rFonts w:ascii="Cambria Math" w:hAnsi="Cambria Math"/>
          </w:rPr>
          <m:t>intI1</m:t>
        </m:r>
      </m:oMath>
      <w:r w:rsidRPr="53F0BCD5">
        <w:t> was </w:t>
      </w:r>
      <m:oMath>
        <m:r>
          <w:rPr>
            <w:rFonts w:ascii="Cambria Math" w:hAnsi="Cambria Math"/>
          </w:rPr>
          <m:t>84.9%±0.02%</m:t>
        </m:r>
      </m:oMath>
      <w:r w:rsidRPr="53F0BCD5">
        <w:t>, and the ARGs </w:t>
      </w:r>
      <m:oMath>
        <m:r>
          <w:rPr>
            <w:rFonts w:ascii="Cambria Math" w:hAnsi="Cambria Math"/>
          </w:rPr>
          <m:t>bl</m:t>
        </m:r>
        <m:sSub>
          <m:sSubPr>
            <m:ctrlPr>
              <w:rPr>
                <w:rFonts w:ascii="Cambria Math" w:hAnsi="Cambria Math"/>
              </w:rPr>
            </m:ctrlPr>
          </m:sSubPr>
          <m:e>
            <m:r>
              <w:rPr>
                <w:rFonts w:ascii="Cambria Math" w:hAnsi="Cambria Math"/>
              </w:rPr>
              <m:t>a</m:t>
            </m:r>
          </m:e>
          <m:sub>
            <m:r>
              <m:rPr>
                <m:sty m:val="p"/>
              </m:rPr>
              <w:rPr>
                <w:rFonts w:ascii="Cambria Math" w:hAnsi="Cambria Math"/>
              </w:rPr>
              <m:t>TEM</m:t>
            </m:r>
          </m:sub>
        </m:sSub>
      </m:oMath>
      <w:r w:rsidRPr="53F0BCD5">
        <w:t>, </w:t>
      </w:r>
      <m:oMath>
        <m:r>
          <w:rPr>
            <w:rFonts w:ascii="Cambria Math" w:hAnsi="Cambria Math"/>
          </w:rPr>
          <m:t>erm</m:t>
        </m:r>
        <m:r>
          <m:rPr>
            <m:sty m:val="p"/>
          </m:rPr>
          <w:rPr>
            <w:rFonts w:ascii="Cambria Math" w:hAnsi="Cambria Math"/>
          </w:rPr>
          <m:t>B</m:t>
        </m:r>
      </m:oMath>
      <w:r w:rsidRPr="53F0BCD5">
        <w:t>, and </w:t>
      </w:r>
      <m:oMath>
        <m:r>
          <w:rPr>
            <w:rFonts w:ascii="Cambria Math" w:hAnsi="Cambria Math"/>
          </w:rPr>
          <m:t>sul1</m:t>
        </m:r>
      </m:oMath>
      <w:r w:rsidRPr="53F0BCD5">
        <w:t> were </w:t>
      </w:r>
      <m:oMath>
        <m:r>
          <w:rPr>
            <w:rFonts w:ascii="Cambria Math" w:hAnsi="Cambria Math"/>
          </w:rPr>
          <m:t>94.4%±0.02%</m:t>
        </m:r>
      </m:oMath>
      <w:r w:rsidRPr="53F0BCD5">
        <w:t>, </w:t>
      </w:r>
      <m:oMath>
        <m:r>
          <w:rPr>
            <w:rFonts w:ascii="Cambria Math" w:hAnsi="Cambria Math"/>
          </w:rPr>
          <m:t>97.0%±</m:t>
        </m:r>
      </m:oMath>
      <w:r w:rsidRPr="53F0BCD5">
        <w:t> 0.06%, and </w:t>
      </w:r>
      <m:oMath>
        <m:r>
          <w:rPr>
            <w:rFonts w:ascii="Cambria Math" w:hAnsi="Cambria Math"/>
          </w:rPr>
          <m:t>79.5%±0.02%</m:t>
        </m:r>
      </m:oMath>
      <w:r w:rsidRPr="53F0BCD5">
        <w:t>, respectively (Table </w:t>
      </w:r>
      <w:r w:rsidRPr="00297838">
        <w:t>S3</w:t>
      </w:r>
      <w:r w:rsidRPr="53F0BCD5">
        <w:t xml:space="preserve">). These results were found to be </w:t>
      </w:r>
      <w:proofErr w:type="gramStart"/>
      <w:r w:rsidRPr="53F0BCD5">
        <w:t>similar to</w:t>
      </w:r>
      <w:proofErr w:type="gramEnd"/>
      <w:r w:rsidRPr="53F0BCD5">
        <w:t xml:space="preserve"> those obtained in Wang et al. (</w:t>
      </w:r>
      <w:r w:rsidRPr="00297838">
        <w:t>2016</w:t>
      </w:r>
      <w:r w:rsidRPr="53F0BCD5">
        <w:t>), in which the pUC19 plasmid was recovered at a rate exceeding 90%.</w:t>
      </w:r>
    </w:p>
    <w:p w14:paraId="12CE96F0" w14:textId="5CCED17A" w:rsidR="00EE53C7" w:rsidRPr="00EE53C7" w:rsidRDefault="00EE53C7" w:rsidP="53F0BCD5">
      <w:r w:rsidRPr="53F0BCD5">
        <w:t>The reproducibility of the method was determined by quantifying the relative standard deviation of three genes extracted in triplicate from a river surface water sample. The relative standard deviation of the mean environmental concentrations of the 16S rRNA gene, </w:t>
      </w:r>
      <m:oMath>
        <m:r>
          <w:rPr>
            <w:rFonts w:ascii="Cambria Math" w:hAnsi="Cambria Math"/>
          </w:rPr>
          <m:t>erm</m:t>
        </m:r>
        <m:r>
          <m:rPr>
            <m:sty m:val="p"/>
          </m:rPr>
          <w:rPr>
            <w:rFonts w:ascii="Cambria Math" w:hAnsi="Cambria Math"/>
          </w:rPr>
          <m:t>B</m:t>
        </m:r>
      </m:oMath>
      <w:r w:rsidRPr="53F0BCD5">
        <w:t>, and </w:t>
      </w:r>
      <m:oMath>
        <m:r>
          <w:rPr>
            <w:rFonts w:ascii="Cambria Math" w:hAnsi="Cambria Math"/>
          </w:rPr>
          <m:t>sul1</m:t>
        </m:r>
      </m:oMath>
      <w:r w:rsidRPr="53F0BCD5">
        <w:t> were 3.12%, 0.37%, and 4.24%, respectively (Tables </w:t>
      </w:r>
      <w:r w:rsidRPr="00297838">
        <w:t>S4</w:t>
      </w:r>
      <w:r w:rsidRPr="53F0BCD5">
        <w:t>–</w:t>
      </w:r>
      <w:r w:rsidRPr="00297838">
        <w:t>S6</w:t>
      </w:r>
      <w:r w:rsidRPr="53F0BCD5">
        <w:t>). The recoveries and consistency in gene extraction demonstrate this method’s ability for simultaneous and reproducible extracellular DNA extraction to quantify eARGs. Moving forward, this method was applied to more complex environmental waters. The environmental waters sampled—tap water, river and lake surface water, stormwater, and wastewater effluent—varied in ARG contamination, as well as pH, specific conductance, TSS, TN, TP, DOC, and UV-Vis (Table </w:t>
      </w:r>
      <w:r w:rsidRPr="00297838">
        <w:t>S1</w:t>
      </w:r>
      <w:r w:rsidRPr="53F0BCD5">
        <w:t>), signifying that this adsorption-elution method was successful in handling a range of environmental waters.</w:t>
      </w:r>
    </w:p>
    <w:p w14:paraId="1A8131CF" w14:textId="77777777" w:rsidR="00EE53C7" w:rsidRPr="00EE53C7" w:rsidRDefault="00EE53C7" w:rsidP="53F0BCD5">
      <w:pPr>
        <w:pStyle w:val="Heading2"/>
        <w:rPr>
          <w:rFonts w:ascii="Calibri Light" w:eastAsia="MS Gothic" w:hAnsi="Calibri Light" w:cs="Times New Roman"/>
        </w:rPr>
      </w:pPr>
      <w:r>
        <w:t>Detection of Extracellular DNA and ARGs in Environmental Waters</w:t>
      </w:r>
    </w:p>
    <w:p w14:paraId="696083A6" w14:textId="77777777" w:rsidR="00EE53C7" w:rsidRPr="00EE53C7" w:rsidRDefault="00EE53C7" w:rsidP="53F0BCD5">
      <w:pPr>
        <w:pStyle w:val="Heading3"/>
        <w:rPr>
          <w:rFonts w:ascii="Calibri Light" w:eastAsia="MS Gothic" w:hAnsi="Calibri Light" w:cs="Times New Roman"/>
        </w:rPr>
      </w:pPr>
      <w:r>
        <w:t>Tap Water</w:t>
      </w:r>
    </w:p>
    <w:p w14:paraId="36A77303" w14:textId="39B7765C" w:rsidR="00EE53C7" w:rsidRPr="00EE53C7" w:rsidRDefault="00EE53C7" w:rsidP="53F0BCD5">
      <w:r w:rsidRPr="53F0BCD5">
        <w:t>The mean extracellular gene abundances detected from the tap water sample were statistically lower (</w:t>
      </w:r>
      <m:oMath>
        <m:r>
          <w:rPr>
            <w:rFonts w:ascii="Cambria Math" w:hAnsi="Cambria Math"/>
          </w:rPr>
          <m:t>p&lt;0.05</m:t>
        </m:r>
      </m:oMath>
      <w:r w:rsidRPr="53F0BCD5">
        <w:t>) than all other environmental samples, indicating the se</w:t>
      </w:r>
      <w:proofErr w:type="spellStart"/>
      <w:r w:rsidRPr="53F0BCD5">
        <w:t>nsitivity</w:t>
      </w:r>
      <w:proofErr w:type="spellEnd"/>
      <w:r w:rsidRPr="53F0BCD5">
        <w:t xml:space="preserve"> of this method for the extraction of eARGs at low concentrations (Fig. </w:t>
      </w:r>
      <w:r w:rsidRPr="00297838">
        <w:t>3</w:t>
      </w:r>
      <w:r w:rsidRPr="53F0BCD5">
        <w:t>). For the first time, the extracellular concentration of the </w:t>
      </w:r>
      <m:oMath>
        <m:r>
          <w:rPr>
            <w:rFonts w:ascii="Cambria Math" w:hAnsi="Cambria Math"/>
          </w:rPr>
          <m:t>erm</m:t>
        </m:r>
        <m:r>
          <m:rPr>
            <m:sty m:val="p"/>
          </m:rPr>
          <w:rPr>
            <w:rFonts w:ascii="Cambria Math" w:hAnsi="Cambria Math"/>
          </w:rPr>
          <m:t>F</m:t>
        </m:r>
      </m:oMath>
      <w:r w:rsidRPr="53F0BCD5">
        <w:t> resistance gene a</w:t>
      </w:r>
      <w:proofErr w:type="spellStart"/>
      <w:r w:rsidRPr="53F0BCD5">
        <w:t>nd</w:t>
      </w:r>
      <w:proofErr w:type="spellEnd"/>
      <w:r w:rsidRPr="53F0BCD5">
        <w:t xml:space="preserve"> the </w:t>
      </w:r>
      <m:oMath>
        <m:r>
          <w:rPr>
            <w:rFonts w:ascii="Cambria Math" w:hAnsi="Cambria Math"/>
          </w:rPr>
          <m:t>intI1</m:t>
        </m:r>
      </m:oMath>
      <w:r w:rsidRPr="53F0BCD5">
        <w:t> mobile genetic element were quantified in tap water; the mean concentrations were </w:t>
      </w:r>
      <m:oMath>
        <m:r>
          <w:rPr>
            <w:rFonts w:ascii="Cambria Math" w:hAnsi="Cambria Math"/>
          </w:rPr>
          <m:t>1.26×</m:t>
        </m:r>
        <m:sSup>
          <m:sSupPr>
            <m:ctrlPr>
              <w:rPr>
                <w:rFonts w:ascii="Cambria Math" w:hAnsi="Cambria Math"/>
              </w:rPr>
            </m:ctrlPr>
          </m:sSupPr>
          <m:e>
            <m:r>
              <w:rPr>
                <w:rFonts w:ascii="Cambria Math" w:hAnsi="Cambria Math"/>
              </w:rPr>
              <m:t>10</m:t>
            </m:r>
          </m:e>
          <m:sup>
            <m:r>
              <w:rPr>
                <w:rFonts w:ascii="Cambria Math" w:hAnsi="Cambria Math"/>
              </w:rPr>
              <m:t>5</m:t>
            </m:r>
          </m:sup>
        </m:sSup>
      </m:oMath>
      <w:r w:rsidRPr="53F0BCD5">
        <w:t> and </w:t>
      </w:r>
      <m:oMath>
        <m:r>
          <w:rPr>
            <w:rFonts w:ascii="Cambria Math" w:hAnsi="Cambria Math"/>
          </w:rPr>
          <m:t>7.00×</m:t>
        </m:r>
        <m:sSup>
          <m:sSupPr>
            <m:ctrlPr>
              <w:rPr>
                <w:rFonts w:ascii="Cambria Math" w:hAnsi="Cambria Math"/>
              </w:rPr>
            </m:ctrlPr>
          </m:sSupPr>
          <m:e>
            <m:r>
              <w:rPr>
                <w:rFonts w:ascii="Cambria Math" w:hAnsi="Cambria Math"/>
              </w:rPr>
              <m:t>10</m:t>
            </m:r>
          </m:e>
          <m:sup>
            <m:r>
              <w:rPr>
                <w:rFonts w:ascii="Cambria Math" w:hAnsi="Cambria Math"/>
              </w:rPr>
              <m:t>4</m:t>
            </m:r>
          </m:sup>
        </m:sSup>
      </m:oMath>
      <w:r w:rsidRPr="53F0BCD5">
        <w:t> gene copies/L, respectively. Compared to reports of eARGs extracted from tap water through different methods, the conc</w:t>
      </w:r>
      <w:proofErr w:type="spellStart"/>
      <w:r w:rsidRPr="53F0BCD5">
        <w:t>entrations</w:t>
      </w:r>
      <w:proofErr w:type="spellEnd"/>
      <w:r w:rsidRPr="53F0BCD5">
        <w:t xml:space="preserve"> of the ARGs </w:t>
      </w:r>
      <m:oMath>
        <m:r>
          <w:rPr>
            <w:rFonts w:ascii="Cambria Math" w:hAnsi="Cambria Math"/>
          </w:rPr>
          <m:t>tet</m:t>
        </m:r>
        <m:r>
          <m:rPr>
            <m:sty m:val="p"/>
          </m:rPr>
          <w:rPr>
            <w:rFonts w:ascii="Cambria Math" w:hAnsi="Cambria Math"/>
          </w:rPr>
          <m:t>C</m:t>
        </m:r>
      </m:oMath>
      <w:r w:rsidRPr="53F0BCD5">
        <w:t>, </w:t>
      </w:r>
      <m:oMath>
        <m:r>
          <w:rPr>
            <w:rFonts w:ascii="Cambria Math" w:hAnsi="Cambria Math"/>
          </w:rPr>
          <m:t>sul1</m:t>
        </m:r>
      </m:oMath>
      <w:r w:rsidRPr="53F0BCD5">
        <w:t>, and </w:t>
      </w:r>
      <m:oMath>
        <m:r>
          <w:rPr>
            <w:rFonts w:ascii="Cambria Math" w:hAnsi="Cambria Math"/>
          </w:rPr>
          <m:t>bl</m:t>
        </m:r>
        <m:sSub>
          <m:sSubPr>
            <m:ctrlPr>
              <w:rPr>
                <w:rFonts w:ascii="Cambria Math" w:hAnsi="Cambria Math"/>
              </w:rPr>
            </m:ctrlPr>
          </m:sSubPr>
          <m:e>
            <m:r>
              <w:rPr>
                <w:rFonts w:ascii="Cambria Math" w:hAnsi="Cambria Math"/>
              </w:rPr>
              <m:t>a</m:t>
            </m:r>
          </m:e>
          <m:sub>
            <m:r>
              <m:rPr>
                <m:sty m:val="p"/>
              </m:rPr>
              <w:rPr>
                <w:rFonts w:ascii="Cambria Math" w:hAnsi="Cambria Math"/>
              </w:rPr>
              <m:t>TEM</m:t>
            </m:r>
          </m:sub>
        </m:sSub>
      </m:oMath>
      <w:r w:rsidRPr="53F0BCD5">
        <w:t> in this study were slightly higher than those reported in Hao et al. (</w:t>
      </w:r>
      <w:r w:rsidRPr="00297838">
        <w:t>2019</w:t>
      </w:r>
      <w:r w:rsidRPr="53F0BCD5">
        <w:t xml:space="preserve">), and the fraction of the 16S rRNA gene was much lower than that of </w:t>
      </w:r>
      <w:proofErr w:type="spellStart"/>
      <w:r w:rsidRPr="53F0BCD5">
        <w:t>Sakcham</w:t>
      </w:r>
      <w:proofErr w:type="spellEnd"/>
      <w:r w:rsidRPr="53F0BCD5">
        <w:t xml:space="preserve"> et al. (</w:t>
      </w:r>
      <w:r w:rsidRPr="00297838">
        <w:t>2019</w:t>
      </w:r>
      <w:r w:rsidRPr="53F0BCD5">
        <w:t>), who reported the fraction of eDNA to be between 29% and 48% of the total DNA from a distribution system utilizing monochloramine as a secondary disinfectant. The residual in the distribution systems from this study is also a chloramine, while free chlorine was used in Hao et al. (</w:t>
      </w:r>
      <w:r w:rsidRPr="00297838">
        <w:t>2019</w:t>
      </w:r>
      <w:r w:rsidRPr="53F0BCD5">
        <w:t>). Chloramines have been reported to provide better penetration of biofilms in distribution systems compared to free chlorine (</w:t>
      </w:r>
      <w:r w:rsidRPr="00297838">
        <w:t>Lee et al. 2011</w:t>
      </w:r>
      <w:r w:rsidRPr="53F0BCD5">
        <w:t>). Moreover, disinfectants and disinfection byproducts have been shown to provide a selective pressure on microbial communities, promoting horizontal gene transfer (</w:t>
      </w:r>
      <w:r w:rsidRPr="00297838">
        <w:t>Mantilla-Calderon et al. 2019</w:t>
      </w:r>
      <w:r w:rsidRPr="53F0BCD5">
        <w:t xml:space="preserve">). These results suggest that the residuals applied by drinking water utilities could be playing a crucial role in the distribution systems and ultimately influencing the abundance of eDNA and eARGs in tap water. Because only one sample was evaluated in this study, more research will be needed to elucidate the specific function residuals play on </w:t>
      </w:r>
      <w:proofErr w:type="spellStart"/>
      <w:r w:rsidRPr="53F0BCD5">
        <w:t>eARG</w:t>
      </w:r>
      <w:proofErr w:type="spellEnd"/>
      <w:r w:rsidRPr="53F0BCD5">
        <w:t xml:space="preserve"> abundance.</w:t>
      </w:r>
    </w:p>
    <w:p w14:paraId="50F40FA8" w14:textId="77777777" w:rsidR="00EE53C7" w:rsidRPr="00EE53C7" w:rsidRDefault="00EE53C7" w:rsidP="53F0BCD5">
      <w:pPr>
        <w:pStyle w:val="Heading3"/>
        <w:rPr>
          <w:rFonts w:ascii="Calibri Light" w:eastAsia="MS Gothic" w:hAnsi="Calibri Light" w:cs="Times New Roman"/>
        </w:rPr>
      </w:pPr>
      <w:r>
        <w:t>Wastewater</w:t>
      </w:r>
    </w:p>
    <w:p w14:paraId="3E098A81" w14:textId="40E1F8FA" w:rsidR="00EE53C7" w:rsidRPr="00EE53C7" w:rsidRDefault="00EE53C7" w:rsidP="53F0BCD5">
      <w:r w:rsidRPr="53F0BCD5">
        <w:t>In full-scale wastewater treatment plants, disinfection and biological treatment have a demonstrated ability to significantly alter the abundance of DNA and ARGs, leading to wastewater treatment plants being labeled as hotspots for antibiotic resistance (</w:t>
      </w:r>
      <w:proofErr w:type="spellStart"/>
      <w:r w:rsidRPr="00297838">
        <w:rPr>
          <w:sz w:val="24"/>
          <w:szCs w:val="24"/>
        </w:rPr>
        <w:t>LaPara</w:t>
      </w:r>
      <w:proofErr w:type="spellEnd"/>
      <w:r w:rsidRPr="00297838">
        <w:rPr>
          <w:sz w:val="24"/>
          <w:szCs w:val="24"/>
        </w:rPr>
        <w:t xml:space="preserve"> et al. 2011</w:t>
      </w:r>
      <w:r w:rsidRPr="53F0BCD5">
        <w:t>; </w:t>
      </w:r>
      <w:r w:rsidRPr="00297838">
        <w:t>Liu et al. 2018</w:t>
      </w:r>
      <w:r w:rsidRPr="53F0BCD5">
        <w:t>; </w:t>
      </w:r>
      <w:r w:rsidRPr="00297838">
        <w:t>Yuan et al. 2019</w:t>
      </w:r>
      <w:r w:rsidRPr="53F0BCD5">
        <w:t>; </w:t>
      </w:r>
      <w:r w:rsidRPr="00297838">
        <w:t>Zhang et al. 2018</w:t>
      </w:r>
      <w:r w:rsidRPr="53F0BCD5">
        <w:t>). The disinfection process that preceded the effluent sample for this study was chlorine disinfection. Liu et al. (</w:t>
      </w:r>
      <w:r w:rsidRPr="00297838">
        <w:t>2018</w:t>
      </w:r>
      <w:r w:rsidRPr="53F0BCD5">
        <w:t>) documented that the concentrations of both iARGs (</w:t>
      </w:r>
      <m:oMath>
        <m:r>
          <w:rPr>
            <w:rFonts w:ascii="Cambria Math" w:hAnsi="Cambria Math"/>
          </w:rPr>
          <m:t>n=22</m:t>
        </m:r>
      </m:oMath>
      <w:r w:rsidRPr="53F0BCD5">
        <w:t>) and eARGs (</w:t>
      </w:r>
      <m:oMath>
        <m:r>
          <w:rPr>
            <w:rFonts w:ascii="Cambria Math" w:hAnsi="Cambria Math"/>
          </w:rPr>
          <m:t>n=19</m:t>
        </m:r>
      </m:oMath>
      <w:r w:rsidRPr="53F0BCD5">
        <w:t>) were significantly increased following chlorine disinfection, including </w:t>
      </w:r>
      <m:oMath>
        <m:r>
          <w:rPr>
            <w:rFonts w:ascii="Cambria Math" w:hAnsi="Cambria Math"/>
          </w:rPr>
          <m:t>tet</m:t>
        </m:r>
        <m:r>
          <m:rPr>
            <m:sty m:val="p"/>
          </m:rPr>
          <w:rPr>
            <w:rFonts w:ascii="Cambria Math" w:hAnsi="Cambria Math"/>
          </w:rPr>
          <m:t>C</m:t>
        </m:r>
      </m:oMath>
      <w:r w:rsidRPr="53F0BCD5">
        <w:t>, </w:t>
      </w:r>
      <m:oMath>
        <m:r>
          <w:rPr>
            <w:rFonts w:ascii="Cambria Math" w:hAnsi="Cambria Math"/>
          </w:rPr>
          <m:t>sul1</m:t>
        </m:r>
      </m:oMath>
      <w:r w:rsidRPr="53F0BCD5">
        <w:t>, and </w:t>
      </w:r>
      <m:oMath>
        <m:r>
          <w:rPr>
            <w:rFonts w:ascii="Cambria Math" w:hAnsi="Cambria Math"/>
          </w:rPr>
          <m:t>bl</m:t>
        </m:r>
        <m:sSub>
          <m:sSubPr>
            <m:ctrlPr>
              <w:rPr>
                <w:rFonts w:ascii="Cambria Math" w:hAnsi="Cambria Math"/>
              </w:rPr>
            </m:ctrlPr>
          </m:sSubPr>
          <m:e>
            <m:r>
              <w:rPr>
                <w:rFonts w:ascii="Cambria Math" w:hAnsi="Cambria Math"/>
              </w:rPr>
              <m:t>a</m:t>
            </m:r>
          </m:e>
          <m:sub>
            <m:r>
              <m:rPr>
                <m:sty m:val="p"/>
              </m:rPr>
              <w:rPr>
                <w:rFonts w:ascii="Cambria Math" w:hAnsi="Cambria Math"/>
              </w:rPr>
              <m:t>TEM</m:t>
            </m:r>
          </m:sub>
        </m:sSub>
      </m:oMath>
      <w:r w:rsidRPr="53F0BCD5">
        <w:t xml:space="preserve">. This enhancement of ARGs within chlorine processes was observed in previous research due to the </w:t>
      </w:r>
      <w:proofErr w:type="spellStart"/>
      <w:r w:rsidRPr="53F0BCD5">
        <w:t>coselection</w:t>
      </w:r>
      <w:proofErr w:type="spellEnd"/>
      <w:r w:rsidRPr="53F0BCD5">
        <w:t xml:space="preserve"> of disinfection and antibiotic resistance (</w:t>
      </w:r>
      <w:proofErr w:type="spellStart"/>
      <w:r w:rsidRPr="00297838">
        <w:rPr>
          <w:sz w:val="24"/>
          <w:szCs w:val="24"/>
        </w:rPr>
        <w:t>Jin</w:t>
      </w:r>
      <w:proofErr w:type="spellEnd"/>
      <w:r w:rsidRPr="00297838">
        <w:rPr>
          <w:sz w:val="24"/>
          <w:szCs w:val="24"/>
        </w:rPr>
        <w:t xml:space="preserve"> et al. 2020</w:t>
      </w:r>
      <w:r w:rsidRPr="53F0BCD5">
        <w:t>; </w:t>
      </w:r>
      <w:r w:rsidRPr="00297838">
        <w:t>Li et al. 2016</w:t>
      </w:r>
      <w:r w:rsidRPr="53F0BCD5">
        <w:t>). Moreover, it has been demonstrated that chlorination can cause the release of viable eARGs from cell lysis while simultaneously promoting competent bacterial cells, resulting in a rise of gene transfer via transformation (</w:t>
      </w:r>
      <w:proofErr w:type="spellStart"/>
      <w:r w:rsidRPr="00297838">
        <w:rPr>
          <w:sz w:val="24"/>
          <w:szCs w:val="24"/>
        </w:rPr>
        <w:t>Jin</w:t>
      </w:r>
      <w:proofErr w:type="spellEnd"/>
      <w:r w:rsidRPr="00297838">
        <w:rPr>
          <w:sz w:val="24"/>
          <w:szCs w:val="24"/>
        </w:rPr>
        <w:t xml:space="preserve"> et al. 2020</w:t>
      </w:r>
      <w:r w:rsidRPr="53F0BCD5">
        <w:t>). The wastewater effluent sample taken for this study consistently displayed the greatest mean absolute abundance for all eARGs quantified, </w:t>
      </w:r>
      <m:oMath>
        <m:r>
          <w:rPr>
            <w:rFonts w:ascii="Cambria Math" w:hAnsi="Cambria Math"/>
          </w:rPr>
          <m:t>bl</m:t>
        </m:r>
        <m:sSub>
          <m:sSubPr>
            <m:ctrlPr>
              <w:rPr>
                <w:rFonts w:ascii="Cambria Math" w:hAnsi="Cambria Math"/>
              </w:rPr>
            </m:ctrlPr>
          </m:sSubPr>
          <m:e>
            <m:r>
              <w:rPr>
                <w:rFonts w:ascii="Cambria Math" w:hAnsi="Cambria Math"/>
              </w:rPr>
              <m:t>a</m:t>
            </m:r>
          </m:e>
          <m:sub>
            <m:r>
              <m:rPr>
                <m:sty m:val="p"/>
              </m:rPr>
              <w:rPr>
                <w:rFonts w:ascii="Cambria Math" w:hAnsi="Cambria Math"/>
              </w:rPr>
              <m:t>TEM</m:t>
            </m:r>
          </m:sub>
        </m:sSub>
      </m:oMath>
      <w:r w:rsidRPr="53F0BCD5">
        <w:t>, </w:t>
      </w:r>
      <m:oMath>
        <m:r>
          <w:rPr>
            <w:rFonts w:ascii="Cambria Math" w:hAnsi="Cambria Math"/>
          </w:rPr>
          <m:t>erm</m:t>
        </m:r>
        <m:r>
          <m:rPr>
            <m:sty m:val="p"/>
          </m:rPr>
          <w:rPr>
            <w:rFonts w:ascii="Cambria Math" w:hAnsi="Cambria Math"/>
          </w:rPr>
          <m:t>F</m:t>
        </m:r>
      </m:oMath>
      <w:r w:rsidRPr="53F0BCD5">
        <w:t>, </w:t>
      </w:r>
      <m:oMath>
        <m:r>
          <w:rPr>
            <w:rFonts w:ascii="Cambria Math" w:hAnsi="Cambria Math"/>
          </w:rPr>
          <m:t>sul1</m:t>
        </m:r>
      </m:oMath>
      <w:r w:rsidRPr="53F0BCD5">
        <w:t>, and </w:t>
      </w:r>
      <m:oMath>
        <m:r>
          <w:rPr>
            <w:rFonts w:ascii="Cambria Math" w:hAnsi="Cambria Math"/>
          </w:rPr>
          <m:t>tet</m:t>
        </m:r>
        <m:r>
          <m:rPr>
            <m:sty m:val="p"/>
          </m:rPr>
          <w:rPr>
            <w:rFonts w:ascii="Cambria Math" w:hAnsi="Cambria Math"/>
          </w:rPr>
          <m:t>C</m:t>
        </m:r>
      </m:oMath>
      <w:r w:rsidRPr="53F0BCD5">
        <w:t> (Fig. </w:t>
      </w:r>
      <w:r w:rsidRPr="00297838">
        <w:t>3</w:t>
      </w:r>
      <w:r w:rsidRPr="53F0BCD5">
        <w:t>). The absolute abundance concentrations of the eARGs ranged from </w:t>
      </w:r>
      <m:oMath>
        <m:r>
          <w:rPr>
            <w:rFonts w:ascii="Cambria Math" w:hAnsi="Cambria Math"/>
          </w:rPr>
          <m:t>8.82×</m:t>
        </m:r>
        <m:sSup>
          <m:sSupPr>
            <m:ctrlPr>
              <w:rPr>
                <w:rFonts w:ascii="Cambria Math" w:hAnsi="Cambria Math"/>
              </w:rPr>
            </m:ctrlPr>
          </m:sSupPr>
          <m:e>
            <m:r>
              <w:rPr>
                <w:rFonts w:ascii="Cambria Math" w:hAnsi="Cambria Math"/>
              </w:rPr>
              <m:t>10</m:t>
            </m:r>
          </m:e>
          <m:sup>
            <m:r>
              <w:rPr>
                <w:rFonts w:ascii="Cambria Math" w:hAnsi="Cambria Math"/>
              </w:rPr>
              <m:t>6</m:t>
            </m:r>
          </m:sup>
        </m:sSup>
      </m:oMath>
      <w:r w:rsidRPr="53F0BCD5">
        <w:t> to </w:t>
      </w:r>
      <m:oMath>
        <m:r>
          <w:rPr>
            <w:rFonts w:ascii="Cambria Math" w:hAnsi="Cambria Math"/>
          </w:rPr>
          <m:t>2.49×</m:t>
        </m:r>
        <m:sSup>
          <m:sSupPr>
            <m:ctrlPr>
              <w:rPr>
                <w:rFonts w:ascii="Cambria Math" w:hAnsi="Cambria Math"/>
              </w:rPr>
            </m:ctrlPr>
          </m:sSupPr>
          <m:e>
            <m:r>
              <w:rPr>
                <w:rFonts w:ascii="Cambria Math" w:hAnsi="Cambria Math"/>
              </w:rPr>
              <m:t>10</m:t>
            </m:r>
          </m:e>
          <m:sup>
            <m:r>
              <w:rPr>
                <w:rFonts w:ascii="Cambria Math" w:hAnsi="Cambria Math"/>
              </w:rPr>
              <m:t>7</m:t>
            </m:r>
          </m:sup>
        </m:sSup>
      </m:oMath>
      <w:r w:rsidRPr="53F0BCD5">
        <w:t> gene copies/L, consistent w</w:t>
      </w:r>
      <w:proofErr w:type="spellStart"/>
      <w:r w:rsidRPr="53F0BCD5">
        <w:t>ith</w:t>
      </w:r>
      <w:proofErr w:type="spellEnd"/>
      <w:r w:rsidRPr="53F0BCD5">
        <w:t xml:space="preserve"> the effluent samples from Liu et al. (</w:t>
      </w:r>
      <w:r w:rsidRPr="00297838">
        <w:t>2018</w:t>
      </w:r>
      <w:r w:rsidRPr="53F0BCD5">
        <w:t>), Yuan et al. (</w:t>
      </w:r>
      <w:r w:rsidRPr="00297838">
        <w:t>2019</w:t>
      </w:r>
      <w:r w:rsidRPr="53F0BCD5">
        <w:t>), and Zhang et al. (</w:t>
      </w:r>
      <w:r w:rsidRPr="00297838">
        <w:t>2018</w:t>
      </w:r>
      <w:r w:rsidRPr="53F0BCD5">
        <w:t>). In addition, the concentration of the extracellular mobile genetic element, </w:t>
      </w:r>
      <m:oMath>
        <m:r>
          <w:rPr>
            <w:rFonts w:ascii="Cambria Math" w:hAnsi="Cambria Math"/>
          </w:rPr>
          <m:t>intI1</m:t>
        </m:r>
      </m:oMath>
      <w:r w:rsidRPr="53F0BCD5">
        <w:t>, which has been reported in wastewater effluent, was quantified at </w:t>
      </w:r>
      <m:oMath>
        <m:r>
          <w:rPr>
            <w:rFonts w:ascii="Cambria Math" w:hAnsi="Cambria Math"/>
          </w:rPr>
          <m:t>2.10×</m:t>
        </m:r>
        <m:sSup>
          <m:sSupPr>
            <m:ctrlPr>
              <w:rPr>
                <w:rFonts w:ascii="Cambria Math" w:hAnsi="Cambria Math"/>
              </w:rPr>
            </m:ctrlPr>
          </m:sSupPr>
          <m:e>
            <m:r>
              <w:rPr>
                <w:rFonts w:ascii="Cambria Math" w:hAnsi="Cambria Math"/>
              </w:rPr>
              <m:t>10</m:t>
            </m:r>
          </m:e>
          <m:sup>
            <m:r>
              <w:rPr>
                <w:rFonts w:ascii="Cambria Math" w:hAnsi="Cambria Math"/>
              </w:rPr>
              <m:t>7</m:t>
            </m:r>
          </m:sup>
        </m:sSup>
      </m:oMath>
      <w:r w:rsidRPr="53F0BCD5">
        <w:t> gene copies/L (</w:t>
      </w:r>
      <w:r w:rsidRPr="00297838">
        <w:t>Calderón-Franco et al. 2021</w:t>
      </w:r>
      <w:r w:rsidRPr="53F0BCD5">
        <w:t>). The extracellular concentration of </w:t>
      </w:r>
      <m:oMath>
        <m:r>
          <w:rPr>
            <w:rFonts w:ascii="Cambria Math" w:hAnsi="Cambria Math"/>
          </w:rPr>
          <m:t>erm</m:t>
        </m:r>
        <m:r>
          <m:rPr>
            <m:sty m:val="p"/>
          </m:rPr>
          <w:rPr>
            <w:rFonts w:ascii="Cambria Math" w:hAnsi="Cambria Math"/>
          </w:rPr>
          <m:t>F</m:t>
        </m:r>
      </m:oMath>
      <w:r w:rsidRPr="53F0BCD5">
        <w:t> (</w:t>
      </w:r>
      <m:oMath>
        <m:r>
          <w:rPr>
            <w:rFonts w:ascii="Cambria Math" w:hAnsi="Cambria Math"/>
          </w:rPr>
          <m:t>8.82×</m:t>
        </m:r>
        <m:sSup>
          <m:sSupPr>
            <m:ctrlPr>
              <w:rPr>
                <w:rFonts w:ascii="Cambria Math" w:hAnsi="Cambria Math"/>
              </w:rPr>
            </m:ctrlPr>
          </m:sSupPr>
          <m:e>
            <m:r>
              <w:rPr>
                <w:rFonts w:ascii="Cambria Math" w:hAnsi="Cambria Math"/>
              </w:rPr>
              <m:t>10</m:t>
            </m:r>
          </m:e>
          <m:sup>
            <m:r>
              <w:rPr>
                <w:rFonts w:ascii="Cambria Math" w:hAnsi="Cambria Math"/>
              </w:rPr>
              <m:t>6</m:t>
            </m:r>
          </m:sup>
        </m:sSup>
      </m:oMath>
      <w:r w:rsidRPr="53F0BCD5">
        <w:t> gene copies/L) was reported for the first time in the effluent wastewater of a full-scale wastewater treatment plant.</w:t>
      </w:r>
    </w:p>
    <w:p w14:paraId="0F1354FA" w14:textId="77777777" w:rsidR="00EE53C7" w:rsidRPr="00EE53C7" w:rsidRDefault="00EE53C7" w:rsidP="53F0BCD5">
      <w:pPr>
        <w:pStyle w:val="Heading3"/>
        <w:rPr>
          <w:rFonts w:ascii="Calibri Light" w:eastAsia="MS Gothic" w:hAnsi="Calibri Light" w:cs="Times New Roman"/>
        </w:rPr>
      </w:pPr>
      <w:r>
        <w:t>Lake Surface Water</w:t>
      </w:r>
    </w:p>
    <w:p w14:paraId="73AFB3B0" w14:textId="32BA9446" w:rsidR="00EE53C7" w:rsidRPr="00EE53C7" w:rsidRDefault="00EE53C7" w:rsidP="53F0BCD5">
      <w:r w:rsidRPr="53F0BCD5">
        <w:t>The levels of eARGs discovered in the wastewater effluent samples indicate that the discharge of this effluent water into the environment could be disseminating a high concentration of eARGs into surface waters, suggesting that the receiving environment could also be important reservoirs for extracellular resistance elements. This theory is confirmed by the results of this study, in which the extracellular abundance of the </w:t>
      </w:r>
      <m:oMath>
        <m:r>
          <w:rPr>
            <w:rFonts w:ascii="Cambria Math" w:hAnsi="Cambria Math"/>
          </w:rPr>
          <m:t>intI1</m:t>
        </m:r>
      </m:oMath>
      <w:r w:rsidRPr="53F0BCD5">
        <w:t>, </w:t>
      </w:r>
      <m:oMath>
        <m:r>
          <w:rPr>
            <w:rFonts w:ascii="Cambria Math" w:hAnsi="Cambria Math"/>
          </w:rPr>
          <m:t>bl</m:t>
        </m:r>
        <m:sSub>
          <m:sSubPr>
            <m:ctrlPr>
              <w:rPr>
                <w:rFonts w:ascii="Cambria Math" w:hAnsi="Cambria Math"/>
              </w:rPr>
            </m:ctrlPr>
          </m:sSubPr>
          <m:e>
            <m:r>
              <w:rPr>
                <w:rFonts w:ascii="Cambria Math" w:hAnsi="Cambria Math"/>
              </w:rPr>
              <m:t>a</m:t>
            </m:r>
          </m:e>
          <m:sub>
            <m:r>
              <m:rPr>
                <m:sty m:val="p"/>
              </m:rPr>
              <w:rPr>
                <w:rFonts w:ascii="Cambria Math" w:hAnsi="Cambria Math"/>
              </w:rPr>
              <m:t>TEM</m:t>
            </m:r>
          </m:sub>
        </m:sSub>
      </m:oMath>
      <w:r w:rsidRPr="53F0BCD5">
        <w:t>, </w:t>
      </w:r>
      <m:oMath>
        <m:r>
          <w:rPr>
            <w:rFonts w:ascii="Cambria Math" w:hAnsi="Cambria Math"/>
          </w:rPr>
          <m:t>erm</m:t>
        </m:r>
        <m:r>
          <m:rPr>
            <m:sty m:val="p"/>
          </m:rPr>
          <w:rPr>
            <w:rFonts w:ascii="Cambria Math" w:hAnsi="Cambria Math"/>
          </w:rPr>
          <m:t>F</m:t>
        </m:r>
      </m:oMath>
      <w:r w:rsidRPr="53F0BCD5">
        <w:t>, </w:t>
      </w:r>
      <m:oMath>
        <m:r>
          <w:rPr>
            <w:rFonts w:ascii="Cambria Math" w:hAnsi="Cambria Math"/>
          </w:rPr>
          <m:t>sul1</m:t>
        </m:r>
      </m:oMath>
      <w:r w:rsidRPr="53F0BCD5">
        <w:t>, and </w:t>
      </w:r>
      <m:oMath>
        <m:r>
          <w:rPr>
            <w:rFonts w:ascii="Cambria Math" w:hAnsi="Cambria Math"/>
          </w:rPr>
          <m:t>tet</m:t>
        </m:r>
        <m:r>
          <m:rPr>
            <m:sty m:val="p"/>
          </m:rPr>
          <w:rPr>
            <w:rFonts w:ascii="Cambria Math" w:hAnsi="Cambria Math"/>
          </w:rPr>
          <m:t>C</m:t>
        </m:r>
      </m:oMath>
      <w:r w:rsidRPr="53F0BCD5">
        <w:t> genes in the lake surface water sample did not differ significantly (</w:t>
      </w:r>
      <m:oMath>
        <m:r>
          <w:rPr>
            <w:rFonts w:ascii="Cambria Math" w:hAnsi="Cambria Math"/>
          </w:rPr>
          <m:t>p&gt;0.05</m:t>
        </m:r>
      </m:oMath>
      <w:r w:rsidRPr="53F0BCD5">
        <w:t>) from that of the wastewater effluent (Fig. </w:t>
      </w:r>
      <w:r w:rsidRPr="00297838">
        <w:t>3</w:t>
      </w:r>
      <w:r w:rsidRPr="53F0BCD5">
        <w:t>). A previous study, Liu et al. (</w:t>
      </w:r>
      <w:r w:rsidRPr="00297838">
        <w:t>2020</w:t>
      </w:r>
      <w:r w:rsidRPr="53F0BCD5">
        <w:t>), assessed the impact discharges from a wastewater treatment plant had on a receiving river surface water. A higher concentration of all eARGs (</w:t>
      </w:r>
      <m:oMath>
        <m:r>
          <w:rPr>
            <w:rFonts w:ascii="Cambria Math" w:hAnsi="Cambria Math"/>
          </w:rPr>
          <m:t>n=6</m:t>
        </m:r>
      </m:oMath>
      <w:r w:rsidRPr="53F0BCD5">
        <w:t>) quantified was observed in the downstream samples when compared with the upstream samples (</w:t>
      </w:r>
      <w:r w:rsidRPr="00297838">
        <w:t>Liu et al. 2020</w:t>
      </w:r>
      <w:r w:rsidRPr="53F0BCD5">
        <w:t>). Lake Michigan, however, is a much larger body of water, where dilution is expected to play a role, and many sources containing resistance elements could impact the waters. In addition to wastewater effluent discharge, runoff from surrounding soils, underlying sediments, and discharge from local rivers could also be contributing to the abundance of eARGs in these environmental waters (</w:t>
      </w:r>
      <w:proofErr w:type="spellStart"/>
      <w:r w:rsidRPr="00297838">
        <w:rPr>
          <w:sz w:val="24"/>
          <w:szCs w:val="24"/>
        </w:rPr>
        <w:t>Torti</w:t>
      </w:r>
      <w:proofErr w:type="spellEnd"/>
      <w:r w:rsidRPr="00297838">
        <w:rPr>
          <w:sz w:val="24"/>
          <w:szCs w:val="24"/>
        </w:rPr>
        <w:t xml:space="preserve"> et al. 2015</w:t>
      </w:r>
      <w:r w:rsidRPr="53F0BCD5">
        <w:t>; </w:t>
      </w:r>
      <w:proofErr w:type="spellStart"/>
      <w:r w:rsidRPr="00297838">
        <w:rPr>
          <w:sz w:val="24"/>
          <w:szCs w:val="24"/>
        </w:rPr>
        <w:t>Vuillemin</w:t>
      </w:r>
      <w:proofErr w:type="spellEnd"/>
      <w:r w:rsidRPr="00297838">
        <w:rPr>
          <w:sz w:val="24"/>
          <w:szCs w:val="24"/>
        </w:rPr>
        <w:t xml:space="preserve"> et al. 2017</w:t>
      </w:r>
      <w:r w:rsidRPr="53F0BCD5">
        <w:t xml:space="preserve">). This study is the first to quantify the level of </w:t>
      </w:r>
      <w:proofErr w:type="spellStart"/>
      <w:r w:rsidRPr="53F0BCD5">
        <w:t>eARG</w:t>
      </w:r>
      <w:proofErr w:type="spellEnd"/>
      <w:r w:rsidRPr="53F0BCD5">
        <w:t xml:space="preserve"> contamination in lake surface water.</w:t>
      </w:r>
    </w:p>
    <w:p w14:paraId="368D61F8" w14:textId="77777777" w:rsidR="00EE53C7" w:rsidRPr="00EE53C7" w:rsidRDefault="00EE53C7" w:rsidP="53F0BCD5">
      <w:pPr>
        <w:pStyle w:val="Heading3"/>
        <w:rPr>
          <w:rFonts w:ascii="Calibri Light" w:eastAsia="MS Gothic" w:hAnsi="Calibri Light" w:cs="Times New Roman"/>
        </w:rPr>
      </w:pPr>
      <w:r>
        <w:t>River Surface Water</w:t>
      </w:r>
    </w:p>
    <w:p w14:paraId="68F44AD2" w14:textId="566DC353" w:rsidR="00EE53C7" w:rsidRPr="00EE53C7" w:rsidRDefault="00EE53C7" w:rsidP="53F0BCD5">
      <w:r w:rsidRPr="53F0BCD5">
        <w:t>Similarly, in the river surface water samples, the eARGs </w:t>
      </w:r>
      <m:oMath>
        <m:r>
          <w:rPr>
            <w:rFonts w:ascii="Cambria Math" w:hAnsi="Cambria Math"/>
          </w:rPr>
          <m:t>intI1</m:t>
        </m:r>
      </m:oMath>
      <w:r w:rsidRPr="53F0BCD5">
        <w:t>, </w:t>
      </w:r>
      <m:oMath>
        <m:r>
          <w:rPr>
            <w:rFonts w:ascii="Cambria Math" w:hAnsi="Cambria Math"/>
          </w:rPr>
          <m:t>sul1</m:t>
        </m:r>
      </m:oMath>
      <w:r w:rsidRPr="53F0BCD5">
        <w:t>, and </w:t>
      </w:r>
      <m:oMath>
        <m:r>
          <w:rPr>
            <w:rFonts w:ascii="Cambria Math" w:hAnsi="Cambria Math"/>
          </w:rPr>
          <m:t>tet</m:t>
        </m:r>
        <m:r>
          <m:rPr>
            <m:sty m:val="p"/>
          </m:rPr>
          <w:rPr>
            <w:rFonts w:ascii="Cambria Math" w:hAnsi="Cambria Math"/>
          </w:rPr>
          <m:t>C</m:t>
        </m:r>
      </m:oMath>
      <w:r w:rsidRPr="53F0BCD5">
        <w:t>, again, did not present a significant difference (</w:t>
      </w:r>
      <m:oMath>
        <m:r>
          <w:rPr>
            <w:rFonts w:ascii="Cambria Math" w:hAnsi="Cambria Math"/>
          </w:rPr>
          <m:t>p&gt;0.05</m:t>
        </m:r>
      </m:oMath>
      <w:r w:rsidRPr="53F0BCD5">
        <w:t>) from the eARGs quantified in the w</w:t>
      </w:r>
      <w:proofErr w:type="spellStart"/>
      <w:r w:rsidRPr="53F0BCD5">
        <w:t>astewater</w:t>
      </w:r>
      <w:proofErr w:type="spellEnd"/>
      <w:r w:rsidRPr="53F0BCD5">
        <w:t xml:space="preserve"> effluent (Fig. </w:t>
      </w:r>
      <w:r w:rsidRPr="00297838">
        <w:t>3</w:t>
      </w:r>
      <w:r w:rsidRPr="53F0BCD5">
        <w:t>). Moreover, the absolute abundances of all eARGs were not statistically different (</w:t>
      </w:r>
      <m:oMath>
        <m:r>
          <w:rPr>
            <w:rFonts w:ascii="Cambria Math" w:hAnsi="Cambria Math"/>
          </w:rPr>
          <m:t>p&gt;0.05</m:t>
        </m:r>
      </m:oMath>
      <w:r w:rsidRPr="53F0BCD5">
        <w:t>) between the river and lake samples, implying a possible similarity in the impact and persistence of eDNA pollution in different surface water environments. The occurrence of the extracellular 16S rRNA, </w:t>
      </w:r>
      <m:oMath>
        <m:r>
          <w:rPr>
            <w:rFonts w:ascii="Cambria Math" w:hAnsi="Cambria Math"/>
          </w:rPr>
          <m:t>intI1</m:t>
        </m:r>
      </m:oMath>
      <w:r w:rsidRPr="53F0BCD5">
        <w:t>, </w:t>
      </w:r>
      <m:oMath>
        <m:r>
          <w:rPr>
            <w:rFonts w:ascii="Cambria Math" w:hAnsi="Cambria Math"/>
          </w:rPr>
          <m:t>sul1</m:t>
        </m:r>
      </m:oMath>
      <w:r w:rsidRPr="53F0BCD5">
        <w:t>, and </w:t>
      </w:r>
      <m:oMath>
        <m:r>
          <w:rPr>
            <w:rFonts w:ascii="Cambria Math" w:hAnsi="Cambria Math"/>
          </w:rPr>
          <m:t>bl</m:t>
        </m:r>
        <m:sSub>
          <m:sSubPr>
            <m:ctrlPr>
              <w:rPr>
                <w:rFonts w:ascii="Cambria Math" w:hAnsi="Cambria Math"/>
              </w:rPr>
            </m:ctrlPr>
          </m:sSubPr>
          <m:e>
            <m:r>
              <w:rPr>
                <w:rFonts w:ascii="Cambria Math" w:hAnsi="Cambria Math"/>
              </w:rPr>
              <m:t>a</m:t>
            </m:r>
          </m:e>
          <m:sub>
            <m:r>
              <m:rPr>
                <m:sty m:val="p"/>
              </m:rPr>
              <w:rPr>
                <w:rFonts w:ascii="Cambria Math" w:hAnsi="Cambria Math"/>
              </w:rPr>
              <m:t>TEM</m:t>
            </m:r>
          </m:sub>
        </m:sSub>
      </m:oMath>
      <w:r w:rsidRPr="53F0BCD5">
        <w:t> genes was previously reported in aquatic river water by Liu et al. (</w:t>
      </w:r>
      <w:r w:rsidRPr="00297838">
        <w:t>2020</w:t>
      </w:r>
      <w:r w:rsidRPr="53F0BCD5">
        <w:t>) and Mao et al. (</w:t>
      </w:r>
      <w:r w:rsidRPr="00297838">
        <w:t>2014</w:t>
      </w:r>
      <w:r w:rsidRPr="53F0BCD5">
        <w:t xml:space="preserve">). The </w:t>
      </w:r>
      <w:proofErr w:type="spellStart"/>
      <w:r w:rsidRPr="53F0BCD5">
        <w:t>eARG</w:t>
      </w:r>
      <w:proofErr w:type="spellEnd"/>
      <w:r w:rsidRPr="53F0BCD5">
        <w:t xml:space="preserve"> abundances were comparable to those quantified in this study; the 16S rRNA gene abundance was much higher than previously reported. </w:t>
      </w:r>
      <m:oMath>
        <m:r>
          <w:rPr>
            <w:rFonts w:ascii="Cambria Math" w:hAnsi="Cambria Math"/>
          </w:rPr>
          <m:t>erm</m:t>
        </m:r>
        <m:r>
          <m:rPr>
            <m:sty m:val="p"/>
          </m:rPr>
          <w:rPr>
            <w:rFonts w:ascii="Cambria Math" w:hAnsi="Cambria Math"/>
          </w:rPr>
          <m:t>F</m:t>
        </m:r>
      </m:oMath>
      <w:r w:rsidRPr="53F0BCD5">
        <w:t> and </w:t>
      </w:r>
      <m:oMath>
        <m:r>
          <w:rPr>
            <w:rFonts w:ascii="Cambria Math" w:hAnsi="Cambria Math"/>
          </w:rPr>
          <m:t>tet</m:t>
        </m:r>
        <m:r>
          <m:rPr>
            <m:sty m:val="p"/>
          </m:rPr>
          <w:rPr>
            <w:rFonts w:ascii="Cambria Math" w:hAnsi="Cambria Math"/>
          </w:rPr>
          <m:t>C</m:t>
        </m:r>
      </m:oMath>
      <w:r w:rsidRPr="53F0BCD5">
        <w:t> had yet to be quantified, and the mean concentrations of these eARGs were </w:t>
      </w:r>
      <m:oMath>
        <m:r>
          <w:rPr>
            <w:rFonts w:ascii="Cambria Math" w:hAnsi="Cambria Math"/>
          </w:rPr>
          <m:t>8.50×</m:t>
        </m:r>
        <m:sSup>
          <m:sSupPr>
            <m:ctrlPr>
              <w:rPr>
                <w:rFonts w:ascii="Cambria Math" w:hAnsi="Cambria Math"/>
              </w:rPr>
            </m:ctrlPr>
          </m:sSupPr>
          <m:e>
            <m:r>
              <w:rPr>
                <w:rFonts w:ascii="Cambria Math" w:hAnsi="Cambria Math"/>
              </w:rPr>
              <m:t>10</m:t>
            </m:r>
          </m:e>
          <m:sup>
            <m:r>
              <w:rPr>
                <w:rFonts w:ascii="Cambria Math" w:hAnsi="Cambria Math"/>
              </w:rPr>
              <m:t>5</m:t>
            </m:r>
          </m:sup>
        </m:sSup>
      </m:oMath>
      <w:r w:rsidRPr="53F0BCD5">
        <w:t> and </w:t>
      </w:r>
      <m:oMath>
        <m:r>
          <w:rPr>
            <w:rFonts w:ascii="Cambria Math" w:hAnsi="Cambria Math"/>
          </w:rPr>
          <m:t>9.10×</m:t>
        </m:r>
        <m:sSup>
          <m:sSupPr>
            <m:ctrlPr>
              <w:rPr>
                <w:rFonts w:ascii="Cambria Math" w:hAnsi="Cambria Math"/>
              </w:rPr>
            </m:ctrlPr>
          </m:sSupPr>
          <m:e>
            <m:r>
              <w:rPr>
                <w:rFonts w:ascii="Cambria Math" w:hAnsi="Cambria Math"/>
              </w:rPr>
              <m:t>10</m:t>
            </m:r>
          </m:e>
          <m:sup>
            <m:r>
              <w:rPr>
                <w:rFonts w:ascii="Cambria Math" w:hAnsi="Cambria Math"/>
              </w:rPr>
              <m:t>5</m:t>
            </m:r>
          </m:sup>
        </m:sSup>
      </m:oMath>
      <w:r w:rsidRPr="53F0BCD5">
        <w:t> gene copies/L, respectively. Interestingly, previous research had evaluated the role of adsorption in river systems by either extracting eDNA directly from the sediment (</w:t>
      </w:r>
      <w:r w:rsidRPr="00297838">
        <w:t>Mao et al. 2014</w:t>
      </w:r>
      <w:r w:rsidRPr="53F0BCD5">
        <w:t>) or by extracting the fraction of eDNA adsorbed to particles in the water (</w:t>
      </w:r>
      <w:r w:rsidRPr="00297838">
        <w:t>Liu et al. 2020</w:t>
      </w:r>
      <w:r w:rsidRPr="53F0BCD5">
        <w:t xml:space="preserve">). In both instances, adsorption was revealed to play an important role in the protection and subsequent persistence of eDNA, resulting in sediment communities being predominantly eDNA and </w:t>
      </w:r>
      <w:proofErr w:type="spellStart"/>
      <w:r w:rsidRPr="53F0BCD5">
        <w:t>eARG</w:t>
      </w:r>
      <w:proofErr w:type="spellEnd"/>
      <w:r w:rsidRPr="53F0BCD5">
        <w:t xml:space="preserve"> (</w:t>
      </w:r>
      <w:r w:rsidRPr="00297838">
        <w:t>Mao et al. 2014</w:t>
      </w:r>
      <w:r w:rsidRPr="53F0BCD5">
        <w:t xml:space="preserve">). It can be concluded that, while eDNA is an artifact of </w:t>
      </w:r>
      <w:proofErr w:type="spellStart"/>
      <w:r w:rsidRPr="53F0BCD5">
        <w:t>iDNA</w:t>
      </w:r>
      <w:proofErr w:type="spellEnd"/>
      <w:r w:rsidRPr="53F0BCD5">
        <w:t xml:space="preserve"> conversion, the protection imparted by adsorption to sediments allows for eDNA stability, persistence, and cycling in soil environments, conceivably fostering the genetic transformation of eARGs to environmental bacteria (</w:t>
      </w:r>
      <w:r w:rsidRPr="00297838">
        <w:t>Levy-booth et al. 2007</w:t>
      </w:r>
      <w:r w:rsidRPr="53F0BCD5">
        <w:t>; </w:t>
      </w:r>
      <w:r w:rsidRPr="00297838">
        <w:t>Mao et al. 2014</w:t>
      </w:r>
      <w:r w:rsidRPr="53F0BCD5">
        <w:t>).</w:t>
      </w:r>
    </w:p>
    <w:p w14:paraId="7EE7516C" w14:textId="77777777" w:rsidR="00EE53C7" w:rsidRPr="00EE53C7" w:rsidRDefault="00EE53C7" w:rsidP="53F0BCD5">
      <w:pPr>
        <w:pStyle w:val="Heading3"/>
        <w:rPr>
          <w:rFonts w:ascii="Calibri Light" w:eastAsia="MS Gothic" w:hAnsi="Calibri Light" w:cs="Times New Roman"/>
        </w:rPr>
      </w:pPr>
      <w:r>
        <w:t>Stormwater</w:t>
      </w:r>
    </w:p>
    <w:p w14:paraId="0B2B9519" w14:textId="71EBC2EF" w:rsidR="00EE53C7" w:rsidRPr="00EE53C7" w:rsidRDefault="00EE53C7" w:rsidP="53F0BCD5">
      <w:r w:rsidRPr="53F0BCD5">
        <w:t>The fraction of eARGs to iARGs has yet to be evaluated in stormwater. The mean concentrations of 16S rRNA, </w:t>
      </w:r>
      <m:oMath>
        <m:r>
          <w:rPr>
            <w:rFonts w:ascii="Cambria Math" w:hAnsi="Cambria Math"/>
          </w:rPr>
          <m:t>intI1</m:t>
        </m:r>
      </m:oMath>
      <w:r w:rsidRPr="53F0BCD5">
        <w:t>, </w:t>
      </w:r>
      <m:oMath>
        <m:r>
          <w:rPr>
            <w:rFonts w:ascii="Cambria Math" w:hAnsi="Cambria Math"/>
          </w:rPr>
          <m:t>bl</m:t>
        </m:r>
        <m:sSub>
          <m:sSubPr>
            <m:ctrlPr>
              <w:rPr>
                <w:rFonts w:ascii="Cambria Math" w:hAnsi="Cambria Math"/>
              </w:rPr>
            </m:ctrlPr>
          </m:sSubPr>
          <m:e>
            <m:r>
              <w:rPr>
                <w:rFonts w:ascii="Cambria Math" w:hAnsi="Cambria Math"/>
              </w:rPr>
              <m:t>a</m:t>
            </m:r>
          </m:e>
          <m:sub>
            <m:r>
              <m:rPr>
                <m:sty m:val="p"/>
              </m:rPr>
              <w:rPr>
                <w:rFonts w:ascii="Cambria Math" w:hAnsi="Cambria Math"/>
              </w:rPr>
              <m:t>TEM</m:t>
            </m:r>
          </m:sub>
        </m:sSub>
      </m:oMath>
      <w:r w:rsidRPr="53F0BCD5">
        <w:t>, </w:t>
      </w:r>
      <m:oMath>
        <m:r>
          <w:rPr>
            <w:rFonts w:ascii="Cambria Math" w:hAnsi="Cambria Math"/>
          </w:rPr>
          <m:t>erm</m:t>
        </m:r>
        <m:r>
          <m:rPr>
            <m:sty m:val="p"/>
          </m:rPr>
          <w:rPr>
            <w:rFonts w:ascii="Cambria Math" w:hAnsi="Cambria Math"/>
          </w:rPr>
          <m:t>F</m:t>
        </m:r>
      </m:oMath>
      <w:r w:rsidRPr="53F0BCD5">
        <w:t>, </w:t>
      </w:r>
      <m:oMath>
        <m:r>
          <w:rPr>
            <w:rFonts w:ascii="Cambria Math" w:hAnsi="Cambria Math"/>
          </w:rPr>
          <m:t>sul1</m:t>
        </m:r>
      </m:oMath>
      <w:r w:rsidRPr="53F0BCD5">
        <w:t>, and </w:t>
      </w:r>
      <m:oMath>
        <m:r>
          <w:rPr>
            <w:rFonts w:ascii="Cambria Math" w:hAnsi="Cambria Math"/>
          </w:rPr>
          <m:t>tet</m:t>
        </m:r>
        <m:r>
          <m:rPr>
            <m:sty m:val="p"/>
          </m:rPr>
          <w:rPr>
            <w:rFonts w:ascii="Cambria Math" w:hAnsi="Cambria Math"/>
          </w:rPr>
          <m:t>C</m:t>
        </m:r>
      </m:oMath>
      <w:r w:rsidRPr="53F0BCD5">
        <w:t> discovered were </w:t>
      </w:r>
      <m:oMath>
        <m:r>
          <w:rPr>
            <w:rFonts w:ascii="Cambria Math" w:hAnsi="Cambria Math"/>
          </w:rPr>
          <m:t>7.81×</m:t>
        </m:r>
        <m:sSup>
          <m:sSupPr>
            <m:ctrlPr>
              <w:rPr>
                <w:rFonts w:ascii="Cambria Math" w:hAnsi="Cambria Math"/>
              </w:rPr>
            </m:ctrlPr>
          </m:sSupPr>
          <m:e>
            <m:r>
              <w:rPr>
                <w:rFonts w:ascii="Cambria Math" w:hAnsi="Cambria Math"/>
              </w:rPr>
              <m:t>10</m:t>
            </m:r>
          </m:e>
          <m:sup>
            <m:r>
              <w:rPr>
                <w:rFonts w:ascii="Cambria Math" w:hAnsi="Cambria Math"/>
              </w:rPr>
              <m:t>9</m:t>
            </m:r>
          </m:sup>
        </m:sSup>
      </m:oMath>
      <w:r w:rsidRPr="53F0BCD5">
        <w:t>, </w:t>
      </w:r>
      <m:oMath>
        <m:r>
          <w:rPr>
            <w:rFonts w:ascii="Cambria Math" w:hAnsi="Cambria Math"/>
          </w:rPr>
          <m:t>7.46×</m:t>
        </m:r>
        <m:sSup>
          <m:sSupPr>
            <m:ctrlPr>
              <w:rPr>
                <w:rFonts w:ascii="Cambria Math" w:hAnsi="Cambria Math"/>
              </w:rPr>
            </m:ctrlPr>
          </m:sSupPr>
          <m:e>
            <m:r>
              <w:rPr>
                <w:rFonts w:ascii="Cambria Math" w:hAnsi="Cambria Math"/>
              </w:rPr>
              <m:t>10</m:t>
            </m:r>
          </m:e>
          <m:sup>
            <m:r>
              <w:rPr>
                <w:rFonts w:ascii="Cambria Math" w:hAnsi="Cambria Math"/>
              </w:rPr>
              <m:t>6</m:t>
            </m:r>
          </m:sup>
        </m:sSup>
      </m:oMath>
      <w:r w:rsidRPr="53F0BCD5">
        <w:t>, </w:t>
      </w:r>
      <m:oMath>
        <m:r>
          <w:rPr>
            <w:rFonts w:ascii="Cambria Math" w:hAnsi="Cambria Math"/>
          </w:rPr>
          <m:t>1.23×</m:t>
        </m:r>
        <m:sSup>
          <m:sSupPr>
            <m:ctrlPr>
              <w:rPr>
                <w:rFonts w:ascii="Cambria Math" w:hAnsi="Cambria Math"/>
              </w:rPr>
            </m:ctrlPr>
          </m:sSupPr>
          <m:e>
            <m:r>
              <w:rPr>
                <w:rFonts w:ascii="Cambria Math" w:hAnsi="Cambria Math"/>
              </w:rPr>
              <m:t>10</m:t>
            </m:r>
          </m:e>
          <m:sup>
            <m:r>
              <w:rPr>
                <w:rFonts w:ascii="Cambria Math" w:hAnsi="Cambria Math"/>
              </w:rPr>
              <m:t>7</m:t>
            </m:r>
          </m:sup>
        </m:sSup>
      </m:oMath>
      <w:r w:rsidRPr="53F0BCD5">
        <w:t>, </w:t>
      </w:r>
      <m:oMath>
        <m:r>
          <w:rPr>
            <w:rFonts w:ascii="Cambria Math" w:hAnsi="Cambria Math"/>
          </w:rPr>
          <m:t>8.62×</m:t>
        </m:r>
        <m:sSup>
          <m:sSupPr>
            <m:ctrlPr>
              <w:rPr>
                <w:rFonts w:ascii="Cambria Math" w:hAnsi="Cambria Math"/>
              </w:rPr>
            </m:ctrlPr>
          </m:sSupPr>
          <m:e>
            <m:r>
              <w:rPr>
                <w:rFonts w:ascii="Cambria Math" w:hAnsi="Cambria Math"/>
              </w:rPr>
              <m:t>10</m:t>
            </m:r>
          </m:e>
          <m:sup>
            <m:r>
              <w:rPr>
                <w:rFonts w:ascii="Cambria Math" w:hAnsi="Cambria Math"/>
              </w:rPr>
              <m:t>6</m:t>
            </m:r>
          </m:sup>
        </m:sSup>
      </m:oMath>
      <w:r w:rsidRPr="53F0BCD5">
        <w:t>, </w:t>
      </w:r>
      <m:oMath>
        <m:r>
          <w:rPr>
            <w:rFonts w:ascii="Cambria Math" w:hAnsi="Cambria Math"/>
          </w:rPr>
          <m:t>5.29×</m:t>
        </m:r>
        <m:sSup>
          <m:sSupPr>
            <m:ctrlPr>
              <w:rPr>
                <w:rFonts w:ascii="Cambria Math" w:hAnsi="Cambria Math"/>
              </w:rPr>
            </m:ctrlPr>
          </m:sSupPr>
          <m:e>
            <m:r>
              <w:rPr>
                <w:rFonts w:ascii="Cambria Math" w:hAnsi="Cambria Math"/>
              </w:rPr>
              <m:t>10</m:t>
            </m:r>
          </m:e>
          <m:sup>
            <m:r>
              <w:rPr>
                <w:rFonts w:ascii="Cambria Math" w:hAnsi="Cambria Math"/>
              </w:rPr>
              <m:t>6</m:t>
            </m:r>
          </m:sup>
        </m:sSup>
      </m:oMath>
      <w:r w:rsidRPr="53F0BCD5">
        <w:t>, and </w:t>
      </w:r>
      <m:oMath>
        <m:r>
          <w:rPr>
            <w:rFonts w:ascii="Cambria Math" w:hAnsi="Cambria Math"/>
          </w:rPr>
          <m:t>8.23×</m:t>
        </m:r>
        <m:sSup>
          <m:sSupPr>
            <m:ctrlPr>
              <w:rPr>
                <w:rFonts w:ascii="Cambria Math" w:hAnsi="Cambria Math"/>
              </w:rPr>
            </m:ctrlPr>
          </m:sSupPr>
          <m:e>
            <m:r>
              <w:rPr>
                <w:rFonts w:ascii="Cambria Math" w:hAnsi="Cambria Math"/>
              </w:rPr>
              <m:t>10</m:t>
            </m:r>
          </m:e>
          <m:sup>
            <m:r>
              <w:rPr>
                <w:rFonts w:ascii="Cambria Math" w:hAnsi="Cambria Math"/>
              </w:rPr>
              <m:t>6</m:t>
            </m:r>
          </m:sup>
        </m:sSup>
      </m:oMath>
      <w:r w:rsidRPr="53F0BCD5">
        <w:t> gene copies/L, respectively. The indicated absolute abundances for the genes present in the stormwater samples were not statistically different than that in wastewater for </w:t>
      </w:r>
      <m:oMath>
        <m:r>
          <w:rPr>
            <w:rFonts w:ascii="Cambria Math" w:hAnsi="Cambria Math"/>
          </w:rPr>
          <m:t>intI1</m:t>
        </m:r>
      </m:oMath>
      <w:r w:rsidRPr="53F0BCD5">
        <w:t>, </w:t>
      </w:r>
      <m:oMath>
        <m:r>
          <w:rPr>
            <w:rFonts w:ascii="Cambria Math" w:hAnsi="Cambria Math"/>
          </w:rPr>
          <m:t>bl</m:t>
        </m:r>
        <m:sSub>
          <m:sSubPr>
            <m:ctrlPr>
              <w:rPr>
                <w:rFonts w:ascii="Cambria Math" w:hAnsi="Cambria Math"/>
              </w:rPr>
            </m:ctrlPr>
          </m:sSubPr>
          <m:e>
            <m:r>
              <w:rPr>
                <w:rFonts w:ascii="Cambria Math" w:hAnsi="Cambria Math"/>
              </w:rPr>
              <m:t>a</m:t>
            </m:r>
          </m:e>
          <m:sub>
            <m:r>
              <m:rPr>
                <m:sty m:val="p"/>
              </m:rPr>
              <w:rPr>
                <w:rFonts w:ascii="Cambria Math" w:hAnsi="Cambria Math"/>
              </w:rPr>
              <m:t>TEM</m:t>
            </m:r>
          </m:sub>
        </m:sSub>
      </m:oMath>
      <w:r w:rsidRPr="53F0BCD5">
        <w:t>, </w:t>
      </w:r>
      <m:oMath>
        <m:r>
          <w:rPr>
            <w:rFonts w:ascii="Cambria Math" w:hAnsi="Cambria Math"/>
          </w:rPr>
          <m:t>erm</m:t>
        </m:r>
        <m:r>
          <m:rPr>
            <m:sty m:val="p"/>
          </m:rPr>
          <w:rPr>
            <w:rFonts w:ascii="Cambria Math" w:hAnsi="Cambria Math"/>
          </w:rPr>
          <m:t>F</m:t>
        </m:r>
      </m:oMath>
      <w:r w:rsidRPr="53F0BCD5">
        <w:t>, </w:t>
      </w:r>
      <m:oMath>
        <m:r>
          <w:rPr>
            <w:rFonts w:ascii="Cambria Math" w:hAnsi="Cambria Math"/>
          </w:rPr>
          <m:t>sul1</m:t>
        </m:r>
      </m:oMath>
      <w:r w:rsidRPr="53F0BCD5">
        <w:t>, and </w:t>
      </w:r>
      <m:oMath>
        <m:r>
          <w:rPr>
            <w:rFonts w:ascii="Cambria Math" w:hAnsi="Cambria Math"/>
          </w:rPr>
          <m:t>tet</m:t>
        </m:r>
        <m:r>
          <m:rPr>
            <m:sty m:val="p"/>
          </m:rPr>
          <w:rPr>
            <w:rFonts w:ascii="Cambria Math" w:hAnsi="Cambria Math"/>
          </w:rPr>
          <m:t>C</m:t>
        </m:r>
      </m:oMath>
      <w:r w:rsidRPr="53F0BCD5">
        <w:t>. Wastewater has been characterized as an important reservoir and proliferator of antibiotic resistance (</w:t>
      </w:r>
      <w:r w:rsidRPr="00297838">
        <w:t>Dong et al. 2019</w:t>
      </w:r>
      <w:r w:rsidRPr="53F0BCD5">
        <w:t>; </w:t>
      </w:r>
      <w:r w:rsidRPr="00297838">
        <w:t>Zhou et al. 2019</w:t>
      </w:r>
      <w:r w:rsidRPr="53F0BCD5">
        <w:t>). Consequently, this research indicates that stormwater can be a comparable reservoir for both iARGs and eARGs, and further research is warranted to characterize the distribution across multiple storms and the impact of stormwater runoff on receiving water bodies.</w:t>
      </w:r>
    </w:p>
    <w:p w14:paraId="2203931C" w14:textId="77777777" w:rsidR="00EE53C7" w:rsidRPr="00EE53C7" w:rsidRDefault="00EE53C7" w:rsidP="53F0BCD5">
      <w:pPr>
        <w:pStyle w:val="Heading2"/>
        <w:rPr>
          <w:rFonts w:ascii="Calibri Light" w:eastAsia="MS Gothic" w:hAnsi="Calibri Light" w:cs="Times New Roman"/>
        </w:rPr>
      </w:pPr>
      <w:r>
        <w:t>Abundance of Intracellular and Extracellular DNA and ARGs in Environmental Samples</w:t>
      </w:r>
    </w:p>
    <w:p w14:paraId="7E2F6765" w14:textId="6F58B2F5" w:rsidR="00EE53C7" w:rsidRPr="00EE53C7" w:rsidRDefault="00EE53C7" w:rsidP="53F0BCD5">
      <w:r w:rsidRPr="53F0BCD5">
        <w:t xml:space="preserve">Across the five sampling locations, all intracellular and extracellular genes quantified via </w:t>
      </w:r>
      <w:proofErr w:type="spellStart"/>
      <w:r w:rsidRPr="53F0BCD5">
        <w:t>ddPCR</w:t>
      </w:r>
      <w:proofErr w:type="spellEnd"/>
      <w:r w:rsidRPr="53F0BCD5">
        <w:t xml:space="preserve"> were detectable. The quantification of the absolute abundance of these genes revealed, for the first time, the fraction of </w:t>
      </w:r>
      <w:proofErr w:type="spellStart"/>
      <w:r w:rsidRPr="53F0BCD5">
        <w:t>iDNA</w:t>
      </w:r>
      <w:proofErr w:type="spellEnd"/>
      <w:r w:rsidRPr="53F0BCD5">
        <w:t xml:space="preserve"> to eDNA as well as iARGs to eARGs when extracted consistently and simultaneously from environmental waters of varying ARG concentrations (Fig. </w:t>
      </w:r>
      <w:r w:rsidRPr="00297838">
        <w:t>4</w:t>
      </w:r>
      <w:r w:rsidRPr="53F0BCD5">
        <w:t>). Statistically, the intracellular mean abundance of every gene in all samples was significantly greater than the extracellular mean abundance, except in one instance where no statistical difference was observed between the intracellular and extracellular fractions of the </w:t>
      </w:r>
      <m:oMath>
        <m:r>
          <w:rPr>
            <w:rFonts w:ascii="Cambria Math" w:hAnsi="Cambria Math"/>
          </w:rPr>
          <m:t>erm</m:t>
        </m:r>
        <m:r>
          <m:rPr>
            <m:sty m:val="p"/>
          </m:rPr>
          <w:rPr>
            <w:rFonts w:ascii="Cambria Math" w:hAnsi="Cambria Math"/>
          </w:rPr>
          <m:t>F</m:t>
        </m:r>
      </m:oMath>
      <w:r w:rsidRPr="53F0BCD5">
        <w:t> gene in wastewater.</w:t>
      </w:r>
    </w:p>
    <w:p w14:paraId="7B9E7FCE" w14:textId="5CA2EE16" w:rsidR="00EE53C7" w:rsidRPr="00EE53C7" w:rsidRDefault="00EE53C7" w:rsidP="53F0BCD5">
      <w:r w:rsidRPr="53F0BCD5">
        <w:t>The extracellular genes </w:t>
      </w:r>
      <m:oMath>
        <m:r>
          <w:rPr>
            <w:rFonts w:ascii="Cambria Math" w:hAnsi="Cambria Math"/>
          </w:rPr>
          <m:t>intI1</m:t>
        </m:r>
      </m:oMath>
      <w:r w:rsidRPr="53F0BCD5">
        <w:t>, </w:t>
      </w:r>
      <m:oMath>
        <m:r>
          <w:rPr>
            <w:rFonts w:ascii="Cambria Math" w:hAnsi="Cambria Math"/>
          </w:rPr>
          <m:t>bl</m:t>
        </m:r>
        <m:sSub>
          <m:sSubPr>
            <m:ctrlPr>
              <w:rPr>
                <w:rFonts w:ascii="Cambria Math" w:hAnsi="Cambria Math"/>
              </w:rPr>
            </m:ctrlPr>
          </m:sSubPr>
          <m:e>
            <m:r>
              <w:rPr>
                <w:rFonts w:ascii="Cambria Math" w:hAnsi="Cambria Math"/>
              </w:rPr>
              <m:t>a</m:t>
            </m:r>
          </m:e>
          <m:sub>
            <m:r>
              <m:rPr>
                <m:sty m:val="p"/>
              </m:rPr>
              <w:rPr>
                <w:rFonts w:ascii="Cambria Math" w:hAnsi="Cambria Math"/>
              </w:rPr>
              <m:t>TEM</m:t>
            </m:r>
          </m:sub>
        </m:sSub>
      </m:oMath>
      <w:r w:rsidRPr="53F0BCD5">
        <w:t>, </w:t>
      </w:r>
      <m:oMath>
        <m:r>
          <w:rPr>
            <w:rFonts w:ascii="Cambria Math" w:hAnsi="Cambria Math"/>
          </w:rPr>
          <m:t>erm</m:t>
        </m:r>
        <m:r>
          <m:rPr>
            <m:sty m:val="p"/>
          </m:rPr>
          <w:rPr>
            <w:rFonts w:ascii="Cambria Math" w:hAnsi="Cambria Math"/>
          </w:rPr>
          <m:t>F</m:t>
        </m:r>
      </m:oMath>
      <w:r w:rsidRPr="53F0BCD5">
        <w:t>, </w:t>
      </w:r>
      <m:oMath>
        <m:r>
          <w:rPr>
            <w:rFonts w:ascii="Cambria Math" w:hAnsi="Cambria Math"/>
          </w:rPr>
          <m:t>sul1</m:t>
        </m:r>
      </m:oMath>
      <w:r w:rsidRPr="53F0BCD5">
        <w:t>, and </w:t>
      </w:r>
      <m:oMath>
        <m:r>
          <w:rPr>
            <w:rFonts w:ascii="Cambria Math" w:hAnsi="Cambria Math"/>
          </w:rPr>
          <m:t>tet</m:t>
        </m:r>
        <m:r>
          <m:rPr>
            <m:sty m:val="p"/>
          </m:rPr>
          <w:rPr>
            <w:rFonts w:ascii="Cambria Math" w:hAnsi="Cambria Math"/>
          </w:rPr>
          <m:t>C</m:t>
        </m:r>
      </m:oMath>
      <w:r w:rsidRPr="53F0BCD5">
        <w:t> were not significantly different (</w:t>
      </w:r>
      <m:oMath>
        <m:r>
          <w:rPr>
            <w:rFonts w:ascii="Cambria Math" w:hAnsi="Cambria Math"/>
          </w:rPr>
          <m:t>p&lt;0.05</m:t>
        </m:r>
      </m:oMath>
      <w:r w:rsidRPr="53F0BCD5">
        <w:t>) from ea</w:t>
      </w:r>
      <w:proofErr w:type="spellStart"/>
      <w:r w:rsidRPr="53F0BCD5">
        <w:t>ch</w:t>
      </w:r>
      <w:proofErr w:type="spellEnd"/>
      <w:r w:rsidRPr="53F0BCD5">
        <w:t xml:space="preserve"> other in the river, lake, stormwater, and wastewater effluent samples. In tap water, only the extracellular </w:t>
      </w:r>
      <m:oMath>
        <m:r>
          <w:rPr>
            <w:rFonts w:ascii="Cambria Math" w:hAnsi="Cambria Math"/>
          </w:rPr>
          <m:t>sul1</m:t>
        </m:r>
      </m:oMath>
      <w:r w:rsidRPr="53F0BCD5">
        <w:t> gene was found to be significantly elevated above the extracellular </w:t>
      </w:r>
      <m:oMath>
        <m:r>
          <w:rPr>
            <w:rFonts w:ascii="Cambria Math" w:hAnsi="Cambria Math"/>
          </w:rPr>
          <m:t>intI1</m:t>
        </m:r>
      </m:oMath>
      <w:r w:rsidRPr="53F0BCD5">
        <w:t>, </w:t>
      </w:r>
      <m:oMath>
        <m:r>
          <w:rPr>
            <w:rFonts w:ascii="Cambria Math" w:hAnsi="Cambria Math"/>
          </w:rPr>
          <m:t>bl</m:t>
        </m:r>
        <m:sSub>
          <m:sSubPr>
            <m:ctrlPr>
              <w:rPr>
                <w:rFonts w:ascii="Cambria Math" w:hAnsi="Cambria Math"/>
              </w:rPr>
            </m:ctrlPr>
          </m:sSubPr>
          <m:e>
            <m:r>
              <w:rPr>
                <w:rFonts w:ascii="Cambria Math" w:hAnsi="Cambria Math"/>
              </w:rPr>
              <m:t>a</m:t>
            </m:r>
          </m:e>
          <m:sub>
            <m:r>
              <m:rPr>
                <m:sty m:val="p"/>
              </m:rPr>
              <w:rPr>
                <w:rFonts w:ascii="Cambria Math" w:hAnsi="Cambria Math"/>
              </w:rPr>
              <m:t>TEM</m:t>
            </m:r>
          </m:sub>
        </m:sSub>
      </m:oMath>
      <w:r w:rsidRPr="53F0BCD5">
        <w:t>, and </w:t>
      </w:r>
      <m:oMath>
        <m:r>
          <w:rPr>
            <w:rFonts w:ascii="Cambria Math" w:hAnsi="Cambria Math"/>
          </w:rPr>
          <m:t>tet</m:t>
        </m:r>
        <m:r>
          <m:rPr>
            <m:sty m:val="p"/>
          </m:rPr>
          <w:rPr>
            <w:rFonts w:ascii="Cambria Math" w:hAnsi="Cambria Math"/>
          </w:rPr>
          <m:t>C</m:t>
        </m:r>
      </m:oMath>
      <w:r w:rsidRPr="53F0BCD5">
        <w:t> genes. This result contrasts with that of the intracellular genes, where many significant relationships were found between the genes, particularly in the river, lake, and stormwater samples. There was no significant difference between the concentrations of the intracellular </w:t>
      </w:r>
      <m:oMath>
        <m:r>
          <w:rPr>
            <w:rFonts w:ascii="Cambria Math" w:hAnsi="Cambria Math"/>
          </w:rPr>
          <m:t>intI1</m:t>
        </m:r>
      </m:oMath>
      <w:r w:rsidRPr="53F0BCD5">
        <w:t>, </w:t>
      </w:r>
      <m:oMath>
        <m:r>
          <w:rPr>
            <w:rFonts w:ascii="Cambria Math" w:hAnsi="Cambria Math"/>
          </w:rPr>
          <m:t>bl</m:t>
        </m:r>
        <m:sSub>
          <m:sSubPr>
            <m:ctrlPr>
              <w:rPr>
                <w:rFonts w:ascii="Cambria Math" w:hAnsi="Cambria Math"/>
              </w:rPr>
            </m:ctrlPr>
          </m:sSubPr>
          <m:e>
            <m:r>
              <w:rPr>
                <w:rFonts w:ascii="Cambria Math" w:hAnsi="Cambria Math"/>
              </w:rPr>
              <m:t>a</m:t>
            </m:r>
          </m:e>
          <m:sub>
            <m:r>
              <m:rPr>
                <m:sty m:val="p"/>
              </m:rPr>
              <w:rPr>
                <w:rFonts w:ascii="Cambria Math" w:hAnsi="Cambria Math"/>
              </w:rPr>
              <m:t>TEM</m:t>
            </m:r>
          </m:sub>
        </m:sSub>
      </m:oMath>
      <w:r w:rsidRPr="53F0BCD5">
        <w:t>, </w:t>
      </w:r>
      <m:oMath>
        <m:r>
          <w:rPr>
            <w:rFonts w:ascii="Cambria Math" w:hAnsi="Cambria Math"/>
          </w:rPr>
          <m:t>erm</m:t>
        </m:r>
        <m:r>
          <m:rPr>
            <m:sty m:val="p"/>
          </m:rPr>
          <w:rPr>
            <w:rFonts w:ascii="Cambria Math" w:hAnsi="Cambria Math"/>
          </w:rPr>
          <m:t>F</m:t>
        </m:r>
      </m:oMath>
      <w:r w:rsidRPr="53F0BCD5">
        <w:t>, </w:t>
      </w:r>
      <m:oMath>
        <m:r>
          <w:rPr>
            <w:rFonts w:ascii="Cambria Math" w:hAnsi="Cambria Math"/>
          </w:rPr>
          <m:t>sul1</m:t>
        </m:r>
      </m:oMath>
      <w:r w:rsidRPr="53F0BCD5">
        <w:t>, and </w:t>
      </w:r>
      <m:oMath>
        <m:r>
          <w:rPr>
            <w:rFonts w:ascii="Cambria Math" w:hAnsi="Cambria Math"/>
          </w:rPr>
          <m:t>tet</m:t>
        </m:r>
        <m:r>
          <m:rPr>
            <m:sty m:val="p"/>
          </m:rPr>
          <w:rPr>
            <w:rFonts w:ascii="Cambria Math" w:hAnsi="Cambria Math"/>
          </w:rPr>
          <m:t>C</m:t>
        </m:r>
      </m:oMath>
      <w:r w:rsidRPr="53F0BCD5">
        <w:t> genes in tap water. A similar result was found in wastewater effluent for the intracellular </w:t>
      </w:r>
      <m:oMath>
        <m:r>
          <w:rPr>
            <w:rFonts w:ascii="Cambria Math" w:hAnsi="Cambria Math"/>
          </w:rPr>
          <m:t>intI1</m:t>
        </m:r>
      </m:oMath>
      <w:r w:rsidRPr="53F0BCD5">
        <w:t>, </w:t>
      </w:r>
      <m:oMath>
        <m:r>
          <w:rPr>
            <w:rFonts w:ascii="Cambria Math" w:hAnsi="Cambria Math"/>
          </w:rPr>
          <m:t>bl</m:t>
        </m:r>
        <m:sSub>
          <m:sSubPr>
            <m:ctrlPr>
              <w:rPr>
                <w:rFonts w:ascii="Cambria Math" w:hAnsi="Cambria Math"/>
              </w:rPr>
            </m:ctrlPr>
          </m:sSubPr>
          <m:e>
            <m:r>
              <w:rPr>
                <w:rFonts w:ascii="Cambria Math" w:hAnsi="Cambria Math"/>
              </w:rPr>
              <m:t>a</m:t>
            </m:r>
          </m:e>
          <m:sub>
            <m:r>
              <m:rPr>
                <m:sty m:val="p"/>
              </m:rPr>
              <w:rPr>
                <w:rFonts w:ascii="Cambria Math" w:hAnsi="Cambria Math"/>
              </w:rPr>
              <m:t>TEM</m:t>
            </m:r>
          </m:sub>
        </m:sSub>
      </m:oMath>
      <w:r w:rsidRPr="53F0BCD5">
        <w:t>, </w:t>
      </w:r>
      <m:oMath>
        <m:r>
          <w:rPr>
            <w:rFonts w:ascii="Cambria Math" w:hAnsi="Cambria Math"/>
          </w:rPr>
          <m:t>erm</m:t>
        </m:r>
        <m:r>
          <m:rPr>
            <m:sty m:val="p"/>
          </m:rPr>
          <w:rPr>
            <w:rFonts w:ascii="Cambria Math" w:hAnsi="Cambria Math"/>
          </w:rPr>
          <m:t>F</m:t>
        </m:r>
      </m:oMath>
      <w:r w:rsidRPr="53F0BCD5">
        <w:t>, and </w:t>
      </w:r>
      <m:oMath>
        <m:r>
          <w:rPr>
            <w:rFonts w:ascii="Cambria Math" w:hAnsi="Cambria Math"/>
          </w:rPr>
          <m:t>tet</m:t>
        </m:r>
        <m:r>
          <m:rPr>
            <m:sty m:val="p"/>
          </m:rPr>
          <w:rPr>
            <w:rFonts w:ascii="Cambria Math" w:hAnsi="Cambria Math"/>
          </w:rPr>
          <m:t>C</m:t>
        </m:r>
      </m:oMath>
      <w:r w:rsidRPr="53F0BCD5">
        <w:t> genes. Previous research had suggested that DNA characteristics, s</w:t>
      </w:r>
      <w:proofErr w:type="spellStart"/>
      <w:r w:rsidRPr="53F0BCD5">
        <w:t>uch</w:t>
      </w:r>
      <w:proofErr w:type="spellEnd"/>
      <w:r w:rsidRPr="53F0BCD5">
        <w:t xml:space="preserve"> as length and conformation, as well as abiotic (e.g., light, oxygen, and sediments) and biotic (microbial community and extracellular enzymes) environmental conditions, were the primary factors influencing eDNA occurrence and persistence in the environment (</w:t>
      </w:r>
      <w:r w:rsidRPr="00297838">
        <w:t>Barnes et al. 2014</w:t>
      </w:r>
      <w:r w:rsidRPr="53F0BCD5">
        <w:t xml:space="preserve">). The results of this study indicate homogeny between the different eARGs in the sampled environments, suggesting that </w:t>
      </w:r>
      <w:proofErr w:type="spellStart"/>
      <w:r w:rsidRPr="53F0BCD5">
        <w:t>eARG</w:t>
      </w:r>
      <w:proofErr w:type="spellEnd"/>
      <w:r w:rsidRPr="53F0BCD5">
        <w:t xml:space="preserve"> occurrence is driven primarily by the environment. More research, however, is needed to confirm this conclusion and elucidate the relative importance of DNA and environmental characteristics on eDNA persistence.</w:t>
      </w:r>
    </w:p>
    <w:p w14:paraId="0A99F441" w14:textId="125D94B7" w:rsidR="00EE53C7" w:rsidRPr="00EE53C7" w:rsidRDefault="00EE53C7" w:rsidP="53F0BCD5">
      <w:r w:rsidRPr="53F0BCD5">
        <w:t>Comparative analysis between the ARGs and the 16S rRNA genes also yielded some significant results. In the river, lake, and stormwater samples, the intracellular and extracellular 16S rRNA genes were found to be statistically greater (</w:t>
      </w:r>
      <m:oMath>
        <m:r>
          <w:rPr>
            <w:rFonts w:ascii="Cambria Math" w:hAnsi="Cambria Math"/>
          </w:rPr>
          <m:t>p&lt;0.0001</m:t>
        </m:r>
      </m:oMath>
      <w:r w:rsidRPr="53F0BCD5">
        <w:t>) than each iARG and eARG, respectively. In various environments, ARGs have been found at lower concentrations than the 16S rRNA gene, but ARGs could also be subject to targeted degradation via DNase enzymes, UV inactivation from sunlight exposure, and natural decay (</w:t>
      </w:r>
      <w:r w:rsidRPr="00297838">
        <w:t>Liu et al. 2020</w:t>
      </w:r>
      <w:r w:rsidRPr="53F0BCD5">
        <w:t>; </w:t>
      </w:r>
      <w:r w:rsidRPr="00297838">
        <w:t>Mao et al. 2014</w:t>
      </w:r>
      <w:r w:rsidRPr="53F0BCD5">
        <w:t>). More research is needed, however, to elucidate the fate of ARGs in the environment compared to the 16S rRNA gene. In the tap water and wastewater effluent samples, no statistical difference was found between the extracellular 16S rRNA gene and the eARGs, while both statistically significant and nonsignificant relationships were observed between the intracellular 16S rRNA genes and iARGs. This result suggests that through drinking water and wastewater treatment plants, the extracellular 16S rRNA gene and eARGs might be behaving similarly through treatment processes, whereas the intracellular genes are not. Previous research in treatment plants showed mixed results. Yuan et al. (</w:t>
      </w:r>
      <w:r w:rsidRPr="00297838">
        <w:t>2019</w:t>
      </w:r>
      <w:r w:rsidRPr="53F0BCD5">
        <w:t xml:space="preserve">), for instance, found that UV disinfection led to no distinction between </w:t>
      </w:r>
      <w:proofErr w:type="spellStart"/>
      <w:r w:rsidRPr="53F0BCD5">
        <w:t>iARG</w:t>
      </w:r>
      <w:proofErr w:type="spellEnd"/>
      <w:r w:rsidRPr="53F0BCD5">
        <w:t xml:space="preserve"> and eARGs and the 16S rRNA gene, whereas the 16S rRNA gene reported by Calderón-franco et al. (</w:t>
      </w:r>
      <w:r w:rsidRPr="00297838">
        <w:t>2021</w:t>
      </w:r>
      <w:r w:rsidRPr="53F0BCD5">
        <w:t>) was significantly greater than iARGs and eARGs following tertiary treatment.</w:t>
      </w:r>
    </w:p>
    <w:p w14:paraId="4F3C232D" w14:textId="5FBCAD0F" w:rsidR="00EE53C7" w:rsidRPr="00EE53C7" w:rsidRDefault="00EE53C7" w:rsidP="53F0BCD5">
      <w:r w:rsidRPr="53F0BCD5">
        <w:t>The relative abundances of the ARGs quantified (normalized to the 16S rRNA gene) are presented in Fig. </w:t>
      </w:r>
      <w:r w:rsidRPr="00297838">
        <w:t>5</w:t>
      </w:r>
      <w:r w:rsidRPr="53F0BCD5">
        <w:t xml:space="preserve">. These data revealed many instances in which the extracellular fraction was not significantly different than that of the intracellular fraction, as well as two cases where the </w:t>
      </w:r>
      <w:proofErr w:type="spellStart"/>
      <w:r w:rsidRPr="53F0BCD5">
        <w:t>eARG</w:t>
      </w:r>
      <w:proofErr w:type="spellEnd"/>
      <w:r w:rsidRPr="53F0BCD5">
        <w:t xml:space="preserve"> abundance was statistically greater than that of the </w:t>
      </w:r>
      <w:proofErr w:type="spellStart"/>
      <w:r w:rsidRPr="53F0BCD5">
        <w:t>iARG</w:t>
      </w:r>
      <w:proofErr w:type="spellEnd"/>
      <w:r w:rsidRPr="53F0BCD5">
        <w:t>: </w:t>
      </w:r>
      <m:oMath>
        <m:r>
          <w:rPr>
            <w:rFonts w:ascii="Cambria Math" w:hAnsi="Cambria Math"/>
          </w:rPr>
          <m:t>sul1</m:t>
        </m:r>
      </m:oMath>
      <w:r w:rsidRPr="53F0BCD5">
        <w:t> for tap water (</w:t>
      </w:r>
      <m:oMath>
        <m:r>
          <w:rPr>
            <w:rFonts w:ascii="Cambria Math" w:hAnsi="Cambria Math"/>
          </w:rPr>
          <m:t>p&lt;0.001</m:t>
        </m:r>
      </m:oMath>
      <w:r w:rsidRPr="53F0BCD5">
        <w:t>) and </w:t>
      </w:r>
      <m:oMath>
        <m:r>
          <w:rPr>
            <w:rFonts w:ascii="Cambria Math" w:hAnsi="Cambria Math"/>
          </w:rPr>
          <m:t>erm</m:t>
        </m:r>
        <m:r>
          <m:rPr>
            <m:sty m:val="p"/>
          </m:rPr>
          <w:rPr>
            <w:rFonts w:ascii="Cambria Math" w:hAnsi="Cambria Math"/>
          </w:rPr>
          <m:t>F</m:t>
        </m:r>
      </m:oMath>
      <w:r w:rsidRPr="53F0BCD5">
        <w:t> for wastewater effluent (</w:t>
      </w:r>
      <m:oMath>
        <m:r>
          <w:rPr>
            <w:rFonts w:ascii="Cambria Math" w:hAnsi="Cambria Math"/>
          </w:rPr>
          <m:t>p&lt;0.05</m:t>
        </m:r>
      </m:oMath>
      <w:r w:rsidRPr="53F0BCD5">
        <w:t>). The targeted degradation of the 16S rRNA gene relative to ARGs has been observed by previous researchers (</w:t>
      </w:r>
      <w:r w:rsidRPr="00297838">
        <w:t>He et al. 2021</w:t>
      </w:r>
      <w:r w:rsidRPr="53F0BCD5">
        <w:t>; </w:t>
      </w:r>
      <w:r w:rsidRPr="00297838">
        <w:t>Liu et al. 2020</w:t>
      </w:r>
      <w:r w:rsidRPr="53F0BCD5">
        <w:t>; </w:t>
      </w:r>
      <w:r w:rsidRPr="00297838">
        <w:t>Mao et al. 2014</w:t>
      </w:r>
      <w:r w:rsidRPr="53F0BCD5">
        <w:t>; </w:t>
      </w:r>
      <w:r w:rsidRPr="00297838">
        <w:t>Zhang et al. 2013</w:t>
      </w:r>
      <w:r w:rsidRPr="53F0BCD5">
        <w:t>). The difference was attributed to the different locations of the genes, with the 16S rRNA gene being located on the chromosome, while ARGs are frequently associated with mobile genetic elements, particularly plasmids (</w:t>
      </w:r>
      <w:r w:rsidRPr="00297838">
        <w:t>Liu et al. 2020</w:t>
      </w:r>
      <w:r w:rsidRPr="53F0BCD5">
        <w:t>). Plasmids display a higher resistance to degradation factors compared to chromosomal DNA, attributable to their size and structure (</w:t>
      </w:r>
      <w:r w:rsidRPr="00297838">
        <w:t>He et al. 2021</w:t>
      </w:r>
      <w:r w:rsidRPr="53F0BCD5">
        <w:t>). Moreover, chlorination has been demonstrated to reduce the presence of chromosomal-associated DNA and ARGs more readily than plasmid-borne genes (</w:t>
      </w:r>
      <w:r w:rsidRPr="00297838">
        <w:t>Zhang et al. 2019</w:t>
      </w:r>
      <w:r w:rsidRPr="53F0BCD5">
        <w:t xml:space="preserve">). This could explain the notable finding that the relative abundance of every </w:t>
      </w:r>
      <w:proofErr w:type="spellStart"/>
      <w:r w:rsidRPr="53F0BCD5">
        <w:t>eARG</w:t>
      </w:r>
      <w:proofErr w:type="spellEnd"/>
      <w:r w:rsidRPr="53F0BCD5">
        <w:t xml:space="preserve"> for the tap water and wastewater samples was either not statistically different or greater than the </w:t>
      </w:r>
      <w:proofErr w:type="spellStart"/>
      <w:r w:rsidRPr="53F0BCD5">
        <w:t>iARG</w:t>
      </w:r>
      <w:proofErr w:type="spellEnd"/>
      <w:r w:rsidRPr="53F0BCD5">
        <w:t xml:space="preserve"> abundance.</w:t>
      </w:r>
    </w:p>
    <w:p w14:paraId="511E4CB7" w14:textId="77777777" w:rsidR="00EE53C7" w:rsidRPr="00EE53C7" w:rsidRDefault="00EE53C7" w:rsidP="53F0BCD5">
      <w:pPr>
        <w:pStyle w:val="Heading1"/>
        <w:rPr>
          <w:rFonts w:ascii="Calibri Light" w:eastAsia="MS Gothic" w:hAnsi="Calibri Light" w:cs="Times New Roman"/>
          <w:b/>
          <w:bCs/>
        </w:rPr>
      </w:pPr>
      <w:r>
        <w:t>Conclusions</w:t>
      </w:r>
    </w:p>
    <w:p w14:paraId="1271DA61" w14:textId="77777777" w:rsidR="00EE53C7" w:rsidRPr="00EE53C7" w:rsidRDefault="00EE53C7" w:rsidP="53F0BCD5">
      <w:r w:rsidRPr="53F0BCD5">
        <w:t xml:space="preserve">An extraction method, an eDNA extraction method was successfully adapted and validated for the simultaneous extraction of eARGs and iARGs. The extraction method was consequently applied to environmental waters, thereby providing, for the first time, the abundance of several eARGs and iARGs from various environments via one extraction method. In each environment—tap water, wastewater effluent, river surface water, lake surface water, and stormwater—eARGs were detected at quantifiable levels. Though eDNA and eARGs did not dominate the overall resistance profile of the different environments, as a portion of ecological metagenomes, they still hold relevance for the proliferation of antibiotic resistance and the interactions that lead to gene persistence. Furthermore, the persistence of such elements as mobile genetic elements indicates that a large source of extracellular genetic material could be disseminating in the environmental metagenome and be available for horizontal gene transformation. This work is still limited, however, in that the DNA extracted was not evaluated for its viability for natural transformation. Thus, future research should focus on the risks posed by eARGs by considering the competency of the extracellular material for horizontal transformation. The work done for this study and the method that was validated will enable further </w:t>
      </w:r>
      <w:proofErr w:type="spellStart"/>
      <w:r w:rsidRPr="53F0BCD5">
        <w:t>eARG</w:t>
      </w:r>
      <w:proofErr w:type="spellEnd"/>
      <w:r w:rsidRPr="53F0BCD5">
        <w:t xml:space="preserve"> analysis from environments of varying levels of contamination, including metagenomic analyses that will be needed to better understand the diversity, as well as the fate and transport, of eARGs compared to iARGs under different environmental conditions.</w:t>
      </w:r>
    </w:p>
    <w:p w14:paraId="34D3832C" w14:textId="77777777" w:rsidR="00EE53C7" w:rsidRPr="00EE53C7" w:rsidRDefault="00EE53C7" w:rsidP="53F0BCD5">
      <w:pPr>
        <w:pStyle w:val="Heading1"/>
        <w:rPr>
          <w:rFonts w:ascii="Calibri Light" w:eastAsia="MS Gothic" w:hAnsi="Calibri Light" w:cs="Times New Roman"/>
          <w:b/>
          <w:bCs/>
        </w:rPr>
      </w:pPr>
      <w:r>
        <w:t>Data Availability Statement</w:t>
      </w:r>
    </w:p>
    <w:p w14:paraId="315BF0D9" w14:textId="77777777" w:rsidR="00EE53C7" w:rsidRPr="00EE53C7" w:rsidRDefault="00EE53C7" w:rsidP="53F0BCD5">
      <w:r w:rsidRPr="53F0BCD5">
        <w:t>All data generated or used during the study appear in the published article.</w:t>
      </w:r>
    </w:p>
    <w:p w14:paraId="2F3381B6" w14:textId="77777777" w:rsidR="00EE53C7" w:rsidRPr="00EE53C7" w:rsidRDefault="00EE53C7" w:rsidP="53F0BCD5">
      <w:pPr>
        <w:pStyle w:val="Heading1"/>
        <w:rPr>
          <w:rFonts w:ascii="Calibri Light" w:eastAsia="MS Gothic" w:hAnsi="Calibri Light" w:cs="Times New Roman"/>
        </w:rPr>
      </w:pPr>
      <w:r>
        <w:t>Acknowledgments</w:t>
      </w:r>
    </w:p>
    <w:p w14:paraId="6603E487" w14:textId="77777777" w:rsidR="00EE53C7" w:rsidRPr="00EE53C7" w:rsidRDefault="00EE53C7" w:rsidP="53F0BCD5">
      <w:r w:rsidRPr="53F0BCD5">
        <w:t>This material is based upon work supported by the National Science Foundation Graduate Research Fellowship under Grant No. 2041851. Any opinion, findings, and conclusions or recommendations expressed in this material are those of the authors(s) and do not necessarily reflect the views of the National Science Foundation. This research was also supported by an Opus College of Engineering Seed Grant funded by the GHR Foundation.</w:t>
      </w:r>
    </w:p>
    <w:p w14:paraId="5E985841" w14:textId="0FFD2D7A" w:rsidR="53F0BCD5" w:rsidRDefault="53F0BCD5" w:rsidP="53F0BCD5">
      <w:pPr>
        <w:pStyle w:val="Heading1"/>
        <w:rPr>
          <w:rFonts w:ascii="Calibri Light" w:eastAsia="MS Gothic" w:hAnsi="Calibri Light" w:cs="Times New Roman"/>
        </w:rPr>
      </w:pPr>
      <w:r>
        <w:t>References</w:t>
      </w:r>
    </w:p>
    <w:p w14:paraId="5F3A4DD3" w14:textId="7FEB833F" w:rsidR="53F0BCD5" w:rsidRPr="001E66B0" w:rsidRDefault="53F0BCD5" w:rsidP="001E66B0">
      <w:pPr>
        <w:pStyle w:val="NoSpacing"/>
        <w:ind w:left="720" w:hanging="720"/>
        <w:rPr>
          <w:rFonts w:cstheme="minorHAnsi"/>
        </w:rPr>
      </w:pPr>
      <w:r w:rsidRPr="001E66B0">
        <w:rPr>
          <w:rFonts w:cstheme="minorHAnsi"/>
        </w:rPr>
        <w:t xml:space="preserve">Barnes, M. A., C. R. Turner, C. L. </w:t>
      </w:r>
      <w:proofErr w:type="spellStart"/>
      <w:r w:rsidRPr="001E66B0">
        <w:rPr>
          <w:rFonts w:cstheme="minorHAnsi"/>
        </w:rPr>
        <w:t>Jerde</w:t>
      </w:r>
      <w:proofErr w:type="spellEnd"/>
      <w:r w:rsidRPr="001E66B0">
        <w:rPr>
          <w:rFonts w:cstheme="minorHAnsi"/>
        </w:rPr>
        <w:t xml:space="preserve">, M. A. Renshaw, W. L. </w:t>
      </w:r>
      <w:proofErr w:type="spellStart"/>
      <w:r w:rsidRPr="001E66B0">
        <w:rPr>
          <w:rFonts w:cstheme="minorHAnsi"/>
        </w:rPr>
        <w:t>Chadderton</w:t>
      </w:r>
      <w:proofErr w:type="spellEnd"/>
      <w:r w:rsidRPr="001E66B0">
        <w:rPr>
          <w:rFonts w:cstheme="minorHAnsi"/>
        </w:rPr>
        <w:t xml:space="preserve">, and D. M. Lodge. 2014. “Environmental conditions influence eDNA persistence in aquatic systems.” </w:t>
      </w:r>
      <w:r w:rsidRPr="001E66B0">
        <w:rPr>
          <w:rFonts w:cstheme="minorHAnsi"/>
          <w:i/>
          <w:iCs/>
        </w:rPr>
        <w:t>Environ. Sci. Technol.</w:t>
      </w:r>
      <w:r w:rsidRPr="001E66B0">
        <w:rPr>
          <w:rFonts w:cstheme="minorHAnsi"/>
        </w:rPr>
        <w:t xml:space="preserve"> 48 (3): 1819–1827. https://doi.org/10.1021/es404734p.</w:t>
      </w:r>
    </w:p>
    <w:p w14:paraId="4363440C" w14:textId="42020774" w:rsidR="53F0BCD5" w:rsidRPr="001E66B0" w:rsidRDefault="53F0BCD5" w:rsidP="001E66B0">
      <w:pPr>
        <w:pStyle w:val="NoSpacing"/>
        <w:ind w:left="720" w:hanging="720"/>
        <w:rPr>
          <w:rFonts w:cstheme="minorHAnsi"/>
        </w:rPr>
      </w:pPr>
      <w:proofErr w:type="spellStart"/>
      <w:r w:rsidRPr="001E66B0">
        <w:rPr>
          <w:rFonts w:cstheme="minorHAnsi"/>
        </w:rPr>
        <w:t>Bustin</w:t>
      </w:r>
      <w:proofErr w:type="spellEnd"/>
      <w:r w:rsidRPr="001E66B0">
        <w:rPr>
          <w:rFonts w:cstheme="minorHAnsi"/>
        </w:rPr>
        <w:t xml:space="preserve">, S. A., et al. 2009. “The MIQE guidelines: Minimum information for publication of quantitative real-time PCR experiments.” </w:t>
      </w:r>
      <w:r w:rsidRPr="001E66B0">
        <w:rPr>
          <w:rFonts w:cstheme="minorHAnsi"/>
          <w:i/>
          <w:iCs/>
        </w:rPr>
        <w:t>Clin. Chem.</w:t>
      </w:r>
      <w:r w:rsidRPr="001E66B0">
        <w:rPr>
          <w:rFonts w:cstheme="minorHAnsi"/>
        </w:rPr>
        <w:t xml:space="preserve"> 55 (4): 611–622. https://doi.org/10.1373/clinchem.2008.112797.</w:t>
      </w:r>
    </w:p>
    <w:p w14:paraId="3EA3B9CE" w14:textId="1669E288" w:rsidR="53F0BCD5" w:rsidRPr="001E66B0" w:rsidRDefault="53F0BCD5" w:rsidP="001E66B0">
      <w:pPr>
        <w:pStyle w:val="NoSpacing"/>
        <w:ind w:left="720" w:hanging="720"/>
        <w:rPr>
          <w:rFonts w:cstheme="minorHAnsi"/>
        </w:rPr>
      </w:pPr>
      <w:r w:rsidRPr="001E66B0">
        <w:rPr>
          <w:rFonts w:cstheme="minorHAnsi"/>
        </w:rPr>
        <w:t xml:space="preserve">Calderón-Franco, D., M. C. M. Van </w:t>
      </w:r>
      <w:proofErr w:type="spellStart"/>
      <w:r w:rsidRPr="001E66B0">
        <w:rPr>
          <w:rFonts w:cstheme="minorHAnsi"/>
        </w:rPr>
        <w:t>Loosdrecht</w:t>
      </w:r>
      <w:proofErr w:type="spellEnd"/>
      <w:r w:rsidRPr="001E66B0">
        <w:rPr>
          <w:rFonts w:cstheme="minorHAnsi"/>
        </w:rPr>
        <w:t xml:space="preserve">, T. </w:t>
      </w:r>
      <w:proofErr w:type="spellStart"/>
      <w:r w:rsidRPr="001E66B0">
        <w:rPr>
          <w:rFonts w:cstheme="minorHAnsi"/>
        </w:rPr>
        <w:t>Abeel</w:t>
      </w:r>
      <w:proofErr w:type="spellEnd"/>
      <w:r w:rsidRPr="001E66B0">
        <w:rPr>
          <w:rFonts w:cstheme="minorHAnsi"/>
        </w:rPr>
        <w:t xml:space="preserve">, and D. G. </w:t>
      </w:r>
      <w:proofErr w:type="spellStart"/>
      <w:r w:rsidRPr="001E66B0">
        <w:rPr>
          <w:rFonts w:cstheme="minorHAnsi"/>
        </w:rPr>
        <w:t>Weissbrodt</w:t>
      </w:r>
      <w:proofErr w:type="spellEnd"/>
      <w:r w:rsidRPr="001E66B0">
        <w:rPr>
          <w:rFonts w:cstheme="minorHAnsi"/>
        </w:rPr>
        <w:t xml:space="preserve">. 2021. “Free-floating extracellular DNA: Systematic profiling of mobile genetic elements and antibiotic resistance from wastewater.” </w:t>
      </w:r>
      <w:r w:rsidRPr="001E66B0">
        <w:rPr>
          <w:rFonts w:cstheme="minorHAnsi"/>
          <w:i/>
          <w:iCs/>
        </w:rPr>
        <w:t>Water Res.</w:t>
      </w:r>
      <w:r w:rsidRPr="001E66B0">
        <w:rPr>
          <w:rFonts w:cstheme="minorHAnsi"/>
        </w:rPr>
        <w:t xml:space="preserve"> 189 (Feb): 116592. https://doi.org/10.1016/j.watres.2020.116592.</w:t>
      </w:r>
    </w:p>
    <w:p w14:paraId="67F69E7E" w14:textId="766605A6" w:rsidR="53F0BCD5" w:rsidRPr="001E66B0" w:rsidRDefault="53F0BCD5" w:rsidP="001E66B0">
      <w:pPr>
        <w:pStyle w:val="NoSpacing"/>
        <w:ind w:left="720" w:hanging="720"/>
        <w:rPr>
          <w:rFonts w:cstheme="minorHAnsi"/>
        </w:rPr>
      </w:pPr>
      <w:proofErr w:type="spellStart"/>
      <w:r w:rsidRPr="001E66B0">
        <w:rPr>
          <w:rFonts w:cstheme="minorHAnsi"/>
        </w:rPr>
        <w:t>Chancey</w:t>
      </w:r>
      <w:proofErr w:type="spellEnd"/>
      <w:r w:rsidRPr="001E66B0">
        <w:rPr>
          <w:rFonts w:cstheme="minorHAnsi"/>
        </w:rPr>
        <w:t xml:space="preserve">, S. T., S. Agrawal, M. R. Schroeder, M. M. Farley, H. </w:t>
      </w:r>
      <w:proofErr w:type="spellStart"/>
      <w:r w:rsidRPr="001E66B0">
        <w:rPr>
          <w:rFonts w:cstheme="minorHAnsi"/>
        </w:rPr>
        <w:t>Tettelin</w:t>
      </w:r>
      <w:proofErr w:type="spellEnd"/>
      <w:r w:rsidRPr="001E66B0">
        <w:rPr>
          <w:rFonts w:cstheme="minorHAnsi"/>
        </w:rPr>
        <w:t xml:space="preserve">, and D. S. Stephens. 2015. “Composite mobile genetic elements disseminating macrolide resistance in Streptococcus pneumoniae.” </w:t>
      </w:r>
      <w:r w:rsidRPr="001E66B0">
        <w:rPr>
          <w:rFonts w:cstheme="minorHAnsi"/>
          <w:i/>
          <w:iCs/>
        </w:rPr>
        <w:t xml:space="preserve">Front. </w:t>
      </w:r>
      <w:proofErr w:type="spellStart"/>
      <w:r w:rsidRPr="001E66B0">
        <w:rPr>
          <w:rFonts w:cstheme="minorHAnsi"/>
          <w:i/>
          <w:iCs/>
        </w:rPr>
        <w:t>Microbiol</w:t>
      </w:r>
      <w:proofErr w:type="spellEnd"/>
      <w:r w:rsidRPr="001E66B0">
        <w:rPr>
          <w:rFonts w:cstheme="minorHAnsi"/>
          <w:i/>
          <w:iCs/>
        </w:rPr>
        <w:t>.</w:t>
      </w:r>
      <w:r w:rsidRPr="001E66B0">
        <w:rPr>
          <w:rFonts w:cstheme="minorHAnsi"/>
        </w:rPr>
        <w:t xml:space="preserve"> 6 (Feb): 1–14. https://doi.org/10.3389/fmicb.2015.00026.</w:t>
      </w:r>
    </w:p>
    <w:p w14:paraId="4CD57832" w14:textId="67DE3B15" w:rsidR="53F0BCD5" w:rsidRPr="001E66B0" w:rsidRDefault="53F0BCD5" w:rsidP="001E66B0">
      <w:pPr>
        <w:pStyle w:val="NoSpacing"/>
        <w:ind w:left="720" w:hanging="720"/>
        <w:rPr>
          <w:rFonts w:cstheme="minorHAnsi"/>
        </w:rPr>
      </w:pPr>
      <w:r w:rsidRPr="001E66B0">
        <w:rPr>
          <w:rFonts w:cstheme="minorHAnsi"/>
        </w:rPr>
        <w:t xml:space="preserve">Chen, L., Y. Xu, X. Dong, and C. Shen. 2020. “Removal of intracellular and extracellular antibiotic resistance genes in municipal wastewater effluent by electrocoagulation.” </w:t>
      </w:r>
      <w:r w:rsidRPr="001E66B0">
        <w:rPr>
          <w:rFonts w:cstheme="minorHAnsi"/>
          <w:i/>
          <w:iCs/>
        </w:rPr>
        <w:t>Environ. Eng. Sci.</w:t>
      </w:r>
      <w:r w:rsidRPr="001E66B0">
        <w:rPr>
          <w:rFonts w:cstheme="minorHAnsi"/>
        </w:rPr>
        <w:t xml:space="preserve"> 37 (12): 783–789. https://doi.org/10.1089/ees.2020.0189.</w:t>
      </w:r>
    </w:p>
    <w:p w14:paraId="5EA03F20" w14:textId="236E33D8" w:rsidR="53F0BCD5" w:rsidRPr="001E66B0" w:rsidRDefault="53F0BCD5" w:rsidP="001E66B0">
      <w:pPr>
        <w:pStyle w:val="NoSpacing"/>
        <w:ind w:left="720" w:hanging="720"/>
        <w:rPr>
          <w:rFonts w:cstheme="minorHAnsi"/>
        </w:rPr>
      </w:pPr>
      <w:proofErr w:type="spellStart"/>
      <w:r w:rsidRPr="001E66B0">
        <w:rPr>
          <w:rFonts w:cstheme="minorHAnsi"/>
        </w:rPr>
        <w:t>Corinaldesi</w:t>
      </w:r>
      <w:proofErr w:type="spellEnd"/>
      <w:r w:rsidRPr="001E66B0">
        <w:rPr>
          <w:rFonts w:cstheme="minorHAnsi"/>
        </w:rPr>
        <w:t xml:space="preserve">, C., R. </w:t>
      </w:r>
      <w:proofErr w:type="spellStart"/>
      <w:r w:rsidRPr="001E66B0">
        <w:rPr>
          <w:rFonts w:cstheme="minorHAnsi"/>
        </w:rPr>
        <w:t>Danovaro</w:t>
      </w:r>
      <w:proofErr w:type="spellEnd"/>
      <w:r w:rsidRPr="001E66B0">
        <w:rPr>
          <w:rFonts w:cstheme="minorHAnsi"/>
        </w:rPr>
        <w:t xml:space="preserve">, and A. </w:t>
      </w:r>
      <w:proofErr w:type="spellStart"/>
      <w:r w:rsidRPr="001E66B0">
        <w:rPr>
          <w:rFonts w:cstheme="minorHAnsi"/>
        </w:rPr>
        <w:t>Dell’Anno</w:t>
      </w:r>
      <w:proofErr w:type="spellEnd"/>
      <w:r w:rsidRPr="001E66B0">
        <w:rPr>
          <w:rFonts w:cstheme="minorHAnsi"/>
        </w:rPr>
        <w:t xml:space="preserve">. 2005. “Simultaneous recovery of extracellular and intracellular DNA suitable for molecular studies from marine sediments.” </w:t>
      </w:r>
      <w:r w:rsidRPr="001E66B0">
        <w:rPr>
          <w:rFonts w:cstheme="minorHAnsi"/>
          <w:i/>
          <w:iCs/>
        </w:rPr>
        <w:t xml:space="preserve">Appl. Environ. </w:t>
      </w:r>
      <w:proofErr w:type="spellStart"/>
      <w:r w:rsidRPr="001E66B0">
        <w:rPr>
          <w:rFonts w:cstheme="minorHAnsi"/>
          <w:i/>
          <w:iCs/>
        </w:rPr>
        <w:t>Microbiol</w:t>
      </w:r>
      <w:proofErr w:type="spellEnd"/>
      <w:r w:rsidRPr="001E66B0">
        <w:rPr>
          <w:rFonts w:cstheme="minorHAnsi"/>
          <w:i/>
          <w:iCs/>
        </w:rPr>
        <w:t>.</w:t>
      </w:r>
      <w:r w:rsidRPr="001E66B0">
        <w:rPr>
          <w:rFonts w:cstheme="minorHAnsi"/>
        </w:rPr>
        <w:t xml:space="preserve"> 71 (1): 46–50. https://doi.org/10.1128/AEM.71.1.46-50.2005.</w:t>
      </w:r>
    </w:p>
    <w:p w14:paraId="251E9C4C" w14:textId="2820787D" w:rsidR="53F0BCD5" w:rsidRPr="001E66B0" w:rsidRDefault="53F0BCD5" w:rsidP="001E66B0">
      <w:pPr>
        <w:pStyle w:val="NoSpacing"/>
        <w:ind w:left="720" w:hanging="720"/>
        <w:rPr>
          <w:rFonts w:cstheme="minorHAnsi"/>
        </w:rPr>
      </w:pPr>
      <w:r w:rsidRPr="001E66B0">
        <w:rPr>
          <w:rFonts w:cstheme="minorHAnsi"/>
        </w:rPr>
        <w:t xml:space="preserve">D’Costa, V. M., et al. 2011. “Antibiotic resistance is ancient.” </w:t>
      </w:r>
      <w:r w:rsidRPr="001E66B0">
        <w:rPr>
          <w:rFonts w:cstheme="minorHAnsi"/>
          <w:i/>
          <w:iCs/>
        </w:rPr>
        <w:t>Nature</w:t>
      </w:r>
      <w:r w:rsidRPr="001E66B0">
        <w:rPr>
          <w:rFonts w:cstheme="minorHAnsi"/>
        </w:rPr>
        <w:t xml:space="preserve"> 477 (7365): 457–461. https://doi.org/10.1038/nature10388.</w:t>
      </w:r>
    </w:p>
    <w:p w14:paraId="6CED67D5" w14:textId="5A347384" w:rsidR="53F0BCD5" w:rsidRPr="001E66B0" w:rsidRDefault="53F0BCD5" w:rsidP="001E66B0">
      <w:pPr>
        <w:pStyle w:val="NoSpacing"/>
        <w:ind w:left="720" w:hanging="720"/>
        <w:rPr>
          <w:rFonts w:cstheme="minorHAnsi"/>
        </w:rPr>
      </w:pPr>
      <w:proofErr w:type="spellStart"/>
      <w:r w:rsidRPr="001E66B0">
        <w:rPr>
          <w:rFonts w:cstheme="minorHAnsi"/>
        </w:rPr>
        <w:t>Deprez</w:t>
      </w:r>
      <w:proofErr w:type="spellEnd"/>
      <w:r w:rsidRPr="001E66B0">
        <w:rPr>
          <w:rFonts w:cstheme="minorHAnsi"/>
        </w:rPr>
        <w:t xml:space="preserve">, L., P. </w:t>
      </w:r>
      <w:proofErr w:type="spellStart"/>
      <w:r w:rsidRPr="001E66B0">
        <w:rPr>
          <w:rFonts w:cstheme="minorHAnsi"/>
        </w:rPr>
        <w:t>Corbisier</w:t>
      </w:r>
      <w:proofErr w:type="spellEnd"/>
      <w:r w:rsidRPr="001E66B0">
        <w:rPr>
          <w:rFonts w:cstheme="minorHAnsi"/>
        </w:rPr>
        <w:t xml:space="preserve">, A. M. </w:t>
      </w:r>
      <w:proofErr w:type="spellStart"/>
      <w:r w:rsidRPr="001E66B0">
        <w:rPr>
          <w:rFonts w:cstheme="minorHAnsi"/>
        </w:rPr>
        <w:t>Kortekaas</w:t>
      </w:r>
      <w:proofErr w:type="spellEnd"/>
      <w:r w:rsidRPr="001E66B0">
        <w:rPr>
          <w:rFonts w:cstheme="minorHAnsi"/>
        </w:rPr>
        <w:t xml:space="preserve">, S. </w:t>
      </w:r>
      <w:proofErr w:type="spellStart"/>
      <w:r w:rsidRPr="001E66B0">
        <w:rPr>
          <w:rFonts w:cstheme="minorHAnsi"/>
        </w:rPr>
        <w:t>Mazoua</w:t>
      </w:r>
      <w:proofErr w:type="spellEnd"/>
      <w:r w:rsidRPr="001E66B0">
        <w:rPr>
          <w:rFonts w:cstheme="minorHAnsi"/>
        </w:rPr>
        <w:t xml:space="preserve">, R. </w:t>
      </w:r>
      <w:proofErr w:type="spellStart"/>
      <w:r w:rsidRPr="001E66B0">
        <w:rPr>
          <w:rFonts w:cstheme="minorHAnsi"/>
        </w:rPr>
        <w:t>Beaz</w:t>
      </w:r>
      <w:proofErr w:type="spellEnd"/>
      <w:r w:rsidRPr="001E66B0">
        <w:rPr>
          <w:rFonts w:cstheme="minorHAnsi"/>
        </w:rPr>
        <w:t xml:space="preserve"> Hidalgo, S. </w:t>
      </w:r>
      <w:proofErr w:type="spellStart"/>
      <w:r w:rsidRPr="001E66B0">
        <w:rPr>
          <w:rFonts w:cstheme="minorHAnsi"/>
        </w:rPr>
        <w:t>Trapmann</w:t>
      </w:r>
      <w:proofErr w:type="spellEnd"/>
      <w:r w:rsidRPr="001E66B0">
        <w:rPr>
          <w:rFonts w:cstheme="minorHAnsi"/>
        </w:rPr>
        <w:t xml:space="preserve">, and H. </w:t>
      </w:r>
      <w:proofErr w:type="spellStart"/>
      <w:r w:rsidRPr="001E66B0">
        <w:rPr>
          <w:rFonts w:cstheme="minorHAnsi"/>
        </w:rPr>
        <w:t>Emons</w:t>
      </w:r>
      <w:proofErr w:type="spellEnd"/>
      <w:r w:rsidRPr="001E66B0">
        <w:rPr>
          <w:rFonts w:cstheme="minorHAnsi"/>
        </w:rPr>
        <w:t xml:space="preserve">. 2016. “Validation of a digital PCR method for quantification of DNA copy number concentrations by using a certified reference material.” </w:t>
      </w:r>
      <w:proofErr w:type="spellStart"/>
      <w:r w:rsidRPr="001E66B0">
        <w:rPr>
          <w:rFonts w:cstheme="minorHAnsi"/>
          <w:i/>
          <w:iCs/>
        </w:rPr>
        <w:t>Biomol</w:t>
      </w:r>
      <w:proofErr w:type="spellEnd"/>
      <w:r w:rsidRPr="001E66B0">
        <w:rPr>
          <w:rFonts w:cstheme="minorHAnsi"/>
          <w:i/>
          <w:iCs/>
        </w:rPr>
        <w:t xml:space="preserve">. Detect. </w:t>
      </w:r>
      <w:proofErr w:type="spellStart"/>
      <w:r w:rsidRPr="001E66B0">
        <w:rPr>
          <w:rFonts w:cstheme="minorHAnsi"/>
          <w:i/>
          <w:iCs/>
        </w:rPr>
        <w:t>Quantif</w:t>
      </w:r>
      <w:proofErr w:type="spellEnd"/>
      <w:r w:rsidRPr="001E66B0">
        <w:rPr>
          <w:rFonts w:cstheme="minorHAnsi"/>
          <w:i/>
          <w:iCs/>
        </w:rPr>
        <w:t>.</w:t>
      </w:r>
      <w:r w:rsidRPr="001E66B0">
        <w:rPr>
          <w:rFonts w:cstheme="minorHAnsi"/>
        </w:rPr>
        <w:t xml:space="preserve"> 9: 29–39. https://doi.org/10.1016/j.bdq.2016.08.002.</w:t>
      </w:r>
    </w:p>
    <w:p w14:paraId="011ACBA0" w14:textId="2DC51C4A" w:rsidR="53F0BCD5" w:rsidRPr="001E66B0" w:rsidRDefault="53F0BCD5" w:rsidP="001E66B0">
      <w:pPr>
        <w:pStyle w:val="NoSpacing"/>
        <w:ind w:left="720" w:hanging="720"/>
        <w:rPr>
          <w:rFonts w:cstheme="minorHAnsi"/>
        </w:rPr>
      </w:pPr>
      <w:proofErr w:type="spellStart"/>
      <w:r w:rsidRPr="001E66B0">
        <w:rPr>
          <w:rFonts w:cstheme="minorHAnsi"/>
        </w:rPr>
        <w:t>Domingues</w:t>
      </w:r>
      <w:proofErr w:type="spellEnd"/>
      <w:r w:rsidRPr="001E66B0">
        <w:rPr>
          <w:rFonts w:cstheme="minorHAnsi"/>
        </w:rPr>
        <w:t xml:space="preserve">, S., K. Harms, W. F. Fricke, P. J. Johnsen, G. J. da Silva, and K. M. Nielsen. 2012. “Natural transformation facilitates transfer of transposons, </w:t>
      </w:r>
      <w:proofErr w:type="spellStart"/>
      <w:r w:rsidRPr="001E66B0">
        <w:rPr>
          <w:rFonts w:cstheme="minorHAnsi"/>
        </w:rPr>
        <w:t>integrons</w:t>
      </w:r>
      <w:proofErr w:type="spellEnd"/>
      <w:r w:rsidRPr="001E66B0">
        <w:rPr>
          <w:rFonts w:cstheme="minorHAnsi"/>
        </w:rPr>
        <w:t xml:space="preserve"> and gene cassettes between bacterial species.” </w:t>
      </w:r>
      <w:proofErr w:type="spellStart"/>
      <w:r w:rsidRPr="001E66B0">
        <w:rPr>
          <w:rFonts w:cstheme="minorHAnsi"/>
          <w:i/>
          <w:iCs/>
        </w:rPr>
        <w:t>PLoS</w:t>
      </w:r>
      <w:proofErr w:type="spellEnd"/>
      <w:r w:rsidRPr="001E66B0">
        <w:rPr>
          <w:rFonts w:cstheme="minorHAnsi"/>
          <w:i/>
          <w:iCs/>
        </w:rPr>
        <w:t xml:space="preserve"> </w:t>
      </w:r>
      <w:proofErr w:type="spellStart"/>
      <w:r w:rsidRPr="001E66B0">
        <w:rPr>
          <w:rFonts w:cstheme="minorHAnsi"/>
          <w:i/>
          <w:iCs/>
        </w:rPr>
        <w:t>Pathog</w:t>
      </w:r>
      <w:proofErr w:type="spellEnd"/>
      <w:r w:rsidRPr="001E66B0">
        <w:rPr>
          <w:rFonts w:cstheme="minorHAnsi"/>
          <w:i/>
          <w:iCs/>
        </w:rPr>
        <w:t>.</w:t>
      </w:r>
      <w:r w:rsidRPr="001E66B0">
        <w:rPr>
          <w:rFonts w:cstheme="minorHAnsi"/>
        </w:rPr>
        <w:t xml:space="preserve"> 8 (8): e1002837. https://doi.org/10.1371/journal.ppat.1002837.</w:t>
      </w:r>
    </w:p>
    <w:p w14:paraId="1D6FB912" w14:textId="0A1085B3" w:rsidR="53F0BCD5" w:rsidRPr="001E66B0" w:rsidRDefault="53F0BCD5" w:rsidP="001E66B0">
      <w:pPr>
        <w:pStyle w:val="NoSpacing"/>
        <w:ind w:left="720" w:hanging="720"/>
        <w:rPr>
          <w:rFonts w:cstheme="minorHAnsi"/>
        </w:rPr>
      </w:pPr>
      <w:r w:rsidRPr="001E66B0">
        <w:rPr>
          <w:rFonts w:cstheme="minorHAnsi"/>
        </w:rPr>
        <w:t xml:space="preserve">Dong, P., H. Wang, T. Fang, Y. Wang, and Q. Ye. 2019. “Assessment of extracellular antibiotic resistance genes (eARGs) in typical environmental samples and the transforming ability of </w:t>
      </w:r>
      <w:proofErr w:type="spellStart"/>
      <w:r w:rsidRPr="001E66B0">
        <w:rPr>
          <w:rFonts w:cstheme="minorHAnsi"/>
        </w:rPr>
        <w:t>eARG</w:t>
      </w:r>
      <w:proofErr w:type="spellEnd"/>
      <w:r w:rsidRPr="001E66B0">
        <w:rPr>
          <w:rFonts w:cstheme="minorHAnsi"/>
        </w:rPr>
        <w:t xml:space="preserve">.” </w:t>
      </w:r>
      <w:r w:rsidRPr="001E66B0">
        <w:rPr>
          <w:rFonts w:cstheme="minorHAnsi"/>
          <w:i/>
          <w:iCs/>
        </w:rPr>
        <w:t>Environ. Int.</w:t>
      </w:r>
      <w:r w:rsidRPr="001E66B0">
        <w:rPr>
          <w:rFonts w:cstheme="minorHAnsi"/>
        </w:rPr>
        <w:t xml:space="preserve"> 125 (Apr): 90–96. https://doi.org/10.1016/j.envint.2019.01.050.</w:t>
      </w:r>
    </w:p>
    <w:p w14:paraId="61B7A8EA" w14:textId="3153FEDD" w:rsidR="53F0BCD5" w:rsidRPr="001E66B0" w:rsidRDefault="53F0BCD5" w:rsidP="001E66B0">
      <w:pPr>
        <w:pStyle w:val="NoSpacing"/>
        <w:ind w:left="720" w:hanging="720"/>
        <w:rPr>
          <w:rFonts w:cstheme="minorHAnsi"/>
        </w:rPr>
      </w:pPr>
      <w:r w:rsidRPr="001E66B0">
        <w:rPr>
          <w:rFonts w:cstheme="minorHAnsi"/>
        </w:rPr>
        <w:t xml:space="preserve">Finley, R. L., P. Collignon, D. G. J. Larsson, S. A. </w:t>
      </w:r>
      <w:proofErr w:type="spellStart"/>
      <w:r w:rsidRPr="001E66B0">
        <w:rPr>
          <w:rFonts w:cstheme="minorHAnsi"/>
        </w:rPr>
        <w:t>Mcewen</w:t>
      </w:r>
      <w:proofErr w:type="spellEnd"/>
      <w:r w:rsidRPr="001E66B0">
        <w:rPr>
          <w:rFonts w:cstheme="minorHAnsi"/>
        </w:rPr>
        <w:t xml:space="preserve">, X. Li, W. H. Gaze, R. Reid-smith, M. </w:t>
      </w:r>
      <w:proofErr w:type="spellStart"/>
      <w:r w:rsidRPr="001E66B0">
        <w:rPr>
          <w:rFonts w:cstheme="minorHAnsi"/>
        </w:rPr>
        <w:t>Timinouni</w:t>
      </w:r>
      <w:proofErr w:type="spellEnd"/>
      <w:r w:rsidRPr="001E66B0">
        <w:rPr>
          <w:rFonts w:cstheme="minorHAnsi"/>
        </w:rPr>
        <w:t xml:space="preserve">, D. W. Graham, and E. </w:t>
      </w:r>
      <w:proofErr w:type="spellStart"/>
      <w:r w:rsidRPr="001E66B0">
        <w:rPr>
          <w:rFonts w:cstheme="minorHAnsi"/>
        </w:rPr>
        <w:t>Topp</w:t>
      </w:r>
      <w:proofErr w:type="spellEnd"/>
      <w:r w:rsidRPr="001E66B0">
        <w:rPr>
          <w:rFonts w:cstheme="minorHAnsi"/>
        </w:rPr>
        <w:t xml:space="preserve">. 2013. “The scourge of antibiotic resistance: The important role of the environment.” </w:t>
      </w:r>
      <w:r w:rsidRPr="001E66B0">
        <w:rPr>
          <w:rFonts w:cstheme="minorHAnsi"/>
          <w:i/>
          <w:iCs/>
        </w:rPr>
        <w:t>Clin. Infect. Dis.</w:t>
      </w:r>
      <w:r w:rsidRPr="001E66B0">
        <w:rPr>
          <w:rFonts w:cstheme="minorHAnsi"/>
        </w:rPr>
        <w:t xml:space="preserve"> 57 (5): 704–710. https://doi.org/10.1093/cid/cit355.</w:t>
      </w:r>
    </w:p>
    <w:p w14:paraId="444CE15D" w14:textId="67D9C650" w:rsidR="53F0BCD5" w:rsidRPr="001E66B0" w:rsidRDefault="53F0BCD5" w:rsidP="001E66B0">
      <w:pPr>
        <w:pStyle w:val="NoSpacing"/>
        <w:ind w:left="720" w:hanging="720"/>
        <w:rPr>
          <w:rFonts w:cstheme="minorHAnsi"/>
        </w:rPr>
      </w:pPr>
      <w:r w:rsidRPr="001E66B0">
        <w:rPr>
          <w:rFonts w:cstheme="minorHAnsi"/>
        </w:rPr>
        <w:t xml:space="preserve">Hao, H., et al. 2019. “Profiling of intracellular and extracellular antibiotic resistance genes in tap water.” </w:t>
      </w:r>
      <w:r w:rsidRPr="001E66B0">
        <w:rPr>
          <w:rFonts w:cstheme="minorHAnsi"/>
          <w:i/>
          <w:iCs/>
        </w:rPr>
        <w:t>J. Hazard. Mater.</w:t>
      </w:r>
      <w:r w:rsidRPr="001E66B0">
        <w:rPr>
          <w:rFonts w:cstheme="minorHAnsi"/>
        </w:rPr>
        <w:t xml:space="preserve"> 365 (Mar): 340–345. https://doi.org/10.1016/j.jhazmat.2018.11.004.</w:t>
      </w:r>
    </w:p>
    <w:p w14:paraId="7AFA5606" w14:textId="0D82FBB2" w:rsidR="53F0BCD5" w:rsidRPr="001E66B0" w:rsidRDefault="53F0BCD5" w:rsidP="001E66B0">
      <w:pPr>
        <w:pStyle w:val="NoSpacing"/>
        <w:ind w:left="720" w:hanging="720"/>
        <w:rPr>
          <w:rFonts w:cstheme="minorHAnsi"/>
        </w:rPr>
      </w:pPr>
      <w:r w:rsidRPr="001E66B0">
        <w:rPr>
          <w:rFonts w:cstheme="minorHAnsi"/>
        </w:rPr>
        <w:t xml:space="preserve">He, T., L. </w:t>
      </w:r>
      <w:proofErr w:type="spellStart"/>
      <w:r w:rsidRPr="001E66B0">
        <w:rPr>
          <w:rFonts w:cstheme="minorHAnsi"/>
        </w:rPr>
        <w:t>Jin</w:t>
      </w:r>
      <w:proofErr w:type="spellEnd"/>
      <w:r w:rsidRPr="001E66B0">
        <w:rPr>
          <w:rFonts w:cstheme="minorHAnsi"/>
        </w:rPr>
        <w:t xml:space="preserve">, J. </w:t>
      </w:r>
      <w:proofErr w:type="spellStart"/>
      <w:r w:rsidRPr="001E66B0">
        <w:rPr>
          <w:rFonts w:cstheme="minorHAnsi"/>
        </w:rPr>
        <w:t>Xie</w:t>
      </w:r>
      <w:proofErr w:type="spellEnd"/>
      <w:r w:rsidRPr="001E66B0">
        <w:rPr>
          <w:rFonts w:cstheme="minorHAnsi"/>
        </w:rPr>
        <w:t xml:space="preserve">, S. Yue, P. Fu, and X. Li. 2021. “Intracellular and extracellular antibiotic resistance genes in airborne PM2.5 for respiratory exposure in urban areas.” </w:t>
      </w:r>
      <w:r w:rsidRPr="001E66B0">
        <w:rPr>
          <w:rFonts w:cstheme="minorHAnsi"/>
          <w:i/>
          <w:iCs/>
        </w:rPr>
        <w:t>Environ. Sci. Technol. Lett.</w:t>
      </w:r>
      <w:r w:rsidRPr="001E66B0">
        <w:rPr>
          <w:rFonts w:cstheme="minorHAnsi"/>
        </w:rPr>
        <w:t xml:space="preserve"> 8 (2): 128–134. https://doi.org/10.1021/acs.estlett.0c00974.</w:t>
      </w:r>
    </w:p>
    <w:p w14:paraId="2E167BAB" w14:textId="36A91BEC" w:rsidR="53F0BCD5" w:rsidRPr="001E66B0" w:rsidRDefault="53F0BCD5" w:rsidP="001E66B0">
      <w:pPr>
        <w:pStyle w:val="NoSpacing"/>
        <w:ind w:left="720" w:hanging="720"/>
        <w:rPr>
          <w:rFonts w:cstheme="minorHAnsi"/>
        </w:rPr>
      </w:pPr>
      <w:r w:rsidRPr="001E66B0">
        <w:rPr>
          <w:rFonts w:cstheme="minorHAnsi"/>
        </w:rPr>
        <w:t xml:space="preserve">Huggett, J. F., et al. 2013. “The digital MIQE guidelines: Minimum information for publication of quantitative digital PCR experiments.” </w:t>
      </w:r>
      <w:r w:rsidRPr="001E66B0">
        <w:rPr>
          <w:rFonts w:cstheme="minorHAnsi"/>
          <w:i/>
          <w:iCs/>
        </w:rPr>
        <w:t>Clin. Chem.</w:t>
      </w:r>
      <w:r w:rsidRPr="001E66B0">
        <w:rPr>
          <w:rFonts w:cstheme="minorHAnsi"/>
        </w:rPr>
        <w:t xml:space="preserve"> 59 (6): 892–902. https://doi.org/10.1373/clinchem.2013.206375.</w:t>
      </w:r>
    </w:p>
    <w:p w14:paraId="0ACE948B" w14:textId="0946D8FC" w:rsidR="53F0BCD5" w:rsidRPr="001E66B0" w:rsidRDefault="53F0BCD5" w:rsidP="001E66B0">
      <w:pPr>
        <w:pStyle w:val="NoSpacing"/>
        <w:ind w:left="720" w:hanging="720"/>
        <w:rPr>
          <w:rFonts w:cstheme="minorHAnsi"/>
        </w:rPr>
      </w:pPr>
      <w:proofErr w:type="spellStart"/>
      <w:r w:rsidRPr="001E66B0">
        <w:rPr>
          <w:rFonts w:cstheme="minorHAnsi"/>
        </w:rPr>
        <w:t>Jakubovics</w:t>
      </w:r>
      <w:proofErr w:type="spellEnd"/>
      <w:r w:rsidRPr="001E66B0">
        <w:rPr>
          <w:rFonts w:cstheme="minorHAnsi"/>
        </w:rPr>
        <w:t xml:space="preserve">, N. S., R. C. Shields, N. </w:t>
      </w:r>
      <w:proofErr w:type="spellStart"/>
      <w:r w:rsidRPr="001E66B0">
        <w:rPr>
          <w:rFonts w:cstheme="minorHAnsi"/>
        </w:rPr>
        <w:t>Rajarajan</w:t>
      </w:r>
      <w:proofErr w:type="spellEnd"/>
      <w:r w:rsidRPr="001E66B0">
        <w:rPr>
          <w:rFonts w:cstheme="minorHAnsi"/>
        </w:rPr>
        <w:t xml:space="preserve">, and J. G. Burgess. 2013. “Life after death: The critical role of extracellular DNA in microbial biofilms.” </w:t>
      </w:r>
      <w:r w:rsidRPr="001E66B0">
        <w:rPr>
          <w:rFonts w:cstheme="minorHAnsi"/>
          <w:i/>
          <w:iCs/>
        </w:rPr>
        <w:t xml:space="preserve">Lett. Appl. </w:t>
      </w:r>
      <w:proofErr w:type="spellStart"/>
      <w:r w:rsidRPr="001E66B0">
        <w:rPr>
          <w:rFonts w:cstheme="minorHAnsi"/>
          <w:i/>
          <w:iCs/>
        </w:rPr>
        <w:t>Microbiol</w:t>
      </w:r>
      <w:proofErr w:type="spellEnd"/>
      <w:r w:rsidRPr="001E66B0">
        <w:rPr>
          <w:rFonts w:cstheme="minorHAnsi"/>
          <w:i/>
          <w:iCs/>
        </w:rPr>
        <w:t>.</w:t>
      </w:r>
      <w:r w:rsidRPr="001E66B0">
        <w:rPr>
          <w:rFonts w:cstheme="minorHAnsi"/>
        </w:rPr>
        <w:t xml:space="preserve"> 57 (6): 467–475. https://doi.org/10.1111/lam.12134.</w:t>
      </w:r>
    </w:p>
    <w:p w14:paraId="0D02AE4E" w14:textId="17DE9263" w:rsidR="53F0BCD5" w:rsidRPr="001E66B0" w:rsidRDefault="53F0BCD5" w:rsidP="001E66B0">
      <w:pPr>
        <w:pStyle w:val="NoSpacing"/>
        <w:ind w:left="720" w:hanging="720"/>
        <w:rPr>
          <w:rFonts w:cstheme="minorHAnsi"/>
        </w:rPr>
      </w:pPr>
      <w:proofErr w:type="spellStart"/>
      <w:r w:rsidRPr="001E66B0">
        <w:rPr>
          <w:rFonts w:cstheme="minorHAnsi"/>
        </w:rPr>
        <w:t>Jin</w:t>
      </w:r>
      <w:proofErr w:type="spellEnd"/>
      <w:r w:rsidRPr="001E66B0">
        <w:rPr>
          <w:rFonts w:cstheme="minorHAnsi"/>
        </w:rPr>
        <w:t xml:space="preserve">, M., L. Liu, D. W. Dong, Y. W. Liu, J. Yin, Z. Y. H. Wang, Z. Q. Z. Shen, D. S. H. Li, and J. G. J. Li. 2020. “Chlorine disinfection promotes the exchange of antibiotic resistance genes across bacterial genera by natural transformation.” </w:t>
      </w:r>
      <w:r w:rsidRPr="001E66B0">
        <w:rPr>
          <w:rFonts w:cstheme="minorHAnsi"/>
          <w:i/>
          <w:iCs/>
        </w:rPr>
        <w:t>ISME J</w:t>
      </w:r>
      <w:r w:rsidRPr="001E66B0">
        <w:rPr>
          <w:rFonts w:cstheme="minorHAnsi"/>
        </w:rPr>
        <w:t xml:space="preserve"> 14 (7): 1847–1856. https://doi.org/10.1038/s41396-020-0656-9.</w:t>
      </w:r>
    </w:p>
    <w:p w14:paraId="0ED26192" w14:textId="31A017B0" w:rsidR="53F0BCD5" w:rsidRPr="001E66B0" w:rsidRDefault="53F0BCD5" w:rsidP="001E66B0">
      <w:pPr>
        <w:pStyle w:val="NoSpacing"/>
        <w:ind w:left="720" w:hanging="720"/>
        <w:rPr>
          <w:rFonts w:cstheme="minorHAnsi"/>
        </w:rPr>
      </w:pPr>
      <w:proofErr w:type="spellStart"/>
      <w:r w:rsidRPr="001E66B0">
        <w:rPr>
          <w:rFonts w:cstheme="minorHAnsi"/>
        </w:rPr>
        <w:t>Johnsborg</w:t>
      </w:r>
      <w:proofErr w:type="spellEnd"/>
      <w:r w:rsidRPr="001E66B0">
        <w:rPr>
          <w:rFonts w:cstheme="minorHAnsi"/>
        </w:rPr>
        <w:t xml:space="preserve">, O., V. </w:t>
      </w:r>
      <w:proofErr w:type="spellStart"/>
      <w:r w:rsidRPr="001E66B0">
        <w:rPr>
          <w:rFonts w:cstheme="minorHAnsi"/>
        </w:rPr>
        <w:t>Eldholm</w:t>
      </w:r>
      <w:proofErr w:type="spellEnd"/>
      <w:r w:rsidRPr="001E66B0">
        <w:rPr>
          <w:rFonts w:cstheme="minorHAnsi"/>
        </w:rPr>
        <w:t xml:space="preserve">, and L. S. </w:t>
      </w:r>
      <w:proofErr w:type="spellStart"/>
      <w:r w:rsidRPr="001E66B0">
        <w:rPr>
          <w:rFonts w:cstheme="minorHAnsi"/>
        </w:rPr>
        <w:t>Håvarstein</w:t>
      </w:r>
      <w:proofErr w:type="spellEnd"/>
      <w:r w:rsidRPr="001E66B0">
        <w:rPr>
          <w:rFonts w:cstheme="minorHAnsi"/>
        </w:rPr>
        <w:t xml:space="preserve">. 2007. “Natural genetic transformation: Prevalence, mechanisms and function.” </w:t>
      </w:r>
      <w:r w:rsidRPr="001E66B0">
        <w:rPr>
          <w:rFonts w:cstheme="minorHAnsi"/>
          <w:i/>
          <w:iCs/>
        </w:rPr>
        <w:t xml:space="preserve">Res. </w:t>
      </w:r>
      <w:proofErr w:type="spellStart"/>
      <w:r w:rsidRPr="001E66B0">
        <w:rPr>
          <w:rFonts w:cstheme="minorHAnsi"/>
          <w:i/>
          <w:iCs/>
        </w:rPr>
        <w:t>Microbiol</w:t>
      </w:r>
      <w:proofErr w:type="spellEnd"/>
      <w:r w:rsidRPr="001E66B0">
        <w:rPr>
          <w:rFonts w:cstheme="minorHAnsi"/>
          <w:i/>
          <w:iCs/>
        </w:rPr>
        <w:t>.</w:t>
      </w:r>
      <w:r w:rsidRPr="001E66B0">
        <w:rPr>
          <w:rFonts w:cstheme="minorHAnsi"/>
        </w:rPr>
        <w:t xml:space="preserve"> 158 (10): 767–778. https://doi.org/10.1016/j.resmic.2007.09.004.</w:t>
      </w:r>
    </w:p>
    <w:p w14:paraId="29754392" w14:textId="33B0DE0D" w:rsidR="53F0BCD5" w:rsidRPr="001E66B0" w:rsidRDefault="53F0BCD5" w:rsidP="001E66B0">
      <w:pPr>
        <w:pStyle w:val="NoSpacing"/>
        <w:ind w:left="720" w:hanging="720"/>
        <w:rPr>
          <w:rFonts w:cstheme="minorHAnsi"/>
        </w:rPr>
      </w:pPr>
      <w:proofErr w:type="spellStart"/>
      <w:r w:rsidRPr="001E66B0">
        <w:rPr>
          <w:rFonts w:cstheme="minorHAnsi"/>
        </w:rPr>
        <w:t>Kaboosi</w:t>
      </w:r>
      <w:proofErr w:type="spellEnd"/>
      <w:r w:rsidRPr="001E66B0">
        <w:rPr>
          <w:rFonts w:cstheme="minorHAnsi"/>
        </w:rPr>
        <w:t xml:space="preserve">, H., M. R. </w:t>
      </w:r>
      <w:proofErr w:type="spellStart"/>
      <w:r w:rsidRPr="001E66B0">
        <w:rPr>
          <w:rFonts w:cstheme="minorHAnsi"/>
        </w:rPr>
        <w:t>Razavi</w:t>
      </w:r>
      <w:proofErr w:type="spellEnd"/>
      <w:r w:rsidRPr="001E66B0">
        <w:rPr>
          <w:rFonts w:cstheme="minorHAnsi"/>
        </w:rPr>
        <w:t xml:space="preserve">, and S. </w:t>
      </w:r>
      <w:proofErr w:type="spellStart"/>
      <w:r w:rsidRPr="001E66B0">
        <w:rPr>
          <w:rFonts w:cstheme="minorHAnsi"/>
        </w:rPr>
        <w:t>Noohi</w:t>
      </w:r>
      <w:proofErr w:type="spellEnd"/>
      <w:r w:rsidRPr="001E66B0">
        <w:rPr>
          <w:rFonts w:cstheme="minorHAnsi"/>
        </w:rPr>
        <w:t xml:space="preserve">. 2010. “Efficiency of filtration technique for isolation of </w:t>
      </w:r>
      <w:proofErr w:type="spellStart"/>
      <w:r w:rsidRPr="001E66B0">
        <w:rPr>
          <w:rFonts w:cstheme="minorHAnsi"/>
        </w:rPr>
        <w:t>leptospires</w:t>
      </w:r>
      <w:proofErr w:type="spellEnd"/>
      <w:r w:rsidRPr="001E66B0">
        <w:rPr>
          <w:rFonts w:cstheme="minorHAnsi"/>
        </w:rPr>
        <w:t xml:space="preserve"> from surface waters: Role of different membranes with different pore size and materials.” </w:t>
      </w:r>
      <w:r w:rsidRPr="001E66B0">
        <w:rPr>
          <w:rFonts w:cstheme="minorHAnsi"/>
          <w:i/>
          <w:iCs/>
        </w:rPr>
        <w:t xml:space="preserve">Afr. J. </w:t>
      </w:r>
      <w:proofErr w:type="spellStart"/>
      <w:r w:rsidRPr="001E66B0">
        <w:rPr>
          <w:rFonts w:cstheme="minorHAnsi"/>
          <w:i/>
          <w:iCs/>
        </w:rPr>
        <w:t>Microbiol</w:t>
      </w:r>
      <w:proofErr w:type="spellEnd"/>
      <w:r w:rsidRPr="001E66B0">
        <w:rPr>
          <w:rFonts w:cstheme="minorHAnsi"/>
          <w:i/>
          <w:iCs/>
        </w:rPr>
        <w:t>. Res.</w:t>
      </w:r>
      <w:r w:rsidRPr="001E66B0">
        <w:rPr>
          <w:rFonts w:cstheme="minorHAnsi"/>
        </w:rPr>
        <w:t xml:space="preserve"> 4 (9): 671–676.</w:t>
      </w:r>
    </w:p>
    <w:p w14:paraId="296EBF67" w14:textId="5505C369" w:rsidR="53F0BCD5" w:rsidRPr="001E66B0" w:rsidRDefault="53F0BCD5" w:rsidP="001E66B0">
      <w:pPr>
        <w:pStyle w:val="NoSpacing"/>
        <w:ind w:left="720" w:hanging="720"/>
        <w:rPr>
          <w:rFonts w:cstheme="minorHAnsi"/>
        </w:rPr>
      </w:pPr>
      <w:proofErr w:type="spellStart"/>
      <w:r w:rsidRPr="001E66B0">
        <w:rPr>
          <w:rFonts w:cstheme="minorHAnsi"/>
        </w:rPr>
        <w:t>Kappell</w:t>
      </w:r>
      <w:proofErr w:type="spellEnd"/>
      <w:r w:rsidRPr="001E66B0">
        <w:rPr>
          <w:rFonts w:cstheme="minorHAnsi"/>
        </w:rPr>
        <w:t xml:space="preserve">, A. D., K. R. Harrison, and P. J. McNamara. 2019. “Effects of zinc orthophosphate on the antibiotic resistant bacterial community of a source water used for drinking water treatment.” </w:t>
      </w:r>
      <w:r w:rsidRPr="001E66B0">
        <w:rPr>
          <w:rFonts w:cstheme="minorHAnsi"/>
          <w:i/>
          <w:iCs/>
        </w:rPr>
        <w:t>Environ. Sci.: Water Res. Technol.</w:t>
      </w:r>
      <w:r w:rsidRPr="001E66B0">
        <w:rPr>
          <w:rFonts w:cstheme="minorHAnsi"/>
        </w:rPr>
        <w:t xml:space="preserve"> 5 (9): 1523–1534. https://doi.org/10.1039/C9EW00374F.</w:t>
      </w:r>
    </w:p>
    <w:p w14:paraId="5490EAE1" w14:textId="06481841" w:rsidR="53F0BCD5" w:rsidRPr="001E66B0" w:rsidRDefault="53F0BCD5" w:rsidP="001E66B0">
      <w:pPr>
        <w:pStyle w:val="NoSpacing"/>
        <w:ind w:left="720" w:hanging="720"/>
        <w:rPr>
          <w:rFonts w:cstheme="minorHAnsi"/>
        </w:rPr>
      </w:pPr>
      <w:r w:rsidRPr="001E66B0">
        <w:rPr>
          <w:rFonts w:cstheme="minorHAnsi"/>
        </w:rPr>
        <w:t xml:space="preserve">Kimbell, L. K., J. </w:t>
      </w:r>
      <w:proofErr w:type="spellStart"/>
      <w:r w:rsidRPr="001E66B0">
        <w:rPr>
          <w:rFonts w:cstheme="minorHAnsi"/>
        </w:rPr>
        <w:t>Huo</w:t>
      </w:r>
      <w:proofErr w:type="spellEnd"/>
      <w:r w:rsidRPr="001E66B0">
        <w:rPr>
          <w:rFonts w:cstheme="minorHAnsi"/>
        </w:rPr>
        <w:t xml:space="preserve">, E. L. </w:t>
      </w:r>
      <w:proofErr w:type="spellStart"/>
      <w:r w:rsidRPr="001E66B0">
        <w:rPr>
          <w:rFonts w:cstheme="minorHAnsi"/>
        </w:rPr>
        <w:t>Lamartina</w:t>
      </w:r>
      <w:proofErr w:type="spellEnd"/>
      <w:r w:rsidRPr="001E66B0">
        <w:rPr>
          <w:rFonts w:cstheme="minorHAnsi"/>
        </w:rPr>
        <w:t xml:space="preserve">, A. D. </w:t>
      </w:r>
      <w:proofErr w:type="spellStart"/>
      <w:r w:rsidRPr="001E66B0">
        <w:rPr>
          <w:rFonts w:cstheme="minorHAnsi"/>
        </w:rPr>
        <w:t>Kappell</w:t>
      </w:r>
      <w:proofErr w:type="spellEnd"/>
      <w:r w:rsidRPr="001E66B0">
        <w:rPr>
          <w:rFonts w:cstheme="minorHAnsi"/>
        </w:rPr>
        <w:t xml:space="preserve">, Y. Wang, J. Newton, and P. J. McNamara. 2021. “Cast iron drinking water pipe biofilms support diverse microbial communities containing antibiotic resistance genes, metal resistance genes, and class 1 </w:t>
      </w:r>
      <w:proofErr w:type="spellStart"/>
      <w:r w:rsidRPr="001E66B0">
        <w:rPr>
          <w:rFonts w:cstheme="minorHAnsi"/>
        </w:rPr>
        <w:t>integrons</w:t>
      </w:r>
      <w:proofErr w:type="spellEnd"/>
      <w:r w:rsidRPr="001E66B0">
        <w:rPr>
          <w:rFonts w:cstheme="minorHAnsi"/>
        </w:rPr>
        <w:t xml:space="preserve">.” </w:t>
      </w:r>
      <w:r w:rsidRPr="001E66B0">
        <w:rPr>
          <w:rFonts w:cstheme="minorHAnsi"/>
          <w:i/>
          <w:iCs/>
        </w:rPr>
        <w:t>Environ. Sci. Water Res. Technol.</w:t>
      </w:r>
      <w:r w:rsidRPr="001E66B0">
        <w:rPr>
          <w:rFonts w:cstheme="minorHAnsi"/>
        </w:rPr>
        <w:t xml:space="preserve"> 7 (3): 584–598. https://doi.org/10.1039/D0EW01059F.</w:t>
      </w:r>
    </w:p>
    <w:p w14:paraId="68AF1D33" w14:textId="6F67BF47" w:rsidR="53F0BCD5" w:rsidRPr="001E66B0" w:rsidRDefault="53F0BCD5" w:rsidP="001E66B0">
      <w:pPr>
        <w:pStyle w:val="NoSpacing"/>
        <w:ind w:left="720" w:hanging="720"/>
        <w:rPr>
          <w:rFonts w:cstheme="minorHAnsi"/>
        </w:rPr>
      </w:pPr>
      <w:proofErr w:type="spellStart"/>
      <w:r w:rsidRPr="001E66B0">
        <w:rPr>
          <w:rFonts w:cstheme="minorHAnsi"/>
        </w:rPr>
        <w:t>Košir</w:t>
      </w:r>
      <w:proofErr w:type="spellEnd"/>
      <w:r w:rsidRPr="001E66B0">
        <w:rPr>
          <w:rFonts w:cstheme="minorHAnsi"/>
        </w:rPr>
        <w:t xml:space="preserve">, A. B., C. </w:t>
      </w:r>
      <w:proofErr w:type="spellStart"/>
      <w:r w:rsidRPr="001E66B0">
        <w:rPr>
          <w:rFonts w:cstheme="minorHAnsi"/>
        </w:rPr>
        <w:t>Divieto</w:t>
      </w:r>
      <w:proofErr w:type="spellEnd"/>
      <w:r w:rsidRPr="001E66B0">
        <w:rPr>
          <w:rFonts w:cstheme="minorHAnsi"/>
        </w:rPr>
        <w:t xml:space="preserve">, J. </w:t>
      </w:r>
      <w:proofErr w:type="spellStart"/>
      <w:r w:rsidRPr="001E66B0">
        <w:rPr>
          <w:rFonts w:cstheme="minorHAnsi"/>
        </w:rPr>
        <w:t>Pavšič</w:t>
      </w:r>
      <w:proofErr w:type="spellEnd"/>
      <w:r w:rsidRPr="001E66B0">
        <w:rPr>
          <w:rFonts w:cstheme="minorHAnsi"/>
        </w:rPr>
        <w:t xml:space="preserve">, S. </w:t>
      </w:r>
      <w:proofErr w:type="spellStart"/>
      <w:r w:rsidRPr="001E66B0">
        <w:rPr>
          <w:rFonts w:cstheme="minorHAnsi"/>
        </w:rPr>
        <w:t>Pavarelli</w:t>
      </w:r>
      <w:proofErr w:type="spellEnd"/>
      <w:r w:rsidRPr="001E66B0">
        <w:rPr>
          <w:rFonts w:cstheme="minorHAnsi"/>
        </w:rPr>
        <w:t xml:space="preserve">, D. </w:t>
      </w:r>
      <w:proofErr w:type="spellStart"/>
      <w:r w:rsidRPr="001E66B0">
        <w:rPr>
          <w:rFonts w:cstheme="minorHAnsi"/>
        </w:rPr>
        <w:t>Dobnik</w:t>
      </w:r>
      <w:proofErr w:type="spellEnd"/>
      <w:r w:rsidRPr="001E66B0">
        <w:rPr>
          <w:rFonts w:cstheme="minorHAnsi"/>
        </w:rPr>
        <w:t xml:space="preserve">, T. </w:t>
      </w:r>
      <w:proofErr w:type="spellStart"/>
      <w:r w:rsidRPr="001E66B0">
        <w:rPr>
          <w:rFonts w:cstheme="minorHAnsi"/>
        </w:rPr>
        <w:t>Dreo</w:t>
      </w:r>
      <w:proofErr w:type="spellEnd"/>
      <w:r w:rsidRPr="001E66B0">
        <w:rPr>
          <w:rFonts w:cstheme="minorHAnsi"/>
        </w:rPr>
        <w:t xml:space="preserve">, R. Bellotti, M. P. Sassi, and J. </w:t>
      </w:r>
      <w:proofErr w:type="spellStart"/>
      <w:r w:rsidRPr="001E66B0">
        <w:rPr>
          <w:rFonts w:cstheme="minorHAnsi"/>
        </w:rPr>
        <w:t>Žel</w:t>
      </w:r>
      <w:proofErr w:type="spellEnd"/>
      <w:r w:rsidRPr="001E66B0">
        <w:rPr>
          <w:rFonts w:cstheme="minorHAnsi"/>
        </w:rPr>
        <w:t xml:space="preserve">. 2017. “Droplet volume variability as a critical factor for accuracy of absolute quantification using droplet digital PCR.” </w:t>
      </w:r>
      <w:r w:rsidRPr="001E66B0">
        <w:rPr>
          <w:rFonts w:cstheme="minorHAnsi"/>
          <w:i/>
          <w:iCs/>
        </w:rPr>
        <w:t xml:space="preserve">Anal. </w:t>
      </w:r>
      <w:proofErr w:type="spellStart"/>
      <w:r w:rsidRPr="001E66B0">
        <w:rPr>
          <w:rFonts w:cstheme="minorHAnsi"/>
          <w:i/>
          <w:iCs/>
        </w:rPr>
        <w:t>Bioanal</w:t>
      </w:r>
      <w:proofErr w:type="spellEnd"/>
      <w:r w:rsidRPr="001E66B0">
        <w:rPr>
          <w:rFonts w:cstheme="minorHAnsi"/>
          <w:i/>
          <w:iCs/>
        </w:rPr>
        <w:t>. Chem.</w:t>
      </w:r>
      <w:r w:rsidRPr="001E66B0">
        <w:rPr>
          <w:rFonts w:cstheme="minorHAnsi"/>
        </w:rPr>
        <w:t xml:space="preserve"> 409 (28): 6689–6697. https://doi.org/10.1007/s00216-017-0625-y.</w:t>
      </w:r>
    </w:p>
    <w:p w14:paraId="047CD2EB" w14:textId="160C0FD2" w:rsidR="53F0BCD5" w:rsidRPr="001E66B0" w:rsidRDefault="53F0BCD5" w:rsidP="001E66B0">
      <w:pPr>
        <w:pStyle w:val="NoSpacing"/>
        <w:ind w:left="720" w:hanging="720"/>
        <w:rPr>
          <w:rFonts w:cstheme="minorHAnsi"/>
        </w:rPr>
      </w:pPr>
      <w:r w:rsidRPr="001E66B0">
        <w:rPr>
          <w:rFonts w:cstheme="minorHAnsi"/>
        </w:rPr>
        <w:t xml:space="preserve">Kumar, A., and D. Pal. 2018. “Antibiotic resistance and wastewater: Correlation, impact and critical human health challenges.” </w:t>
      </w:r>
      <w:r w:rsidRPr="001E66B0">
        <w:rPr>
          <w:rFonts w:cstheme="minorHAnsi"/>
          <w:i/>
          <w:iCs/>
        </w:rPr>
        <w:t>J. Environ. Chem. Eng.</w:t>
      </w:r>
      <w:r w:rsidRPr="001E66B0">
        <w:rPr>
          <w:rFonts w:cstheme="minorHAnsi"/>
        </w:rPr>
        <w:t xml:space="preserve"> 6 (1): 52–58. https://doi.org/10.1016/j.jece.2017.11.059.</w:t>
      </w:r>
    </w:p>
    <w:p w14:paraId="29298C3F" w14:textId="7718E99B" w:rsidR="53F0BCD5" w:rsidRPr="001E66B0" w:rsidRDefault="53F0BCD5" w:rsidP="001E66B0">
      <w:pPr>
        <w:pStyle w:val="NoSpacing"/>
        <w:ind w:left="720" w:hanging="720"/>
        <w:rPr>
          <w:rFonts w:cstheme="minorHAnsi"/>
        </w:rPr>
      </w:pPr>
      <w:proofErr w:type="spellStart"/>
      <w:r w:rsidRPr="001E66B0">
        <w:rPr>
          <w:rFonts w:cstheme="minorHAnsi"/>
        </w:rPr>
        <w:t>LaPara</w:t>
      </w:r>
      <w:proofErr w:type="spellEnd"/>
      <w:r w:rsidRPr="001E66B0">
        <w:rPr>
          <w:rFonts w:cstheme="minorHAnsi"/>
        </w:rPr>
        <w:t xml:space="preserve">, T. M., T. R. Burch, P. J. McNamara, D. T. Tan, M. Yan, and J. J. </w:t>
      </w:r>
      <w:proofErr w:type="spellStart"/>
      <w:r w:rsidRPr="001E66B0">
        <w:rPr>
          <w:rFonts w:cstheme="minorHAnsi"/>
        </w:rPr>
        <w:t>Eichmiller</w:t>
      </w:r>
      <w:proofErr w:type="spellEnd"/>
      <w:r w:rsidRPr="001E66B0">
        <w:rPr>
          <w:rFonts w:cstheme="minorHAnsi"/>
        </w:rPr>
        <w:t xml:space="preserve">. 2011. “Tertiary-treated municipal wastewater is a significant point source of antibiotic resistance genes into Duluth-Superior Harbor.” </w:t>
      </w:r>
      <w:r w:rsidRPr="001E66B0">
        <w:rPr>
          <w:rFonts w:cstheme="minorHAnsi"/>
          <w:i/>
          <w:iCs/>
        </w:rPr>
        <w:t>Environ. Sci. Technol.</w:t>
      </w:r>
      <w:r w:rsidRPr="001E66B0">
        <w:rPr>
          <w:rFonts w:cstheme="minorHAnsi"/>
        </w:rPr>
        <w:t xml:space="preserve"> 45 (22): 9543–9549. https://doi.org/10.1021/es202775r.</w:t>
      </w:r>
    </w:p>
    <w:p w14:paraId="44F8C959" w14:textId="6E00FA00" w:rsidR="53F0BCD5" w:rsidRPr="001E66B0" w:rsidRDefault="53F0BCD5" w:rsidP="001E66B0">
      <w:pPr>
        <w:pStyle w:val="NoSpacing"/>
        <w:ind w:left="720" w:hanging="720"/>
        <w:rPr>
          <w:rFonts w:cstheme="minorHAnsi"/>
        </w:rPr>
      </w:pPr>
      <w:r w:rsidRPr="001E66B0">
        <w:rPr>
          <w:rFonts w:cstheme="minorHAnsi"/>
        </w:rPr>
        <w:t xml:space="preserve">Lee, W. H., D. G. </w:t>
      </w:r>
      <w:proofErr w:type="spellStart"/>
      <w:r w:rsidRPr="001E66B0">
        <w:rPr>
          <w:rFonts w:cstheme="minorHAnsi"/>
        </w:rPr>
        <w:t>Wahman</w:t>
      </w:r>
      <w:proofErr w:type="spellEnd"/>
      <w:r w:rsidRPr="001E66B0">
        <w:rPr>
          <w:rFonts w:cstheme="minorHAnsi"/>
        </w:rPr>
        <w:t xml:space="preserve">, P. L. Bishop, and J. G. Pressman. 2011. “Free chlorine and monochloramine application to nitrifying biofilm: Comparison of biofilm penetration, activity, and viability.” </w:t>
      </w:r>
      <w:r w:rsidRPr="001E66B0">
        <w:rPr>
          <w:rFonts w:cstheme="minorHAnsi"/>
          <w:i/>
          <w:iCs/>
        </w:rPr>
        <w:t>Environ. Sci. Technol.</w:t>
      </w:r>
      <w:r w:rsidRPr="001E66B0">
        <w:rPr>
          <w:rFonts w:cstheme="minorHAnsi"/>
        </w:rPr>
        <w:t xml:space="preserve"> 45 (4): 1412–1419. https://doi.org/10.1021/es1035305.</w:t>
      </w:r>
    </w:p>
    <w:p w14:paraId="18B21082" w14:textId="171FAFA7" w:rsidR="53F0BCD5" w:rsidRPr="001E66B0" w:rsidRDefault="53F0BCD5" w:rsidP="001E66B0">
      <w:pPr>
        <w:pStyle w:val="NoSpacing"/>
        <w:ind w:left="720" w:hanging="720"/>
        <w:rPr>
          <w:rFonts w:cstheme="minorHAnsi"/>
        </w:rPr>
      </w:pPr>
      <w:r w:rsidRPr="001E66B0">
        <w:rPr>
          <w:rFonts w:cstheme="minorHAnsi"/>
        </w:rPr>
        <w:t xml:space="preserve">Levy, S. B. 1989. </w:t>
      </w:r>
      <w:r w:rsidRPr="001E66B0">
        <w:rPr>
          <w:rFonts w:cstheme="minorHAnsi"/>
          <w:i/>
          <w:iCs/>
        </w:rPr>
        <w:t>Gene transfer in the environment</w:t>
      </w:r>
      <w:r w:rsidRPr="001E66B0">
        <w:rPr>
          <w:rFonts w:cstheme="minorHAnsi"/>
        </w:rPr>
        <w:t>. New York: McGraw-Hill.</w:t>
      </w:r>
    </w:p>
    <w:p w14:paraId="16A9B5BB" w14:textId="6DADF616" w:rsidR="53F0BCD5" w:rsidRPr="001E66B0" w:rsidRDefault="53F0BCD5" w:rsidP="001E66B0">
      <w:pPr>
        <w:pStyle w:val="NoSpacing"/>
        <w:ind w:left="720" w:hanging="720"/>
        <w:rPr>
          <w:rFonts w:cstheme="minorHAnsi"/>
        </w:rPr>
      </w:pPr>
      <w:r w:rsidRPr="001E66B0">
        <w:rPr>
          <w:rFonts w:cstheme="minorHAnsi"/>
        </w:rPr>
        <w:t xml:space="preserve">Levy-booth, D. J., R. G. Campbell, R. H. Gulden, M. M. Hart, R. Powell, J. N. </w:t>
      </w:r>
      <w:proofErr w:type="spellStart"/>
      <w:r w:rsidRPr="001E66B0">
        <w:rPr>
          <w:rFonts w:cstheme="minorHAnsi"/>
        </w:rPr>
        <w:t>Klironomos</w:t>
      </w:r>
      <w:proofErr w:type="spellEnd"/>
      <w:r w:rsidRPr="001E66B0">
        <w:rPr>
          <w:rFonts w:cstheme="minorHAnsi"/>
        </w:rPr>
        <w:t xml:space="preserve">, K. P. </w:t>
      </w:r>
      <w:proofErr w:type="spellStart"/>
      <w:r w:rsidRPr="001E66B0">
        <w:rPr>
          <w:rFonts w:cstheme="minorHAnsi"/>
        </w:rPr>
        <w:t>Pauls</w:t>
      </w:r>
      <w:proofErr w:type="spellEnd"/>
      <w:r w:rsidRPr="001E66B0">
        <w:rPr>
          <w:rFonts w:cstheme="minorHAnsi"/>
        </w:rPr>
        <w:t xml:space="preserve">, C. J. Swanton, J. T. </w:t>
      </w:r>
      <w:proofErr w:type="spellStart"/>
      <w:r w:rsidRPr="001E66B0">
        <w:rPr>
          <w:rFonts w:cstheme="minorHAnsi"/>
        </w:rPr>
        <w:t>Trevors</w:t>
      </w:r>
      <w:proofErr w:type="spellEnd"/>
      <w:r w:rsidRPr="001E66B0">
        <w:rPr>
          <w:rFonts w:cstheme="minorHAnsi"/>
        </w:rPr>
        <w:t xml:space="preserve">, and K. E. </w:t>
      </w:r>
      <w:proofErr w:type="spellStart"/>
      <w:r w:rsidRPr="001E66B0">
        <w:rPr>
          <w:rFonts w:cstheme="minorHAnsi"/>
        </w:rPr>
        <w:t>Dunfield</w:t>
      </w:r>
      <w:proofErr w:type="spellEnd"/>
      <w:r w:rsidRPr="001E66B0">
        <w:rPr>
          <w:rFonts w:cstheme="minorHAnsi"/>
        </w:rPr>
        <w:t xml:space="preserve">. 2007. “Cycling of extracellular DNA in the soil environment.” </w:t>
      </w:r>
      <w:r w:rsidRPr="001E66B0">
        <w:rPr>
          <w:rFonts w:cstheme="minorHAnsi"/>
          <w:i/>
          <w:iCs/>
        </w:rPr>
        <w:t xml:space="preserve">Soil Biol. </w:t>
      </w:r>
      <w:proofErr w:type="spellStart"/>
      <w:r w:rsidRPr="001E66B0">
        <w:rPr>
          <w:rFonts w:cstheme="minorHAnsi"/>
          <w:i/>
          <w:iCs/>
        </w:rPr>
        <w:t>Biochem</w:t>
      </w:r>
      <w:proofErr w:type="spellEnd"/>
      <w:r w:rsidRPr="001E66B0">
        <w:rPr>
          <w:rFonts w:cstheme="minorHAnsi"/>
          <w:i/>
          <w:iCs/>
        </w:rPr>
        <w:t>.</w:t>
      </w:r>
      <w:r w:rsidRPr="001E66B0">
        <w:rPr>
          <w:rFonts w:cstheme="minorHAnsi"/>
        </w:rPr>
        <w:t xml:space="preserve"> 39 (12): 2977–2991. https://doi.org/10.1016/j.soilbio.2007.06.020.</w:t>
      </w:r>
    </w:p>
    <w:p w14:paraId="0F38C115" w14:textId="46AD3AF2" w:rsidR="53F0BCD5" w:rsidRPr="001E66B0" w:rsidRDefault="53F0BCD5" w:rsidP="001E66B0">
      <w:pPr>
        <w:pStyle w:val="NoSpacing"/>
        <w:ind w:left="720" w:hanging="720"/>
        <w:rPr>
          <w:rFonts w:cstheme="minorHAnsi"/>
        </w:rPr>
      </w:pPr>
      <w:r w:rsidRPr="001E66B0">
        <w:rPr>
          <w:rFonts w:cstheme="minorHAnsi"/>
        </w:rPr>
        <w:t xml:space="preserve">Li, D., S. Zeng, M. He, and A. Z. Gu. 2016. “Water disinfection byproducts induce antibiotic resistance-role of environmental pollutants in resistance phenomena.” </w:t>
      </w:r>
      <w:r w:rsidRPr="001E66B0">
        <w:rPr>
          <w:rFonts w:cstheme="minorHAnsi"/>
          <w:i/>
          <w:iCs/>
        </w:rPr>
        <w:t>Environ. Sci. Technol.</w:t>
      </w:r>
      <w:r w:rsidRPr="001E66B0">
        <w:rPr>
          <w:rFonts w:cstheme="minorHAnsi"/>
        </w:rPr>
        <w:t xml:space="preserve"> 50 (6): 3193–3201. https://doi.org/10.1021/acs.est.5b05113.</w:t>
      </w:r>
    </w:p>
    <w:p w14:paraId="24A1ACB1" w14:textId="7BE1EC39" w:rsidR="53F0BCD5" w:rsidRPr="001E66B0" w:rsidRDefault="53F0BCD5" w:rsidP="001E66B0">
      <w:pPr>
        <w:pStyle w:val="NoSpacing"/>
        <w:ind w:left="720" w:hanging="720"/>
        <w:rPr>
          <w:rFonts w:cstheme="minorHAnsi"/>
        </w:rPr>
      </w:pPr>
      <w:r w:rsidRPr="001E66B0">
        <w:rPr>
          <w:rFonts w:cstheme="minorHAnsi"/>
        </w:rPr>
        <w:t xml:space="preserve">Liang, Z., and A. Keeley. 2013. “Filtration recovery of extracellular DNA from environmental water samples.” </w:t>
      </w:r>
      <w:r w:rsidRPr="001E66B0">
        <w:rPr>
          <w:rFonts w:cstheme="minorHAnsi"/>
          <w:i/>
          <w:iCs/>
        </w:rPr>
        <w:t>Environ. Sci. Technol.</w:t>
      </w:r>
      <w:r w:rsidRPr="001E66B0">
        <w:rPr>
          <w:rFonts w:cstheme="minorHAnsi"/>
        </w:rPr>
        <w:t xml:space="preserve"> 47 (16): 9324–9331. https://doi.org/10.1021/es401342b.</w:t>
      </w:r>
    </w:p>
    <w:p w14:paraId="1B422A01" w14:textId="5715DA15" w:rsidR="53F0BCD5" w:rsidRPr="001E66B0" w:rsidRDefault="53F0BCD5" w:rsidP="001E66B0">
      <w:pPr>
        <w:pStyle w:val="NoSpacing"/>
        <w:ind w:left="720" w:hanging="720"/>
        <w:rPr>
          <w:rFonts w:cstheme="minorHAnsi"/>
        </w:rPr>
      </w:pPr>
      <w:r w:rsidRPr="001E66B0">
        <w:rPr>
          <w:rFonts w:cstheme="minorHAnsi"/>
        </w:rPr>
        <w:t xml:space="preserve">Liu, M., A. </w:t>
      </w:r>
      <w:proofErr w:type="spellStart"/>
      <w:r w:rsidRPr="001E66B0">
        <w:rPr>
          <w:rFonts w:cstheme="minorHAnsi"/>
        </w:rPr>
        <w:t>Hata</w:t>
      </w:r>
      <w:proofErr w:type="spellEnd"/>
      <w:r w:rsidRPr="001E66B0">
        <w:rPr>
          <w:rFonts w:cstheme="minorHAnsi"/>
        </w:rPr>
        <w:t xml:space="preserve">, H. Katayama, and I. </w:t>
      </w:r>
      <w:proofErr w:type="spellStart"/>
      <w:r w:rsidRPr="001E66B0">
        <w:rPr>
          <w:rFonts w:cstheme="minorHAnsi"/>
        </w:rPr>
        <w:t>Kasuga</w:t>
      </w:r>
      <w:proofErr w:type="spellEnd"/>
      <w:r w:rsidRPr="001E66B0">
        <w:rPr>
          <w:rFonts w:cstheme="minorHAnsi"/>
        </w:rPr>
        <w:t xml:space="preserve">. 2020. “Consecutive ultrafiltration and silica adsorption for recovery of extracellular antibiotic resistance genes from an urban river.” </w:t>
      </w:r>
      <w:r w:rsidRPr="001E66B0">
        <w:rPr>
          <w:rFonts w:cstheme="minorHAnsi"/>
          <w:i/>
          <w:iCs/>
        </w:rPr>
        <w:t xml:space="preserve">Environ. </w:t>
      </w:r>
      <w:proofErr w:type="spellStart"/>
      <w:r w:rsidRPr="001E66B0">
        <w:rPr>
          <w:rFonts w:cstheme="minorHAnsi"/>
          <w:i/>
          <w:iCs/>
        </w:rPr>
        <w:t>Pollut</w:t>
      </w:r>
      <w:proofErr w:type="spellEnd"/>
      <w:r w:rsidRPr="001E66B0">
        <w:rPr>
          <w:rFonts w:cstheme="minorHAnsi"/>
          <w:i/>
          <w:iCs/>
        </w:rPr>
        <w:t>.</w:t>
      </w:r>
      <w:r w:rsidRPr="001E66B0">
        <w:rPr>
          <w:rFonts w:cstheme="minorHAnsi"/>
        </w:rPr>
        <w:t xml:space="preserve"> 260 (May): 114062. https://doi.org/10.1016/j.envpol.2020.114062.</w:t>
      </w:r>
    </w:p>
    <w:p w14:paraId="3C091FD3" w14:textId="0423B911" w:rsidR="53F0BCD5" w:rsidRPr="001E66B0" w:rsidRDefault="53F0BCD5" w:rsidP="001E66B0">
      <w:pPr>
        <w:pStyle w:val="NoSpacing"/>
        <w:ind w:left="720" w:hanging="720"/>
        <w:rPr>
          <w:rFonts w:cstheme="minorHAnsi"/>
        </w:rPr>
      </w:pPr>
      <w:r w:rsidRPr="001E66B0">
        <w:rPr>
          <w:rFonts w:cstheme="minorHAnsi"/>
        </w:rPr>
        <w:t xml:space="preserve">Liu, S., et al. 2018. “Chlorine disinfection increases both intracellular and extracellular antibiotic resistance genes in a full-scale wastewater treatment plant.” </w:t>
      </w:r>
      <w:r w:rsidRPr="001E66B0">
        <w:rPr>
          <w:rFonts w:cstheme="minorHAnsi"/>
          <w:i/>
          <w:iCs/>
        </w:rPr>
        <w:t>Water Res.</w:t>
      </w:r>
      <w:r w:rsidRPr="001E66B0">
        <w:rPr>
          <w:rFonts w:cstheme="minorHAnsi"/>
        </w:rPr>
        <w:t xml:space="preserve"> 136 (Jun): 131–136. https://doi.org/10.1016/j.watres.2018.02.036.</w:t>
      </w:r>
    </w:p>
    <w:p w14:paraId="61D2C7C9" w14:textId="07DDB10D" w:rsidR="53F0BCD5" w:rsidRPr="001E66B0" w:rsidRDefault="53F0BCD5" w:rsidP="001E66B0">
      <w:pPr>
        <w:pStyle w:val="NoSpacing"/>
        <w:ind w:left="720" w:hanging="720"/>
        <w:rPr>
          <w:rFonts w:cstheme="minorHAnsi"/>
        </w:rPr>
      </w:pPr>
      <w:r w:rsidRPr="001E66B0">
        <w:rPr>
          <w:rFonts w:cstheme="minorHAnsi"/>
        </w:rPr>
        <w:t xml:space="preserve">Lou, E. G., M. </w:t>
      </w:r>
      <w:proofErr w:type="spellStart"/>
      <w:r w:rsidRPr="001E66B0">
        <w:rPr>
          <w:rFonts w:cstheme="minorHAnsi"/>
        </w:rPr>
        <w:t>Harb</w:t>
      </w:r>
      <w:proofErr w:type="spellEnd"/>
      <w:r w:rsidRPr="001E66B0">
        <w:rPr>
          <w:rFonts w:cstheme="minorHAnsi"/>
        </w:rPr>
        <w:t xml:space="preserve">, A. L. Smith, and L. B. Stadler. 2020. “Livestock manure improved antibiotic resistance gene removal during co-treatment of domestic wastewater in an anaerobic membrane bioreactor.” </w:t>
      </w:r>
      <w:r w:rsidRPr="001E66B0">
        <w:rPr>
          <w:rFonts w:cstheme="minorHAnsi"/>
          <w:i/>
          <w:iCs/>
        </w:rPr>
        <w:t>Environ. Sci. Water Res. Technol.</w:t>
      </w:r>
      <w:r w:rsidRPr="001E66B0">
        <w:rPr>
          <w:rFonts w:cstheme="minorHAnsi"/>
        </w:rPr>
        <w:t xml:space="preserve"> 6 (10): 2832–2842. https://doi.org/10.1039/d0ew00387e.</w:t>
      </w:r>
    </w:p>
    <w:p w14:paraId="6E293314" w14:textId="44DAFE2A" w:rsidR="53F0BCD5" w:rsidRPr="001E66B0" w:rsidRDefault="53F0BCD5" w:rsidP="001E66B0">
      <w:pPr>
        <w:pStyle w:val="NoSpacing"/>
        <w:ind w:left="720" w:hanging="720"/>
        <w:rPr>
          <w:rFonts w:cstheme="minorHAnsi"/>
        </w:rPr>
      </w:pPr>
      <w:r w:rsidRPr="001E66B0">
        <w:rPr>
          <w:rFonts w:cstheme="minorHAnsi"/>
        </w:rPr>
        <w:t xml:space="preserve">Lu, J., Y. Wang, S. Zhang, P. Bond, Z. Yuan, and J. Guo. 2020. “Triclosan at environmental concentrations can enhance the spread of extracellular antibiotic resistance genes through transformation.” </w:t>
      </w:r>
      <w:r w:rsidRPr="001E66B0">
        <w:rPr>
          <w:rFonts w:cstheme="minorHAnsi"/>
          <w:i/>
          <w:iCs/>
        </w:rPr>
        <w:t>Sci. Total Environ.</w:t>
      </w:r>
      <w:r w:rsidRPr="001E66B0">
        <w:rPr>
          <w:rFonts w:cstheme="minorHAnsi"/>
        </w:rPr>
        <w:t xml:space="preserve"> 713 (Apr): 136621. https://doi.org/10.1016/j.scitotenv.2020.136621.</w:t>
      </w:r>
    </w:p>
    <w:p w14:paraId="3089E5C6" w14:textId="4262E3F2" w:rsidR="53F0BCD5" w:rsidRPr="001E66B0" w:rsidRDefault="53F0BCD5" w:rsidP="001E66B0">
      <w:pPr>
        <w:pStyle w:val="NoSpacing"/>
        <w:ind w:left="720" w:hanging="720"/>
        <w:rPr>
          <w:rFonts w:cstheme="minorHAnsi"/>
        </w:rPr>
      </w:pPr>
      <w:r w:rsidRPr="001E66B0">
        <w:rPr>
          <w:rFonts w:cstheme="minorHAnsi"/>
        </w:rPr>
        <w:t xml:space="preserve">Lu, N., J. L. Zilles, and T. H. Nguyen. 2010. “Adsorption of extracellular chromosomal DNA and its effects on natural transformation of Azotobacter </w:t>
      </w:r>
      <w:proofErr w:type="spellStart"/>
      <w:r w:rsidRPr="001E66B0">
        <w:rPr>
          <w:rFonts w:cstheme="minorHAnsi"/>
        </w:rPr>
        <w:t>Vinelandii</w:t>
      </w:r>
      <w:proofErr w:type="spellEnd"/>
      <w:r w:rsidRPr="001E66B0">
        <w:rPr>
          <w:rFonts w:cstheme="minorHAnsi"/>
        </w:rPr>
        <w:t xml:space="preserve">.” </w:t>
      </w:r>
      <w:r w:rsidRPr="001E66B0">
        <w:rPr>
          <w:rFonts w:cstheme="minorHAnsi"/>
          <w:i/>
          <w:iCs/>
        </w:rPr>
        <w:t xml:space="preserve">Appl. Environ. </w:t>
      </w:r>
      <w:proofErr w:type="spellStart"/>
      <w:r w:rsidRPr="001E66B0">
        <w:rPr>
          <w:rFonts w:cstheme="minorHAnsi"/>
          <w:i/>
          <w:iCs/>
        </w:rPr>
        <w:t>Microbiol</w:t>
      </w:r>
      <w:proofErr w:type="spellEnd"/>
      <w:r w:rsidRPr="001E66B0">
        <w:rPr>
          <w:rFonts w:cstheme="minorHAnsi"/>
          <w:i/>
          <w:iCs/>
        </w:rPr>
        <w:t>.</w:t>
      </w:r>
      <w:r w:rsidRPr="001E66B0">
        <w:rPr>
          <w:rFonts w:cstheme="minorHAnsi"/>
        </w:rPr>
        <w:t xml:space="preserve"> 76 (13): 4179–4184. https://doi.org/10.1128/AEM.00193-10.</w:t>
      </w:r>
    </w:p>
    <w:p w14:paraId="1843147E" w14:textId="4C89DF07" w:rsidR="53F0BCD5" w:rsidRPr="001E66B0" w:rsidRDefault="53F0BCD5" w:rsidP="001E66B0">
      <w:pPr>
        <w:pStyle w:val="NoSpacing"/>
        <w:ind w:left="720" w:hanging="720"/>
        <w:rPr>
          <w:rFonts w:cstheme="minorHAnsi"/>
        </w:rPr>
      </w:pPr>
      <w:r w:rsidRPr="001E66B0">
        <w:rPr>
          <w:rFonts w:cstheme="minorHAnsi"/>
        </w:rPr>
        <w:t xml:space="preserve">Mantilla-Calderon, D., M. J. Plewa, G. Michoud, S. </w:t>
      </w:r>
      <w:proofErr w:type="spellStart"/>
      <w:r w:rsidRPr="001E66B0">
        <w:rPr>
          <w:rFonts w:cstheme="minorHAnsi"/>
        </w:rPr>
        <w:t>Fodelianakis</w:t>
      </w:r>
      <w:proofErr w:type="spellEnd"/>
      <w:r w:rsidRPr="001E66B0">
        <w:rPr>
          <w:rFonts w:cstheme="minorHAnsi"/>
        </w:rPr>
        <w:t xml:space="preserve">, D. </w:t>
      </w:r>
      <w:proofErr w:type="spellStart"/>
      <w:r w:rsidRPr="001E66B0">
        <w:rPr>
          <w:rFonts w:cstheme="minorHAnsi"/>
        </w:rPr>
        <w:t>Daffonchio</w:t>
      </w:r>
      <w:proofErr w:type="spellEnd"/>
      <w:r w:rsidRPr="001E66B0">
        <w:rPr>
          <w:rFonts w:cstheme="minorHAnsi"/>
        </w:rPr>
        <w:t xml:space="preserve">, and P. Y. Hong. 2019. “Water disinfection byproducts increase natural transformation rates of environmental DNA in Acinetobacter </w:t>
      </w:r>
      <w:proofErr w:type="spellStart"/>
      <w:r w:rsidRPr="001E66B0">
        <w:rPr>
          <w:rFonts w:cstheme="minorHAnsi"/>
        </w:rPr>
        <w:t>baylyi</w:t>
      </w:r>
      <w:proofErr w:type="spellEnd"/>
      <w:r w:rsidRPr="001E66B0">
        <w:rPr>
          <w:rFonts w:cstheme="minorHAnsi"/>
        </w:rPr>
        <w:t xml:space="preserve"> ADP1.” </w:t>
      </w:r>
      <w:r w:rsidRPr="001E66B0">
        <w:rPr>
          <w:rFonts w:cstheme="minorHAnsi"/>
          <w:i/>
          <w:iCs/>
        </w:rPr>
        <w:t>Environ. Sci. Technol.</w:t>
      </w:r>
      <w:r w:rsidRPr="001E66B0">
        <w:rPr>
          <w:rFonts w:cstheme="minorHAnsi"/>
        </w:rPr>
        <w:t xml:space="preserve"> 53 (11): 6520–6528. https://doi.org/10.1021/acs.est.9b00692.</w:t>
      </w:r>
    </w:p>
    <w:p w14:paraId="75C7B3CC" w14:textId="67AC6155" w:rsidR="53F0BCD5" w:rsidRPr="001E66B0" w:rsidRDefault="53F0BCD5" w:rsidP="001E66B0">
      <w:pPr>
        <w:pStyle w:val="NoSpacing"/>
        <w:ind w:left="720" w:hanging="720"/>
        <w:rPr>
          <w:rFonts w:cstheme="minorHAnsi"/>
        </w:rPr>
      </w:pPr>
      <w:r w:rsidRPr="001E66B0">
        <w:rPr>
          <w:rFonts w:cstheme="minorHAnsi"/>
        </w:rPr>
        <w:t xml:space="preserve">Mao, D., Y. Luo, J. Mathieu, Q. Wang, L. Feng, Q. Mu, C. Feng, and P. J. J. Alvarez. 2014. “Persistence of extracellular DNA in river sediment facilitates antibiotic resistance gene propagation.” </w:t>
      </w:r>
      <w:r w:rsidRPr="001E66B0">
        <w:rPr>
          <w:rFonts w:cstheme="minorHAnsi"/>
          <w:i/>
          <w:iCs/>
        </w:rPr>
        <w:t>Environ. Sci. Technol.</w:t>
      </w:r>
      <w:r w:rsidRPr="001E66B0">
        <w:rPr>
          <w:rFonts w:cstheme="minorHAnsi"/>
        </w:rPr>
        <w:t xml:space="preserve"> 48 (1): 71–78. https://doi.org/10.1021/es404280v.</w:t>
      </w:r>
    </w:p>
    <w:p w14:paraId="00411070" w14:textId="5D10C9C1" w:rsidR="53F0BCD5" w:rsidRPr="001E66B0" w:rsidRDefault="53F0BCD5" w:rsidP="001E66B0">
      <w:pPr>
        <w:pStyle w:val="NoSpacing"/>
        <w:ind w:left="720" w:hanging="720"/>
        <w:rPr>
          <w:rFonts w:cstheme="minorHAnsi"/>
        </w:rPr>
      </w:pPr>
      <w:r w:rsidRPr="001E66B0">
        <w:rPr>
          <w:rFonts w:cstheme="minorHAnsi"/>
        </w:rPr>
        <w:t xml:space="preserve">MMSD (Milwaukee Metropolitan Sewerage District). 2020. </w:t>
      </w:r>
      <w:r w:rsidRPr="001E66B0">
        <w:rPr>
          <w:rFonts w:cstheme="minorHAnsi"/>
          <w:i/>
          <w:iCs/>
        </w:rPr>
        <w:t>Milwaukee weather center: MMSD rain gauge data</w:t>
      </w:r>
      <w:r w:rsidRPr="001E66B0">
        <w:rPr>
          <w:rFonts w:cstheme="minorHAnsi"/>
        </w:rPr>
        <w:t>. Milwaukee, WI: MMSD.</w:t>
      </w:r>
    </w:p>
    <w:p w14:paraId="1BA1A6E1" w14:textId="4706E9D8" w:rsidR="53F0BCD5" w:rsidRPr="001E66B0" w:rsidRDefault="53F0BCD5" w:rsidP="001E66B0">
      <w:pPr>
        <w:pStyle w:val="NoSpacing"/>
        <w:ind w:left="720" w:hanging="720"/>
        <w:rPr>
          <w:rFonts w:cstheme="minorHAnsi"/>
        </w:rPr>
      </w:pPr>
      <w:proofErr w:type="spellStart"/>
      <w:r w:rsidRPr="001E66B0">
        <w:rPr>
          <w:rFonts w:cstheme="minorHAnsi"/>
        </w:rPr>
        <w:t>Nagler</w:t>
      </w:r>
      <w:proofErr w:type="spellEnd"/>
      <w:r w:rsidRPr="001E66B0">
        <w:rPr>
          <w:rFonts w:cstheme="minorHAnsi"/>
        </w:rPr>
        <w:t xml:space="preserve">, M., H. </w:t>
      </w:r>
      <w:proofErr w:type="spellStart"/>
      <w:r w:rsidRPr="001E66B0">
        <w:rPr>
          <w:rFonts w:cstheme="minorHAnsi"/>
        </w:rPr>
        <w:t>Insam</w:t>
      </w:r>
      <w:proofErr w:type="spellEnd"/>
      <w:r w:rsidRPr="001E66B0">
        <w:rPr>
          <w:rFonts w:cstheme="minorHAnsi"/>
        </w:rPr>
        <w:t xml:space="preserve">, G. </w:t>
      </w:r>
      <w:proofErr w:type="spellStart"/>
      <w:r w:rsidRPr="001E66B0">
        <w:rPr>
          <w:rFonts w:cstheme="minorHAnsi"/>
        </w:rPr>
        <w:t>Pietramellara</w:t>
      </w:r>
      <w:proofErr w:type="spellEnd"/>
      <w:r w:rsidRPr="001E66B0">
        <w:rPr>
          <w:rFonts w:cstheme="minorHAnsi"/>
        </w:rPr>
        <w:t>, and J. Ascher-</w:t>
      </w:r>
      <w:proofErr w:type="spellStart"/>
      <w:r w:rsidRPr="001E66B0">
        <w:rPr>
          <w:rFonts w:cstheme="minorHAnsi"/>
        </w:rPr>
        <w:t>Jenull</w:t>
      </w:r>
      <w:proofErr w:type="spellEnd"/>
      <w:r w:rsidRPr="001E66B0">
        <w:rPr>
          <w:rFonts w:cstheme="minorHAnsi"/>
        </w:rPr>
        <w:t xml:space="preserve">. 2018. “Extracellular DNA in natural environments: Features, relevance and applications.” </w:t>
      </w:r>
      <w:r w:rsidRPr="001E66B0">
        <w:rPr>
          <w:rFonts w:cstheme="minorHAnsi"/>
          <w:i/>
          <w:iCs/>
        </w:rPr>
        <w:t xml:space="preserve">Appl. </w:t>
      </w:r>
      <w:proofErr w:type="spellStart"/>
      <w:r w:rsidRPr="001E66B0">
        <w:rPr>
          <w:rFonts w:cstheme="minorHAnsi"/>
          <w:i/>
          <w:iCs/>
        </w:rPr>
        <w:t>Microbiol</w:t>
      </w:r>
      <w:proofErr w:type="spellEnd"/>
      <w:r w:rsidRPr="001E66B0">
        <w:rPr>
          <w:rFonts w:cstheme="minorHAnsi"/>
          <w:i/>
          <w:iCs/>
        </w:rPr>
        <w:t xml:space="preserve">. </w:t>
      </w:r>
      <w:proofErr w:type="spellStart"/>
      <w:r w:rsidRPr="001E66B0">
        <w:rPr>
          <w:rFonts w:cstheme="minorHAnsi"/>
          <w:i/>
          <w:iCs/>
        </w:rPr>
        <w:t>Biotechnol</w:t>
      </w:r>
      <w:proofErr w:type="spellEnd"/>
      <w:r w:rsidRPr="001E66B0">
        <w:rPr>
          <w:rFonts w:cstheme="minorHAnsi"/>
          <w:i/>
          <w:iCs/>
        </w:rPr>
        <w:t>.</w:t>
      </w:r>
      <w:r w:rsidRPr="001E66B0">
        <w:rPr>
          <w:rFonts w:cstheme="minorHAnsi"/>
        </w:rPr>
        <w:t xml:space="preserve"> 102 (15): 6343–6356. https://doi.org/10.1007/s00253-018-9120-4.</w:t>
      </w:r>
    </w:p>
    <w:p w14:paraId="33AE7F73" w14:textId="3C31BD14" w:rsidR="53F0BCD5" w:rsidRPr="001E66B0" w:rsidRDefault="53F0BCD5" w:rsidP="001E66B0">
      <w:pPr>
        <w:pStyle w:val="NoSpacing"/>
        <w:ind w:left="720" w:hanging="720"/>
        <w:rPr>
          <w:rFonts w:cstheme="minorHAnsi"/>
        </w:rPr>
      </w:pPr>
      <w:r w:rsidRPr="001E66B0">
        <w:rPr>
          <w:rFonts w:cstheme="minorHAnsi"/>
        </w:rPr>
        <w:t xml:space="preserve">Nielsen, K. M., P. J. Johnsen, D. </w:t>
      </w:r>
      <w:proofErr w:type="spellStart"/>
      <w:r w:rsidRPr="001E66B0">
        <w:rPr>
          <w:rFonts w:cstheme="minorHAnsi"/>
        </w:rPr>
        <w:t>Bensasson</w:t>
      </w:r>
      <w:proofErr w:type="spellEnd"/>
      <w:r w:rsidRPr="001E66B0">
        <w:rPr>
          <w:rFonts w:cstheme="minorHAnsi"/>
        </w:rPr>
        <w:t xml:space="preserve">, and D. </w:t>
      </w:r>
      <w:proofErr w:type="spellStart"/>
      <w:r w:rsidRPr="001E66B0">
        <w:rPr>
          <w:rFonts w:cstheme="minorHAnsi"/>
        </w:rPr>
        <w:t>Daffonchio</w:t>
      </w:r>
      <w:proofErr w:type="spellEnd"/>
      <w:r w:rsidRPr="001E66B0">
        <w:rPr>
          <w:rFonts w:cstheme="minorHAnsi"/>
        </w:rPr>
        <w:t xml:space="preserve">. 2007. “Release and persistence of extracellular DNA in the environment.” </w:t>
      </w:r>
      <w:r w:rsidRPr="001E66B0">
        <w:rPr>
          <w:rFonts w:cstheme="minorHAnsi"/>
          <w:i/>
          <w:iCs/>
        </w:rPr>
        <w:t xml:space="preserve">Environ. </w:t>
      </w:r>
      <w:proofErr w:type="spellStart"/>
      <w:r w:rsidRPr="001E66B0">
        <w:rPr>
          <w:rFonts w:cstheme="minorHAnsi"/>
          <w:i/>
          <w:iCs/>
        </w:rPr>
        <w:t>Biosaf</w:t>
      </w:r>
      <w:proofErr w:type="spellEnd"/>
      <w:r w:rsidRPr="001E66B0">
        <w:rPr>
          <w:rFonts w:cstheme="minorHAnsi"/>
          <w:i/>
          <w:iCs/>
        </w:rPr>
        <w:t>. Res.</w:t>
      </w:r>
      <w:r w:rsidRPr="001E66B0">
        <w:rPr>
          <w:rFonts w:cstheme="minorHAnsi"/>
        </w:rPr>
        <w:t xml:space="preserve"> 6 (1–2): 37–53. https://doi.org/10.1051/ebr:2007031.</w:t>
      </w:r>
    </w:p>
    <w:p w14:paraId="02B51789" w14:textId="58D1E795" w:rsidR="53F0BCD5" w:rsidRPr="001E66B0" w:rsidRDefault="53F0BCD5" w:rsidP="001E66B0">
      <w:pPr>
        <w:pStyle w:val="NoSpacing"/>
        <w:ind w:left="720" w:hanging="720"/>
        <w:rPr>
          <w:rFonts w:cstheme="minorHAnsi"/>
        </w:rPr>
      </w:pPr>
      <w:proofErr w:type="spellStart"/>
      <w:r w:rsidRPr="001E66B0">
        <w:rPr>
          <w:rFonts w:cstheme="minorHAnsi"/>
        </w:rPr>
        <w:t>Pietramellara</w:t>
      </w:r>
      <w:proofErr w:type="spellEnd"/>
      <w:r w:rsidRPr="001E66B0">
        <w:rPr>
          <w:rFonts w:cstheme="minorHAnsi"/>
        </w:rPr>
        <w:t xml:space="preserve">, G., J. Ascher, F. </w:t>
      </w:r>
      <w:proofErr w:type="spellStart"/>
      <w:r w:rsidRPr="001E66B0">
        <w:rPr>
          <w:rFonts w:cstheme="minorHAnsi"/>
        </w:rPr>
        <w:t>Borgogni</w:t>
      </w:r>
      <w:proofErr w:type="spellEnd"/>
      <w:r w:rsidRPr="001E66B0">
        <w:rPr>
          <w:rFonts w:cstheme="minorHAnsi"/>
        </w:rPr>
        <w:t xml:space="preserve">, M. T. Ceccherini, G. Guerri, and P. </w:t>
      </w:r>
      <w:proofErr w:type="spellStart"/>
      <w:r w:rsidRPr="001E66B0">
        <w:rPr>
          <w:rFonts w:cstheme="minorHAnsi"/>
        </w:rPr>
        <w:t>Nannipieri</w:t>
      </w:r>
      <w:proofErr w:type="spellEnd"/>
      <w:r w:rsidRPr="001E66B0">
        <w:rPr>
          <w:rFonts w:cstheme="minorHAnsi"/>
        </w:rPr>
        <w:t xml:space="preserve">. 2009. “Extracellular DNA in soil and sediment: Fate and ecological relevance.” </w:t>
      </w:r>
      <w:r w:rsidRPr="001E66B0">
        <w:rPr>
          <w:rFonts w:cstheme="minorHAnsi"/>
          <w:i/>
          <w:iCs/>
        </w:rPr>
        <w:t xml:space="preserve">Biol. </w:t>
      </w:r>
      <w:proofErr w:type="spellStart"/>
      <w:r w:rsidRPr="001E66B0">
        <w:rPr>
          <w:rFonts w:cstheme="minorHAnsi"/>
          <w:i/>
          <w:iCs/>
        </w:rPr>
        <w:t>Fertil</w:t>
      </w:r>
      <w:proofErr w:type="spellEnd"/>
      <w:r w:rsidRPr="001E66B0">
        <w:rPr>
          <w:rFonts w:cstheme="minorHAnsi"/>
          <w:i/>
          <w:iCs/>
        </w:rPr>
        <w:t>. Soils</w:t>
      </w:r>
      <w:r w:rsidRPr="001E66B0">
        <w:rPr>
          <w:rFonts w:cstheme="minorHAnsi"/>
        </w:rPr>
        <w:t xml:space="preserve"> 45 (3): 219–235. https://doi.org/10.1007/s00374-008-0345-8.</w:t>
      </w:r>
    </w:p>
    <w:p w14:paraId="4DFA7F0A" w14:textId="4B0798E2" w:rsidR="53F0BCD5" w:rsidRPr="001E66B0" w:rsidRDefault="53F0BCD5" w:rsidP="001E66B0">
      <w:pPr>
        <w:pStyle w:val="NoSpacing"/>
        <w:ind w:left="720" w:hanging="720"/>
        <w:rPr>
          <w:rFonts w:cstheme="minorHAnsi"/>
        </w:rPr>
      </w:pPr>
      <w:r w:rsidRPr="001E66B0">
        <w:rPr>
          <w:rFonts w:cstheme="minorHAnsi"/>
        </w:rPr>
        <w:t xml:space="preserve">Potter, B. B., and J. </w:t>
      </w:r>
      <w:proofErr w:type="spellStart"/>
      <w:r w:rsidRPr="001E66B0">
        <w:rPr>
          <w:rFonts w:cstheme="minorHAnsi"/>
        </w:rPr>
        <w:t>Wimsastt</w:t>
      </w:r>
      <w:proofErr w:type="spellEnd"/>
      <w:r w:rsidRPr="001E66B0">
        <w:rPr>
          <w:rFonts w:cstheme="minorHAnsi"/>
        </w:rPr>
        <w:t>. 2009. “Method 415.3, Rev. 1.2: Determination of total organic carbon and specific UV absorbance at 254 nm in source water and drinking water.” Accessed February 23, 2022. https://cfpub.epa.gov/si/si_public_record_report.cfm?Lab=NERL&amp;dirEntryId=214406.</w:t>
      </w:r>
    </w:p>
    <w:p w14:paraId="5606C793" w14:textId="1EC900AE" w:rsidR="53F0BCD5" w:rsidRPr="001E66B0" w:rsidRDefault="53F0BCD5" w:rsidP="001E66B0">
      <w:pPr>
        <w:pStyle w:val="NoSpacing"/>
        <w:ind w:left="720" w:hanging="720"/>
        <w:rPr>
          <w:rFonts w:cstheme="minorHAnsi"/>
        </w:rPr>
      </w:pPr>
      <w:r w:rsidRPr="001E66B0">
        <w:rPr>
          <w:rFonts w:cstheme="minorHAnsi"/>
        </w:rPr>
        <w:t xml:space="preserve">Pruden, A., et al. 2018. “An environmental science and engineering framework for combating antimicrobial resistance.” </w:t>
      </w:r>
      <w:r w:rsidRPr="001E66B0">
        <w:rPr>
          <w:rFonts w:cstheme="minorHAnsi"/>
          <w:i/>
          <w:iCs/>
        </w:rPr>
        <w:t>Environ. Eng. Sci.</w:t>
      </w:r>
      <w:r w:rsidRPr="001E66B0">
        <w:rPr>
          <w:rFonts w:cstheme="minorHAnsi"/>
        </w:rPr>
        <w:t xml:space="preserve"> 35 (10): 1005–1011. https://doi.org/10.1089/ees.2017.0520.</w:t>
      </w:r>
    </w:p>
    <w:p w14:paraId="764FFCC7" w14:textId="00BA0160" w:rsidR="53F0BCD5" w:rsidRPr="001E66B0" w:rsidRDefault="53F0BCD5" w:rsidP="001E66B0">
      <w:pPr>
        <w:pStyle w:val="NoSpacing"/>
        <w:ind w:left="720" w:hanging="720"/>
        <w:rPr>
          <w:rFonts w:cstheme="minorHAnsi"/>
        </w:rPr>
      </w:pPr>
      <w:r w:rsidRPr="001E66B0">
        <w:rPr>
          <w:rFonts w:cstheme="minorHAnsi"/>
        </w:rPr>
        <w:t>Reynolds, L. J., L. Sala-</w:t>
      </w:r>
      <w:proofErr w:type="spellStart"/>
      <w:r w:rsidRPr="001E66B0">
        <w:rPr>
          <w:rFonts w:cstheme="minorHAnsi"/>
        </w:rPr>
        <w:t>Comorera</w:t>
      </w:r>
      <w:proofErr w:type="spellEnd"/>
      <w:r w:rsidRPr="001E66B0">
        <w:rPr>
          <w:rFonts w:cstheme="minorHAnsi"/>
        </w:rPr>
        <w:t xml:space="preserve">, N. A. Martin, T. M. Nolan, J. H. Stephens, A. </w:t>
      </w:r>
      <w:proofErr w:type="spellStart"/>
      <w:r w:rsidRPr="001E66B0">
        <w:rPr>
          <w:rFonts w:cstheme="minorHAnsi"/>
        </w:rPr>
        <w:t>Gitto</w:t>
      </w:r>
      <w:proofErr w:type="spellEnd"/>
      <w:r w:rsidRPr="001E66B0">
        <w:rPr>
          <w:rFonts w:cstheme="minorHAnsi"/>
        </w:rPr>
        <w:t xml:space="preserve">, G. M. P. O’Hare, J. J. O’Sullivan, and W. G. Meijer. 2020. “Correlation between antimicrobial resistance and </w:t>
      </w:r>
      <w:proofErr w:type="spellStart"/>
      <w:r w:rsidRPr="001E66B0">
        <w:rPr>
          <w:rFonts w:cstheme="minorHAnsi"/>
        </w:rPr>
        <w:t>faecal</w:t>
      </w:r>
      <w:proofErr w:type="spellEnd"/>
      <w:r w:rsidRPr="001E66B0">
        <w:rPr>
          <w:rFonts w:cstheme="minorHAnsi"/>
        </w:rPr>
        <w:t xml:space="preserve"> contamination in small urban streams and bathing waters.” </w:t>
      </w:r>
      <w:r w:rsidRPr="001E66B0">
        <w:rPr>
          <w:rFonts w:cstheme="minorHAnsi"/>
          <w:i/>
          <w:iCs/>
        </w:rPr>
        <w:t>Sci. Total Environ.</w:t>
      </w:r>
      <w:r w:rsidRPr="001E66B0">
        <w:rPr>
          <w:rFonts w:cstheme="minorHAnsi"/>
        </w:rPr>
        <w:t xml:space="preserve"> 739 (Oct): 140242. https://doi.org/10.1016/j.scitotenv.2020.140242.</w:t>
      </w:r>
    </w:p>
    <w:p w14:paraId="357DDE1A" w14:textId="45DAA70D" w:rsidR="53F0BCD5" w:rsidRPr="001E66B0" w:rsidRDefault="53F0BCD5" w:rsidP="001E66B0">
      <w:pPr>
        <w:pStyle w:val="NoSpacing"/>
        <w:ind w:left="720" w:hanging="720"/>
        <w:rPr>
          <w:rFonts w:cstheme="minorHAnsi"/>
        </w:rPr>
      </w:pPr>
      <w:proofErr w:type="spellStart"/>
      <w:r w:rsidRPr="001E66B0">
        <w:rPr>
          <w:rFonts w:cstheme="minorHAnsi"/>
        </w:rPr>
        <w:t>Sakcham</w:t>
      </w:r>
      <w:proofErr w:type="spellEnd"/>
      <w:r w:rsidRPr="001E66B0">
        <w:rPr>
          <w:rFonts w:cstheme="minorHAnsi"/>
        </w:rPr>
        <w:t xml:space="preserve">, B., A. Kumar, and B. Cao. 2019. “Extracellular DNA in </w:t>
      </w:r>
      <w:proofErr w:type="spellStart"/>
      <w:r w:rsidRPr="001E66B0">
        <w:rPr>
          <w:rFonts w:cstheme="minorHAnsi"/>
        </w:rPr>
        <w:t>monochloraminated</w:t>
      </w:r>
      <w:proofErr w:type="spellEnd"/>
      <w:r w:rsidRPr="001E66B0">
        <w:rPr>
          <w:rFonts w:cstheme="minorHAnsi"/>
        </w:rPr>
        <w:t xml:space="preserve"> drinking water and its influence on DNA-based profiling of a microbial community.” </w:t>
      </w:r>
      <w:r w:rsidRPr="001E66B0">
        <w:rPr>
          <w:rFonts w:cstheme="minorHAnsi"/>
          <w:i/>
          <w:iCs/>
        </w:rPr>
        <w:t>Environ. Sci. Technol. Lett.</w:t>
      </w:r>
      <w:r w:rsidRPr="001E66B0">
        <w:rPr>
          <w:rFonts w:cstheme="minorHAnsi"/>
        </w:rPr>
        <w:t xml:space="preserve"> 6 (5): 306–312. https://doi.org/10.1021/acs.estlett.9b00185.</w:t>
      </w:r>
    </w:p>
    <w:p w14:paraId="782A59E2" w14:textId="31B1D979" w:rsidR="53F0BCD5" w:rsidRPr="001E66B0" w:rsidRDefault="53F0BCD5" w:rsidP="001E66B0">
      <w:pPr>
        <w:pStyle w:val="NoSpacing"/>
        <w:ind w:left="720" w:hanging="720"/>
        <w:rPr>
          <w:rFonts w:cstheme="minorHAnsi"/>
        </w:rPr>
      </w:pPr>
      <w:r w:rsidRPr="001E66B0">
        <w:rPr>
          <w:rFonts w:cstheme="minorHAnsi"/>
        </w:rPr>
        <w:t xml:space="preserve">Sui, Q., Y. Chen, D. Yu, T. Wang, Y. Hai, J. Zhang, M. Chen, and Y. Wei. 2019. “Fates of intracellular and extracellular antibiotic resistance genes and microbial community structures in typical swine wastewater treatment processes.” </w:t>
      </w:r>
      <w:r w:rsidRPr="001E66B0">
        <w:rPr>
          <w:rFonts w:cstheme="minorHAnsi"/>
          <w:i/>
          <w:iCs/>
        </w:rPr>
        <w:t>Environ. Int.</w:t>
      </w:r>
      <w:r w:rsidRPr="001E66B0">
        <w:rPr>
          <w:rFonts w:cstheme="minorHAnsi"/>
        </w:rPr>
        <w:t xml:space="preserve"> 133 (Dec): 105183. https://doi.org/10.1016/j.envint.2019.105183.</w:t>
      </w:r>
    </w:p>
    <w:p w14:paraId="0CC63AE6" w14:textId="37159116" w:rsidR="53F0BCD5" w:rsidRPr="001E66B0" w:rsidRDefault="53F0BCD5" w:rsidP="001E66B0">
      <w:pPr>
        <w:pStyle w:val="NoSpacing"/>
        <w:ind w:left="720" w:hanging="720"/>
        <w:rPr>
          <w:rFonts w:cstheme="minorHAnsi"/>
        </w:rPr>
      </w:pPr>
      <w:r w:rsidRPr="001E66B0">
        <w:rPr>
          <w:rFonts w:cstheme="minorHAnsi"/>
        </w:rPr>
        <w:t xml:space="preserve">Surette, M. D., and G. D. Wright. 2017. “Lessons from the environmental antibiotic </w:t>
      </w:r>
      <w:proofErr w:type="spellStart"/>
      <w:r w:rsidRPr="001E66B0">
        <w:rPr>
          <w:rFonts w:cstheme="minorHAnsi"/>
        </w:rPr>
        <w:t>resistome</w:t>
      </w:r>
      <w:proofErr w:type="spellEnd"/>
      <w:r w:rsidRPr="001E66B0">
        <w:rPr>
          <w:rFonts w:cstheme="minorHAnsi"/>
        </w:rPr>
        <w:t xml:space="preserve">.” </w:t>
      </w:r>
      <w:proofErr w:type="spellStart"/>
      <w:r w:rsidRPr="001E66B0">
        <w:rPr>
          <w:rFonts w:cstheme="minorHAnsi"/>
          <w:i/>
          <w:iCs/>
        </w:rPr>
        <w:t>Annu</w:t>
      </w:r>
      <w:proofErr w:type="spellEnd"/>
      <w:r w:rsidRPr="001E66B0">
        <w:rPr>
          <w:rFonts w:cstheme="minorHAnsi"/>
          <w:i/>
          <w:iCs/>
        </w:rPr>
        <w:t xml:space="preserve">. Rev. </w:t>
      </w:r>
      <w:proofErr w:type="spellStart"/>
      <w:r w:rsidRPr="001E66B0">
        <w:rPr>
          <w:rFonts w:cstheme="minorHAnsi"/>
          <w:i/>
          <w:iCs/>
        </w:rPr>
        <w:t>Microbiol</w:t>
      </w:r>
      <w:proofErr w:type="spellEnd"/>
      <w:r w:rsidRPr="001E66B0">
        <w:rPr>
          <w:rFonts w:cstheme="minorHAnsi"/>
          <w:i/>
          <w:iCs/>
        </w:rPr>
        <w:t>.</w:t>
      </w:r>
      <w:r w:rsidRPr="001E66B0">
        <w:rPr>
          <w:rFonts w:cstheme="minorHAnsi"/>
        </w:rPr>
        <w:t xml:space="preserve"> 71 (Sep): 309–329. https://doi.org/10.1146/annurev-micro-090816-093420.</w:t>
      </w:r>
    </w:p>
    <w:p w14:paraId="0553E3BA" w14:textId="1434719C" w:rsidR="53F0BCD5" w:rsidRPr="001E66B0" w:rsidRDefault="53F0BCD5" w:rsidP="001E66B0">
      <w:pPr>
        <w:pStyle w:val="NoSpacing"/>
        <w:ind w:left="720" w:hanging="720"/>
        <w:rPr>
          <w:rFonts w:cstheme="minorHAnsi"/>
        </w:rPr>
      </w:pPr>
      <w:r w:rsidRPr="001E66B0">
        <w:rPr>
          <w:rFonts w:cstheme="minorHAnsi"/>
        </w:rPr>
        <w:t xml:space="preserve">Taylor, S. C., G. </w:t>
      </w:r>
      <w:proofErr w:type="spellStart"/>
      <w:r w:rsidRPr="001E66B0">
        <w:rPr>
          <w:rFonts w:cstheme="minorHAnsi"/>
        </w:rPr>
        <w:t>Laperriere</w:t>
      </w:r>
      <w:proofErr w:type="spellEnd"/>
      <w:r w:rsidRPr="001E66B0">
        <w:rPr>
          <w:rFonts w:cstheme="minorHAnsi"/>
        </w:rPr>
        <w:t xml:space="preserve">, and H. Germain. 2017. “Droplet Digital PCR versus qPCR for gene expression analysis with low abundant targets: From variable nonsense to publication quality data.” </w:t>
      </w:r>
      <w:r w:rsidRPr="001E66B0">
        <w:rPr>
          <w:rFonts w:cstheme="minorHAnsi"/>
          <w:i/>
          <w:iCs/>
        </w:rPr>
        <w:t>Sci. Rep.</w:t>
      </w:r>
      <w:r w:rsidRPr="001E66B0">
        <w:rPr>
          <w:rFonts w:cstheme="minorHAnsi"/>
        </w:rPr>
        <w:t xml:space="preserve"> 7 (1): 1–8. https://doi.org/10.1038/s41598-017-02217-x.</w:t>
      </w:r>
    </w:p>
    <w:p w14:paraId="2069373C" w14:textId="013B5D46" w:rsidR="53F0BCD5" w:rsidRPr="001E66B0" w:rsidRDefault="53F0BCD5" w:rsidP="001E66B0">
      <w:pPr>
        <w:pStyle w:val="NoSpacing"/>
        <w:ind w:left="720" w:hanging="720"/>
        <w:rPr>
          <w:rFonts w:cstheme="minorHAnsi"/>
        </w:rPr>
      </w:pPr>
      <w:r w:rsidRPr="001E66B0">
        <w:rPr>
          <w:rFonts w:cstheme="minorHAnsi"/>
        </w:rPr>
        <w:t xml:space="preserve">Thomas, C. M., and K. M. Nielsen. 2005. “Mechanisms of, and barriers to, horizontal gene transfer between bacteria.” </w:t>
      </w:r>
      <w:r w:rsidRPr="001E66B0">
        <w:rPr>
          <w:rFonts w:cstheme="minorHAnsi"/>
          <w:i/>
          <w:iCs/>
        </w:rPr>
        <w:t xml:space="preserve">Nat. Rev. </w:t>
      </w:r>
      <w:proofErr w:type="spellStart"/>
      <w:r w:rsidRPr="001E66B0">
        <w:rPr>
          <w:rFonts w:cstheme="minorHAnsi"/>
          <w:i/>
          <w:iCs/>
        </w:rPr>
        <w:t>Microbiol</w:t>
      </w:r>
      <w:proofErr w:type="spellEnd"/>
      <w:r w:rsidRPr="001E66B0">
        <w:rPr>
          <w:rFonts w:cstheme="minorHAnsi"/>
          <w:i/>
          <w:iCs/>
        </w:rPr>
        <w:t>.</w:t>
      </w:r>
      <w:r w:rsidRPr="001E66B0">
        <w:rPr>
          <w:rFonts w:cstheme="minorHAnsi"/>
        </w:rPr>
        <w:t xml:space="preserve"> 3 (9): 711–721. https://doi.org/10.1038/nrmicro1234.</w:t>
      </w:r>
    </w:p>
    <w:p w14:paraId="733AAE25" w14:textId="697690D9" w:rsidR="53F0BCD5" w:rsidRPr="001E66B0" w:rsidRDefault="53F0BCD5" w:rsidP="001E66B0">
      <w:pPr>
        <w:pStyle w:val="NoSpacing"/>
        <w:ind w:left="720" w:hanging="720"/>
        <w:rPr>
          <w:rFonts w:cstheme="minorHAnsi"/>
        </w:rPr>
      </w:pPr>
      <w:proofErr w:type="spellStart"/>
      <w:r w:rsidRPr="001E66B0">
        <w:rPr>
          <w:rFonts w:cstheme="minorHAnsi"/>
        </w:rPr>
        <w:t>Torti</w:t>
      </w:r>
      <w:proofErr w:type="spellEnd"/>
      <w:r w:rsidRPr="001E66B0">
        <w:rPr>
          <w:rFonts w:cstheme="minorHAnsi"/>
        </w:rPr>
        <w:t xml:space="preserve">, A., M. A. Lever, and B. B. </w:t>
      </w:r>
      <w:proofErr w:type="spellStart"/>
      <w:r w:rsidRPr="001E66B0">
        <w:rPr>
          <w:rFonts w:cstheme="minorHAnsi"/>
        </w:rPr>
        <w:t>Jørgensen</w:t>
      </w:r>
      <w:proofErr w:type="spellEnd"/>
      <w:r w:rsidRPr="001E66B0">
        <w:rPr>
          <w:rFonts w:cstheme="minorHAnsi"/>
        </w:rPr>
        <w:t xml:space="preserve">. 2015. “Origin, dynamics, and implications of extracellular DNA pools in marine sediments.” </w:t>
      </w:r>
      <w:r w:rsidRPr="001E66B0">
        <w:rPr>
          <w:rFonts w:cstheme="minorHAnsi"/>
          <w:i/>
          <w:iCs/>
        </w:rPr>
        <w:t>Mar. Geonomics</w:t>
      </w:r>
      <w:r w:rsidRPr="001E66B0">
        <w:rPr>
          <w:rFonts w:cstheme="minorHAnsi"/>
        </w:rPr>
        <w:t xml:space="preserve"> 24 (Dec): 185–196. https://doi.org/10.1016/j.margen.2015.08.007.</w:t>
      </w:r>
    </w:p>
    <w:p w14:paraId="0C9E2C5D" w14:textId="60CCF3DC" w:rsidR="53F0BCD5" w:rsidRPr="001E66B0" w:rsidRDefault="53F0BCD5" w:rsidP="001E66B0">
      <w:pPr>
        <w:pStyle w:val="NoSpacing"/>
        <w:ind w:left="720" w:hanging="720"/>
        <w:rPr>
          <w:rFonts w:cstheme="minorHAnsi"/>
        </w:rPr>
      </w:pPr>
      <w:r w:rsidRPr="001E66B0">
        <w:rPr>
          <w:rFonts w:cstheme="minorHAnsi"/>
        </w:rPr>
        <w:t>USEPA. 1993. “Method 365.1, Revision 2.0: Determination of phosphorus by semi-automated colorimetry.” Accessed February 23, 2022. https://www.epa.gov/sites/production/files/2015-08/documents/method_365-1_1993.pdf.</w:t>
      </w:r>
    </w:p>
    <w:p w14:paraId="6230DA45" w14:textId="618BD50D" w:rsidR="53F0BCD5" w:rsidRPr="001E66B0" w:rsidRDefault="53F0BCD5" w:rsidP="001E66B0">
      <w:pPr>
        <w:pStyle w:val="NoSpacing"/>
        <w:ind w:left="720" w:hanging="720"/>
        <w:rPr>
          <w:rFonts w:cstheme="minorHAnsi"/>
        </w:rPr>
      </w:pPr>
      <w:r w:rsidRPr="001E66B0">
        <w:rPr>
          <w:rFonts w:cstheme="minorHAnsi"/>
        </w:rPr>
        <w:t xml:space="preserve">Von </w:t>
      </w:r>
      <w:proofErr w:type="spellStart"/>
      <w:r w:rsidRPr="001E66B0">
        <w:rPr>
          <w:rFonts w:cstheme="minorHAnsi"/>
        </w:rPr>
        <w:t>Wintersdorff</w:t>
      </w:r>
      <w:proofErr w:type="spellEnd"/>
      <w:r w:rsidRPr="001E66B0">
        <w:rPr>
          <w:rFonts w:cstheme="minorHAnsi"/>
        </w:rPr>
        <w:t xml:space="preserve">, C. J. H., J. </w:t>
      </w:r>
      <w:proofErr w:type="spellStart"/>
      <w:r w:rsidRPr="001E66B0">
        <w:rPr>
          <w:rFonts w:cstheme="minorHAnsi"/>
        </w:rPr>
        <w:t>Penders</w:t>
      </w:r>
      <w:proofErr w:type="spellEnd"/>
      <w:r w:rsidRPr="001E66B0">
        <w:rPr>
          <w:rFonts w:cstheme="minorHAnsi"/>
        </w:rPr>
        <w:t xml:space="preserve">, J. M. Van Niekerk, N. D. Mills, S. Majumder, L. B. Van Alphen, P. H. M. Savelkoul, and P. F. G. </w:t>
      </w:r>
      <w:proofErr w:type="spellStart"/>
      <w:r w:rsidRPr="001E66B0">
        <w:rPr>
          <w:rFonts w:cstheme="minorHAnsi"/>
        </w:rPr>
        <w:t>Wolffs</w:t>
      </w:r>
      <w:proofErr w:type="spellEnd"/>
      <w:r w:rsidRPr="001E66B0">
        <w:rPr>
          <w:rFonts w:cstheme="minorHAnsi"/>
        </w:rPr>
        <w:t xml:space="preserve">. 2016. “Dissemination of antimicrobial resistance in microbial ecosystems through horizontal gene transfer.” </w:t>
      </w:r>
      <w:r w:rsidRPr="001E66B0">
        <w:rPr>
          <w:rFonts w:cstheme="minorHAnsi"/>
          <w:i/>
          <w:iCs/>
        </w:rPr>
        <w:t xml:space="preserve">Front. </w:t>
      </w:r>
      <w:proofErr w:type="spellStart"/>
      <w:r w:rsidRPr="001E66B0">
        <w:rPr>
          <w:rFonts w:cstheme="minorHAnsi"/>
          <w:i/>
          <w:iCs/>
        </w:rPr>
        <w:t>Microbiol</w:t>
      </w:r>
      <w:proofErr w:type="spellEnd"/>
      <w:r w:rsidRPr="001E66B0">
        <w:rPr>
          <w:rFonts w:cstheme="minorHAnsi"/>
          <w:i/>
          <w:iCs/>
        </w:rPr>
        <w:t>.</w:t>
      </w:r>
      <w:r w:rsidRPr="001E66B0">
        <w:rPr>
          <w:rFonts w:cstheme="minorHAnsi"/>
        </w:rPr>
        <w:t xml:space="preserve"> 7 (Feb): 1–10. https://doi.org/10.3389/fmicb.2016.00173.</w:t>
      </w:r>
    </w:p>
    <w:p w14:paraId="6FEB926B" w14:textId="3DD6E53D" w:rsidR="53F0BCD5" w:rsidRPr="001E66B0" w:rsidRDefault="53F0BCD5" w:rsidP="001E66B0">
      <w:pPr>
        <w:pStyle w:val="NoSpacing"/>
        <w:ind w:left="720" w:hanging="720"/>
        <w:rPr>
          <w:rFonts w:cstheme="minorHAnsi"/>
        </w:rPr>
      </w:pPr>
      <w:proofErr w:type="spellStart"/>
      <w:r w:rsidRPr="001E66B0">
        <w:rPr>
          <w:rFonts w:cstheme="minorHAnsi"/>
        </w:rPr>
        <w:t>Vuillemin</w:t>
      </w:r>
      <w:proofErr w:type="spellEnd"/>
      <w:r w:rsidRPr="001E66B0">
        <w:rPr>
          <w:rFonts w:cstheme="minorHAnsi"/>
        </w:rPr>
        <w:t xml:space="preserve">, A., F. Horn, M. Alawi, C. Henny, D. Wagner, S. A. Crowe, and J. </w:t>
      </w:r>
      <w:proofErr w:type="spellStart"/>
      <w:r w:rsidRPr="001E66B0">
        <w:rPr>
          <w:rFonts w:cstheme="minorHAnsi"/>
        </w:rPr>
        <w:t>Kallmeyer</w:t>
      </w:r>
      <w:proofErr w:type="spellEnd"/>
      <w:r w:rsidRPr="001E66B0">
        <w:rPr>
          <w:rFonts w:cstheme="minorHAnsi"/>
        </w:rPr>
        <w:t xml:space="preserve">. 2017. “Preservation and significance of extracellular DNA in ferruginous sediments from Lake </w:t>
      </w:r>
      <w:proofErr w:type="spellStart"/>
      <w:r w:rsidRPr="001E66B0">
        <w:rPr>
          <w:rFonts w:cstheme="minorHAnsi"/>
        </w:rPr>
        <w:t>Towuti</w:t>
      </w:r>
      <w:proofErr w:type="spellEnd"/>
      <w:r w:rsidRPr="001E66B0">
        <w:rPr>
          <w:rFonts w:cstheme="minorHAnsi"/>
        </w:rPr>
        <w:t xml:space="preserve">, Indonesia.” </w:t>
      </w:r>
      <w:r w:rsidRPr="001E66B0">
        <w:rPr>
          <w:rFonts w:cstheme="minorHAnsi"/>
          <w:i/>
          <w:iCs/>
        </w:rPr>
        <w:t xml:space="preserve">Front. </w:t>
      </w:r>
      <w:proofErr w:type="spellStart"/>
      <w:r w:rsidRPr="001E66B0">
        <w:rPr>
          <w:rFonts w:cstheme="minorHAnsi"/>
          <w:i/>
          <w:iCs/>
        </w:rPr>
        <w:t>Microbiol</w:t>
      </w:r>
      <w:proofErr w:type="spellEnd"/>
      <w:r w:rsidRPr="001E66B0">
        <w:rPr>
          <w:rFonts w:cstheme="minorHAnsi"/>
          <w:i/>
          <w:iCs/>
        </w:rPr>
        <w:t>.</w:t>
      </w:r>
      <w:r w:rsidRPr="001E66B0">
        <w:rPr>
          <w:rFonts w:cstheme="minorHAnsi"/>
        </w:rPr>
        <w:t xml:space="preserve"> 8 (Jul): 1–15. https://doi.org/10.3389/fmicb.2017.01440.</w:t>
      </w:r>
    </w:p>
    <w:p w14:paraId="5B994A1E" w14:textId="30914850" w:rsidR="53F0BCD5" w:rsidRPr="001E66B0" w:rsidRDefault="53F0BCD5" w:rsidP="001E66B0">
      <w:pPr>
        <w:pStyle w:val="NoSpacing"/>
        <w:ind w:left="720" w:hanging="720"/>
        <w:rPr>
          <w:rFonts w:cstheme="minorHAnsi"/>
        </w:rPr>
      </w:pPr>
      <w:r w:rsidRPr="001E66B0">
        <w:rPr>
          <w:rFonts w:cstheme="minorHAnsi"/>
        </w:rPr>
        <w:t xml:space="preserve">Wang, D. N., L. Liu, Z. G. </w:t>
      </w:r>
      <w:proofErr w:type="spellStart"/>
      <w:r w:rsidRPr="001E66B0">
        <w:rPr>
          <w:rFonts w:cstheme="minorHAnsi"/>
        </w:rPr>
        <w:t>Qiu</w:t>
      </w:r>
      <w:proofErr w:type="spellEnd"/>
      <w:r w:rsidRPr="001E66B0">
        <w:rPr>
          <w:rFonts w:cstheme="minorHAnsi"/>
        </w:rPr>
        <w:t xml:space="preserve">, Z. Q. Shen, X. Guo, D. Yang, J. Li, W. L. Liu, M. </w:t>
      </w:r>
      <w:proofErr w:type="spellStart"/>
      <w:r w:rsidRPr="001E66B0">
        <w:rPr>
          <w:rFonts w:cstheme="minorHAnsi"/>
        </w:rPr>
        <w:t>Jin</w:t>
      </w:r>
      <w:proofErr w:type="spellEnd"/>
      <w:r w:rsidRPr="001E66B0">
        <w:rPr>
          <w:rFonts w:cstheme="minorHAnsi"/>
        </w:rPr>
        <w:t xml:space="preserve">, and J. W. Li. 2016. “A new adsorption-elution technique for the concentration of aquatic extracellular antibiotic resistance genes from large volumes of water.” </w:t>
      </w:r>
      <w:r w:rsidRPr="001E66B0">
        <w:rPr>
          <w:rFonts w:cstheme="minorHAnsi"/>
          <w:i/>
          <w:iCs/>
        </w:rPr>
        <w:t>Water Res.</w:t>
      </w:r>
      <w:r w:rsidRPr="001E66B0">
        <w:rPr>
          <w:rFonts w:cstheme="minorHAnsi"/>
        </w:rPr>
        <w:t xml:space="preserve"> 92 (Apr): 188–198. https://doi.org/10.1016/j.watres.2016.01.035.</w:t>
      </w:r>
    </w:p>
    <w:p w14:paraId="5493589C" w14:textId="7044BFC5" w:rsidR="53F0BCD5" w:rsidRPr="001E66B0" w:rsidRDefault="53F0BCD5" w:rsidP="001E66B0">
      <w:pPr>
        <w:pStyle w:val="NoSpacing"/>
        <w:ind w:left="720" w:hanging="720"/>
        <w:rPr>
          <w:rFonts w:cstheme="minorHAnsi"/>
        </w:rPr>
      </w:pPr>
      <w:r w:rsidRPr="001E66B0">
        <w:rPr>
          <w:rFonts w:cstheme="minorHAnsi"/>
        </w:rPr>
        <w:t xml:space="preserve">Yuan, Q. B., Y. M. Huang, W. B. Wu, P. </w:t>
      </w:r>
      <w:proofErr w:type="spellStart"/>
      <w:r w:rsidRPr="001E66B0">
        <w:rPr>
          <w:rFonts w:cstheme="minorHAnsi"/>
        </w:rPr>
        <w:t>Zuo</w:t>
      </w:r>
      <w:proofErr w:type="spellEnd"/>
      <w:r w:rsidRPr="001E66B0">
        <w:rPr>
          <w:rFonts w:cstheme="minorHAnsi"/>
        </w:rPr>
        <w:t xml:space="preserve">, N. Hu, Y. Z. Zhou, and P. J. J. Alvarez. 2019. “Redistribution of intracellular and extracellular free &amp; adsorbed antibiotic resistance genes through a wastewater treatment plant by an enhanced extracellular DNA extraction method with magnetic beads.” </w:t>
      </w:r>
      <w:r w:rsidRPr="001E66B0">
        <w:rPr>
          <w:rFonts w:cstheme="minorHAnsi"/>
          <w:i/>
          <w:iCs/>
        </w:rPr>
        <w:t>Environ. Int.</w:t>
      </w:r>
      <w:r w:rsidRPr="001E66B0">
        <w:rPr>
          <w:rFonts w:cstheme="minorHAnsi"/>
        </w:rPr>
        <w:t xml:space="preserve"> 131 (Oct): 104986. https://doi.org/10.1016/j.envint.2019.104986.</w:t>
      </w:r>
    </w:p>
    <w:p w14:paraId="6D281C73" w14:textId="014210C5" w:rsidR="53F0BCD5" w:rsidRPr="001E66B0" w:rsidRDefault="53F0BCD5" w:rsidP="001E66B0">
      <w:pPr>
        <w:pStyle w:val="NoSpacing"/>
        <w:ind w:left="720" w:hanging="720"/>
        <w:rPr>
          <w:rFonts w:cstheme="minorHAnsi"/>
        </w:rPr>
      </w:pPr>
      <w:proofErr w:type="spellStart"/>
      <w:r w:rsidRPr="001E66B0">
        <w:rPr>
          <w:rFonts w:cstheme="minorHAnsi"/>
        </w:rPr>
        <w:t>Zarei-Baygi</w:t>
      </w:r>
      <w:proofErr w:type="spellEnd"/>
      <w:r w:rsidRPr="001E66B0">
        <w:rPr>
          <w:rFonts w:cstheme="minorHAnsi"/>
        </w:rPr>
        <w:t xml:space="preserve">, A., and A. L. Smith. 2021. “Intracellular versus extracellular antibiotic resistance genes in the environment: Prevalence, horizontal transfer, and mitigation strategies.” </w:t>
      </w:r>
      <w:proofErr w:type="spellStart"/>
      <w:r w:rsidRPr="001E66B0">
        <w:rPr>
          <w:rFonts w:cstheme="minorHAnsi"/>
          <w:i/>
          <w:iCs/>
        </w:rPr>
        <w:t>Bioresour</w:t>
      </w:r>
      <w:proofErr w:type="spellEnd"/>
      <w:r w:rsidRPr="001E66B0">
        <w:rPr>
          <w:rFonts w:cstheme="minorHAnsi"/>
          <w:i/>
          <w:iCs/>
        </w:rPr>
        <w:t>. Technol.</w:t>
      </w:r>
      <w:r w:rsidRPr="001E66B0">
        <w:rPr>
          <w:rFonts w:cstheme="minorHAnsi"/>
        </w:rPr>
        <w:t xml:space="preserve"> 319 (Jan): 124181. https://doi.org/10.1016/j.biortech.2020.124181.</w:t>
      </w:r>
    </w:p>
    <w:p w14:paraId="3671EF12" w14:textId="1872EA45" w:rsidR="53F0BCD5" w:rsidRPr="001E66B0" w:rsidRDefault="53F0BCD5" w:rsidP="001E66B0">
      <w:pPr>
        <w:pStyle w:val="NoSpacing"/>
        <w:ind w:left="720" w:hanging="720"/>
        <w:rPr>
          <w:rFonts w:cstheme="minorHAnsi"/>
        </w:rPr>
      </w:pPr>
      <w:r w:rsidRPr="001E66B0">
        <w:rPr>
          <w:rFonts w:cstheme="minorHAnsi"/>
        </w:rPr>
        <w:t xml:space="preserve">Zhang, M., S. Chen, X. Yu, P. </w:t>
      </w:r>
      <w:proofErr w:type="spellStart"/>
      <w:r w:rsidRPr="001E66B0">
        <w:rPr>
          <w:rFonts w:cstheme="minorHAnsi"/>
        </w:rPr>
        <w:t>Vikesland</w:t>
      </w:r>
      <w:proofErr w:type="spellEnd"/>
      <w:r w:rsidRPr="001E66B0">
        <w:rPr>
          <w:rFonts w:cstheme="minorHAnsi"/>
        </w:rPr>
        <w:t xml:space="preserve">, and A. Pruden. 2019. “Degradation of extracellular genomic, plasmid DNA and specific antibiotic resistance genes by chlorination.” </w:t>
      </w:r>
      <w:r w:rsidRPr="001E66B0">
        <w:rPr>
          <w:rFonts w:cstheme="minorHAnsi"/>
          <w:i/>
          <w:iCs/>
        </w:rPr>
        <w:t>Front. Environ. Sci. Eng.</w:t>
      </w:r>
      <w:r w:rsidRPr="001E66B0">
        <w:rPr>
          <w:rFonts w:cstheme="minorHAnsi"/>
        </w:rPr>
        <w:t xml:space="preserve"> 13 (3): 1–12. https://doi.org/10.1007/s11783-019-1124-5.</w:t>
      </w:r>
    </w:p>
    <w:p w14:paraId="63901A4F" w14:textId="5BEE1148" w:rsidR="53F0BCD5" w:rsidRPr="001E66B0" w:rsidRDefault="53F0BCD5" w:rsidP="001E66B0">
      <w:pPr>
        <w:pStyle w:val="NoSpacing"/>
        <w:ind w:left="720" w:hanging="720"/>
        <w:rPr>
          <w:rFonts w:cstheme="minorHAnsi"/>
        </w:rPr>
      </w:pPr>
      <w:r w:rsidRPr="001E66B0">
        <w:rPr>
          <w:rFonts w:cstheme="minorHAnsi"/>
        </w:rPr>
        <w:t xml:space="preserve">Zhang, Y., A. Li, T. Dai, F. Li, H. </w:t>
      </w:r>
      <w:proofErr w:type="spellStart"/>
      <w:r w:rsidRPr="001E66B0">
        <w:rPr>
          <w:rFonts w:cstheme="minorHAnsi"/>
        </w:rPr>
        <w:t>Xie</w:t>
      </w:r>
      <w:proofErr w:type="spellEnd"/>
      <w:r w:rsidRPr="001E66B0">
        <w:rPr>
          <w:rFonts w:cstheme="minorHAnsi"/>
        </w:rPr>
        <w:t xml:space="preserve">, L. Chen, and D. Wen. 2018. “Cell-free DNA: A neglected source for antibiotic resistance genes spreading from WWTPs.” </w:t>
      </w:r>
      <w:r w:rsidRPr="001E66B0">
        <w:rPr>
          <w:rFonts w:cstheme="minorHAnsi"/>
          <w:i/>
          <w:iCs/>
        </w:rPr>
        <w:t>Environ. Sci. Technol.</w:t>
      </w:r>
      <w:r w:rsidRPr="001E66B0">
        <w:rPr>
          <w:rFonts w:cstheme="minorHAnsi"/>
        </w:rPr>
        <w:t xml:space="preserve"> 52 (1): 248–257. https://doi.org/10.1021/acs.est.7b04283.</w:t>
      </w:r>
    </w:p>
    <w:p w14:paraId="64F8FF7C" w14:textId="6166D42A" w:rsidR="53F0BCD5" w:rsidRPr="001E66B0" w:rsidRDefault="53F0BCD5" w:rsidP="001E66B0">
      <w:pPr>
        <w:pStyle w:val="NoSpacing"/>
        <w:ind w:left="720" w:hanging="720"/>
        <w:rPr>
          <w:rFonts w:cstheme="minorHAnsi"/>
        </w:rPr>
      </w:pPr>
      <w:r w:rsidRPr="001E66B0">
        <w:rPr>
          <w:rFonts w:cstheme="minorHAnsi"/>
        </w:rPr>
        <w:t xml:space="preserve">Zhang, Y., D. D. Snow, D. Parker, Z. Zhou, and X. Li. 2013. “Intracellular and extracellular antimicrobial resistance genes in the sludge of livestock waste management structures.” </w:t>
      </w:r>
      <w:r w:rsidRPr="001E66B0">
        <w:rPr>
          <w:rFonts w:cstheme="minorHAnsi"/>
          <w:i/>
          <w:iCs/>
        </w:rPr>
        <w:t>Environ. Sci. Technol.</w:t>
      </w:r>
      <w:r w:rsidRPr="001E66B0">
        <w:rPr>
          <w:rFonts w:cstheme="minorHAnsi"/>
        </w:rPr>
        <w:t xml:space="preserve"> 47 (18): 10206–10213. https://doi.org/10.1021/es401964s.</w:t>
      </w:r>
    </w:p>
    <w:p w14:paraId="2F11065C" w14:textId="7BC2E669" w:rsidR="53F0BCD5" w:rsidRPr="001E66B0" w:rsidRDefault="53F0BCD5" w:rsidP="001E66B0">
      <w:pPr>
        <w:pStyle w:val="NoSpacing"/>
        <w:ind w:left="720" w:hanging="720"/>
        <w:rPr>
          <w:rFonts w:cstheme="minorHAnsi"/>
        </w:rPr>
      </w:pPr>
      <w:r w:rsidRPr="001E66B0">
        <w:rPr>
          <w:rFonts w:cstheme="minorHAnsi"/>
        </w:rPr>
        <w:t xml:space="preserve">Zhao, Z., K. Zhang, N. Wu, W. Li, W. Xu, Y. Zhang, and Z. </w:t>
      </w:r>
      <w:proofErr w:type="spellStart"/>
      <w:r w:rsidRPr="001E66B0">
        <w:rPr>
          <w:rFonts w:cstheme="minorHAnsi"/>
        </w:rPr>
        <w:t>Niu</w:t>
      </w:r>
      <w:proofErr w:type="spellEnd"/>
      <w:r w:rsidRPr="001E66B0">
        <w:rPr>
          <w:rFonts w:cstheme="minorHAnsi"/>
        </w:rPr>
        <w:t xml:space="preserve">. 2020. “Estuarine sediments are key hotspots of intracellular and extracellular antibiotic resistance genes: A high-throughput analysis in </w:t>
      </w:r>
      <w:proofErr w:type="spellStart"/>
      <w:r w:rsidRPr="001E66B0">
        <w:rPr>
          <w:rFonts w:cstheme="minorHAnsi"/>
        </w:rPr>
        <w:t>Haihe</w:t>
      </w:r>
      <w:proofErr w:type="spellEnd"/>
      <w:r w:rsidRPr="001E66B0">
        <w:rPr>
          <w:rFonts w:cstheme="minorHAnsi"/>
        </w:rPr>
        <w:t xml:space="preserve"> Estuary in China.” </w:t>
      </w:r>
      <w:r w:rsidRPr="001E66B0">
        <w:rPr>
          <w:rFonts w:cstheme="minorHAnsi"/>
          <w:i/>
          <w:iCs/>
        </w:rPr>
        <w:t>Environ. Int.</w:t>
      </w:r>
      <w:r w:rsidRPr="001E66B0">
        <w:rPr>
          <w:rFonts w:cstheme="minorHAnsi"/>
        </w:rPr>
        <w:t xml:space="preserve"> 135 (Feb): 105385. https://doi.org/10.1016/j.envint.2019.105385.</w:t>
      </w:r>
    </w:p>
    <w:p w14:paraId="03E708AD" w14:textId="5C2916CA" w:rsidR="53F0BCD5" w:rsidRPr="001E66B0" w:rsidRDefault="53F0BCD5" w:rsidP="001E66B0">
      <w:pPr>
        <w:pStyle w:val="NoSpacing"/>
        <w:ind w:left="720" w:hanging="720"/>
        <w:rPr>
          <w:rFonts w:cstheme="minorHAnsi"/>
        </w:rPr>
      </w:pPr>
      <w:r w:rsidRPr="001E66B0">
        <w:rPr>
          <w:rFonts w:cstheme="minorHAnsi"/>
        </w:rPr>
        <w:t xml:space="preserve">Zhou, S., Y. Zhu, Y. Yan, W. Wang, and Y. Wang. 2019. “Deciphering extracellular antibiotic resistance genes (eARGs) in activated sludge by metagenome.” </w:t>
      </w:r>
      <w:r w:rsidRPr="001E66B0">
        <w:rPr>
          <w:rFonts w:cstheme="minorHAnsi"/>
          <w:i/>
          <w:iCs/>
        </w:rPr>
        <w:t>Water Res.</w:t>
      </w:r>
      <w:r w:rsidRPr="001E66B0">
        <w:rPr>
          <w:rFonts w:cstheme="minorHAnsi"/>
        </w:rPr>
        <w:t xml:space="preserve"> 161 (Sep): 610–620. https://doi.org/10.1016/j.watres.2019.06.048.</w:t>
      </w:r>
    </w:p>
    <w:p w14:paraId="1A21D1D9" w14:textId="5607227E" w:rsidR="53F0BCD5" w:rsidRPr="001E66B0" w:rsidRDefault="53F0BCD5" w:rsidP="001E66B0">
      <w:pPr>
        <w:pStyle w:val="NoSpacing"/>
        <w:ind w:left="720" w:hanging="720"/>
        <w:rPr>
          <w:rFonts w:cstheme="minorHAnsi"/>
        </w:rPr>
      </w:pPr>
      <w:r w:rsidRPr="001E66B0">
        <w:rPr>
          <w:rFonts w:cstheme="minorHAnsi"/>
        </w:rPr>
        <w:t xml:space="preserve">Zhu, B. 2006. “Degradation of plasmid and plant DNA in water microcosms monitored by natural transformation and real-time polymerase chain reaction (PCR).” </w:t>
      </w:r>
      <w:r w:rsidRPr="001E66B0">
        <w:rPr>
          <w:rFonts w:cstheme="minorHAnsi"/>
          <w:i/>
          <w:iCs/>
        </w:rPr>
        <w:t>Water Res.</w:t>
      </w:r>
      <w:r w:rsidRPr="001E66B0">
        <w:rPr>
          <w:rFonts w:cstheme="minorHAnsi"/>
        </w:rPr>
        <w:t xml:space="preserve"> 40 (17): 3231–3238. https://doi.org/10.1016/j.watres.2006.06.040.</w:t>
      </w:r>
    </w:p>
    <w:p w14:paraId="5DDE27DA" w14:textId="4C9CDFEA" w:rsidR="53F0BCD5" w:rsidRPr="001E66B0" w:rsidRDefault="53F0BCD5" w:rsidP="001E66B0">
      <w:pPr>
        <w:pStyle w:val="NoSpacing"/>
        <w:ind w:left="720" w:hanging="720"/>
        <w:rPr>
          <w:rFonts w:cstheme="minorHAnsi"/>
        </w:rPr>
      </w:pPr>
    </w:p>
    <w:p w14:paraId="65D67F5A" w14:textId="130C0D90" w:rsidR="53F0BCD5" w:rsidRPr="001E66B0" w:rsidRDefault="53F0BCD5" w:rsidP="001E66B0">
      <w:pPr>
        <w:pStyle w:val="NoSpacing"/>
        <w:ind w:left="720" w:hanging="720"/>
        <w:rPr>
          <w:rFonts w:cstheme="minorHAnsi"/>
        </w:rPr>
      </w:pPr>
    </w:p>
    <w:p w14:paraId="3C4C9782" w14:textId="373C439B" w:rsidR="002C12EA" w:rsidRPr="001E66B0" w:rsidRDefault="002C12EA" w:rsidP="001E66B0">
      <w:pPr>
        <w:pStyle w:val="NoSpacing"/>
        <w:ind w:left="720" w:hanging="720"/>
        <w:rPr>
          <w:rFonts w:cstheme="minorHAnsi"/>
        </w:rPr>
      </w:pPr>
    </w:p>
    <w:p w14:paraId="72271E0B" w14:textId="61B879FD" w:rsidR="00663EFE" w:rsidRPr="001E66B0" w:rsidRDefault="00663EFE" w:rsidP="001E66B0">
      <w:pPr>
        <w:pStyle w:val="NoSpacing"/>
        <w:ind w:left="720" w:hanging="720"/>
        <w:rPr>
          <w:rFonts w:cstheme="minorHAnsi"/>
        </w:rPr>
      </w:pPr>
    </w:p>
    <w:p w14:paraId="7D2CD19F" w14:textId="77777777" w:rsidR="00663EFE" w:rsidRPr="001E66B0" w:rsidRDefault="00663EFE" w:rsidP="001E66B0">
      <w:pPr>
        <w:pStyle w:val="NoSpacing"/>
        <w:ind w:left="720" w:hanging="720"/>
        <w:rPr>
          <w:rFonts w:cstheme="minorHAnsi"/>
          <w:b/>
          <w:bCs/>
        </w:rPr>
      </w:pPr>
    </w:p>
    <w:sectPr w:rsidR="00663EFE" w:rsidRPr="001E66B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A7C64AD"/>
    <w:multiLevelType w:val="multilevel"/>
    <w:tmpl w:val="3CB41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ED23D00"/>
    <w:multiLevelType w:val="multilevel"/>
    <w:tmpl w:val="F878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0A008BE"/>
    <w:multiLevelType w:val="multilevel"/>
    <w:tmpl w:val="27F69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66667472">
    <w:abstractNumId w:val="29"/>
  </w:num>
  <w:num w:numId="2" w16cid:durableId="2008751102">
    <w:abstractNumId w:val="0"/>
  </w:num>
  <w:num w:numId="3" w16cid:durableId="537820202">
    <w:abstractNumId w:val="32"/>
  </w:num>
  <w:num w:numId="4" w16cid:durableId="541941107">
    <w:abstractNumId w:val="35"/>
  </w:num>
  <w:num w:numId="5" w16cid:durableId="887641562">
    <w:abstractNumId w:val="48"/>
  </w:num>
  <w:num w:numId="6" w16cid:durableId="910309324">
    <w:abstractNumId w:val="7"/>
  </w:num>
  <w:num w:numId="7" w16cid:durableId="1229652019">
    <w:abstractNumId w:val="22"/>
  </w:num>
  <w:num w:numId="8" w16cid:durableId="1670792998">
    <w:abstractNumId w:val="20"/>
  </w:num>
  <w:num w:numId="9" w16cid:durableId="581372645">
    <w:abstractNumId w:val="17"/>
  </w:num>
  <w:num w:numId="10" w16cid:durableId="86200454">
    <w:abstractNumId w:val="4"/>
  </w:num>
  <w:num w:numId="11" w16cid:durableId="570119739">
    <w:abstractNumId w:val="10"/>
  </w:num>
  <w:num w:numId="12" w16cid:durableId="678654692">
    <w:abstractNumId w:val="5"/>
  </w:num>
  <w:num w:numId="13" w16cid:durableId="1714846702">
    <w:abstractNumId w:val="25"/>
  </w:num>
  <w:num w:numId="14" w16cid:durableId="1104224207">
    <w:abstractNumId w:val="1"/>
  </w:num>
  <w:num w:numId="15" w16cid:durableId="399789646">
    <w:abstractNumId w:val="31"/>
  </w:num>
  <w:num w:numId="16" w16cid:durableId="860246151">
    <w:abstractNumId w:val="39"/>
  </w:num>
  <w:num w:numId="17" w16cid:durableId="1521621749">
    <w:abstractNumId w:val="47"/>
  </w:num>
  <w:num w:numId="18" w16cid:durableId="1275330806">
    <w:abstractNumId w:val="12"/>
  </w:num>
  <w:num w:numId="19" w16cid:durableId="630327654">
    <w:abstractNumId w:val="18"/>
  </w:num>
  <w:num w:numId="20" w16cid:durableId="668823708">
    <w:abstractNumId w:val="38"/>
  </w:num>
  <w:num w:numId="21" w16cid:durableId="1986008060">
    <w:abstractNumId w:val="9"/>
  </w:num>
  <w:num w:numId="22" w16cid:durableId="266350331">
    <w:abstractNumId w:val="27"/>
  </w:num>
  <w:num w:numId="23" w16cid:durableId="1249191048">
    <w:abstractNumId w:val="34"/>
  </w:num>
  <w:num w:numId="24" w16cid:durableId="871646999">
    <w:abstractNumId w:val="36"/>
  </w:num>
  <w:num w:numId="25" w16cid:durableId="1584754385">
    <w:abstractNumId w:val="6"/>
  </w:num>
  <w:num w:numId="26" w16cid:durableId="410086411">
    <w:abstractNumId w:val="37"/>
  </w:num>
  <w:num w:numId="27" w16cid:durableId="413821255">
    <w:abstractNumId w:val="21"/>
  </w:num>
  <w:num w:numId="28" w16cid:durableId="321156877">
    <w:abstractNumId w:val="19"/>
  </w:num>
  <w:num w:numId="29" w16cid:durableId="886449311">
    <w:abstractNumId w:val="11"/>
  </w:num>
  <w:num w:numId="30" w16cid:durableId="641886148">
    <w:abstractNumId w:val="2"/>
  </w:num>
  <w:num w:numId="31" w16cid:durableId="810512936">
    <w:abstractNumId w:val="46"/>
  </w:num>
  <w:num w:numId="32" w16cid:durableId="486631962">
    <w:abstractNumId w:val="40"/>
  </w:num>
  <w:num w:numId="33" w16cid:durableId="1738892741">
    <w:abstractNumId w:val="28"/>
  </w:num>
  <w:num w:numId="34" w16cid:durableId="1096368902">
    <w:abstractNumId w:val="26"/>
  </w:num>
  <w:num w:numId="35" w16cid:durableId="1516071448">
    <w:abstractNumId w:val="8"/>
  </w:num>
  <w:num w:numId="36" w16cid:durableId="501049220">
    <w:abstractNumId w:val="23"/>
  </w:num>
  <w:num w:numId="37" w16cid:durableId="1390958406">
    <w:abstractNumId w:val="41"/>
  </w:num>
  <w:num w:numId="38" w16cid:durableId="1321302541">
    <w:abstractNumId w:val="15"/>
  </w:num>
  <w:num w:numId="39" w16cid:durableId="1955207641">
    <w:abstractNumId w:val="3"/>
  </w:num>
  <w:num w:numId="40" w16cid:durableId="1209099756">
    <w:abstractNumId w:val="16"/>
  </w:num>
  <w:num w:numId="41" w16cid:durableId="2047362620">
    <w:abstractNumId w:val="13"/>
  </w:num>
  <w:num w:numId="42" w16cid:durableId="884563790">
    <w:abstractNumId w:val="43"/>
  </w:num>
  <w:num w:numId="43" w16cid:durableId="1816558220">
    <w:abstractNumId w:val="30"/>
  </w:num>
  <w:num w:numId="44" w16cid:durableId="1634017347">
    <w:abstractNumId w:val="45"/>
  </w:num>
  <w:num w:numId="45" w16cid:durableId="837961667">
    <w:abstractNumId w:val="33"/>
  </w:num>
  <w:num w:numId="46" w16cid:durableId="380441262">
    <w:abstractNumId w:val="14"/>
  </w:num>
  <w:num w:numId="47" w16cid:durableId="1317150363">
    <w:abstractNumId w:val="42"/>
  </w:num>
  <w:num w:numId="48" w16cid:durableId="1307979290">
    <w:abstractNumId w:val="24"/>
  </w:num>
  <w:num w:numId="49" w16cid:durableId="1778795356">
    <w:abstractNumId w:val="4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ee3qMimO6WFFwEyaK/qr7NoBjxel7km4bSpO25P+JcUNv30zuVpJlca4HNxQT86MQ+D3+Dtun5Kvo9URGONWWg==" w:salt="nj/lA/Nr3V4Pv/BUV1Ppk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0CFA"/>
    <w:rsid w:val="00013176"/>
    <w:rsid w:val="00014F38"/>
    <w:rsid w:val="00020194"/>
    <w:rsid w:val="000233C1"/>
    <w:rsid w:val="00024048"/>
    <w:rsid w:val="00024FA1"/>
    <w:rsid w:val="00026BC7"/>
    <w:rsid w:val="0003036D"/>
    <w:rsid w:val="00033868"/>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1AA3"/>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B70B4"/>
    <w:rsid w:val="000C0E5B"/>
    <w:rsid w:val="000C6BA7"/>
    <w:rsid w:val="000D05E4"/>
    <w:rsid w:val="000D3573"/>
    <w:rsid w:val="000D4F0B"/>
    <w:rsid w:val="000D6BF2"/>
    <w:rsid w:val="000E1EA1"/>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116"/>
    <w:rsid w:val="00187B68"/>
    <w:rsid w:val="00196C7C"/>
    <w:rsid w:val="001A17C1"/>
    <w:rsid w:val="001A1C71"/>
    <w:rsid w:val="001A1DF4"/>
    <w:rsid w:val="001A34C4"/>
    <w:rsid w:val="001B4185"/>
    <w:rsid w:val="001B6E76"/>
    <w:rsid w:val="001C3A3F"/>
    <w:rsid w:val="001C7AB5"/>
    <w:rsid w:val="001D1087"/>
    <w:rsid w:val="001D2448"/>
    <w:rsid w:val="001D2701"/>
    <w:rsid w:val="001D3ADE"/>
    <w:rsid w:val="001D3BC5"/>
    <w:rsid w:val="001D5333"/>
    <w:rsid w:val="001D58D3"/>
    <w:rsid w:val="001D776C"/>
    <w:rsid w:val="001D7BCC"/>
    <w:rsid w:val="001E18FE"/>
    <w:rsid w:val="001E30C9"/>
    <w:rsid w:val="001E66B0"/>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374E4"/>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97838"/>
    <w:rsid w:val="002A0668"/>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444"/>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25C21"/>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972D7"/>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17731"/>
    <w:rsid w:val="00420CFB"/>
    <w:rsid w:val="00421CBC"/>
    <w:rsid w:val="0042263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B7F"/>
    <w:rsid w:val="00475EFA"/>
    <w:rsid w:val="00476FD5"/>
    <w:rsid w:val="004801DF"/>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34E4"/>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05F4F"/>
    <w:rsid w:val="00510364"/>
    <w:rsid w:val="005116C9"/>
    <w:rsid w:val="00511BEE"/>
    <w:rsid w:val="00515CF0"/>
    <w:rsid w:val="005175E9"/>
    <w:rsid w:val="00520368"/>
    <w:rsid w:val="0052658A"/>
    <w:rsid w:val="00533270"/>
    <w:rsid w:val="00540146"/>
    <w:rsid w:val="0054190C"/>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E780E"/>
    <w:rsid w:val="005F0877"/>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1A2D"/>
    <w:rsid w:val="00645D2C"/>
    <w:rsid w:val="00650724"/>
    <w:rsid w:val="006517B5"/>
    <w:rsid w:val="00652076"/>
    <w:rsid w:val="00653DA3"/>
    <w:rsid w:val="00654D37"/>
    <w:rsid w:val="006621F0"/>
    <w:rsid w:val="00663EFE"/>
    <w:rsid w:val="006647E7"/>
    <w:rsid w:val="00666FD4"/>
    <w:rsid w:val="00667217"/>
    <w:rsid w:val="006702C6"/>
    <w:rsid w:val="00676597"/>
    <w:rsid w:val="006769E6"/>
    <w:rsid w:val="00676C63"/>
    <w:rsid w:val="00682333"/>
    <w:rsid w:val="006844CA"/>
    <w:rsid w:val="006871E0"/>
    <w:rsid w:val="00693B53"/>
    <w:rsid w:val="00695CAE"/>
    <w:rsid w:val="006965EF"/>
    <w:rsid w:val="00697377"/>
    <w:rsid w:val="006A0D31"/>
    <w:rsid w:val="006A1F61"/>
    <w:rsid w:val="006A533C"/>
    <w:rsid w:val="006A5E52"/>
    <w:rsid w:val="006A712D"/>
    <w:rsid w:val="006A7B71"/>
    <w:rsid w:val="006B20FD"/>
    <w:rsid w:val="006B3B2B"/>
    <w:rsid w:val="006C024E"/>
    <w:rsid w:val="006C7ED1"/>
    <w:rsid w:val="006D0B6D"/>
    <w:rsid w:val="006D2F9C"/>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E56"/>
    <w:rsid w:val="00781619"/>
    <w:rsid w:val="00782B7F"/>
    <w:rsid w:val="00785981"/>
    <w:rsid w:val="007911C4"/>
    <w:rsid w:val="0079146B"/>
    <w:rsid w:val="00791DD5"/>
    <w:rsid w:val="00792687"/>
    <w:rsid w:val="00796875"/>
    <w:rsid w:val="0079756E"/>
    <w:rsid w:val="007A1233"/>
    <w:rsid w:val="007A258F"/>
    <w:rsid w:val="007A3B3A"/>
    <w:rsid w:val="007A5403"/>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522C"/>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4A08"/>
    <w:rsid w:val="008A5762"/>
    <w:rsid w:val="008A6C51"/>
    <w:rsid w:val="008B0E24"/>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2CED"/>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5B58"/>
    <w:rsid w:val="00977C0E"/>
    <w:rsid w:val="00977F1D"/>
    <w:rsid w:val="00982217"/>
    <w:rsid w:val="00984B39"/>
    <w:rsid w:val="00986A83"/>
    <w:rsid w:val="00990645"/>
    <w:rsid w:val="00991EFB"/>
    <w:rsid w:val="00992080"/>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58F1"/>
    <w:rsid w:val="009D7432"/>
    <w:rsid w:val="009E2846"/>
    <w:rsid w:val="009E56AC"/>
    <w:rsid w:val="009E56AF"/>
    <w:rsid w:val="009E57F5"/>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493D"/>
    <w:rsid w:val="00AA75C5"/>
    <w:rsid w:val="00AB2F0A"/>
    <w:rsid w:val="00AB4807"/>
    <w:rsid w:val="00AB4813"/>
    <w:rsid w:val="00AC0052"/>
    <w:rsid w:val="00AC04D6"/>
    <w:rsid w:val="00AC785E"/>
    <w:rsid w:val="00AD0685"/>
    <w:rsid w:val="00AD38C1"/>
    <w:rsid w:val="00AD5A78"/>
    <w:rsid w:val="00AE1517"/>
    <w:rsid w:val="00AE34F1"/>
    <w:rsid w:val="00AE4078"/>
    <w:rsid w:val="00AE4230"/>
    <w:rsid w:val="00AE4F49"/>
    <w:rsid w:val="00AE6503"/>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224DB"/>
    <w:rsid w:val="00B30468"/>
    <w:rsid w:val="00B32160"/>
    <w:rsid w:val="00B32B07"/>
    <w:rsid w:val="00B336E9"/>
    <w:rsid w:val="00B336EC"/>
    <w:rsid w:val="00B3397D"/>
    <w:rsid w:val="00B3426B"/>
    <w:rsid w:val="00B34F7B"/>
    <w:rsid w:val="00B35999"/>
    <w:rsid w:val="00B40795"/>
    <w:rsid w:val="00B43487"/>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6645C"/>
    <w:rsid w:val="00C71035"/>
    <w:rsid w:val="00C742C3"/>
    <w:rsid w:val="00C75559"/>
    <w:rsid w:val="00C76D88"/>
    <w:rsid w:val="00C77735"/>
    <w:rsid w:val="00C7785D"/>
    <w:rsid w:val="00C77A26"/>
    <w:rsid w:val="00C81552"/>
    <w:rsid w:val="00C85BDD"/>
    <w:rsid w:val="00C86B81"/>
    <w:rsid w:val="00C91557"/>
    <w:rsid w:val="00C92F74"/>
    <w:rsid w:val="00C94255"/>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39D8"/>
    <w:rsid w:val="00D34A13"/>
    <w:rsid w:val="00D3640D"/>
    <w:rsid w:val="00D3682F"/>
    <w:rsid w:val="00D42AE0"/>
    <w:rsid w:val="00D43F4A"/>
    <w:rsid w:val="00D45330"/>
    <w:rsid w:val="00D45705"/>
    <w:rsid w:val="00D45A48"/>
    <w:rsid w:val="00D45A57"/>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1076"/>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11D6"/>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6551"/>
    <w:rsid w:val="00EB7F70"/>
    <w:rsid w:val="00EC4C2A"/>
    <w:rsid w:val="00EC6764"/>
    <w:rsid w:val="00EC726F"/>
    <w:rsid w:val="00EC7743"/>
    <w:rsid w:val="00EC7B8C"/>
    <w:rsid w:val="00ED2540"/>
    <w:rsid w:val="00ED48A6"/>
    <w:rsid w:val="00ED521A"/>
    <w:rsid w:val="00EE1F48"/>
    <w:rsid w:val="00EE3C5A"/>
    <w:rsid w:val="00EE4E0F"/>
    <w:rsid w:val="00EE504D"/>
    <w:rsid w:val="00EE53C7"/>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1B7"/>
    <w:rsid w:val="00F37720"/>
    <w:rsid w:val="00F4046D"/>
    <w:rsid w:val="00F40A6C"/>
    <w:rsid w:val="00F40E21"/>
    <w:rsid w:val="00F4263B"/>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485"/>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 w:val="018E6892"/>
    <w:rsid w:val="0BCC1D6F"/>
    <w:rsid w:val="170ED016"/>
    <w:rsid w:val="1CEF2C89"/>
    <w:rsid w:val="1E71D48D"/>
    <w:rsid w:val="21983A78"/>
    <w:rsid w:val="229D3842"/>
    <w:rsid w:val="247CD0A2"/>
    <w:rsid w:val="2652833E"/>
    <w:rsid w:val="275F6E8E"/>
    <w:rsid w:val="2E5D9523"/>
    <w:rsid w:val="32A22135"/>
    <w:rsid w:val="38047769"/>
    <w:rsid w:val="3A696B1B"/>
    <w:rsid w:val="3F80A43D"/>
    <w:rsid w:val="401776D4"/>
    <w:rsid w:val="443AED03"/>
    <w:rsid w:val="44541560"/>
    <w:rsid w:val="47728DC5"/>
    <w:rsid w:val="49278683"/>
    <w:rsid w:val="49E8F8BC"/>
    <w:rsid w:val="4DFAF7A6"/>
    <w:rsid w:val="4EBC69DF"/>
    <w:rsid w:val="4ED5923C"/>
    <w:rsid w:val="50583A40"/>
    <w:rsid w:val="53F0BCD5"/>
    <w:rsid w:val="57909F15"/>
    <w:rsid w:val="63BF2729"/>
    <w:rsid w:val="66359220"/>
    <w:rsid w:val="6646CCF7"/>
    <w:rsid w:val="673897AC"/>
    <w:rsid w:val="6A154050"/>
    <w:rsid w:val="6A2E68AD"/>
    <w:rsid w:val="7D59B78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7C1"/>
  </w:style>
  <w:style w:type="paragraph" w:styleId="Heading1">
    <w:name w:val="heading 1"/>
    <w:basedOn w:val="Normal"/>
    <w:next w:val="Normal"/>
    <w:link w:val="Heading1Char"/>
    <w:uiPriority w:val="9"/>
    <w:qFormat/>
    <w:rsid w:val="001A17C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7C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7C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7C1"/>
    <w:pPr>
      <w:keepNext/>
      <w:keepLines/>
      <w:spacing w:before="40" w:after="0"/>
      <w:outlineLvl w:val="3"/>
    </w:pPr>
    <w:rPr>
      <w:i/>
      <w:iCs/>
    </w:rPr>
  </w:style>
  <w:style w:type="paragraph" w:styleId="Heading5">
    <w:name w:val="heading 5"/>
    <w:basedOn w:val="Normal"/>
    <w:next w:val="Normal"/>
    <w:link w:val="Heading5Char"/>
    <w:uiPriority w:val="9"/>
    <w:unhideWhenUsed/>
    <w:qFormat/>
    <w:rsid w:val="001A17C1"/>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1A17C1"/>
    <w:pPr>
      <w:keepNext/>
      <w:keepLines/>
      <w:spacing w:before="40" w:after="0"/>
      <w:outlineLvl w:val="5"/>
    </w:pPr>
  </w:style>
  <w:style w:type="paragraph" w:styleId="Heading7">
    <w:name w:val="heading 7"/>
    <w:basedOn w:val="Normal"/>
    <w:next w:val="Normal"/>
    <w:link w:val="Heading7Char"/>
    <w:uiPriority w:val="9"/>
    <w:semiHidden/>
    <w:unhideWhenUsed/>
    <w:qFormat/>
    <w:rsid w:val="001A17C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7C1"/>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1A17C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7C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7C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7C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7C1"/>
    <w:rPr>
      <w:i/>
      <w:iCs/>
    </w:rPr>
  </w:style>
  <w:style w:type="character" w:customStyle="1" w:styleId="Heading5Char">
    <w:name w:val="Heading 5 Char"/>
    <w:basedOn w:val="DefaultParagraphFont"/>
    <w:link w:val="Heading5"/>
    <w:uiPriority w:val="9"/>
    <w:rsid w:val="001A17C1"/>
    <w:rPr>
      <w:color w:val="404040" w:themeColor="text1" w:themeTint="BF"/>
    </w:rPr>
  </w:style>
  <w:style w:type="character" w:customStyle="1" w:styleId="Heading6Char">
    <w:name w:val="Heading 6 Char"/>
    <w:basedOn w:val="DefaultParagraphFont"/>
    <w:link w:val="Heading6"/>
    <w:uiPriority w:val="9"/>
    <w:rsid w:val="001A17C1"/>
  </w:style>
  <w:style w:type="character" w:customStyle="1" w:styleId="Heading7Char">
    <w:name w:val="Heading 7 Char"/>
    <w:basedOn w:val="DefaultParagraphFont"/>
    <w:link w:val="Heading7"/>
    <w:uiPriority w:val="9"/>
    <w:semiHidden/>
    <w:rsid w:val="001A17C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7C1"/>
    <w:rPr>
      <w:color w:val="262626" w:themeColor="text1" w:themeTint="D9"/>
      <w:sz w:val="21"/>
      <w:szCs w:val="21"/>
    </w:rPr>
  </w:style>
  <w:style w:type="character" w:customStyle="1" w:styleId="Heading9Char">
    <w:name w:val="Heading 9 Char"/>
    <w:basedOn w:val="DefaultParagraphFont"/>
    <w:link w:val="Heading9"/>
    <w:uiPriority w:val="9"/>
    <w:semiHidden/>
    <w:rsid w:val="001A17C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7C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7C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7C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7C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7C1"/>
    <w:rPr>
      <w:color w:val="5A5A5A" w:themeColor="text1" w:themeTint="A5"/>
      <w:spacing w:val="15"/>
    </w:rPr>
  </w:style>
  <w:style w:type="character" w:styleId="Strong">
    <w:name w:val="Strong"/>
    <w:basedOn w:val="DefaultParagraphFont"/>
    <w:uiPriority w:val="22"/>
    <w:qFormat/>
    <w:rsid w:val="001A17C1"/>
    <w:rPr>
      <w:b/>
      <w:bCs/>
      <w:color w:val="auto"/>
    </w:rPr>
  </w:style>
  <w:style w:type="character" w:styleId="Emphasis">
    <w:name w:val="Emphasis"/>
    <w:basedOn w:val="DefaultParagraphFont"/>
    <w:uiPriority w:val="20"/>
    <w:qFormat/>
    <w:rsid w:val="001A17C1"/>
    <w:rPr>
      <w:i/>
      <w:iCs/>
      <w:color w:val="auto"/>
    </w:rPr>
  </w:style>
  <w:style w:type="paragraph" w:styleId="NoSpacing">
    <w:name w:val="No Spacing"/>
    <w:uiPriority w:val="1"/>
    <w:qFormat/>
    <w:rsid w:val="001A17C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7C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7C1"/>
    <w:rPr>
      <w:i/>
      <w:iCs/>
      <w:color w:val="404040" w:themeColor="text1" w:themeTint="BF"/>
    </w:rPr>
  </w:style>
  <w:style w:type="paragraph" w:styleId="IntenseQuote">
    <w:name w:val="Intense Quote"/>
    <w:basedOn w:val="Normal"/>
    <w:next w:val="Normal"/>
    <w:link w:val="IntenseQuoteChar"/>
    <w:uiPriority w:val="30"/>
    <w:qFormat/>
    <w:rsid w:val="001A17C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7C1"/>
    <w:rPr>
      <w:i/>
      <w:iCs/>
      <w:color w:val="404040" w:themeColor="text1" w:themeTint="BF"/>
    </w:rPr>
  </w:style>
  <w:style w:type="character" w:styleId="SubtleEmphasis">
    <w:name w:val="Subtle Emphasis"/>
    <w:basedOn w:val="DefaultParagraphFont"/>
    <w:uiPriority w:val="19"/>
    <w:qFormat/>
    <w:rsid w:val="001A17C1"/>
    <w:rPr>
      <w:i/>
      <w:iCs/>
      <w:color w:val="404040" w:themeColor="text1" w:themeTint="BF"/>
    </w:rPr>
  </w:style>
  <w:style w:type="character" w:styleId="IntenseEmphasis">
    <w:name w:val="Intense Emphasis"/>
    <w:basedOn w:val="DefaultParagraphFont"/>
    <w:uiPriority w:val="21"/>
    <w:qFormat/>
    <w:rsid w:val="001A17C1"/>
    <w:rPr>
      <w:b/>
      <w:bCs/>
      <w:i/>
      <w:iCs/>
      <w:color w:val="auto"/>
    </w:rPr>
  </w:style>
  <w:style w:type="character" w:styleId="SubtleReference">
    <w:name w:val="Subtle Reference"/>
    <w:basedOn w:val="DefaultParagraphFont"/>
    <w:uiPriority w:val="31"/>
    <w:qFormat/>
    <w:rsid w:val="001A17C1"/>
    <w:rPr>
      <w:smallCaps/>
      <w:color w:val="404040" w:themeColor="text1" w:themeTint="BF"/>
    </w:rPr>
  </w:style>
  <w:style w:type="character" w:styleId="IntenseReference">
    <w:name w:val="Intense Reference"/>
    <w:basedOn w:val="DefaultParagraphFont"/>
    <w:uiPriority w:val="32"/>
    <w:qFormat/>
    <w:rsid w:val="001A17C1"/>
    <w:rPr>
      <w:b/>
      <w:bCs/>
      <w:smallCaps/>
      <w:color w:val="404040" w:themeColor="text1" w:themeTint="BF"/>
      <w:spacing w:val="5"/>
    </w:rPr>
  </w:style>
  <w:style w:type="character" w:styleId="BookTitle">
    <w:name w:val="Book Title"/>
    <w:basedOn w:val="DefaultParagraphFont"/>
    <w:uiPriority w:val="33"/>
    <w:qFormat/>
    <w:rsid w:val="001A17C1"/>
    <w:rPr>
      <w:b/>
      <w:bCs/>
      <w:i/>
      <w:iCs/>
      <w:spacing w:val="5"/>
    </w:rPr>
  </w:style>
  <w:style w:type="paragraph" w:styleId="TOCHeading">
    <w:name w:val="TOC Heading"/>
    <w:basedOn w:val="Heading1"/>
    <w:next w:val="Normal"/>
    <w:uiPriority w:val="39"/>
    <w:semiHidden/>
    <w:unhideWhenUsed/>
    <w:qFormat/>
    <w:rsid w:val="001A17C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character" w:customStyle="1" w:styleId="head-d">
    <w:name w:val="head-d"/>
    <w:basedOn w:val="DefaultParagraphFont"/>
    <w:rsid w:val="00EE53C7"/>
  </w:style>
  <w:style w:type="character" w:customStyle="1" w:styleId="Title3">
    <w:name w:val="Title3"/>
    <w:basedOn w:val="DefaultParagraphFont"/>
    <w:rsid w:val="00EE53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442837">
      <w:bodyDiv w:val="1"/>
      <w:marLeft w:val="0"/>
      <w:marRight w:val="0"/>
      <w:marTop w:val="0"/>
      <w:marBottom w:val="0"/>
      <w:divBdr>
        <w:top w:val="none" w:sz="0" w:space="0" w:color="auto"/>
        <w:left w:val="none" w:sz="0" w:space="0" w:color="auto"/>
        <w:bottom w:val="none" w:sz="0" w:space="0" w:color="auto"/>
        <w:right w:val="none" w:sz="0" w:space="0" w:color="auto"/>
      </w:divBdr>
      <w:divsChild>
        <w:div w:id="163399358">
          <w:marLeft w:val="0"/>
          <w:marRight w:val="0"/>
          <w:marTop w:val="150"/>
          <w:marBottom w:val="225"/>
          <w:divBdr>
            <w:top w:val="none" w:sz="0" w:space="0" w:color="auto"/>
            <w:left w:val="none" w:sz="0" w:space="0" w:color="auto"/>
            <w:bottom w:val="none" w:sz="0" w:space="0" w:color="auto"/>
            <w:right w:val="none" w:sz="0" w:space="0" w:color="auto"/>
          </w:divBdr>
        </w:div>
        <w:div w:id="358049269">
          <w:marLeft w:val="0"/>
          <w:marRight w:val="0"/>
          <w:marTop w:val="150"/>
          <w:marBottom w:val="225"/>
          <w:divBdr>
            <w:top w:val="none" w:sz="0" w:space="0" w:color="auto"/>
            <w:left w:val="none" w:sz="0" w:space="0" w:color="auto"/>
            <w:bottom w:val="none" w:sz="0" w:space="0" w:color="auto"/>
            <w:right w:val="none" w:sz="0" w:space="0" w:color="auto"/>
          </w:divBdr>
        </w:div>
        <w:div w:id="164326055">
          <w:marLeft w:val="0"/>
          <w:marRight w:val="0"/>
          <w:marTop w:val="150"/>
          <w:marBottom w:val="225"/>
          <w:divBdr>
            <w:top w:val="none" w:sz="0" w:space="0" w:color="auto"/>
            <w:left w:val="none" w:sz="0" w:space="0" w:color="auto"/>
            <w:bottom w:val="none" w:sz="0" w:space="0" w:color="auto"/>
            <w:right w:val="none" w:sz="0" w:space="0" w:color="auto"/>
          </w:divBdr>
        </w:div>
        <w:div w:id="765079437">
          <w:marLeft w:val="0"/>
          <w:marRight w:val="0"/>
          <w:marTop w:val="0"/>
          <w:marBottom w:val="0"/>
          <w:divBdr>
            <w:top w:val="none" w:sz="0" w:space="0" w:color="auto"/>
            <w:left w:val="none" w:sz="0" w:space="0" w:color="auto"/>
            <w:bottom w:val="none" w:sz="0" w:space="0" w:color="auto"/>
            <w:right w:val="none" w:sz="0" w:space="0" w:color="auto"/>
          </w:divBdr>
        </w:div>
        <w:div w:id="1452283853">
          <w:marLeft w:val="0"/>
          <w:marRight w:val="0"/>
          <w:marTop w:val="0"/>
          <w:marBottom w:val="0"/>
          <w:divBdr>
            <w:top w:val="none" w:sz="0" w:space="0" w:color="auto"/>
            <w:left w:val="none" w:sz="0" w:space="0" w:color="auto"/>
            <w:bottom w:val="none" w:sz="0" w:space="0" w:color="auto"/>
            <w:right w:val="none" w:sz="0" w:space="0" w:color="auto"/>
          </w:divBdr>
        </w:div>
        <w:div w:id="1266962676">
          <w:marLeft w:val="0"/>
          <w:marRight w:val="0"/>
          <w:marTop w:val="0"/>
          <w:marBottom w:val="0"/>
          <w:divBdr>
            <w:top w:val="none" w:sz="0" w:space="0" w:color="auto"/>
            <w:left w:val="none" w:sz="0" w:space="0" w:color="auto"/>
            <w:bottom w:val="none" w:sz="0" w:space="0" w:color="auto"/>
            <w:right w:val="none" w:sz="0" w:space="0" w:color="auto"/>
          </w:divBdr>
          <w:divsChild>
            <w:div w:id="697700966">
              <w:marLeft w:val="0"/>
              <w:marRight w:val="0"/>
              <w:marTop w:val="0"/>
              <w:marBottom w:val="0"/>
              <w:divBdr>
                <w:top w:val="none" w:sz="0" w:space="0" w:color="auto"/>
                <w:left w:val="none" w:sz="0" w:space="0" w:color="auto"/>
                <w:bottom w:val="none" w:sz="0" w:space="0" w:color="auto"/>
                <w:right w:val="none" w:sz="0" w:space="0" w:color="auto"/>
              </w:divBdr>
            </w:div>
            <w:div w:id="1394618433">
              <w:marLeft w:val="0"/>
              <w:marRight w:val="0"/>
              <w:marTop w:val="0"/>
              <w:marBottom w:val="0"/>
              <w:divBdr>
                <w:top w:val="none" w:sz="0" w:space="0" w:color="auto"/>
                <w:left w:val="none" w:sz="0" w:space="0" w:color="auto"/>
                <w:bottom w:val="none" w:sz="0" w:space="0" w:color="auto"/>
                <w:right w:val="none" w:sz="0" w:space="0" w:color="auto"/>
              </w:divBdr>
              <w:divsChild>
                <w:div w:id="17331135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58175193">
          <w:marLeft w:val="0"/>
          <w:marRight w:val="0"/>
          <w:marTop w:val="0"/>
          <w:marBottom w:val="0"/>
          <w:divBdr>
            <w:top w:val="none" w:sz="0" w:space="0" w:color="auto"/>
            <w:left w:val="none" w:sz="0" w:space="0" w:color="auto"/>
            <w:bottom w:val="none" w:sz="0" w:space="0" w:color="auto"/>
            <w:right w:val="none" w:sz="0" w:space="0" w:color="auto"/>
          </w:divBdr>
        </w:div>
        <w:div w:id="493299709">
          <w:marLeft w:val="0"/>
          <w:marRight w:val="0"/>
          <w:marTop w:val="0"/>
          <w:marBottom w:val="0"/>
          <w:divBdr>
            <w:top w:val="none" w:sz="0" w:space="0" w:color="auto"/>
            <w:left w:val="none" w:sz="0" w:space="0" w:color="auto"/>
            <w:bottom w:val="none" w:sz="0" w:space="0" w:color="auto"/>
            <w:right w:val="none" w:sz="0" w:space="0" w:color="auto"/>
          </w:divBdr>
        </w:div>
        <w:div w:id="455948169">
          <w:marLeft w:val="0"/>
          <w:marRight w:val="0"/>
          <w:marTop w:val="0"/>
          <w:marBottom w:val="0"/>
          <w:divBdr>
            <w:top w:val="none" w:sz="0" w:space="0" w:color="auto"/>
            <w:left w:val="none" w:sz="0" w:space="0" w:color="auto"/>
            <w:bottom w:val="none" w:sz="0" w:space="0" w:color="auto"/>
            <w:right w:val="none" w:sz="0" w:space="0" w:color="auto"/>
          </w:divBdr>
        </w:div>
        <w:div w:id="550458188">
          <w:marLeft w:val="0"/>
          <w:marRight w:val="0"/>
          <w:marTop w:val="0"/>
          <w:marBottom w:val="0"/>
          <w:divBdr>
            <w:top w:val="none" w:sz="0" w:space="0" w:color="auto"/>
            <w:left w:val="none" w:sz="0" w:space="0" w:color="auto"/>
            <w:bottom w:val="none" w:sz="0" w:space="0" w:color="auto"/>
            <w:right w:val="none" w:sz="0" w:space="0" w:color="auto"/>
          </w:divBdr>
        </w:div>
        <w:div w:id="789133006">
          <w:marLeft w:val="0"/>
          <w:marRight w:val="0"/>
          <w:marTop w:val="0"/>
          <w:marBottom w:val="0"/>
          <w:divBdr>
            <w:top w:val="none" w:sz="0" w:space="0" w:color="auto"/>
            <w:left w:val="none" w:sz="0" w:space="0" w:color="auto"/>
            <w:bottom w:val="none" w:sz="0" w:space="0" w:color="auto"/>
            <w:right w:val="none" w:sz="0" w:space="0" w:color="auto"/>
          </w:divBdr>
        </w:div>
        <w:div w:id="215897344">
          <w:marLeft w:val="0"/>
          <w:marRight w:val="0"/>
          <w:marTop w:val="150"/>
          <w:marBottom w:val="225"/>
          <w:divBdr>
            <w:top w:val="none" w:sz="0" w:space="0" w:color="auto"/>
            <w:left w:val="none" w:sz="0" w:space="0" w:color="auto"/>
            <w:bottom w:val="none" w:sz="0" w:space="0" w:color="auto"/>
            <w:right w:val="none" w:sz="0" w:space="0" w:color="auto"/>
          </w:divBdr>
        </w:div>
        <w:div w:id="2005468642">
          <w:marLeft w:val="0"/>
          <w:marRight w:val="0"/>
          <w:marTop w:val="0"/>
          <w:marBottom w:val="0"/>
          <w:divBdr>
            <w:top w:val="none" w:sz="0" w:space="0" w:color="auto"/>
            <w:left w:val="none" w:sz="0" w:space="0" w:color="auto"/>
            <w:bottom w:val="none" w:sz="0" w:space="0" w:color="auto"/>
            <w:right w:val="none" w:sz="0" w:space="0" w:color="auto"/>
          </w:divBdr>
        </w:div>
        <w:div w:id="2083258529">
          <w:marLeft w:val="0"/>
          <w:marRight w:val="0"/>
          <w:marTop w:val="0"/>
          <w:marBottom w:val="0"/>
          <w:divBdr>
            <w:top w:val="none" w:sz="0" w:space="0" w:color="auto"/>
            <w:left w:val="none" w:sz="0" w:space="0" w:color="auto"/>
            <w:bottom w:val="none" w:sz="0" w:space="0" w:color="auto"/>
            <w:right w:val="none" w:sz="0" w:space="0" w:color="auto"/>
          </w:divBdr>
          <w:divsChild>
            <w:div w:id="720247080">
              <w:marLeft w:val="0"/>
              <w:marRight w:val="0"/>
              <w:marTop w:val="0"/>
              <w:marBottom w:val="0"/>
              <w:divBdr>
                <w:top w:val="none" w:sz="0" w:space="0" w:color="auto"/>
                <w:left w:val="none" w:sz="0" w:space="0" w:color="auto"/>
                <w:bottom w:val="none" w:sz="0" w:space="0" w:color="auto"/>
                <w:right w:val="none" w:sz="0" w:space="0" w:color="auto"/>
              </w:divBdr>
            </w:div>
            <w:div w:id="427311951">
              <w:marLeft w:val="0"/>
              <w:marRight w:val="0"/>
              <w:marTop w:val="0"/>
              <w:marBottom w:val="0"/>
              <w:divBdr>
                <w:top w:val="none" w:sz="0" w:space="0" w:color="auto"/>
                <w:left w:val="none" w:sz="0" w:space="0" w:color="auto"/>
                <w:bottom w:val="none" w:sz="0" w:space="0" w:color="auto"/>
                <w:right w:val="none" w:sz="0" w:space="0" w:color="auto"/>
              </w:divBdr>
            </w:div>
            <w:div w:id="1254515992">
              <w:marLeft w:val="0"/>
              <w:marRight w:val="0"/>
              <w:marTop w:val="0"/>
              <w:marBottom w:val="0"/>
              <w:divBdr>
                <w:top w:val="none" w:sz="0" w:space="0" w:color="auto"/>
                <w:left w:val="none" w:sz="0" w:space="0" w:color="auto"/>
                <w:bottom w:val="none" w:sz="0" w:space="0" w:color="auto"/>
                <w:right w:val="none" w:sz="0" w:space="0" w:color="auto"/>
              </w:divBdr>
            </w:div>
            <w:div w:id="1750300934">
              <w:marLeft w:val="0"/>
              <w:marRight w:val="0"/>
              <w:marTop w:val="0"/>
              <w:marBottom w:val="0"/>
              <w:divBdr>
                <w:top w:val="none" w:sz="0" w:space="0" w:color="auto"/>
                <w:left w:val="none" w:sz="0" w:space="0" w:color="auto"/>
                <w:bottom w:val="none" w:sz="0" w:space="0" w:color="auto"/>
                <w:right w:val="none" w:sz="0" w:space="0" w:color="auto"/>
              </w:divBdr>
            </w:div>
            <w:div w:id="551219">
              <w:marLeft w:val="0"/>
              <w:marRight w:val="0"/>
              <w:marTop w:val="0"/>
              <w:marBottom w:val="0"/>
              <w:divBdr>
                <w:top w:val="none" w:sz="0" w:space="0" w:color="auto"/>
                <w:left w:val="none" w:sz="0" w:space="0" w:color="auto"/>
                <w:bottom w:val="none" w:sz="0" w:space="0" w:color="auto"/>
                <w:right w:val="none" w:sz="0" w:space="0" w:color="auto"/>
              </w:divBdr>
            </w:div>
          </w:divsChild>
        </w:div>
        <w:div w:id="727532500">
          <w:marLeft w:val="0"/>
          <w:marRight w:val="0"/>
          <w:marTop w:val="0"/>
          <w:marBottom w:val="0"/>
          <w:divBdr>
            <w:top w:val="none" w:sz="0" w:space="0" w:color="auto"/>
            <w:left w:val="none" w:sz="0" w:space="0" w:color="auto"/>
            <w:bottom w:val="none" w:sz="0" w:space="0" w:color="auto"/>
            <w:right w:val="none" w:sz="0" w:space="0" w:color="auto"/>
          </w:divBdr>
        </w:div>
        <w:div w:id="627860405">
          <w:marLeft w:val="0"/>
          <w:marRight w:val="0"/>
          <w:marTop w:val="150"/>
          <w:marBottom w:val="225"/>
          <w:divBdr>
            <w:top w:val="none" w:sz="0" w:space="0" w:color="auto"/>
            <w:left w:val="none" w:sz="0" w:space="0" w:color="auto"/>
            <w:bottom w:val="none" w:sz="0" w:space="0" w:color="auto"/>
            <w:right w:val="none" w:sz="0" w:space="0" w:color="auto"/>
          </w:divBdr>
        </w:div>
        <w:div w:id="789085754">
          <w:marLeft w:val="0"/>
          <w:marRight w:val="0"/>
          <w:marTop w:val="150"/>
          <w:marBottom w:val="225"/>
          <w:divBdr>
            <w:top w:val="none" w:sz="0" w:space="0" w:color="auto"/>
            <w:left w:val="none" w:sz="0" w:space="0" w:color="auto"/>
            <w:bottom w:val="none" w:sz="0" w:space="0" w:color="auto"/>
            <w:right w:val="none" w:sz="0" w:space="0" w:color="auto"/>
          </w:divBdr>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5748721">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1/(ASCE)EE.1943-7870.0001993"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15</Pages>
  <Words>8636</Words>
  <Characters>49227</Characters>
  <Application>Microsoft Office Word</Application>
  <DocSecurity>8</DocSecurity>
  <Lines>410</Lines>
  <Paragraphs>115</Paragraphs>
  <ScaleCrop>false</ScaleCrop>
  <Company/>
  <LinksUpToDate>false</LinksUpToDate>
  <CharactersWithSpaces>57748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58</cp:revision>
  <dcterms:created xsi:type="dcterms:W3CDTF">2022-03-17T14:31:00Z</dcterms:created>
  <dcterms:modified xsi:type="dcterms:W3CDTF">2022-05-16T15:51:00Z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