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D94E5A1" w:rsidR="000A7622" w:rsidRPr="00C04F25" w:rsidRDefault="00E04A0D" w:rsidP="00D14423">
      <w:pPr>
        <w:autoSpaceDE w:val="0"/>
        <w:autoSpaceDN w:val="0"/>
        <w:adjustRightInd w:val="0"/>
        <w:rPr>
          <w:rFonts w:cstheme="minorHAnsi"/>
          <w:b/>
          <w:bCs/>
          <w:i/>
          <w:iCs/>
          <w:sz w:val="32"/>
          <w:szCs w:val="32"/>
        </w:rPr>
      </w:pPr>
      <w:r>
        <w:rPr>
          <w:rFonts w:cstheme="minorHAnsi"/>
          <w:b/>
          <w:bCs/>
          <w:i/>
          <w:iCs/>
          <w:sz w:val="32"/>
          <w:szCs w:val="32"/>
        </w:rPr>
        <w:t>Social and Cultural Sciences</w:t>
      </w:r>
      <w:r w:rsidR="00622EAC">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622EAC">
        <w:rPr>
          <w:rFonts w:cstheme="minorHAnsi"/>
          <w:b/>
          <w:bCs/>
          <w:i/>
          <w:iCs/>
          <w:sz w:val="32"/>
          <w:szCs w:val="32"/>
        </w:rPr>
        <w:t xml:space="preserve">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78D41D8" w:rsidR="000A7622" w:rsidRPr="00C04F25" w:rsidRDefault="00AA453A" w:rsidP="00D14423">
      <w:pPr>
        <w:rPr>
          <w:rFonts w:cstheme="minorHAnsi"/>
          <w:sz w:val="24"/>
          <w:szCs w:val="24"/>
        </w:rPr>
      </w:pPr>
      <w:r>
        <w:rPr>
          <w:rFonts w:cstheme="minorHAnsi"/>
          <w:i/>
          <w:sz w:val="24"/>
          <w:szCs w:val="24"/>
          <w:lang w:val="fr-FR"/>
        </w:rPr>
        <w:t xml:space="preserve">Violence and </w:t>
      </w:r>
      <w:proofErr w:type="spellStart"/>
      <w:r>
        <w:rPr>
          <w:rFonts w:cstheme="minorHAnsi"/>
          <w:i/>
          <w:sz w:val="24"/>
          <w:szCs w:val="24"/>
          <w:lang w:val="fr-FR"/>
        </w:rPr>
        <w:t>Victims</w:t>
      </w:r>
      <w:proofErr w:type="spellEnd"/>
      <w:r>
        <w:rPr>
          <w:rFonts w:cstheme="minorHAnsi"/>
          <w:i/>
          <w:sz w:val="24"/>
          <w:szCs w:val="24"/>
          <w:lang w:val="fr-FR"/>
        </w:rPr>
        <w:t xml:space="preserve">, </w:t>
      </w:r>
      <w:r w:rsidR="000A7622" w:rsidRPr="00C04F25">
        <w:rPr>
          <w:rFonts w:cstheme="minorHAnsi"/>
          <w:sz w:val="24"/>
          <w:szCs w:val="24"/>
          <w:lang w:val="fr-FR"/>
        </w:rPr>
        <w:t xml:space="preserve">Vol. </w:t>
      </w:r>
      <w:r>
        <w:rPr>
          <w:rFonts w:cstheme="minorHAnsi"/>
          <w:sz w:val="24"/>
          <w:szCs w:val="24"/>
          <w:lang w:val="fr-FR"/>
        </w:rPr>
        <w:t>31</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2016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622EAC">
        <w:rPr>
          <w:rFonts w:cstheme="minorHAnsi"/>
          <w:sz w:val="24"/>
          <w:szCs w:val="24"/>
          <w:lang w:val="fr-FR"/>
        </w:rPr>
        <w:t>111-12320</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22EAC">
        <w:rPr>
          <w:rFonts w:cstheme="minorHAnsi"/>
          <w:sz w:val="24"/>
          <w:szCs w:val="24"/>
        </w:rPr>
        <w:t xml:space="preserve">Springer </w:t>
      </w:r>
      <w:r w:rsidR="000A7622" w:rsidRPr="00C04F25">
        <w:rPr>
          <w:rFonts w:cstheme="minorHAnsi"/>
          <w:sz w:val="24"/>
          <w:szCs w:val="24"/>
        </w:rPr>
        <w:t xml:space="preserve">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22EAC">
        <w:rPr>
          <w:rFonts w:cstheme="minorHAnsi"/>
          <w:sz w:val="24"/>
          <w:szCs w:val="24"/>
        </w:rPr>
        <w:t xml:space="preserve">Springer </w:t>
      </w:r>
      <w:r w:rsidR="000A7622" w:rsidRPr="00C04F25">
        <w:rPr>
          <w:rFonts w:cstheme="minorHAnsi"/>
          <w:sz w:val="24"/>
          <w:szCs w:val="24"/>
        </w:rPr>
        <w:t xml:space="preserve">does not grant permission for this article to be further copied/distributed or hosted elsewhere without the express permission from </w:t>
      </w:r>
      <w:r w:rsidR="00622EAC">
        <w:rPr>
          <w:rFonts w:cstheme="minorHAnsi"/>
          <w:sz w:val="24"/>
          <w:szCs w:val="24"/>
        </w:rPr>
        <w:t>Springer</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7471B7CF" w:rsidR="00414591" w:rsidRDefault="00101E73" w:rsidP="00101E73">
      <w:pPr>
        <w:pStyle w:val="Title"/>
      </w:pPr>
      <w:r w:rsidRPr="00101E73">
        <w:t>Alcohol Outlet Density and Intimate Partner Violence in a Nonmetropolitan College Town: Accounting for Neighborhood Characteristics and Alcohol Outlet Types</w:t>
      </w:r>
    </w:p>
    <w:p w14:paraId="49A56474" w14:textId="6EEAEDCE" w:rsidR="00101E73" w:rsidRDefault="00101E73" w:rsidP="00101E73">
      <w:pPr>
        <w:pStyle w:val="Heading1"/>
      </w:pPr>
      <w:r>
        <w:t>Aleksandra J. Snowden, PhD</w:t>
      </w:r>
    </w:p>
    <w:p w14:paraId="45B1E694" w14:textId="4B4B5526" w:rsidR="00101E73" w:rsidRDefault="004D7615" w:rsidP="00101E73">
      <w:r>
        <w:t xml:space="preserve">Department of Social and Cultural Sciences, </w:t>
      </w:r>
      <w:r w:rsidR="00C949CD">
        <w:t>U</w:t>
      </w:r>
      <w:r w:rsidR="00C949CD" w:rsidRPr="00C949CD">
        <w:t>niversity of Wisconsin</w:t>
      </w:r>
      <w:r w:rsidR="00754400">
        <w:t>,</w:t>
      </w:r>
      <w:r w:rsidR="00C949CD" w:rsidRPr="00C949CD">
        <w:t xml:space="preserve"> Milwaukee</w:t>
      </w:r>
      <w:r w:rsidR="00754400">
        <w:t>, Milwaukee, WI</w:t>
      </w:r>
    </w:p>
    <w:p w14:paraId="4A1429DF" w14:textId="77777777" w:rsidR="004D7615" w:rsidRPr="004D7615" w:rsidRDefault="004D7615" w:rsidP="004D7615">
      <w:pPr>
        <w:pStyle w:val="Heading1"/>
      </w:pPr>
      <w:r w:rsidRPr="004D7615">
        <w:t>Abstract</w:t>
      </w:r>
    </w:p>
    <w:p w14:paraId="02973ACA" w14:textId="77777777" w:rsidR="004D7615" w:rsidRPr="004D7615" w:rsidRDefault="004D7615" w:rsidP="004D7615">
      <w:r w:rsidRPr="004D7615">
        <w:t xml:space="preserve">There is </w:t>
      </w:r>
      <w:proofErr w:type="gramStart"/>
      <w:r w:rsidRPr="004D7615">
        <w:t>a growing evidence of an ecological association</w:t>
      </w:r>
      <w:proofErr w:type="gramEnd"/>
      <w:r w:rsidRPr="004D7615">
        <w:t xml:space="preserve"> between alcohol outlet density and intimate partner violence. It is reasonable to assume, however, that not all types of alcohol outlets contribute equally to criminal behavior, and to date, most ecological studies have been of large urban cities. Using Bloomington, Indiana, block groups as units of analysis and controlling for several structural characteristics associated with violence rates, I estimated spatially lagged regression models to determine if the variation in alcohol outlet density, including total outlets and disaggregating by on- and off-</w:t>
      </w:r>
      <w:proofErr w:type="gramStart"/>
      <w:r w:rsidRPr="004D7615">
        <w:t>premise</w:t>
      </w:r>
      <w:proofErr w:type="gramEnd"/>
      <w:r w:rsidRPr="004D7615">
        <w:t xml:space="preserve"> outlets, is related to intimate partner violence density. Results suggested that total alcohol outlet density and off-</w:t>
      </w:r>
      <w:proofErr w:type="gramStart"/>
      <w:r w:rsidRPr="004D7615">
        <w:t>premise</w:t>
      </w:r>
      <w:proofErr w:type="gramEnd"/>
      <w:r w:rsidRPr="004D7615">
        <w:t xml:space="preserve"> alcohol outlet density were significantly associated with intimate partner violence density. </w:t>
      </w:r>
      <w:proofErr w:type="gramStart"/>
      <w:r w:rsidRPr="004D7615">
        <w:t>On-premise</w:t>
      </w:r>
      <w:proofErr w:type="gramEnd"/>
      <w:r w:rsidRPr="004D7615">
        <w:t xml:space="preserve"> alcohol outlet density was not significantly </w:t>
      </w:r>
      <w:r w:rsidRPr="004D7615">
        <w:lastRenderedPageBreak/>
        <w:t>associated with intimate partner violence density. These results not only extend the geographic scope of this relationship beyond large metropolitan areas but also have important policy implications.</w:t>
      </w:r>
    </w:p>
    <w:p w14:paraId="7EB704A3" w14:textId="0B5FE78A" w:rsidR="004D7615" w:rsidRPr="004D7615" w:rsidRDefault="004D7615" w:rsidP="004D7615">
      <w:r w:rsidRPr="004D7615">
        <w:t>Intimate partner violence is a universal public health problem that affects individuals all over the world (</w:t>
      </w:r>
      <w:r w:rsidRPr="004D7615">
        <w:rPr>
          <w:b/>
          <w:bCs/>
        </w:rPr>
        <w:t xml:space="preserve">Kuhns, Exum, </w:t>
      </w:r>
      <w:proofErr w:type="spellStart"/>
      <w:r w:rsidRPr="004D7615">
        <w:rPr>
          <w:b/>
          <w:bCs/>
        </w:rPr>
        <w:t>Clodfelter</w:t>
      </w:r>
      <w:proofErr w:type="spellEnd"/>
      <w:r w:rsidRPr="004D7615">
        <w:rPr>
          <w:b/>
          <w:bCs/>
        </w:rPr>
        <w:t xml:space="preserve">, &amp; </w:t>
      </w:r>
      <w:proofErr w:type="spellStart"/>
      <w:r w:rsidRPr="004D7615">
        <w:rPr>
          <w:b/>
          <w:bCs/>
        </w:rPr>
        <w:t>Bottia</w:t>
      </w:r>
      <w:proofErr w:type="spellEnd"/>
      <w:r w:rsidRPr="004D7615">
        <w:rPr>
          <w:b/>
          <w:bCs/>
        </w:rPr>
        <w:t>, 2013</w:t>
      </w:r>
      <w:r w:rsidRPr="004D7615">
        <w:t>). Between 15% and 70% of interviewed females from 10 countries reported experiencing sexual or physical violence by an intimate partner in their lifetime (</w:t>
      </w:r>
      <w:r w:rsidRPr="004D7615">
        <w:rPr>
          <w:b/>
          <w:bCs/>
        </w:rPr>
        <w:t>García-Moreno, Jansen, Watts, Ellsberg, &amp; Heise, 2005</w:t>
      </w:r>
      <w:r w:rsidRPr="004D7615">
        <w:t>). Victims of intimate partner violence tend to report poor health, injury, and depression and to develop chronic health conditions (</w:t>
      </w:r>
      <w:r w:rsidRPr="004D7615">
        <w:rPr>
          <w:b/>
          <w:bCs/>
        </w:rPr>
        <w:t>Coker et al., 2002</w:t>
      </w:r>
      <w:r w:rsidRPr="004D7615">
        <w:t xml:space="preserve">). Sexually and physically abused females have significantly more </w:t>
      </w:r>
      <w:proofErr w:type="gramStart"/>
      <w:r w:rsidRPr="004D7615">
        <w:t>health related</w:t>
      </w:r>
      <w:proofErr w:type="gramEnd"/>
      <w:r w:rsidRPr="004D7615">
        <w:t xml:space="preserve"> problems, including gynecological and stress-related problems, relative to females who were never abused (</w:t>
      </w:r>
      <w:r w:rsidRPr="004D7615">
        <w:rPr>
          <w:b/>
          <w:bCs/>
        </w:rPr>
        <w:t>Campbell et al., 2002</w:t>
      </w:r>
      <w:r w:rsidRPr="004D7615">
        <w:t>). Intimate partner violence also is a serious problem in the United States, where nearly one in four surveyed females reported experiencing sexual or physical violence in their lifetime, which was three times higher than males in the survey (</w:t>
      </w:r>
      <w:r w:rsidRPr="004D7615">
        <w:rPr>
          <w:b/>
          <w:bCs/>
        </w:rPr>
        <w:t>Tjaden &amp; Thoennes, 2000</w:t>
      </w:r>
      <w:r w:rsidRPr="004D7615">
        <w:t>). Intimate partner violence seems to disproportionately affect African American females, relative to White or Hispanic females. </w:t>
      </w:r>
      <w:r w:rsidRPr="004D7615">
        <w:rPr>
          <w:b/>
          <w:bCs/>
        </w:rPr>
        <w:t xml:space="preserve">Caetano, Schafer, and </w:t>
      </w:r>
      <w:proofErr w:type="spellStart"/>
      <w:r w:rsidRPr="004D7615">
        <w:rPr>
          <w:b/>
          <w:bCs/>
        </w:rPr>
        <w:t>Cunradi</w:t>
      </w:r>
      <w:proofErr w:type="spellEnd"/>
      <w:r w:rsidRPr="004D7615">
        <w:rPr>
          <w:b/>
          <w:bCs/>
        </w:rPr>
        <w:t xml:space="preserve"> (2001)</w:t>
      </w:r>
      <w:r w:rsidRPr="004D7615">
        <w:t> reported that 23% of African American couples reported an instance of male-on-female partner violence in the preceding 12 months, whereas the rate was 17% for Hispanic couples and 12% for White couples. In addition, 30% of African American couples reported instances of female-on-male violence in the preceding 12 months; the rate was 21% for Hispanic couples and 15% for White couples (</w:t>
      </w:r>
      <w:r w:rsidRPr="004D7615">
        <w:rPr>
          <w:b/>
          <w:bCs/>
        </w:rPr>
        <w:t xml:space="preserve">Caetano, Schafer, &amp; </w:t>
      </w:r>
      <w:proofErr w:type="spellStart"/>
      <w:r w:rsidRPr="004D7615">
        <w:rPr>
          <w:b/>
          <w:bCs/>
        </w:rPr>
        <w:t>Cunradi</w:t>
      </w:r>
      <w:proofErr w:type="spellEnd"/>
      <w:r w:rsidRPr="004D7615">
        <w:rPr>
          <w:b/>
          <w:bCs/>
        </w:rPr>
        <w:t>, 2001</w:t>
      </w:r>
      <w:r w:rsidRPr="004D7615">
        <w:t>).</w:t>
      </w:r>
    </w:p>
    <w:p w14:paraId="4E39D654" w14:textId="5CA0EC55" w:rsidR="004D7615" w:rsidRPr="004D7615" w:rsidRDefault="004D7615" w:rsidP="004D7615">
      <w:r w:rsidRPr="004D7615">
        <w:t>Understanding and properly identifying the correlates and causes of intimate partner violence is especially challenging because of many influences that play a role in such a complex phenomenon. For example, alcohol consumption can encourage intimate partner violence by disrupting normal brain function and weakening brain mechanisms that control impulsive behaviors (</w:t>
      </w:r>
      <w:r w:rsidRPr="004D7615">
        <w:rPr>
          <w:b/>
          <w:bCs/>
        </w:rPr>
        <w:t>Gustafson, 1994</w:t>
      </w:r>
      <w:r w:rsidRPr="004D7615">
        <w:t>). In addition, alcohol consumption impairs information processing, so that individuals under the influence of alcohol are likely to misinterpret the social cues and overreact in their violent response (</w:t>
      </w:r>
      <w:r w:rsidRPr="004D7615">
        <w:rPr>
          <w:b/>
          <w:bCs/>
        </w:rPr>
        <w:t>Clements &amp; Schumacher, 2010</w:t>
      </w:r>
      <w:r w:rsidRPr="004D7615">
        <w:t>). Indeed, </w:t>
      </w:r>
      <w:r w:rsidRPr="004D7615">
        <w:rPr>
          <w:b/>
          <w:bCs/>
        </w:rPr>
        <w:t>Leonard (2005)</w:t>
      </w:r>
      <w:r w:rsidRPr="004D7615">
        <w:t> argues that what we already know from the empirical evidence allows us to conclude that heavy alcohol consumption is a contributing cause of violence in some people under some circumstances. For example, </w:t>
      </w:r>
      <w:r w:rsidRPr="004D7615">
        <w:rPr>
          <w:b/>
          <w:bCs/>
        </w:rPr>
        <w:t>Coker et al. (2002)</w:t>
      </w:r>
      <w:r w:rsidRPr="004D7615">
        <w:t> found that reporting intimate partner violence by both genders was associated with partner’s use of alcohol and with self-reported heavy alcohol use. In addition, </w:t>
      </w:r>
      <w:r w:rsidRPr="004D7615">
        <w:rPr>
          <w:b/>
          <w:bCs/>
        </w:rPr>
        <w:t>Coker, Smith, McKeown, and King (2000)</w:t>
      </w:r>
      <w:r w:rsidRPr="004D7615">
        <w:t> found that independent of levels of female’s substance use, use of alcohol by males was significantly associated with different types of intimate partner violence (i.e., physical assault, sexual assault, battering, and perceived emotional abuse), most likely because social norms promote heavier drinking among males than females (</w:t>
      </w:r>
      <w:r w:rsidRPr="004D7615">
        <w:rPr>
          <w:b/>
          <w:bCs/>
        </w:rPr>
        <w:t xml:space="preserve">Neighbors, Lee, Lewis, </w:t>
      </w:r>
      <w:proofErr w:type="spellStart"/>
      <w:r w:rsidRPr="004D7615">
        <w:rPr>
          <w:b/>
          <w:bCs/>
        </w:rPr>
        <w:t>Fossos</w:t>
      </w:r>
      <w:proofErr w:type="spellEnd"/>
      <w:r w:rsidRPr="004D7615">
        <w:rPr>
          <w:b/>
          <w:bCs/>
        </w:rPr>
        <w:t>, &amp; Larimer, 2007</w:t>
      </w:r>
      <w:r w:rsidRPr="004D7615">
        <w:t>; </w:t>
      </w:r>
      <w:r w:rsidRPr="004D7615">
        <w:rPr>
          <w:b/>
          <w:bCs/>
        </w:rPr>
        <w:t>Wechsler, Davenport, Dowdall, Moeykens, &amp; Castillo, 1994</w:t>
      </w:r>
      <w:r w:rsidRPr="004D7615">
        <w:t>). In addition, male-on-female partner violence was especially higher among males who reported drinking five or more drinks per occasion at least once per week, relative to males who reported abstaining from drinking (</w:t>
      </w:r>
      <w:r w:rsidRPr="004D7615">
        <w:rPr>
          <w:b/>
          <w:bCs/>
        </w:rPr>
        <w:t>Caetano et al., 2001</w:t>
      </w:r>
      <w:r w:rsidRPr="004D7615">
        <w:t>). Regardless of gender, heavy drinkers have increased risk for mutual intimate partner violence relative to abstainers (</w:t>
      </w:r>
      <w:proofErr w:type="spellStart"/>
      <w:r w:rsidRPr="004D7615">
        <w:rPr>
          <w:b/>
          <w:bCs/>
        </w:rPr>
        <w:t>Cunradi</w:t>
      </w:r>
      <w:proofErr w:type="spellEnd"/>
      <w:r w:rsidRPr="004D7615">
        <w:rPr>
          <w:b/>
          <w:bCs/>
        </w:rPr>
        <w:t>, 2007</w:t>
      </w:r>
      <w:r w:rsidRPr="004D7615">
        <w:t>). </w:t>
      </w:r>
      <w:r w:rsidRPr="004D7615">
        <w:rPr>
          <w:b/>
          <w:bCs/>
        </w:rPr>
        <w:t>Waller and colleagues (2012)</w:t>
      </w:r>
      <w:r w:rsidRPr="004D7615">
        <w:t> confirmed that frequent heavy female and frequent heavy male drinkers are at a greater risk for experiencing intimate partner violence relative to abstainers (</w:t>
      </w:r>
      <w:r w:rsidRPr="004D7615">
        <w:rPr>
          <w:b/>
          <w:bCs/>
        </w:rPr>
        <w:t>Waller et al., 2012</w:t>
      </w:r>
      <w:r w:rsidRPr="004D7615">
        <w:t>). Although these individual and contextual characteristics are important, structural level characteristics (e.g., neighborhood characteristics) may also play a role in rates of intimate partner violence and have been examined less often in the empirical literature.</w:t>
      </w:r>
    </w:p>
    <w:p w14:paraId="1BE041B0" w14:textId="0EC23FF0" w:rsidR="004D7615" w:rsidRPr="004D7615" w:rsidRDefault="004D7615" w:rsidP="004D7615">
      <w:r w:rsidRPr="004D7615">
        <w:t>There are a few theoretical reasons why alcohol availability might be related to area of intimate partner violence. First, it could be that the alcohol and intimate partner violence association is caused by the routine activities of individuals who consume alcohol, or the convergence in time and space of motivated offenders and suitable targets in the absence of capable guardians (</w:t>
      </w:r>
      <w:r w:rsidRPr="004D7615">
        <w:rPr>
          <w:b/>
          <w:bCs/>
        </w:rPr>
        <w:t>Cohen &amp; Felson, 1979</w:t>
      </w:r>
      <w:r w:rsidRPr="004D7615">
        <w:t xml:space="preserve">). In the context of intimate partner violence, the suitable target may be one of the intimate partners who may be vulnerable after consuming alcoholic beverages. In addition, the motivated offender may be the other partner who may see an opportunity </w:t>
      </w:r>
      <w:r w:rsidRPr="004D7615">
        <w:lastRenderedPageBreak/>
        <w:t xml:space="preserve">for victimization, especially because a capable guardian is typically absent </w:t>
      </w:r>
      <w:proofErr w:type="gramStart"/>
      <w:r w:rsidRPr="004D7615">
        <w:t>in the course of</w:t>
      </w:r>
      <w:proofErr w:type="gramEnd"/>
      <w:r w:rsidRPr="004D7615">
        <w:t xml:space="preserve"> domestic altercations that occur in the privacy of one’s home. Second, as </w:t>
      </w:r>
      <w:proofErr w:type="spellStart"/>
      <w:r w:rsidRPr="004D7615">
        <w:rPr>
          <w:b/>
          <w:bCs/>
        </w:rPr>
        <w:t>Stockwell</w:t>
      </w:r>
      <w:proofErr w:type="spellEnd"/>
      <w:r w:rsidRPr="004D7615">
        <w:rPr>
          <w:b/>
          <w:bCs/>
        </w:rPr>
        <w:t xml:space="preserve"> and Gruenewald’s (2001)</w:t>
      </w:r>
      <w:r w:rsidRPr="004D7615">
        <w:t> availability theory suggests, increases in the physical availability of alcohol in an area influences consumption of alcohol at the individual level. Indeed, alcohol outlet density, as a potentially important neighborhood characteristic that may be associated with local rates of intimate partner violence, has been receiving increasing attention in the intimate partner violence literature. For example, controlling for several multilevel sociodemographic variables, </w:t>
      </w:r>
      <w:r w:rsidRPr="004D7615">
        <w:rPr>
          <w:b/>
          <w:bCs/>
        </w:rPr>
        <w:t xml:space="preserve">McKinney, Caetano, Harris, and </w:t>
      </w:r>
      <w:proofErr w:type="spellStart"/>
      <w:r w:rsidRPr="004D7615">
        <w:rPr>
          <w:b/>
          <w:bCs/>
        </w:rPr>
        <w:t>Ebama</w:t>
      </w:r>
      <w:proofErr w:type="spellEnd"/>
      <w:r w:rsidRPr="004D7615">
        <w:rPr>
          <w:b/>
          <w:bCs/>
        </w:rPr>
        <w:t xml:space="preserve"> (2009)</w:t>
      </w:r>
      <w:r w:rsidRPr="004D7615">
        <w:t> found that an increase in alcohol outlet density is associated with increased risk of male-on-female partner violence, especially among risky drinkers. In addition, males that live in neighborhoods with high densities of alcohol outlets are much more likely to experience physical intimate partner violence and be perpetrators of physical intimate partner violence, relative to males who live in neighborhoods where densities of alcohol outlets are lower (</w:t>
      </w:r>
      <w:r w:rsidRPr="004D7615">
        <w:rPr>
          <w:b/>
          <w:bCs/>
        </w:rPr>
        <w:t>Waller et al., 2012</w:t>
      </w:r>
      <w:r w:rsidRPr="004D7615">
        <w:t>; </w:t>
      </w:r>
      <w:r w:rsidRPr="004D7615">
        <w:rPr>
          <w:b/>
          <w:bCs/>
        </w:rPr>
        <w:t>Waller et al., 2013</w:t>
      </w:r>
      <w:r w:rsidRPr="004D7615">
        <w:t>).</w:t>
      </w:r>
    </w:p>
    <w:p w14:paraId="0544C95E" w14:textId="79E0DD88" w:rsidR="004D7615" w:rsidRPr="004D7615" w:rsidRDefault="004D7615" w:rsidP="004D7615">
      <w:r w:rsidRPr="004D7615">
        <w:t>Yet, although some areas may have many alcohol outlets, it is unlikely that all alcohol outlets equally share in the risk of intimate partner violence. Therefore, the types of venues at which the alcoholic beverages can be bought or consumed warrant additional consideration when attempting to disentangle the relationship between alcohol outlet density and intimate partner violence. For example, individuals who obtain and consume their alcoholic beverages at a bar may be more likely to become involved in an altercation in or around the bar, whereas individuals who obtain alcohol from a liquor store and consume their alcohol at their home may be more likely to become involved in an altercation at their home. Indeed, </w:t>
      </w:r>
      <w:r w:rsidRPr="004D7615">
        <w:rPr>
          <w:b/>
          <w:bCs/>
        </w:rPr>
        <w:t>Livingston (2011)</w:t>
      </w:r>
      <w:r w:rsidRPr="004D7615">
        <w:t xml:space="preserve"> found that although all types of alcohol license categories (i.e., general license, </w:t>
      </w:r>
      <w:proofErr w:type="gramStart"/>
      <w:r w:rsidRPr="004D7615">
        <w:t>on-premise</w:t>
      </w:r>
      <w:proofErr w:type="gramEnd"/>
      <w:r w:rsidRPr="004D7615">
        <w:t xml:space="preserve"> license, and off-premise license) were associated with domestic violence, the effect for off-premise license (e.g., liquor stores) was more than 10 times higher than that for on-premise license (e.g., bars). A </w:t>
      </w:r>
      <w:proofErr w:type="spellStart"/>
      <w:r w:rsidRPr="004D7615">
        <w:rPr>
          <w:b/>
          <w:bCs/>
        </w:rPr>
        <w:t>Cunradi</w:t>
      </w:r>
      <w:proofErr w:type="spellEnd"/>
      <w:r w:rsidRPr="004D7615">
        <w:rPr>
          <w:b/>
          <w:bCs/>
        </w:rPr>
        <w:t xml:space="preserve">, Mair, </w:t>
      </w:r>
      <w:proofErr w:type="spellStart"/>
      <w:r w:rsidRPr="004D7615">
        <w:rPr>
          <w:b/>
          <w:bCs/>
        </w:rPr>
        <w:t>Ponicki</w:t>
      </w:r>
      <w:proofErr w:type="spellEnd"/>
      <w:r w:rsidRPr="004D7615">
        <w:rPr>
          <w:b/>
          <w:bCs/>
        </w:rPr>
        <w:t>, and Remer (2011)</w:t>
      </w:r>
      <w:r w:rsidRPr="004D7615">
        <w:t> study suggested similar conclusions: higher off-</w:t>
      </w:r>
      <w:proofErr w:type="gramStart"/>
      <w:r w:rsidRPr="004D7615">
        <w:t>premise</w:t>
      </w:r>
      <w:proofErr w:type="gramEnd"/>
      <w:r w:rsidRPr="004D7615">
        <w:t xml:space="preserve"> alcohol outlet density is associated with increased risk for in both intimate partner violence-related police calls and intimate partner violence-related crime reports. Although focusing on instances of child physical abuse and neglect and not on instances of intimate partner violence, </w:t>
      </w:r>
      <w:proofErr w:type="spellStart"/>
      <w:r w:rsidRPr="004D7615">
        <w:rPr>
          <w:b/>
          <w:bCs/>
        </w:rPr>
        <w:t>Freisthler</w:t>
      </w:r>
      <w:proofErr w:type="spellEnd"/>
      <w:r w:rsidRPr="004D7615">
        <w:rPr>
          <w:b/>
          <w:bCs/>
        </w:rPr>
        <w:t xml:space="preserve">, </w:t>
      </w:r>
      <w:proofErr w:type="spellStart"/>
      <w:r w:rsidRPr="004D7615">
        <w:rPr>
          <w:b/>
          <w:bCs/>
        </w:rPr>
        <w:t>Midanik</w:t>
      </w:r>
      <w:proofErr w:type="spellEnd"/>
      <w:r w:rsidRPr="004D7615">
        <w:rPr>
          <w:b/>
          <w:bCs/>
        </w:rPr>
        <w:t>, and Gruenewald (2004)</w:t>
      </w:r>
      <w:r w:rsidRPr="004D7615">
        <w:t> found an association between density of liquor stores and child physical abuse and between density of bars and child neglect.</w:t>
      </w:r>
    </w:p>
    <w:p w14:paraId="3AEDD91D" w14:textId="0BC83FE9" w:rsidR="004D7615" w:rsidRPr="004D7615" w:rsidRDefault="004D7615" w:rsidP="004D7615">
      <w:r w:rsidRPr="004D7615">
        <w:t xml:space="preserve">This review of the literature suggests a consistent association between alcohol outlet density and intimate partner violence. </w:t>
      </w:r>
      <w:proofErr w:type="gramStart"/>
      <w:r w:rsidRPr="004D7615">
        <w:t>All of</w:t>
      </w:r>
      <w:proofErr w:type="gramEnd"/>
      <w:r w:rsidRPr="004D7615">
        <w:t xml:space="preserve"> these studies, however, focus on this association in large metropolitan areas. Recent research suggests the association with violence of certain structural characteristics (</w:t>
      </w:r>
      <w:r w:rsidRPr="004D7615">
        <w:rPr>
          <w:b/>
          <w:bCs/>
        </w:rPr>
        <w:t>Kaylen &amp; Pridemore, 2013</w:t>
      </w:r>
      <w:r w:rsidRPr="004D7615">
        <w:t>; </w:t>
      </w:r>
      <w:r w:rsidRPr="004D7615">
        <w:rPr>
          <w:b/>
          <w:bCs/>
        </w:rPr>
        <w:t>Snowden &amp; Pridemore, 2013a</w:t>
      </w:r>
      <w:r w:rsidRPr="004D7615">
        <w:t>) and of alcohol outlet density (</w:t>
      </w:r>
      <w:r w:rsidRPr="004D7615">
        <w:rPr>
          <w:b/>
          <w:bCs/>
        </w:rPr>
        <w:t>Snowden &amp; Pridemore, 2013a</w:t>
      </w:r>
      <w:r w:rsidRPr="004D7615">
        <w:t>, </w:t>
      </w:r>
      <w:r w:rsidRPr="004D7615">
        <w:rPr>
          <w:b/>
          <w:bCs/>
        </w:rPr>
        <w:t>2013b</w:t>
      </w:r>
      <w:r w:rsidRPr="004D7615">
        <w:t>) may be different outside cities, and thus this study examines whether association between alcohol outlet density and intimate partner violence exists in a nonmetropolitan college town. This is important both theoretically and practically. Theoretically, it is important to know just how broadly the covariates of intimate partner violence can be generalized. Practically, policies and interventions appropriate for one type of area may not necessarily be appropriate for other areas. Therefore, in this study, I test the hypothesis that the density of total alcohol outlets will be associated with intimate partner violence density in a nonmetropolitan setting. In addition, I test whether the association exists for different alcohol outlet types (i.e., off-</w:t>
      </w:r>
      <w:proofErr w:type="gramStart"/>
      <w:r w:rsidRPr="004D7615">
        <w:t>premise</w:t>
      </w:r>
      <w:proofErr w:type="gramEnd"/>
      <w:r w:rsidRPr="004D7615">
        <w:t xml:space="preserve"> and on-premise). There are theoretical reasons to believe that different outlet types will have a different influence on intimate partner violence rates. For example, off-</w:t>
      </w:r>
      <w:proofErr w:type="gramStart"/>
      <w:r w:rsidRPr="004D7615">
        <w:t>premise</w:t>
      </w:r>
      <w:proofErr w:type="gramEnd"/>
      <w:r w:rsidRPr="004D7615">
        <w:t xml:space="preserve"> alcohol outlets are places where informal social control ends the moment the patron leaves the premise, so these types of places may be more likely to contribute to more frequent occurrences of intimate partner violence, relative to on-premise outlets. In </w:t>
      </w:r>
      <w:proofErr w:type="gramStart"/>
      <w:r w:rsidRPr="004D7615">
        <w:t>on-premise</w:t>
      </w:r>
      <w:proofErr w:type="gramEnd"/>
      <w:r w:rsidRPr="004D7615">
        <w:t xml:space="preserve"> alcohol outlets (e.g., restaurants and bars), on the other hand, there are other patrons or trained staff who may act quickly in cases of problematic behavior before the conflict escalates to more serious harm.</w:t>
      </w:r>
    </w:p>
    <w:p w14:paraId="51AF0FB1" w14:textId="77777777" w:rsidR="004D7615" w:rsidRPr="004D7615" w:rsidRDefault="004D7615" w:rsidP="004D7615">
      <w:pPr>
        <w:pStyle w:val="Heading1"/>
      </w:pPr>
      <w:r w:rsidRPr="004D7615">
        <w:lastRenderedPageBreak/>
        <w:t>METHODS</w:t>
      </w:r>
    </w:p>
    <w:p w14:paraId="43F9D131" w14:textId="77777777" w:rsidR="004D7615" w:rsidRPr="004D7615" w:rsidRDefault="004D7615" w:rsidP="004D7615">
      <w:pPr>
        <w:pStyle w:val="Heading2"/>
      </w:pPr>
      <w:r w:rsidRPr="004D7615">
        <w:t>Research Site and Unit of Analysis</w:t>
      </w:r>
    </w:p>
    <w:p w14:paraId="61DB211C" w14:textId="23D6655C" w:rsidR="004D7615" w:rsidRPr="004D7615" w:rsidRDefault="004D7615" w:rsidP="004D7615">
      <w:r w:rsidRPr="004D7615">
        <w:t>Bloomington, Indiana, is a nonmetropolitan college town that covers land area of about 60 square kilometers and has a population of 80,405 individuals (</w:t>
      </w:r>
      <w:r w:rsidRPr="004D7615">
        <w:rPr>
          <w:b/>
          <w:bCs/>
        </w:rPr>
        <w:t>United States Census Bureau, 2010</w:t>
      </w:r>
      <w:r w:rsidRPr="004D7615">
        <w:t>). Bloomington is home to Indiana University, the flagship state university that is attended by about 40,000 graduate and undergraduate students. The units of analysis for this study are the 65 census block groups that lie within the boundaries of Bloomington. The population of these block groups ranges between 393 and 4,588 individuals, with a mean of 1,268.</w:t>
      </w:r>
    </w:p>
    <w:p w14:paraId="2E9226FC" w14:textId="77777777" w:rsidR="004D7615" w:rsidRPr="004D7615" w:rsidRDefault="004D7615" w:rsidP="00552C64">
      <w:pPr>
        <w:pStyle w:val="Heading2"/>
      </w:pPr>
      <w:r w:rsidRPr="004D7615">
        <w:t>Data</w:t>
      </w:r>
    </w:p>
    <w:p w14:paraId="37EE5608" w14:textId="77777777" w:rsidR="004D7615" w:rsidRPr="004D7615" w:rsidRDefault="004D7615" w:rsidP="00552C64">
      <w:pPr>
        <w:pStyle w:val="Heading3"/>
      </w:pPr>
      <w:r w:rsidRPr="004D7615">
        <w:t>Licensed Outlets.</w:t>
      </w:r>
    </w:p>
    <w:p w14:paraId="4D674B7E" w14:textId="77777777" w:rsidR="004D7615" w:rsidRPr="004D7615" w:rsidRDefault="004D7615" w:rsidP="004D7615">
      <w:r w:rsidRPr="004D7615">
        <w:t xml:space="preserve">Data on all active alcohol outlet licenses for 2010 were obtained from the Indiana Alcohol and Tobacco Commission. The data included license address, which was geocoded using ArcMap 10 with 99% successful match and license type (e.g., </w:t>
      </w:r>
      <w:proofErr w:type="gramStart"/>
      <w:r w:rsidRPr="004D7615">
        <w:t>on-premise</w:t>
      </w:r>
      <w:proofErr w:type="gramEnd"/>
      <w:r w:rsidRPr="004D7615">
        <w:t xml:space="preserve">, such as bars and restaurants, or off-premise, such as liquor and convenience stores). Using these data, I calculated total alcohol outlet density as the number of all outlets per square mile for each block group. Subsequently, I disaggregated all alcohol outlets into two broad types (i.e., </w:t>
      </w:r>
      <w:proofErr w:type="gramStart"/>
      <w:r w:rsidRPr="004D7615">
        <w:t>on-premise</w:t>
      </w:r>
      <w:proofErr w:type="gramEnd"/>
      <w:r w:rsidRPr="004D7615">
        <w:t xml:space="preserve"> and off-premise). I calculated </w:t>
      </w:r>
      <w:proofErr w:type="gramStart"/>
      <w:r w:rsidRPr="004D7615">
        <w:t>on-premise</w:t>
      </w:r>
      <w:proofErr w:type="gramEnd"/>
      <w:r w:rsidRPr="004D7615">
        <w:t xml:space="preserve"> alcohol outlet density for the number of on-premise outlets per square mile for each block group and off-premise alcohol outlet density as the number of off-premise outlets per square mile for each block group. Because the distribution of alcohol outlet density was skewed, the scores were transformed using base 10 logs.</w:t>
      </w:r>
    </w:p>
    <w:p w14:paraId="0EC811C5" w14:textId="77777777" w:rsidR="004D7615" w:rsidRPr="004D7615" w:rsidRDefault="004D7615" w:rsidP="00552C64">
      <w:pPr>
        <w:pStyle w:val="Heading3"/>
      </w:pPr>
      <w:r w:rsidRPr="004D7615">
        <w:t>Intimate Partner Violence.</w:t>
      </w:r>
    </w:p>
    <w:p w14:paraId="2C5E62BF" w14:textId="1C6DAB40" w:rsidR="004D7615" w:rsidRPr="004D7615" w:rsidRDefault="004D7615" w:rsidP="004D7615">
      <w:r w:rsidRPr="004D7615">
        <w:t xml:space="preserve">Data on physical intimate partner violence were obtained from the Bloomington Police Department and based on incidents of domestic battery and domestic aggravated battery investigated by the police between January 1, </w:t>
      </w:r>
      <w:proofErr w:type="gramStart"/>
      <w:r w:rsidRPr="004D7615">
        <w:t>2008</w:t>
      </w:r>
      <w:proofErr w:type="gramEnd"/>
      <w:r w:rsidRPr="004D7615">
        <w:t xml:space="preserve"> and December 31, 2009. The data included the Indiana statute code (IC code), case type, the time and date of the incident, and the address of the incident. Indiana statute code 35-42-2-1.3 defines </w:t>
      </w:r>
      <w:r w:rsidRPr="004D7615">
        <w:rPr>
          <w:i/>
          <w:iCs/>
        </w:rPr>
        <w:t>domestic battery</w:t>
      </w:r>
      <w:r w:rsidRPr="004D7615">
        <w:t> as “intentional injury to a spouse, partner, or a parent of a common child, in a way that results in bodily injury” (</w:t>
      </w:r>
      <w:r w:rsidRPr="004D7615">
        <w:rPr>
          <w:b/>
          <w:bCs/>
        </w:rPr>
        <w:t xml:space="preserve">Indiana Code, </w:t>
      </w:r>
      <w:proofErr w:type="spellStart"/>
      <w:r w:rsidRPr="004D7615">
        <w:rPr>
          <w:b/>
          <w:bCs/>
        </w:rPr>
        <w:t>ch.</w:t>
      </w:r>
      <w:proofErr w:type="spellEnd"/>
      <w:r w:rsidRPr="004D7615">
        <w:rPr>
          <w:b/>
          <w:bCs/>
        </w:rPr>
        <w:t xml:space="preserve"> 2, § 35-42-2-1.3</w:t>
      </w:r>
      <w:r w:rsidRPr="004D7615">
        <w:t>). Indiana statute code 35-42-2-1.5 defines </w:t>
      </w:r>
      <w:r w:rsidRPr="004D7615">
        <w:rPr>
          <w:i/>
          <w:iCs/>
        </w:rPr>
        <w:t>aggravated battery</w:t>
      </w:r>
      <w:r w:rsidRPr="004D7615">
        <w:t> as “injury that creates a substantial risk of death or causes serious disfigurement or impairment of bodily function” (</w:t>
      </w:r>
      <w:r w:rsidRPr="004D7615">
        <w:rPr>
          <w:b/>
          <w:bCs/>
        </w:rPr>
        <w:t xml:space="preserve">Indiana Code, </w:t>
      </w:r>
      <w:proofErr w:type="spellStart"/>
      <w:r w:rsidRPr="004D7615">
        <w:rPr>
          <w:b/>
          <w:bCs/>
        </w:rPr>
        <w:t>ch.</w:t>
      </w:r>
      <w:proofErr w:type="spellEnd"/>
      <w:r w:rsidRPr="004D7615">
        <w:rPr>
          <w:b/>
          <w:bCs/>
        </w:rPr>
        <w:t xml:space="preserve"> 2, § 35-42-2-1.5</w:t>
      </w:r>
      <w:r w:rsidRPr="004D7615">
        <w:t>). These data were geocoded using ArcMap 10 software and aggregated to block groups with 99% successful match. Using these data, I calculated physical intimate partner violence density per square mile for each block group. The distribution of physical intimate partner violence density was skewed and so the scores were transformed using base 10 logs.</w:t>
      </w:r>
    </w:p>
    <w:p w14:paraId="3BFF0B5C" w14:textId="77777777" w:rsidR="004D7615" w:rsidRPr="004D7615" w:rsidRDefault="004D7615" w:rsidP="00552C64">
      <w:pPr>
        <w:pStyle w:val="Heading3"/>
      </w:pPr>
      <w:r w:rsidRPr="004D7615">
        <w:t>Control Variables.</w:t>
      </w:r>
    </w:p>
    <w:p w14:paraId="42639752" w14:textId="77B9B5FB" w:rsidR="004D7615" w:rsidRPr="004D7615" w:rsidRDefault="004D7615" w:rsidP="004D7615">
      <w:r w:rsidRPr="004D7615">
        <w:t>To account for potential structural influences on intimate partner violence that were found to be significantly associated with intimate partner violence in past research (e.g., </w:t>
      </w:r>
      <w:r w:rsidRPr="004D7615">
        <w:rPr>
          <w:b/>
          <w:bCs/>
        </w:rPr>
        <w:t>Livingston, 2010</w:t>
      </w:r>
      <w:r w:rsidRPr="004D7615">
        <w:t>), I controlled several block group characteristics. These control variables included population density, proportion African American, proportion female-headed households, and poverty. The distributions for population density and poverty were skewed and were subsequently transformed using natural logs. Data on proportion African American and proportion female-headed households were also skewed and were subsequently transformed using square root transformation. Data for these control variables were obtained from the United States Census Bureau. As done in previous research on density of alcohol outlets and violence (</w:t>
      </w:r>
      <w:r w:rsidRPr="004D7615">
        <w:rPr>
          <w:b/>
          <w:bCs/>
        </w:rPr>
        <w:t>Roman, Reid, Bhati, &amp; Tereshchenko, 2008</w:t>
      </w:r>
      <w:r w:rsidRPr="004D7615">
        <w:t>) and density of alcohol outlets and domestic violence (</w:t>
      </w:r>
      <w:r w:rsidRPr="004D7615">
        <w:rPr>
          <w:b/>
          <w:bCs/>
        </w:rPr>
        <w:t>Roman &amp; Reid, 2012</w:t>
      </w:r>
      <w:r w:rsidRPr="004D7615">
        <w:t>; published in </w:t>
      </w:r>
      <w:r w:rsidRPr="004D7615">
        <w:rPr>
          <w:i/>
          <w:iCs/>
        </w:rPr>
        <w:t>Violence and Victims</w:t>
      </w:r>
      <w:r w:rsidRPr="004D7615">
        <w:t xml:space="preserve">), to control for unobserved heterogeneity in block groups, I also controlled for prior levels of intimate partner violence. The data were based on incidents of physical intimate partner violence from January 1, </w:t>
      </w:r>
      <w:proofErr w:type="gramStart"/>
      <w:r w:rsidRPr="004D7615">
        <w:t>2004</w:t>
      </w:r>
      <w:proofErr w:type="gramEnd"/>
      <w:r w:rsidRPr="004D7615">
        <w:t xml:space="preserve"> to </w:t>
      </w:r>
      <w:r w:rsidRPr="004D7615">
        <w:lastRenderedPageBreak/>
        <w:t>December 31, 2005 and were obtained from the Bloomington Police Department. The distribution of prior levels of intimate partner violence was skewed and was transformed using base 10 logs.</w:t>
      </w:r>
    </w:p>
    <w:p w14:paraId="01B108E6" w14:textId="77777777" w:rsidR="004D7615" w:rsidRPr="004D7615" w:rsidRDefault="004D7615" w:rsidP="004D7615">
      <w:r w:rsidRPr="004D7615">
        <w:t>I transformed the dependent, main independent, and control variables in different ways to reduce the skew in the distribution of the data. Specific transformations (i.e., natural log, base 10 logs, square root) were chosen depending on the characteristics of the distribution of the data for each variable (e.g., moderately positive skew, substantially positive skew, etc.).</w:t>
      </w:r>
    </w:p>
    <w:p w14:paraId="7FAF0670" w14:textId="77777777" w:rsidR="004D7615" w:rsidRPr="004D7615" w:rsidRDefault="004D7615" w:rsidP="00552C64">
      <w:pPr>
        <w:pStyle w:val="Heading3"/>
      </w:pPr>
      <w:r w:rsidRPr="004D7615">
        <w:t>Statistical Analyses.</w:t>
      </w:r>
    </w:p>
    <w:p w14:paraId="7897014E" w14:textId="3682C7C4" w:rsidR="004D7615" w:rsidRPr="004D7615" w:rsidRDefault="004D7615" w:rsidP="004D7615">
      <w:r w:rsidRPr="004D7615">
        <w:t xml:space="preserve">Because I used units of analysis (i.e., block groups) that have artificially imposed boundaries and analyzed data that are spatially distributed, I used </w:t>
      </w:r>
      <w:proofErr w:type="spellStart"/>
      <w:r w:rsidRPr="004D7615">
        <w:t>GeoDa</w:t>
      </w:r>
      <w:proofErr w:type="spellEnd"/>
      <w:r w:rsidRPr="004D7615">
        <w:t xml:space="preserve"> software (</w:t>
      </w:r>
      <w:proofErr w:type="spellStart"/>
      <w:r w:rsidRPr="004D7615">
        <w:rPr>
          <w:b/>
          <w:bCs/>
        </w:rPr>
        <w:t>Anselin</w:t>
      </w:r>
      <w:proofErr w:type="spellEnd"/>
      <w:r w:rsidRPr="004D7615">
        <w:rPr>
          <w:b/>
          <w:bCs/>
        </w:rPr>
        <w:t>, 2005</w:t>
      </w:r>
      <w:r w:rsidRPr="004D7615">
        <w:t xml:space="preserve">) and estimated maximum likelihood estimation (MLE) models with spatial lag function to account for spatial autocorrelation of intimate partner violence across neighboring block groups. I conducted three sets of analyses. The first model examined whether intimate partner violence is associated with total alcohol outlet density. The second model examined whether intimate partner violence is associated with </w:t>
      </w:r>
      <w:proofErr w:type="gramStart"/>
      <w:r w:rsidRPr="004D7615">
        <w:t>on-premise</w:t>
      </w:r>
      <w:proofErr w:type="gramEnd"/>
      <w:r w:rsidRPr="004D7615">
        <w:t xml:space="preserve"> alcohol outlet density. Finally, the last model examined whether intimate partner violence is associated with off-</w:t>
      </w:r>
      <w:proofErr w:type="gramStart"/>
      <w:r w:rsidRPr="004D7615">
        <w:t>premise</w:t>
      </w:r>
      <w:proofErr w:type="gramEnd"/>
      <w:r w:rsidRPr="004D7615">
        <w:t xml:space="preserve"> alcohol outlet density. I used ArcMap 10 software to clean, geocode, and manage data and GeoDa software to estimate all models.</w:t>
      </w:r>
    </w:p>
    <w:p w14:paraId="5419FF9A" w14:textId="77777777" w:rsidR="004D7615" w:rsidRPr="004D7615" w:rsidRDefault="004D7615" w:rsidP="00552C64">
      <w:pPr>
        <w:pStyle w:val="Heading1"/>
      </w:pPr>
      <w:r w:rsidRPr="004D7615">
        <w:t>RESULTS</w:t>
      </w:r>
    </w:p>
    <w:p w14:paraId="046F90F0" w14:textId="3F212D7A" w:rsidR="004D7615" w:rsidRPr="004D7615" w:rsidRDefault="004D7615" w:rsidP="004D7615">
      <w:r w:rsidRPr="004D7615">
        <w:t>Descriptive statistics for the dependent, main independent, and control variables used in regression models are presented in </w:t>
      </w:r>
      <w:r w:rsidRPr="004D7615">
        <w:rPr>
          <w:b/>
          <w:bCs/>
        </w:rPr>
        <w:t>Table 1</w:t>
      </w:r>
      <w:r w:rsidRPr="004D7615">
        <w:t xml:space="preserve">. On average, Bloomington block groups contained about 18 incidents of intimate partner violence per square mile, and about 14 alcohol outlets per square mile, most of which were </w:t>
      </w:r>
      <w:proofErr w:type="gramStart"/>
      <w:r w:rsidRPr="004D7615">
        <w:t>on-premise</w:t>
      </w:r>
      <w:proofErr w:type="gramEnd"/>
      <w:r w:rsidRPr="004D7615">
        <w:t xml:space="preserve"> alcohol outlets (e.g., bars and restaurants). The average Bloomington block group population density was 4,231 individuals per square mile, with about a quarter of people who lived in poverty.</w:t>
      </w:r>
    </w:p>
    <w:p w14:paraId="7ED57378" w14:textId="14DE7B16" w:rsidR="004D7615" w:rsidRPr="004D7615" w:rsidRDefault="004D7615" w:rsidP="007D0BE5">
      <w:pPr>
        <w:spacing w:after="0"/>
      </w:pPr>
      <w:r w:rsidRPr="004D7615">
        <w:rPr>
          <w:b/>
          <w:bCs/>
        </w:rPr>
        <w:t>Table 1</w:t>
      </w:r>
      <w:r w:rsidR="007D0BE5">
        <w:rPr>
          <w:b/>
          <w:bCs/>
        </w:rPr>
        <w:t xml:space="preserve"> </w:t>
      </w:r>
      <w:r w:rsidRPr="004D7615">
        <w:t xml:space="preserve">Descriptive Statistics of Bloomington Block Groups </w:t>
      </w:r>
      <m:oMath>
        <m:r>
          <w:rPr>
            <w:rFonts w:ascii="Cambria Math" w:hAnsi="Cambria Math"/>
          </w:rPr>
          <m:t>(</m:t>
        </m:r>
        <m:r>
          <w:rPr>
            <w:rFonts w:ascii="Cambria Math" w:hAnsi="Cambria Math"/>
          </w:rPr>
          <m:t>N</m:t>
        </m:r>
        <m:r>
          <w:rPr>
            <w:rFonts w:ascii="Cambria Math" w:hAnsi="Cambria Math"/>
          </w:rPr>
          <m:t> = 65)</m:t>
        </m:r>
      </m:oMath>
    </w:p>
    <w:tbl>
      <w:tblPr>
        <w:tblStyle w:val="TableGrid"/>
        <w:tblW w:w="0" w:type="auto"/>
        <w:tblLook w:val="04A0" w:firstRow="1" w:lastRow="0" w:firstColumn="1" w:lastColumn="0" w:noHBand="0" w:noVBand="1"/>
      </w:tblPr>
      <w:tblGrid>
        <w:gridCol w:w="3904"/>
        <w:gridCol w:w="830"/>
        <w:gridCol w:w="1107"/>
        <w:gridCol w:w="996"/>
        <w:gridCol w:w="996"/>
      </w:tblGrid>
      <w:tr w:rsidR="00622EAC" w:rsidRPr="004D7615" w14:paraId="453AE52B" w14:textId="77777777" w:rsidTr="007D0BE5">
        <w:tc>
          <w:tcPr>
            <w:tcW w:w="0" w:type="auto"/>
            <w:hideMark/>
          </w:tcPr>
          <w:p w14:paraId="5DBBB7EE" w14:textId="77777777" w:rsidR="004D7615" w:rsidRPr="004D7615" w:rsidRDefault="004D7615" w:rsidP="007D0BE5">
            <w:pPr>
              <w:pStyle w:val="NoSpacing"/>
            </w:pPr>
          </w:p>
        </w:tc>
        <w:tc>
          <w:tcPr>
            <w:tcW w:w="0" w:type="auto"/>
            <w:hideMark/>
          </w:tcPr>
          <w:p w14:paraId="058C10B0" w14:textId="77777777" w:rsidR="004D7615" w:rsidRPr="004D7615" w:rsidRDefault="004D7615" w:rsidP="007D0BE5">
            <w:pPr>
              <w:pStyle w:val="NoSpacing"/>
            </w:pPr>
            <w:r w:rsidRPr="004D7615">
              <w:t>Min.</w:t>
            </w:r>
          </w:p>
        </w:tc>
        <w:tc>
          <w:tcPr>
            <w:tcW w:w="0" w:type="auto"/>
            <w:hideMark/>
          </w:tcPr>
          <w:p w14:paraId="6968E0A4" w14:textId="77777777" w:rsidR="004D7615" w:rsidRPr="004D7615" w:rsidRDefault="004D7615" w:rsidP="007D0BE5">
            <w:pPr>
              <w:pStyle w:val="NoSpacing"/>
            </w:pPr>
            <w:r w:rsidRPr="004D7615">
              <w:t>Max.</w:t>
            </w:r>
          </w:p>
        </w:tc>
        <w:tc>
          <w:tcPr>
            <w:tcW w:w="0" w:type="auto"/>
            <w:hideMark/>
          </w:tcPr>
          <w:p w14:paraId="777ECFF6" w14:textId="77777777" w:rsidR="004D7615" w:rsidRPr="004D7615" w:rsidRDefault="004D7615" w:rsidP="007D0BE5">
            <w:pPr>
              <w:pStyle w:val="NoSpacing"/>
            </w:pPr>
            <w:r w:rsidRPr="004D7615">
              <w:rPr>
                <w:i/>
                <w:iCs/>
              </w:rPr>
              <w:t>M</w:t>
            </w:r>
          </w:p>
        </w:tc>
        <w:tc>
          <w:tcPr>
            <w:tcW w:w="0" w:type="auto"/>
            <w:hideMark/>
          </w:tcPr>
          <w:p w14:paraId="56FD0F25" w14:textId="77777777" w:rsidR="004D7615" w:rsidRPr="004D7615" w:rsidRDefault="004D7615" w:rsidP="007D0BE5">
            <w:pPr>
              <w:pStyle w:val="NoSpacing"/>
            </w:pPr>
            <w:r w:rsidRPr="004D7615">
              <w:rPr>
                <w:i/>
                <w:iCs/>
              </w:rPr>
              <w:t>SD</w:t>
            </w:r>
          </w:p>
        </w:tc>
      </w:tr>
      <w:tr w:rsidR="00622EAC" w:rsidRPr="004D7615" w14:paraId="1F387BF0" w14:textId="77777777" w:rsidTr="007D0BE5">
        <w:tc>
          <w:tcPr>
            <w:tcW w:w="0" w:type="auto"/>
            <w:hideMark/>
          </w:tcPr>
          <w:p w14:paraId="7F767D95" w14:textId="77777777" w:rsidR="004D7615" w:rsidRPr="004D7615" w:rsidRDefault="004D7615" w:rsidP="007D0BE5">
            <w:pPr>
              <w:pStyle w:val="NoSpacing"/>
            </w:pPr>
            <w:r w:rsidRPr="004D7615">
              <w:t>Intimate partner violence density</w:t>
            </w:r>
          </w:p>
        </w:tc>
        <w:tc>
          <w:tcPr>
            <w:tcW w:w="0" w:type="auto"/>
            <w:hideMark/>
          </w:tcPr>
          <w:p w14:paraId="7FBCAA98" w14:textId="77777777" w:rsidR="004D7615" w:rsidRPr="004D7615" w:rsidRDefault="004D7615" w:rsidP="007D0BE5">
            <w:pPr>
              <w:pStyle w:val="NoSpacing"/>
            </w:pPr>
            <w:r w:rsidRPr="004D7615">
              <w:t>.00</w:t>
            </w:r>
          </w:p>
        </w:tc>
        <w:tc>
          <w:tcPr>
            <w:tcW w:w="0" w:type="auto"/>
            <w:hideMark/>
          </w:tcPr>
          <w:p w14:paraId="03E997F6" w14:textId="77777777" w:rsidR="004D7615" w:rsidRPr="004D7615" w:rsidRDefault="004D7615" w:rsidP="007D0BE5">
            <w:pPr>
              <w:pStyle w:val="NoSpacing"/>
            </w:pPr>
            <w:r w:rsidRPr="004D7615">
              <w:t>102.99</w:t>
            </w:r>
          </w:p>
        </w:tc>
        <w:tc>
          <w:tcPr>
            <w:tcW w:w="0" w:type="auto"/>
            <w:hideMark/>
          </w:tcPr>
          <w:p w14:paraId="33776CE5" w14:textId="77777777" w:rsidR="004D7615" w:rsidRPr="004D7615" w:rsidRDefault="004D7615" w:rsidP="007D0BE5">
            <w:pPr>
              <w:pStyle w:val="NoSpacing"/>
            </w:pPr>
            <w:r w:rsidRPr="004D7615">
              <w:t>18.41</w:t>
            </w:r>
          </w:p>
        </w:tc>
        <w:tc>
          <w:tcPr>
            <w:tcW w:w="0" w:type="auto"/>
            <w:hideMark/>
          </w:tcPr>
          <w:p w14:paraId="07994D55" w14:textId="77777777" w:rsidR="004D7615" w:rsidRPr="004D7615" w:rsidRDefault="004D7615" w:rsidP="007D0BE5">
            <w:pPr>
              <w:pStyle w:val="NoSpacing"/>
            </w:pPr>
            <w:r w:rsidRPr="004D7615">
              <w:t>23.99</w:t>
            </w:r>
          </w:p>
        </w:tc>
      </w:tr>
      <w:tr w:rsidR="004D7615" w:rsidRPr="004D7615" w14:paraId="0A506871" w14:textId="77777777" w:rsidTr="007D0BE5">
        <w:tc>
          <w:tcPr>
            <w:tcW w:w="0" w:type="auto"/>
            <w:hideMark/>
          </w:tcPr>
          <w:p w14:paraId="54F779A8" w14:textId="77777777" w:rsidR="004D7615" w:rsidRPr="004D7615" w:rsidRDefault="004D7615" w:rsidP="007D0BE5">
            <w:pPr>
              <w:pStyle w:val="NoSpacing"/>
            </w:pPr>
            <w:r w:rsidRPr="004D7615">
              <w:t>Total alcohol outlet density</w:t>
            </w:r>
          </w:p>
        </w:tc>
        <w:tc>
          <w:tcPr>
            <w:tcW w:w="0" w:type="auto"/>
            <w:hideMark/>
          </w:tcPr>
          <w:p w14:paraId="35030935" w14:textId="77777777" w:rsidR="004D7615" w:rsidRPr="004D7615" w:rsidRDefault="004D7615" w:rsidP="007D0BE5">
            <w:pPr>
              <w:pStyle w:val="NoSpacing"/>
            </w:pPr>
            <w:r w:rsidRPr="004D7615">
              <w:t>.00</w:t>
            </w:r>
          </w:p>
        </w:tc>
        <w:tc>
          <w:tcPr>
            <w:tcW w:w="0" w:type="auto"/>
            <w:hideMark/>
          </w:tcPr>
          <w:p w14:paraId="508514AA" w14:textId="77777777" w:rsidR="004D7615" w:rsidRPr="004D7615" w:rsidRDefault="004D7615" w:rsidP="007D0BE5">
            <w:pPr>
              <w:pStyle w:val="NoSpacing"/>
            </w:pPr>
            <w:r w:rsidRPr="004D7615">
              <w:t>254.52</w:t>
            </w:r>
          </w:p>
        </w:tc>
        <w:tc>
          <w:tcPr>
            <w:tcW w:w="0" w:type="auto"/>
            <w:hideMark/>
          </w:tcPr>
          <w:p w14:paraId="1C769281" w14:textId="77777777" w:rsidR="004D7615" w:rsidRPr="004D7615" w:rsidRDefault="004D7615" w:rsidP="007D0BE5">
            <w:pPr>
              <w:pStyle w:val="NoSpacing"/>
            </w:pPr>
            <w:r w:rsidRPr="004D7615">
              <w:t>13.60</w:t>
            </w:r>
          </w:p>
        </w:tc>
        <w:tc>
          <w:tcPr>
            <w:tcW w:w="0" w:type="auto"/>
            <w:hideMark/>
          </w:tcPr>
          <w:p w14:paraId="0BDF230D" w14:textId="77777777" w:rsidR="004D7615" w:rsidRPr="004D7615" w:rsidRDefault="004D7615" w:rsidP="007D0BE5">
            <w:pPr>
              <w:pStyle w:val="NoSpacing"/>
            </w:pPr>
            <w:r w:rsidRPr="004D7615">
              <w:t>37.36</w:t>
            </w:r>
          </w:p>
        </w:tc>
      </w:tr>
      <w:tr w:rsidR="00622EAC" w:rsidRPr="004D7615" w14:paraId="27100944" w14:textId="77777777" w:rsidTr="007D0BE5">
        <w:tc>
          <w:tcPr>
            <w:tcW w:w="0" w:type="auto"/>
            <w:hideMark/>
          </w:tcPr>
          <w:p w14:paraId="49C36BCD" w14:textId="77777777" w:rsidR="004D7615" w:rsidRPr="004D7615" w:rsidRDefault="004D7615" w:rsidP="007D0BE5">
            <w:pPr>
              <w:pStyle w:val="NoSpacing"/>
            </w:pPr>
            <w:proofErr w:type="gramStart"/>
            <w:r w:rsidRPr="004D7615">
              <w:t>On-premise</w:t>
            </w:r>
            <w:proofErr w:type="gramEnd"/>
            <w:r w:rsidRPr="004D7615">
              <w:t xml:space="preserve"> alcohol outlet density</w:t>
            </w:r>
          </w:p>
        </w:tc>
        <w:tc>
          <w:tcPr>
            <w:tcW w:w="0" w:type="auto"/>
            <w:hideMark/>
          </w:tcPr>
          <w:p w14:paraId="690B6C84" w14:textId="77777777" w:rsidR="004D7615" w:rsidRPr="004D7615" w:rsidRDefault="004D7615" w:rsidP="007D0BE5">
            <w:pPr>
              <w:pStyle w:val="NoSpacing"/>
            </w:pPr>
            <w:r w:rsidRPr="004D7615">
              <w:t>.00</w:t>
            </w:r>
          </w:p>
        </w:tc>
        <w:tc>
          <w:tcPr>
            <w:tcW w:w="0" w:type="auto"/>
            <w:hideMark/>
          </w:tcPr>
          <w:p w14:paraId="764EE402" w14:textId="77777777" w:rsidR="004D7615" w:rsidRPr="004D7615" w:rsidRDefault="004D7615" w:rsidP="007D0BE5">
            <w:pPr>
              <w:pStyle w:val="NoSpacing"/>
            </w:pPr>
            <w:r w:rsidRPr="004D7615">
              <w:t>247.82</w:t>
            </w:r>
          </w:p>
        </w:tc>
        <w:tc>
          <w:tcPr>
            <w:tcW w:w="0" w:type="auto"/>
            <w:hideMark/>
          </w:tcPr>
          <w:p w14:paraId="4B8E1BAF" w14:textId="77777777" w:rsidR="004D7615" w:rsidRPr="004D7615" w:rsidRDefault="004D7615" w:rsidP="007D0BE5">
            <w:pPr>
              <w:pStyle w:val="NoSpacing"/>
            </w:pPr>
            <w:r w:rsidRPr="004D7615">
              <w:t>10.64</w:t>
            </w:r>
          </w:p>
        </w:tc>
        <w:tc>
          <w:tcPr>
            <w:tcW w:w="0" w:type="auto"/>
            <w:hideMark/>
          </w:tcPr>
          <w:p w14:paraId="25C8E543" w14:textId="77777777" w:rsidR="004D7615" w:rsidRPr="004D7615" w:rsidRDefault="004D7615" w:rsidP="007D0BE5">
            <w:pPr>
              <w:pStyle w:val="NoSpacing"/>
            </w:pPr>
            <w:r w:rsidRPr="004D7615">
              <w:t>35.58</w:t>
            </w:r>
          </w:p>
        </w:tc>
      </w:tr>
      <w:tr w:rsidR="004D7615" w:rsidRPr="004D7615" w14:paraId="449D2141" w14:textId="77777777" w:rsidTr="007D0BE5">
        <w:tc>
          <w:tcPr>
            <w:tcW w:w="0" w:type="auto"/>
            <w:hideMark/>
          </w:tcPr>
          <w:p w14:paraId="2D404BF2" w14:textId="77777777" w:rsidR="004D7615" w:rsidRPr="004D7615" w:rsidRDefault="004D7615" w:rsidP="007D0BE5">
            <w:pPr>
              <w:pStyle w:val="NoSpacing"/>
            </w:pPr>
            <w:r w:rsidRPr="004D7615">
              <w:t>Off-</w:t>
            </w:r>
            <w:proofErr w:type="gramStart"/>
            <w:r w:rsidRPr="004D7615">
              <w:t>premise</w:t>
            </w:r>
            <w:proofErr w:type="gramEnd"/>
            <w:r w:rsidRPr="004D7615">
              <w:t xml:space="preserve"> alcohol outlet density</w:t>
            </w:r>
          </w:p>
        </w:tc>
        <w:tc>
          <w:tcPr>
            <w:tcW w:w="0" w:type="auto"/>
            <w:hideMark/>
          </w:tcPr>
          <w:p w14:paraId="16AE5F61" w14:textId="77777777" w:rsidR="004D7615" w:rsidRPr="004D7615" w:rsidRDefault="004D7615" w:rsidP="007D0BE5">
            <w:pPr>
              <w:pStyle w:val="NoSpacing"/>
            </w:pPr>
            <w:r w:rsidRPr="004D7615">
              <w:t>.00</w:t>
            </w:r>
          </w:p>
        </w:tc>
        <w:tc>
          <w:tcPr>
            <w:tcW w:w="0" w:type="auto"/>
            <w:hideMark/>
          </w:tcPr>
          <w:p w14:paraId="3A8DC542" w14:textId="77777777" w:rsidR="004D7615" w:rsidRPr="004D7615" w:rsidRDefault="004D7615" w:rsidP="007D0BE5">
            <w:pPr>
              <w:pStyle w:val="NoSpacing"/>
            </w:pPr>
            <w:r w:rsidRPr="004D7615">
              <w:t>20.60</w:t>
            </w:r>
          </w:p>
        </w:tc>
        <w:tc>
          <w:tcPr>
            <w:tcW w:w="0" w:type="auto"/>
            <w:hideMark/>
          </w:tcPr>
          <w:p w14:paraId="6BD55794" w14:textId="77777777" w:rsidR="004D7615" w:rsidRPr="004D7615" w:rsidRDefault="004D7615" w:rsidP="007D0BE5">
            <w:pPr>
              <w:pStyle w:val="NoSpacing"/>
            </w:pPr>
            <w:r w:rsidRPr="004D7615">
              <w:t>2.96</w:t>
            </w:r>
          </w:p>
        </w:tc>
        <w:tc>
          <w:tcPr>
            <w:tcW w:w="0" w:type="auto"/>
            <w:hideMark/>
          </w:tcPr>
          <w:p w14:paraId="728DCA77" w14:textId="77777777" w:rsidR="004D7615" w:rsidRPr="004D7615" w:rsidRDefault="004D7615" w:rsidP="007D0BE5">
            <w:pPr>
              <w:pStyle w:val="NoSpacing"/>
            </w:pPr>
            <w:r w:rsidRPr="004D7615">
              <w:t>5.10</w:t>
            </w:r>
          </w:p>
        </w:tc>
      </w:tr>
      <w:tr w:rsidR="00622EAC" w:rsidRPr="004D7615" w14:paraId="554ACE46" w14:textId="77777777" w:rsidTr="007D0BE5">
        <w:tc>
          <w:tcPr>
            <w:tcW w:w="0" w:type="auto"/>
            <w:hideMark/>
          </w:tcPr>
          <w:p w14:paraId="5B11955A" w14:textId="77777777" w:rsidR="004D7615" w:rsidRPr="004D7615" w:rsidRDefault="004D7615" w:rsidP="007D0BE5">
            <w:pPr>
              <w:pStyle w:val="NoSpacing"/>
            </w:pPr>
            <w:r w:rsidRPr="004D7615">
              <w:t>Population density</w:t>
            </w:r>
          </w:p>
        </w:tc>
        <w:tc>
          <w:tcPr>
            <w:tcW w:w="0" w:type="auto"/>
            <w:hideMark/>
          </w:tcPr>
          <w:p w14:paraId="4C9B7643" w14:textId="77777777" w:rsidR="004D7615" w:rsidRPr="004D7615" w:rsidRDefault="004D7615" w:rsidP="007D0BE5">
            <w:pPr>
              <w:pStyle w:val="NoSpacing"/>
            </w:pPr>
            <w:r w:rsidRPr="004D7615">
              <w:t>106.59</w:t>
            </w:r>
          </w:p>
        </w:tc>
        <w:tc>
          <w:tcPr>
            <w:tcW w:w="0" w:type="auto"/>
            <w:hideMark/>
          </w:tcPr>
          <w:p w14:paraId="0314B6A5" w14:textId="77777777" w:rsidR="004D7615" w:rsidRPr="004D7615" w:rsidRDefault="004D7615" w:rsidP="007D0BE5">
            <w:pPr>
              <w:pStyle w:val="NoSpacing"/>
            </w:pPr>
            <w:r w:rsidRPr="004D7615">
              <w:t>30,627.50</w:t>
            </w:r>
          </w:p>
        </w:tc>
        <w:tc>
          <w:tcPr>
            <w:tcW w:w="0" w:type="auto"/>
            <w:hideMark/>
          </w:tcPr>
          <w:p w14:paraId="4CAF844C" w14:textId="77777777" w:rsidR="004D7615" w:rsidRPr="004D7615" w:rsidRDefault="004D7615" w:rsidP="007D0BE5">
            <w:pPr>
              <w:pStyle w:val="NoSpacing"/>
            </w:pPr>
            <w:r w:rsidRPr="004D7615">
              <w:t>4,231.04</w:t>
            </w:r>
          </w:p>
        </w:tc>
        <w:tc>
          <w:tcPr>
            <w:tcW w:w="0" w:type="auto"/>
            <w:hideMark/>
          </w:tcPr>
          <w:p w14:paraId="047345D6" w14:textId="77777777" w:rsidR="004D7615" w:rsidRPr="004D7615" w:rsidRDefault="004D7615" w:rsidP="007D0BE5">
            <w:pPr>
              <w:pStyle w:val="NoSpacing"/>
            </w:pPr>
            <w:r w:rsidRPr="004D7615">
              <w:t>4,662.13</w:t>
            </w:r>
          </w:p>
        </w:tc>
      </w:tr>
      <w:tr w:rsidR="004D7615" w:rsidRPr="004D7615" w14:paraId="42AFE358" w14:textId="77777777" w:rsidTr="007D0BE5">
        <w:tc>
          <w:tcPr>
            <w:tcW w:w="0" w:type="auto"/>
            <w:hideMark/>
          </w:tcPr>
          <w:p w14:paraId="31D841BA" w14:textId="77777777" w:rsidR="004D7615" w:rsidRPr="004D7615" w:rsidRDefault="004D7615" w:rsidP="007D0BE5">
            <w:pPr>
              <w:pStyle w:val="NoSpacing"/>
            </w:pPr>
            <w:r w:rsidRPr="004D7615">
              <w:t>Proportion African American</w:t>
            </w:r>
          </w:p>
        </w:tc>
        <w:tc>
          <w:tcPr>
            <w:tcW w:w="0" w:type="auto"/>
            <w:hideMark/>
          </w:tcPr>
          <w:p w14:paraId="505E3E6E" w14:textId="77777777" w:rsidR="004D7615" w:rsidRPr="004D7615" w:rsidRDefault="004D7615" w:rsidP="007D0BE5">
            <w:pPr>
              <w:pStyle w:val="NoSpacing"/>
            </w:pPr>
            <w:r w:rsidRPr="004D7615">
              <w:t>.00</w:t>
            </w:r>
          </w:p>
        </w:tc>
        <w:tc>
          <w:tcPr>
            <w:tcW w:w="0" w:type="auto"/>
            <w:hideMark/>
          </w:tcPr>
          <w:p w14:paraId="4A8DF533" w14:textId="77777777" w:rsidR="004D7615" w:rsidRPr="004D7615" w:rsidRDefault="004D7615" w:rsidP="007D0BE5">
            <w:pPr>
              <w:pStyle w:val="NoSpacing"/>
            </w:pPr>
            <w:r w:rsidRPr="004D7615">
              <w:t>.13</w:t>
            </w:r>
          </w:p>
        </w:tc>
        <w:tc>
          <w:tcPr>
            <w:tcW w:w="0" w:type="auto"/>
            <w:hideMark/>
          </w:tcPr>
          <w:p w14:paraId="43048D4E" w14:textId="77777777" w:rsidR="004D7615" w:rsidRPr="004D7615" w:rsidRDefault="004D7615" w:rsidP="007D0BE5">
            <w:pPr>
              <w:pStyle w:val="NoSpacing"/>
            </w:pPr>
            <w:r w:rsidRPr="004D7615">
              <w:t>.04</w:t>
            </w:r>
          </w:p>
        </w:tc>
        <w:tc>
          <w:tcPr>
            <w:tcW w:w="0" w:type="auto"/>
            <w:hideMark/>
          </w:tcPr>
          <w:p w14:paraId="20ADB2C5" w14:textId="77777777" w:rsidR="004D7615" w:rsidRPr="004D7615" w:rsidRDefault="004D7615" w:rsidP="007D0BE5">
            <w:pPr>
              <w:pStyle w:val="NoSpacing"/>
            </w:pPr>
            <w:r w:rsidRPr="004D7615">
              <w:t>.03</w:t>
            </w:r>
          </w:p>
        </w:tc>
      </w:tr>
      <w:tr w:rsidR="00622EAC" w:rsidRPr="004D7615" w14:paraId="3FCF7524" w14:textId="77777777" w:rsidTr="007D0BE5">
        <w:tc>
          <w:tcPr>
            <w:tcW w:w="0" w:type="auto"/>
            <w:hideMark/>
          </w:tcPr>
          <w:p w14:paraId="70B16E26" w14:textId="77777777" w:rsidR="004D7615" w:rsidRPr="004D7615" w:rsidRDefault="004D7615" w:rsidP="007D0BE5">
            <w:pPr>
              <w:pStyle w:val="NoSpacing"/>
            </w:pPr>
            <w:r w:rsidRPr="004D7615">
              <w:t>Proportion female headed households</w:t>
            </w:r>
          </w:p>
        </w:tc>
        <w:tc>
          <w:tcPr>
            <w:tcW w:w="0" w:type="auto"/>
            <w:hideMark/>
          </w:tcPr>
          <w:p w14:paraId="61DB9712" w14:textId="77777777" w:rsidR="004D7615" w:rsidRPr="004D7615" w:rsidRDefault="004D7615" w:rsidP="007D0BE5">
            <w:pPr>
              <w:pStyle w:val="NoSpacing"/>
            </w:pPr>
            <w:r w:rsidRPr="004D7615">
              <w:t>.00</w:t>
            </w:r>
          </w:p>
        </w:tc>
        <w:tc>
          <w:tcPr>
            <w:tcW w:w="0" w:type="auto"/>
            <w:hideMark/>
          </w:tcPr>
          <w:p w14:paraId="403F83B4" w14:textId="77777777" w:rsidR="004D7615" w:rsidRPr="004D7615" w:rsidRDefault="004D7615" w:rsidP="007D0BE5">
            <w:pPr>
              <w:pStyle w:val="NoSpacing"/>
            </w:pPr>
            <w:r w:rsidRPr="004D7615">
              <w:t>1.00</w:t>
            </w:r>
          </w:p>
        </w:tc>
        <w:tc>
          <w:tcPr>
            <w:tcW w:w="0" w:type="auto"/>
            <w:hideMark/>
          </w:tcPr>
          <w:p w14:paraId="5FAC5506" w14:textId="77777777" w:rsidR="004D7615" w:rsidRPr="004D7615" w:rsidRDefault="004D7615" w:rsidP="007D0BE5">
            <w:pPr>
              <w:pStyle w:val="NoSpacing"/>
            </w:pPr>
            <w:r w:rsidRPr="004D7615">
              <w:t>.13</w:t>
            </w:r>
          </w:p>
        </w:tc>
        <w:tc>
          <w:tcPr>
            <w:tcW w:w="0" w:type="auto"/>
            <w:hideMark/>
          </w:tcPr>
          <w:p w14:paraId="7146AFB4" w14:textId="77777777" w:rsidR="004D7615" w:rsidRPr="004D7615" w:rsidRDefault="004D7615" w:rsidP="007D0BE5">
            <w:pPr>
              <w:pStyle w:val="NoSpacing"/>
            </w:pPr>
            <w:r w:rsidRPr="004D7615">
              <w:t>.16</w:t>
            </w:r>
          </w:p>
        </w:tc>
      </w:tr>
      <w:tr w:rsidR="004D7615" w:rsidRPr="004D7615" w14:paraId="48B8D88F" w14:textId="77777777" w:rsidTr="007D0BE5">
        <w:tc>
          <w:tcPr>
            <w:tcW w:w="0" w:type="auto"/>
            <w:hideMark/>
          </w:tcPr>
          <w:p w14:paraId="14CDBD86" w14:textId="77777777" w:rsidR="004D7615" w:rsidRPr="004D7615" w:rsidRDefault="004D7615" w:rsidP="007D0BE5">
            <w:pPr>
              <w:pStyle w:val="NoSpacing"/>
            </w:pPr>
            <w:r w:rsidRPr="004D7615">
              <w:t>Proportion living in poverty</w:t>
            </w:r>
          </w:p>
        </w:tc>
        <w:tc>
          <w:tcPr>
            <w:tcW w:w="0" w:type="auto"/>
            <w:hideMark/>
          </w:tcPr>
          <w:p w14:paraId="33EC702F" w14:textId="77777777" w:rsidR="004D7615" w:rsidRPr="004D7615" w:rsidRDefault="004D7615" w:rsidP="007D0BE5">
            <w:pPr>
              <w:pStyle w:val="NoSpacing"/>
            </w:pPr>
            <w:r w:rsidRPr="004D7615">
              <w:t>.00</w:t>
            </w:r>
          </w:p>
        </w:tc>
        <w:tc>
          <w:tcPr>
            <w:tcW w:w="0" w:type="auto"/>
            <w:hideMark/>
          </w:tcPr>
          <w:p w14:paraId="10987EE3" w14:textId="77777777" w:rsidR="004D7615" w:rsidRPr="004D7615" w:rsidRDefault="004D7615" w:rsidP="007D0BE5">
            <w:pPr>
              <w:pStyle w:val="NoSpacing"/>
            </w:pPr>
            <w:r w:rsidRPr="004D7615">
              <w:t>.75</w:t>
            </w:r>
          </w:p>
        </w:tc>
        <w:tc>
          <w:tcPr>
            <w:tcW w:w="0" w:type="auto"/>
            <w:hideMark/>
          </w:tcPr>
          <w:p w14:paraId="45488CB4" w14:textId="77777777" w:rsidR="004D7615" w:rsidRPr="004D7615" w:rsidRDefault="004D7615" w:rsidP="007D0BE5">
            <w:pPr>
              <w:pStyle w:val="NoSpacing"/>
            </w:pPr>
            <w:r w:rsidRPr="004D7615">
              <w:t>.24</w:t>
            </w:r>
          </w:p>
        </w:tc>
        <w:tc>
          <w:tcPr>
            <w:tcW w:w="0" w:type="auto"/>
            <w:hideMark/>
          </w:tcPr>
          <w:p w14:paraId="0B4A9EC0" w14:textId="77777777" w:rsidR="004D7615" w:rsidRPr="004D7615" w:rsidRDefault="004D7615" w:rsidP="007D0BE5">
            <w:pPr>
              <w:pStyle w:val="NoSpacing"/>
            </w:pPr>
            <w:r w:rsidRPr="004D7615">
              <w:t>.20</w:t>
            </w:r>
          </w:p>
        </w:tc>
      </w:tr>
      <w:tr w:rsidR="00622EAC" w:rsidRPr="004D7615" w14:paraId="622B2729" w14:textId="77777777" w:rsidTr="007D0BE5">
        <w:tc>
          <w:tcPr>
            <w:tcW w:w="0" w:type="auto"/>
            <w:hideMark/>
          </w:tcPr>
          <w:p w14:paraId="7658B140" w14:textId="77777777" w:rsidR="004D7615" w:rsidRPr="004D7615" w:rsidRDefault="004D7615" w:rsidP="007D0BE5">
            <w:pPr>
              <w:pStyle w:val="NoSpacing"/>
            </w:pPr>
            <w:r w:rsidRPr="004D7615">
              <w:t>Prior density of intimate partner violence</w:t>
            </w:r>
          </w:p>
        </w:tc>
        <w:tc>
          <w:tcPr>
            <w:tcW w:w="0" w:type="auto"/>
            <w:hideMark/>
          </w:tcPr>
          <w:p w14:paraId="4394D325" w14:textId="77777777" w:rsidR="004D7615" w:rsidRPr="004D7615" w:rsidRDefault="004D7615" w:rsidP="007D0BE5">
            <w:pPr>
              <w:pStyle w:val="NoSpacing"/>
            </w:pPr>
            <w:r w:rsidRPr="004D7615">
              <w:t>.00</w:t>
            </w:r>
          </w:p>
        </w:tc>
        <w:tc>
          <w:tcPr>
            <w:tcW w:w="0" w:type="auto"/>
            <w:hideMark/>
          </w:tcPr>
          <w:p w14:paraId="3F7505B0" w14:textId="77777777" w:rsidR="004D7615" w:rsidRPr="004D7615" w:rsidRDefault="004D7615" w:rsidP="007D0BE5">
            <w:pPr>
              <w:pStyle w:val="NoSpacing"/>
            </w:pPr>
            <w:r w:rsidRPr="004D7615">
              <w:t>77.87</w:t>
            </w:r>
          </w:p>
        </w:tc>
        <w:tc>
          <w:tcPr>
            <w:tcW w:w="0" w:type="auto"/>
            <w:hideMark/>
          </w:tcPr>
          <w:p w14:paraId="07680336" w14:textId="77777777" w:rsidR="004D7615" w:rsidRPr="004D7615" w:rsidRDefault="004D7615" w:rsidP="007D0BE5">
            <w:pPr>
              <w:pStyle w:val="NoSpacing"/>
            </w:pPr>
            <w:r w:rsidRPr="004D7615">
              <w:t>13.21</w:t>
            </w:r>
          </w:p>
        </w:tc>
        <w:tc>
          <w:tcPr>
            <w:tcW w:w="0" w:type="auto"/>
            <w:hideMark/>
          </w:tcPr>
          <w:p w14:paraId="3C4FF307" w14:textId="77777777" w:rsidR="004D7615" w:rsidRPr="004D7615" w:rsidRDefault="004D7615" w:rsidP="007D0BE5">
            <w:pPr>
              <w:pStyle w:val="NoSpacing"/>
            </w:pPr>
            <w:r w:rsidRPr="004D7615">
              <w:t>17.96</w:t>
            </w:r>
          </w:p>
        </w:tc>
      </w:tr>
    </w:tbl>
    <w:p w14:paraId="37FF6935" w14:textId="77777777" w:rsidR="007D0BE5" w:rsidRDefault="007D0BE5" w:rsidP="004D7615">
      <w:pPr>
        <w:rPr>
          <w:b/>
          <w:bCs/>
        </w:rPr>
      </w:pPr>
    </w:p>
    <w:p w14:paraId="2C8A4502" w14:textId="541607A6" w:rsidR="004D7615" w:rsidRPr="004D7615" w:rsidRDefault="004D7615" w:rsidP="004D7615">
      <w:r w:rsidRPr="004D7615">
        <w:rPr>
          <w:b/>
          <w:bCs/>
        </w:rPr>
        <w:t>Table 2</w:t>
      </w:r>
      <w:r w:rsidRPr="004D7615">
        <w:t xml:space="preserve"> shows the correlation matrix. As expected, the density of intimate partner violence was positively and significantly correlated with total alcohol outlets </w:t>
      </w:r>
      <m:oMath>
        <m:r>
          <w:rPr>
            <w:rFonts w:ascii="Cambria Math" w:hAnsi="Cambria Math"/>
          </w:rPr>
          <m:t>(</m:t>
        </m:r>
        <m:r>
          <w:rPr>
            <w:rFonts w:ascii="Cambria Math" w:hAnsi="Cambria Math"/>
          </w:rPr>
          <m:t>r</m:t>
        </m:r>
        <m:r>
          <w:rPr>
            <w:rFonts w:ascii="Cambria Math" w:hAnsi="Cambria Math"/>
          </w:rPr>
          <m:t> = .39)</m:t>
        </m:r>
      </m:oMath>
      <w:r w:rsidRPr="004D7615">
        <w:t xml:space="preserve">. In addition, the density of intimate partner violence was positively and significantly correlated with </w:t>
      </w:r>
      <w:proofErr w:type="gramStart"/>
      <w:r w:rsidRPr="004D7615">
        <w:t>on-premise</w:t>
      </w:r>
      <w:proofErr w:type="gramEnd"/>
      <w:r w:rsidRPr="004D7615">
        <w:t xml:space="preserve"> alcohol outlets </w:t>
      </w:r>
      <m:oMath>
        <m:r>
          <w:rPr>
            <w:rFonts w:ascii="Cambria Math" w:hAnsi="Cambria Math"/>
          </w:rPr>
          <m:t>(</m:t>
        </m:r>
        <m:r>
          <w:rPr>
            <w:rFonts w:ascii="Cambria Math" w:hAnsi="Cambria Math"/>
          </w:rPr>
          <m:t>r</m:t>
        </m:r>
        <m:r>
          <w:rPr>
            <w:rFonts w:ascii="Cambria Math" w:hAnsi="Cambria Math"/>
          </w:rPr>
          <m:t> = .32)</m:t>
        </m:r>
      </m:oMath>
      <w:r w:rsidRPr="004D7615">
        <w:t xml:space="preserve"> and with off-premise alcohol outlets </w:t>
      </w:r>
      <m:oMath>
        <m:r>
          <w:rPr>
            <w:rFonts w:ascii="Cambria Math" w:hAnsi="Cambria Math"/>
          </w:rPr>
          <m:t>(</m:t>
        </m:r>
        <m:r>
          <w:rPr>
            <w:rFonts w:ascii="Cambria Math" w:hAnsi="Cambria Math"/>
          </w:rPr>
          <m:t>r</m:t>
        </m:r>
        <m:r>
          <w:rPr>
            <w:rFonts w:ascii="Cambria Math" w:hAnsi="Cambria Math"/>
          </w:rPr>
          <m:t> = .46)</m:t>
        </m:r>
      </m:oMath>
      <w:r w:rsidRPr="004D7615">
        <w:t>.</w:t>
      </w:r>
    </w:p>
    <w:p w14:paraId="6A81ADAF" w14:textId="5F2CCC04" w:rsidR="004D7615" w:rsidRPr="004D7615" w:rsidRDefault="004D7615" w:rsidP="007D0BE5">
      <w:pPr>
        <w:spacing w:after="0"/>
      </w:pPr>
      <w:r w:rsidRPr="004D7615">
        <w:rPr>
          <w:b/>
          <w:bCs/>
        </w:rPr>
        <w:t>Table 2</w:t>
      </w:r>
      <w:r w:rsidR="007D0BE5">
        <w:rPr>
          <w:b/>
          <w:bCs/>
        </w:rPr>
        <w:t xml:space="preserve"> </w:t>
      </w:r>
      <w:r w:rsidRPr="004D7615">
        <w:t xml:space="preserve">Correlation Matrix for Bloomington Block Groups </w:t>
      </w:r>
      <m:oMath>
        <m:r>
          <w:rPr>
            <w:rFonts w:ascii="Cambria Math" w:hAnsi="Cambria Math"/>
          </w:rPr>
          <m:t>(</m:t>
        </m:r>
        <m:r>
          <w:rPr>
            <w:rFonts w:ascii="Cambria Math" w:hAnsi="Cambria Math"/>
          </w:rPr>
          <m:t>N</m:t>
        </m:r>
        <m:r>
          <w:rPr>
            <w:rFonts w:ascii="Cambria Math" w:hAnsi="Cambria Math"/>
          </w:rPr>
          <m:t> = 65)</m:t>
        </m:r>
      </m:oMath>
    </w:p>
    <w:tbl>
      <w:tblPr>
        <w:tblStyle w:val="TableGrid"/>
        <w:tblW w:w="0" w:type="auto"/>
        <w:tblLook w:val="04A0" w:firstRow="1" w:lastRow="0" w:firstColumn="1" w:lastColumn="0" w:noHBand="0" w:noVBand="1"/>
      </w:tblPr>
      <w:tblGrid>
        <w:gridCol w:w="3682"/>
        <w:gridCol w:w="682"/>
        <w:gridCol w:w="718"/>
        <w:gridCol w:w="718"/>
        <w:gridCol w:w="718"/>
        <w:gridCol w:w="718"/>
        <w:gridCol w:w="682"/>
        <w:gridCol w:w="716"/>
        <w:gridCol w:w="718"/>
        <w:gridCol w:w="718"/>
      </w:tblGrid>
      <w:tr w:rsidR="004D7615" w:rsidRPr="004D7615" w14:paraId="5F455A82" w14:textId="77777777" w:rsidTr="007D0BE5">
        <w:tc>
          <w:tcPr>
            <w:tcW w:w="0" w:type="auto"/>
            <w:hideMark/>
          </w:tcPr>
          <w:p w14:paraId="0BF0F615" w14:textId="77777777" w:rsidR="004D7615" w:rsidRPr="004D7615" w:rsidRDefault="004D7615" w:rsidP="007D0BE5">
            <w:pPr>
              <w:pStyle w:val="NoSpacing"/>
            </w:pPr>
          </w:p>
        </w:tc>
        <w:tc>
          <w:tcPr>
            <w:tcW w:w="0" w:type="auto"/>
            <w:hideMark/>
          </w:tcPr>
          <w:p w14:paraId="361D3F7F" w14:textId="77777777" w:rsidR="004D7615" w:rsidRPr="004D7615" w:rsidRDefault="004D7615" w:rsidP="007D0BE5">
            <w:pPr>
              <w:pStyle w:val="NoSpacing"/>
            </w:pPr>
            <w:r w:rsidRPr="004D7615">
              <w:t>1</w:t>
            </w:r>
          </w:p>
        </w:tc>
        <w:tc>
          <w:tcPr>
            <w:tcW w:w="0" w:type="auto"/>
            <w:hideMark/>
          </w:tcPr>
          <w:p w14:paraId="1B19CA00" w14:textId="77777777" w:rsidR="004D7615" w:rsidRPr="004D7615" w:rsidRDefault="004D7615" w:rsidP="007D0BE5">
            <w:pPr>
              <w:pStyle w:val="NoSpacing"/>
            </w:pPr>
            <w:r w:rsidRPr="004D7615">
              <w:t>2</w:t>
            </w:r>
          </w:p>
        </w:tc>
        <w:tc>
          <w:tcPr>
            <w:tcW w:w="0" w:type="auto"/>
            <w:hideMark/>
          </w:tcPr>
          <w:p w14:paraId="476713D4" w14:textId="77777777" w:rsidR="004D7615" w:rsidRPr="004D7615" w:rsidRDefault="004D7615" w:rsidP="007D0BE5">
            <w:pPr>
              <w:pStyle w:val="NoSpacing"/>
            </w:pPr>
            <w:r w:rsidRPr="004D7615">
              <w:t>3</w:t>
            </w:r>
          </w:p>
        </w:tc>
        <w:tc>
          <w:tcPr>
            <w:tcW w:w="0" w:type="auto"/>
            <w:hideMark/>
          </w:tcPr>
          <w:p w14:paraId="58707DD6" w14:textId="77777777" w:rsidR="004D7615" w:rsidRPr="004D7615" w:rsidRDefault="004D7615" w:rsidP="007D0BE5">
            <w:pPr>
              <w:pStyle w:val="NoSpacing"/>
            </w:pPr>
            <w:r w:rsidRPr="004D7615">
              <w:t>4</w:t>
            </w:r>
          </w:p>
        </w:tc>
        <w:tc>
          <w:tcPr>
            <w:tcW w:w="0" w:type="auto"/>
            <w:hideMark/>
          </w:tcPr>
          <w:p w14:paraId="6E986211" w14:textId="77777777" w:rsidR="004D7615" w:rsidRPr="004D7615" w:rsidRDefault="004D7615" w:rsidP="007D0BE5">
            <w:pPr>
              <w:pStyle w:val="NoSpacing"/>
            </w:pPr>
            <w:r w:rsidRPr="004D7615">
              <w:t>5</w:t>
            </w:r>
          </w:p>
        </w:tc>
        <w:tc>
          <w:tcPr>
            <w:tcW w:w="0" w:type="auto"/>
            <w:hideMark/>
          </w:tcPr>
          <w:p w14:paraId="66F71285" w14:textId="77777777" w:rsidR="004D7615" w:rsidRPr="004D7615" w:rsidRDefault="004D7615" w:rsidP="007D0BE5">
            <w:pPr>
              <w:pStyle w:val="NoSpacing"/>
            </w:pPr>
            <w:r w:rsidRPr="004D7615">
              <w:t>6</w:t>
            </w:r>
          </w:p>
        </w:tc>
        <w:tc>
          <w:tcPr>
            <w:tcW w:w="0" w:type="auto"/>
            <w:hideMark/>
          </w:tcPr>
          <w:p w14:paraId="2F8E6B55" w14:textId="77777777" w:rsidR="004D7615" w:rsidRPr="004D7615" w:rsidRDefault="004D7615" w:rsidP="007D0BE5">
            <w:pPr>
              <w:pStyle w:val="NoSpacing"/>
            </w:pPr>
            <w:r w:rsidRPr="004D7615">
              <w:t>7</w:t>
            </w:r>
          </w:p>
        </w:tc>
        <w:tc>
          <w:tcPr>
            <w:tcW w:w="0" w:type="auto"/>
            <w:hideMark/>
          </w:tcPr>
          <w:p w14:paraId="05B86EC1" w14:textId="77777777" w:rsidR="004D7615" w:rsidRPr="004D7615" w:rsidRDefault="004D7615" w:rsidP="007D0BE5">
            <w:pPr>
              <w:pStyle w:val="NoSpacing"/>
            </w:pPr>
            <w:r w:rsidRPr="004D7615">
              <w:t>8</w:t>
            </w:r>
          </w:p>
        </w:tc>
        <w:tc>
          <w:tcPr>
            <w:tcW w:w="0" w:type="auto"/>
            <w:hideMark/>
          </w:tcPr>
          <w:p w14:paraId="0F7D918C" w14:textId="77777777" w:rsidR="004D7615" w:rsidRPr="004D7615" w:rsidRDefault="004D7615" w:rsidP="007D0BE5">
            <w:pPr>
              <w:pStyle w:val="NoSpacing"/>
            </w:pPr>
            <w:r w:rsidRPr="004D7615">
              <w:t>9</w:t>
            </w:r>
          </w:p>
        </w:tc>
      </w:tr>
      <w:tr w:rsidR="004D7615" w:rsidRPr="004D7615" w14:paraId="60ABE96C" w14:textId="77777777" w:rsidTr="007D0BE5">
        <w:tc>
          <w:tcPr>
            <w:tcW w:w="0" w:type="auto"/>
            <w:hideMark/>
          </w:tcPr>
          <w:p w14:paraId="02AE2557" w14:textId="77777777" w:rsidR="004D7615" w:rsidRPr="004D7615" w:rsidRDefault="004D7615" w:rsidP="007D0BE5">
            <w:pPr>
              <w:pStyle w:val="NoSpacing"/>
            </w:pPr>
            <w:r w:rsidRPr="004D7615">
              <w:t>1. Log10 intimate partner violence density</w:t>
            </w:r>
          </w:p>
        </w:tc>
        <w:tc>
          <w:tcPr>
            <w:tcW w:w="0" w:type="auto"/>
            <w:hideMark/>
          </w:tcPr>
          <w:p w14:paraId="6DDB3499" w14:textId="77777777" w:rsidR="004D7615" w:rsidRPr="004D7615" w:rsidRDefault="004D7615" w:rsidP="007D0BE5">
            <w:pPr>
              <w:pStyle w:val="NoSpacing"/>
            </w:pPr>
            <w:r w:rsidRPr="004D7615">
              <w:t>1.00</w:t>
            </w:r>
          </w:p>
        </w:tc>
        <w:tc>
          <w:tcPr>
            <w:tcW w:w="0" w:type="auto"/>
            <w:hideMark/>
          </w:tcPr>
          <w:p w14:paraId="0D7DC20E" w14:textId="77777777" w:rsidR="004D7615" w:rsidRPr="004D7615" w:rsidRDefault="004D7615" w:rsidP="007D0BE5">
            <w:pPr>
              <w:pStyle w:val="NoSpacing"/>
            </w:pPr>
          </w:p>
        </w:tc>
        <w:tc>
          <w:tcPr>
            <w:tcW w:w="0" w:type="auto"/>
            <w:hideMark/>
          </w:tcPr>
          <w:p w14:paraId="2C8A4FDB" w14:textId="77777777" w:rsidR="004D7615" w:rsidRPr="004D7615" w:rsidRDefault="004D7615" w:rsidP="007D0BE5">
            <w:pPr>
              <w:pStyle w:val="NoSpacing"/>
            </w:pPr>
          </w:p>
        </w:tc>
        <w:tc>
          <w:tcPr>
            <w:tcW w:w="0" w:type="auto"/>
            <w:hideMark/>
          </w:tcPr>
          <w:p w14:paraId="512643F2" w14:textId="77777777" w:rsidR="004D7615" w:rsidRPr="004D7615" w:rsidRDefault="004D7615" w:rsidP="007D0BE5">
            <w:pPr>
              <w:pStyle w:val="NoSpacing"/>
            </w:pPr>
          </w:p>
        </w:tc>
        <w:tc>
          <w:tcPr>
            <w:tcW w:w="0" w:type="auto"/>
            <w:hideMark/>
          </w:tcPr>
          <w:p w14:paraId="44098E61" w14:textId="77777777" w:rsidR="004D7615" w:rsidRPr="004D7615" w:rsidRDefault="004D7615" w:rsidP="007D0BE5">
            <w:pPr>
              <w:pStyle w:val="NoSpacing"/>
            </w:pPr>
          </w:p>
        </w:tc>
        <w:tc>
          <w:tcPr>
            <w:tcW w:w="0" w:type="auto"/>
            <w:hideMark/>
          </w:tcPr>
          <w:p w14:paraId="3DA7F58E" w14:textId="77777777" w:rsidR="004D7615" w:rsidRPr="004D7615" w:rsidRDefault="004D7615" w:rsidP="007D0BE5">
            <w:pPr>
              <w:pStyle w:val="NoSpacing"/>
            </w:pPr>
          </w:p>
        </w:tc>
        <w:tc>
          <w:tcPr>
            <w:tcW w:w="0" w:type="auto"/>
            <w:hideMark/>
          </w:tcPr>
          <w:p w14:paraId="6F842C03" w14:textId="77777777" w:rsidR="004D7615" w:rsidRPr="004D7615" w:rsidRDefault="004D7615" w:rsidP="007D0BE5">
            <w:pPr>
              <w:pStyle w:val="NoSpacing"/>
            </w:pPr>
          </w:p>
        </w:tc>
        <w:tc>
          <w:tcPr>
            <w:tcW w:w="0" w:type="auto"/>
            <w:hideMark/>
          </w:tcPr>
          <w:p w14:paraId="3C9970B7" w14:textId="77777777" w:rsidR="004D7615" w:rsidRPr="004D7615" w:rsidRDefault="004D7615" w:rsidP="007D0BE5">
            <w:pPr>
              <w:pStyle w:val="NoSpacing"/>
            </w:pPr>
          </w:p>
        </w:tc>
        <w:tc>
          <w:tcPr>
            <w:tcW w:w="0" w:type="auto"/>
            <w:hideMark/>
          </w:tcPr>
          <w:p w14:paraId="6585FF9C" w14:textId="77777777" w:rsidR="004D7615" w:rsidRPr="004D7615" w:rsidRDefault="004D7615" w:rsidP="007D0BE5">
            <w:pPr>
              <w:pStyle w:val="NoSpacing"/>
            </w:pPr>
          </w:p>
        </w:tc>
      </w:tr>
      <w:tr w:rsidR="00622EAC" w:rsidRPr="004D7615" w14:paraId="2BAD4EA8" w14:textId="77777777" w:rsidTr="007D0BE5">
        <w:tc>
          <w:tcPr>
            <w:tcW w:w="0" w:type="auto"/>
            <w:hideMark/>
          </w:tcPr>
          <w:p w14:paraId="3E26C7B3" w14:textId="77777777" w:rsidR="004D7615" w:rsidRPr="004D7615" w:rsidRDefault="004D7615" w:rsidP="007D0BE5">
            <w:pPr>
              <w:pStyle w:val="NoSpacing"/>
            </w:pPr>
            <w:r w:rsidRPr="004D7615">
              <w:t>2. Log10 total alcohol outlet density</w:t>
            </w:r>
          </w:p>
        </w:tc>
        <w:tc>
          <w:tcPr>
            <w:tcW w:w="0" w:type="auto"/>
            <w:hideMark/>
          </w:tcPr>
          <w:p w14:paraId="70C7F458" w14:textId="20A875ED" w:rsidR="004D7615" w:rsidRPr="004D7615" w:rsidRDefault="004D7615" w:rsidP="007D0BE5">
            <w:pPr>
              <w:pStyle w:val="NoSpacing"/>
            </w:pPr>
            <w:r w:rsidRPr="004D7615">
              <w:t>.394</w:t>
            </w:r>
            <w:r w:rsidRPr="004D7615">
              <w:rPr>
                <w:b/>
                <w:bCs/>
                <w:vertAlign w:val="superscript"/>
              </w:rPr>
              <w:t>a</w:t>
            </w:r>
          </w:p>
        </w:tc>
        <w:tc>
          <w:tcPr>
            <w:tcW w:w="0" w:type="auto"/>
            <w:hideMark/>
          </w:tcPr>
          <w:p w14:paraId="41F5B766" w14:textId="77777777" w:rsidR="004D7615" w:rsidRPr="004D7615" w:rsidRDefault="004D7615" w:rsidP="007D0BE5">
            <w:pPr>
              <w:pStyle w:val="NoSpacing"/>
            </w:pPr>
            <w:r w:rsidRPr="004D7615">
              <w:t>1.000</w:t>
            </w:r>
          </w:p>
        </w:tc>
        <w:tc>
          <w:tcPr>
            <w:tcW w:w="0" w:type="auto"/>
            <w:hideMark/>
          </w:tcPr>
          <w:p w14:paraId="0A899F65" w14:textId="77777777" w:rsidR="004D7615" w:rsidRPr="004D7615" w:rsidRDefault="004D7615" w:rsidP="007D0BE5">
            <w:pPr>
              <w:pStyle w:val="NoSpacing"/>
            </w:pPr>
          </w:p>
        </w:tc>
        <w:tc>
          <w:tcPr>
            <w:tcW w:w="0" w:type="auto"/>
            <w:hideMark/>
          </w:tcPr>
          <w:p w14:paraId="5CB4A946" w14:textId="77777777" w:rsidR="004D7615" w:rsidRPr="004D7615" w:rsidRDefault="004D7615" w:rsidP="007D0BE5">
            <w:pPr>
              <w:pStyle w:val="NoSpacing"/>
            </w:pPr>
          </w:p>
        </w:tc>
        <w:tc>
          <w:tcPr>
            <w:tcW w:w="0" w:type="auto"/>
            <w:hideMark/>
          </w:tcPr>
          <w:p w14:paraId="19CEDC7E" w14:textId="77777777" w:rsidR="004D7615" w:rsidRPr="004D7615" w:rsidRDefault="004D7615" w:rsidP="007D0BE5">
            <w:pPr>
              <w:pStyle w:val="NoSpacing"/>
            </w:pPr>
          </w:p>
        </w:tc>
        <w:tc>
          <w:tcPr>
            <w:tcW w:w="0" w:type="auto"/>
            <w:hideMark/>
          </w:tcPr>
          <w:p w14:paraId="2FED7D21" w14:textId="77777777" w:rsidR="004D7615" w:rsidRPr="004D7615" w:rsidRDefault="004D7615" w:rsidP="007D0BE5">
            <w:pPr>
              <w:pStyle w:val="NoSpacing"/>
            </w:pPr>
          </w:p>
        </w:tc>
        <w:tc>
          <w:tcPr>
            <w:tcW w:w="0" w:type="auto"/>
            <w:hideMark/>
          </w:tcPr>
          <w:p w14:paraId="44E62D09" w14:textId="77777777" w:rsidR="004D7615" w:rsidRPr="004D7615" w:rsidRDefault="004D7615" w:rsidP="007D0BE5">
            <w:pPr>
              <w:pStyle w:val="NoSpacing"/>
            </w:pPr>
          </w:p>
        </w:tc>
        <w:tc>
          <w:tcPr>
            <w:tcW w:w="0" w:type="auto"/>
            <w:hideMark/>
          </w:tcPr>
          <w:p w14:paraId="4D5A8823" w14:textId="77777777" w:rsidR="004D7615" w:rsidRPr="004D7615" w:rsidRDefault="004D7615" w:rsidP="007D0BE5">
            <w:pPr>
              <w:pStyle w:val="NoSpacing"/>
            </w:pPr>
          </w:p>
        </w:tc>
        <w:tc>
          <w:tcPr>
            <w:tcW w:w="0" w:type="auto"/>
            <w:hideMark/>
          </w:tcPr>
          <w:p w14:paraId="252586B3" w14:textId="77777777" w:rsidR="004D7615" w:rsidRPr="004D7615" w:rsidRDefault="004D7615" w:rsidP="007D0BE5">
            <w:pPr>
              <w:pStyle w:val="NoSpacing"/>
            </w:pPr>
          </w:p>
        </w:tc>
      </w:tr>
      <w:tr w:rsidR="004D7615" w:rsidRPr="004D7615" w14:paraId="58E208B8" w14:textId="77777777" w:rsidTr="007D0BE5">
        <w:tc>
          <w:tcPr>
            <w:tcW w:w="0" w:type="auto"/>
            <w:hideMark/>
          </w:tcPr>
          <w:p w14:paraId="32AF3D67" w14:textId="77777777" w:rsidR="004D7615" w:rsidRPr="004D7615" w:rsidRDefault="004D7615" w:rsidP="007D0BE5">
            <w:pPr>
              <w:pStyle w:val="NoSpacing"/>
            </w:pPr>
            <w:r w:rsidRPr="004D7615">
              <w:lastRenderedPageBreak/>
              <w:t xml:space="preserve">3. Log10 </w:t>
            </w:r>
            <w:proofErr w:type="gramStart"/>
            <w:r w:rsidRPr="004D7615">
              <w:t>on-premise</w:t>
            </w:r>
            <w:proofErr w:type="gramEnd"/>
            <w:r w:rsidRPr="004D7615">
              <w:t xml:space="preserve"> alcohol outlet density</w:t>
            </w:r>
          </w:p>
        </w:tc>
        <w:tc>
          <w:tcPr>
            <w:tcW w:w="0" w:type="auto"/>
            <w:hideMark/>
          </w:tcPr>
          <w:p w14:paraId="07D35F01" w14:textId="1AF0A76A" w:rsidR="004D7615" w:rsidRPr="004D7615" w:rsidRDefault="004D7615" w:rsidP="007D0BE5">
            <w:pPr>
              <w:pStyle w:val="NoSpacing"/>
            </w:pPr>
            <w:r w:rsidRPr="004D7615">
              <w:t>.315</w:t>
            </w:r>
            <w:r w:rsidRPr="004D7615">
              <w:rPr>
                <w:b/>
                <w:bCs/>
                <w:vertAlign w:val="superscript"/>
              </w:rPr>
              <w:t>b</w:t>
            </w:r>
          </w:p>
        </w:tc>
        <w:tc>
          <w:tcPr>
            <w:tcW w:w="0" w:type="auto"/>
            <w:hideMark/>
          </w:tcPr>
          <w:p w14:paraId="52F060E2" w14:textId="160B371D" w:rsidR="004D7615" w:rsidRPr="004D7615" w:rsidRDefault="004D7615" w:rsidP="007D0BE5">
            <w:pPr>
              <w:pStyle w:val="NoSpacing"/>
            </w:pPr>
            <w:r w:rsidRPr="004D7615">
              <w:t>.953</w:t>
            </w:r>
            <w:r w:rsidRPr="004D7615">
              <w:rPr>
                <w:b/>
                <w:bCs/>
                <w:vertAlign w:val="superscript"/>
              </w:rPr>
              <w:t>a</w:t>
            </w:r>
          </w:p>
        </w:tc>
        <w:tc>
          <w:tcPr>
            <w:tcW w:w="0" w:type="auto"/>
            <w:hideMark/>
          </w:tcPr>
          <w:p w14:paraId="6AC1AECB" w14:textId="77777777" w:rsidR="004D7615" w:rsidRPr="004D7615" w:rsidRDefault="004D7615" w:rsidP="007D0BE5">
            <w:pPr>
              <w:pStyle w:val="NoSpacing"/>
            </w:pPr>
            <w:r w:rsidRPr="004D7615">
              <w:t>1.000</w:t>
            </w:r>
          </w:p>
        </w:tc>
        <w:tc>
          <w:tcPr>
            <w:tcW w:w="0" w:type="auto"/>
            <w:hideMark/>
          </w:tcPr>
          <w:p w14:paraId="235B82C8" w14:textId="77777777" w:rsidR="004D7615" w:rsidRPr="004D7615" w:rsidRDefault="004D7615" w:rsidP="007D0BE5">
            <w:pPr>
              <w:pStyle w:val="NoSpacing"/>
            </w:pPr>
          </w:p>
        </w:tc>
        <w:tc>
          <w:tcPr>
            <w:tcW w:w="0" w:type="auto"/>
            <w:hideMark/>
          </w:tcPr>
          <w:p w14:paraId="08B4EEC1" w14:textId="77777777" w:rsidR="004D7615" w:rsidRPr="004D7615" w:rsidRDefault="004D7615" w:rsidP="007D0BE5">
            <w:pPr>
              <w:pStyle w:val="NoSpacing"/>
            </w:pPr>
          </w:p>
        </w:tc>
        <w:tc>
          <w:tcPr>
            <w:tcW w:w="0" w:type="auto"/>
            <w:hideMark/>
          </w:tcPr>
          <w:p w14:paraId="20380927" w14:textId="77777777" w:rsidR="004D7615" w:rsidRPr="004D7615" w:rsidRDefault="004D7615" w:rsidP="007D0BE5">
            <w:pPr>
              <w:pStyle w:val="NoSpacing"/>
            </w:pPr>
          </w:p>
        </w:tc>
        <w:tc>
          <w:tcPr>
            <w:tcW w:w="0" w:type="auto"/>
            <w:hideMark/>
          </w:tcPr>
          <w:p w14:paraId="20C3E8FF" w14:textId="77777777" w:rsidR="004D7615" w:rsidRPr="004D7615" w:rsidRDefault="004D7615" w:rsidP="007D0BE5">
            <w:pPr>
              <w:pStyle w:val="NoSpacing"/>
            </w:pPr>
          </w:p>
        </w:tc>
        <w:tc>
          <w:tcPr>
            <w:tcW w:w="0" w:type="auto"/>
            <w:hideMark/>
          </w:tcPr>
          <w:p w14:paraId="16CE5196" w14:textId="77777777" w:rsidR="004D7615" w:rsidRPr="004D7615" w:rsidRDefault="004D7615" w:rsidP="007D0BE5">
            <w:pPr>
              <w:pStyle w:val="NoSpacing"/>
            </w:pPr>
          </w:p>
        </w:tc>
        <w:tc>
          <w:tcPr>
            <w:tcW w:w="0" w:type="auto"/>
            <w:hideMark/>
          </w:tcPr>
          <w:p w14:paraId="041C9DE5" w14:textId="77777777" w:rsidR="004D7615" w:rsidRPr="004D7615" w:rsidRDefault="004D7615" w:rsidP="007D0BE5">
            <w:pPr>
              <w:pStyle w:val="NoSpacing"/>
            </w:pPr>
          </w:p>
        </w:tc>
      </w:tr>
      <w:tr w:rsidR="00622EAC" w:rsidRPr="004D7615" w14:paraId="3B558335" w14:textId="77777777" w:rsidTr="007D0BE5">
        <w:tc>
          <w:tcPr>
            <w:tcW w:w="0" w:type="auto"/>
            <w:hideMark/>
          </w:tcPr>
          <w:p w14:paraId="72757353" w14:textId="77777777" w:rsidR="004D7615" w:rsidRPr="004D7615" w:rsidRDefault="004D7615" w:rsidP="007D0BE5">
            <w:pPr>
              <w:pStyle w:val="NoSpacing"/>
            </w:pPr>
            <w:r w:rsidRPr="004D7615">
              <w:t>4. Log10 off-</w:t>
            </w:r>
            <w:proofErr w:type="gramStart"/>
            <w:r w:rsidRPr="004D7615">
              <w:t>premise</w:t>
            </w:r>
            <w:proofErr w:type="gramEnd"/>
            <w:r w:rsidRPr="004D7615">
              <w:t xml:space="preserve"> alcohol outlet density</w:t>
            </w:r>
          </w:p>
        </w:tc>
        <w:tc>
          <w:tcPr>
            <w:tcW w:w="0" w:type="auto"/>
            <w:hideMark/>
          </w:tcPr>
          <w:p w14:paraId="1ED63A5B" w14:textId="2A78D50D" w:rsidR="004D7615" w:rsidRPr="004D7615" w:rsidRDefault="004D7615" w:rsidP="007D0BE5">
            <w:pPr>
              <w:pStyle w:val="NoSpacing"/>
            </w:pPr>
            <w:r w:rsidRPr="004D7615">
              <w:t>.458</w:t>
            </w:r>
            <w:r w:rsidRPr="004D7615">
              <w:rPr>
                <w:b/>
                <w:bCs/>
                <w:vertAlign w:val="superscript"/>
              </w:rPr>
              <w:t>a</w:t>
            </w:r>
          </w:p>
        </w:tc>
        <w:tc>
          <w:tcPr>
            <w:tcW w:w="0" w:type="auto"/>
            <w:hideMark/>
          </w:tcPr>
          <w:p w14:paraId="1B896AA3" w14:textId="73B4EF03" w:rsidR="004D7615" w:rsidRPr="004D7615" w:rsidRDefault="004D7615" w:rsidP="007D0BE5">
            <w:pPr>
              <w:pStyle w:val="NoSpacing"/>
            </w:pPr>
            <w:r w:rsidRPr="004D7615">
              <w:t>.839</w:t>
            </w:r>
            <w:r w:rsidRPr="004D7615">
              <w:rPr>
                <w:b/>
                <w:bCs/>
                <w:vertAlign w:val="superscript"/>
              </w:rPr>
              <w:t>a</w:t>
            </w:r>
          </w:p>
        </w:tc>
        <w:tc>
          <w:tcPr>
            <w:tcW w:w="0" w:type="auto"/>
            <w:hideMark/>
          </w:tcPr>
          <w:p w14:paraId="01CC9DD3" w14:textId="60BDE43C" w:rsidR="004D7615" w:rsidRPr="004D7615" w:rsidRDefault="004D7615" w:rsidP="007D0BE5">
            <w:pPr>
              <w:pStyle w:val="NoSpacing"/>
            </w:pPr>
            <w:r w:rsidRPr="004D7615">
              <w:t>.685</w:t>
            </w:r>
            <w:r w:rsidRPr="004D7615">
              <w:rPr>
                <w:b/>
                <w:bCs/>
                <w:vertAlign w:val="superscript"/>
              </w:rPr>
              <w:t>a</w:t>
            </w:r>
          </w:p>
        </w:tc>
        <w:tc>
          <w:tcPr>
            <w:tcW w:w="0" w:type="auto"/>
            <w:hideMark/>
          </w:tcPr>
          <w:p w14:paraId="21CF5A62" w14:textId="77777777" w:rsidR="004D7615" w:rsidRPr="004D7615" w:rsidRDefault="004D7615" w:rsidP="007D0BE5">
            <w:pPr>
              <w:pStyle w:val="NoSpacing"/>
            </w:pPr>
            <w:r w:rsidRPr="004D7615">
              <w:t>1.000</w:t>
            </w:r>
          </w:p>
        </w:tc>
        <w:tc>
          <w:tcPr>
            <w:tcW w:w="0" w:type="auto"/>
            <w:hideMark/>
          </w:tcPr>
          <w:p w14:paraId="2ACB13F5" w14:textId="77777777" w:rsidR="004D7615" w:rsidRPr="004D7615" w:rsidRDefault="004D7615" w:rsidP="007D0BE5">
            <w:pPr>
              <w:pStyle w:val="NoSpacing"/>
            </w:pPr>
          </w:p>
        </w:tc>
        <w:tc>
          <w:tcPr>
            <w:tcW w:w="0" w:type="auto"/>
            <w:hideMark/>
          </w:tcPr>
          <w:p w14:paraId="4BC96AE1" w14:textId="77777777" w:rsidR="004D7615" w:rsidRPr="004D7615" w:rsidRDefault="004D7615" w:rsidP="007D0BE5">
            <w:pPr>
              <w:pStyle w:val="NoSpacing"/>
            </w:pPr>
          </w:p>
        </w:tc>
        <w:tc>
          <w:tcPr>
            <w:tcW w:w="0" w:type="auto"/>
            <w:hideMark/>
          </w:tcPr>
          <w:p w14:paraId="09162185" w14:textId="77777777" w:rsidR="004D7615" w:rsidRPr="004D7615" w:rsidRDefault="004D7615" w:rsidP="007D0BE5">
            <w:pPr>
              <w:pStyle w:val="NoSpacing"/>
            </w:pPr>
          </w:p>
        </w:tc>
        <w:tc>
          <w:tcPr>
            <w:tcW w:w="0" w:type="auto"/>
            <w:hideMark/>
          </w:tcPr>
          <w:p w14:paraId="31108E62" w14:textId="77777777" w:rsidR="004D7615" w:rsidRPr="004D7615" w:rsidRDefault="004D7615" w:rsidP="007D0BE5">
            <w:pPr>
              <w:pStyle w:val="NoSpacing"/>
            </w:pPr>
          </w:p>
        </w:tc>
        <w:tc>
          <w:tcPr>
            <w:tcW w:w="0" w:type="auto"/>
            <w:hideMark/>
          </w:tcPr>
          <w:p w14:paraId="63331FBD" w14:textId="77777777" w:rsidR="004D7615" w:rsidRPr="004D7615" w:rsidRDefault="004D7615" w:rsidP="007D0BE5">
            <w:pPr>
              <w:pStyle w:val="NoSpacing"/>
            </w:pPr>
          </w:p>
        </w:tc>
      </w:tr>
      <w:tr w:rsidR="004D7615" w:rsidRPr="004D7615" w14:paraId="4BE56EFF" w14:textId="77777777" w:rsidTr="007D0BE5">
        <w:tc>
          <w:tcPr>
            <w:tcW w:w="0" w:type="auto"/>
            <w:hideMark/>
          </w:tcPr>
          <w:p w14:paraId="5A975128" w14:textId="77777777" w:rsidR="004D7615" w:rsidRPr="004D7615" w:rsidRDefault="004D7615" w:rsidP="007D0BE5">
            <w:pPr>
              <w:pStyle w:val="NoSpacing"/>
            </w:pPr>
            <w:r w:rsidRPr="004D7615">
              <w:t>5. Ln population density</w:t>
            </w:r>
          </w:p>
        </w:tc>
        <w:tc>
          <w:tcPr>
            <w:tcW w:w="0" w:type="auto"/>
            <w:hideMark/>
          </w:tcPr>
          <w:p w14:paraId="7A11619D" w14:textId="6B30169A" w:rsidR="004D7615" w:rsidRPr="004D7615" w:rsidRDefault="004D7615" w:rsidP="007D0BE5">
            <w:pPr>
              <w:pStyle w:val="NoSpacing"/>
            </w:pPr>
            <w:r w:rsidRPr="004D7615">
              <w:t>.365</w:t>
            </w:r>
            <w:r w:rsidRPr="004D7615">
              <w:rPr>
                <w:b/>
                <w:bCs/>
                <w:vertAlign w:val="superscript"/>
              </w:rPr>
              <w:t>a</w:t>
            </w:r>
          </w:p>
        </w:tc>
        <w:tc>
          <w:tcPr>
            <w:tcW w:w="0" w:type="auto"/>
            <w:hideMark/>
          </w:tcPr>
          <w:p w14:paraId="07DACE6E" w14:textId="01ADE223" w:rsidR="004D7615" w:rsidRPr="004D7615" w:rsidRDefault="004D7615" w:rsidP="007D0BE5">
            <w:pPr>
              <w:pStyle w:val="NoSpacing"/>
            </w:pPr>
            <w:r w:rsidRPr="004D7615">
              <w:t>.329</w:t>
            </w:r>
            <w:r w:rsidRPr="004D7615">
              <w:rPr>
                <w:b/>
                <w:bCs/>
                <w:vertAlign w:val="superscript"/>
              </w:rPr>
              <w:t>a</w:t>
            </w:r>
          </w:p>
        </w:tc>
        <w:tc>
          <w:tcPr>
            <w:tcW w:w="0" w:type="auto"/>
            <w:hideMark/>
          </w:tcPr>
          <w:p w14:paraId="702E1851" w14:textId="440556E6" w:rsidR="004D7615" w:rsidRPr="004D7615" w:rsidRDefault="004D7615" w:rsidP="007D0BE5">
            <w:pPr>
              <w:pStyle w:val="NoSpacing"/>
            </w:pPr>
            <w:r w:rsidRPr="004D7615">
              <w:t>.289</w:t>
            </w:r>
            <w:r w:rsidRPr="004D7615">
              <w:rPr>
                <w:b/>
                <w:bCs/>
                <w:vertAlign w:val="superscript"/>
              </w:rPr>
              <w:t>b</w:t>
            </w:r>
          </w:p>
        </w:tc>
        <w:tc>
          <w:tcPr>
            <w:tcW w:w="0" w:type="auto"/>
            <w:hideMark/>
          </w:tcPr>
          <w:p w14:paraId="3367CAC5" w14:textId="49B048D1" w:rsidR="004D7615" w:rsidRPr="004D7615" w:rsidRDefault="004D7615" w:rsidP="007D0BE5">
            <w:pPr>
              <w:pStyle w:val="NoSpacing"/>
            </w:pPr>
            <w:r w:rsidRPr="004D7615">
              <w:t>.345</w:t>
            </w:r>
            <w:r w:rsidRPr="004D7615">
              <w:rPr>
                <w:b/>
                <w:bCs/>
                <w:vertAlign w:val="superscript"/>
              </w:rPr>
              <w:t>a</w:t>
            </w:r>
          </w:p>
        </w:tc>
        <w:tc>
          <w:tcPr>
            <w:tcW w:w="0" w:type="auto"/>
            <w:hideMark/>
          </w:tcPr>
          <w:p w14:paraId="2FDABE69" w14:textId="77777777" w:rsidR="004D7615" w:rsidRPr="004D7615" w:rsidRDefault="004D7615" w:rsidP="007D0BE5">
            <w:pPr>
              <w:pStyle w:val="NoSpacing"/>
            </w:pPr>
            <w:r w:rsidRPr="004D7615">
              <w:t>1.000</w:t>
            </w:r>
          </w:p>
        </w:tc>
        <w:tc>
          <w:tcPr>
            <w:tcW w:w="0" w:type="auto"/>
            <w:hideMark/>
          </w:tcPr>
          <w:p w14:paraId="75C789A0" w14:textId="77777777" w:rsidR="004D7615" w:rsidRPr="004D7615" w:rsidRDefault="004D7615" w:rsidP="007D0BE5">
            <w:pPr>
              <w:pStyle w:val="NoSpacing"/>
            </w:pPr>
          </w:p>
        </w:tc>
        <w:tc>
          <w:tcPr>
            <w:tcW w:w="0" w:type="auto"/>
            <w:hideMark/>
          </w:tcPr>
          <w:p w14:paraId="02F7A3E8" w14:textId="77777777" w:rsidR="004D7615" w:rsidRPr="004D7615" w:rsidRDefault="004D7615" w:rsidP="007D0BE5">
            <w:pPr>
              <w:pStyle w:val="NoSpacing"/>
            </w:pPr>
          </w:p>
        </w:tc>
        <w:tc>
          <w:tcPr>
            <w:tcW w:w="0" w:type="auto"/>
            <w:hideMark/>
          </w:tcPr>
          <w:p w14:paraId="7157BA98" w14:textId="77777777" w:rsidR="004D7615" w:rsidRPr="004D7615" w:rsidRDefault="004D7615" w:rsidP="007D0BE5">
            <w:pPr>
              <w:pStyle w:val="NoSpacing"/>
            </w:pPr>
          </w:p>
        </w:tc>
        <w:tc>
          <w:tcPr>
            <w:tcW w:w="0" w:type="auto"/>
            <w:hideMark/>
          </w:tcPr>
          <w:p w14:paraId="4D9E45B7" w14:textId="77777777" w:rsidR="004D7615" w:rsidRPr="004D7615" w:rsidRDefault="004D7615" w:rsidP="007D0BE5">
            <w:pPr>
              <w:pStyle w:val="NoSpacing"/>
            </w:pPr>
          </w:p>
        </w:tc>
      </w:tr>
      <w:tr w:rsidR="00622EAC" w:rsidRPr="004D7615" w14:paraId="2C29C876" w14:textId="77777777" w:rsidTr="007D0BE5">
        <w:tc>
          <w:tcPr>
            <w:tcW w:w="0" w:type="auto"/>
            <w:hideMark/>
          </w:tcPr>
          <w:p w14:paraId="3BE00D98" w14:textId="77777777" w:rsidR="004D7615" w:rsidRPr="004D7615" w:rsidRDefault="004D7615" w:rsidP="007D0BE5">
            <w:pPr>
              <w:pStyle w:val="NoSpacing"/>
            </w:pPr>
            <w:r w:rsidRPr="004D7615">
              <w:t>6. Square root African American</w:t>
            </w:r>
          </w:p>
        </w:tc>
        <w:tc>
          <w:tcPr>
            <w:tcW w:w="0" w:type="auto"/>
            <w:hideMark/>
          </w:tcPr>
          <w:p w14:paraId="1D765BB5" w14:textId="51089046" w:rsidR="004D7615" w:rsidRPr="004D7615" w:rsidRDefault="004D7615" w:rsidP="007D0BE5">
            <w:pPr>
              <w:pStyle w:val="NoSpacing"/>
            </w:pPr>
            <w:r w:rsidRPr="004D7615">
              <w:t>.334</w:t>
            </w:r>
            <w:r w:rsidRPr="004D7615">
              <w:rPr>
                <w:b/>
                <w:bCs/>
                <w:vertAlign w:val="superscript"/>
              </w:rPr>
              <w:t>a</w:t>
            </w:r>
          </w:p>
        </w:tc>
        <w:tc>
          <w:tcPr>
            <w:tcW w:w="0" w:type="auto"/>
            <w:hideMark/>
          </w:tcPr>
          <w:p w14:paraId="60A90046" w14:textId="77777777" w:rsidR="004D7615" w:rsidRPr="004D7615" w:rsidRDefault="004D7615" w:rsidP="007D0BE5">
            <w:pPr>
              <w:pStyle w:val="NoSpacing"/>
            </w:pPr>
            <w:r w:rsidRPr="004D7615">
              <w:t>.130</w:t>
            </w:r>
          </w:p>
        </w:tc>
        <w:tc>
          <w:tcPr>
            <w:tcW w:w="0" w:type="auto"/>
            <w:hideMark/>
          </w:tcPr>
          <w:p w14:paraId="4E7C6F3F" w14:textId="77777777" w:rsidR="004D7615" w:rsidRPr="004D7615" w:rsidRDefault="004D7615" w:rsidP="007D0BE5">
            <w:pPr>
              <w:pStyle w:val="NoSpacing"/>
            </w:pPr>
            <w:r w:rsidRPr="004D7615">
              <w:t>.140</w:t>
            </w:r>
          </w:p>
        </w:tc>
        <w:tc>
          <w:tcPr>
            <w:tcW w:w="0" w:type="auto"/>
            <w:hideMark/>
          </w:tcPr>
          <w:p w14:paraId="16C49A5B" w14:textId="77777777" w:rsidR="004D7615" w:rsidRPr="004D7615" w:rsidRDefault="004D7615" w:rsidP="007D0BE5">
            <w:pPr>
              <w:pStyle w:val="NoSpacing"/>
            </w:pPr>
            <w:r w:rsidRPr="004D7615">
              <w:t>.070</w:t>
            </w:r>
          </w:p>
        </w:tc>
        <w:tc>
          <w:tcPr>
            <w:tcW w:w="0" w:type="auto"/>
            <w:hideMark/>
          </w:tcPr>
          <w:p w14:paraId="0F626011" w14:textId="0DF73785" w:rsidR="004D7615" w:rsidRPr="004D7615" w:rsidRDefault="004D7615" w:rsidP="007D0BE5">
            <w:pPr>
              <w:pStyle w:val="NoSpacing"/>
            </w:pPr>
            <w:r w:rsidRPr="004D7615">
              <w:t>.290</w:t>
            </w:r>
            <w:r w:rsidRPr="004D7615">
              <w:rPr>
                <w:b/>
                <w:bCs/>
                <w:vertAlign w:val="superscript"/>
              </w:rPr>
              <w:t>b</w:t>
            </w:r>
          </w:p>
        </w:tc>
        <w:tc>
          <w:tcPr>
            <w:tcW w:w="0" w:type="auto"/>
            <w:hideMark/>
          </w:tcPr>
          <w:p w14:paraId="4C0C18D5" w14:textId="77777777" w:rsidR="004D7615" w:rsidRPr="004D7615" w:rsidRDefault="004D7615" w:rsidP="007D0BE5">
            <w:pPr>
              <w:pStyle w:val="NoSpacing"/>
            </w:pPr>
            <w:r w:rsidRPr="004D7615">
              <w:t>1.00</w:t>
            </w:r>
          </w:p>
        </w:tc>
        <w:tc>
          <w:tcPr>
            <w:tcW w:w="0" w:type="auto"/>
            <w:hideMark/>
          </w:tcPr>
          <w:p w14:paraId="0721871D" w14:textId="77777777" w:rsidR="004D7615" w:rsidRPr="004D7615" w:rsidRDefault="004D7615" w:rsidP="007D0BE5">
            <w:pPr>
              <w:pStyle w:val="NoSpacing"/>
            </w:pPr>
          </w:p>
        </w:tc>
        <w:tc>
          <w:tcPr>
            <w:tcW w:w="0" w:type="auto"/>
            <w:hideMark/>
          </w:tcPr>
          <w:p w14:paraId="2C490DF2" w14:textId="77777777" w:rsidR="004D7615" w:rsidRPr="004D7615" w:rsidRDefault="004D7615" w:rsidP="007D0BE5">
            <w:pPr>
              <w:pStyle w:val="NoSpacing"/>
            </w:pPr>
          </w:p>
        </w:tc>
        <w:tc>
          <w:tcPr>
            <w:tcW w:w="0" w:type="auto"/>
            <w:hideMark/>
          </w:tcPr>
          <w:p w14:paraId="09A8CF6A" w14:textId="77777777" w:rsidR="004D7615" w:rsidRPr="004D7615" w:rsidRDefault="004D7615" w:rsidP="007D0BE5">
            <w:pPr>
              <w:pStyle w:val="NoSpacing"/>
            </w:pPr>
          </w:p>
        </w:tc>
      </w:tr>
      <w:tr w:rsidR="004D7615" w:rsidRPr="004D7615" w14:paraId="7C08DA8C" w14:textId="77777777" w:rsidTr="007D0BE5">
        <w:tc>
          <w:tcPr>
            <w:tcW w:w="0" w:type="auto"/>
            <w:hideMark/>
          </w:tcPr>
          <w:p w14:paraId="59FC1E1F" w14:textId="77777777" w:rsidR="004D7615" w:rsidRPr="004D7615" w:rsidRDefault="004D7615" w:rsidP="007D0BE5">
            <w:pPr>
              <w:pStyle w:val="NoSpacing"/>
            </w:pPr>
            <w:r w:rsidRPr="004D7615">
              <w:t>7. Square root female headed households</w:t>
            </w:r>
          </w:p>
        </w:tc>
        <w:tc>
          <w:tcPr>
            <w:tcW w:w="0" w:type="auto"/>
            <w:hideMark/>
          </w:tcPr>
          <w:p w14:paraId="381C8180" w14:textId="77777777" w:rsidR="004D7615" w:rsidRPr="004D7615" w:rsidRDefault="004D7615" w:rsidP="007D0BE5">
            <w:pPr>
              <w:pStyle w:val="NoSpacing"/>
            </w:pPr>
            <w:r w:rsidRPr="004D7615">
              <w:t>.17</w:t>
            </w:r>
          </w:p>
        </w:tc>
        <w:tc>
          <w:tcPr>
            <w:tcW w:w="0" w:type="auto"/>
            <w:hideMark/>
          </w:tcPr>
          <w:p w14:paraId="38A0D71A" w14:textId="77777777" w:rsidR="004D7615" w:rsidRPr="004D7615" w:rsidRDefault="004D7615" w:rsidP="007D0BE5">
            <w:pPr>
              <w:pStyle w:val="NoSpacing"/>
            </w:pPr>
            <w:r w:rsidRPr="004D7615">
              <w:t>.00</w:t>
            </w:r>
          </w:p>
        </w:tc>
        <w:tc>
          <w:tcPr>
            <w:tcW w:w="0" w:type="auto"/>
            <w:hideMark/>
          </w:tcPr>
          <w:p w14:paraId="0D68E4DA" w14:textId="77777777" w:rsidR="004D7615" w:rsidRPr="004D7615" w:rsidRDefault="004D7615" w:rsidP="007D0BE5">
            <w:pPr>
              <w:pStyle w:val="NoSpacing"/>
            </w:pPr>
            <w:r w:rsidRPr="004D7615">
              <w:t>.06</w:t>
            </w:r>
          </w:p>
        </w:tc>
        <w:tc>
          <w:tcPr>
            <w:tcW w:w="0" w:type="auto"/>
            <w:hideMark/>
          </w:tcPr>
          <w:p w14:paraId="0C2041F6" w14:textId="77777777" w:rsidR="004D7615" w:rsidRPr="004D7615" w:rsidRDefault="004D7615" w:rsidP="007D0BE5">
            <w:pPr>
              <w:pStyle w:val="NoSpacing"/>
            </w:pPr>
            <w:r w:rsidRPr="004D7615">
              <w:t>−.06</w:t>
            </w:r>
          </w:p>
        </w:tc>
        <w:tc>
          <w:tcPr>
            <w:tcW w:w="0" w:type="auto"/>
            <w:hideMark/>
          </w:tcPr>
          <w:p w14:paraId="4C8F27C6" w14:textId="77777777" w:rsidR="004D7615" w:rsidRPr="004D7615" w:rsidRDefault="004D7615" w:rsidP="007D0BE5">
            <w:pPr>
              <w:pStyle w:val="NoSpacing"/>
            </w:pPr>
            <w:r w:rsidRPr="004D7615">
              <w:t>−.07</w:t>
            </w:r>
          </w:p>
        </w:tc>
        <w:tc>
          <w:tcPr>
            <w:tcW w:w="0" w:type="auto"/>
            <w:hideMark/>
          </w:tcPr>
          <w:p w14:paraId="2AF5B39E" w14:textId="77777777" w:rsidR="004D7615" w:rsidRPr="004D7615" w:rsidRDefault="004D7615" w:rsidP="007D0BE5">
            <w:pPr>
              <w:pStyle w:val="NoSpacing"/>
            </w:pPr>
            <w:r w:rsidRPr="004D7615">
              <w:t>.09</w:t>
            </w:r>
          </w:p>
        </w:tc>
        <w:tc>
          <w:tcPr>
            <w:tcW w:w="0" w:type="auto"/>
            <w:hideMark/>
          </w:tcPr>
          <w:p w14:paraId="2EF88253" w14:textId="77777777" w:rsidR="004D7615" w:rsidRPr="004D7615" w:rsidRDefault="004D7615" w:rsidP="007D0BE5">
            <w:pPr>
              <w:pStyle w:val="NoSpacing"/>
            </w:pPr>
            <w:r w:rsidRPr="004D7615">
              <w:t>1.00</w:t>
            </w:r>
          </w:p>
        </w:tc>
        <w:tc>
          <w:tcPr>
            <w:tcW w:w="0" w:type="auto"/>
            <w:hideMark/>
          </w:tcPr>
          <w:p w14:paraId="0EAC8066" w14:textId="77777777" w:rsidR="004D7615" w:rsidRPr="004D7615" w:rsidRDefault="004D7615" w:rsidP="007D0BE5">
            <w:pPr>
              <w:pStyle w:val="NoSpacing"/>
            </w:pPr>
          </w:p>
        </w:tc>
        <w:tc>
          <w:tcPr>
            <w:tcW w:w="0" w:type="auto"/>
            <w:hideMark/>
          </w:tcPr>
          <w:p w14:paraId="0AC67F28" w14:textId="77777777" w:rsidR="004D7615" w:rsidRPr="004D7615" w:rsidRDefault="004D7615" w:rsidP="007D0BE5">
            <w:pPr>
              <w:pStyle w:val="NoSpacing"/>
            </w:pPr>
          </w:p>
        </w:tc>
      </w:tr>
      <w:tr w:rsidR="00622EAC" w:rsidRPr="004D7615" w14:paraId="5F0DA0EB" w14:textId="77777777" w:rsidTr="007D0BE5">
        <w:tc>
          <w:tcPr>
            <w:tcW w:w="0" w:type="auto"/>
            <w:hideMark/>
          </w:tcPr>
          <w:p w14:paraId="7AB535D3" w14:textId="77777777" w:rsidR="004D7615" w:rsidRPr="004D7615" w:rsidRDefault="004D7615" w:rsidP="007D0BE5">
            <w:pPr>
              <w:pStyle w:val="NoSpacing"/>
            </w:pPr>
            <w:r w:rsidRPr="004D7615">
              <w:t>8. Ln poverty</w:t>
            </w:r>
          </w:p>
        </w:tc>
        <w:tc>
          <w:tcPr>
            <w:tcW w:w="0" w:type="auto"/>
            <w:hideMark/>
          </w:tcPr>
          <w:p w14:paraId="14DEE15B" w14:textId="060434A1" w:rsidR="004D7615" w:rsidRPr="004D7615" w:rsidRDefault="004D7615" w:rsidP="007D0BE5">
            <w:pPr>
              <w:pStyle w:val="NoSpacing"/>
            </w:pPr>
            <w:r w:rsidRPr="004D7615">
              <w:t>.287</w:t>
            </w:r>
            <w:r w:rsidRPr="004D7615">
              <w:rPr>
                <w:b/>
                <w:bCs/>
                <w:vertAlign w:val="superscript"/>
              </w:rPr>
              <w:t>b</w:t>
            </w:r>
          </w:p>
        </w:tc>
        <w:tc>
          <w:tcPr>
            <w:tcW w:w="0" w:type="auto"/>
            <w:hideMark/>
          </w:tcPr>
          <w:p w14:paraId="457823B8" w14:textId="058E8BF0" w:rsidR="004D7615" w:rsidRPr="004D7615" w:rsidRDefault="004D7615" w:rsidP="007D0BE5">
            <w:pPr>
              <w:pStyle w:val="NoSpacing"/>
            </w:pPr>
            <w:r w:rsidRPr="004D7615">
              <w:t>.472</w:t>
            </w:r>
            <w:r w:rsidRPr="004D7615">
              <w:rPr>
                <w:b/>
                <w:bCs/>
                <w:vertAlign w:val="superscript"/>
              </w:rPr>
              <w:t>a</w:t>
            </w:r>
          </w:p>
        </w:tc>
        <w:tc>
          <w:tcPr>
            <w:tcW w:w="0" w:type="auto"/>
            <w:hideMark/>
          </w:tcPr>
          <w:p w14:paraId="2CFF2482" w14:textId="5673D6FA" w:rsidR="004D7615" w:rsidRPr="004D7615" w:rsidRDefault="004D7615" w:rsidP="007D0BE5">
            <w:pPr>
              <w:pStyle w:val="NoSpacing"/>
            </w:pPr>
            <w:r w:rsidRPr="004D7615">
              <w:t>.427</w:t>
            </w:r>
            <w:r w:rsidRPr="004D7615">
              <w:rPr>
                <w:b/>
                <w:bCs/>
                <w:vertAlign w:val="superscript"/>
              </w:rPr>
              <w:t>a</w:t>
            </w:r>
          </w:p>
        </w:tc>
        <w:tc>
          <w:tcPr>
            <w:tcW w:w="0" w:type="auto"/>
            <w:hideMark/>
          </w:tcPr>
          <w:p w14:paraId="532860D3" w14:textId="4A044BEA" w:rsidR="004D7615" w:rsidRPr="004D7615" w:rsidRDefault="004D7615" w:rsidP="007D0BE5">
            <w:pPr>
              <w:pStyle w:val="NoSpacing"/>
            </w:pPr>
            <w:r w:rsidRPr="004D7615">
              <w:t>.478</w:t>
            </w:r>
            <w:r w:rsidRPr="004D7615">
              <w:rPr>
                <w:b/>
                <w:bCs/>
                <w:vertAlign w:val="superscript"/>
              </w:rPr>
              <w:t>a</w:t>
            </w:r>
          </w:p>
        </w:tc>
        <w:tc>
          <w:tcPr>
            <w:tcW w:w="0" w:type="auto"/>
            <w:hideMark/>
          </w:tcPr>
          <w:p w14:paraId="4F175113" w14:textId="6F419F9C" w:rsidR="004D7615" w:rsidRPr="004D7615" w:rsidRDefault="004D7615" w:rsidP="007D0BE5">
            <w:pPr>
              <w:pStyle w:val="NoSpacing"/>
            </w:pPr>
            <w:r w:rsidRPr="004D7615">
              <w:t>.573</w:t>
            </w:r>
            <w:r w:rsidRPr="004D7615">
              <w:rPr>
                <w:b/>
                <w:bCs/>
                <w:vertAlign w:val="superscript"/>
              </w:rPr>
              <w:t>a</w:t>
            </w:r>
          </w:p>
        </w:tc>
        <w:tc>
          <w:tcPr>
            <w:tcW w:w="0" w:type="auto"/>
            <w:hideMark/>
          </w:tcPr>
          <w:p w14:paraId="4C8E1840" w14:textId="77DC18B5" w:rsidR="004D7615" w:rsidRPr="004D7615" w:rsidRDefault="004D7615" w:rsidP="007D0BE5">
            <w:pPr>
              <w:pStyle w:val="NoSpacing"/>
            </w:pPr>
            <w:r w:rsidRPr="004D7615">
              <w:t>.256</w:t>
            </w:r>
            <w:r w:rsidRPr="004D7615">
              <w:rPr>
                <w:b/>
                <w:bCs/>
                <w:vertAlign w:val="superscript"/>
              </w:rPr>
              <w:t>b</w:t>
            </w:r>
          </w:p>
        </w:tc>
        <w:tc>
          <w:tcPr>
            <w:tcW w:w="0" w:type="auto"/>
            <w:hideMark/>
          </w:tcPr>
          <w:p w14:paraId="02451AA2" w14:textId="77777777" w:rsidR="004D7615" w:rsidRPr="004D7615" w:rsidRDefault="004D7615" w:rsidP="007D0BE5">
            <w:pPr>
              <w:pStyle w:val="NoSpacing"/>
            </w:pPr>
            <w:r w:rsidRPr="004D7615">
              <w:t>−.130</w:t>
            </w:r>
          </w:p>
        </w:tc>
        <w:tc>
          <w:tcPr>
            <w:tcW w:w="0" w:type="auto"/>
            <w:hideMark/>
          </w:tcPr>
          <w:p w14:paraId="301B61FD" w14:textId="77777777" w:rsidR="004D7615" w:rsidRPr="004D7615" w:rsidRDefault="004D7615" w:rsidP="007D0BE5">
            <w:pPr>
              <w:pStyle w:val="NoSpacing"/>
            </w:pPr>
            <w:r w:rsidRPr="004D7615">
              <w:t>1.000</w:t>
            </w:r>
          </w:p>
        </w:tc>
        <w:tc>
          <w:tcPr>
            <w:tcW w:w="0" w:type="auto"/>
            <w:hideMark/>
          </w:tcPr>
          <w:p w14:paraId="258AF60A" w14:textId="77777777" w:rsidR="004D7615" w:rsidRPr="004D7615" w:rsidRDefault="004D7615" w:rsidP="007D0BE5">
            <w:pPr>
              <w:pStyle w:val="NoSpacing"/>
            </w:pPr>
          </w:p>
        </w:tc>
      </w:tr>
      <w:tr w:rsidR="004D7615" w:rsidRPr="004D7615" w14:paraId="3BCAA98F" w14:textId="77777777" w:rsidTr="007D0BE5">
        <w:tc>
          <w:tcPr>
            <w:tcW w:w="0" w:type="auto"/>
            <w:hideMark/>
          </w:tcPr>
          <w:p w14:paraId="28E3358F" w14:textId="77777777" w:rsidR="004D7615" w:rsidRPr="004D7615" w:rsidRDefault="004D7615" w:rsidP="007D0BE5">
            <w:pPr>
              <w:pStyle w:val="NoSpacing"/>
            </w:pPr>
            <w:r w:rsidRPr="004D7615">
              <w:t>9. Log10 prior density of intimate partner violence</w:t>
            </w:r>
          </w:p>
        </w:tc>
        <w:tc>
          <w:tcPr>
            <w:tcW w:w="0" w:type="auto"/>
            <w:hideMark/>
          </w:tcPr>
          <w:p w14:paraId="2F8A6ECA" w14:textId="68EEB583" w:rsidR="004D7615" w:rsidRPr="004D7615" w:rsidRDefault="004D7615" w:rsidP="007D0BE5">
            <w:pPr>
              <w:pStyle w:val="NoSpacing"/>
            </w:pPr>
            <w:r w:rsidRPr="004D7615">
              <w:t>.724</w:t>
            </w:r>
            <w:r w:rsidRPr="004D7615">
              <w:rPr>
                <w:b/>
                <w:bCs/>
                <w:vertAlign w:val="superscript"/>
              </w:rPr>
              <w:t>a</w:t>
            </w:r>
          </w:p>
        </w:tc>
        <w:tc>
          <w:tcPr>
            <w:tcW w:w="0" w:type="auto"/>
            <w:hideMark/>
          </w:tcPr>
          <w:p w14:paraId="6CC90BEE" w14:textId="11DF857D" w:rsidR="004D7615" w:rsidRPr="004D7615" w:rsidRDefault="004D7615" w:rsidP="007D0BE5">
            <w:pPr>
              <w:pStyle w:val="NoSpacing"/>
            </w:pPr>
            <w:r w:rsidRPr="004D7615">
              <w:t>.356</w:t>
            </w:r>
            <w:r w:rsidRPr="004D7615">
              <w:rPr>
                <w:b/>
                <w:bCs/>
                <w:vertAlign w:val="superscript"/>
              </w:rPr>
              <w:t>a</w:t>
            </w:r>
          </w:p>
        </w:tc>
        <w:tc>
          <w:tcPr>
            <w:tcW w:w="0" w:type="auto"/>
            <w:hideMark/>
          </w:tcPr>
          <w:p w14:paraId="77DB8D6A" w14:textId="409A5655" w:rsidR="004D7615" w:rsidRPr="004D7615" w:rsidRDefault="004D7615" w:rsidP="007D0BE5">
            <w:pPr>
              <w:pStyle w:val="NoSpacing"/>
            </w:pPr>
            <w:r w:rsidRPr="004D7615">
              <w:t>.320</w:t>
            </w:r>
            <w:r w:rsidRPr="004D7615">
              <w:rPr>
                <w:b/>
                <w:bCs/>
                <w:vertAlign w:val="superscript"/>
              </w:rPr>
              <w:t>a</w:t>
            </w:r>
          </w:p>
        </w:tc>
        <w:tc>
          <w:tcPr>
            <w:tcW w:w="0" w:type="auto"/>
            <w:hideMark/>
          </w:tcPr>
          <w:p w14:paraId="3CCD0156" w14:textId="2340F36F" w:rsidR="004D7615" w:rsidRPr="004D7615" w:rsidRDefault="004D7615" w:rsidP="007D0BE5">
            <w:pPr>
              <w:pStyle w:val="NoSpacing"/>
            </w:pPr>
            <w:r w:rsidRPr="004D7615">
              <w:t>.347</w:t>
            </w:r>
            <w:r w:rsidRPr="004D7615">
              <w:rPr>
                <w:b/>
                <w:bCs/>
                <w:vertAlign w:val="superscript"/>
              </w:rPr>
              <w:t>a</w:t>
            </w:r>
          </w:p>
        </w:tc>
        <w:tc>
          <w:tcPr>
            <w:tcW w:w="0" w:type="auto"/>
            <w:hideMark/>
          </w:tcPr>
          <w:p w14:paraId="1FB91464" w14:textId="0723F754" w:rsidR="004D7615" w:rsidRPr="004D7615" w:rsidRDefault="004D7615" w:rsidP="007D0BE5">
            <w:pPr>
              <w:pStyle w:val="NoSpacing"/>
            </w:pPr>
            <w:r w:rsidRPr="004D7615">
              <w:t>.467</w:t>
            </w:r>
            <w:r w:rsidRPr="004D7615">
              <w:rPr>
                <w:b/>
                <w:bCs/>
                <w:vertAlign w:val="superscript"/>
              </w:rPr>
              <w:t>a</w:t>
            </w:r>
          </w:p>
        </w:tc>
        <w:tc>
          <w:tcPr>
            <w:tcW w:w="0" w:type="auto"/>
            <w:hideMark/>
          </w:tcPr>
          <w:p w14:paraId="1A4FF322" w14:textId="44F5FDA4" w:rsidR="004D7615" w:rsidRPr="004D7615" w:rsidRDefault="004D7615" w:rsidP="007D0BE5">
            <w:pPr>
              <w:pStyle w:val="NoSpacing"/>
            </w:pPr>
            <w:r w:rsidRPr="004D7615">
              <w:t>.365</w:t>
            </w:r>
            <w:r w:rsidRPr="004D7615">
              <w:rPr>
                <w:b/>
                <w:bCs/>
                <w:vertAlign w:val="superscript"/>
              </w:rPr>
              <w:t>a</w:t>
            </w:r>
          </w:p>
        </w:tc>
        <w:tc>
          <w:tcPr>
            <w:tcW w:w="0" w:type="auto"/>
            <w:hideMark/>
          </w:tcPr>
          <w:p w14:paraId="082F18AD" w14:textId="77777777" w:rsidR="004D7615" w:rsidRPr="004D7615" w:rsidRDefault="004D7615" w:rsidP="007D0BE5">
            <w:pPr>
              <w:pStyle w:val="NoSpacing"/>
            </w:pPr>
            <w:r w:rsidRPr="004D7615">
              <w:t>.160</w:t>
            </w:r>
          </w:p>
        </w:tc>
        <w:tc>
          <w:tcPr>
            <w:tcW w:w="0" w:type="auto"/>
            <w:hideMark/>
          </w:tcPr>
          <w:p w14:paraId="11D2569A" w14:textId="2A0091D8" w:rsidR="004D7615" w:rsidRPr="004D7615" w:rsidRDefault="004D7615" w:rsidP="007D0BE5">
            <w:pPr>
              <w:pStyle w:val="NoSpacing"/>
            </w:pPr>
            <w:r w:rsidRPr="004D7615">
              <w:t>.485</w:t>
            </w:r>
            <w:r w:rsidRPr="004D7615">
              <w:rPr>
                <w:b/>
                <w:bCs/>
                <w:vertAlign w:val="superscript"/>
              </w:rPr>
              <w:t>a</w:t>
            </w:r>
          </w:p>
        </w:tc>
        <w:tc>
          <w:tcPr>
            <w:tcW w:w="0" w:type="auto"/>
            <w:hideMark/>
          </w:tcPr>
          <w:p w14:paraId="4D511CCC" w14:textId="77777777" w:rsidR="004D7615" w:rsidRPr="004D7615" w:rsidRDefault="004D7615" w:rsidP="007D0BE5">
            <w:pPr>
              <w:pStyle w:val="NoSpacing"/>
            </w:pPr>
            <w:r w:rsidRPr="004D7615">
              <w:t>1.000</w:t>
            </w:r>
          </w:p>
        </w:tc>
      </w:tr>
    </w:tbl>
    <w:p w14:paraId="68D7988E" w14:textId="77777777" w:rsidR="004D7615" w:rsidRPr="004D7615" w:rsidRDefault="004D7615" w:rsidP="007D0BE5">
      <w:pPr>
        <w:pStyle w:val="NoSpacing"/>
      </w:pPr>
      <w:r w:rsidRPr="004D7615">
        <w:rPr>
          <w:i/>
          <w:iCs/>
        </w:rPr>
        <w:t>Note</w:t>
      </w:r>
      <w:r w:rsidRPr="004D7615">
        <w:t>. Ln = logarithm (natural).</w:t>
      </w:r>
    </w:p>
    <w:p w14:paraId="320475F9" w14:textId="77777777" w:rsidR="004D7615" w:rsidRPr="004D7615" w:rsidRDefault="004D7615" w:rsidP="007D0BE5">
      <w:pPr>
        <w:pStyle w:val="NoSpacing"/>
      </w:pPr>
      <w:r w:rsidRPr="004D7615">
        <w:t>[</w:t>
      </w:r>
      <w:proofErr w:type="spellStart"/>
      <w:r w:rsidRPr="004D7615">
        <w:t>i</w:t>
      </w:r>
      <w:proofErr w:type="spellEnd"/>
      <w:r w:rsidRPr="004D7615">
        <w:t>] </w:t>
      </w:r>
      <w:proofErr w:type="spellStart"/>
      <w:r w:rsidRPr="004D7615">
        <w:rPr>
          <w:vertAlign w:val="superscript"/>
        </w:rPr>
        <w:t>a</w:t>
      </w:r>
      <w:r w:rsidRPr="004D7615">
        <w:t>Correlation</w:t>
      </w:r>
      <w:proofErr w:type="spellEnd"/>
      <w:r w:rsidRPr="004D7615">
        <w:t xml:space="preserve"> is significant at the 0.01 level (two-tailed).</w:t>
      </w:r>
    </w:p>
    <w:p w14:paraId="702EAAFE" w14:textId="77777777" w:rsidR="004D7615" w:rsidRPr="004D7615" w:rsidRDefault="004D7615" w:rsidP="007D0BE5">
      <w:pPr>
        <w:pStyle w:val="NoSpacing"/>
      </w:pPr>
      <w:r w:rsidRPr="004D7615">
        <w:t>[ii] </w:t>
      </w:r>
      <w:proofErr w:type="spellStart"/>
      <w:r w:rsidRPr="004D7615">
        <w:rPr>
          <w:vertAlign w:val="superscript"/>
        </w:rPr>
        <w:t>b</w:t>
      </w:r>
      <w:r w:rsidRPr="004D7615">
        <w:t>Correlation</w:t>
      </w:r>
      <w:proofErr w:type="spellEnd"/>
      <w:r w:rsidRPr="004D7615">
        <w:t xml:space="preserve"> is significant at the 0.05 level (two-tailed).</w:t>
      </w:r>
    </w:p>
    <w:p w14:paraId="76DC2F71" w14:textId="77777777" w:rsidR="007D0BE5" w:rsidRDefault="007D0BE5" w:rsidP="004D7615"/>
    <w:p w14:paraId="4962D4CC" w14:textId="39604726" w:rsidR="004D7615" w:rsidRPr="004D7615" w:rsidRDefault="004D7615" w:rsidP="004D7615">
      <w:r w:rsidRPr="004D7615">
        <w:t>For reasons outlined earlier, I estimated three models. All three models were spatial regression models that used a first order queen contiguity matrix. All three models included the spatial lag term (</w:t>
      </w:r>
      <w:r w:rsidRPr="004D7615">
        <w:rPr>
          <w:i/>
          <w:iCs/>
        </w:rPr>
        <w:t>Rho</w:t>
      </w:r>
      <w:r w:rsidRPr="004D7615">
        <w:t>) that measured the average influence of neighboring block groups on the block group of interest. </w:t>
      </w:r>
      <w:r w:rsidRPr="004D7615">
        <w:rPr>
          <w:b/>
          <w:bCs/>
        </w:rPr>
        <w:t>Table 3</w:t>
      </w:r>
      <w:r w:rsidRPr="004D7615">
        <w:t xml:space="preserve"> shows the results of those three different models. Model 1 examined the association between total alcohol outlet density and intimate partner violence density net of control variables. The model explained about 61% of the variance in intimate partner violence. In Model 1, we see that total alcohol outlet density was positively and significantly associated with intimate partner violence </w:t>
      </w:r>
      <m:oMath>
        <m:r>
          <w:rPr>
            <w:rFonts w:ascii="Cambria Math" w:hAnsi="Cambria Math"/>
          </w:rPr>
          <m:t>(</m:t>
        </m:r>
        <m:r>
          <w:rPr>
            <w:rFonts w:ascii="Cambria Math" w:hAnsi="Cambria Math"/>
          </w:rPr>
          <m:t>p</m:t>
        </m:r>
        <m:r>
          <w:rPr>
            <w:rFonts w:ascii="Cambria Math" w:hAnsi="Cambria Math"/>
          </w:rPr>
          <m:t> = .04)</m:t>
        </m:r>
      </m:oMath>
      <w:r w:rsidRPr="004D7615">
        <w:t>. The spatial lag term (</w:t>
      </w:r>
      <w:r w:rsidRPr="004D7615">
        <w:rPr>
          <w:i/>
          <w:iCs/>
        </w:rPr>
        <w:t>Rho</w:t>
      </w:r>
      <w:r w:rsidRPr="004D7615">
        <w:t xml:space="preserve">) associated with intimate partner violence in the model was a positive and significant contributor to the model </w:t>
      </w:r>
      <m:oMath>
        <m:r>
          <w:rPr>
            <w:rFonts w:ascii="Cambria Math" w:hAnsi="Cambria Math"/>
          </w:rPr>
          <m:t>(</m:t>
        </m:r>
        <m:r>
          <w:rPr>
            <w:rFonts w:ascii="Cambria Math" w:hAnsi="Cambria Math"/>
          </w:rPr>
          <m:t>p</m:t>
        </m:r>
        <m:r>
          <w:rPr>
            <w:rFonts w:ascii="Cambria Math" w:hAnsi="Cambria Math"/>
          </w:rPr>
          <m:t> = .02)</m:t>
        </m:r>
      </m:oMath>
      <w:r w:rsidRPr="004D7615">
        <w:t>.</w:t>
      </w:r>
    </w:p>
    <w:p w14:paraId="2C7976B3" w14:textId="77777777" w:rsidR="005E2EF2" w:rsidRDefault="005E2EF2" w:rsidP="005E2EF2">
      <w:pPr>
        <w:spacing w:after="0"/>
        <w:rPr>
          <w:b/>
          <w:bCs/>
        </w:rPr>
        <w:sectPr w:rsidR="005E2EF2" w:rsidSect="00013176">
          <w:pgSz w:w="12240" w:h="15840"/>
          <w:pgMar w:top="1080" w:right="1080" w:bottom="1080" w:left="1080" w:header="720" w:footer="720" w:gutter="0"/>
          <w:cols w:space="720"/>
          <w:docGrid w:linePitch="360"/>
        </w:sectPr>
      </w:pPr>
    </w:p>
    <w:p w14:paraId="2F627304" w14:textId="480086F9" w:rsidR="004D7615" w:rsidRPr="004D7615" w:rsidRDefault="004D7615" w:rsidP="005E2EF2">
      <w:pPr>
        <w:spacing w:after="0"/>
      </w:pPr>
      <w:r w:rsidRPr="004D7615">
        <w:rPr>
          <w:b/>
          <w:bCs/>
        </w:rPr>
        <w:lastRenderedPageBreak/>
        <w:t>Table 3</w:t>
      </w:r>
      <w:r w:rsidR="005E2EF2">
        <w:rPr>
          <w:b/>
          <w:bCs/>
        </w:rPr>
        <w:t xml:space="preserve"> </w:t>
      </w:r>
      <w:r w:rsidRPr="004D7615">
        <w:t xml:space="preserve">Spatial Lag Regression Results for Intimate Partner Violence Density Regressed on Outlet Type for Bloomington Block Groups </w:t>
      </w:r>
      <m:oMath>
        <m:r>
          <w:rPr>
            <w:rFonts w:ascii="Cambria Math" w:hAnsi="Cambria Math"/>
          </w:rPr>
          <m:t>(</m:t>
        </m:r>
        <m:r>
          <w:rPr>
            <w:rFonts w:ascii="Cambria Math" w:hAnsi="Cambria Math"/>
          </w:rPr>
          <m:t>N</m:t>
        </m:r>
        <m:r>
          <w:rPr>
            <w:rFonts w:ascii="Cambria Math" w:hAnsi="Cambria Math"/>
          </w:rPr>
          <m:t> = 65)</m:t>
        </m:r>
      </m:oMath>
    </w:p>
    <w:tbl>
      <w:tblPr>
        <w:tblStyle w:val="TableGrid"/>
        <w:tblW w:w="0" w:type="auto"/>
        <w:tblLook w:val="04A0" w:firstRow="1" w:lastRow="0" w:firstColumn="1" w:lastColumn="0" w:noHBand="0" w:noVBand="1"/>
      </w:tblPr>
      <w:tblGrid>
        <w:gridCol w:w="4855"/>
        <w:gridCol w:w="1832"/>
        <w:gridCol w:w="628"/>
        <w:gridCol w:w="717"/>
        <w:gridCol w:w="1775"/>
        <w:gridCol w:w="539"/>
        <w:gridCol w:w="630"/>
        <w:gridCol w:w="1704"/>
        <w:gridCol w:w="495"/>
        <w:gridCol w:w="495"/>
      </w:tblGrid>
      <w:tr w:rsidR="00753809" w:rsidRPr="004D7615" w14:paraId="1BDD0ADC" w14:textId="77777777" w:rsidTr="004B0F49">
        <w:tc>
          <w:tcPr>
            <w:tcW w:w="4855" w:type="dxa"/>
            <w:hideMark/>
          </w:tcPr>
          <w:p w14:paraId="6EE33233" w14:textId="77777777" w:rsidR="00753809" w:rsidRPr="004D7615" w:rsidRDefault="00753809" w:rsidP="005E2EF2">
            <w:pPr>
              <w:pStyle w:val="NoSpacing"/>
            </w:pPr>
          </w:p>
        </w:tc>
        <w:tc>
          <w:tcPr>
            <w:tcW w:w="1832" w:type="dxa"/>
            <w:hideMark/>
          </w:tcPr>
          <w:p w14:paraId="542A062C" w14:textId="77777777" w:rsidR="00753809" w:rsidRPr="004D7615" w:rsidRDefault="00753809" w:rsidP="005E2EF2">
            <w:pPr>
              <w:pStyle w:val="NoSpacing"/>
            </w:pPr>
            <w:r w:rsidRPr="004D7615">
              <w:t>Model 1 Total Alcohol Outlet Density</w:t>
            </w:r>
          </w:p>
        </w:tc>
        <w:tc>
          <w:tcPr>
            <w:tcW w:w="628" w:type="dxa"/>
          </w:tcPr>
          <w:p w14:paraId="6B3BA60A" w14:textId="77777777" w:rsidR="00753809" w:rsidRPr="004D7615" w:rsidRDefault="00753809" w:rsidP="005E2EF2">
            <w:pPr>
              <w:pStyle w:val="NoSpacing"/>
            </w:pPr>
          </w:p>
        </w:tc>
        <w:tc>
          <w:tcPr>
            <w:tcW w:w="717" w:type="dxa"/>
          </w:tcPr>
          <w:p w14:paraId="1D09AEE3" w14:textId="3D5A8195" w:rsidR="00753809" w:rsidRPr="004D7615" w:rsidRDefault="00753809" w:rsidP="005E2EF2">
            <w:pPr>
              <w:pStyle w:val="NoSpacing"/>
            </w:pPr>
          </w:p>
        </w:tc>
        <w:tc>
          <w:tcPr>
            <w:tcW w:w="1775" w:type="dxa"/>
            <w:hideMark/>
          </w:tcPr>
          <w:p w14:paraId="2BF29180" w14:textId="77777777" w:rsidR="00753809" w:rsidRPr="004D7615" w:rsidRDefault="00753809" w:rsidP="005E2EF2">
            <w:pPr>
              <w:pStyle w:val="NoSpacing"/>
            </w:pPr>
            <w:r w:rsidRPr="004D7615">
              <w:t xml:space="preserve">Model 2 </w:t>
            </w:r>
            <w:proofErr w:type="gramStart"/>
            <w:r w:rsidRPr="004D7615">
              <w:t>On-Premise</w:t>
            </w:r>
            <w:proofErr w:type="gramEnd"/>
            <w:r w:rsidRPr="004D7615">
              <w:t xml:space="preserve"> Alcohol Outlet Density</w:t>
            </w:r>
          </w:p>
        </w:tc>
        <w:tc>
          <w:tcPr>
            <w:tcW w:w="539" w:type="dxa"/>
          </w:tcPr>
          <w:p w14:paraId="13C49F17" w14:textId="77777777" w:rsidR="00753809" w:rsidRPr="004D7615" w:rsidRDefault="00753809" w:rsidP="005E2EF2">
            <w:pPr>
              <w:pStyle w:val="NoSpacing"/>
            </w:pPr>
          </w:p>
        </w:tc>
        <w:tc>
          <w:tcPr>
            <w:tcW w:w="630" w:type="dxa"/>
          </w:tcPr>
          <w:p w14:paraId="178704B9" w14:textId="5F21BA3D" w:rsidR="00753809" w:rsidRPr="004D7615" w:rsidRDefault="00753809" w:rsidP="005E2EF2">
            <w:pPr>
              <w:pStyle w:val="NoSpacing"/>
            </w:pPr>
          </w:p>
        </w:tc>
        <w:tc>
          <w:tcPr>
            <w:tcW w:w="1704" w:type="dxa"/>
            <w:hideMark/>
          </w:tcPr>
          <w:p w14:paraId="263A9E30" w14:textId="77777777" w:rsidR="00753809" w:rsidRPr="004D7615" w:rsidRDefault="00753809" w:rsidP="005E2EF2">
            <w:pPr>
              <w:pStyle w:val="NoSpacing"/>
            </w:pPr>
            <w:r w:rsidRPr="004D7615">
              <w:t>Model 3 Off-</w:t>
            </w:r>
            <w:proofErr w:type="gramStart"/>
            <w:r w:rsidRPr="004D7615">
              <w:t>Premise</w:t>
            </w:r>
            <w:proofErr w:type="gramEnd"/>
            <w:r w:rsidRPr="004D7615">
              <w:t xml:space="preserve"> Alcohol Outlet Density</w:t>
            </w:r>
          </w:p>
        </w:tc>
        <w:tc>
          <w:tcPr>
            <w:tcW w:w="0" w:type="auto"/>
          </w:tcPr>
          <w:p w14:paraId="500D0DC3" w14:textId="77777777" w:rsidR="00753809" w:rsidRPr="004D7615" w:rsidRDefault="00753809" w:rsidP="005E2EF2">
            <w:pPr>
              <w:pStyle w:val="NoSpacing"/>
            </w:pPr>
          </w:p>
        </w:tc>
        <w:tc>
          <w:tcPr>
            <w:tcW w:w="0" w:type="auto"/>
          </w:tcPr>
          <w:p w14:paraId="31CCE0E9" w14:textId="7E6DA983" w:rsidR="00753809" w:rsidRPr="004D7615" w:rsidRDefault="00753809" w:rsidP="005E2EF2">
            <w:pPr>
              <w:pStyle w:val="NoSpacing"/>
            </w:pPr>
          </w:p>
        </w:tc>
      </w:tr>
      <w:tr w:rsidR="005E2EF2" w:rsidRPr="004D7615" w14:paraId="54166AC4" w14:textId="77777777" w:rsidTr="004B0F49">
        <w:tc>
          <w:tcPr>
            <w:tcW w:w="4855" w:type="dxa"/>
            <w:hideMark/>
          </w:tcPr>
          <w:p w14:paraId="09F666F4" w14:textId="77777777" w:rsidR="004D7615" w:rsidRPr="004D7615" w:rsidRDefault="004D7615" w:rsidP="005E2EF2">
            <w:pPr>
              <w:pStyle w:val="NoSpacing"/>
            </w:pPr>
          </w:p>
        </w:tc>
        <w:tc>
          <w:tcPr>
            <w:tcW w:w="1832" w:type="dxa"/>
            <w:hideMark/>
          </w:tcPr>
          <w:p w14:paraId="4CD847A0" w14:textId="77777777" w:rsidR="004D7615" w:rsidRPr="004D7615" w:rsidRDefault="004D7615" w:rsidP="005E2EF2">
            <w:pPr>
              <w:pStyle w:val="NoSpacing"/>
              <w:rPr>
                <w:b/>
                <w:bCs/>
              </w:rPr>
            </w:pPr>
            <w:r w:rsidRPr="004D7615">
              <w:rPr>
                <w:b/>
                <w:bCs/>
              </w:rPr>
              <w:t>b</w:t>
            </w:r>
          </w:p>
        </w:tc>
        <w:tc>
          <w:tcPr>
            <w:tcW w:w="628" w:type="dxa"/>
            <w:hideMark/>
          </w:tcPr>
          <w:p w14:paraId="2040ACAE" w14:textId="77777777" w:rsidR="004D7615" w:rsidRPr="004D7615" w:rsidRDefault="004D7615" w:rsidP="005E2EF2">
            <w:pPr>
              <w:pStyle w:val="NoSpacing"/>
              <w:rPr>
                <w:b/>
                <w:bCs/>
              </w:rPr>
            </w:pPr>
            <w:r w:rsidRPr="004D7615">
              <w:rPr>
                <w:b/>
                <w:bCs/>
              </w:rPr>
              <w:t>se</w:t>
            </w:r>
          </w:p>
        </w:tc>
        <w:tc>
          <w:tcPr>
            <w:tcW w:w="717" w:type="dxa"/>
            <w:hideMark/>
          </w:tcPr>
          <w:p w14:paraId="6C2D43BC" w14:textId="77777777" w:rsidR="004D7615" w:rsidRPr="004D7615" w:rsidRDefault="004D7615" w:rsidP="005E2EF2">
            <w:pPr>
              <w:pStyle w:val="NoSpacing"/>
              <w:rPr>
                <w:b/>
                <w:bCs/>
              </w:rPr>
            </w:pPr>
            <w:r w:rsidRPr="004D7615">
              <w:rPr>
                <w:b/>
                <w:bCs/>
                <w:i/>
                <w:iCs/>
              </w:rPr>
              <w:t>p</w:t>
            </w:r>
          </w:p>
        </w:tc>
        <w:tc>
          <w:tcPr>
            <w:tcW w:w="1775" w:type="dxa"/>
            <w:hideMark/>
          </w:tcPr>
          <w:p w14:paraId="1F8C69CD" w14:textId="77777777" w:rsidR="004D7615" w:rsidRPr="004D7615" w:rsidRDefault="004D7615" w:rsidP="005E2EF2">
            <w:pPr>
              <w:pStyle w:val="NoSpacing"/>
              <w:rPr>
                <w:b/>
                <w:bCs/>
              </w:rPr>
            </w:pPr>
            <w:r w:rsidRPr="004D7615">
              <w:rPr>
                <w:b/>
                <w:bCs/>
              </w:rPr>
              <w:t>b</w:t>
            </w:r>
          </w:p>
        </w:tc>
        <w:tc>
          <w:tcPr>
            <w:tcW w:w="539" w:type="dxa"/>
            <w:hideMark/>
          </w:tcPr>
          <w:p w14:paraId="68C3A387" w14:textId="77777777" w:rsidR="004D7615" w:rsidRPr="004D7615" w:rsidRDefault="004D7615" w:rsidP="005E2EF2">
            <w:pPr>
              <w:pStyle w:val="NoSpacing"/>
              <w:rPr>
                <w:b/>
                <w:bCs/>
              </w:rPr>
            </w:pPr>
            <w:r w:rsidRPr="004D7615">
              <w:rPr>
                <w:b/>
                <w:bCs/>
              </w:rPr>
              <w:t>se</w:t>
            </w:r>
          </w:p>
        </w:tc>
        <w:tc>
          <w:tcPr>
            <w:tcW w:w="630" w:type="dxa"/>
            <w:hideMark/>
          </w:tcPr>
          <w:p w14:paraId="34656BE1" w14:textId="77777777" w:rsidR="004D7615" w:rsidRPr="004D7615" w:rsidRDefault="004D7615" w:rsidP="005E2EF2">
            <w:pPr>
              <w:pStyle w:val="NoSpacing"/>
              <w:rPr>
                <w:b/>
                <w:bCs/>
              </w:rPr>
            </w:pPr>
            <w:r w:rsidRPr="004D7615">
              <w:rPr>
                <w:b/>
                <w:bCs/>
                <w:i/>
                <w:iCs/>
              </w:rPr>
              <w:t>p</w:t>
            </w:r>
          </w:p>
        </w:tc>
        <w:tc>
          <w:tcPr>
            <w:tcW w:w="1704" w:type="dxa"/>
            <w:hideMark/>
          </w:tcPr>
          <w:p w14:paraId="31E8578D" w14:textId="77777777" w:rsidR="004D7615" w:rsidRPr="004D7615" w:rsidRDefault="004D7615" w:rsidP="005E2EF2">
            <w:pPr>
              <w:pStyle w:val="NoSpacing"/>
              <w:rPr>
                <w:b/>
                <w:bCs/>
              </w:rPr>
            </w:pPr>
            <w:r w:rsidRPr="004D7615">
              <w:rPr>
                <w:b/>
                <w:bCs/>
              </w:rPr>
              <w:t>b</w:t>
            </w:r>
          </w:p>
        </w:tc>
        <w:tc>
          <w:tcPr>
            <w:tcW w:w="0" w:type="auto"/>
            <w:hideMark/>
          </w:tcPr>
          <w:p w14:paraId="39739AA2" w14:textId="77777777" w:rsidR="004D7615" w:rsidRPr="004D7615" w:rsidRDefault="004D7615" w:rsidP="005E2EF2">
            <w:pPr>
              <w:pStyle w:val="NoSpacing"/>
              <w:rPr>
                <w:b/>
                <w:bCs/>
              </w:rPr>
            </w:pPr>
            <w:r w:rsidRPr="004D7615">
              <w:rPr>
                <w:b/>
                <w:bCs/>
              </w:rPr>
              <w:t>se</w:t>
            </w:r>
          </w:p>
        </w:tc>
        <w:tc>
          <w:tcPr>
            <w:tcW w:w="0" w:type="auto"/>
            <w:hideMark/>
          </w:tcPr>
          <w:p w14:paraId="23000D99" w14:textId="77777777" w:rsidR="004D7615" w:rsidRPr="004D7615" w:rsidRDefault="004D7615" w:rsidP="005E2EF2">
            <w:pPr>
              <w:pStyle w:val="NoSpacing"/>
              <w:rPr>
                <w:b/>
                <w:bCs/>
              </w:rPr>
            </w:pPr>
            <w:r w:rsidRPr="004D7615">
              <w:rPr>
                <w:b/>
                <w:bCs/>
                <w:i/>
                <w:iCs/>
              </w:rPr>
              <w:t>p</w:t>
            </w:r>
          </w:p>
        </w:tc>
      </w:tr>
      <w:tr w:rsidR="004B0F49" w:rsidRPr="004D7615" w14:paraId="29CFB627" w14:textId="77777777" w:rsidTr="004B0F49">
        <w:tc>
          <w:tcPr>
            <w:tcW w:w="4855" w:type="dxa"/>
            <w:hideMark/>
          </w:tcPr>
          <w:p w14:paraId="7B0AC647" w14:textId="77777777" w:rsidR="004D7615" w:rsidRPr="004D7615" w:rsidRDefault="004D7615" w:rsidP="005E2EF2">
            <w:pPr>
              <w:pStyle w:val="NoSpacing"/>
            </w:pPr>
            <w:r w:rsidRPr="004D7615">
              <w:t>Constant</w:t>
            </w:r>
          </w:p>
        </w:tc>
        <w:tc>
          <w:tcPr>
            <w:tcW w:w="1832" w:type="dxa"/>
            <w:hideMark/>
          </w:tcPr>
          <w:p w14:paraId="67659344" w14:textId="77777777" w:rsidR="004D7615" w:rsidRPr="004D7615" w:rsidRDefault="004D7615" w:rsidP="005E2EF2">
            <w:pPr>
              <w:pStyle w:val="NoSpacing"/>
            </w:pPr>
            <w:r w:rsidRPr="004D7615">
              <w:t>−.39</w:t>
            </w:r>
          </w:p>
        </w:tc>
        <w:tc>
          <w:tcPr>
            <w:tcW w:w="628" w:type="dxa"/>
            <w:hideMark/>
          </w:tcPr>
          <w:p w14:paraId="3ECF931C" w14:textId="77777777" w:rsidR="004D7615" w:rsidRPr="004D7615" w:rsidRDefault="004D7615" w:rsidP="005E2EF2">
            <w:pPr>
              <w:pStyle w:val="NoSpacing"/>
            </w:pPr>
            <w:r w:rsidRPr="004D7615">
              <w:t>.41</w:t>
            </w:r>
          </w:p>
        </w:tc>
        <w:tc>
          <w:tcPr>
            <w:tcW w:w="717" w:type="dxa"/>
            <w:hideMark/>
          </w:tcPr>
          <w:p w14:paraId="3C4B793B" w14:textId="77777777" w:rsidR="004D7615" w:rsidRPr="004D7615" w:rsidRDefault="004D7615" w:rsidP="005E2EF2">
            <w:pPr>
              <w:pStyle w:val="NoSpacing"/>
            </w:pPr>
            <w:r w:rsidRPr="004D7615">
              <w:t>.35</w:t>
            </w:r>
          </w:p>
        </w:tc>
        <w:tc>
          <w:tcPr>
            <w:tcW w:w="1775" w:type="dxa"/>
            <w:hideMark/>
          </w:tcPr>
          <w:p w14:paraId="3676A107" w14:textId="77777777" w:rsidR="004D7615" w:rsidRPr="004D7615" w:rsidRDefault="004D7615" w:rsidP="005E2EF2">
            <w:pPr>
              <w:pStyle w:val="NoSpacing"/>
            </w:pPr>
            <w:r w:rsidRPr="004D7615">
              <w:t>−.41</w:t>
            </w:r>
          </w:p>
        </w:tc>
        <w:tc>
          <w:tcPr>
            <w:tcW w:w="539" w:type="dxa"/>
            <w:hideMark/>
          </w:tcPr>
          <w:p w14:paraId="000C6629" w14:textId="77777777" w:rsidR="004D7615" w:rsidRPr="004D7615" w:rsidRDefault="004D7615" w:rsidP="005E2EF2">
            <w:pPr>
              <w:pStyle w:val="NoSpacing"/>
            </w:pPr>
            <w:r w:rsidRPr="004D7615">
              <w:t>.42</w:t>
            </w:r>
          </w:p>
        </w:tc>
        <w:tc>
          <w:tcPr>
            <w:tcW w:w="630" w:type="dxa"/>
            <w:hideMark/>
          </w:tcPr>
          <w:p w14:paraId="76B7D37C" w14:textId="77777777" w:rsidR="004D7615" w:rsidRPr="004D7615" w:rsidRDefault="004D7615" w:rsidP="005E2EF2">
            <w:pPr>
              <w:pStyle w:val="NoSpacing"/>
            </w:pPr>
            <w:r w:rsidRPr="004D7615">
              <w:t>.33</w:t>
            </w:r>
          </w:p>
        </w:tc>
        <w:tc>
          <w:tcPr>
            <w:tcW w:w="1704" w:type="dxa"/>
            <w:hideMark/>
          </w:tcPr>
          <w:p w14:paraId="05393CC7" w14:textId="77777777" w:rsidR="004D7615" w:rsidRPr="004D7615" w:rsidRDefault="004D7615" w:rsidP="005E2EF2">
            <w:pPr>
              <w:pStyle w:val="NoSpacing"/>
            </w:pPr>
            <w:r w:rsidRPr="004D7615">
              <w:t>−.38</w:t>
            </w:r>
          </w:p>
        </w:tc>
        <w:tc>
          <w:tcPr>
            <w:tcW w:w="0" w:type="auto"/>
            <w:hideMark/>
          </w:tcPr>
          <w:p w14:paraId="7FDD61CD" w14:textId="77777777" w:rsidR="004D7615" w:rsidRPr="004D7615" w:rsidRDefault="004D7615" w:rsidP="005E2EF2">
            <w:pPr>
              <w:pStyle w:val="NoSpacing"/>
            </w:pPr>
            <w:r w:rsidRPr="004D7615">
              <w:t>.38</w:t>
            </w:r>
          </w:p>
        </w:tc>
        <w:tc>
          <w:tcPr>
            <w:tcW w:w="0" w:type="auto"/>
            <w:hideMark/>
          </w:tcPr>
          <w:p w14:paraId="6AFDE88F" w14:textId="77777777" w:rsidR="004D7615" w:rsidRPr="004D7615" w:rsidRDefault="004D7615" w:rsidP="005E2EF2">
            <w:pPr>
              <w:pStyle w:val="NoSpacing"/>
            </w:pPr>
            <w:r w:rsidRPr="004D7615">
              <w:t>.33</w:t>
            </w:r>
          </w:p>
        </w:tc>
      </w:tr>
      <w:tr w:rsidR="005E2EF2" w:rsidRPr="004D7615" w14:paraId="51F3F4FE" w14:textId="77777777" w:rsidTr="004B0F49">
        <w:tc>
          <w:tcPr>
            <w:tcW w:w="4855" w:type="dxa"/>
            <w:hideMark/>
          </w:tcPr>
          <w:p w14:paraId="208BC7EB" w14:textId="77777777" w:rsidR="004D7615" w:rsidRPr="004D7615" w:rsidRDefault="004D7615" w:rsidP="005E2EF2">
            <w:pPr>
              <w:pStyle w:val="NoSpacing"/>
            </w:pPr>
            <w:r w:rsidRPr="004D7615">
              <w:t>Log10 total alcohol outlet density</w:t>
            </w:r>
          </w:p>
        </w:tc>
        <w:tc>
          <w:tcPr>
            <w:tcW w:w="1832" w:type="dxa"/>
            <w:hideMark/>
          </w:tcPr>
          <w:p w14:paraId="2D813C5E" w14:textId="77777777" w:rsidR="004D7615" w:rsidRPr="004D7615" w:rsidRDefault="004D7615" w:rsidP="005E2EF2">
            <w:pPr>
              <w:pStyle w:val="NoSpacing"/>
            </w:pPr>
            <w:r w:rsidRPr="004D7615">
              <w:t>.18</w:t>
            </w:r>
          </w:p>
        </w:tc>
        <w:tc>
          <w:tcPr>
            <w:tcW w:w="628" w:type="dxa"/>
            <w:hideMark/>
          </w:tcPr>
          <w:p w14:paraId="51F5AC40" w14:textId="77777777" w:rsidR="004D7615" w:rsidRPr="004D7615" w:rsidRDefault="004D7615" w:rsidP="005E2EF2">
            <w:pPr>
              <w:pStyle w:val="NoSpacing"/>
            </w:pPr>
            <w:r w:rsidRPr="004D7615">
              <w:t>.09</w:t>
            </w:r>
          </w:p>
        </w:tc>
        <w:tc>
          <w:tcPr>
            <w:tcW w:w="717" w:type="dxa"/>
            <w:hideMark/>
          </w:tcPr>
          <w:p w14:paraId="58DE05BD" w14:textId="77777777" w:rsidR="004D7615" w:rsidRPr="004D7615" w:rsidRDefault="004D7615" w:rsidP="005E2EF2">
            <w:pPr>
              <w:pStyle w:val="NoSpacing"/>
            </w:pPr>
            <w:r w:rsidRPr="004D7615">
              <w:t>.04</w:t>
            </w:r>
          </w:p>
        </w:tc>
        <w:tc>
          <w:tcPr>
            <w:tcW w:w="1775" w:type="dxa"/>
            <w:hideMark/>
          </w:tcPr>
          <w:p w14:paraId="588F127A" w14:textId="77777777" w:rsidR="004D7615" w:rsidRPr="004D7615" w:rsidRDefault="004D7615" w:rsidP="005E2EF2">
            <w:pPr>
              <w:pStyle w:val="NoSpacing"/>
            </w:pPr>
            <w:r w:rsidRPr="004D7615">
              <w:t>—</w:t>
            </w:r>
          </w:p>
        </w:tc>
        <w:tc>
          <w:tcPr>
            <w:tcW w:w="539" w:type="dxa"/>
            <w:hideMark/>
          </w:tcPr>
          <w:p w14:paraId="03C4C4F7" w14:textId="77777777" w:rsidR="004D7615" w:rsidRPr="004D7615" w:rsidRDefault="004D7615" w:rsidP="005E2EF2">
            <w:pPr>
              <w:pStyle w:val="NoSpacing"/>
            </w:pPr>
            <w:r w:rsidRPr="004D7615">
              <w:t>—</w:t>
            </w:r>
          </w:p>
        </w:tc>
        <w:tc>
          <w:tcPr>
            <w:tcW w:w="630" w:type="dxa"/>
            <w:hideMark/>
          </w:tcPr>
          <w:p w14:paraId="2EC4E7C3" w14:textId="77777777" w:rsidR="004D7615" w:rsidRPr="004D7615" w:rsidRDefault="004D7615" w:rsidP="005E2EF2">
            <w:pPr>
              <w:pStyle w:val="NoSpacing"/>
            </w:pPr>
            <w:r w:rsidRPr="004D7615">
              <w:t>—</w:t>
            </w:r>
          </w:p>
        </w:tc>
        <w:tc>
          <w:tcPr>
            <w:tcW w:w="1704" w:type="dxa"/>
            <w:hideMark/>
          </w:tcPr>
          <w:p w14:paraId="52FBE7E0" w14:textId="77777777" w:rsidR="004D7615" w:rsidRPr="004D7615" w:rsidRDefault="004D7615" w:rsidP="005E2EF2">
            <w:pPr>
              <w:pStyle w:val="NoSpacing"/>
            </w:pPr>
            <w:r w:rsidRPr="004D7615">
              <w:t>—</w:t>
            </w:r>
          </w:p>
        </w:tc>
        <w:tc>
          <w:tcPr>
            <w:tcW w:w="0" w:type="auto"/>
            <w:hideMark/>
          </w:tcPr>
          <w:p w14:paraId="24FB5385" w14:textId="77777777" w:rsidR="004D7615" w:rsidRPr="004D7615" w:rsidRDefault="004D7615" w:rsidP="005E2EF2">
            <w:pPr>
              <w:pStyle w:val="NoSpacing"/>
            </w:pPr>
            <w:r w:rsidRPr="004D7615">
              <w:t>—</w:t>
            </w:r>
          </w:p>
        </w:tc>
        <w:tc>
          <w:tcPr>
            <w:tcW w:w="0" w:type="auto"/>
            <w:hideMark/>
          </w:tcPr>
          <w:p w14:paraId="58BFD24F" w14:textId="77777777" w:rsidR="004D7615" w:rsidRPr="004D7615" w:rsidRDefault="004D7615" w:rsidP="005E2EF2">
            <w:pPr>
              <w:pStyle w:val="NoSpacing"/>
            </w:pPr>
            <w:r w:rsidRPr="004D7615">
              <w:t>—</w:t>
            </w:r>
          </w:p>
        </w:tc>
      </w:tr>
      <w:tr w:rsidR="004B0F49" w:rsidRPr="004D7615" w14:paraId="122E463A" w14:textId="77777777" w:rsidTr="004B0F49">
        <w:tc>
          <w:tcPr>
            <w:tcW w:w="4855" w:type="dxa"/>
            <w:hideMark/>
          </w:tcPr>
          <w:p w14:paraId="170A9B61" w14:textId="77777777" w:rsidR="004D7615" w:rsidRPr="004D7615" w:rsidRDefault="004D7615" w:rsidP="005E2EF2">
            <w:pPr>
              <w:pStyle w:val="NoSpacing"/>
            </w:pPr>
            <w:r w:rsidRPr="004D7615">
              <w:t xml:space="preserve">Log10 </w:t>
            </w:r>
            <w:proofErr w:type="gramStart"/>
            <w:r w:rsidRPr="004D7615">
              <w:t>on-premise</w:t>
            </w:r>
            <w:proofErr w:type="gramEnd"/>
            <w:r w:rsidRPr="004D7615">
              <w:t xml:space="preserve"> alcohol outlet density</w:t>
            </w:r>
          </w:p>
        </w:tc>
        <w:tc>
          <w:tcPr>
            <w:tcW w:w="1832" w:type="dxa"/>
            <w:hideMark/>
          </w:tcPr>
          <w:p w14:paraId="0CF78952" w14:textId="77777777" w:rsidR="004D7615" w:rsidRPr="004D7615" w:rsidRDefault="004D7615" w:rsidP="005E2EF2">
            <w:pPr>
              <w:pStyle w:val="NoSpacing"/>
            </w:pPr>
            <w:r w:rsidRPr="004D7615">
              <w:t>—</w:t>
            </w:r>
          </w:p>
        </w:tc>
        <w:tc>
          <w:tcPr>
            <w:tcW w:w="628" w:type="dxa"/>
            <w:hideMark/>
          </w:tcPr>
          <w:p w14:paraId="0F5BC14B" w14:textId="77777777" w:rsidR="004D7615" w:rsidRPr="004D7615" w:rsidRDefault="004D7615" w:rsidP="005E2EF2">
            <w:pPr>
              <w:pStyle w:val="NoSpacing"/>
            </w:pPr>
            <w:r w:rsidRPr="004D7615">
              <w:t>—</w:t>
            </w:r>
          </w:p>
        </w:tc>
        <w:tc>
          <w:tcPr>
            <w:tcW w:w="717" w:type="dxa"/>
            <w:hideMark/>
          </w:tcPr>
          <w:p w14:paraId="4E131E0E" w14:textId="77777777" w:rsidR="004D7615" w:rsidRPr="004D7615" w:rsidRDefault="004D7615" w:rsidP="005E2EF2">
            <w:pPr>
              <w:pStyle w:val="NoSpacing"/>
            </w:pPr>
            <w:r w:rsidRPr="004D7615">
              <w:t>—</w:t>
            </w:r>
          </w:p>
        </w:tc>
        <w:tc>
          <w:tcPr>
            <w:tcW w:w="1775" w:type="dxa"/>
            <w:hideMark/>
          </w:tcPr>
          <w:p w14:paraId="4E74E7AF" w14:textId="77777777" w:rsidR="004D7615" w:rsidRPr="004D7615" w:rsidRDefault="004D7615" w:rsidP="005E2EF2">
            <w:pPr>
              <w:pStyle w:val="NoSpacing"/>
            </w:pPr>
            <w:r w:rsidRPr="004D7615">
              <w:t>.11</w:t>
            </w:r>
          </w:p>
        </w:tc>
        <w:tc>
          <w:tcPr>
            <w:tcW w:w="539" w:type="dxa"/>
            <w:hideMark/>
          </w:tcPr>
          <w:p w14:paraId="75E9144A" w14:textId="77777777" w:rsidR="004D7615" w:rsidRPr="004D7615" w:rsidRDefault="004D7615" w:rsidP="005E2EF2">
            <w:pPr>
              <w:pStyle w:val="NoSpacing"/>
            </w:pPr>
            <w:r w:rsidRPr="004D7615">
              <w:t>.10</w:t>
            </w:r>
          </w:p>
        </w:tc>
        <w:tc>
          <w:tcPr>
            <w:tcW w:w="630" w:type="dxa"/>
            <w:hideMark/>
          </w:tcPr>
          <w:p w14:paraId="09BC546C" w14:textId="77777777" w:rsidR="004D7615" w:rsidRPr="004D7615" w:rsidRDefault="004D7615" w:rsidP="005E2EF2">
            <w:pPr>
              <w:pStyle w:val="NoSpacing"/>
            </w:pPr>
            <w:r w:rsidRPr="004D7615">
              <w:t>.24</w:t>
            </w:r>
          </w:p>
        </w:tc>
        <w:tc>
          <w:tcPr>
            <w:tcW w:w="1704" w:type="dxa"/>
            <w:hideMark/>
          </w:tcPr>
          <w:p w14:paraId="18FF5854" w14:textId="77777777" w:rsidR="004D7615" w:rsidRPr="004D7615" w:rsidRDefault="004D7615" w:rsidP="005E2EF2">
            <w:pPr>
              <w:pStyle w:val="NoSpacing"/>
            </w:pPr>
            <w:r w:rsidRPr="004D7615">
              <w:t>—</w:t>
            </w:r>
          </w:p>
        </w:tc>
        <w:tc>
          <w:tcPr>
            <w:tcW w:w="0" w:type="auto"/>
            <w:hideMark/>
          </w:tcPr>
          <w:p w14:paraId="16EC3E9F" w14:textId="77777777" w:rsidR="004D7615" w:rsidRPr="004D7615" w:rsidRDefault="004D7615" w:rsidP="005E2EF2">
            <w:pPr>
              <w:pStyle w:val="NoSpacing"/>
            </w:pPr>
            <w:r w:rsidRPr="004D7615">
              <w:t>—</w:t>
            </w:r>
          </w:p>
        </w:tc>
        <w:tc>
          <w:tcPr>
            <w:tcW w:w="0" w:type="auto"/>
            <w:hideMark/>
          </w:tcPr>
          <w:p w14:paraId="002B24C5" w14:textId="77777777" w:rsidR="004D7615" w:rsidRPr="004D7615" w:rsidRDefault="004D7615" w:rsidP="005E2EF2">
            <w:pPr>
              <w:pStyle w:val="NoSpacing"/>
            </w:pPr>
            <w:r w:rsidRPr="004D7615">
              <w:t>—</w:t>
            </w:r>
          </w:p>
        </w:tc>
      </w:tr>
      <w:tr w:rsidR="005E2EF2" w:rsidRPr="004D7615" w14:paraId="0DE912AB" w14:textId="77777777" w:rsidTr="004B0F49">
        <w:tc>
          <w:tcPr>
            <w:tcW w:w="4855" w:type="dxa"/>
            <w:hideMark/>
          </w:tcPr>
          <w:p w14:paraId="1448DC71" w14:textId="77777777" w:rsidR="004D7615" w:rsidRPr="004D7615" w:rsidRDefault="004D7615" w:rsidP="005E2EF2">
            <w:pPr>
              <w:pStyle w:val="NoSpacing"/>
            </w:pPr>
            <w:r w:rsidRPr="004D7615">
              <w:t>Log 10 off-</w:t>
            </w:r>
            <w:proofErr w:type="gramStart"/>
            <w:r w:rsidRPr="004D7615">
              <w:t>premise</w:t>
            </w:r>
            <w:proofErr w:type="gramEnd"/>
            <w:r w:rsidRPr="004D7615">
              <w:t xml:space="preserve"> alcohol outlet density</w:t>
            </w:r>
          </w:p>
        </w:tc>
        <w:tc>
          <w:tcPr>
            <w:tcW w:w="1832" w:type="dxa"/>
            <w:hideMark/>
          </w:tcPr>
          <w:p w14:paraId="4A3D93D4" w14:textId="77777777" w:rsidR="004D7615" w:rsidRPr="004D7615" w:rsidRDefault="004D7615" w:rsidP="005E2EF2">
            <w:pPr>
              <w:pStyle w:val="NoSpacing"/>
            </w:pPr>
            <w:r w:rsidRPr="004D7615">
              <w:t>—</w:t>
            </w:r>
          </w:p>
        </w:tc>
        <w:tc>
          <w:tcPr>
            <w:tcW w:w="628" w:type="dxa"/>
            <w:hideMark/>
          </w:tcPr>
          <w:p w14:paraId="375D0191" w14:textId="77777777" w:rsidR="004D7615" w:rsidRPr="004D7615" w:rsidRDefault="004D7615" w:rsidP="005E2EF2">
            <w:pPr>
              <w:pStyle w:val="NoSpacing"/>
            </w:pPr>
            <w:r w:rsidRPr="004D7615">
              <w:t>—</w:t>
            </w:r>
          </w:p>
        </w:tc>
        <w:tc>
          <w:tcPr>
            <w:tcW w:w="717" w:type="dxa"/>
            <w:hideMark/>
          </w:tcPr>
          <w:p w14:paraId="0611E3A8" w14:textId="77777777" w:rsidR="004D7615" w:rsidRPr="004D7615" w:rsidRDefault="004D7615" w:rsidP="005E2EF2">
            <w:pPr>
              <w:pStyle w:val="NoSpacing"/>
            </w:pPr>
            <w:r w:rsidRPr="004D7615">
              <w:rPr>
                <w:b/>
                <w:bCs/>
              </w:rPr>
              <w:t>—</w:t>
            </w:r>
          </w:p>
        </w:tc>
        <w:tc>
          <w:tcPr>
            <w:tcW w:w="1775" w:type="dxa"/>
            <w:hideMark/>
          </w:tcPr>
          <w:p w14:paraId="77575E8C" w14:textId="77777777" w:rsidR="004D7615" w:rsidRPr="004D7615" w:rsidRDefault="004D7615" w:rsidP="005E2EF2">
            <w:pPr>
              <w:pStyle w:val="NoSpacing"/>
            </w:pPr>
            <w:r w:rsidRPr="004D7615">
              <w:t>—</w:t>
            </w:r>
          </w:p>
        </w:tc>
        <w:tc>
          <w:tcPr>
            <w:tcW w:w="539" w:type="dxa"/>
            <w:hideMark/>
          </w:tcPr>
          <w:p w14:paraId="6DD31BBD" w14:textId="77777777" w:rsidR="004D7615" w:rsidRPr="004D7615" w:rsidRDefault="004D7615" w:rsidP="005E2EF2">
            <w:pPr>
              <w:pStyle w:val="NoSpacing"/>
            </w:pPr>
            <w:r w:rsidRPr="004D7615">
              <w:t>—</w:t>
            </w:r>
          </w:p>
        </w:tc>
        <w:tc>
          <w:tcPr>
            <w:tcW w:w="630" w:type="dxa"/>
            <w:hideMark/>
          </w:tcPr>
          <w:p w14:paraId="56DC1DAA" w14:textId="77777777" w:rsidR="004D7615" w:rsidRPr="004D7615" w:rsidRDefault="004D7615" w:rsidP="005E2EF2">
            <w:pPr>
              <w:pStyle w:val="NoSpacing"/>
            </w:pPr>
            <w:r w:rsidRPr="004D7615">
              <w:t>—</w:t>
            </w:r>
          </w:p>
        </w:tc>
        <w:tc>
          <w:tcPr>
            <w:tcW w:w="1704" w:type="dxa"/>
            <w:hideMark/>
          </w:tcPr>
          <w:p w14:paraId="556AF446" w14:textId="77777777" w:rsidR="004D7615" w:rsidRPr="004D7615" w:rsidRDefault="004D7615" w:rsidP="005E2EF2">
            <w:pPr>
              <w:pStyle w:val="NoSpacing"/>
            </w:pPr>
            <w:r w:rsidRPr="004D7615">
              <w:t>.43</w:t>
            </w:r>
          </w:p>
        </w:tc>
        <w:tc>
          <w:tcPr>
            <w:tcW w:w="0" w:type="auto"/>
            <w:hideMark/>
          </w:tcPr>
          <w:p w14:paraId="032A0264" w14:textId="77777777" w:rsidR="004D7615" w:rsidRPr="004D7615" w:rsidRDefault="004D7615" w:rsidP="005E2EF2">
            <w:pPr>
              <w:pStyle w:val="NoSpacing"/>
            </w:pPr>
            <w:r w:rsidRPr="004D7615">
              <w:t>.12</w:t>
            </w:r>
          </w:p>
        </w:tc>
        <w:tc>
          <w:tcPr>
            <w:tcW w:w="0" w:type="auto"/>
            <w:hideMark/>
          </w:tcPr>
          <w:p w14:paraId="7DAA6B73" w14:textId="77777777" w:rsidR="004D7615" w:rsidRPr="004D7615" w:rsidRDefault="004D7615" w:rsidP="005E2EF2">
            <w:pPr>
              <w:pStyle w:val="NoSpacing"/>
            </w:pPr>
            <w:r w:rsidRPr="004D7615">
              <w:t>.00</w:t>
            </w:r>
          </w:p>
        </w:tc>
      </w:tr>
      <w:tr w:rsidR="004B0F49" w:rsidRPr="004D7615" w14:paraId="67B7BE73" w14:textId="77777777" w:rsidTr="004B0F49">
        <w:tc>
          <w:tcPr>
            <w:tcW w:w="4855" w:type="dxa"/>
            <w:hideMark/>
          </w:tcPr>
          <w:p w14:paraId="417DE64A" w14:textId="77777777" w:rsidR="004D7615" w:rsidRPr="004D7615" w:rsidRDefault="004D7615" w:rsidP="005E2EF2">
            <w:pPr>
              <w:pStyle w:val="NoSpacing"/>
            </w:pPr>
            <w:r w:rsidRPr="004D7615">
              <w:rPr>
                <w:i/>
                <w:iCs/>
              </w:rPr>
              <w:t>Rho</w:t>
            </w:r>
            <w:r w:rsidRPr="004D7615">
              <w:t> intimate partner violence</w:t>
            </w:r>
          </w:p>
        </w:tc>
        <w:tc>
          <w:tcPr>
            <w:tcW w:w="1832" w:type="dxa"/>
            <w:hideMark/>
          </w:tcPr>
          <w:p w14:paraId="15F87941" w14:textId="77777777" w:rsidR="004D7615" w:rsidRPr="004D7615" w:rsidRDefault="004D7615" w:rsidP="005E2EF2">
            <w:pPr>
              <w:pStyle w:val="NoSpacing"/>
            </w:pPr>
            <w:r w:rsidRPr="004D7615">
              <w:t>.31</w:t>
            </w:r>
          </w:p>
        </w:tc>
        <w:tc>
          <w:tcPr>
            <w:tcW w:w="628" w:type="dxa"/>
            <w:hideMark/>
          </w:tcPr>
          <w:p w14:paraId="78507A51" w14:textId="77777777" w:rsidR="004D7615" w:rsidRPr="004D7615" w:rsidRDefault="004D7615" w:rsidP="005E2EF2">
            <w:pPr>
              <w:pStyle w:val="NoSpacing"/>
            </w:pPr>
            <w:r w:rsidRPr="004D7615">
              <w:t>.13</w:t>
            </w:r>
          </w:p>
        </w:tc>
        <w:tc>
          <w:tcPr>
            <w:tcW w:w="717" w:type="dxa"/>
            <w:hideMark/>
          </w:tcPr>
          <w:p w14:paraId="42716F1C" w14:textId="77777777" w:rsidR="004D7615" w:rsidRPr="004D7615" w:rsidRDefault="004D7615" w:rsidP="005E2EF2">
            <w:pPr>
              <w:pStyle w:val="NoSpacing"/>
            </w:pPr>
            <w:r w:rsidRPr="004D7615">
              <w:t>.02</w:t>
            </w:r>
          </w:p>
        </w:tc>
        <w:tc>
          <w:tcPr>
            <w:tcW w:w="1775" w:type="dxa"/>
            <w:hideMark/>
          </w:tcPr>
          <w:p w14:paraId="14C05E6A" w14:textId="77777777" w:rsidR="004D7615" w:rsidRPr="004D7615" w:rsidRDefault="004D7615" w:rsidP="005E2EF2">
            <w:pPr>
              <w:pStyle w:val="NoSpacing"/>
            </w:pPr>
            <w:r w:rsidRPr="004D7615">
              <w:t>.33</w:t>
            </w:r>
          </w:p>
        </w:tc>
        <w:tc>
          <w:tcPr>
            <w:tcW w:w="539" w:type="dxa"/>
            <w:hideMark/>
          </w:tcPr>
          <w:p w14:paraId="32F2C8CC" w14:textId="77777777" w:rsidR="004D7615" w:rsidRPr="004D7615" w:rsidRDefault="004D7615" w:rsidP="005E2EF2">
            <w:pPr>
              <w:pStyle w:val="NoSpacing"/>
            </w:pPr>
            <w:r w:rsidRPr="004D7615">
              <w:t>.13</w:t>
            </w:r>
          </w:p>
        </w:tc>
        <w:tc>
          <w:tcPr>
            <w:tcW w:w="630" w:type="dxa"/>
            <w:hideMark/>
          </w:tcPr>
          <w:p w14:paraId="270E0E1B" w14:textId="77777777" w:rsidR="004D7615" w:rsidRPr="004D7615" w:rsidRDefault="004D7615" w:rsidP="005E2EF2">
            <w:pPr>
              <w:pStyle w:val="NoSpacing"/>
            </w:pPr>
            <w:r w:rsidRPr="004D7615">
              <w:t>.01</w:t>
            </w:r>
          </w:p>
        </w:tc>
        <w:tc>
          <w:tcPr>
            <w:tcW w:w="1704" w:type="dxa"/>
            <w:hideMark/>
          </w:tcPr>
          <w:p w14:paraId="613FED09" w14:textId="77777777" w:rsidR="004D7615" w:rsidRPr="004D7615" w:rsidRDefault="004D7615" w:rsidP="005E2EF2">
            <w:pPr>
              <w:pStyle w:val="NoSpacing"/>
            </w:pPr>
            <w:r w:rsidRPr="004D7615">
              <w:t>.32</w:t>
            </w:r>
          </w:p>
        </w:tc>
        <w:tc>
          <w:tcPr>
            <w:tcW w:w="0" w:type="auto"/>
            <w:hideMark/>
          </w:tcPr>
          <w:p w14:paraId="6C755A31" w14:textId="77777777" w:rsidR="004D7615" w:rsidRPr="004D7615" w:rsidRDefault="004D7615" w:rsidP="005E2EF2">
            <w:pPr>
              <w:pStyle w:val="NoSpacing"/>
            </w:pPr>
            <w:r w:rsidRPr="004D7615">
              <w:t>.13</w:t>
            </w:r>
          </w:p>
        </w:tc>
        <w:tc>
          <w:tcPr>
            <w:tcW w:w="0" w:type="auto"/>
            <w:hideMark/>
          </w:tcPr>
          <w:p w14:paraId="6D120787" w14:textId="77777777" w:rsidR="004D7615" w:rsidRPr="004D7615" w:rsidRDefault="004D7615" w:rsidP="005E2EF2">
            <w:pPr>
              <w:pStyle w:val="NoSpacing"/>
            </w:pPr>
            <w:r w:rsidRPr="004D7615">
              <w:t>.01</w:t>
            </w:r>
          </w:p>
        </w:tc>
      </w:tr>
      <w:tr w:rsidR="005E2EF2" w:rsidRPr="004D7615" w14:paraId="035B8778" w14:textId="77777777" w:rsidTr="004B0F49">
        <w:tc>
          <w:tcPr>
            <w:tcW w:w="4855" w:type="dxa"/>
            <w:hideMark/>
          </w:tcPr>
          <w:p w14:paraId="0F123E16" w14:textId="77777777" w:rsidR="004D7615" w:rsidRPr="004D7615" w:rsidRDefault="004D7615" w:rsidP="005E2EF2">
            <w:pPr>
              <w:pStyle w:val="NoSpacing"/>
            </w:pPr>
            <w:r w:rsidRPr="004D7615">
              <w:t>Ln population density</w:t>
            </w:r>
          </w:p>
        </w:tc>
        <w:tc>
          <w:tcPr>
            <w:tcW w:w="1832" w:type="dxa"/>
            <w:hideMark/>
          </w:tcPr>
          <w:p w14:paraId="49E49295" w14:textId="77777777" w:rsidR="004D7615" w:rsidRPr="004D7615" w:rsidRDefault="004D7615" w:rsidP="005E2EF2">
            <w:pPr>
              <w:pStyle w:val="NoSpacing"/>
            </w:pPr>
            <w:r w:rsidRPr="004D7615">
              <w:t>.06</w:t>
            </w:r>
          </w:p>
        </w:tc>
        <w:tc>
          <w:tcPr>
            <w:tcW w:w="628" w:type="dxa"/>
            <w:hideMark/>
          </w:tcPr>
          <w:p w14:paraId="60D827A2" w14:textId="77777777" w:rsidR="004D7615" w:rsidRPr="004D7615" w:rsidRDefault="004D7615" w:rsidP="005E2EF2">
            <w:pPr>
              <w:pStyle w:val="NoSpacing"/>
            </w:pPr>
            <w:r w:rsidRPr="004D7615">
              <w:t>.06</w:t>
            </w:r>
          </w:p>
        </w:tc>
        <w:tc>
          <w:tcPr>
            <w:tcW w:w="717" w:type="dxa"/>
            <w:hideMark/>
          </w:tcPr>
          <w:p w14:paraId="5F7552F5" w14:textId="77777777" w:rsidR="004D7615" w:rsidRPr="004D7615" w:rsidRDefault="004D7615" w:rsidP="005E2EF2">
            <w:pPr>
              <w:pStyle w:val="NoSpacing"/>
            </w:pPr>
            <w:r w:rsidRPr="004D7615">
              <w:t>.27</w:t>
            </w:r>
          </w:p>
        </w:tc>
        <w:tc>
          <w:tcPr>
            <w:tcW w:w="1775" w:type="dxa"/>
            <w:hideMark/>
          </w:tcPr>
          <w:p w14:paraId="32FC6A6E" w14:textId="77777777" w:rsidR="004D7615" w:rsidRPr="004D7615" w:rsidRDefault="004D7615" w:rsidP="005E2EF2">
            <w:pPr>
              <w:pStyle w:val="NoSpacing"/>
            </w:pPr>
            <w:r w:rsidRPr="004D7615">
              <w:t>.07</w:t>
            </w:r>
          </w:p>
        </w:tc>
        <w:tc>
          <w:tcPr>
            <w:tcW w:w="539" w:type="dxa"/>
            <w:hideMark/>
          </w:tcPr>
          <w:p w14:paraId="188BC73E" w14:textId="77777777" w:rsidR="004D7615" w:rsidRPr="004D7615" w:rsidRDefault="004D7615" w:rsidP="005E2EF2">
            <w:pPr>
              <w:pStyle w:val="NoSpacing"/>
            </w:pPr>
            <w:r w:rsidRPr="004D7615">
              <w:t>.06</w:t>
            </w:r>
          </w:p>
        </w:tc>
        <w:tc>
          <w:tcPr>
            <w:tcW w:w="630" w:type="dxa"/>
            <w:hideMark/>
          </w:tcPr>
          <w:p w14:paraId="456761BA" w14:textId="77777777" w:rsidR="004D7615" w:rsidRPr="004D7615" w:rsidRDefault="004D7615" w:rsidP="005E2EF2">
            <w:pPr>
              <w:pStyle w:val="NoSpacing"/>
            </w:pPr>
            <w:r w:rsidRPr="004D7615">
              <w:t>.24</w:t>
            </w:r>
          </w:p>
        </w:tc>
        <w:tc>
          <w:tcPr>
            <w:tcW w:w="1704" w:type="dxa"/>
            <w:hideMark/>
          </w:tcPr>
          <w:p w14:paraId="2A1CEBFF" w14:textId="77777777" w:rsidR="004D7615" w:rsidRPr="004D7615" w:rsidRDefault="004D7615" w:rsidP="005E2EF2">
            <w:pPr>
              <w:pStyle w:val="NoSpacing"/>
            </w:pPr>
            <w:r w:rsidRPr="004D7615">
              <w:t>.05</w:t>
            </w:r>
          </w:p>
        </w:tc>
        <w:tc>
          <w:tcPr>
            <w:tcW w:w="0" w:type="auto"/>
            <w:hideMark/>
          </w:tcPr>
          <w:p w14:paraId="32965DCB" w14:textId="77777777" w:rsidR="004D7615" w:rsidRPr="004D7615" w:rsidRDefault="004D7615" w:rsidP="005E2EF2">
            <w:pPr>
              <w:pStyle w:val="NoSpacing"/>
            </w:pPr>
            <w:r w:rsidRPr="004D7615">
              <w:t>.05</w:t>
            </w:r>
          </w:p>
        </w:tc>
        <w:tc>
          <w:tcPr>
            <w:tcW w:w="0" w:type="auto"/>
            <w:hideMark/>
          </w:tcPr>
          <w:p w14:paraId="4D990B83" w14:textId="77777777" w:rsidR="004D7615" w:rsidRPr="004D7615" w:rsidRDefault="004D7615" w:rsidP="005E2EF2">
            <w:pPr>
              <w:pStyle w:val="NoSpacing"/>
            </w:pPr>
            <w:r w:rsidRPr="004D7615">
              <w:t>.30</w:t>
            </w:r>
          </w:p>
        </w:tc>
      </w:tr>
      <w:tr w:rsidR="004B0F49" w:rsidRPr="004D7615" w14:paraId="3E11F5E7" w14:textId="77777777" w:rsidTr="004B0F49">
        <w:tc>
          <w:tcPr>
            <w:tcW w:w="4855" w:type="dxa"/>
            <w:hideMark/>
          </w:tcPr>
          <w:p w14:paraId="6968C921" w14:textId="77777777" w:rsidR="004D7615" w:rsidRPr="004D7615" w:rsidRDefault="004D7615" w:rsidP="005E2EF2">
            <w:pPr>
              <w:pStyle w:val="NoSpacing"/>
            </w:pPr>
            <w:r w:rsidRPr="004D7615">
              <w:t>Square root African American</w:t>
            </w:r>
          </w:p>
        </w:tc>
        <w:tc>
          <w:tcPr>
            <w:tcW w:w="1832" w:type="dxa"/>
            <w:hideMark/>
          </w:tcPr>
          <w:p w14:paraId="73F8DC37" w14:textId="77777777" w:rsidR="004D7615" w:rsidRPr="004D7615" w:rsidRDefault="004D7615" w:rsidP="005E2EF2">
            <w:pPr>
              <w:pStyle w:val="NoSpacing"/>
            </w:pPr>
            <w:r w:rsidRPr="004D7615">
              <w:t>.70</w:t>
            </w:r>
          </w:p>
        </w:tc>
        <w:tc>
          <w:tcPr>
            <w:tcW w:w="628" w:type="dxa"/>
            <w:hideMark/>
          </w:tcPr>
          <w:p w14:paraId="2D251308" w14:textId="77777777" w:rsidR="004D7615" w:rsidRPr="004D7615" w:rsidRDefault="004D7615" w:rsidP="005E2EF2">
            <w:pPr>
              <w:pStyle w:val="NoSpacing"/>
            </w:pPr>
            <w:r w:rsidRPr="004D7615">
              <w:t>.71</w:t>
            </w:r>
          </w:p>
        </w:tc>
        <w:tc>
          <w:tcPr>
            <w:tcW w:w="717" w:type="dxa"/>
            <w:hideMark/>
          </w:tcPr>
          <w:p w14:paraId="0257E6DD" w14:textId="77777777" w:rsidR="004D7615" w:rsidRPr="004D7615" w:rsidRDefault="004D7615" w:rsidP="005E2EF2">
            <w:pPr>
              <w:pStyle w:val="NoSpacing"/>
            </w:pPr>
            <w:r w:rsidRPr="004D7615">
              <w:t>.33</w:t>
            </w:r>
          </w:p>
        </w:tc>
        <w:tc>
          <w:tcPr>
            <w:tcW w:w="1775" w:type="dxa"/>
            <w:hideMark/>
          </w:tcPr>
          <w:p w14:paraId="01404E4F" w14:textId="77777777" w:rsidR="004D7615" w:rsidRPr="004D7615" w:rsidRDefault="004D7615" w:rsidP="005E2EF2">
            <w:pPr>
              <w:pStyle w:val="NoSpacing"/>
            </w:pPr>
            <w:r w:rsidRPr="004D7615">
              <w:t>.64</w:t>
            </w:r>
          </w:p>
        </w:tc>
        <w:tc>
          <w:tcPr>
            <w:tcW w:w="539" w:type="dxa"/>
            <w:hideMark/>
          </w:tcPr>
          <w:p w14:paraId="1B08CBA6" w14:textId="77777777" w:rsidR="004D7615" w:rsidRPr="004D7615" w:rsidRDefault="004D7615" w:rsidP="005E2EF2">
            <w:pPr>
              <w:pStyle w:val="NoSpacing"/>
            </w:pPr>
            <w:r w:rsidRPr="004D7615">
              <w:t>.72</w:t>
            </w:r>
          </w:p>
        </w:tc>
        <w:tc>
          <w:tcPr>
            <w:tcW w:w="630" w:type="dxa"/>
            <w:hideMark/>
          </w:tcPr>
          <w:p w14:paraId="3B796A74" w14:textId="77777777" w:rsidR="004D7615" w:rsidRPr="004D7615" w:rsidRDefault="004D7615" w:rsidP="005E2EF2">
            <w:pPr>
              <w:pStyle w:val="NoSpacing"/>
            </w:pPr>
            <w:r w:rsidRPr="004D7615">
              <w:t>.38</w:t>
            </w:r>
          </w:p>
        </w:tc>
        <w:tc>
          <w:tcPr>
            <w:tcW w:w="1704" w:type="dxa"/>
            <w:hideMark/>
          </w:tcPr>
          <w:p w14:paraId="3BF5B1F4" w14:textId="77777777" w:rsidR="004D7615" w:rsidRPr="004D7615" w:rsidRDefault="004D7615" w:rsidP="005E2EF2">
            <w:pPr>
              <w:pStyle w:val="NoSpacing"/>
            </w:pPr>
            <w:r w:rsidRPr="004D7615">
              <w:t>.92</w:t>
            </w:r>
          </w:p>
        </w:tc>
        <w:tc>
          <w:tcPr>
            <w:tcW w:w="0" w:type="auto"/>
            <w:hideMark/>
          </w:tcPr>
          <w:p w14:paraId="5BB8BCA6" w14:textId="77777777" w:rsidR="004D7615" w:rsidRPr="004D7615" w:rsidRDefault="004D7615" w:rsidP="005E2EF2">
            <w:pPr>
              <w:pStyle w:val="NoSpacing"/>
            </w:pPr>
            <w:r w:rsidRPr="004D7615">
              <w:t>.68</w:t>
            </w:r>
          </w:p>
        </w:tc>
        <w:tc>
          <w:tcPr>
            <w:tcW w:w="0" w:type="auto"/>
            <w:hideMark/>
          </w:tcPr>
          <w:p w14:paraId="592A126E" w14:textId="77777777" w:rsidR="004D7615" w:rsidRPr="004D7615" w:rsidRDefault="004D7615" w:rsidP="005E2EF2">
            <w:pPr>
              <w:pStyle w:val="NoSpacing"/>
            </w:pPr>
            <w:r w:rsidRPr="004D7615">
              <w:t>.17</w:t>
            </w:r>
          </w:p>
        </w:tc>
      </w:tr>
      <w:tr w:rsidR="005E2EF2" w:rsidRPr="004D7615" w14:paraId="7B8C0792" w14:textId="77777777" w:rsidTr="004B0F49">
        <w:tc>
          <w:tcPr>
            <w:tcW w:w="4855" w:type="dxa"/>
            <w:hideMark/>
          </w:tcPr>
          <w:p w14:paraId="521386FE" w14:textId="77777777" w:rsidR="004D7615" w:rsidRPr="004D7615" w:rsidRDefault="004D7615" w:rsidP="005E2EF2">
            <w:pPr>
              <w:pStyle w:val="NoSpacing"/>
            </w:pPr>
            <w:r w:rsidRPr="004D7615">
              <w:t>Square root female headed households</w:t>
            </w:r>
          </w:p>
        </w:tc>
        <w:tc>
          <w:tcPr>
            <w:tcW w:w="1832" w:type="dxa"/>
            <w:hideMark/>
          </w:tcPr>
          <w:p w14:paraId="522EA393" w14:textId="77777777" w:rsidR="004D7615" w:rsidRPr="004D7615" w:rsidRDefault="004D7615" w:rsidP="005E2EF2">
            <w:pPr>
              <w:pStyle w:val="NoSpacing"/>
            </w:pPr>
            <w:r w:rsidRPr="004D7615">
              <w:t>.01</w:t>
            </w:r>
          </w:p>
        </w:tc>
        <w:tc>
          <w:tcPr>
            <w:tcW w:w="628" w:type="dxa"/>
            <w:hideMark/>
          </w:tcPr>
          <w:p w14:paraId="62462E6B" w14:textId="77777777" w:rsidR="004D7615" w:rsidRPr="004D7615" w:rsidRDefault="004D7615" w:rsidP="005E2EF2">
            <w:pPr>
              <w:pStyle w:val="NoSpacing"/>
            </w:pPr>
            <w:r w:rsidRPr="004D7615">
              <w:t>.25</w:t>
            </w:r>
          </w:p>
        </w:tc>
        <w:tc>
          <w:tcPr>
            <w:tcW w:w="717" w:type="dxa"/>
            <w:hideMark/>
          </w:tcPr>
          <w:p w14:paraId="396FADEA" w14:textId="77777777" w:rsidR="004D7615" w:rsidRPr="004D7615" w:rsidRDefault="004D7615" w:rsidP="005E2EF2">
            <w:pPr>
              <w:pStyle w:val="NoSpacing"/>
            </w:pPr>
            <w:r w:rsidRPr="004D7615">
              <w:t>.96</w:t>
            </w:r>
          </w:p>
        </w:tc>
        <w:tc>
          <w:tcPr>
            <w:tcW w:w="1775" w:type="dxa"/>
            <w:hideMark/>
          </w:tcPr>
          <w:p w14:paraId="0C6FCB31" w14:textId="77777777" w:rsidR="004D7615" w:rsidRPr="004D7615" w:rsidRDefault="004D7615" w:rsidP="005E2EF2">
            <w:pPr>
              <w:pStyle w:val="NoSpacing"/>
            </w:pPr>
            <w:r w:rsidRPr="004D7615">
              <w:t>−.00</w:t>
            </w:r>
          </w:p>
        </w:tc>
        <w:tc>
          <w:tcPr>
            <w:tcW w:w="539" w:type="dxa"/>
            <w:hideMark/>
          </w:tcPr>
          <w:p w14:paraId="37D2E0D5" w14:textId="77777777" w:rsidR="004D7615" w:rsidRPr="004D7615" w:rsidRDefault="004D7615" w:rsidP="005E2EF2">
            <w:pPr>
              <w:pStyle w:val="NoSpacing"/>
            </w:pPr>
            <w:r w:rsidRPr="004D7615">
              <w:t>.25</w:t>
            </w:r>
          </w:p>
        </w:tc>
        <w:tc>
          <w:tcPr>
            <w:tcW w:w="630" w:type="dxa"/>
            <w:hideMark/>
          </w:tcPr>
          <w:p w14:paraId="3008108A" w14:textId="77777777" w:rsidR="004D7615" w:rsidRPr="004D7615" w:rsidRDefault="004D7615" w:rsidP="005E2EF2">
            <w:pPr>
              <w:pStyle w:val="NoSpacing"/>
            </w:pPr>
            <w:r w:rsidRPr="004D7615">
              <w:t>.98</w:t>
            </w:r>
          </w:p>
        </w:tc>
        <w:tc>
          <w:tcPr>
            <w:tcW w:w="1704" w:type="dxa"/>
            <w:hideMark/>
          </w:tcPr>
          <w:p w14:paraId="406F4AB6" w14:textId="77777777" w:rsidR="004D7615" w:rsidRPr="004D7615" w:rsidRDefault="004D7615" w:rsidP="005E2EF2">
            <w:pPr>
              <w:pStyle w:val="NoSpacing"/>
            </w:pPr>
            <w:r w:rsidRPr="004D7615">
              <w:t>.05</w:t>
            </w:r>
          </w:p>
        </w:tc>
        <w:tc>
          <w:tcPr>
            <w:tcW w:w="0" w:type="auto"/>
            <w:hideMark/>
          </w:tcPr>
          <w:p w14:paraId="0891F406" w14:textId="77777777" w:rsidR="004D7615" w:rsidRPr="004D7615" w:rsidRDefault="004D7615" w:rsidP="005E2EF2">
            <w:pPr>
              <w:pStyle w:val="NoSpacing"/>
            </w:pPr>
            <w:r w:rsidRPr="004D7615">
              <w:t>.23</w:t>
            </w:r>
          </w:p>
        </w:tc>
        <w:tc>
          <w:tcPr>
            <w:tcW w:w="0" w:type="auto"/>
            <w:hideMark/>
          </w:tcPr>
          <w:p w14:paraId="624B3DBB" w14:textId="77777777" w:rsidR="004D7615" w:rsidRPr="004D7615" w:rsidRDefault="004D7615" w:rsidP="005E2EF2">
            <w:pPr>
              <w:pStyle w:val="NoSpacing"/>
            </w:pPr>
            <w:r w:rsidRPr="004D7615">
              <w:t>.82</w:t>
            </w:r>
          </w:p>
        </w:tc>
      </w:tr>
      <w:tr w:rsidR="004B0F49" w:rsidRPr="004D7615" w14:paraId="7171ADFF" w14:textId="77777777" w:rsidTr="004B0F49">
        <w:tc>
          <w:tcPr>
            <w:tcW w:w="4855" w:type="dxa"/>
            <w:hideMark/>
          </w:tcPr>
          <w:p w14:paraId="460B67AC" w14:textId="77777777" w:rsidR="004D7615" w:rsidRPr="004D7615" w:rsidRDefault="004D7615" w:rsidP="005E2EF2">
            <w:pPr>
              <w:pStyle w:val="NoSpacing"/>
            </w:pPr>
            <w:r w:rsidRPr="004D7615">
              <w:t>Ln poverty</w:t>
            </w:r>
          </w:p>
        </w:tc>
        <w:tc>
          <w:tcPr>
            <w:tcW w:w="1832" w:type="dxa"/>
            <w:hideMark/>
          </w:tcPr>
          <w:p w14:paraId="3E95003C" w14:textId="77777777" w:rsidR="004D7615" w:rsidRPr="004D7615" w:rsidRDefault="004D7615" w:rsidP="005E2EF2">
            <w:pPr>
              <w:pStyle w:val="NoSpacing"/>
            </w:pPr>
            <w:r w:rsidRPr="004D7615">
              <w:t>−.76</w:t>
            </w:r>
          </w:p>
        </w:tc>
        <w:tc>
          <w:tcPr>
            <w:tcW w:w="628" w:type="dxa"/>
            <w:hideMark/>
          </w:tcPr>
          <w:p w14:paraId="7536D3F6" w14:textId="77777777" w:rsidR="004D7615" w:rsidRPr="004D7615" w:rsidRDefault="004D7615" w:rsidP="005E2EF2">
            <w:pPr>
              <w:pStyle w:val="NoSpacing"/>
            </w:pPr>
            <w:r w:rsidRPr="004D7615">
              <w:t>.42</w:t>
            </w:r>
          </w:p>
        </w:tc>
        <w:tc>
          <w:tcPr>
            <w:tcW w:w="717" w:type="dxa"/>
            <w:hideMark/>
          </w:tcPr>
          <w:p w14:paraId="536E8039" w14:textId="77777777" w:rsidR="004D7615" w:rsidRPr="004D7615" w:rsidRDefault="004D7615" w:rsidP="005E2EF2">
            <w:pPr>
              <w:pStyle w:val="NoSpacing"/>
            </w:pPr>
            <w:r w:rsidRPr="004D7615">
              <w:t>.07</w:t>
            </w:r>
          </w:p>
        </w:tc>
        <w:tc>
          <w:tcPr>
            <w:tcW w:w="1775" w:type="dxa"/>
            <w:hideMark/>
          </w:tcPr>
          <w:p w14:paraId="5139EE49" w14:textId="77777777" w:rsidR="004D7615" w:rsidRPr="004D7615" w:rsidRDefault="004D7615" w:rsidP="005E2EF2">
            <w:pPr>
              <w:pStyle w:val="NoSpacing"/>
            </w:pPr>
            <w:r w:rsidRPr="004D7615">
              <w:t>−.63</w:t>
            </w:r>
          </w:p>
        </w:tc>
        <w:tc>
          <w:tcPr>
            <w:tcW w:w="539" w:type="dxa"/>
            <w:hideMark/>
          </w:tcPr>
          <w:p w14:paraId="36774FB8" w14:textId="77777777" w:rsidR="004D7615" w:rsidRPr="004D7615" w:rsidRDefault="004D7615" w:rsidP="005E2EF2">
            <w:pPr>
              <w:pStyle w:val="NoSpacing"/>
            </w:pPr>
            <w:r w:rsidRPr="004D7615">
              <w:t>.43</w:t>
            </w:r>
          </w:p>
        </w:tc>
        <w:tc>
          <w:tcPr>
            <w:tcW w:w="630" w:type="dxa"/>
            <w:hideMark/>
          </w:tcPr>
          <w:p w14:paraId="1A3A2096" w14:textId="77777777" w:rsidR="004D7615" w:rsidRPr="004D7615" w:rsidRDefault="004D7615" w:rsidP="005E2EF2">
            <w:pPr>
              <w:pStyle w:val="NoSpacing"/>
            </w:pPr>
            <w:r w:rsidRPr="004D7615">
              <w:t>.14</w:t>
            </w:r>
          </w:p>
        </w:tc>
        <w:tc>
          <w:tcPr>
            <w:tcW w:w="1704" w:type="dxa"/>
            <w:hideMark/>
          </w:tcPr>
          <w:p w14:paraId="4300CCB2" w14:textId="77777777" w:rsidR="004D7615" w:rsidRPr="004D7615" w:rsidRDefault="004D7615" w:rsidP="005E2EF2">
            <w:pPr>
              <w:pStyle w:val="NoSpacing"/>
            </w:pPr>
            <w:r w:rsidRPr="004D7615">
              <w:t>−.93</w:t>
            </w:r>
          </w:p>
        </w:tc>
        <w:tc>
          <w:tcPr>
            <w:tcW w:w="0" w:type="auto"/>
            <w:hideMark/>
          </w:tcPr>
          <w:p w14:paraId="10B996F8" w14:textId="77777777" w:rsidR="004D7615" w:rsidRPr="004D7615" w:rsidRDefault="004D7615" w:rsidP="005E2EF2">
            <w:pPr>
              <w:pStyle w:val="NoSpacing"/>
            </w:pPr>
            <w:r w:rsidRPr="004D7615">
              <w:t>.40</w:t>
            </w:r>
          </w:p>
        </w:tc>
        <w:tc>
          <w:tcPr>
            <w:tcW w:w="0" w:type="auto"/>
            <w:hideMark/>
          </w:tcPr>
          <w:p w14:paraId="3AE15474" w14:textId="77777777" w:rsidR="004D7615" w:rsidRPr="004D7615" w:rsidRDefault="004D7615" w:rsidP="005E2EF2">
            <w:pPr>
              <w:pStyle w:val="NoSpacing"/>
            </w:pPr>
            <w:r w:rsidRPr="004D7615">
              <w:t>.02</w:t>
            </w:r>
          </w:p>
        </w:tc>
      </w:tr>
      <w:tr w:rsidR="005E2EF2" w:rsidRPr="004D7615" w14:paraId="70B0F76F" w14:textId="77777777" w:rsidTr="004B0F49">
        <w:tc>
          <w:tcPr>
            <w:tcW w:w="4855" w:type="dxa"/>
            <w:hideMark/>
          </w:tcPr>
          <w:p w14:paraId="312CF0E5" w14:textId="77777777" w:rsidR="004D7615" w:rsidRPr="004D7615" w:rsidRDefault="004D7615" w:rsidP="005E2EF2">
            <w:pPr>
              <w:pStyle w:val="NoSpacing"/>
            </w:pPr>
            <w:r w:rsidRPr="004D7615">
              <w:t>Log 10 prior density of intimate partner violence</w:t>
            </w:r>
          </w:p>
        </w:tc>
        <w:tc>
          <w:tcPr>
            <w:tcW w:w="1832" w:type="dxa"/>
            <w:hideMark/>
          </w:tcPr>
          <w:p w14:paraId="24225257" w14:textId="77777777" w:rsidR="004D7615" w:rsidRPr="004D7615" w:rsidRDefault="004D7615" w:rsidP="005E2EF2">
            <w:pPr>
              <w:pStyle w:val="NoSpacing"/>
            </w:pPr>
            <w:r w:rsidRPr="004D7615">
              <w:t>.59</w:t>
            </w:r>
          </w:p>
        </w:tc>
        <w:tc>
          <w:tcPr>
            <w:tcW w:w="628" w:type="dxa"/>
            <w:hideMark/>
          </w:tcPr>
          <w:p w14:paraId="53BDA294" w14:textId="77777777" w:rsidR="004D7615" w:rsidRPr="004D7615" w:rsidRDefault="004D7615" w:rsidP="005E2EF2">
            <w:pPr>
              <w:pStyle w:val="NoSpacing"/>
            </w:pPr>
            <w:r w:rsidRPr="004D7615">
              <w:t>.10</w:t>
            </w:r>
          </w:p>
        </w:tc>
        <w:tc>
          <w:tcPr>
            <w:tcW w:w="717" w:type="dxa"/>
            <w:hideMark/>
          </w:tcPr>
          <w:p w14:paraId="2D12F2D7" w14:textId="77777777" w:rsidR="004D7615" w:rsidRPr="004D7615" w:rsidRDefault="004D7615" w:rsidP="005E2EF2">
            <w:pPr>
              <w:pStyle w:val="NoSpacing"/>
            </w:pPr>
            <w:r w:rsidRPr="004D7615">
              <w:t>.00</w:t>
            </w:r>
          </w:p>
        </w:tc>
        <w:tc>
          <w:tcPr>
            <w:tcW w:w="1775" w:type="dxa"/>
            <w:hideMark/>
          </w:tcPr>
          <w:p w14:paraId="4AFAEB3C" w14:textId="77777777" w:rsidR="004D7615" w:rsidRPr="004D7615" w:rsidRDefault="004D7615" w:rsidP="005E2EF2">
            <w:pPr>
              <w:pStyle w:val="NoSpacing"/>
            </w:pPr>
            <w:r w:rsidRPr="004D7615">
              <w:t>.60</w:t>
            </w:r>
          </w:p>
        </w:tc>
        <w:tc>
          <w:tcPr>
            <w:tcW w:w="539" w:type="dxa"/>
            <w:hideMark/>
          </w:tcPr>
          <w:p w14:paraId="171F416E" w14:textId="77777777" w:rsidR="004D7615" w:rsidRPr="004D7615" w:rsidRDefault="004D7615" w:rsidP="005E2EF2">
            <w:pPr>
              <w:pStyle w:val="NoSpacing"/>
            </w:pPr>
            <w:r w:rsidRPr="004D7615">
              <w:t>.10</w:t>
            </w:r>
          </w:p>
        </w:tc>
        <w:tc>
          <w:tcPr>
            <w:tcW w:w="630" w:type="dxa"/>
            <w:hideMark/>
          </w:tcPr>
          <w:p w14:paraId="251DCA44" w14:textId="77777777" w:rsidR="004D7615" w:rsidRPr="004D7615" w:rsidRDefault="004D7615" w:rsidP="005E2EF2">
            <w:pPr>
              <w:pStyle w:val="NoSpacing"/>
            </w:pPr>
            <w:r w:rsidRPr="004D7615">
              <w:t>0.00</w:t>
            </w:r>
          </w:p>
        </w:tc>
        <w:tc>
          <w:tcPr>
            <w:tcW w:w="1704" w:type="dxa"/>
            <w:hideMark/>
          </w:tcPr>
          <w:p w14:paraId="02E55A1D" w14:textId="77777777" w:rsidR="004D7615" w:rsidRPr="004D7615" w:rsidRDefault="004D7615" w:rsidP="005E2EF2">
            <w:pPr>
              <w:pStyle w:val="NoSpacing"/>
            </w:pPr>
            <w:r w:rsidRPr="004D7615">
              <w:t>.56</w:t>
            </w:r>
          </w:p>
        </w:tc>
        <w:tc>
          <w:tcPr>
            <w:tcW w:w="0" w:type="auto"/>
            <w:hideMark/>
          </w:tcPr>
          <w:p w14:paraId="33BEC1FC" w14:textId="77777777" w:rsidR="004D7615" w:rsidRPr="004D7615" w:rsidRDefault="004D7615" w:rsidP="005E2EF2">
            <w:pPr>
              <w:pStyle w:val="NoSpacing"/>
            </w:pPr>
            <w:r w:rsidRPr="004D7615">
              <w:t>.10</w:t>
            </w:r>
          </w:p>
        </w:tc>
        <w:tc>
          <w:tcPr>
            <w:tcW w:w="0" w:type="auto"/>
            <w:hideMark/>
          </w:tcPr>
          <w:p w14:paraId="3824A3E9" w14:textId="77777777" w:rsidR="004D7615" w:rsidRPr="004D7615" w:rsidRDefault="004D7615" w:rsidP="005E2EF2">
            <w:pPr>
              <w:pStyle w:val="NoSpacing"/>
            </w:pPr>
            <w:r w:rsidRPr="004D7615">
              <w:t>.00</w:t>
            </w:r>
          </w:p>
        </w:tc>
      </w:tr>
      <w:tr w:rsidR="004B0F49" w:rsidRPr="004D7615" w14:paraId="7E5EE34E" w14:textId="77777777" w:rsidTr="004B0F49">
        <w:tc>
          <w:tcPr>
            <w:tcW w:w="4855" w:type="dxa"/>
            <w:hideMark/>
          </w:tcPr>
          <w:p w14:paraId="50115CB4" w14:textId="77777777" w:rsidR="004D7615" w:rsidRPr="004D7615" w:rsidRDefault="004D7615" w:rsidP="005E2EF2">
            <w:pPr>
              <w:pStyle w:val="NoSpacing"/>
            </w:pPr>
            <w:r w:rsidRPr="004D7615">
              <w:t>R-squared</w:t>
            </w:r>
          </w:p>
        </w:tc>
        <w:tc>
          <w:tcPr>
            <w:tcW w:w="1832" w:type="dxa"/>
            <w:hideMark/>
          </w:tcPr>
          <w:p w14:paraId="451E3723" w14:textId="77777777" w:rsidR="004D7615" w:rsidRPr="004D7615" w:rsidRDefault="004D7615" w:rsidP="005E2EF2">
            <w:pPr>
              <w:pStyle w:val="NoSpacing"/>
            </w:pPr>
            <w:r w:rsidRPr="004D7615">
              <w:t>0.61</w:t>
            </w:r>
          </w:p>
        </w:tc>
        <w:tc>
          <w:tcPr>
            <w:tcW w:w="628" w:type="dxa"/>
            <w:hideMark/>
          </w:tcPr>
          <w:p w14:paraId="33361A13" w14:textId="77777777" w:rsidR="004D7615" w:rsidRPr="004D7615" w:rsidRDefault="004D7615" w:rsidP="005E2EF2">
            <w:pPr>
              <w:pStyle w:val="NoSpacing"/>
            </w:pPr>
          </w:p>
        </w:tc>
        <w:tc>
          <w:tcPr>
            <w:tcW w:w="717" w:type="dxa"/>
            <w:hideMark/>
          </w:tcPr>
          <w:p w14:paraId="3D931502" w14:textId="77777777" w:rsidR="004D7615" w:rsidRPr="004D7615" w:rsidRDefault="004D7615" w:rsidP="005E2EF2">
            <w:pPr>
              <w:pStyle w:val="NoSpacing"/>
            </w:pPr>
          </w:p>
        </w:tc>
        <w:tc>
          <w:tcPr>
            <w:tcW w:w="1775" w:type="dxa"/>
            <w:hideMark/>
          </w:tcPr>
          <w:p w14:paraId="4E99B9DA" w14:textId="77777777" w:rsidR="004D7615" w:rsidRPr="004D7615" w:rsidRDefault="004D7615" w:rsidP="005E2EF2">
            <w:pPr>
              <w:pStyle w:val="NoSpacing"/>
            </w:pPr>
            <w:r w:rsidRPr="004D7615">
              <w:t>0.60</w:t>
            </w:r>
          </w:p>
        </w:tc>
        <w:tc>
          <w:tcPr>
            <w:tcW w:w="539" w:type="dxa"/>
            <w:hideMark/>
          </w:tcPr>
          <w:p w14:paraId="7A7BCF03" w14:textId="77777777" w:rsidR="004D7615" w:rsidRPr="004D7615" w:rsidRDefault="004D7615" w:rsidP="005E2EF2">
            <w:pPr>
              <w:pStyle w:val="NoSpacing"/>
            </w:pPr>
          </w:p>
        </w:tc>
        <w:tc>
          <w:tcPr>
            <w:tcW w:w="630" w:type="dxa"/>
            <w:hideMark/>
          </w:tcPr>
          <w:p w14:paraId="7AC198BA" w14:textId="77777777" w:rsidR="004D7615" w:rsidRPr="004D7615" w:rsidRDefault="004D7615" w:rsidP="005E2EF2">
            <w:pPr>
              <w:pStyle w:val="NoSpacing"/>
            </w:pPr>
          </w:p>
        </w:tc>
        <w:tc>
          <w:tcPr>
            <w:tcW w:w="1704" w:type="dxa"/>
            <w:hideMark/>
          </w:tcPr>
          <w:p w14:paraId="700D1479" w14:textId="77777777" w:rsidR="004D7615" w:rsidRPr="004D7615" w:rsidRDefault="004D7615" w:rsidP="005E2EF2">
            <w:pPr>
              <w:pStyle w:val="NoSpacing"/>
            </w:pPr>
            <w:r w:rsidRPr="004D7615">
              <w:t>0.66</w:t>
            </w:r>
          </w:p>
        </w:tc>
        <w:tc>
          <w:tcPr>
            <w:tcW w:w="0" w:type="auto"/>
            <w:hideMark/>
          </w:tcPr>
          <w:p w14:paraId="40D75E5E" w14:textId="77777777" w:rsidR="004D7615" w:rsidRPr="004D7615" w:rsidRDefault="004D7615" w:rsidP="005E2EF2">
            <w:pPr>
              <w:pStyle w:val="NoSpacing"/>
            </w:pPr>
          </w:p>
        </w:tc>
        <w:tc>
          <w:tcPr>
            <w:tcW w:w="0" w:type="auto"/>
            <w:hideMark/>
          </w:tcPr>
          <w:p w14:paraId="214C1218" w14:textId="77777777" w:rsidR="004D7615" w:rsidRPr="004D7615" w:rsidRDefault="004D7615" w:rsidP="005E2EF2">
            <w:pPr>
              <w:pStyle w:val="NoSpacing"/>
            </w:pPr>
          </w:p>
        </w:tc>
      </w:tr>
      <w:tr w:rsidR="005E2EF2" w:rsidRPr="004D7615" w14:paraId="6A950763" w14:textId="77777777" w:rsidTr="004B0F49">
        <w:tc>
          <w:tcPr>
            <w:tcW w:w="4855" w:type="dxa"/>
            <w:hideMark/>
          </w:tcPr>
          <w:p w14:paraId="19431735" w14:textId="77777777" w:rsidR="004D7615" w:rsidRPr="004D7615" w:rsidRDefault="004D7615" w:rsidP="005E2EF2">
            <w:pPr>
              <w:pStyle w:val="NoSpacing"/>
            </w:pPr>
            <w:r w:rsidRPr="004D7615">
              <w:t>AIC</w:t>
            </w:r>
          </w:p>
        </w:tc>
        <w:tc>
          <w:tcPr>
            <w:tcW w:w="1832" w:type="dxa"/>
            <w:hideMark/>
          </w:tcPr>
          <w:p w14:paraId="3DDE0713" w14:textId="77777777" w:rsidR="004D7615" w:rsidRPr="004D7615" w:rsidRDefault="004D7615" w:rsidP="005E2EF2">
            <w:pPr>
              <w:pStyle w:val="NoSpacing"/>
            </w:pPr>
            <w:r w:rsidRPr="004D7615">
              <w:t>79.89</w:t>
            </w:r>
          </w:p>
        </w:tc>
        <w:tc>
          <w:tcPr>
            <w:tcW w:w="628" w:type="dxa"/>
            <w:hideMark/>
          </w:tcPr>
          <w:p w14:paraId="09C22DEF" w14:textId="77777777" w:rsidR="004D7615" w:rsidRPr="004D7615" w:rsidRDefault="004D7615" w:rsidP="005E2EF2">
            <w:pPr>
              <w:pStyle w:val="NoSpacing"/>
            </w:pPr>
          </w:p>
        </w:tc>
        <w:tc>
          <w:tcPr>
            <w:tcW w:w="717" w:type="dxa"/>
            <w:hideMark/>
          </w:tcPr>
          <w:p w14:paraId="7968EEFB" w14:textId="77777777" w:rsidR="004D7615" w:rsidRPr="004D7615" w:rsidRDefault="004D7615" w:rsidP="005E2EF2">
            <w:pPr>
              <w:pStyle w:val="NoSpacing"/>
            </w:pPr>
          </w:p>
        </w:tc>
        <w:tc>
          <w:tcPr>
            <w:tcW w:w="1775" w:type="dxa"/>
            <w:hideMark/>
          </w:tcPr>
          <w:p w14:paraId="49A50620" w14:textId="77777777" w:rsidR="004D7615" w:rsidRPr="004D7615" w:rsidRDefault="004D7615" w:rsidP="005E2EF2">
            <w:pPr>
              <w:pStyle w:val="NoSpacing"/>
            </w:pPr>
            <w:r w:rsidRPr="004D7615">
              <w:t>82.52</w:t>
            </w:r>
          </w:p>
        </w:tc>
        <w:tc>
          <w:tcPr>
            <w:tcW w:w="539" w:type="dxa"/>
            <w:hideMark/>
          </w:tcPr>
          <w:p w14:paraId="5AE8C5AD" w14:textId="77777777" w:rsidR="004D7615" w:rsidRPr="004D7615" w:rsidRDefault="004D7615" w:rsidP="005E2EF2">
            <w:pPr>
              <w:pStyle w:val="NoSpacing"/>
            </w:pPr>
          </w:p>
        </w:tc>
        <w:tc>
          <w:tcPr>
            <w:tcW w:w="630" w:type="dxa"/>
            <w:hideMark/>
          </w:tcPr>
          <w:p w14:paraId="2EF465B3" w14:textId="77777777" w:rsidR="004D7615" w:rsidRPr="004D7615" w:rsidRDefault="004D7615" w:rsidP="005E2EF2">
            <w:pPr>
              <w:pStyle w:val="NoSpacing"/>
            </w:pPr>
          </w:p>
        </w:tc>
        <w:tc>
          <w:tcPr>
            <w:tcW w:w="1704" w:type="dxa"/>
            <w:hideMark/>
          </w:tcPr>
          <w:p w14:paraId="70EE546C" w14:textId="77777777" w:rsidR="004D7615" w:rsidRPr="004D7615" w:rsidRDefault="004D7615" w:rsidP="005E2EF2">
            <w:pPr>
              <w:pStyle w:val="NoSpacing"/>
            </w:pPr>
            <w:r w:rsidRPr="004D7615">
              <w:t>72.15</w:t>
            </w:r>
          </w:p>
        </w:tc>
        <w:tc>
          <w:tcPr>
            <w:tcW w:w="0" w:type="auto"/>
            <w:hideMark/>
          </w:tcPr>
          <w:p w14:paraId="0229AF9F" w14:textId="77777777" w:rsidR="004D7615" w:rsidRPr="004D7615" w:rsidRDefault="004D7615" w:rsidP="005E2EF2">
            <w:pPr>
              <w:pStyle w:val="NoSpacing"/>
            </w:pPr>
          </w:p>
        </w:tc>
        <w:tc>
          <w:tcPr>
            <w:tcW w:w="0" w:type="auto"/>
            <w:hideMark/>
          </w:tcPr>
          <w:p w14:paraId="144307F5" w14:textId="77777777" w:rsidR="004D7615" w:rsidRPr="004D7615" w:rsidRDefault="004D7615" w:rsidP="005E2EF2">
            <w:pPr>
              <w:pStyle w:val="NoSpacing"/>
            </w:pPr>
          </w:p>
        </w:tc>
      </w:tr>
      <w:tr w:rsidR="004B0F49" w:rsidRPr="004D7615" w14:paraId="22442736" w14:textId="77777777" w:rsidTr="004B0F49">
        <w:tc>
          <w:tcPr>
            <w:tcW w:w="4855" w:type="dxa"/>
            <w:hideMark/>
          </w:tcPr>
          <w:p w14:paraId="72495972" w14:textId="77777777" w:rsidR="004D7615" w:rsidRPr="004D7615" w:rsidRDefault="004D7615" w:rsidP="005E2EF2">
            <w:pPr>
              <w:pStyle w:val="NoSpacing"/>
            </w:pPr>
            <w:r w:rsidRPr="004D7615">
              <w:t>Standard error of regression</w:t>
            </w:r>
          </w:p>
        </w:tc>
        <w:tc>
          <w:tcPr>
            <w:tcW w:w="1832" w:type="dxa"/>
            <w:hideMark/>
          </w:tcPr>
          <w:p w14:paraId="02F96D9E" w14:textId="77777777" w:rsidR="004D7615" w:rsidRPr="004D7615" w:rsidRDefault="004D7615" w:rsidP="005E2EF2">
            <w:pPr>
              <w:pStyle w:val="NoSpacing"/>
            </w:pPr>
            <w:r w:rsidRPr="004D7615">
              <w:t>0.39</w:t>
            </w:r>
          </w:p>
        </w:tc>
        <w:tc>
          <w:tcPr>
            <w:tcW w:w="628" w:type="dxa"/>
            <w:hideMark/>
          </w:tcPr>
          <w:p w14:paraId="35EEFBF9" w14:textId="77777777" w:rsidR="004D7615" w:rsidRPr="004D7615" w:rsidRDefault="004D7615" w:rsidP="005E2EF2">
            <w:pPr>
              <w:pStyle w:val="NoSpacing"/>
            </w:pPr>
          </w:p>
        </w:tc>
        <w:tc>
          <w:tcPr>
            <w:tcW w:w="717" w:type="dxa"/>
            <w:hideMark/>
          </w:tcPr>
          <w:p w14:paraId="2C45546E" w14:textId="77777777" w:rsidR="004D7615" w:rsidRPr="004D7615" w:rsidRDefault="004D7615" w:rsidP="005E2EF2">
            <w:pPr>
              <w:pStyle w:val="NoSpacing"/>
            </w:pPr>
          </w:p>
        </w:tc>
        <w:tc>
          <w:tcPr>
            <w:tcW w:w="1775" w:type="dxa"/>
            <w:hideMark/>
          </w:tcPr>
          <w:p w14:paraId="7AC4C9B0" w14:textId="77777777" w:rsidR="004D7615" w:rsidRPr="004D7615" w:rsidRDefault="004D7615" w:rsidP="005E2EF2">
            <w:pPr>
              <w:pStyle w:val="NoSpacing"/>
            </w:pPr>
            <w:r w:rsidRPr="004D7615">
              <w:t>0.40</w:t>
            </w:r>
          </w:p>
        </w:tc>
        <w:tc>
          <w:tcPr>
            <w:tcW w:w="539" w:type="dxa"/>
            <w:hideMark/>
          </w:tcPr>
          <w:p w14:paraId="6A7A5AF3" w14:textId="77777777" w:rsidR="004D7615" w:rsidRPr="004D7615" w:rsidRDefault="004D7615" w:rsidP="005E2EF2">
            <w:pPr>
              <w:pStyle w:val="NoSpacing"/>
            </w:pPr>
          </w:p>
        </w:tc>
        <w:tc>
          <w:tcPr>
            <w:tcW w:w="630" w:type="dxa"/>
            <w:hideMark/>
          </w:tcPr>
          <w:p w14:paraId="72FFF969" w14:textId="77777777" w:rsidR="004D7615" w:rsidRPr="004D7615" w:rsidRDefault="004D7615" w:rsidP="005E2EF2">
            <w:pPr>
              <w:pStyle w:val="NoSpacing"/>
            </w:pPr>
          </w:p>
        </w:tc>
        <w:tc>
          <w:tcPr>
            <w:tcW w:w="1704" w:type="dxa"/>
            <w:hideMark/>
          </w:tcPr>
          <w:p w14:paraId="611028E1" w14:textId="77777777" w:rsidR="004D7615" w:rsidRPr="004D7615" w:rsidRDefault="004D7615" w:rsidP="005E2EF2">
            <w:pPr>
              <w:pStyle w:val="NoSpacing"/>
            </w:pPr>
            <w:r w:rsidRPr="004D7615">
              <w:t>0.37</w:t>
            </w:r>
          </w:p>
        </w:tc>
        <w:tc>
          <w:tcPr>
            <w:tcW w:w="0" w:type="auto"/>
            <w:hideMark/>
          </w:tcPr>
          <w:p w14:paraId="43FD23C5" w14:textId="77777777" w:rsidR="004D7615" w:rsidRPr="004D7615" w:rsidRDefault="004D7615" w:rsidP="005E2EF2">
            <w:pPr>
              <w:pStyle w:val="NoSpacing"/>
            </w:pPr>
          </w:p>
        </w:tc>
        <w:tc>
          <w:tcPr>
            <w:tcW w:w="0" w:type="auto"/>
            <w:hideMark/>
          </w:tcPr>
          <w:p w14:paraId="615202D9" w14:textId="77777777" w:rsidR="004D7615" w:rsidRPr="004D7615" w:rsidRDefault="004D7615" w:rsidP="005E2EF2">
            <w:pPr>
              <w:pStyle w:val="NoSpacing"/>
            </w:pPr>
          </w:p>
        </w:tc>
      </w:tr>
      <w:tr w:rsidR="005E2EF2" w:rsidRPr="004D7615" w14:paraId="43FB920E" w14:textId="77777777" w:rsidTr="004B0F49">
        <w:tc>
          <w:tcPr>
            <w:tcW w:w="4855" w:type="dxa"/>
            <w:hideMark/>
          </w:tcPr>
          <w:p w14:paraId="2BA0F712" w14:textId="77777777" w:rsidR="004D7615" w:rsidRPr="004D7615" w:rsidRDefault="004D7615" w:rsidP="005E2EF2">
            <w:pPr>
              <w:pStyle w:val="NoSpacing"/>
            </w:pPr>
            <w:r w:rsidRPr="004D7615">
              <w:t>Multicollinearity condition number</w:t>
            </w:r>
          </w:p>
        </w:tc>
        <w:tc>
          <w:tcPr>
            <w:tcW w:w="1832" w:type="dxa"/>
            <w:hideMark/>
          </w:tcPr>
          <w:p w14:paraId="593326B5" w14:textId="77777777" w:rsidR="004D7615" w:rsidRPr="004D7615" w:rsidRDefault="004D7615" w:rsidP="005E2EF2">
            <w:pPr>
              <w:pStyle w:val="NoSpacing"/>
            </w:pPr>
            <w:r w:rsidRPr="004D7615">
              <w:t>28.67</w:t>
            </w:r>
          </w:p>
        </w:tc>
        <w:tc>
          <w:tcPr>
            <w:tcW w:w="628" w:type="dxa"/>
            <w:hideMark/>
          </w:tcPr>
          <w:p w14:paraId="1A60DE4C" w14:textId="77777777" w:rsidR="004D7615" w:rsidRPr="004D7615" w:rsidRDefault="004D7615" w:rsidP="005E2EF2">
            <w:pPr>
              <w:pStyle w:val="NoSpacing"/>
            </w:pPr>
          </w:p>
        </w:tc>
        <w:tc>
          <w:tcPr>
            <w:tcW w:w="717" w:type="dxa"/>
            <w:hideMark/>
          </w:tcPr>
          <w:p w14:paraId="113CDCB5" w14:textId="77777777" w:rsidR="004D7615" w:rsidRPr="004D7615" w:rsidRDefault="004D7615" w:rsidP="005E2EF2">
            <w:pPr>
              <w:pStyle w:val="NoSpacing"/>
            </w:pPr>
          </w:p>
        </w:tc>
        <w:tc>
          <w:tcPr>
            <w:tcW w:w="1775" w:type="dxa"/>
            <w:hideMark/>
          </w:tcPr>
          <w:p w14:paraId="66EBD016" w14:textId="77777777" w:rsidR="004D7615" w:rsidRPr="004D7615" w:rsidRDefault="004D7615" w:rsidP="005E2EF2">
            <w:pPr>
              <w:pStyle w:val="NoSpacing"/>
            </w:pPr>
            <w:r w:rsidRPr="004D7615">
              <w:t>28.52</w:t>
            </w:r>
          </w:p>
        </w:tc>
        <w:tc>
          <w:tcPr>
            <w:tcW w:w="539" w:type="dxa"/>
            <w:hideMark/>
          </w:tcPr>
          <w:p w14:paraId="7F9ACF01" w14:textId="77777777" w:rsidR="004D7615" w:rsidRPr="004D7615" w:rsidRDefault="004D7615" w:rsidP="005E2EF2">
            <w:pPr>
              <w:pStyle w:val="NoSpacing"/>
            </w:pPr>
          </w:p>
        </w:tc>
        <w:tc>
          <w:tcPr>
            <w:tcW w:w="630" w:type="dxa"/>
            <w:hideMark/>
          </w:tcPr>
          <w:p w14:paraId="71045298" w14:textId="77777777" w:rsidR="004D7615" w:rsidRPr="004D7615" w:rsidRDefault="004D7615" w:rsidP="005E2EF2">
            <w:pPr>
              <w:pStyle w:val="NoSpacing"/>
            </w:pPr>
          </w:p>
        </w:tc>
        <w:tc>
          <w:tcPr>
            <w:tcW w:w="1704" w:type="dxa"/>
            <w:hideMark/>
          </w:tcPr>
          <w:p w14:paraId="4DE18D86" w14:textId="77777777" w:rsidR="004D7615" w:rsidRPr="004D7615" w:rsidRDefault="004D7615" w:rsidP="005E2EF2">
            <w:pPr>
              <w:pStyle w:val="NoSpacing"/>
            </w:pPr>
            <w:r w:rsidRPr="004D7615">
              <w:t>28.45</w:t>
            </w:r>
          </w:p>
        </w:tc>
        <w:tc>
          <w:tcPr>
            <w:tcW w:w="0" w:type="auto"/>
            <w:hideMark/>
          </w:tcPr>
          <w:p w14:paraId="60FF34B4" w14:textId="77777777" w:rsidR="004D7615" w:rsidRPr="004D7615" w:rsidRDefault="004D7615" w:rsidP="005E2EF2">
            <w:pPr>
              <w:pStyle w:val="NoSpacing"/>
            </w:pPr>
          </w:p>
        </w:tc>
        <w:tc>
          <w:tcPr>
            <w:tcW w:w="0" w:type="auto"/>
            <w:hideMark/>
          </w:tcPr>
          <w:p w14:paraId="3995D43A" w14:textId="77777777" w:rsidR="004D7615" w:rsidRPr="004D7615" w:rsidRDefault="004D7615" w:rsidP="005E2EF2">
            <w:pPr>
              <w:pStyle w:val="NoSpacing"/>
            </w:pPr>
          </w:p>
        </w:tc>
      </w:tr>
      <w:tr w:rsidR="004B0F49" w:rsidRPr="004D7615" w14:paraId="30F3CD82" w14:textId="77777777" w:rsidTr="004B0F49">
        <w:tc>
          <w:tcPr>
            <w:tcW w:w="4855" w:type="dxa"/>
            <w:hideMark/>
          </w:tcPr>
          <w:p w14:paraId="251F0CE3" w14:textId="77777777" w:rsidR="004D7615" w:rsidRPr="004D7615" w:rsidRDefault="004D7615" w:rsidP="005E2EF2">
            <w:pPr>
              <w:pStyle w:val="NoSpacing"/>
            </w:pPr>
            <w:r w:rsidRPr="004D7615">
              <w:t>Breusch-Pagan</w:t>
            </w:r>
          </w:p>
        </w:tc>
        <w:tc>
          <w:tcPr>
            <w:tcW w:w="1832" w:type="dxa"/>
            <w:hideMark/>
          </w:tcPr>
          <w:p w14:paraId="333E2639" w14:textId="0302FC00" w:rsidR="004D7615" w:rsidRPr="004D7615" w:rsidRDefault="004D7615" w:rsidP="005E2EF2">
            <w:pPr>
              <w:pStyle w:val="NoSpacing"/>
            </w:pPr>
            <w:r w:rsidRPr="004D7615">
              <w:t xml:space="preserve">10.54 </w:t>
            </w:r>
            <m:oMath>
              <m:r>
                <w:rPr>
                  <w:rFonts w:ascii="Cambria Math" w:hAnsi="Cambria Math"/>
                </w:rPr>
                <m:t>(</m:t>
              </m:r>
              <m:r>
                <w:rPr>
                  <w:rFonts w:ascii="Cambria Math" w:hAnsi="Cambria Math"/>
                </w:rPr>
                <m:t>p</m:t>
              </m:r>
              <m:r>
                <w:rPr>
                  <w:rFonts w:ascii="Cambria Math" w:hAnsi="Cambria Math"/>
                </w:rPr>
                <m:t> = .10)</m:t>
              </m:r>
            </m:oMath>
          </w:p>
        </w:tc>
        <w:tc>
          <w:tcPr>
            <w:tcW w:w="628" w:type="dxa"/>
            <w:hideMark/>
          </w:tcPr>
          <w:p w14:paraId="724D36AA" w14:textId="77777777" w:rsidR="004D7615" w:rsidRPr="004D7615" w:rsidRDefault="004D7615" w:rsidP="005E2EF2">
            <w:pPr>
              <w:pStyle w:val="NoSpacing"/>
            </w:pPr>
          </w:p>
        </w:tc>
        <w:tc>
          <w:tcPr>
            <w:tcW w:w="717" w:type="dxa"/>
            <w:hideMark/>
          </w:tcPr>
          <w:p w14:paraId="17370F6C" w14:textId="77777777" w:rsidR="004D7615" w:rsidRPr="004D7615" w:rsidRDefault="004D7615" w:rsidP="005E2EF2">
            <w:pPr>
              <w:pStyle w:val="NoSpacing"/>
            </w:pPr>
          </w:p>
        </w:tc>
        <w:tc>
          <w:tcPr>
            <w:tcW w:w="1775" w:type="dxa"/>
            <w:hideMark/>
          </w:tcPr>
          <w:p w14:paraId="365758DC" w14:textId="78DFA74E" w:rsidR="004D7615" w:rsidRPr="004D7615" w:rsidRDefault="004B0F49" w:rsidP="005E2EF2">
            <w:pPr>
              <w:pStyle w:val="NoSpacing"/>
            </w:pPr>
            <m:oMathPara>
              <m:oMath>
                <m:r>
                  <w:rPr>
                    <w:rFonts w:ascii="Cambria Math" w:hAnsi="Cambria Math"/>
                  </w:rPr>
                  <m:t>10.14 (</m:t>
                </m:r>
                <m:r>
                  <w:rPr>
                    <w:rFonts w:ascii="Cambria Math" w:hAnsi="Cambria Math"/>
                  </w:rPr>
                  <m:t>p</m:t>
                </m:r>
                <m:r>
                  <w:rPr>
                    <w:rFonts w:ascii="Cambria Math" w:hAnsi="Cambria Math"/>
                  </w:rPr>
                  <m:t> = .12)</m:t>
                </m:r>
              </m:oMath>
            </m:oMathPara>
          </w:p>
        </w:tc>
        <w:tc>
          <w:tcPr>
            <w:tcW w:w="539" w:type="dxa"/>
            <w:hideMark/>
          </w:tcPr>
          <w:p w14:paraId="4FF8B35B" w14:textId="77777777" w:rsidR="004D7615" w:rsidRPr="004D7615" w:rsidRDefault="004D7615" w:rsidP="005E2EF2">
            <w:pPr>
              <w:pStyle w:val="NoSpacing"/>
            </w:pPr>
          </w:p>
        </w:tc>
        <w:tc>
          <w:tcPr>
            <w:tcW w:w="630" w:type="dxa"/>
            <w:hideMark/>
          </w:tcPr>
          <w:p w14:paraId="1305962F" w14:textId="77777777" w:rsidR="004D7615" w:rsidRPr="004D7615" w:rsidRDefault="004D7615" w:rsidP="005E2EF2">
            <w:pPr>
              <w:pStyle w:val="NoSpacing"/>
            </w:pPr>
          </w:p>
        </w:tc>
        <w:tc>
          <w:tcPr>
            <w:tcW w:w="1704" w:type="dxa"/>
            <w:hideMark/>
          </w:tcPr>
          <w:p w14:paraId="585F40AB" w14:textId="572C9273" w:rsidR="004D7615" w:rsidRPr="004D7615" w:rsidRDefault="004B0F49" w:rsidP="005E2EF2">
            <w:pPr>
              <w:pStyle w:val="NoSpacing"/>
            </w:pPr>
            <m:oMathPara>
              <m:oMath>
                <m:r>
                  <w:rPr>
                    <w:rFonts w:ascii="Cambria Math" w:hAnsi="Cambria Math"/>
                  </w:rPr>
                  <m:t>9.89 (</m:t>
                </m:r>
                <m:r>
                  <w:rPr>
                    <w:rFonts w:ascii="Cambria Math" w:hAnsi="Cambria Math"/>
                  </w:rPr>
                  <m:t>p</m:t>
                </m:r>
                <m:r>
                  <w:rPr>
                    <w:rFonts w:ascii="Cambria Math" w:hAnsi="Cambria Math"/>
                  </w:rPr>
                  <m:t> = .13)</m:t>
                </m:r>
              </m:oMath>
            </m:oMathPara>
          </w:p>
        </w:tc>
        <w:tc>
          <w:tcPr>
            <w:tcW w:w="0" w:type="auto"/>
            <w:hideMark/>
          </w:tcPr>
          <w:p w14:paraId="5940D7C8" w14:textId="77777777" w:rsidR="004D7615" w:rsidRPr="004D7615" w:rsidRDefault="004D7615" w:rsidP="005E2EF2">
            <w:pPr>
              <w:pStyle w:val="NoSpacing"/>
            </w:pPr>
          </w:p>
        </w:tc>
        <w:tc>
          <w:tcPr>
            <w:tcW w:w="0" w:type="auto"/>
            <w:hideMark/>
          </w:tcPr>
          <w:p w14:paraId="27A2F092" w14:textId="77777777" w:rsidR="004D7615" w:rsidRPr="004D7615" w:rsidRDefault="004D7615" w:rsidP="005E2EF2">
            <w:pPr>
              <w:pStyle w:val="NoSpacing"/>
            </w:pPr>
          </w:p>
        </w:tc>
      </w:tr>
    </w:tbl>
    <w:p w14:paraId="141FBE1C" w14:textId="77777777" w:rsidR="004D7615" w:rsidRPr="004D7615" w:rsidRDefault="004D7615" w:rsidP="004D7615">
      <w:r w:rsidRPr="004D7615">
        <w:rPr>
          <w:i/>
          <w:iCs/>
        </w:rPr>
        <w:t>Note</w:t>
      </w:r>
      <w:r w:rsidRPr="004D7615">
        <w:t>. Ln = logarithm (natural); AIC = Akaike information criterion.</w:t>
      </w:r>
    </w:p>
    <w:p w14:paraId="5CE1CF84" w14:textId="77777777" w:rsidR="004B03E7" w:rsidRDefault="004B03E7" w:rsidP="004D7615">
      <w:pPr>
        <w:sectPr w:rsidR="004B03E7" w:rsidSect="005E2EF2">
          <w:pgSz w:w="15840" w:h="12240" w:orient="landscape"/>
          <w:pgMar w:top="1080" w:right="1080" w:bottom="1080" w:left="1080" w:header="720" w:footer="720" w:gutter="0"/>
          <w:cols w:space="720"/>
          <w:docGrid w:linePitch="360"/>
        </w:sectPr>
      </w:pPr>
    </w:p>
    <w:p w14:paraId="20CCEF65" w14:textId="005852B6" w:rsidR="004D7615" w:rsidRPr="004D7615" w:rsidRDefault="004D7615" w:rsidP="004D7615">
      <w:r w:rsidRPr="004D7615">
        <w:lastRenderedPageBreak/>
        <w:t xml:space="preserve">Given the results of this global model and the statistically significant relationship between intimate partner violence and total outlet density, Models 2 and 3 were estimated to provide a more disaggregate analysis of the relationship between intimate partner violence and different alcohol outlet types. Model 2 examined the association between </w:t>
      </w:r>
      <w:proofErr w:type="gramStart"/>
      <w:r w:rsidRPr="004D7615">
        <w:t>on-premise</w:t>
      </w:r>
      <w:proofErr w:type="gramEnd"/>
      <w:r w:rsidRPr="004D7615">
        <w:t xml:space="preserve"> alcohol outlet density and intimate partner violence density net of control variables. The association between intimate partner violence and </w:t>
      </w:r>
      <w:proofErr w:type="gramStart"/>
      <w:r w:rsidRPr="004D7615">
        <w:t>on-premise</w:t>
      </w:r>
      <w:proofErr w:type="gramEnd"/>
      <w:r w:rsidRPr="004D7615">
        <w:t xml:space="preserve"> alcohol outlet density was not statistically significant </w:t>
      </w:r>
      <m:oMath>
        <m:r>
          <w:rPr>
            <w:rFonts w:ascii="Cambria Math" w:hAnsi="Cambria Math"/>
          </w:rPr>
          <m:t>(</m:t>
        </m:r>
        <m:r>
          <w:rPr>
            <w:rFonts w:ascii="Cambria Math" w:hAnsi="Cambria Math"/>
          </w:rPr>
          <m:t>p</m:t>
        </m:r>
        <m:r>
          <w:rPr>
            <w:rFonts w:ascii="Cambria Math" w:hAnsi="Cambria Math"/>
          </w:rPr>
          <m:t> = .24)</m:t>
        </m:r>
      </m:oMath>
      <w:r w:rsidRPr="004D7615">
        <w:t>. Last, Model 3 examined the association between off-</w:t>
      </w:r>
      <w:proofErr w:type="gramStart"/>
      <w:r w:rsidRPr="004D7615">
        <w:t>premise</w:t>
      </w:r>
      <w:proofErr w:type="gramEnd"/>
      <w:r w:rsidRPr="004D7615">
        <w:t xml:space="preserve"> alcohol outlet density and intimate partner violence density net of control variables. The model explained about 66% of the variance in intimate partner violence. Model 3 suggests that off-</w:t>
      </w:r>
      <w:proofErr w:type="gramStart"/>
      <w:r w:rsidRPr="004D7615">
        <w:t>premise</w:t>
      </w:r>
      <w:proofErr w:type="gramEnd"/>
      <w:r w:rsidRPr="004D7615">
        <w:t xml:space="preserve"> alcohol outlet density was positively and significantly associated with intimate partner violence </w:t>
      </w:r>
      <m:oMath>
        <m:r>
          <w:rPr>
            <w:rFonts w:ascii="Cambria Math" w:hAnsi="Cambria Math"/>
          </w:rPr>
          <m:t>(</m:t>
        </m:r>
        <m:r>
          <w:rPr>
            <w:rFonts w:ascii="Cambria Math" w:hAnsi="Cambria Math"/>
          </w:rPr>
          <m:t>p</m:t>
        </m:r>
        <m:r>
          <w:rPr>
            <w:rFonts w:ascii="Cambria Math" w:hAnsi="Cambria Math"/>
          </w:rPr>
          <m:t> = 0.00)</m:t>
        </m:r>
      </m:oMath>
      <w:r w:rsidRPr="004D7615">
        <w:t>. The spatial lag (</w:t>
      </w:r>
      <w:r w:rsidRPr="004D7615">
        <w:rPr>
          <w:i/>
          <w:iCs/>
        </w:rPr>
        <w:t>Rho</w:t>
      </w:r>
      <w:r w:rsidRPr="004D7615">
        <w:t xml:space="preserve">) associated with intimate partner violence in the Model 3 was a positive and significant contributor to the model </w:t>
      </w:r>
      <m:oMath>
        <m:r>
          <w:rPr>
            <w:rFonts w:ascii="Cambria Math" w:hAnsi="Cambria Math"/>
          </w:rPr>
          <m:t>(</m:t>
        </m:r>
        <m:r>
          <w:rPr>
            <w:rFonts w:ascii="Cambria Math" w:hAnsi="Cambria Math"/>
          </w:rPr>
          <m:t>p</m:t>
        </m:r>
        <m:r>
          <w:rPr>
            <w:rFonts w:ascii="Cambria Math" w:hAnsi="Cambria Math"/>
          </w:rPr>
          <m:t> = .01)</m:t>
        </m:r>
      </m:oMath>
      <w:r w:rsidRPr="004D7615">
        <w:t>.</w:t>
      </w:r>
    </w:p>
    <w:p w14:paraId="7108CA82" w14:textId="77777777" w:rsidR="004D7615" w:rsidRPr="004D7615" w:rsidRDefault="004D7615" w:rsidP="00552C64">
      <w:pPr>
        <w:pStyle w:val="Heading2"/>
      </w:pPr>
      <w:r w:rsidRPr="004D7615">
        <w:t>Regression Diagnostics</w:t>
      </w:r>
    </w:p>
    <w:p w14:paraId="794DCEBD" w14:textId="77777777" w:rsidR="004D7615" w:rsidRPr="004D7615" w:rsidRDefault="004D7615" w:rsidP="004D7615">
      <w:r w:rsidRPr="004D7615">
        <w:t xml:space="preserve">Using GeoDa outputs, I examined three traditional sets of regression diagnostics: the multicollinearity condition number, a test for non-normality, and three diagnostics for heteroskedasticity. First, I considered the multicollinearity condition number and the diagnostic test for all three models suggested no multicollinearity among the control variables. Second, the value of Jarque-Bera statistic suggested that the distribution of errors in the regressions were normal in </w:t>
      </w:r>
      <w:proofErr w:type="gramStart"/>
      <w:r w:rsidRPr="004D7615">
        <w:t>all of</w:t>
      </w:r>
      <w:proofErr w:type="gramEnd"/>
      <w:r w:rsidRPr="004D7615">
        <w:t xml:space="preserve"> the three models. Third, I assessed the Breusch-Pagan test statistic, which suggested that heteroskedasticity was not a serious problem for the specified models.</w:t>
      </w:r>
    </w:p>
    <w:p w14:paraId="3901300E" w14:textId="0C8A9BB1" w:rsidR="004D7615" w:rsidRPr="004D7615" w:rsidRDefault="004D7615" w:rsidP="004D7615">
      <w:r w:rsidRPr="004D7615">
        <w:t>A final set of model diagnostics consisted of tests to measure spatial autocorrelation and spatial dependence in the regression residuals. The values of the Lagrange multiplier (lag) and Robust LM (lag) test statistic were significant, suggesting a lack of autocorrelation in the regression residuals and that the MLE spatial lag regression model better suit the properties of the data specified in the models, relative to ordinary least squares (OLS) models. The stronger fit of the spatial lag model was also evident in the values of log-likelihood, Akaike information criterion (AIC), and Schwarz criterion, all of which were reduced in the spatial lag model relative to the OLS model. In addition, the spatial autoregressive coefficient </w:t>
      </w:r>
      <w:r w:rsidRPr="004D7615">
        <w:rPr>
          <w:i/>
          <w:iCs/>
        </w:rPr>
        <w:t>Rho</w:t>
      </w:r>
      <w:r w:rsidRPr="004D7615">
        <w:t xml:space="preserve"> was statistically significant in all three models </w:t>
      </w:r>
      <m:oMath>
        <m:r>
          <w:rPr>
            <w:rFonts w:ascii="Cambria Math" w:hAnsi="Cambria Math"/>
          </w:rPr>
          <m:t>(</m:t>
        </m:r>
        <m:r>
          <w:rPr>
            <w:rFonts w:ascii="Cambria Math" w:hAnsi="Cambria Math"/>
          </w:rPr>
          <m:t>p</m:t>
        </m:r>
        <m:r>
          <w:rPr>
            <w:rFonts w:ascii="Cambria Math" w:hAnsi="Cambria Math"/>
          </w:rPr>
          <m:t> &lt; .05)</m:t>
        </m:r>
      </m:oMath>
      <w:r w:rsidRPr="004D7615">
        <w:t>. Two spatial lag model diagnostics, the Breusch-Pagan test for heteroskedasticity in the error terms and the likelihood ratio test, confirmed the lack of heteroskedasticity in the error terms and strong significance of the spatial autoregressive coefficient.</w:t>
      </w:r>
    </w:p>
    <w:p w14:paraId="7D9D6B9D" w14:textId="77777777" w:rsidR="004D7615" w:rsidRPr="004D7615" w:rsidRDefault="004D7615" w:rsidP="00552C64">
      <w:pPr>
        <w:pStyle w:val="Heading1"/>
      </w:pPr>
      <w:r w:rsidRPr="004D7615">
        <w:t>DISCUSSION</w:t>
      </w:r>
    </w:p>
    <w:p w14:paraId="1B3660C5" w14:textId="77777777" w:rsidR="004D7615" w:rsidRPr="004D7615" w:rsidRDefault="004D7615" w:rsidP="004D7615">
      <w:r w:rsidRPr="004D7615">
        <w:t>This study is among the first to examine the relationship between alcohol outlet density, including different types of alcohol outlets, and intimate partner violence outside a metropolitan setting. The findings of the study show support for the hypotheses outlined. Areas that have higher densities of alcohol outlets appear to have higher densities of intimate partner violence even after controlling for neighborhood characteristics that are often found to be associated with intimate partner violence (i.e., poverty, population density, proportion of population that is African American, and proportion of female-headed households). In addition, areas with greater densities of off-</w:t>
      </w:r>
      <w:proofErr w:type="gramStart"/>
      <w:r w:rsidRPr="004D7615">
        <w:t>premise</w:t>
      </w:r>
      <w:proofErr w:type="gramEnd"/>
      <w:r w:rsidRPr="004D7615">
        <w:t xml:space="preserve"> alcohol outlets (e.g., grocery store, liquor store, convenience store) are also areas that have higher densities of intimate partner violence, independent of the effect of other neighborhood characteristics (i.e., poverty, population density, proportion of population that is African American, and proportion of female headed households).</w:t>
      </w:r>
    </w:p>
    <w:p w14:paraId="102B2D6D" w14:textId="3A17496B" w:rsidR="004D7615" w:rsidRPr="004D7615" w:rsidRDefault="004D7615" w:rsidP="004D7615">
      <w:r w:rsidRPr="004D7615">
        <w:t>The findings of this study suggest that total alcohol outlet density and off-</w:t>
      </w:r>
      <w:proofErr w:type="gramStart"/>
      <w:r w:rsidRPr="004D7615">
        <w:t>premise</w:t>
      </w:r>
      <w:proofErr w:type="gramEnd"/>
      <w:r w:rsidRPr="004D7615">
        <w:t xml:space="preserve"> alcohol outlet density but not on-premise alcohol outlet density seem to be important predictors of intimate partner violence. These findings are </w:t>
      </w:r>
      <w:proofErr w:type="gramStart"/>
      <w:r w:rsidRPr="004D7615">
        <w:t>similar to</w:t>
      </w:r>
      <w:proofErr w:type="gramEnd"/>
      <w:r w:rsidRPr="004D7615">
        <w:t xml:space="preserve"> findings from several recent studies. Grouping all alcohol outlets together to measure total alcohol outlet density, </w:t>
      </w:r>
      <w:r w:rsidRPr="004D7615">
        <w:rPr>
          <w:b/>
          <w:bCs/>
        </w:rPr>
        <w:t>Waller et al. (2013)</w:t>
      </w:r>
      <w:r w:rsidRPr="004D7615">
        <w:t> and </w:t>
      </w:r>
      <w:r w:rsidRPr="004D7615">
        <w:rPr>
          <w:b/>
          <w:bCs/>
        </w:rPr>
        <w:t>Waller et al. (2012)</w:t>
      </w:r>
      <w:r w:rsidRPr="004D7615">
        <w:t> found that total alcohol outlet density was associated with physical intimate partner violence. In addition, </w:t>
      </w:r>
      <w:proofErr w:type="spellStart"/>
      <w:r w:rsidRPr="004D7615">
        <w:rPr>
          <w:b/>
          <w:bCs/>
        </w:rPr>
        <w:t>Cunradi</w:t>
      </w:r>
      <w:proofErr w:type="spellEnd"/>
      <w:r w:rsidRPr="004D7615">
        <w:rPr>
          <w:b/>
          <w:bCs/>
        </w:rPr>
        <w:t xml:space="preserve"> et al. (2011)</w:t>
      </w:r>
      <w:r w:rsidRPr="004D7615">
        <w:t> found that density of off-</w:t>
      </w:r>
      <w:proofErr w:type="gramStart"/>
      <w:r w:rsidRPr="004D7615">
        <w:t>premise</w:t>
      </w:r>
      <w:proofErr w:type="gramEnd"/>
      <w:r w:rsidRPr="004D7615">
        <w:t xml:space="preserve"> alcohol outlets, but not density of bars and restaurants, was associated with intimate partner violence-</w:t>
      </w:r>
      <w:r w:rsidRPr="004D7615">
        <w:lastRenderedPageBreak/>
        <w:t>related calls for service and crime reports. The findings of this study regarding the statistically significant association between off-</w:t>
      </w:r>
      <w:proofErr w:type="gramStart"/>
      <w:r w:rsidRPr="004D7615">
        <w:t>premise</w:t>
      </w:r>
      <w:proofErr w:type="gramEnd"/>
      <w:r w:rsidRPr="004D7615">
        <w:t xml:space="preserve"> alcohol outlet density and intimate partner violence are similar to that of </w:t>
      </w:r>
      <w:proofErr w:type="spellStart"/>
      <w:r w:rsidRPr="004D7615">
        <w:rPr>
          <w:b/>
          <w:bCs/>
        </w:rPr>
        <w:t>Cunradi</w:t>
      </w:r>
      <w:proofErr w:type="spellEnd"/>
      <w:r w:rsidRPr="004D7615">
        <w:rPr>
          <w:b/>
          <w:bCs/>
        </w:rPr>
        <w:t xml:space="preserve">, Mair, </w:t>
      </w:r>
      <w:proofErr w:type="spellStart"/>
      <w:r w:rsidRPr="004D7615">
        <w:rPr>
          <w:b/>
          <w:bCs/>
        </w:rPr>
        <w:t>Ponicki</w:t>
      </w:r>
      <w:proofErr w:type="spellEnd"/>
      <w:r w:rsidRPr="004D7615">
        <w:rPr>
          <w:b/>
          <w:bCs/>
        </w:rPr>
        <w:t>, and Remer (2012)</w:t>
      </w:r>
      <w:r w:rsidRPr="004D7615">
        <w:t> and </w:t>
      </w:r>
      <w:r w:rsidRPr="004D7615">
        <w:rPr>
          <w:b/>
          <w:bCs/>
        </w:rPr>
        <w:t>Livingston (2011)</w:t>
      </w:r>
      <w:r w:rsidRPr="004D7615">
        <w:t>.</w:t>
      </w:r>
    </w:p>
    <w:p w14:paraId="637A697D" w14:textId="5A5541B5" w:rsidR="004D7615" w:rsidRPr="004D7615" w:rsidRDefault="004D7615" w:rsidP="004D7615">
      <w:r w:rsidRPr="004D7615">
        <w:t xml:space="preserve">However, in terms of association between </w:t>
      </w:r>
      <w:proofErr w:type="gramStart"/>
      <w:r w:rsidRPr="004D7615">
        <w:t>on-premise</w:t>
      </w:r>
      <w:proofErr w:type="gramEnd"/>
      <w:r w:rsidRPr="004D7615">
        <w:t xml:space="preserve"> alcohol outlet density and intimate partner violence, the findings of this study are opposite with those by </w:t>
      </w:r>
      <w:proofErr w:type="spellStart"/>
      <w:r w:rsidRPr="004D7615">
        <w:rPr>
          <w:b/>
          <w:bCs/>
        </w:rPr>
        <w:t>Cunradi</w:t>
      </w:r>
      <w:proofErr w:type="spellEnd"/>
      <w:r w:rsidRPr="004D7615">
        <w:rPr>
          <w:b/>
          <w:bCs/>
        </w:rPr>
        <w:t xml:space="preserve"> et al. (2012)</w:t>
      </w:r>
      <w:r w:rsidRPr="004D7615">
        <w:t> and </w:t>
      </w:r>
      <w:r w:rsidRPr="004D7615">
        <w:rPr>
          <w:b/>
          <w:bCs/>
        </w:rPr>
        <w:t>Livingston (2011)</w:t>
      </w:r>
      <w:r w:rsidRPr="004D7615">
        <w:t>. In their studies, there was a significant association between density of bars and intimate partner violence-related emergency department visits (</w:t>
      </w:r>
      <w:proofErr w:type="spellStart"/>
      <w:r w:rsidRPr="004D7615">
        <w:rPr>
          <w:b/>
          <w:bCs/>
        </w:rPr>
        <w:t>Cunradi</w:t>
      </w:r>
      <w:proofErr w:type="spellEnd"/>
      <w:r w:rsidRPr="004D7615">
        <w:rPr>
          <w:b/>
          <w:bCs/>
        </w:rPr>
        <w:t xml:space="preserve"> et al., 2012</w:t>
      </w:r>
      <w:r w:rsidRPr="004D7615">
        <w:t xml:space="preserve">), and between density of </w:t>
      </w:r>
      <w:proofErr w:type="gramStart"/>
      <w:r w:rsidRPr="004D7615">
        <w:t>on-premise</w:t>
      </w:r>
      <w:proofErr w:type="gramEnd"/>
      <w:r w:rsidRPr="004D7615">
        <w:t xml:space="preserve"> alcohol outlets and domestic violence (</w:t>
      </w:r>
      <w:r w:rsidRPr="004D7615">
        <w:rPr>
          <w:b/>
          <w:bCs/>
        </w:rPr>
        <w:t>Livingston, 2011</w:t>
      </w:r>
      <w:r w:rsidRPr="004D7615">
        <w:t>), which contradict the findings of this study. The findings of this study are also different from findings from </w:t>
      </w:r>
      <w:r w:rsidRPr="004D7615">
        <w:rPr>
          <w:b/>
          <w:bCs/>
        </w:rPr>
        <w:t>McKinney et al. (2009)</w:t>
      </w:r>
      <w:r w:rsidRPr="004D7615">
        <w:t> and </w:t>
      </w:r>
      <w:r w:rsidRPr="004D7615">
        <w:rPr>
          <w:b/>
          <w:bCs/>
        </w:rPr>
        <w:t>Livingston (2010)</w:t>
      </w:r>
      <w:r w:rsidRPr="004D7615">
        <w:t>, who found no association between off-</w:t>
      </w:r>
      <w:proofErr w:type="gramStart"/>
      <w:r w:rsidRPr="004D7615">
        <w:t>premise</w:t>
      </w:r>
      <w:proofErr w:type="gramEnd"/>
      <w:r w:rsidRPr="004D7615">
        <w:t xml:space="preserve"> alcohol outlet density and intimate partner violence; and from </w:t>
      </w:r>
      <w:r w:rsidRPr="004D7615">
        <w:rPr>
          <w:b/>
          <w:bCs/>
        </w:rPr>
        <w:t>Waller et al. (2012)</w:t>
      </w:r>
      <w:r w:rsidRPr="004D7615">
        <w:t> and </w:t>
      </w:r>
      <w:r w:rsidRPr="004D7615">
        <w:rPr>
          <w:b/>
          <w:bCs/>
        </w:rPr>
        <w:t xml:space="preserve">Gorman, </w:t>
      </w:r>
      <w:proofErr w:type="spellStart"/>
      <w:r w:rsidRPr="004D7615">
        <w:rPr>
          <w:b/>
          <w:bCs/>
        </w:rPr>
        <w:t>Labouvie</w:t>
      </w:r>
      <w:proofErr w:type="spellEnd"/>
      <w:r w:rsidRPr="004D7615">
        <w:rPr>
          <w:b/>
          <w:bCs/>
        </w:rPr>
        <w:t xml:space="preserve">, Speer, and </w:t>
      </w:r>
      <w:proofErr w:type="spellStart"/>
      <w:r w:rsidRPr="004D7615">
        <w:rPr>
          <w:b/>
          <w:bCs/>
        </w:rPr>
        <w:t>Subaiya</w:t>
      </w:r>
      <w:proofErr w:type="spellEnd"/>
      <w:r w:rsidRPr="004D7615">
        <w:rPr>
          <w:b/>
          <w:bCs/>
        </w:rPr>
        <w:t xml:space="preserve"> (1998)</w:t>
      </w:r>
      <w:r w:rsidRPr="004D7615">
        <w:t> who examined association between total alcohol outlet density and intimate partner violence and found no association. The differences in findings between these studies and the findings of the present study may be attributed to different settings (urban vs. metropolitan college town), methodology (longitudinal vs. cross-sectional), and analytical strategy (e.g., not controlling for spatial autocorrelation; see </w:t>
      </w:r>
      <w:r w:rsidRPr="004D7615">
        <w:rPr>
          <w:b/>
          <w:bCs/>
        </w:rPr>
        <w:t xml:space="preserve">Gorman, </w:t>
      </w:r>
      <w:proofErr w:type="spellStart"/>
      <w:r w:rsidRPr="004D7615">
        <w:rPr>
          <w:b/>
          <w:bCs/>
        </w:rPr>
        <w:t>Labouvie</w:t>
      </w:r>
      <w:proofErr w:type="spellEnd"/>
      <w:r w:rsidRPr="004D7615">
        <w:rPr>
          <w:b/>
          <w:bCs/>
        </w:rPr>
        <w:t xml:space="preserve">, Speer, &amp; </w:t>
      </w:r>
      <w:proofErr w:type="spellStart"/>
      <w:r w:rsidRPr="004D7615">
        <w:rPr>
          <w:b/>
          <w:bCs/>
        </w:rPr>
        <w:t>Subaiya</w:t>
      </w:r>
      <w:proofErr w:type="spellEnd"/>
      <w:r w:rsidRPr="004D7615">
        <w:rPr>
          <w:b/>
          <w:bCs/>
        </w:rPr>
        <w:t>, 1998</w:t>
      </w:r>
      <w:r w:rsidRPr="004D7615">
        <w:t>).</w:t>
      </w:r>
    </w:p>
    <w:p w14:paraId="6A2DD7C5" w14:textId="1FF2DDFE" w:rsidR="004D7615" w:rsidRPr="004D7615" w:rsidRDefault="004D7615" w:rsidP="004D7615">
      <w:r w:rsidRPr="004D7615">
        <w:t>Nonetheless, accumulation of empirical evidence thus far regarding the role of off-premise alcohol outlets in intimate partner violence (</w:t>
      </w:r>
      <w:proofErr w:type="spellStart"/>
      <w:r w:rsidRPr="004D7615">
        <w:rPr>
          <w:b/>
          <w:bCs/>
        </w:rPr>
        <w:t>Cunradi</w:t>
      </w:r>
      <w:proofErr w:type="spellEnd"/>
      <w:r w:rsidRPr="004D7615">
        <w:rPr>
          <w:b/>
          <w:bCs/>
        </w:rPr>
        <w:t xml:space="preserve">, Mair, </w:t>
      </w:r>
      <w:proofErr w:type="spellStart"/>
      <w:r w:rsidRPr="004D7615">
        <w:rPr>
          <w:b/>
          <w:bCs/>
        </w:rPr>
        <w:t>Ponicki</w:t>
      </w:r>
      <w:proofErr w:type="spellEnd"/>
      <w:r w:rsidRPr="004D7615">
        <w:rPr>
          <w:b/>
          <w:bCs/>
        </w:rPr>
        <w:t>, &amp; Remer, 2011</w:t>
      </w:r>
      <w:r w:rsidRPr="004D7615">
        <w:t>; </w:t>
      </w:r>
      <w:proofErr w:type="spellStart"/>
      <w:r w:rsidRPr="004D7615">
        <w:rPr>
          <w:b/>
          <w:bCs/>
        </w:rPr>
        <w:t>Cunradi</w:t>
      </w:r>
      <w:proofErr w:type="spellEnd"/>
      <w:r w:rsidRPr="004D7615">
        <w:rPr>
          <w:b/>
          <w:bCs/>
        </w:rPr>
        <w:t xml:space="preserve"> et al., 2012</w:t>
      </w:r>
      <w:r w:rsidRPr="004D7615">
        <w:t>; </w:t>
      </w:r>
      <w:r w:rsidRPr="004D7615">
        <w:rPr>
          <w:b/>
          <w:bCs/>
        </w:rPr>
        <w:t>Livingston, 2011</w:t>
      </w:r>
      <w:r w:rsidRPr="004D7615">
        <w:t>; </w:t>
      </w:r>
      <w:r w:rsidRPr="004D7615">
        <w:rPr>
          <w:b/>
          <w:bCs/>
        </w:rPr>
        <w:t>Waller et al., 2013</w:t>
      </w:r>
      <w:r w:rsidRPr="004D7615">
        <w:t>; </w:t>
      </w:r>
      <w:r w:rsidRPr="004D7615">
        <w:rPr>
          <w:b/>
          <w:bCs/>
        </w:rPr>
        <w:t>Waller et al., 2012</w:t>
      </w:r>
      <w:r w:rsidRPr="004D7615">
        <w:t>), and interpersonal violence (e.g., </w:t>
      </w:r>
      <w:r w:rsidRPr="004D7615">
        <w:rPr>
          <w:b/>
          <w:bCs/>
        </w:rPr>
        <w:t>Snowden &amp; Pridemore, 2013b</w:t>
      </w:r>
      <w:r w:rsidRPr="004D7615">
        <w:t>) suggests that off-premise alcohol outlets appear to be especially risky places for several reasons, relative to on-premise alcohol outlets. First, in the context of off-</w:t>
      </w:r>
      <w:proofErr w:type="gramStart"/>
      <w:r w:rsidRPr="004D7615">
        <w:t>premise</w:t>
      </w:r>
      <w:proofErr w:type="gramEnd"/>
      <w:r w:rsidRPr="004D7615">
        <w:t xml:space="preserve"> alcohol outlets, surveillance and guardianship ends the moment the patron leaves the premise, and such places may be more likely to contribute to intimate partner violence relative to bars or restaurants where other outlet staff or patrons can keep possible altercations in check. This idea seems to be supported by recent studies on violence among intimate partners. For example, </w:t>
      </w:r>
      <w:r w:rsidRPr="004D7615">
        <w:rPr>
          <w:b/>
          <w:bCs/>
        </w:rPr>
        <w:t>Livingston (2011)</w:t>
      </w:r>
      <w:r w:rsidRPr="004D7615">
        <w:t> found that the effect of off-</w:t>
      </w:r>
      <w:proofErr w:type="gramStart"/>
      <w:r w:rsidRPr="004D7615">
        <w:t>premise</w:t>
      </w:r>
      <w:proofErr w:type="gramEnd"/>
      <w:r w:rsidRPr="004D7615">
        <w:t xml:space="preserve"> license on domestic violence was 10 times higher relative to the effect of on-premise license, and </w:t>
      </w:r>
      <w:proofErr w:type="spellStart"/>
      <w:r w:rsidRPr="004D7615">
        <w:rPr>
          <w:b/>
          <w:bCs/>
        </w:rPr>
        <w:t>Cunradi</w:t>
      </w:r>
      <w:proofErr w:type="spellEnd"/>
      <w:r w:rsidRPr="004D7615">
        <w:rPr>
          <w:b/>
          <w:bCs/>
        </w:rPr>
        <w:t xml:space="preserve"> et al. (2011)</w:t>
      </w:r>
      <w:r w:rsidRPr="004D7615">
        <w:t> found that increase in off-premise alcohol outlet density was associated with increase in intimate partner violence related calls for service. Second, high densities of off-</w:t>
      </w:r>
      <w:proofErr w:type="gramStart"/>
      <w:r w:rsidRPr="004D7615">
        <w:t>premise</w:t>
      </w:r>
      <w:proofErr w:type="gramEnd"/>
      <w:r w:rsidRPr="004D7615">
        <w:t xml:space="preserve"> alcohol outlets may encourage heavy consumption away from the public eye. Concentration of off-</w:t>
      </w:r>
      <w:proofErr w:type="gramStart"/>
      <w:r w:rsidRPr="004D7615">
        <w:t>premise</w:t>
      </w:r>
      <w:proofErr w:type="gramEnd"/>
      <w:r w:rsidRPr="004D7615">
        <w:t xml:space="preserve"> alcohol outlets may create market competition resulting not only in lower beverage prices across off-premise alcohol outlets but also in stronger competition for on-premise customers, as it is often less expensive to drink at home than it is to drink at a bar or a restaurant. Therefore, not only may customers drink at home in response to lower prices, but they may also preload before going out to bars and restaurants. Last, there might be something about the off-</w:t>
      </w:r>
      <w:proofErr w:type="gramStart"/>
      <w:r w:rsidRPr="004D7615">
        <w:t>premise</w:t>
      </w:r>
      <w:proofErr w:type="gramEnd"/>
      <w:r w:rsidRPr="004D7615">
        <w:t xml:space="preserve"> alcohol outlets that contribute to intimate partner violence. It may be that these risky places emerge from the ease, which an intoxicated customer can purchase an additional drink, or the quality of responsible service training that employees are subjected to, or even the signals that litter or empty beer bottles outside of the outlets send to community members about expectations and enforcement of mainstream norms and values.</w:t>
      </w:r>
    </w:p>
    <w:p w14:paraId="7BBB87F7" w14:textId="77777777" w:rsidR="004D7615" w:rsidRPr="004D7615" w:rsidRDefault="004D7615" w:rsidP="00552C64">
      <w:pPr>
        <w:pStyle w:val="Heading2"/>
      </w:pPr>
      <w:r w:rsidRPr="004D7615">
        <w:t>Limitations</w:t>
      </w:r>
    </w:p>
    <w:p w14:paraId="645C020B" w14:textId="64042D0A" w:rsidR="004D7615" w:rsidRPr="004D7615" w:rsidRDefault="004D7615" w:rsidP="004D7615">
      <w:r w:rsidRPr="004D7615">
        <w:t xml:space="preserve">There are four main limitations to be considered </w:t>
      </w:r>
      <w:proofErr w:type="gramStart"/>
      <w:r w:rsidRPr="004D7615">
        <w:t>in light of</w:t>
      </w:r>
      <w:proofErr w:type="gramEnd"/>
      <w:r w:rsidRPr="004D7615">
        <w:t xml:space="preserve"> these findings. First, the dependent variable for this research measures intimate partner violence and is based on calls for service to Bloomington Police Department. As such, it is a conservative estimate of intimate partner violence because it does not include instances of intimate partner violence that are unreported and not known to the police. However, the data were recorded and provided by one police department, and reporting and recording procedures for violent crimes tend to be similar across units of analysis (</w:t>
      </w:r>
      <w:proofErr w:type="spellStart"/>
      <w:r w:rsidRPr="004D7615">
        <w:rPr>
          <w:b/>
          <w:bCs/>
        </w:rPr>
        <w:t>Baumer</w:t>
      </w:r>
      <w:proofErr w:type="spellEnd"/>
      <w:r w:rsidRPr="004D7615">
        <w:rPr>
          <w:b/>
          <w:bCs/>
        </w:rPr>
        <w:t>, 2002</w:t>
      </w:r>
      <w:r w:rsidRPr="004D7615">
        <w:t xml:space="preserve">), although less is known whether this is the case for intimate partner </w:t>
      </w:r>
      <w:proofErr w:type="gramStart"/>
      <w:r w:rsidRPr="004D7615">
        <w:t>violence, in particular</w:t>
      </w:r>
      <w:proofErr w:type="gramEnd"/>
      <w:r w:rsidRPr="004D7615">
        <w:t xml:space="preserve">. Second, the data regarding incidents of intimate partner violence is based on those that were physical in nature, and this study does not tell us anything about an association </w:t>
      </w:r>
      <w:r w:rsidRPr="004D7615">
        <w:lastRenderedPageBreak/>
        <w:t xml:space="preserve">between alcohol outlet density on verbal intimate partner violence. Third, the sample size of 65 Bloomington census block groups may not provide sufficient statistical power for detecting relationships that may exist between densities of </w:t>
      </w:r>
      <w:proofErr w:type="gramStart"/>
      <w:r w:rsidRPr="004D7615">
        <w:t>on-premise</w:t>
      </w:r>
      <w:proofErr w:type="gramEnd"/>
      <w:r w:rsidRPr="004D7615">
        <w:t xml:space="preserve"> alcohol outlets and intimate partner violence. Last, Bloomington is a quintessential nonmetropolitan college town that has typical problems associated with college experiences (e.g., binge drinking, house parties, etc.), and the findings of this study may not hold true for other nonmetropolitan settings with different demographic characteristics (e.g., noncollege towns, urban cities, etc.). </w:t>
      </w:r>
      <w:proofErr w:type="gramStart"/>
      <w:r w:rsidRPr="004D7615">
        <w:t>In spite of</w:t>
      </w:r>
      <w:proofErr w:type="gramEnd"/>
      <w:r w:rsidRPr="004D7615">
        <w:t xml:space="preserve"> these limitations, however, this study is carefully designed to advance our understanding of the relationship between alcohol outlets and intimate partner violence by using data from a nonmetropolitan college town, using spatially informed models, controlling for several neighborhood characteristics and prior levels of assaults, and disaggregating all alcohol outlets into different types for the purposes of analyses.</w:t>
      </w:r>
    </w:p>
    <w:p w14:paraId="38C74ED1" w14:textId="5DB3CE01" w:rsidR="004D7615" w:rsidRPr="004D7615" w:rsidRDefault="004D7615" w:rsidP="004D7615">
      <w:r w:rsidRPr="004D7615">
        <w:t>Still, future research should further examine the causal mechanism that drives the association between alcohol outlets and intimate partner violence. In doing so, future research should focus not only on the structural variables commonly associated with intimate partner violence (e.g., poverty), but also neighborhood characteristics such as social disorganization and land use that may moderate the association between alcohol outlet density and violence (</w:t>
      </w:r>
      <w:r w:rsidRPr="004D7615">
        <w:rPr>
          <w:b/>
          <w:bCs/>
        </w:rPr>
        <w:t>Pridemore &amp; Grubesic, 2013</w:t>
      </w:r>
      <w:r w:rsidRPr="004D7615">
        <w:t>), including intimate partner violence. There are theoretical and empirical reasons to believe that the effect of outlet density on intimate partner violence may depend on the levels of social disorganization and land use in the neighborhood. As </w:t>
      </w:r>
      <w:r w:rsidRPr="004D7615">
        <w:rPr>
          <w:b/>
          <w:bCs/>
        </w:rPr>
        <w:t>Pridemore and Grubesic’s (2013)</w:t>
      </w:r>
      <w:r w:rsidRPr="004D7615">
        <w:t> findings suggest, violence is more likely to occur in areas that are socially disorganized or in areas where land use is devoted to commercial or public housing. Socially disorganized neighborhoods and neighborhoods devoted to commercial or public housing may be unable to control the behavior of its members. They may also lack sufficient social cohesion, trust in one another, and political organization to put limits on new alcohol outlets from opening in the area. Thus, in such neighborhoods, it is possible that the effect of alcohol outlet density on intimate partner violence may be stronger relative to organized neighborhoods or neighborhoods with different land uses.</w:t>
      </w:r>
    </w:p>
    <w:p w14:paraId="51277434" w14:textId="5C090695" w:rsidR="004D7615" w:rsidRPr="004D7615" w:rsidRDefault="004D7615" w:rsidP="004D7615">
      <w:r w:rsidRPr="004D7615">
        <w:t>As previously noted by </w:t>
      </w:r>
      <w:r w:rsidRPr="004D7615">
        <w:rPr>
          <w:b/>
          <w:bCs/>
        </w:rPr>
        <w:t>Leonard (2001)</w:t>
      </w:r>
      <w:r w:rsidRPr="004D7615">
        <w:t>, one possible way to influence violent events is to start by influencing alcohol use. Reducing violence, including intimate partner violence, could be achieved by (a) reducing the number of alcohol outlets that are allowed to operate within a neighborhood; (b) limiting the hours and days of sales of alcoholic beverages (</w:t>
      </w:r>
      <w:r w:rsidRPr="004D7615">
        <w:rPr>
          <w:b/>
          <w:bCs/>
        </w:rPr>
        <w:t xml:space="preserve">Popova, Giesbrecht, </w:t>
      </w:r>
      <w:proofErr w:type="spellStart"/>
      <w:r w:rsidRPr="004D7615">
        <w:rPr>
          <w:b/>
          <w:bCs/>
        </w:rPr>
        <w:t>Bekmuradov</w:t>
      </w:r>
      <w:proofErr w:type="spellEnd"/>
      <w:r w:rsidRPr="004D7615">
        <w:rPr>
          <w:b/>
          <w:bCs/>
        </w:rPr>
        <w:t>, &amp; Patra, 2009</w:t>
      </w:r>
      <w:r w:rsidRPr="004D7615">
        <w:t>; </w:t>
      </w:r>
      <w:proofErr w:type="spellStart"/>
      <w:r w:rsidRPr="004D7615">
        <w:rPr>
          <w:b/>
          <w:bCs/>
        </w:rPr>
        <w:t>Rossow</w:t>
      </w:r>
      <w:proofErr w:type="spellEnd"/>
      <w:r w:rsidRPr="004D7615">
        <w:rPr>
          <w:b/>
          <w:bCs/>
        </w:rPr>
        <w:t xml:space="preserve"> &amp; </w:t>
      </w:r>
      <w:proofErr w:type="spellStart"/>
      <w:r w:rsidRPr="004D7615">
        <w:rPr>
          <w:b/>
          <w:bCs/>
        </w:rPr>
        <w:t>Norström</w:t>
      </w:r>
      <w:proofErr w:type="spellEnd"/>
      <w:r w:rsidRPr="004D7615">
        <w:rPr>
          <w:b/>
          <w:bCs/>
        </w:rPr>
        <w:t>, 2012</w:t>
      </w:r>
      <w:r w:rsidRPr="004D7615">
        <w:t>); (c) enforcing the current laws that prohibit serving intoxicated patrons (</w:t>
      </w:r>
      <w:r w:rsidRPr="004D7615">
        <w:rPr>
          <w:b/>
          <w:bCs/>
        </w:rPr>
        <w:t>Leonard, 2001</w:t>
      </w:r>
      <w:r w:rsidRPr="004D7615">
        <w:t xml:space="preserve">), or by any other similar means that are meant to reduce consumption of alcoholic beverages to reduce violent events that typically follow alcohol consumption. Reducing the number of outlets where alcohol can be purchased and carried out for consumption elsewhere (e.g., liquor stores), may especially be important </w:t>
      </w:r>
      <w:proofErr w:type="gramStart"/>
      <w:r w:rsidRPr="004D7615">
        <w:t>in light of</w:t>
      </w:r>
      <w:proofErr w:type="gramEnd"/>
      <w:r w:rsidRPr="004D7615">
        <w:t xml:space="preserve"> the findings from this study.</w:t>
      </w:r>
    </w:p>
    <w:p w14:paraId="71A1C548" w14:textId="77777777" w:rsidR="004D7615" w:rsidRPr="00552C64" w:rsidRDefault="004D7615" w:rsidP="00552C64">
      <w:pPr>
        <w:pStyle w:val="Heading1"/>
      </w:pPr>
      <w:r w:rsidRPr="00552C64">
        <w:t>REFERENCES</w:t>
      </w:r>
    </w:p>
    <w:p w14:paraId="661A458D" w14:textId="77777777" w:rsidR="004D7615" w:rsidRPr="004D7615" w:rsidRDefault="004D7615" w:rsidP="008369C4">
      <w:pPr>
        <w:pStyle w:val="NoSpacing"/>
        <w:ind w:left="720" w:hanging="720"/>
      </w:pPr>
      <w:r w:rsidRPr="004D7615">
        <w:t xml:space="preserve">L. </w:t>
      </w:r>
      <w:proofErr w:type="spellStart"/>
      <w:r w:rsidRPr="004D7615">
        <w:t>Anselin</w:t>
      </w:r>
      <w:proofErr w:type="spellEnd"/>
      <w:r w:rsidRPr="004D7615">
        <w:t xml:space="preserve"> (2005). Exploring spatial data with GeoDa: A workbook. Urbana-Champaign, IL: </w:t>
      </w:r>
      <w:proofErr w:type="spellStart"/>
      <w:r w:rsidRPr="004D7615">
        <w:t>Univeristy</w:t>
      </w:r>
      <w:proofErr w:type="spellEnd"/>
      <w:r w:rsidRPr="004D7615">
        <w:t xml:space="preserve"> of Illinois.</w:t>
      </w:r>
    </w:p>
    <w:p w14:paraId="1192D5EE" w14:textId="77777777" w:rsidR="004D7615" w:rsidRPr="004D7615" w:rsidRDefault="004D7615" w:rsidP="008369C4">
      <w:pPr>
        <w:pStyle w:val="NoSpacing"/>
        <w:ind w:left="720" w:hanging="720"/>
      </w:pPr>
      <w:r w:rsidRPr="004D7615">
        <w:t xml:space="preserve">E. P. </w:t>
      </w:r>
      <w:proofErr w:type="spellStart"/>
      <w:r w:rsidRPr="004D7615">
        <w:t>Baumer</w:t>
      </w:r>
      <w:proofErr w:type="spellEnd"/>
      <w:r w:rsidRPr="004D7615">
        <w:t xml:space="preserve"> (2002). Neighborhood disadvantage and police notification by victims of violence. Criminology, 40, 579–616.</w:t>
      </w:r>
    </w:p>
    <w:p w14:paraId="4746186E" w14:textId="6C312629" w:rsidR="004D7615" w:rsidRPr="004D7615" w:rsidRDefault="004D7615" w:rsidP="008369C4">
      <w:pPr>
        <w:pStyle w:val="NoSpacing"/>
        <w:ind w:left="720" w:hanging="720"/>
      </w:pPr>
      <w:r w:rsidRPr="004D7615">
        <w:t xml:space="preserve">R. Caetano, J. Schafer, &amp; C. B. </w:t>
      </w:r>
      <w:proofErr w:type="spellStart"/>
      <w:r w:rsidRPr="004D7615">
        <w:t>Cunradi</w:t>
      </w:r>
      <w:proofErr w:type="spellEnd"/>
      <w:r w:rsidRPr="004D7615">
        <w:t xml:space="preserve"> (2001). Alcohol-related intimate partner violence among White, Black, And Hispanic couples in the United States. National Institute on Alcohol Abuse and Alcoholism. Retrieved from </w:t>
      </w:r>
      <w:r w:rsidRPr="004D7615">
        <w:rPr>
          <w:b/>
          <w:bCs/>
        </w:rPr>
        <w:t>http://pubs.niaaa.nih.gov/publications/arh25-1/58-65.htm</w:t>
      </w:r>
    </w:p>
    <w:p w14:paraId="6CD64748" w14:textId="77777777" w:rsidR="004D7615" w:rsidRPr="004D7615" w:rsidRDefault="004D7615" w:rsidP="008369C4">
      <w:pPr>
        <w:pStyle w:val="NoSpacing"/>
        <w:ind w:left="720" w:hanging="720"/>
      </w:pPr>
      <w:r w:rsidRPr="004D7615">
        <w:t xml:space="preserve">J. Campbell, A. S. Jones, J. </w:t>
      </w:r>
      <w:proofErr w:type="spellStart"/>
      <w:r w:rsidRPr="004D7615">
        <w:t>Dienemann</w:t>
      </w:r>
      <w:proofErr w:type="spellEnd"/>
      <w:r w:rsidRPr="004D7615">
        <w:t xml:space="preserve">, J. Kub, J. Schollenberger, P. </w:t>
      </w:r>
      <w:proofErr w:type="spellStart"/>
      <w:r w:rsidRPr="004D7615">
        <w:t>O’Campo</w:t>
      </w:r>
      <w:proofErr w:type="spellEnd"/>
      <w:r w:rsidRPr="004D7615">
        <w:t>, . . . &amp; C. Wynne (2002). Intimate partner violence and physical health consequences. Archives of Internal Medicine, 162(10), 1157–1163.</w:t>
      </w:r>
    </w:p>
    <w:p w14:paraId="1716A231" w14:textId="77777777" w:rsidR="004D7615" w:rsidRPr="004D7615" w:rsidRDefault="004D7615" w:rsidP="008369C4">
      <w:pPr>
        <w:pStyle w:val="NoSpacing"/>
        <w:ind w:left="720" w:hanging="720"/>
      </w:pPr>
      <w:r w:rsidRPr="004D7615">
        <w:t>K. Clements, &amp; J. A. Schumacher (2010). Perceptual biases in social cognition as potential moderators of the relationship between alcohol and intimate partner violence: A review. Aggression and Violent Behavior, 15, 357–368.</w:t>
      </w:r>
    </w:p>
    <w:p w14:paraId="23B6348C" w14:textId="77777777" w:rsidR="004D7615" w:rsidRPr="004D7615" w:rsidRDefault="004D7615" w:rsidP="008369C4">
      <w:pPr>
        <w:pStyle w:val="NoSpacing"/>
        <w:ind w:left="720" w:hanging="720"/>
      </w:pPr>
      <w:r w:rsidRPr="004D7615">
        <w:lastRenderedPageBreak/>
        <w:t>L. E. Cohen, &amp; M. Felson (1979). Social change and crime rate trends: A routine activity approach. American Sociological Review, 44(4), 588–608.</w:t>
      </w:r>
    </w:p>
    <w:p w14:paraId="539F1C41" w14:textId="77777777" w:rsidR="004D7615" w:rsidRPr="004D7615" w:rsidRDefault="004D7615" w:rsidP="008369C4">
      <w:pPr>
        <w:pStyle w:val="NoSpacing"/>
        <w:ind w:left="720" w:hanging="720"/>
      </w:pPr>
      <w:r w:rsidRPr="004D7615">
        <w:t>A. L. Coker, K. E. Davis, I. Arias, S. Desai, M. Sanderson, H. M. Brandt, &amp; P. H. Smith (2002). Physical and mental health effects of intimate partner violence for men and women. American Journal of Preventive Medicine, 23(4), 260–268.</w:t>
      </w:r>
    </w:p>
    <w:p w14:paraId="517B3D9F" w14:textId="77777777" w:rsidR="004D7615" w:rsidRPr="004D7615" w:rsidRDefault="004D7615" w:rsidP="008369C4">
      <w:pPr>
        <w:pStyle w:val="NoSpacing"/>
        <w:ind w:left="720" w:hanging="720"/>
      </w:pPr>
      <w:r w:rsidRPr="004D7615">
        <w:t>A. L. Coker, P. H. Smith, R. E. McKeown, &amp; M. J. King (2000). Frequency and correlates of intimate partner violence by type: Physical, sexual, and psychological battering. American Journal of Public Health, 90(4), 553–559.</w:t>
      </w:r>
    </w:p>
    <w:p w14:paraId="621EA18C" w14:textId="77777777" w:rsidR="004D7615" w:rsidRPr="004D7615" w:rsidRDefault="004D7615" w:rsidP="008369C4">
      <w:pPr>
        <w:pStyle w:val="NoSpacing"/>
        <w:ind w:left="720" w:hanging="720"/>
      </w:pPr>
      <w:r w:rsidRPr="004D7615">
        <w:t xml:space="preserve">C. B. </w:t>
      </w:r>
      <w:proofErr w:type="spellStart"/>
      <w:r w:rsidRPr="004D7615">
        <w:t>Cunradi</w:t>
      </w:r>
      <w:proofErr w:type="spellEnd"/>
      <w:r w:rsidRPr="004D7615">
        <w:t xml:space="preserve"> (2007). Drinking level, neighborhood social disorder, and mutual intimate partner violence. Alcoholism, Clinical and Experimental Research, 31(6), 1012–1019.</w:t>
      </w:r>
    </w:p>
    <w:p w14:paraId="43657F98" w14:textId="77777777" w:rsidR="004D7615" w:rsidRPr="004D7615" w:rsidRDefault="004D7615" w:rsidP="008369C4">
      <w:pPr>
        <w:pStyle w:val="NoSpacing"/>
        <w:ind w:left="720" w:hanging="720"/>
      </w:pPr>
      <w:r w:rsidRPr="004D7615">
        <w:t xml:space="preserve">C. B. </w:t>
      </w:r>
      <w:proofErr w:type="spellStart"/>
      <w:r w:rsidRPr="004D7615">
        <w:t>Cunradi</w:t>
      </w:r>
      <w:proofErr w:type="spellEnd"/>
      <w:r w:rsidRPr="004D7615">
        <w:t>, C. Mair, W. Ponicki, &amp; L. Remer (2011). Alcohol outlets, neighborhood characteristics, and intimate partner violence: Ecological analysis of a California city. Journal of Urban Health, 88(2), 191–200.</w:t>
      </w:r>
    </w:p>
    <w:p w14:paraId="5B0F887B" w14:textId="77777777" w:rsidR="004D7615" w:rsidRPr="004D7615" w:rsidRDefault="004D7615" w:rsidP="008369C4">
      <w:pPr>
        <w:pStyle w:val="NoSpacing"/>
        <w:ind w:left="720" w:hanging="720"/>
      </w:pPr>
      <w:r w:rsidRPr="004D7615">
        <w:t xml:space="preserve">C. B. </w:t>
      </w:r>
      <w:proofErr w:type="spellStart"/>
      <w:r w:rsidRPr="004D7615">
        <w:t>Cunradi</w:t>
      </w:r>
      <w:proofErr w:type="spellEnd"/>
      <w:r w:rsidRPr="004D7615">
        <w:t>, C. Mair, W. Ponicki, &amp; L. Remer (2012). Alcohol outlet density and intimate partner violence-related emergency department visits. Alcoholism, Clinical and Experimental Research, 36(5), 847–853.</w:t>
      </w:r>
    </w:p>
    <w:p w14:paraId="0D45A2A0" w14:textId="77777777" w:rsidR="004D7615" w:rsidRPr="004D7615" w:rsidRDefault="004D7615" w:rsidP="008369C4">
      <w:pPr>
        <w:pStyle w:val="NoSpacing"/>
        <w:ind w:left="720" w:hanging="720"/>
      </w:pPr>
      <w:r w:rsidRPr="004D7615">
        <w:t xml:space="preserve">B. </w:t>
      </w:r>
      <w:proofErr w:type="spellStart"/>
      <w:r w:rsidRPr="004D7615">
        <w:t>Freisthler</w:t>
      </w:r>
      <w:proofErr w:type="spellEnd"/>
      <w:r w:rsidRPr="004D7615">
        <w:t xml:space="preserve">, L. T. </w:t>
      </w:r>
      <w:proofErr w:type="spellStart"/>
      <w:r w:rsidRPr="004D7615">
        <w:t>Midanik</w:t>
      </w:r>
      <w:proofErr w:type="spellEnd"/>
      <w:r w:rsidRPr="004D7615">
        <w:t>, &amp; P. J. Gruenewald (2004). Alcohol outlets and child physical abuse and neglect: Applying routine activities theory to the study of child maltreatment. Journal of Studies on Alcohol, 65(5), 586–592.</w:t>
      </w:r>
    </w:p>
    <w:p w14:paraId="1B8D6F11" w14:textId="77777777" w:rsidR="004D7615" w:rsidRPr="004D7615" w:rsidRDefault="004D7615" w:rsidP="008369C4">
      <w:pPr>
        <w:pStyle w:val="NoSpacing"/>
        <w:ind w:left="720" w:hanging="720"/>
      </w:pPr>
      <w:r w:rsidRPr="004D7615">
        <w:t>C García-Moreno, H. Jansen, C. Watts, M. Ellsberg, &amp; L. Heise (2005). WHO multi-country study on women’s health and domestic violence against women. Geneva, Switzerland, World Health Organization.</w:t>
      </w:r>
    </w:p>
    <w:p w14:paraId="150DF40B" w14:textId="77777777" w:rsidR="004D7615" w:rsidRPr="004D7615" w:rsidRDefault="004D7615" w:rsidP="008369C4">
      <w:pPr>
        <w:pStyle w:val="NoSpacing"/>
        <w:ind w:left="720" w:hanging="720"/>
      </w:pPr>
      <w:r w:rsidRPr="004D7615">
        <w:t xml:space="preserve">D. M. Gorman, E. W. </w:t>
      </w:r>
      <w:proofErr w:type="spellStart"/>
      <w:r w:rsidRPr="004D7615">
        <w:t>Labouvie</w:t>
      </w:r>
      <w:proofErr w:type="spellEnd"/>
      <w:r w:rsidRPr="004D7615">
        <w:t>, P. W. Speer, &amp; A. P. Subaiya (1998). Alcohol availability and domestic violence. American Journal of Drug and Alcohol Abuse, 24(4), 661–673.</w:t>
      </w:r>
    </w:p>
    <w:p w14:paraId="74B1B973" w14:textId="77777777" w:rsidR="004D7615" w:rsidRPr="004D7615" w:rsidRDefault="004D7615" w:rsidP="008369C4">
      <w:pPr>
        <w:pStyle w:val="NoSpacing"/>
        <w:ind w:left="720" w:hanging="720"/>
      </w:pPr>
      <w:r w:rsidRPr="004D7615">
        <w:t>R. Gustafson (1994). Alcohol and aggression. Journal of Offender Rehabilitation, 21, 41–80.</w:t>
      </w:r>
    </w:p>
    <w:p w14:paraId="4CBBEE31" w14:textId="77777777" w:rsidR="004D7615" w:rsidRPr="004D7615" w:rsidRDefault="004D7615" w:rsidP="008369C4">
      <w:pPr>
        <w:pStyle w:val="NoSpacing"/>
        <w:ind w:left="720" w:hanging="720"/>
      </w:pPr>
      <w:r w:rsidRPr="004D7615">
        <w:t xml:space="preserve">Indiana Code, </w:t>
      </w:r>
      <w:proofErr w:type="spellStart"/>
      <w:r w:rsidRPr="004D7615">
        <w:t>ch.</w:t>
      </w:r>
      <w:proofErr w:type="spellEnd"/>
      <w:r w:rsidRPr="004D7615">
        <w:t xml:space="preserve"> 2. § 35-42-2-1.3.</w:t>
      </w:r>
    </w:p>
    <w:p w14:paraId="0021FA79" w14:textId="77777777" w:rsidR="004D7615" w:rsidRPr="004D7615" w:rsidRDefault="004D7615" w:rsidP="008369C4">
      <w:pPr>
        <w:pStyle w:val="NoSpacing"/>
        <w:ind w:left="720" w:hanging="720"/>
      </w:pPr>
      <w:r w:rsidRPr="004D7615">
        <w:t xml:space="preserve">Indiana Code, </w:t>
      </w:r>
      <w:proofErr w:type="spellStart"/>
      <w:r w:rsidRPr="004D7615">
        <w:t>ch.</w:t>
      </w:r>
      <w:proofErr w:type="spellEnd"/>
      <w:r w:rsidRPr="004D7615">
        <w:t xml:space="preserve"> 2 § 35-42-2-1.5.</w:t>
      </w:r>
    </w:p>
    <w:p w14:paraId="3C28E1C9" w14:textId="77777777" w:rsidR="004D7615" w:rsidRPr="004D7615" w:rsidRDefault="004D7615" w:rsidP="008369C4">
      <w:pPr>
        <w:pStyle w:val="NoSpacing"/>
        <w:ind w:left="720" w:hanging="720"/>
      </w:pPr>
      <w:r w:rsidRPr="004D7615">
        <w:t>M. T. Kaylen, &amp; W. A. Pridemore (2013). Social disorganization and crime in rural communities: The first direct test of the systemic model. British Journal of Criminology, 53, 905–923. 10.1093/</w:t>
      </w:r>
      <w:proofErr w:type="spellStart"/>
      <w:r w:rsidRPr="004D7615">
        <w:t>bjc</w:t>
      </w:r>
      <w:proofErr w:type="spellEnd"/>
      <w:r w:rsidRPr="004D7615">
        <w:t>/azt031</w:t>
      </w:r>
    </w:p>
    <w:p w14:paraId="254DD965" w14:textId="77777777" w:rsidR="004D7615" w:rsidRPr="004D7615" w:rsidRDefault="004D7615" w:rsidP="008369C4">
      <w:pPr>
        <w:pStyle w:val="NoSpacing"/>
        <w:ind w:left="720" w:hanging="720"/>
      </w:pPr>
      <w:r w:rsidRPr="004D7615">
        <w:t xml:space="preserve">J. B. Kuhns, M. L. Exum, T. A. Clodfelter, &amp; M. C. </w:t>
      </w:r>
      <w:proofErr w:type="spellStart"/>
      <w:r w:rsidRPr="004D7615">
        <w:t>Bottia</w:t>
      </w:r>
      <w:proofErr w:type="spellEnd"/>
      <w:r w:rsidRPr="004D7615">
        <w:t xml:space="preserve"> (2013). The prevalence of alcohol-involved homicide offending: A meta-analytic review. Homicide Studies, 18, 251–270. 10.1177/1088767913493629</w:t>
      </w:r>
    </w:p>
    <w:p w14:paraId="445053DD" w14:textId="77777777" w:rsidR="004D7615" w:rsidRPr="004D7615" w:rsidRDefault="004D7615" w:rsidP="008369C4">
      <w:pPr>
        <w:pStyle w:val="NoSpacing"/>
        <w:ind w:left="720" w:hanging="720"/>
      </w:pPr>
      <w:r w:rsidRPr="004D7615">
        <w:t xml:space="preserve">K. E. Leonard (2001). Domestic violence and alcohol: What is known and what do we need to know to encourage environmental </w:t>
      </w:r>
      <w:proofErr w:type="spellStart"/>
      <w:proofErr w:type="gramStart"/>
      <w:r w:rsidRPr="004D7615">
        <w:t>interventions?Journal</w:t>
      </w:r>
      <w:proofErr w:type="spellEnd"/>
      <w:proofErr w:type="gramEnd"/>
      <w:r w:rsidRPr="004D7615">
        <w:t xml:space="preserve"> of Substance Use, 6, 235–247.</w:t>
      </w:r>
    </w:p>
    <w:p w14:paraId="2D5CA43C" w14:textId="77777777" w:rsidR="004D7615" w:rsidRPr="004D7615" w:rsidRDefault="004D7615" w:rsidP="008369C4">
      <w:pPr>
        <w:pStyle w:val="NoSpacing"/>
        <w:ind w:left="720" w:hanging="720"/>
      </w:pPr>
      <w:r w:rsidRPr="004D7615">
        <w:t xml:space="preserve">K. E. Leonard (2005). Alcohol and intimate partner violence: When can we say that heavy drinking is a contributing cause of </w:t>
      </w:r>
      <w:proofErr w:type="spellStart"/>
      <w:proofErr w:type="gramStart"/>
      <w:r w:rsidRPr="004D7615">
        <w:t>violence?Addiction</w:t>
      </w:r>
      <w:proofErr w:type="spellEnd"/>
      <w:proofErr w:type="gramEnd"/>
      <w:r w:rsidRPr="004D7615">
        <w:t>, 100, 422–425.</w:t>
      </w:r>
    </w:p>
    <w:p w14:paraId="0CF4D33B" w14:textId="77777777" w:rsidR="004D7615" w:rsidRPr="004D7615" w:rsidRDefault="004D7615" w:rsidP="008369C4">
      <w:pPr>
        <w:pStyle w:val="NoSpacing"/>
        <w:ind w:left="720" w:hanging="720"/>
      </w:pPr>
      <w:r w:rsidRPr="004D7615">
        <w:t>M. Livingston (2010). The ecology of domestic violence: The role of alcohol outlet density. Geospatial Health, 5(1), 139–149.</w:t>
      </w:r>
    </w:p>
    <w:p w14:paraId="7BD8FC53" w14:textId="77777777" w:rsidR="004D7615" w:rsidRPr="004D7615" w:rsidRDefault="004D7615" w:rsidP="008369C4">
      <w:pPr>
        <w:pStyle w:val="NoSpacing"/>
        <w:ind w:left="720" w:hanging="720"/>
      </w:pPr>
      <w:r w:rsidRPr="004D7615">
        <w:t>M. Livingston (2011). A longitudinal analysis of alcohol outlet density and domestic violence. Addiction, 106, 919–925.</w:t>
      </w:r>
    </w:p>
    <w:p w14:paraId="2C1D2F7F" w14:textId="77777777" w:rsidR="004D7615" w:rsidRPr="004D7615" w:rsidRDefault="004D7615" w:rsidP="008369C4">
      <w:pPr>
        <w:pStyle w:val="NoSpacing"/>
        <w:ind w:left="720" w:hanging="720"/>
      </w:pPr>
      <w:r w:rsidRPr="004D7615">
        <w:t xml:space="preserve">C. M. McKinney, R. Caetano, T. R. Harris, &amp; M. S. </w:t>
      </w:r>
      <w:proofErr w:type="spellStart"/>
      <w:r w:rsidRPr="004D7615">
        <w:t>Ebama</w:t>
      </w:r>
      <w:proofErr w:type="spellEnd"/>
      <w:r w:rsidRPr="004D7615">
        <w:t xml:space="preserve"> (2009). Alcohol availability and intimate partner violence among US couples. Alcoholism: Clinical and Experimental Research, 33(1), 169–176.</w:t>
      </w:r>
    </w:p>
    <w:p w14:paraId="6DDBAE3E" w14:textId="77777777" w:rsidR="004D7615" w:rsidRPr="004D7615" w:rsidRDefault="004D7615" w:rsidP="008369C4">
      <w:pPr>
        <w:pStyle w:val="NoSpacing"/>
        <w:ind w:left="720" w:hanging="720"/>
      </w:pPr>
      <w:r w:rsidRPr="004D7615">
        <w:t xml:space="preserve">C. Neighbors, C. M. Lee, M. A. Lewis, N. </w:t>
      </w:r>
      <w:proofErr w:type="spellStart"/>
      <w:r w:rsidRPr="004D7615">
        <w:t>Fossos</w:t>
      </w:r>
      <w:proofErr w:type="spellEnd"/>
      <w:r w:rsidRPr="004D7615">
        <w:t xml:space="preserve">, &amp; M. E. Larimer (2007). Are social norms the best predictor of outcomes among heavy drinking college </w:t>
      </w:r>
      <w:proofErr w:type="spellStart"/>
      <w:proofErr w:type="gramStart"/>
      <w:r w:rsidRPr="004D7615">
        <w:t>students?Journal</w:t>
      </w:r>
      <w:proofErr w:type="spellEnd"/>
      <w:proofErr w:type="gramEnd"/>
      <w:r w:rsidRPr="004D7615">
        <w:t xml:space="preserve"> of Studies on Alcohol and Drugs, 68(4), 556–565.</w:t>
      </w:r>
    </w:p>
    <w:p w14:paraId="04576F83" w14:textId="77777777" w:rsidR="004D7615" w:rsidRPr="004D7615" w:rsidRDefault="004D7615" w:rsidP="008369C4">
      <w:pPr>
        <w:pStyle w:val="NoSpacing"/>
        <w:ind w:left="720" w:hanging="720"/>
      </w:pPr>
      <w:r w:rsidRPr="004D7615">
        <w:t xml:space="preserve">S. Popova, N. Giesbrecht, D. </w:t>
      </w:r>
      <w:proofErr w:type="spellStart"/>
      <w:r w:rsidRPr="004D7615">
        <w:t>Bekmuradov</w:t>
      </w:r>
      <w:proofErr w:type="spellEnd"/>
      <w:r w:rsidRPr="004D7615">
        <w:t>, &amp; J. Patra (2009). Hours and days of sale and density of alcohol outlets: Impacts on alcohol consumption and damage: A systematic review. Alcohol and Alcoholism, 44(5), 500–516. 10.1093/</w:t>
      </w:r>
      <w:proofErr w:type="spellStart"/>
      <w:r w:rsidRPr="004D7615">
        <w:t>alcalc</w:t>
      </w:r>
      <w:proofErr w:type="spellEnd"/>
      <w:r w:rsidRPr="004D7615">
        <w:t>/agp054</w:t>
      </w:r>
    </w:p>
    <w:p w14:paraId="0719DBF7" w14:textId="77777777" w:rsidR="004D7615" w:rsidRPr="004D7615" w:rsidRDefault="004D7615" w:rsidP="008369C4">
      <w:pPr>
        <w:pStyle w:val="NoSpacing"/>
        <w:ind w:left="720" w:hanging="720"/>
      </w:pPr>
      <w:r w:rsidRPr="004D7615">
        <w:t>W. A. Pridemore, &amp; T. H. Grubesic (2013). Alcohol outlets and community levels of interpersonal violence: Spatial density, outlet type, and seriousness of assault. Journal of Research in Crime and Delinquency, 50(1), 132–159.</w:t>
      </w:r>
    </w:p>
    <w:p w14:paraId="6E583942" w14:textId="77777777" w:rsidR="004D7615" w:rsidRPr="004D7615" w:rsidRDefault="004D7615" w:rsidP="008369C4">
      <w:pPr>
        <w:pStyle w:val="NoSpacing"/>
        <w:ind w:left="720" w:hanging="720"/>
      </w:pPr>
      <w:r w:rsidRPr="004D7615">
        <w:t>C. G. Roman, &amp; S. Reid (2012). Assessing the relationship between alcohol outlets and domestic violence: Routine activities and the neighborhood environment. Violence and Victims, 27(5), 811–828.</w:t>
      </w:r>
    </w:p>
    <w:p w14:paraId="20BC57BE" w14:textId="4543D8D2" w:rsidR="004D7615" w:rsidRPr="004D7615" w:rsidRDefault="004D7615" w:rsidP="008369C4">
      <w:pPr>
        <w:pStyle w:val="NoSpacing"/>
        <w:ind w:left="720" w:hanging="720"/>
      </w:pPr>
      <w:r w:rsidRPr="004D7615">
        <w:lastRenderedPageBreak/>
        <w:t>C. G. Roman, S. Reid, A. Bhati, &amp; B. Tereshchenko (2008). Alcohol outlets as attractors of violence and disorder: A closer look at the neighborhood environment. Retrieved from </w:t>
      </w:r>
      <w:r w:rsidRPr="004D7615">
        <w:rPr>
          <w:b/>
          <w:bCs/>
        </w:rPr>
        <w:t>http://www.urban.org/publications/411663.html</w:t>
      </w:r>
    </w:p>
    <w:p w14:paraId="4383B3F3" w14:textId="77777777" w:rsidR="004D7615" w:rsidRPr="004D7615" w:rsidRDefault="004D7615" w:rsidP="008369C4">
      <w:pPr>
        <w:pStyle w:val="NoSpacing"/>
        <w:ind w:left="720" w:hanging="720"/>
      </w:pPr>
      <w:r w:rsidRPr="004D7615">
        <w:t xml:space="preserve">I. Rossow, &amp; T. </w:t>
      </w:r>
      <w:proofErr w:type="spellStart"/>
      <w:r w:rsidRPr="004D7615">
        <w:t>Norström</w:t>
      </w:r>
      <w:proofErr w:type="spellEnd"/>
      <w:r w:rsidRPr="004D7615">
        <w:t xml:space="preserve"> (2012). The impact of small changes in bar closing hours on violence. The Norwegian experience from 18 cities. Addiction, 107(3), 530–537. 10.1111/j.1360-0443.</w:t>
      </w:r>
      <w:proofErr w:type="gramStart"/>
      <w:r w:rsidRPr="004D7615">
        <w:t>2011.03643.x</w:t>
      </w:r>
      <w:proofErr w:type="gramEnd"/>
    </w:p>
    <w:p w14:paraId="174FC78E" w14:textId="77777777" w:rsidR="004D7615" w:rsidRPr="004D7615" w:rsidRDefault="004D7615" w:rsidP="008369C4">
      <w:pPr>
        <w:pStyle w:val="NoSpacing"/>
        <w:ind w:left="720" w:hanging="720"/>
      </w:pPr>
      <w:r w:rsidRPr="004D7615">
        <w:t>A. J. Snowden, &amp; W. A. Pridemore (2013a). Alcohol outlets, social disorganization, land use, and violence in a large college town: Direct and moderating effects. Criminal Justice Review, 38(1), 29–49.</w:t>
      </w:r>
    </w:p>
    <w:p w14:paraId="301A8FC2" w14:textId="77777777" w:rsidR="004D7615" w:rsidRPr="004D7615" w:rsidRDefault="004D7615" w:rsidP="008369C4">
      <w:pPr>
        <w:pStyle w:val="NoSpacing"/>
        <w:ind w:left="720" w:hanging="720"/>
      </w:pPr>
      <w:r w:rsidRPr="004D7615">
        <w:t>A. J. Snowden, &amp; W. A. Pridemore (2013b). Alcohol and violence in a nonmetropolitan college town: Alcohol outlet density, outlet type, and assault. Journal of Drug Issues, 43(3), 357–373.</w:t>
      </w:r>
    </w:p>
    <w:p w14:paraId="4372BBFA" w14:textId="77777777" w:rsidR="004D7615" w:rsidRPr="004D7615" w:rsidRDefault="004D7615" w:rsidP="008369C4">
      <w:pPr>
        <w:pStyle w:val="NoSpacing"/>
        <w:ind w:left="720" w:hanging="720"/>
      </w:pPr>
      <w:r w:rsidRPr="004D7615">
        <w:t xml:space="preserve">T. </w:t>
      </w:r>
      <w:proofErr w:type="spellStart"/>
      <w:r w:rsidRPr="004D7615">
        <w:t>Stockwell</w:t>
      </w:r>
      <w:proofErr w:type="spellEnd"/>
      <w:r w:rsidRPr="004D7615">
        <w:t xml:space="preserve">, &amp; P. J. Gruenewald (2001). Controls on the physical availability of alcohol. In N. Heather, T. J. Peters, &amp; T. </w:t>
      </w:r>
      <w:proofErr w:type="spellStart"/>
      <w:r w:rsidRPr="004D7615">
        <w:t>Stockwell</w:t>
      </w:r>
      <w:proofErr w:type="spellEnd"/>
      <w:r w:rsidRPr="004D7615">
        <w:t xml:space="preserve"> (Eds.). International handbook of alcohol dependence and problems (pp. 699–719). New York, NY: Wiley.</w:t>
      </w:r>
    </w:p>
    <w:p w14:paraId="23A77A1A" w14:textId="77D85F85" w:rsidR="004D7615" w:rsidRPr="004D7615" w:rsidRDefault="004D7615" w:rsidP="008369C4">
      <w:pPr>
        <w:pStyle w:val="NoSpacing"/>
        <w:ind w:left="720" w:hanging="720"/>
      </w:pPr>
      <w:r w:rsidRPr="004D7615">
        <w:t>P. Tjaden, &amp; N. Thoennes (2000). Prevalence, incidence, and consequences of violence against women: Findings from the National Violence Against Women Survey. Retrieved from </w:t>
      </w:r>
      <w:r w:rsidRPr="004D7615">
        <w:rPr>
          <w:b/>
          <w:bCs/>
        </w:rPr>
        <w:t>http://www.nij.gov/pubs-sum/172837.htm</w:t>
      </w:r>
    </w:p>
    <w:p w14:paraId="129157CE" w14:textId="34741637" w:rsidR="004D7615" w:rsidRPr="004D7615" w:rsidRDefault="004D7615" w:rsidP="008369C4">
      <w:pPr>
        <w:pStyle w:val="NoSpacing"/>
        <w:ind w:left="720" w:hanging="720"/>
      </w:pPr>
      <w:r w:rsidRPr="004D7615">
        <w:t xml:space="preserve">United States Census Bureau. (2010) American </w:t>
      </w:r>
      <w:proofErr w:type="spellStart"/>
      <w:r w:rsidRPr="004D7615">
        <w:t>FactFinder</w:t>
      </w:r>
      <w:proofErr w:type="spellEnd"/>
      <w:r w:rsidRPr="004D7615">
        <w:t>. Retrieved from </w:t>
      </w:r>
      <w:r w:rsidRPr="004D7615">
        <w:rPr>
          <w:b/>
          <w:bCs/>
        </w:rPr>
        <w:t>http://factfinder2.census.gov/faces/nav/jsf/pages/community_facts.xhtml</w:t>
      </w:r>
    </w:p>
    <w:p w14:paraId="3A533A5C" w14:textId="77777777" w:rsidR="004D7615" w:rsidRPr="004D7615" w:rsidRDefault="004D7615" w:rsidP="008369C4">
      <w:pPr>
        <w:pStyle w:val="NoSpacing"/>
        <w:ind w:left="720" w:hanging="720"/>
      </w:pPr>
      <w:r w:rsidRPr="004D7615">
        <w:t xml:space="preserve">M. W. Waller, B. J. </w:t>
      </w:r>
      <w:proofErr w:type="spellStart"/>
      <w:r w:rsidRPr="004D7615">
        <w:t>Iritani</w:t>
      </w:r>
      <w:proofErr w:type="spellEnd"/>
      <w:r w:rsidRPr="004D7615">
        <w:t>, S. L. Christ, H. K. Clark, K. E. Moracco, C. T. Halpern, &amp; R. L. Flewelling (2012). Relationships among alcohol outlet density, alcohol use, and intimate partner violence victimization among young women in the United States. Journal of Interpersonal Violence, 27(10), 2062–2086.</w:t>
      </w:r>
    </w:p>
    <w:p w14:paraId="680740B4" w14:textId="77777777" w:rsidR="004D7615" w:rsidRPr="004D7615" w:rsidRDefault="004D7615" w:rsidP="008369C4">
      <w:pPr>
        <w:pStyle w:val="NoSpacing"/>
        <w:ind w:left="720" w:hanging="720"/>
      </w:pPr>
      <w:r w:rsidRPr="004D7615">
        <w:t xml:space="preserve">M. W. Waller, B. J. </w:t>
      </w:r>
      <w:proofErr w:type="spellStart"/>
      <w:r w:rsidRPr="004D7615">
        <w:t>Iritani</w:t>
      </w:r>
      <w:proofErr w:type="spellEnd"/>
      <w:r w:rsidRPr="004D7615">
        <w:t>, S. L. Christ, C. T. Halpern, K. E. Moracco, &amp; R. L. Flewelling (2013). Perpetration of intimate partner violence by young adult males: The association with alcohol outlet density and drinking behavior. Health &amp; Place, 21, 10–19.</w:t>
      </w:r>
    </w:p>
    <w:p w14:paraId="2D79A5F2" w14:textId="77777777" w:rsidR="004D7615" w:rsidRPr="004D7615" w:rsidRDefault="004D7615" w:rsidP="008369C4">
      <w:pPr>
        <w:pStyle w:val="NoSpacing"/>
        <w:ind w:left="720" w:hanging="720"/>
      </w:pPr>
      <w:r w:rsidRPr="004D7615">
        <w:t xml:space="preserve">M. W. Waller, B. J. </w:t>
      </w:r>
      <w:proofErr w:type="spellStart"/>
      <w:r w:rsidRPr="004D7615">
        <w:t>Iritani</w:t>
      </w:r>
      <w:proofErr w:type="spellEnd"/>
      <w:r w:rsidRPr="004D7615">
        <w:t xml:space="preserve">, R. L. Flewelling, S. L. Christ, C. T. Halpern, &amp; K. E. Moracco (2012). Violence victimization of young men in heterosexual relationships: Does alcohol outlet density influence </w:t>
      </w:r>
      <w:proofErr w:type="spellStart"/>
      <w:proofErr w:type="gramStart"/>
      <w:r w:rsidRPr="004D7615">
        <w:t>outcomes?Violence</w:t>
      </w:r>
      <w:proofErr w:type="spellEnd"/>
      <w:proofErr w:type="gramEnd"/>
      <w:r w:rsidRPr="004D7615">
        <w:t xml:space="preserve"> and Victims, 27(4), 527–547.</w:t>
      </w:r>
    </w:p>
    <w:p w14:paraId="6474D5DA" w14:textId="77777777" w:rsidR="004D7615" w:rsidRPr="004D7615" w:rsidRDefault="004D7615" w:rsidP="008369C4">
      <w:pPr>
        <w:pStyle w:val="NoSpacing"/>
        <w:ind w:left="720" w:hanging="720"/>
      </w:pPr>
      <w:r w:rsidRPr="004D7615">
        <w:t>H. Wechsler, A. Davenport, G. Dowdall, B. Moeykens, &amp; S. Castillo (1994). Health and behavioral consequences of binge drinking in college: A national survey of students at 140 campuses. JAMA, 272, 1672–1677.</w:t>
      </w:r>
    </w:p>
    <w:p w14:paraId="6ED55073" w14:textId="77777777" w:rsidR="004D7615" w:rsidRPr="00101E73" w:rsidRDefault="004D7615" w:rsidP="008369C4">
      <w:pPr>
        <w:pStyle w:val="NoSpacing"/>
        <w:ind w:left="720" w:hanging="720"/>
      </w:pPr>
    </w:p>
    <w:sectPr w:rsidR="004D7615" w:rsidRPr="00101E73" w:rsidSect="004B03E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0416A"/>
    <w:multiLevelType w:val="multilevel"/>
    <w:tmpl w:val="67860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81454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GsQQ/DLgTXWT8+/aNffP/53PakSY5MDy5U8ackiXwkSl6a1EKEugOwtqxKiC0Z067ATP0luklxkDkhumm/YDfg==" w:salt="5cc91pGE/zvG+yu6e5uYD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1E73"/>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03E7"/>
    <w:rsid w:val="004B0F49"/>
    <w:rsid w:val="004B2226"/>
    <w:rsid w:val="004B6BED"/>
    <w:rsid w:val="004B77C2"/>
    <w:rsid w:val="004C0B3D"/>
    <w:rsid w:val="004C2D7B"/>
    <w:rsid w:val="004C45D2"/>
    <w:rsid w:val="004C5EEF"/>
    <w:rsid w:val="004D118A"/>
    <w:rsid w:val="004D1CB9"/>
    <w:rsid w:val="004D21C9"/>
    <w:rsid w:val="004D7615"/>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C6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2EF2"/>
    <w:rsid w:val="005E5F66"/>
    <w:rsid w:val="005F46EC"/>
    <w:rsid w:val="005F49C9"/>
    <w:rsid w:val="005F4CFE"/>
    <w:rsid w:val="005F71CE"/>
    <w:rsid w:val="005F7A68"/>
    <w:rsid w:val="00601980"/>
    <w:rsid w:val="0060332C"/>
    <w:rsid w:val="00604C5A"/>
    <w:rsid w:val="00607F1D"/>
    <w:rsid w:val="00612DE8"/>
    <w:rsid w:val="00615A83"/>
    <w:rsid w:val="00620EA0"/>
    <w:rsid w:val="00622EAC"/>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3809"/>
    <w:rsid w:val="00754400"/>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0BE5"/>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9C4"/>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53A"/>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69BC"/>
    <w:rsid w:val="00C47122"/>
    <w:rsid w:val="00C47959"/>
    <w:rsid w:val="00C47CEA"/>
    <w:rsid w:val="00C515E0"/>
    <w:rsid w:val="00C531A3"/>
    <w:rsid w:val="00C57F24"/>
    <w:rsid w:val="00C63EA6"/>
    <w:rsid w:val="00C6619F"/>
    <w:rsid w:val="00C6624A"/>
    <w:rsid w:val="00C742C3"/>
    <w:rsid w:val="00C74530"/>
    <w:rsid w:val="00C75559"/>
    <w:rsid w:val="00C76D88"/>
    <w:rsid w:val="00C7785D"/>
    <w:rsid w:val="00C77A26"/>
    <w:rsid w:val="00C85BDD"/>
    <w:rsid w:val="00C86B81"/>
    <w:rsid w:val="00C91557"/>
    <w:rsid w:val="00C92F74"/>
    <w:rsid w:val="00C949CD"/>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4A0D"/>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7B9"/>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4A0D"/>
  </w:style>
  <w:style w:type="paragraph" w:styleId="Heading1">
    <w:name w:val="heading 1"/>
    <w:basedOn w:val="Normal"/>
    <w:next w:val="Normal"/>
    <w:link w:val="Heading1Char"/>
    <w:uiPriority w:val="9"/>
    <w:qFormat/>
    <w:rsid w:val="00E04A0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04A0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04A0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04A0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04A0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04A0D"/>
    <w:pPr>
      <w:keepNext/>
      <w:keepLines/>
      <w:spacing w:before="40" w:after="0"/>
      <w:outlineLvl w:val="5"/>
    </w:pPr>
  </w:style>
  <w:style w:type="paragraph" w:styleId="Heading7">
    <w:name w:val="heading 7"/>
    <w:basedOn w:val="Normal"/>
    <w:next w:val="Normal"/>
    <w:link w:val="Heading7Char"/>
    <w:uiPriority w:val="9"/>
    <w:semiHidden/>
    <w:unhideWhenUsed/>
    <w:qFormat/>
    <w:rsid w:val="00E04A0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04A0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04A0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A0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04A0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04A0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04A0D"/>
    <w:rPr>
      <w:i/>
      <w:iCs/>
    </w:rPr>
  </w:style>
  <w:style w:type="character" w:customStyle="1" w:styleId="Heading5Char">
    <w:name w:val="Heading 5 Char"/>
    <w:basedOn w:val="DefaultParagraphFont"/>
    <w:link w:val="Heading5"/>
    <w:uiPriority w:val="9"/>
    <w:semiHidden/>
    <w:rsid w:val="00E04A0D"/>
    <w:rPr>
      <w:color w:val="404040" w:themeColor="text1" w:themeTint="BF"/>
    </w:rPr>
  </w:style>
  <w:style w:type="character" w:customStyle="1" w:styleId="Heading6Char">
    <w:name w:val="Heading 6 Char"/>
    <w:basedOn w:val="DefaultParagraphFont"/>
    <w:link w:val="Heading6"/>
    <w:uiPriority w:val="9"/>
    <w:semiHidden/>
    <w:rsid w:val="00E04A0D"/>
  </w:style>
  <w:style w:type="character" w:customStyle="1" w:styleId="Heading7Char">
    <w:name w:val="Heading 7 Char"/>
    <w:basedOn w:val="DefaultParagraphFont"/>
    <w:link w:val="Heading7"/>
    <w:uiPriority w:val="9"/>
    <w:semiHidden/>
    <w:rsid w:val="00E04A0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04A0D"/>
    <w:rPr>
      <w:color w:val="262626" w:themeColor="text1" w:themeTint="D9"/>
      <w:sz w:val="21"/>
      <w:szCs w:val="21"/>
    </w:rPr>
  </w:style>
  <w:style w:type="character" w:customStyle="1" w:styleId="Heading9Char">
    <w:name w:val="Heading 9 Char"/>
    <w:basedOn w:val="DefaultParagraphFont"/>
    <w:link w:val="Heading9"/>
    <w:uiPriority w:val="9"/>
    <w:semiHidden/>
    <w:rsid w:val="00E04A0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04A0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04A0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04A0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04A0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04A0D"/>
    <w:rPr>
      <w:color w:val="5A5A5A" w:themeColor="text1" w:themeTint="A5"/>
      <w:spacing w:val="15"/>
    </w:rPr>
  </w:style>
  <w:style w:type="character" w:styleId="Strong">
    <w:name w:val="Strong"/>
    <w:basedOn w:val="DefaultParagraphFont"/>
    <w:uiPriority w:val="22"/>
    <w:qFormat/>
    <w:rsid w:val="00E04A0D"/>
    <w:rPr>
      <w:b/>
      <w:bCs/>
      <w:color w:val="auto"/>
    </w:rPr>
  </w:style>
  <w:style w:type="character" w:styleId="Emphasis">
    <w:name w:val="Emphasis"/>
    <w:basedOn w:val="DefaultParagraphFont"/>
    <w:uiPriority w:val="20"/>
    <w:qFormat/>
    <w:rsid w:val="00E04A0D"/>
    <w:rPr>
      <w:i/>
      <w:iCs/>
      <w:color w:val="auto"/>
    </w:rPr>
  </w:style>
  <w:style w:type="paragraph" w:styleId="NoSpacing">
    <w:name w:val="No Spacing"/>
    <w:uiPriority w:val="1"/>
    <w:qFormat/>
    <w:rsid w:val="00E04A0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04A0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04A0D"/>
    <w:rPr>
      <w:i/>
      <w:iCs/>
      <w:color w:val="404040" w:themeColor="text1" w:themeTint="BF"/>
    </w:rPr>
  </w:style>
  <w:style w:type="paragraph" w:styleId="IntenseQuote">
    <w:name w:val="Intense Quote"/>
    <w:basedOn w:val="Normal"/>
    <w:next w:val="Normal"/>
    <w:link w:val="IntenseQuoteChar"/>
    <w:uiPriority w:val="30"/>
    <w:qFormat/>
    <w:rsid w:val="00E04A0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04A0D"/>
    <w:rPr>
      <w:i/>
      <w:iCs/>
      <w:color w:val="404040" w:themeColor="text1" w:themeTint="BF"/>
    </w:rPr>
  </w:style>
  <w:style w:type="character" w:styleId="SubtleEmphasis">
    <w:name w:val="Subtle Emphasis"/>
    <w:basedOn w:val="DefaultParagraphFont"/>
    <w:uiPriority w:val="19"/>
    <w:qFormat/>
    <w:rsid w:val="00E04A0D"/>
    <w:rPr>
      <w:i/>
      <w:iCs/>
      <w:color w:val="404040" w:themeColor="text1" w:themeTint="BF"/>
    </w:rPr>
  </w:style>
  <w:style w:type="character" w:styleId="IntenseEmphasis">
    <w:name w:val="Intense Emphasis"/>
    <w:basedOn w:val="DefaultParagraphFont"/>
    <w:uiPriority w:val="21"/>
    <w:qFormat/>
    <w:rsid w:val="00E04A0D"/>
    <w:rPr>
      <w:b/>
      <w:bCs/>
      <w:i/>
      <w:iCs/>
      <w:color w:val="auto"/>
    </w:rPr>
  </w:style>
  <w:style w:type="character" w:styleId="SubtleReference">
    <w:name w:val="Subtle Reference"/>
    <w:basedOn w:val="DefaultParagraphFont"/>
    <w:uiPriority w:val="31"/>
    <w:qFormat/>
    <w:rsid w:val="00E04A0D"/>
    <w:rPr>
      <w:smallCaps/>
      <w:color w:val="404040" w:themeColor="text1" w:themeTint="BF"/>
    </w:rPr>
  </w:style>
  <w:style w:type="character" w:styleId="IntenseReference">
    <w:name w:val="Intense Reference"/>
    <w:basedOn w:val="DefaultParagraphFont"/>
    <w:uiPriority w:val="32"/>
    <w:qFormat/>
    <w:rsid w:val="00E04A0D"/>
    <w:rPr>
      <w:b/>
      <w:bCs/>
      <w:smallCaps/>
      <w:color w:val="404040" w:themeColor="text1" w:themeTint="BF"/>
      <w:spacing w:val="5"/>
    </w:rPr>
  </w:style>
  <w:style w:type="character" w:styleId="BookTitle">
    <w:name w:val="Book Title"/>
    <w:basedOn w:val="DefaultParagraphFont"/>
    <w:uiPriority w:val="33"/>
    <w:qFormat/>
    <w:rsid w:val="00E04A0D"/>
    <w:rPr>
      <w:b/>
      <w:bCs/>
      <w:i/>
      <w:iCs/>
      <w:spacing w:val="5"/>
    </w:rPr>
  </w:style>
  <w:style w:type="paragraph" w:styleId="TOCHeading">
    <w:name w:val="TOC Heading"/>
    <w:basedOn w:val="Heading1"/>
    <w:next w:val="Normal"/>
    <w:uiPriority w:val="39"/>
    <w:semiHidden/>
    <w:unhideWhenUsed/>
    <w:qFormat/>
    <w:rsid w:val="00E04A0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4D76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4D761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D7615"/>
    <w:rPr>
      <w:color w:val="0000FF"/>
      <w:u w:val="single"/>
    </w:rPr>
  </w:style>
  <w:style w:type="character" w:styleId="FollowedHyperlink">
    <w:name w:val="FollowedHyperlink"/>
    <w:basedOn w:val="DefaultParagraphFont"/>
    <w:uiPriority w:val="99"/>
    <w:semiHidden/>
    <w:unhideWhenUsed/>
    <w:rsid w:val="004D7615"/>
    <w:rPr>
      <w:color w:val="800080"/>
      <w:u w:val="single"/>
    </w:rPr>
  </w:style>
  <w:style w:type="paragraph" w:styleId="NormalWeb">
    <w:name w:val="Normal (Web)"/>
    <w:basedOn w:val="Normal"/>
    <w:uiPriority w:val="99"/>
    <w:semiHidden/>
    <w:unhideWhenUsed/>
    <w:rsid w:val="004D76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4D7615"/>
  </w:style>
  <w:style w:type="character" w:customStyle="1" w:styleId="generated">
    <w:name w:val="generated"/>
    <w:basedOn w:val="DefaultParagraphFont"/>
    <w:rsid w:val="004D7615"/>
  </w:style>
  <w:style w:type="paragraph" w:customStyle="1" w:styleId="row">
    <w:name w:val="row"/>
    <w:basedOn w:val="Normal"/>
    <w:rsid w:val="004D76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reflinks-abstract">
    <w:name w:val="cit-reflinks-abstract"/>
    <w:basedOn w:val="DefaultParagraphFont"/>
    <w:rsid w:val="004D7615"/>
  </w:style>
  <w:style w:type="character" w:customStyle="1" w:styleId="cit-sep">
    <w:name w:val="cit-sep"/>
    <w:basedOn w:val="DefaultParagraphFont"/>
    <w:rsid w:val="004D7615"/>
  </w:style>
  <w:style w:type="character" w:customStyle="1" w:styleId="cit-reflinks-full-text">
    <w:name w:val="cit-reflinks-full-text"/>
    <w:basedOn w:val="DefaultParagraphFont"/>
    <w:rsid w:val="004D7615"/>
  </w:style>
  <w:style w:type="character" w:styleId="UnresolvedMention">
    <w:name w:val="Unresolved Mention"/>
    <w:basedOn w:val="DefaultParagraphFont"/>
    <w:uiPriority w:val="99"/>
    <w:semiHidden/>
    <w:unhideWhenUsed/>
    <w:rsid w:val="004D7615"/>
    <w:rPr>
      <w:color w:val="605E5C"/>
      <w:shd w:val="clear" w:color="auto" w:fill="E1DFDD"/>
    </w:rPr>
  </w:style>
  <w:style w:type="table" w:styleId="GridTable4-Accent5">
    <w:name w:val="Grid Table 4 Accent 5"/>
    <w:basedOn w:val="TableNormal"/>
    <w:uiPriority w:val="49"/>
    <w:rsid w:val="00622EA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513200">
      <w:bodyDiv w:val="1"/>
      <w:marLeft w:val="0"/>
      <w:marRight w:val="0"/>
      <w:marTop w:val="0"/>
      <w:marBottom w:val="0"/>
      <w:divBdr>
        <w:top w:val="none" w:sz="0" w:space="0" w:color="auto"/>
        <w:left w:val="none" w:sz="0" w:space="0" w:color="auto"/>
        <w:bottom w:val="none" w:sz="0" w:space="0" w:color="auto"/>
        <w:right w:val="none" w:sz="0" w:space="0" w:color="auto"/>
      </w:divBdr>
      <w:divsChild>
        <w:div w:id="895049940">
          <w:marLeft w:val="0"/>
          <w:marRight w:val="0"/>
          <w:marTop w:val="0"/>
          <w:marBottom w:val="0"/>
          <w:divBdr>
            <w:top w:val="none" w:sz="0" w:space="0" w:color="auto"/>
            <w:left w:val="none" w:sz="0" w:space="0" w:color="auto"/>
            <w:bottom w:val="single" w:sz="6" w:space="0" w:color="EBEBEB"/>
            <w:right w:val="none" w:sz="0" w:space="0" w:color="auto"/>
          </w:divBdr>
          <w:divsChild>
            <w:div w:id="1562013645">
              <w:marLeft w:val="0"/>
              <w:marRight w:val="0"/>
              <w:marTop w:val="0"/>
              <w:marBottom w:val="0"/>
              <w:divBdr>
                <w:top w:val="none" w:sz="0" w:space="0" w:color="auto"/>
                <w:left w:val="none" w:sz="0" w:space="0" w:color="auto"/>
                <w:bottom w:val="none" w:sz="0" w:space="0" w:color="auto"/>
                <w:right w:val="none" w:sz="0" w:space="0" w:color="auto"/>
              </w:divBdr>
              <w:divsChild>
                <w:div w:id="2061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6314">
          <w:marLeft w:val="0"/>
          <w:marRight w:val="0"/>
          <w:marTop w:val="0"/>
          <w:marBottom w:val="0"/>
          <w:divBdr>
            <w:top w:val="none" w:sz="0" w:space="0" w:color="auto"/>
            <w:left w:val="none" w:sz="0" w:space="0" w:color="auto"/>
            <w:bottom w:val="none" w:sz="0" w:space="0" w:color="auto"/>
            <w:right w:val="none" w:sz="0" w:space="0" w:color="auto"/>
          </w:divBdr>
          <w:divsChild>
            <w:div w:id="1071466978">
              <w:marLeft w:val="0"/>
              <w:marRight w:val="0"/>
              <w:marTop w:val="0"/>
              <w:marBottom w:val="0"/>
              <w:divBdr>
                <w:top w:val="none" w:sz="0" w:space="0" w:color="auto"/>
                <w:left w:val="none" w:sz="0" w:space="0" w:color="auto"/>
                <w:bottom w:val="none" w:sz="0" w:space="0" w:color="auto"/>
                <w:right w:val="none" w:sz="0" w:space="0" w:color="auto"/>
              </w:divBdr>
              <w:divsChild>
                <w:div w:id="887109637">
                  <w:marLeft w:val="0"/>
                  <w:marRight w:val="0"/>
                  <w:marTop w:val="0"/>
                  <w:marBottom w:val="0"/>
                  <w:divBdr>
                    <w:top w:val="none" w:sz="0" w:space="0" w:color="auto"/>
                    <w:left w:val="none" w:sz="0" w:space="0" w:color="auto"/>
                    <w:bottom w:val="none" w:sz="0" w:space="0" w:color="auto"/>
                    <w:right w:val="none" w:sz="0" w:space="0" w:color="auto"/>
                  </w:divBdr>
                  <w:divsChild>
                    <w:div w:id="992024790">
                      <w:marLeft w:val="0"/>
                      <w:marRight w:val="0"/>
                      <w:marTop w:val="0"/>
                      <w:marBottom w:val="0"/>
                      <w:divBdr>
                        <w:top w:val="none" w:sz="0" w:space="0" w:color="auto"/>
                        <w:left w:val="none" w:sz="0" w:space="0" w:color="auto"/>
                        <w:bottom w:val="none" w:sz="0" w:space="0" w:color="auto"/>
                        <w:right w:val="none" w:sz="0" w:space="0" w:color="auto"/>
                      </w:divBdr>
                    </w:div>
                    <w:div w:id="417218873">
                      <w:marLeft w:val="0"/>
                      <w:marRight w:val="0"/>
                      <w:marTop w:val="0"/>
                      <w:marBottom w:val="0"/>
                      <w:divBdr>
                        <w:top w:val="none" w:sz="0" w:space="0" w:color="auto"/>
                        <w:left w:val="none" w:sz="0" w:space="0" w:color="auto"/>
                        <w:bottom w:val="none" w:sz="0" w:space="0" w:color="auto"/>
                        <w:right w:val="none" w:sz="0" w:space="0" w:color="auto"/>
                      </w:divBdr>
                      <w:divsChild>
                        <w:div w:id="1433817564">
                          <w:marLeft w:val="0"/>
                          <w:marRight w:val="0"/>
                          <w:marTop w:val="0"/>
                          <w:marBottom w:val="0"/>
                          <w:divBdr>
                            <w:top w:val="none" w:sz="0" w:space="0" w:color="auto"/>
                            <w:left w:val="none" w:sz="0" w:space="0" w:color="auto"/>
                            <w:bottom w:val="none" w:sz="0" w:space="0" w:color="auto"/>
                            <w:right w:val="none" w:sz="0" w:space="0" w:color="auto"/>
                          </w:divBdr>
                        </w:div>
                        <w:div w:id="1997369779">
                          <w:marLeft w:val="0"/>
                          <w:marRight w:val="0"/>
                          <w:marTop w:val="0"/>
                          <w:marBottom w:val="0"/>
                          <w:divBdr>
                            <w:top w:val="none" w:sz="0" w:space="0" w:color="auto"/>
                            <w:left w:val="none" w:sz="0" w:space="0" w:color="auto"/>
                            <w:bottom w:val="none" w:sz="0" w:space="0" w:color="auto"/>
                            <w:right w:val="none" w:sz="0" w:space="0" w:color="auto"/>
                          </w:divBdr>
                        </w:div>
                        <w:div w:id="2109811024">
                          <w:marLeft w:val="0"/>
                          <w:marRight w:val="0"/>
                          <w:marTop w:val="0"/>
                          <w:marBottom w:val="0"/>
                          <w:divBdr>
                            <w:top w:val="none" w:sz="0" w:space="0" w:color="auto"/>
                            <w:left w:val="none" w:sz="0" w:space="0" w:color="auto"/>
                            <w:bottom w:val="none" w:sz="0" w:space="0" w:color="auto"/>
                            <w:right w:val="none" w:sz="0" w:space="0" w:color="auto"/>
                          </w:divBdr>
                        </w:div>
                        <w:div w:id="17677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428982">
                  <w:marLeft w:val="0"/>
                  <w:marRight w:val="0"/>
                  <w:marTop w:val="0"/>
                  <w:marBottom w:val="0"/>
                  <w:divBdr>
                    <w:top w:val="none" w:sz="0" w:space="0" w:color="auto"/>
                    <w:left w:val="none" w:sz="0" w:space="0" w:color="auto"/>
                    <w:bottom w:val="none" w:sz="0" w:space="0" w:color="auto"/>
                    <w:right w:val="none" w:sz="0" w:space="0" w:color="auto"/>
                  </w:divBdr>
                  <w:divsChild>
                    <w:div w:id="1485704968">
                      <w:marLeft w:val="0"/>
                      <w:marRight w:val="0"/>
                      <w:marTop w:val="0"/>
                      <w:marBottom w:val="0"/>
                      <w:divBdr>
                        <w:top w:val="none" w:sz="0" w:space="0" w:color="auto"/>
                        <w:left w:val="none" w:sz="0" w:space="0" w:color="auto"/>
                        <w:bottom w:val="none" w:sz="0" w:space="0" w:color="auto"/>
                        <w:right w:val="none" w:sz="0" w:space="0" w:color="auto"/>
                      </w:divBdr>
                      <w:divsChild>
                        <w:div w:id="1707363133">
                          <w:marLeft w:val="0"/>
                          <w:marRight w:val="0"/>
                          <w:marTop w:val="0"/>
                          <w:marBottom w:val="0"/>
                          <w:divBdr>
                            <w:top w:val="none" w:sz="0" w:space="0" w:color="auto"/>
                            <w:left w:val="none" w:sz="0" w:space="0" w:color="auto"/>
                            <w:bottom w:val="none" w:sz="0" w:space="0" w:color="auto"/>
                            <w:right w:val="none" w:sz="0" w:space="0" w:color="auto"/>
                          </w:divBdr>
                          <w:divsChild>
                            <w:div w:id="102637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6361">
                      <w:marLeft w:val="0"/>
                      <w:marRight w:val="0"/>
                      <w:marTop w:val="0"/>
                      <w:marBottom w:val="0"/>
                      <w:divBdr>
                        <w:top w:val="none" w:sz="0" w:space="0" w:color="auto"/>
                        <w:left w:val="none" w:sz="0" w:space="0" w:color="auto"/>
                        <w:bottom w:val="none" w:sz="0" w:space="0" w:color="auto"/>
                        <w:right w:val="none" w:sz="0" w:space="0" w:color="auto"/>
                      </w:divBdr>
                      <w:divsChild>
                        <w:div w:id="823548676">
                          <w:marLeft w:val="0"/>
                          <w:marRight w:val="0"/>
                          <w:marTop w:val="0"/>
                          <w:marBottom w:val="0"/>
                          <w:divBdr>
                            <w:top w:val="none" w:sz="0" w:space="0" w:color="auto"/>
                            <w:left w:val="none" w:sz="0" w:space="0" w:color="auto"/>
                            <w:bottom w:val="none" w:sz="0" w:space="0" w:color="auto"/>
                            <w:right w:val="none" w:sz="0" w:space="0" w:color="auto"/>
                          </w:divBdr>
                          <w:divsChild>
                            <w:div w:id="557981216">
                              <w:marLeft w:val="0"/>
                              <w:marRight w:val="0"/>
                              <w:marTop w:val="0"/>
                              <w:marBottom w:val="0"/>
                              <w:divBdr>
                                <w:top w:val="none" w:sz="0" w:space="0" w:color="auto"/>
                                <w:left w:val="none" w:sz="0" w:space="0" w:color="auto"/>
                                <w:bottom w:val="none" w:sz="0" w:space="0" w:color="auto"/>
                                <w:right w:val="none" w:sz="0" w:space="0" w:color="auto"/>
                              </w:divBdr>
                            </w:div>
                          </w:divsChild>
                        </w:div>
                        <w:div w:id="1086538617">
                          <w:marLeft w:val="0"/>
                          <w:marRight w:val="0"/>
                          <w:marTop w:val="0"/>
                          <w:marBottom w:val="0"/>
                          <w:divBdr>
                            <w:top w:val="none" w:sz="0" w:space="0" w:color="auto"/>
                            <w:left w:val="none" w:sz="0" w:space="0" w:color="auto"/>
                            <w:bottom w:val="single" w:sz="6" w:space="0" w:color="EBEBEB"/>
                            <w:right w:val="none" w:sz="0" w:space="0" w:color="auto"/>
                          </w:divBdr>
                          <w:divsChild>
                            <w:div w:id="1660693331">
                              <w:marLeft w:val="0"/>
                              <w:marRight w:val="0"/>
                              <w:marTop w:val="0"/>
                              <w:marBottom w:val="0"/>
                              <w:divBdr>
                                <w:top w:val="none" w:sz="0" w:space="0" w:color="auto"/>
                                <w:left w:val="none" w:sz="0" w:space="0" w:color="auto"/>
                                <w:bottom w:val="none" w:sz="0" w:space="0" w:color="auto"/>
                                <w:right w:val="none" w:sz="0" w:space="0" w:color="auto"/>
                              </w:divBdr>
                            </w:div>
                            <w:div w:id="3302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19836">
                      <w:marLeft w:val="0"/>
                      <w:marRight w:val="0"/>
                      <w:marTop w:val="0"/>
                      <w:marBottom w:val="0"/>
                      <w:divBdr>
                        <w:top w:val="none" w:sz="0" w:space="0" w:color="auto"/>
                        <w:left w:val="none" w:sz="0" w:space="0" w:color="auto"/>
                        <w:bottom w:val="none" w:sz="0" w:space="0" w:color="auto"/>
                        <w:right w:val="none" w:sz="0" w:space="0" w:color="auto"/>
                      </w:divBdr>
                      <w:divsChild>
                        <w:div w:id="886062265">
                          <w:marLeft w:val="0"/>
                          <w:marRight w:val="0"/>
                          <w:marTop w:val="0"/>
                          <w:marBottom w:val="0"/>
                          <w:divBdr>
                            <w:top w:val="none" w:sz="0" w:space="0" w:color="auto"/>
                            <w:left w:val="none" w:sz="0" w:space="0" w:color="auto"/>
                            <w:bottom w:val="none" w:sz="0" w:space="0" w:color="auto"/>
                            <w:right w:val="none" w:sz="0" w:space="0" w:color="auto"/>
                          </w:divBdr>
                          <w:divsChild>
                            <w:div w:id="1326397859">
                              <w:marLeft w:val="0"/>
                              <w:marRight w:val="0"/>
                              <w:marTop w:val="0"/>
                              <w:marBottom w:val="0"/>
                              <w:divBdr>
                                <w:top w:val="none" w:sz="0" w:space="0" w:color="auto"/>
                                <w:left w:val="none" w:sz="0" w:space="0" w:color="auto"/>
                                <w:bottom w:val="none" w:sz="0" w:space="0" w:color="auto"/>
                                <w:right w:val="none" w:sz="0" w:space="0" w:color="auto"/>
                              </w:divBdr>
                            </w:div>
                          </w:divsChild>
                        </w:div>
                        <w:div w:id="618342318">
                          <w:marLeft w:val="0"/>
                          <w:marRight w:val="0"/>
                          <w:marTop w:val="0"/>
                          <w:marBottom w:val="0"/>
                          <w:divBdr>
                            <w:top w:val="none" w:sz="0" w:space="0" w:color="auto"/>
                            <w:left w:val="none" w:sz="0" w:space="0" w:color="auto"/>
                            <w:bottom w:val="single" w:sz="6" w:space="0" w:color="EBEBEB"/>
                            <w:right w:val="none" w:sz="0" w:space="0" w:color="auto"/>
                          </w:divBdr>
                        </w:div>
                      </w:divsChild>
                    </w:div>
                    <w:div w:id="1520466435">
                      <w:marLeft w:val="0"/>
                      <w:marRight w:val="0"/>
                      <w:marTop w:val="0"/>
                      <w:marBottom w:val="0"/>
                      <w:divBdr>
                        <w:top w:val="none" w:sz="0" w:space="0" w:color="auto"/>
                        <w:left w:val="none" w:sz="0" w:space="0" w:color="auto"/>
                        <w:bottom w:val="none" w:sz="0" w:space="0" w:color="auto"/>
                        <w:right w:val="none" w:sz="0" w:space="0" w:color="auto"/>
                      </w:divBdr>
                    </w:div>
                  </w:divsChild>
                </w:div>
                <w:div w:id="532618096">
                  <w:marLeft w:val="0"/>
                  <w:marRight w:val="0"/>
                  <w:marTop w:val="0"/>
                  <w:marBottom w:val="0"/>
                  <w:divBdr>
                    <w:top w:val="none" w:sz="0" w:space="0" w:color="auto"/>
                    <w:left w:val="none" w:sz="0" w:space="0" w:color="auto"/>
                    <w:bottom w:val="none" w:sz="0" w:space="0" w:color="auto"/>
                    <w:right w:val="none" w:sz="0" w:space="0" w:color="auto"/>
                  </w:divBdr>
                  <w:divsChild>
                    <w:div w:id="945894104">
                      <w:marLeft w:val="0"/>
                      <w:marRight w:val="0"/>
                      <w:marTop w:val="0"/>
                      <w:marBottom w:val="0"/>
                      <w:divBdr>
                        <w:top w:val="none" w:sz="0" w:space="0" w:color="auto"/>
                        <w:left w:val="none" w:sz="0" w:space="0" w:color="auto"/>
                        <w:bottom w:val="none" w:sz="0" w:space="0" w:color="auto"/>
                        <w:right w:val="none" w:sz="0" w:space="0" w:color="auto"/>
                      </w:divBdr>
                    </w:div>
                  </w:divsChild>
                </w:div>
                <w:div w:id="1155603870">
                  <w:marLeft w:val="0"/>
                  <w:marRight w:val="0"/>
                  <w:marTop w:val="0"/>
                  <w:marBottom w:val="0"/>
                  <w:divBdr>
                    <w:top w:val="none" w:sz="0" w:space="0" w:color="auto"/>
                    <w:left w:val="none" w:sz="0" w:space="0" w:color="auto"/>
                    <w:bottom w:val="none" w:sz="0" w:space="0" w:color="auto"/>
                    <w:right w:val="none" w:sz="0" w:space="0" w:color="auto"/>
                  </w:divBdr>
                  <w:divsChild>
                    <w:div w:id="855732624">
                      <w:marLeft w:val="0"/>
                      <w:marRight w:val="0"/>
                      <w:marTop w:val="0"/>
                      <w:marBottom w:val="0"/>
                      <w:divBdr>
                        <w:top w:val="none" w:sz="0" w:space="0" w:color="auto"/>
                        <w:left w:val="none" w:sz="0" w:space="0" w:color="auto"/>
                        <w:bottom w:val="none" w:sz="0" w:space="0" w:color="auto"/>
                        <w:right w:val="none" w:sz="0" w:space="0" w:color="auto"/>
                      </w:divBdr>
                      <w:divsChild>
                        <w:div w:id="622541791">
                          <w:marLeft w:val="0"/>
                          <w:marRight w:val="0"/>
                          <w:marTop w:val="0"/>
                          <w:marBottom w:val="0"/>
                          <w:divBdr>
                            <w:top w:val="none" w:sz="0" w:space="0" w:color="auto"/>
                            <w:left w:val="none" w:sz="0" w:space="0" w:color="auto"/>
                            <w:bottom w:val="none" w:sz="0" w:space="0" w:color="auto"/>
                            <w:right w:val="none" w:sz="0" w:space="0" w:color="auto"/>
                          </w:divBdr>
                          <w:divsChild>
                            <w:div w:id="904149147">
                              <w:marLeft w:val="0"/>
                              <w:marRight w:val="0"/>
                              <w:marTop w:val="0"/>
                              <w:marBottom w:val="0"/>
                              <w:divBdr>
                                <w:top w:val="none" w:sz="0" w:space="0" w:color="auto"/>
                                <w:left w:val="none" w:sz="0" w:space="0" w:color="auto"/>
                                <w:bottom w:val="none" w:sz="0" w:space="0" w:color="auto"/>
                                <w:right w:val="none" w:sz="0" w:space="0" w:color="auto"/>
                              </w:divBdr>
                              <w:divsChild>
                                <w:div w:id="41119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67659">
                          <w:marLeft w:val="0"/>
                          <w:marRight w:val="0"/>
                          <w:marTop w:val="0"/>
                          <w:marBottom w:val="0"/>
                          <w:divBdr>
                            <w:top w:val="none" w:sz="0" w:space="0" w:color="auto"/>
                            <w:left w:val="none" w:sz="0" w:space="0" w:color="auto"/>
                            <w:bottom w:val="none" w:sz="0" w:space="0" w:color="auto"/>
                            <w:right w:val="none" w:sz="0" w:space="0" w:color="auto"/>
                          </w:divBdr>
                          <w:divsChild>
                            <w:div w:id="2114857566">
                              <w:marLeft w:val="0"/>
                              <w:marRight w:val="0"/>
                              <w:marTop w:val="0"/>
                              <w:marBottom w:val="0"/>
                              <w:divBdr>
                                <w:top w:val="none" w:sz="0" w:space="0" w:color="auto"/>
                                <w:left w:val="none" w:sz="0" w:space="0" w:color="auto"/>
                                <w:bottom w:val="none" w:sz="0" w:space="0" w:color="auto"/>
                                <w:right w:val="none" w:sz="0" w:space="0" w:color="auto"/>
                              </w:divBdr>
                              <w:divsChild>
                                <w:div w:id="197729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610792">
                          <w:marLeft w:val="0"/>
                          <w:marRight w:val="0"/>
                          <w:marTop w:val="0"/>
                          <w:marBottom w:val="0"/>
                          <w:divBdr>
                            <w:top w:val="none" w:sz="0" w:space="0" w:color="auto"/>
                            <w:left w:val="none" w:sz="0" w:space="0" w:color="auto"/>
                            <w:bottom w:val="none" w:sz="0" w:space="0" w:color="auto"/>
                            <w:right w:val="none" w:sz="0" w:space="0" w:color="auto"/>
                          </w:divBdr>
                          <w:divsChild>
                            <w:div w:id="923875585">
                              <w:marLeft w:val="0"/>
                              <w:marRight w:val="0"/>
                              <w:marTop w:val="0"/>
                              <w:marBottom w:val="0"/>
                              <w:divBdr>
                                <w:top w:val="none" w:sz="0" w:space="0" w:color="auto"/>
                                <w:left w:val="none" w:sz="0" w:space="0" w:color="auto"/>
                                <w:bottom w:val="none" w:sz="0" w:space="0" w:color="auto"/>
                                <w:right w:val="none" w:sz="0" w:space="0" w:color="auto"/>
                              </w:divBdr>
                              <w:divsChild>
                                <w:div w:id="102551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293849">
                          <w:marLeft w:val="0"/>
                          <w:marRight w:val="0"/>
                          <w:marTop w:val="0"/>
                          <w:marBottom w:val="0"/>
                          <w:divBdr>
                            <w:top w:val="none" w:sz="0" w:space="0" w:color="auto"/>
                            <w:left w:val="none" w:sz="0" w:space="0" w:color="auto"/>
                            <w:bottom w:val="none" w:sz="0" w:space="0" w:color="auto"/>
                            <w:right w:val="none" w:sz="0" w:space="0" w:color="auto"/>
                          </w:divBdr>
                          <w:divsChild>
                            <w:div w:id="1909488931">
                              <w:marLeft w:val="0"/>
                              <w:marRight w:val="0"/>
                              <w:marTop w:val="0"/>
                              <w:marBottom w:val="0"/>
                              <w:divBdr>
                                <w:top w:val="none" w:sz="0" w:space="0" w:color="auto"/>
                                <w:left w:val="none" w:sz="0" w:space="0" w:color="auto"/>
                                <w:bottom w:val="none" w:sz="0" w:space="0" w:color="auto"/>
                                <w:right w:val="none" w:sz="0" w:space="0" w:color="auto"/>
                              </w:divBdr>
                              <w:divsChild>
                                <w:div w:id="44840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071427">
                          <w:marLeft w:val="0"/>
                          <w:marRight w:val="0"/>
                          <w:marTop w:val="0"/>
                          <w:marBottom w:val="0"/>
                          <w:divBdr>
                            <w:top w:val="none" w:sz="0" w:space="0" w:color="auto"/>
                            <w:left w:val="none" w:sz="0" w:space="0" w:color="auto"/>
                            <w:bottom w:val="none" w:sz="0" w:space="0" w:color="auto"/>
                            <w:right w:val="none" w:sz="0" w:space="0" w:color="auto"/>
                          </w:divBdr>
                          <w:divsChild>
                            <w:div w:id="1001159402">
                              <w:marLeft w:val="0"/>
                              <w:marRight w:val="0"/>
                              <w:marTop w:val="0"/>
                              <w:marBottom w:val="0"/>
                              <w:divBdr>
                                <w:top w:val="none" w:sz="0" w:space="0" w:color="auto"/>
                                <w:left w:val="none" w:sz="0" w:space="0" w:color="auto"/>
                                <w:bottom w:val="none" w:sz="0" w:space="0" w:color="auto"/>
                                <w:right w:val="none" w:sz="0" w:space="0" w:color="auto"/>
                              </w:divBdr>
                              <w:divsChild>
                                <w:div w:id="30481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085531">
                          <w:marLeft w:val="0"/>
                          <w:marRight w:val="0"/>
                          <w:marTop w:val="0"/>
                          <w:marBottom w:val="0"/>
                          <w:divBdr>
                            <w:top w:val="none" w:sz="0" w:space="0" w:color="auto"/>
                            <w:left w:val="none" w:sz="0" w:space="0" w:color="auto"/>
                            <w:bottom w:val="none" w:sz="0" w:space="0" w:color="auto"/>
                            <w:right w:val="none" w:sz="0" w:space="0" w:color="auto"/>
                          </w:divBdr>
                          <w:divsChild>
                            <w:div w:id="1288507310">
                              <w:marLeft w:val="0"/>
                              <w:marRight w:val="0"/>
                              <w:marTop w:val="0"/>
                              <w:marBottom w:val="0"/>
                              <w:divBdr>
                                <w:top w:val="none" w:sz="0" w:space="0" w:color="auto"/>
                                <w:left w:val="none" w:sz="0" w:space="0" w:color="auto"/>
                                <w:bottom w:val="none" w:sz="0" w:space="0" w:color="auto"/>
                                <w:right w:val="none" w:sz="0" w:space="0" w:color="auto"/>
                              </w:divBdr>
                              <w:divsChild>
                                <w:div w:id="128781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8771">
                          <w:marLeft w:val="0"/>
                          <w:marRight w:val="0"/>
                          <w:marTop w:val="0"/>
                          <w:marBottom w:val="0"/>
                          <w:divBdr>
                            <w:top w:val="none" w:sz="0" w:space="0" w:color="auto"/>
                            <w:left w:val="none" w:sz="0" w:space="0" w:color="auto"/>
                            <w:bottom w:val="none" w:sz="0" w:space="0" w:color="auto"/>
                            <w:right w:val="none" w:sz="0" w:space="0" w:color="auto"/>
                          </w:divBdr>
                          <w:divsChild>
                            <w:div w:id="1210193456">
                              <w:marLeft w:val="0"/>
                              <w:marRight w:val="0"/>
                              <w:marTop w:val="0"/>
                              <w:marBottom w:val="0"/>
                              <w:divBdr>
                                <w:top w:val="none" w:sz="0" w:space="0" w:color="auto"/>
                                <w:left w:val="none" w:sz="0" w:space="0" w:color="auto"/>
                                <w:bottom w:val="none" w:sz="0" w:space="0" w:color="auto"/>
                                <w:right w:val="none" w:sz="0" w:space="0" w:color="auto"/>
                              </w:divBdr>
                              <w:divsChild>
                                <w:div w:id="187441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88257">
                          <w:marLeft w:val="0"/>
                          <w:marRight w:val="0"/>
                          <w:marTop w:val="0"/>
                          <w:marBottom w:val="0"/>
                          <w:divBdr>
                            <w:top w:val="none" w:sz="0" w:space="0" w:color="auto"/>
                            <w:left w:val="none" w:sz="0" w:space="0" w:color="auto"/>
                            <w:bottom w:val="none" w:sz="0" w:space="0" w:color="auto"/>
                            <w:right w:val="none" w:sz="0" w:space="0" w:color="auto"/>
                          </w:divBdr>
                          <w:divsChild>
                            <w:div w:id="870386648">
                              <w:marLeft w:val="0"/>
                              <w:marRight w:val="0"/>
                              <w:marTop w:val="0"/>
                              <w:marBottom w:val="0"/>
                              <w:divBdr>
                                <w:top w:val="none" w:sz="0" w:space="0" w:color="auto"/>
                                <w:left w:val="none" w:sz="0" w:space="0" w:color="auto"/>
                                <w:bottom w:val="none" w:sz="0" w:space="0" w:color="auto"/>
                                <w:right w:val="none" w:sz="0" w:space="0" w:color="auto"/>
                              </w:divBdr>
                              <w:divsChild>
                                <w:div w:id="18079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00983">
                          <w:marLeft w:val="0"/>
                          <w:marRight w:val="0"/>
                          <w:marTop w:val="0"/>
                          <w:marBottom w:val="0"/>
                          <w:divBdr>
                            <w:top w:val="none" w:sz="0" w:space="0" w:color="auto"/>
                            <w:left w:val="none" w:sz="0" w:space="0" w:color="auto"/>
                            <w:bottom w:val="none" w:sz="0" w:space="0" w:color="auto"/>
                            <w:right w:val="none" w:sz="0" w:space="0" w:color="auto"/>
                          </w:divBdr>
                          <w:divsChild>
                            <w:div w:id="1789620507">
                              <w:marLeft w:val="0"/>
                              <w:marRight w:val="0"/>
                              <w:marTop w:val="0"/>
                              <w:marBottom w:val="0"/>
                              <w:divBdr>
                                <w:top w:val="none" w:sz="0" w:space="0" w:color="auto"/>
                                <w:left w:val="none" w:sz="0" w:space="0" w:color="auto"/>
                                <w:bottom w:val="none" w:sz="0" w:space="0" w:color="auto"/>
                                <w:right w:val="none" w:sz="0" w:space="0" w:color="auto"/>
                              </w:divBdr>
                              <w:divsChild>
                                <w:div w:id="195220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854565">
                          <w:marLeft w:val="0"/>
                          <w:marRight w:val="0"/>
                          <w:marTop w:val="0"/>
                          <w:marBottom w:val="0"/>
                          <w:divBdr>
                            <w:top w:val="none" w:sz="0" w:space="0" w:color="auto"/>
                            <w:left w:val="none" w:sz="0" w:space="0" w:color="auto"/>
                            <w:bottom w:val="none" w:sz="0" w:space="0" w:color="auto"/>
                            <w:right w:val="none" w:sz="0" w:space="0" w:color="auto"/>
                          </w:divBdr>
                          <w:divsChild>
                            <w:div w:id="1597863429">
                              <w:marLeft w:val="0"/>
                              <w:marRight w:val="0"/>
                              <w:marTop w:val="0"/>
                              <w:marBottom w:val="0"/>
                              <w:divBdr>
                                <w:top w:val="none" w:sz="0" w:space="0" w:color="auto"/>
                                <w:left w:val="none" w:sz="0" w:space="0" w:color="auto"/>
                                <w:bottom w:val="none" w:sz="0" w:space="0" w:color="auto"/>
                                <w:right w:val="none" w:sz="0" w:space="0" w:color="auto"/>
                              </w:divBdr>
                              <w:divsChild>
                                <w:div w:id="19059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144740">
                          <w:marLeft w:val="0"/>
                          <w:marRight w:val="0"/>
                          <w:marTop w:val="0"/>
                          <w:marBottom w:val="0"/>
                          <w:divBdr>
                            <w:top w:val="none" w:sz="0" w:space="0" w:color="auto"/>
                            <w:left w:val="none" w:sz="0" w:space="0" w:color="auto"/>
                            <w:bottom w:val="none" w:sz="0" w:space="0" w:color="auto"/>
                            <w:right w:val="none" w:sz="0" w:space="0" w:color="auto"/>
                          </w:divBdr>
                          <w:divsChild>
                            <w:div w:id="745033722">
                              <w:marLeft w:val="0"/>
                              <w:marRight w:val="0"/>
                              <w:marTop w:val="0"/>
                              <w:marBottom w:val="0"/>
                              <w:divBdr>
                                <w:top w:val="none" w:sz="0" w:space="0" w:color="auto"/>
                                <w:left w:val="none" w:sz="0" w:space="0" w:color="auto"/>
                                <w:bottom w:val="none" w:sz="0" w:space="0" w:color="auto"/>
                                <w:right w:val="none" w:sz="0" w:space="0" w:color="auto"/>
                              </w:divBdr>
                              <w:divsChild>
                                <w:div w:id="211409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80344">
                          <w:marLeft w:val="0"/>
                          <w:marRight w:val="0"/>
                          <w:marTop w:val="0"/>
                          <w:marBottom w:val="0"/>
                          <w:divBdr>
                            <w:top w:val="none" w:sz="0" w:space="0" w:color="auto"/>
                            <w:left w:val="none" w:sz="0" w:space="0" w:color="auto"/>
                            <w:bottom w:val="none" w:sz="0" w:space="0" w:color="auto"/>
                            <w:right w:val="none" w:sz="0" w:space="0" w:color="auto"/>
                          </w:divBdr>
                          <w:divsChild>
                            <w:div w:id="1090276804">
                              <w:marLeft w:val="0"/>
                              <w:marRight w:val="0"/>
                              <w:marTop w:val="0"/>
                              <w:marBottom w:val="0"/>
                              <w:divBdr>
                                <w:top w:val="none" w:sz="0" w:space="0" w:color="auto"/>
                                <w:left w:val="none" w:sz="0" w:space="0" w:color="auto"/>
                                <w:bottom w:val="none" w:sz="0" w:space="0" w:color="auto"/>
                                <w:right w:val="none" w:sz="0" w:space="0" w:color="auto"/>
                              </w:divBdr>
                              <w:divsChild>
                                <w:div w:id="184891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24552">
                          <w:marLeft w:val="0"/>
                          <w:marRight w:val="0"/>
                          <w:marTop w:val="0"/>
                          <w:marBottom w:val="0"/>
                          <w:divBdr>
                            <w:top w:val="none" w:sz="0" w:space="0" w:color="auto"/>
                            <w:left w:val="none" w:sz="0" w:space="0" w:color="auto"/>
                            <w:bottom w:val="none" w:sz="0" w:space="0" w:color="auto"/>
                            <w:right w:val="none" w:sz="0" w:space="0" w:color="auto"/>
                          </w:divBdr>
                          <w:divsChild>
                            <w:div w:id="1318848829">
                              <w:marLeft w:val="0"/>
                              <w:marRight w:val="0"/>
                              <w:marTop w:val="0"/>
                              <w:marBottom w:val="0"/>
                              <w:divBdr>
                                <w:top w:val="none" w:sz="0" w:space="0" w:color="auto"/>
                                <w:left w:val="none" w:sz="0" w:space="0" w:color="auto"/>
                                <w:bottom w:val="none" w:sz="0" w:space="0" w:color="auto"/>
                                <w:right w:val="none" w:sz="0" w:space="0" w:color="auto"/>
                              </w:divBdr>
                              <w:divsChild>
                                <w:div w:id="4113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50177">
                          <w:marLeft w:val="0"/>
                          <w:marRight w:val="0"/>
                          <w:marTop w:val="0"/>
                          <w:marBottom w:val="0"/>
                          <w:divBdr>
                            <w:top w:val="none" w:sz="0" w:space="0" w:color="auto"/>
                            <w:left w:val="none" w:sz="0" w:space="0" w:color="auto"/>
                            <w:bottom w:val="none" w:sz="0" w:space="0" w:color="auto"/>
                            <w:right w:val="none" w:sz="0" w:space="0" w:color="auto"/>
                          </w:divBdr>
                          <w:divsChild>
                            <w:div w:id="1939942454">
                              <w:marLeft w:val="0"/>
                              <w:marRight w:val="0"/>
                              <w:marTop w:val="0"/>
                              <w:marBottom w:val="0"/>
                              <w:divBdr>
                                <w:top w:val="none" w:sz="0" w:space="0" w:color="auto"/>
                                <w:left w:val="none" w:sz="0" w:space="0" w:color="auto"/>
                                <w:bottom w:val="none" w:sz="0" w:space="0" w:color="auto"/>
                                <w:right w:val="none" w:sz="0" w:space="0" w:color="auto"/>
                              </w:divBdr>
                              <w:divsChild>
                                <w:div w:id="98994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500004">
                          <w:marLeft w:val="0"/>
                          <w:marRight w:val="0"/>
                          <w:marTop w:val="0"/>
                          <w:marBottom w:val="0"/>
                          <w:divBdr>
                            <w:top w:val="none" w:sz="0" w:space="0" w:color="auto"/>
                            <w:left w:val="none" w:sz="0" w:space="0" w:color="auto"/>
                            <w:bottom w:val="none" w:sz="0" w:space="0" w:color="auto"/>
                            <w:right w:val="none" w:sz="0" w:space="0" w:color="auto"/>
                          </w:divBdr>
                          <w:divsChild>
                            <w:div w:id="1841776262">
                              <w:marLeft w:val="0"/>
                              <w:marRight w:val="0"/>
                              <w:marTop w:val="0"/>
                              <w:marBottom w:val="0"/>
                              <w:divBdr>
                                <w:top w:val="none" w:sz="0" w:space="0" w:color="auto"/>
                                <w:left w:val="none" w:sz="0" w:space="0" w:color="auto"/>
                                <w:bottom w:val="none" w:sz="0" w:space="0" w:color="auto"/>
                                <w:right w:val="none" w:sz="0" w:space="0" w:color="auto"/>
                              </w:divBdr>
                              <w:divsChild>
                                <w:div w:id="175211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10229">
                          <w:marLeft w:val="0"/>
                          <w:marRight w:val="0"/>
                          <w:marTop w:val="0"/>
                          <w:marBottom w:val="0"/>
                          <w:divBdr>
                            <w:top w:val="none" w:sz="0" w:space="0" w:color="auto"/>
                            <w:left w:val="none" w:sz="0" w:space="0" w:color="auto"/>
                            <w:bottom w:val="none" w:sz="0" w:space="0" w:color="auto"/>
                            <w:right w:val="none" w:sz="0" w:space="0" w:color="auto"/>
                          </w:divBdr>
                          <w:divsChild>
                            <w:div w:id="238488528">
                              <w:marLeft w:val="0"/>
                              <w:marRight w:val="0"/>
                              <w:marTop w:val="0"/>
                              <w:marBottom w:val="0"/>
                              <w:divBdr>
                                <w:top w:val="none" w:sz="0" w:space="0" w:color="auto"/>
                                <w:left w:val="none" w:sz="0" w:space="0" w:color="auto"/>
                                <w:bottom w:val="none" w:sz="0" w:space="0" w:color="auto"/>
                                <w:right w:val="none" w:sz="0" w:space="0" w:color="auto"/>
                              </w:divBdr>
                              <w:divsChild>
                                <w:div w:id="162831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673471">
                          <w:marLeft w:val="0"/>
                          <w:marRight w:val="0"/>
                          <w:marTop w:val="0"/>
                          <w:marBottom w:val="0"/>
                          <w:divBdr>
                            <w:top w:val="none" w:sz="0" w:space="0" w:color="auto"/>
                            <w:left w:val="none" w:sz="0" w:space="0" w:color="auto"/>
                            <w:bottom w:val="none" w:sz="0" w:space="0" w:color="auto"/>
                            <w:right w:val="none" w:sz="0" w:space="0" w:color="auto"/>
                          </w:divBdr>
                          <w:divsChild>
                            <w:div w:id="1187520490">
                              <w:marLeft w:val="0"/>
                              <w:marRight w:val="0"/>
                              <w:marTop w:val="0"/>
                              <w:marBottom w:val="0"/>
                              <w:divBdr>
                                <w:top w:val="none" w:sz="0" w:space="0" w:color="auto"/>
                                <w:left w:val="none" w:sz="0" w:space="0" w:color="auto"/>
                                <w:bottom w:val="none" w:sz="0" w:space="0" w:color="auto"/>
                                <w:right w:val="none" w:sz="0" w:space="0" w:color="auto"/>
                              </w:divBdr>
                              <w:divsChild>
                                <w:div w:id="144869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9497">
                          <w:marLeft w:val="0"/>
                          <w:marRight w:val="0"/>
                          <w:marTop w:val="0"/>
                          <w:marBottom w:val="0"/>
                          <w:divBdr>
                            <w:top w:val="none" w:sz="0" w:space="0" w:color="auto"/>
                            <w:left w:val="none" w:sz="0" w:space="0" w:color="auto"/>
                            <w:bottom w:val="none" w:sz="0" w:space="0" w:color="auto"/>
                            <w:right w:val="none" w:sz="0" w:space="0" w:color="auto"/>
                          </w:divBdr>
                          <w:divsChild>
                            <w:div w:id="789201251">
                              <w:marLeft w:val="0"/>
                              <w:marRight w:val="0"/>
                              <w:marTop w:val="0"/>
                              <w:marBottom w:val="0"/>
                              <w:divBdr>
                                <w:top w:val="none" w:sz="0" w:space="0" w:color="auto"/>
                                <w:left w:val="none" w:sz="0" w:space="0" w:color="auto"/>
                                <w:bottom w:val="none" w:sz="0" w:space="0" w:color="auto"/>
                                <w:right w:val="none" w:sz="0" w:space="0" w:color="auto"/>
                              </w:divBdr>
                              <w:divsChild>
                                <w:div w:id="177609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1260">
                          <w:marLeft w:val="0"/>
                          <w:marRight w:val="0"/>
                          <w:marTop w:val="0"/>
                          <w:marBottom w:val="0"/>
                          <w:divBdr>
                            <w:top w:val="none" w:sz="0" w:space="0" w:color="auto"/>
                            <w:left w:val="none" w:sz="0" w:space="0" w:color="auto"/>
                            <w:bottom w:val="none" w:sz="0" w:space="0" w:color="auto"/>
                            <w:right w:val="none" w:sz="0" w:space="0" w:color="auto"/>
                          </w:divBdr>
                          <w:divsChild>
                            <w:div w:id="50078545">
                              <w:marLeft w:val="0"/>
                              <w:marRight w:val="0"/>
                              <w:marTop w:val="0"/>
                              <w:marBottom w:val="0"/>
                              <w:divBdr>
                                <w:top w:val="none" w:sz="0" w:space="0" w:color="auto"/>
                                <w:left w:val="none" w:sz="0" w:space="0" w:color="auto"/>
                                <w:bottom w:val="none" w:sz="0" w:space="0" w:color="auto"/>
                                <w:right w:val="none" w:sz="0" w:space="0" w:color="auto"/>
                              </w:divBdr>
                              <w:divsChild>
                                <w:div w:id="47483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46451">
                          <w:marLeft w:val="0"/>
                          <w:marRight w:val="0"/>
                          <w:marTop w:val="0"/>
                          <w:marBottom w:val="0"/>
                          <w:divBdr>
                            <w:top w:val="none" w:sz="0" w:space="0" w:color="auto"/>
                            <w:left w:val="none" w:sz="0" w:space="0" w:color="auto"/>
                            <w:bottom w:val="none" w:sz="0" w:space="0" w:color="auto"/>
                            <w:right w:val="none" w:sz="0" w:space="0" w:color="auto"/>
                          </w:divBdr>
                          <w:divsChild>
                            <w:div w:id="309410491">
                              <w:marLeft w:val="0"/>
                              <w:marRight w:val="0"/>
                              <w:marTop w:val="0"/>
                              <w:marBottom w:val="0"/>
                              <w:divBdr>
                                <w:top w:val="none" w:sz="0" w:space="0" w:color="auto"/>
                                <w:left w:val="none" w:sz="0" w:space="0" w:color="auto"/>
                                <w:bottom w:val="none" w:sz="0" w:space="0" w:color="auto"/>
                                <w:right w:val="none" w:sz="0" w:space="0" w:color="auto"/>
                              </w:divBdr>
                              <w:divsChild>
                                <w:div w:id="143513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80448">
                          <w:marLeft w:val="0"/>
                          <w:marRight w:val="0"/>
                          <w:marTop w:val="0"/>
                          <w:marBottom w:val="0"/>
                          <w:divBdr>
                            <w:top w:val="none" w:sz="0" w:space="0" w:color="auto"/>
                            <w:left w:val="none" w:sz="0" w:space="0" w:color="auto"/>
                            <w:bottom w:val="none" w:sz="0" w:space="0" w:color="auto"/>
                            <w:right w:val="none" w:sz="0" w:space="0" w:color="auto"/>
                          </w:divBdr>
                          <w:divsChild>
                            <w:div w:id="1833913695">
                              <w:marLeft w:val="0"/>
                              <w:marRight w:val="0"/>
                              <w:marTop w:val="0"/>
                              <w:marBottom w:val="0"/>
                              <w:divBdr>
                                <w:top w:val="none" w:sz="0" w:space="0" w:color="auto"/>
                                <w:left w:val="none" w:sz="0" w:space="0" w:color="auto"/>
                                <w:bottom w:val="none" w:sz="0" w:space="0" w:color="auto"/>
                                <w:right w:val="none" w:sz="0" w:space="0" w:color="auto"/>
                              </w:divBdr>
                              <w:divsChild>
                                <w:div w:id="132096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227105">
                          <w:marLeft w:val="0"/>
                          <w:marRight w:val="0"/>
                          <w:marTop w:val="0"/>
                          <w:marBottom w:val="0"/>
                          <w:divBdr>
                            <w:top w:val="none" w:sz="0" w:space="0" w:color="auto"/>
                            <w:left w:val="none" w:sz="0" w:space="0" w:color="auto"/>
                            <w:bottom w:val="none" w:sz="0" w:space="0" w:color="auto"/>
                            <w:right w:val="none" w:sz="0" w:space="0" w:color="auto"/>
                          </w:divBdr>
                          <w:divsChild>
                            <w:div w:id="866522743">
                              <w:marLeft w:val="0"/>
                              <w:marRight w:val="0"/>
                              <w:marTop w:val="0"/>
                              <w:marBottom w:val="0"/>
                              <w:divBdr>
                                <w:top w:val="none" w:sz="0" w:space="0" w:color="auto"/>
                                <w:left w:val="none" w:sz="0" w:space="0" w:color="auto"/>
                                <w:bottom w:val="none" w:sz="0" w:space="0" w:color="auto"/>
                                <w:right w:val="none" w:sz="0" w:space="0" w:color="auto"/>
                              </w:divBdr>
                              <w:divsChild>
                                <w:div w:id="16575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688772">
                          <w:marLeft w:val="0"/>
                          <w:marRight w:val="0"/>
                          <w:marTop w:val="0"/>
                          <w:marBottom w:val="0"/>
                          <w:divBdr>
                            <w:top w:val="none" w:sz="0" w:space="0" w:color="auto"/>
                            <w:left w:val="none" w:sz="0" w:space="0" w:color="auto"/>
                            <w:bottom w:val="none" w:sz="0" w:space="0" w:color="auto"/>
                            <w:right w:val="none" w:sz="0" w:space="0" w:color="auto"/>
                          </w:divBdr>
                          <w:divsChild>
                            <w:div w:id="1831099330">
                              <w:marLeft w:val="0"/>
                              <w:marRight w:val="0"/>
                              <w:marTop w:val="0"/>
                              <w:marBottom w:val="0"/>
                              <w:divBdr>
                                <w:top w:val="none" w:sz="0" w:space="0" w:color="auto"/>
                                <w:left w:val="none" w:sz="0" w:space="0" w:color="auto"/>
                                <w:bottom w:val="none" w:sz="0" w:space="0" w:color="auto"/>
                                <w:right w:val="none" w:sz="0" w:space="0" w:color="auto"/>
                              </w:divBdr>
                              <w:divsChild>
                                <w:div w:id="154698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66879">
                          <w:marLeft w:val="0"/>
                          <w:marRight w:val="0"/>
                          <w:marTop w:val="0"/>
                          <w:marBottom w:val="0"/>
                          <w:divBdr>
                            <w:top w:val="none" w:sz="0" w:space="0" w:color="auto"/>
                            <w:left w:val="none" w:sz="0" w:space="0" w:color="auto"/>
                            <w:bottom w:val="none" w:sz="0" w:space="0" w:color="auto"/>
                            <w:right w:val="none" w:sz="0" w:space="0" w:color="auto"/>
                          </w:divBdr>
                          <w:divsChild>
                            <w:div w:id="1829325484">
                              <w:marLeft w:val="0"/>
                              <w:marRight w:val="0"/>
                              <w:marTop w:val="0"/>
                              <w:marBottom w:val="0"/>
                              <w:divBdr>
                                <w:top w:val="none" w:sz="0" w:space="0" w:color="auto"/>
                                <w:left w:val="none" w:sz="0" w:space="0" w:color="auto"/>
                                <w:bottom w:val="none" w:sz="0" w:space="0" w:color="auto"/>
                                <w:right w:val="none" w:sz="0" w:space="0" w:color="auto"/>
                              </w:divBdr>
                              <w:divsChild>
                                <w:div w:id="126399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453349">
                          <w:marLeft w:val="0"/>
                          <w:marRight w:val="0"/>
                          <w:marTop w:val="0"/>
                          <w:marBottom w:val="0"/>
                          <w:divBdr>
                            <w:top w:val="none" w:sz="0" w:space="0" w:color="auto"/>
                            <w:left w:val="none" w:sz="0" w:space="0" w:color="auto"/>
                            <w:bottom w:val="none" w:sz="0" w:space="0" w:color="auto"/>
                            <w:right w:val="none" w:sz="0" w:space="0" w:color="auto"/>
                          </w:divBdr>
                          <w:divsChild>
                            <w:div w:id="937954688">
                              <w:marLeft w:val="0"/>
                              <w:marRight w:val="0"/>
                              <w:marTop w:val="0"/>
                              <w:marBottom w:val="0"/>
                              <w:divBdr>
                                <w:top w:val="none" w:sz="0" w:space="0" w:color="auto"/>
                                <w:left w:val="none" w:sz="0" w:space="0" w:color="auto"/>
                                <w:bottom w:val="none" w:sz="0" w:space="0" w:color="auto"/>
                                <w:right w:val="none" w:sz="0" w:space="0" w:color="auto"/>
                              </w:divBdr>
                              <w:divsChild>
                                <w:div w:id="21366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48440">
                          <w:marLeft w:val="0"/>
                          <w:marRight w:val="0"/>
                          <w:marTop w:val="0"/>
                          <w:marBottom w:val="0"/>
                          <w:divBdr>
                            <w:top w:val="none" w:sz="0" w:space="0" w:color="auto"/>
                            <w:left w:val="none" w:sz="0" w:space="0" w:color="auto"/>
                            <w:bottom w:val="none" w:sz="0" w:space="0" w:color="auto"/>
                            <w:right w:val="none" w:sz="0" w:space="0" w:color="auto"/>
                          </w:divBdr>
                          <w:divsChild>
                            <w:div w:id="1551572050">
                              <w:marLeft w:val="0"/>
                              <w:marRight w:val="0"/>
                              <w:marTop w:val="0"/>
                              <w:marBottom w:val="0"/>
                              <w:divBdr>
                                <w:top w:val="none" w:sz="0" w:space="0" w:color="auto"/>
                                <w:left w:val="none" w:sz="0" w:space="0" w:color="auto"/>
                                <w:bottom w:val="none" w:sz="0" w:space="0" w:color="auto"/>
                                <w:right w:val="none" w:sz="0" w:space="0" w:color="auto"/>
                              </w:divBdr>
                              <w:divsChild>
                                <w:div w:id="748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942139">
                          <w:marLeft w:val="0"/>
                          <w:marRight w:val="0"/>
                          <w:marTop w:val="0"/>
                          <w:marBottom w:val="0"/>
                          <w:divBdr>
                            <w:top w:val="none" w:sz="0" w:space="0" w:color="auto"/>
                            <w:left w:val="none" w:sz="0" w:space="0" w:color="auto"/>
                            <w:bottom w:val="none" w:sz="0" w:space="0" w:color="auto"/>
                            <w:right w:val="none" w:sz="0" w:space="0" w:color="auto"/>
                          </w:divBdr>
                          <w:divsChild>
                            <w:div w:id="344865818">
                              <w:marLeft w:val="0"/>
                              <w:marRight w:val="0"/>
                              <w:marTop w:val="0"/>
                              <w:marBottom w:val="0"/>
                              <w:divBdr>
                                <w:top w:val="none" w:sz="0" w:space="0" w:color="auto"/>
                                <w:left w:val="none" w:sz="0" w:space="0" w:color="auto"/>
                                <w:bottom w:val="none" w:sz="0" w:space="0" w:color="auto"/>
                                <w:right w:val="none" w:sz="0" w:space="0" w:color="auto"/>
                              </w:divBdr>
                              <w:divsChild>
                                <w:div w:id="100552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154241">
                          <w:marLeft w:val="0"/>
                          <w:marRight w:val="0"/>
                          <w:marTop w:val="0"/>
                          <w:marBottom w:val="0"/>
                          <w:divBdr>
                            <w:top w:val="none" w:sz="0" w:space="0" w:color="auto"/>
                            <w:left w:val="none" w:sz="0" w:space="0" w:color="auto"/>
                            <w:bottom w:val="none" w:sz="0" w:space="0" w:color="auto"/>
                            <w:right w:val="none" w:sz="0" w:space="0" w:color="auto"/>
                          </w:divBdr>
                          <w:divsChild>
                            <w:div w:id="590242719">
                              <w:marLeft w:val="0"/>
                              <w:marRight w:val="0"/>
                              <w:marTop w:val="0"/>
                              <w:marBottom w:val="0"/>
                              <w:divBdr>
                                <w:top w:val="none" w:sz="0" w:space="0" w:color="auto"/>
                                <w:left w:val="none" w:sz="0" w:space="0" w:color="auto"/>
                                <w:bottom w:val="none" w:sz="0" w:space="0" w:color="auto"/>
                                <w:right w:val="none" w:sz="0" w:space="0" w:color="auto"/>
                              </w:divBdr>
                              <w:divsChild>
                                <w:div w:id="134640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093936">
                          <w:marLeft w:val="0"/>
                          <w:marRight w:val="0"/>
                          <w:marTop w:val="0"/>
                          <w:marBottom w:val="0"/>
                          <w:divBdr>
                            <w:top w:val="none" w:sz="0" w:space="0" w:color="auto"/>
                            <w:left w:val="none" w:sz="0" w:space="0" w:color="auto"/>
                            <w:bottom w:val="none" w:sz="0" w:space="0" w:color="auto"/>
                            <w:right w:val="none" w:sz="0" w:space="0" w:color="auto"/>
                          </w:divBdr>
                          <w:divsChild>
                            <w:div w:id="961306529">
                              <w:marLeft w:val="0"/>
                              <w:marRight w:val="0"/>
                              <w:marTop w:val="0"/>
                              <w:marBottom w:val="0"/>
                              <w:divBdr>
                                <w:top w:val="none" w:sz="0" w:space="0" w:color="auto"/>
                                <w:left w:val="none" w:sz="0" w:space="0" w:color="auto"/>
                                <w:bottom w:val="none" w:sz="0" w:space="0" w:color="auto"/>
                                <w:right w:val="none" w:sz="0" w:space="0" w:color="auto"/>
                              </w:divBdr>
                              <w:divsChild>
                                <w:div w:id="104583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29501">
                          <w:marLeft w:val="0"/>
                          <w:marRight w:val="0"/>
                          <w:marTop w:val="0"/>
                          <w:marBottom w:val="0"/>
                          <w:divBdr>
                            <w:top w:val="none" w:sz="0" w:space="0" w:color="auto"/>
                            <w:left w:val="none" w:sz="0" w:space="0" w:color="auto"/>
                            <w:bottom w:val="none" w:sz="0" w:space="0" w:color="auto"/>
                            <w:right w:val="none" w:sz="0" w:space="0" w:color="auto"/>
                          </w:divBdr>
                          <w:divsChild>
                            <w:div w:id="1663894146">
                              <w:marLeft w:val="0"/>
                              <w:marRight w:val="0"/>
                              <w:marTop w:val="0"/>
                              <w:marBottom w:val="0"/>
                              <w:divBdr>
                                <w:top w:val="none" w:sz="0" w:space="0" w:color="auto"/>
                                <w:left w:val="none" w:sz="0" w:space="0" w:color="auto"/>
                                <w:bottom w:val="none" w:sz="0" w:space="0" w:color="auto"/>
                                <w:right w:val="none" w:sz="0" w:space="0" w:color="auto"/>
                              </w:divBdr>
                              <w:divsChild>
                                <w:div w:id="173712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14228">
                          <w:marLeft w:val="0"/>
                          <w:marRight w:val="0"/>
                          <w:marTop w:val="0"/>
                          <w:marBottom w:val="0"/>
                          <w:divBdr>
                            <w:top w:val="none" w:sz="0" w:space="0" w:color="auto"/>
                            <w:left w:val="none" w:sz="0" w:space="0" w:color="auto"/>
                            <w:bottom w:val="none" w:sz="0" w:space="0" w:color="auto"/>
                            <w:right w:val="none" w:sz="0" w:space="0" w:color="auto"/>
                          </w:divBdr>
                          <w:divsChild>
                            <w:div w:id="1678925953">
                              <w:marLeft w:val="0"/>
                              <w:marRight w:val="0"/>
                              <w:marTop w:val="0"/>
                              <w:marBottom w:val="0"/>
                              <w:divBdr>
                                <w:top w:val="none" w:sz="0" w:space="0" w:color="auto"/>
                                <w:left w:val="none" w:sz="0" w:space="0" w:color="auto"/>
                                <w:bottom w:val="none" w:sz="0" w:space="0" w:color="auto"/>
                                <w:right w:val="none" w:sz="0" w:space="0" w:color="auto"/>
                              </w:divBdr>
                              <w:divsChild>
                                <w:div w:id="6214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719259">
                          <w:marLeft w:val="0"/>
                          <w:marRight w:val="0"/>
                          <w:marTop w:val="0"/>
                          <w:marBottom w:val="0"/>
                          <w:divBdr>
                            <w:top w:val="none" w:sz="0" w:space="0" w:color="auto"/>
                            <w:left w:val="none" w:sz="0" w:space="0" w:color="auto"/>
                            <w:bottom w:val="none" w:sz="0" w:space="0" w:color="auto"/>
                            <w:right w:val="none" w:sz="0" w:space="0" w:color="auto"/>
                          </w:divBdr>
                          <w:divsChild>
                            <w:div w:id="2128545152">
                              <w:marLeft w:val="0"/>
                              <w:marRight w:val="0"/>
                              <w:marTop w:val="0"/>
                              <w:marBottom w:val="0"/>
                              <w:divBdr>
                                <w:top w:val="none" w:sz="0" w:space="0" w:color="auto"/>
                                <w:left w:val="none" w:sz="0" w:space="0" w:color="auto"/>
                                <w:bottom w:val="none" w:sz="0" w:space="0" w:color="auto"/>
                                <w:right w:val="none" w:sz="0" w:space="0" w:color="auto"/>
                              </w:divBdr>
                              <w:divsChild>
                                <w:div w:id="18606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7422">
                          <w:marLeft w:val="0"/>
                          <w:marRight w:val="0"/>
                          <w:marTop w:val="0"/>
                          <w:marBottom w:val="0"/>
                          <w:divBdr>
                            <w:top w:val="none" w:sz="0" w:space="0" w:color="auto"/>
                            <w:left w:val="none" w:sz="0" w:space="0" w:color="auto"/>
                            <w:bottom w:val="none" w:sz="0" w:space="0" w:color="auto"/>
                            <w:right w:val="none" w:sz="0" w:space="0" w:color="auto"/>
                          </w:divBdr>
                          <w:divsChild>
                            <w:div w:id="2105299382">
                              <w:marLeft w:val="0"/>
                              <w:marRight w:val="0"/>
                              <w:marTop w:val="0"/>
                              <w:marBottom w:val="0"/>
                              <w:divBdr>
                                <w:top w:val="none" w:sz="0" w:space="0" w:color="auto"/>
                                <w:left w:val="none" w:sz="0" w:space="0" w:color="auto"/>
                                <w:bottom w:val="none" w:sz="0" w:space="0" w:color="auto"/>
                                <w:right w:val="none" w:sz="0" w:space="0" w:color="auto"/>
                              </w:divBdr>
                              <w:divsChild>
                                <w:div w:id="16995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86579">
                          <w:marLeft w:val="0"/>
                          <w:marRight w:val="0"/>
                          <w:marTop w:val="0"/>
                          <w:marBottom w:val="0"/>
                          <w:divBdr>
                            <w:top w:val="none" w:sz="0" w:space="0" w:color="auto"/>
                            <w:left w:val="none" w:sz="0" w:space="0" w:color="auto"/>
                            <w:bottom w:val="none" w:sz="0" w:space="0" w:color="auto"/>
                            <w:right w:val="none" w:sz="0" w:space="0" w:color="auto"/>
                          </w:divBdr>
                          <w:divsChild>
                            <w:div w:id="842671288">
                              <w:marLeft w:val="0"/>
                              <w:marRight w:val="0"/>
                              <w:marTop w:val="0"/>
                              <w:marBottom w:val="0"/>
                              <w:divBdr>
                                <w:top w:val="none" w:sz="0" w:space="0" w:color="auto"/>
                                <w:left w:val="none" w:sz="0" w:space="0" w:color="auto"/>
                                <w:bottom w:val="none" w:sz="0" w:space="0" w:color="auto"/>
                                <w:right w:val="none" w:sz="0" w:space="0" w:color="auto"/>
                              </w:divBdr>
                              <w:divsChild>
                                <w:div w:id="26693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938119">
                          <w:marLeft w:val="0"/>
                          <w:marRight w:val="0"/>
                          <w:marTop w:val="0"/>
                          <w:marBottom w:val="0"/>
                          <w:divBdr>
                            <w:top w:val="none" w:sz="0" w:space="0" w:color="auto"/>
                            <w:left w:val="none" w:sz="0" w:space="0" w:color="auto"/>
                            <w:bottom w:val="none" w:sz="0" w:space="0" w:color="auto"/>
                            <w:right w:val="none" w:sz="0" w:space="0" w:color="auto"/>
                          </w:divBdr>
                          <w:divsChild>
                            <w:div w:id="764034800">
                              <w:marLeft w:val="0"/>
                              <w:marRight w:val="0"/>
                              <w:marTop w:val="0"/>
                              <w:marBottom w:val="0"/>
                              <w:divBdr>
                                <w:top w:val="none" w:sz="0" w:space="0" w:color="auto"/>
                                <w:left w:val="none" w:sz="0" w:space="0" w:color="auto"/>
                                <w:bottom w:val="none" w:sz="0" w:space="0" w:color="auto"/>
                                <w:right w:val="none" w:sz="0" w:space="0" w:color="auto"/>
                              </w:divBdr>
                              <w:divsChild>
                                <w:div w:id="134390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079965">
                          <w:marLeft w:val="0"/>
                          <w:marRight w:val="0"/>
                          <w:marTop w:val="0"/>
                          <w:marBottom w:val="0"/>
                          <w:divBdr>
                            <w:top w:val="none" w:sz="0" w:space="0" w:color="auto"/>
                            <w:left w:val="none" w:sz="0" w:space="0" w:color="auto"/>
                            <w:bottom w:val="none" w:sz="0" w:space="0" w:color="auto"/>
                            <w:right w:val="none" w:sz="0" w:space="0" w:color="auto"/>
                          </w:divBdr>
                          <w:divsChild>
                            <w:div w:id="343631822">
                              <w:marLeft w:val="0"/>
                              <w:marRight w:val="0"/>
                              <w:marTop w:val="0"/>
                              <w:marBottom w:val="0"/>
                              <w:divBdr>
                                <w:top w:val="none" w:sz="0" w:space="0" w:color="auto"/>
                                <w:left w:val="none" w:sz="0" w:space="0" w:color="auto"/>
                                <w:bottom w:val="none" w:sz="0" w:space="0" w:color="auto"/>
                                <w:right w:val="none" w:sz="0" w:space="0" w:color="auto"/>
                              </w:divBdr>
                              <w:divsChild>
                                <w:div w:id="108575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996043">
                          <w:marLeft w:val="0"/>
                          <w:marRight w:val="0"/>
                          <w:marTop w:val="0"/>
                          <w:marBottom w:val="0"/>
                          <w:divBdr>
                            <w:top w:val="none" w:sz="0" w:space="0" w:color="auto"/>
                            <w:left w:val="none" w:sz="0" w:space="0" w:color="auto"/>
                            <w:bottom w:val="none" w:sz="0" w:space="0" w:color="auto"/>
                            <w:right w:val="none" w:sz="0" w:space="0" w:color="auto"/>
                          </w:divBdr>
                          <w:divsChild>
                            <w:div w:id="373967699">
                              <w:marLeft w:val="0"/>
                              <w:marRight w:val="0"/>
                              <w:marTop w:val="0"/>
                              <w:marBottom w:val="0"/>
                              <w:divBdr>
                                <w:top w:val="none" w:sz="0" w:space="0" w:color="auto"/>
                                <w:left w:val="none" w:sz="0" w:space="0" w:color="auto"/>
                                <w:bottom w:val="none" w:sz="0" w:space="0" w:color="auto"/>
                                <w:right w:val="none" w:sz="0" w:space="0" w:color="auto"/>
                              </w:divBdr>
                              <w:divsChild>
                                <w:div w:id="19400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43018">
                          <w:marLeft w:val="0"/>
                          <w:marRight w:val="0"/>
                          <w:marTop w:val="0"/>
                          <w:marBottom w:val="0"/>
                          <w:divBdr>
                            <w:top w:val="none" w:sz="0" w:space="0" w:color="auto"/>
                            <w:left w:val="none" w:sz="0" w:space="0" w:color="auto"/>
                            <w:bottom w:val="none" w:sz="0" w:space="0" w:color="auto"/>
                            <w:right w:val="none" w:sz="0" w:space="0" w:color="auto"/>
                          </w:divBdr>
                          <w:divsChild>
                            <w:div w:id="638342953">
                              <w:marLeft w:val="0"/>
                              <w:marRight w:val="0"/>
                              <w:marTop w:val="0"/>
                              <w:marBottom w:val="0"/>
                              <w:divBdr>
                                <w:top w:val="none" w:sz="0" w:space="0" w:color="auto"/>
                                <w:left w:val="none" w:sz="0" w:space="0" w:color="auto"/>
                                <w:bottom w:val="none" w:sz="0" w:space="0" w:color="auto"/>
                                <w:right w:val="none" w:sz="0" w:space="0" w:color="auto"/>
                              </w:divBdr>
                              <w:divsChild>
                                <w:div w:id="201013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52496">
                          <w:marLeft w:val="0"/>
                          <w:marRight w:val="0"/>
                          <w:marTop w:val="0"/>
                          <w:marBottom w:val="0"/>
                          <w:divBdr>
                            <w:top w:val="none" w:sz="0" w:space="0" w:color="auto"/>
                            <w:left w:val="none" w:sz="0" w:space="0" w:color="auto"/>
                            <w:bottom w:val="none" w:sz="0" w:space="0" w:color="auto"/>
                            <w:right w:val="none" w:sz="0" w:space="0" w:color="auto"/>
                          </w:divBdr>
                          <w:divsChild>
                            <w:div w:id="606545809">
                              <w:marLeft w:val="0"/>
                              <w:marRight w:val="0"/>
                              <w:marTop w:val="0"/>
                              <w:marBottom w:val="0"/>
                              <w:divBdr>
                                <w:top w:val="none" w:sz="0" w:space="0" w:color="auto"/>
                                <w:left w:val="none" w:sz="0" w:space="0" w:color="auto"/>
                                <w:bottom w:val="none" w:sz="0" w:space="0" w:color="auto"/>
                                <w:right w:val="none" w:sz="0" w:space="0" w:color="auto"/>
                              </w:divBdr>
                              <w:divsChild>
                                <w:div w:id="61101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891/0886-6708.VV-D-13-00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D42D45C3-A3EA-41E4-8709-5F0270B3B0BD}">
  <ds:schemaRefs>
    <ds:schemaRef ds:uri="http://schemas.openxmlformats.org/officeDocument/2006/bibliography"/>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6140</Words>
  <Characters>35002</Characters>
  <Application>Microsoft Office Word</Application>
  <DocSecurity>8</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2022-08-18T18:36:00Z</dcterms:created>
  <dcterms:modified xsi:type="dcterms:W3CDTF">2022-08-26T17:23:00Z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