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93A7C6F" w:rsidR="000A7622" w:rsidRPr="00C04F25" w:rsidRDefault="000A0E92" w:rsidP="00D14423">
      <w:pPr>
        <w:autoSpaceDE w:val="0"/>
        <w:autoSpaceDN w:val="0"/>
        <w:adjustRightInd w:val="0"/>
        <w:rPr>
          <w:rFonts w:cstheme="minorHAnsi"/>
          <w:b/>
          <w:bCs/>
          <w:i/>
          <w:iCs/>
          <w:sz w:val="32"/>
          <w:szCs w:val="32"/>
        </w:rPr>
      </w:pPr>
      <w:r>
        <w:rPr>
          <w:rFonts w:cstheme="minorHAnsi"/>
          <w:b/>
          <w:bCs/>
          <w:i/>
          <w:iCs/>
          <w:sz w:val="32"/>
          <w:szCs w:val="32"/>
        </w:rPr>
        <w:t>Social and Cultural Sciences</w:t>
      </w:r>
      <w:r w:rsidR="00352D3F">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352D3F">
        <w:rPr>
          <w:rFonts w:cstheme="minorHAnsi"/>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BC0075B" w14:textId="0DEB8A31" w:rsidR="000A7622" w:rsidRPr="00922A5F" w:rsidRDefault="002938B3" w:rsidP="000A7622">
      <w:pPr>
        <w:rPr>
          <w:rFonts w:cstheme="minorHAnsi"/>
          <w:sz w:val="24"/>
          <w:szCs w:val="24"/>
        </w:rPr>
      </w:pPr>
      <w:r>
        <w:rPr>
          <w:rFonts w:cstheme="minorHAnsi"/>
          <w:i/>
          <w:sz w:val="24"/>
          <w:szCs w:val="24"/>
          <w:lang w:val="fr-FR"/>
        </w:rPr>
        <w:t xml:space="preserve">Social Science </w:t>
      </w:r>
      <w:proofErr w:type="spellStart"/>
      <w:r>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51</w:t>
      </w:r>
      <w:r w:rsidR="000A7622" w:rsidRPr="00C04F25">
        <w:rPr>
          <w:rFonts w:cstheme="minorHAnsi"/>
          <w:sz w:val="24"/>
          <w:szCs w:val="24"/>
          <w:lang w:val="fr-FR"/>
        </w:rPr>
        <w:t>, (</w:t>
      </w:r>
      <w:r>
        <w:rPr>
          <w:rFonts w:cstheme="minorHAnsi"/>
          <w:sz w:val="24"/>
          <w:szCs w:val="24"/>
          <w:lang w:val="fr-FR"/>
        </w:rPr>
        <w:t>2015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145-162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 xml:space="preserve">Elsevier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 xml:space="preserve">Elsevier </w:t>
      </w:r>
      <w:r w:rsidR="000A7622" w:rsidRPr="00C04F25">
        <w:rPr>
          <w:rFonts w:cstheme="minorHAnsi"/>
          <w:sz w:val="24"/>
          <w:szCs w:val="24"/>
        </w:rPr>
        <w:t xml:space="preserve">does not grant permission for this article to be further copied/distributed or hosted elsewhere without the express permission from </w:t>
      </w:r>
      <w:r>
        <w:rPr>
          <w:rFonts w:cstheme="minorHAnsi"/>
          <w:sz w:val="24"/>
          <w:szCs w:val="24"/>
        </w:rPr>
        <w:t xml:space="preserve">Elsevier. </w:t>
      </w:r>
      <w:r w:rsidR="000A7622" w:rsidRPr="00C04F25">
        <w:rPr>
          <w:rFonts w:cstheme="minorHAnsi"/>
          <w:sz w:val="24"/>
          <w:szCs w:val="24"/>
        </w:rPr>
        <w:t xml:space="preserve"> </w:t>
      </w:r>
      <w:bookmarkEnd w:id="1"/>
    </w:p>
    <w:p w14:paraId="16B6CE2C" w14:textId="3F959ED1" w:rsidR="00414591" w:rsidRDefault="00922A5F" w:rsidP="00922A5F">
      <w:pPr>
        <w:pStyle w:val="Title"/>
      </w:pPr>
      <w:r w:rsidRPr="00922A5F">
        <w:t>Alcohol Outlets, Social Disorganization, and Robberies: Accounting for Neighborhood Characteristics and Alcohol Outlet Types</w:t>
      </w:r>
    </w:p>
    <w:p w14:paraId="698CB1D9" w14:textId="77777777" w:rsidR="000A0E92" w:rsidRPr="000A0E92" w:rsidRDefault="000A0E92" w:rsidP="000A0E92"/>
    <w:p w14:paraId="5A02110E" w14:textId="558FB39D" w:rsidR="00922A5F" w:rsidRPr="000A0E92" w:rsidRDefault="00922A5F" w:rsidP="000A0E92">
      <w:pPr>
        <w:pStyle w:val="NoSpacing"/>
        <w:rPr>
          <w:sz w:val="28"/>
          <w:szCs w:val="28"/>
        </w:rPr>
      </w:pPr>
      <w:r w:rsidRPr="000A0E92">
        <w:rPr>
          <w:sz w:val="28"/>
          <w:szCs w:val="28"/>
        </w:rPr>
        <w:t>Aleksandra J.</w:t>
      </w:r>
      <w:r w:rsidR="000A0E92" w:rsidRPr="000A0E92">
        <w:rPr>
          <w:sz w:val="28"/>
          <w:szCs w:val="28"/>
        </w:rPr>
        <w:t xml:space="preserve"> </w:t>
      </w:r>
      <w:r w:rsidRPr="000A0E92">
        <w:rPr>
          <w:sz w:val="28"/>
          <w:szCs w:val="28"/>
        </w:rPr>
        <w:t xml:space="preserve">Snowden </w:t>
      </w:r>
    </w:p>
    <w:p w14:paraId="0D54039F" w14:textId="6EB3C461" w:rsidR="00922A5F" w:rsidRPr="00922A5F" w:rsidRDefault="00922A5F" w:rsidP="000A0E92">
      <w:pPr>
        <w:pStyle w:val="NoSpacing"/>
      </w:pPr>
      <w:r w:rsidRPr="00922A5F">
        <w:t>University of Wisconsin Milwaukee, Department of Criminal Justice, Milwaukee, WI 53211, United States</w:t>
      </w:r>
    </w:p>
    <w:p w14:paraId="69FA8DA4" w14:textId="04EA6974" w:rsidR="00922A5F" w:rsidRPr="000A0E92" w:rsidRDefault="00922A5F" w:rsidP="000A0E92">
      <w:pPr>
        <w:pStyle w:val="NoSpacing"/>
        <w:rPr>
          <w:sz w:val="28"/>
          <w:szCs w:val="28"/>
        </w:rPr>
      </w:pPr>
      <w:r w:rsidRPr="000A0E92">
        <w:rPr>
          <w:sz w:val="28"/>
          <w:szCs w:val="28"/>
        </w:rPr>
        <w:t>Tina L.</w:t>
      </w:r>
      <w:r w:rsidR="000A0E92" w:rsidRPr="000A0E92">
        <w:rPr>
          <w:sz w:val="28"/>
          <w:szCs w:val="28"/>
        </w:rPr>
        <w:t xml:space="preserve"> </w:t>
      </w:r>
      <w:proofErr w:type="spellStart"/>
      <w:r w:rsidRPr="000A0E92">
        <w:rPr>
          <w:sz w:val="28"/>
          <w:szCs w:val="28"/>
        </w:rPr>
        <w:t>Freiburger</w:t>
      </w:r>
      <w:proofErr w:type="spellEnd"/>
    </w:p>
    <w:p w14:paraId="5689146D" w14:textId="4C728EF6" w:rsidR="0033310C" w:rsidRDefault="0033310C" w:rsidP="000A0E92">
      <w:pPr>
        <w:pStyle w:val="NoSpacing"/>
      </w:pPr>
      <w:r w:rsidRPr="0033310C">
        <w:t>University of Wisconsin Milwaukee, Department of Criminal Justice, Milwaukee, WI 53211, United States</w:t>
      </w:r>
    </w:p>
    <w:p w14:paraId="61E35EF6" w14:textId="6ABEFD46" w:rsidR="0033310C" w:rsidRDefault="0033310C" w:rsidP="0033310C"/>
    <w:p w14:paraId="59D435AA" w14:textId="77777777" w:rsidR="0033310C" w:rsidRPr="0033310C" w:rsidRDefault="0033310C" w:rsidP="0033310C">
      <w:pPr>
        <w:pStyle w:val="Heading1"/>
        <w:rPr>
          <w:lang w:val="en"/>
        </w:rPr>
      </w:pPr>
      <w:r w:rsidRPr="0033310C">
        <w:rPr>
          <w:lang w:val="en"/>
        </w:rPr>
        <w:t>Abstract</w:t>
      </w:r>
    </w:p>
    <w:p w14:paraId="3D1BB2CB" w14:textId="2223C42A" w:rsidR="0033310C" w:rsidRPr="0033310C" w:rsidRDefault="0033310C" w:rsidP="0033310C">
      <w:pPr>
        <w:rPr>
          <w:lang w:val="en"/>
        </w:rPr>
      </w:pPr>
      <w:r w:rsidRPr="0033310C">
        <w:rPr>
          <w:lang w:val="en"/>
        </w:rPr>
        <w:t xml:space="preserve">We estimated spatially lagged regression and spatial regime models to determine if the variation in total, </w:t>
      </w:r>
      <w:proofErr w:type="gramStart"/>
      <w:r w:rsidRPr="0033310C">
        <w:rPr>
          <w:lang w:val="en"/>
        </w:rPr>
        <w:t>on-premise</w:t>
      </w:r>
      <w:proofErr w:type="gramEnd"/>
      <w:r w:rsidRPr="0033310C">
        <w:rPr>
          <w:lang w:val="en"/>
        </w:rPr>
        <w:t>, and off-premise alcohol outlet</w:t>
      </w:r>
      <w:bookmarkStart w:id="2" w:name="bfn1"/>
      <w:r w:rsidRPr="0033310C">
        <w:rPr>
          <w:vertAlign w:val="superscript"/>
          <w:lang w:val="en"/>
        </w:rPr>
        <w:t>1</w:t>
      </w:r>
      <w:bookmarkEnd w:id="2"/>
      <w:r w:rsidRPr="0033310C">
        <w:rPr>
          <w:lang w:val="en"/>
        </w:rPr>
        <w:t> density is related to robbery density, while controlling for direct and moderating effects of social disorganization.</w:t>
      </w:r>
      <w:bookmarkStart w:id="3" w:name="bfn2"/>
      <w:r w:rsidRPr="0033310C">
        <w:rPr>
          <w:vertAlign w:val="superscript"/>
          <w:lang w:val="en"/>
        </w:rPr>
        <w:t>2</w:t>
      </w:r>
      <w:bookmarkEnd w:id="3"/>
      <w:r w:rsidRPr="0033310C">
        <w:rPr>
          <w:lang w:val="en"/>
        </w:rPr>
        <w:t> Results suggest that the relationship between alcohol outlet density and robbery density is sensitive to the measurement of social disorganization levels. Total alcohol outlet density and off-</w:t>
      </w:r>
      <w:proofErr w:type="gramStart"/>
      <w:r w:rsidRPr="0033310C">
        <w:rPr>
          <w:lang w:val="en"/>
        </w:rPr>
        <w:t>premise</w:t>
      </w:r>
      <w:proofErr w:type="gramEnd"/>
      <w:r w:rsidRPr="0033310C">
        <w:rPr>
          <w:lang w:val="en"/>
        </w:rPr>
        <w:t xml:space="preserve"> alcohol outlet density were significantly associated with robbery density when social disorganization variables were included separately in the models. However, when social disorganization levels were captured as a </w:t>
      </w:r>
      <w:proofErr w:type="gramStart"/>
      <w:r w:rsidRPr="0033310C">
        <w:rPr>
          <w:lang w:val="en"/>
        </w:rPr>
        <w:t>four item</w:t>
      </w:r>
      <w:proofErr w:type="gramEnd"/>
      <w:r w:rsidRPr="0033310C">
        <w:rPr>
          <w:lang w:val="en"/>
        </w:rPr>
        <w:t xml:space="preserve"> index, only the association between off-premise alcohol outlets and robbery density remained significant. More work is warranted in identifying the role of off-</w:t>
      </w:r>
      <w:proofErr w:type="gramStart"/>
      <w:r w:rsidRPr="0033310C">
        <w:rPr>
          <w:lang w:val="en"/>
        </w:rPr>
        <w:t>premise</w:t>
      </w:r>
      <w:proofErr w:type="gramEnd"/>
      <w:r w:rsidRPr="0033310C">
        <w:rPr>
          <w:lang w:val="en"/>
        </w:rPr>
        <w:t xml:space="preserve"> alcohol outlets and their characteristics in robbery incidents.</w:t>
      </w:r>
    </w:p>
    <w:p w14:paraId="3DCF5438" w14:textId="5CF1E093" w:rsidR="000A0E92" w:rsidRDefault="0033310C" w:rsidP="000A0E92">
      <w:pPr>
        <w:pStyle w:val="Heading1"/>
      </w:pPr>
      <w:r w:rsidRPr="0033310C">
        <w:lastRenderedPageBreak/>
        <w:t>Keywords</w:t>
      </w:r>
    </w:p>
    <w:p w14:paraId="33C8A0C1" w14:textId="6C1A08C5" w:rsidR="0033310C" w:rsidRPr="0033310C" w:rsidRDefault="0033310C" w:rsidP="0033310C">
      <w:r w:rsidRPr="0033310C">
        <w:t>Robbery</w:t>
      </w:r>
      <w:r>
        <w:t xml:space="preserve">, </w:t>
      </w:r>
      <w:r w:rsidRPr="0033310C">
        <w:t>Alcohol outlet density</w:t>
      </w:r>
      <w:r>
        <w:t xml:space="preserve">, </w:t>
      </w:r>
      <w:proofErr w:type="gramStart"/>
      <w:r w:rsidRPr="0033310C">
        <w:t>Social</w:t>
      </w:r>
      <w:proofErr w:type="gramEnd"/>
      <w:r w:rsidRPr="0033310C">
        <w:t xml:space="preserve"> disorganization</w:t>
      </w:r>
      <w:r>
        <w:t xml:space="preserve">, </w:t>
      </w:r>
      <w:r w:rsidRPr="0033310C">
        <w:t>GIS</w:t>
      </w:r>
    </w:p>
    <w:p w14:paraId="32CBC895" w14:textId="77777777" w:rsidR="0033310C" w:rsidRPr="0033310C" w:rsidRDefault="0033310C" w:rsidP="0033310C">
      <w:pPr>
        <w:pStyle w:val="Heading1"/>
      </w:pPr>
      <w:r w:rsidRPr="0033310C">
        <w:t>1. Introduction</w:t>
      </w:r>
    </w:p>
    <w:p w14:paraId="4EDAC602" w14:textId="33F13313" w:rsidR="0033310C" w:rsidRPr="0033310C" w:rsidRDefault="0033310C" w:rsidP="0033310C">
      <w:r w:rsidRPr="0033310C">
        <w:t>Robbery is a serious violent crime that involves “the taking or attempting to take valuable commodities from a person by force or with a threat of force” (</w:t>
      </w:r>
      <w:bookmarkStart w:id="4" w:name="bb0270"/>
      <w:r w:rsidRPr="0033310C">
        <w:t>United States Department of Justice, 2010). Although the average financial loss in robbery victimizations is relatively insignificant $877.00 (United States Department of Justice, 2010</w:t>
      </w:r>
      <w:bookmarkEnd w:id="4"/>
      <w:r w:rsidRPr="0033310C">
        <w:t>), robbery is a serious violent crime due to the unexpected encounter between the offender and the victim. Prior literature suggests that high availability of alcohol outlets and greater social disorganization contribute to higher concentrations of robbery (e.g., </w:t>
      </w:r>
      <w:bookmarkStart w:id="5" w:name="bb0030"/>
      <w:proofErr w:type="spellStart"/>
      <w:r w:rsidRPr="0033310C">
        <w:t>Bernasco</w:t>
      </w:r>
      <w:proofErr w:type="spellEnd"/>
      <w:r w:rsidRPr="0033310C">
        <w:t xml:space="preserve"> and Block, 2011, </w:t>
      </w:r>
      <w:bookmarkStart w:id="6" w:name="bb0035"/>
      <w:proofErr w:type="spellStart"/>
      <w:r w:rsidRPr="0033310C">
        <w:t>Bernasco</w:t>
      </w:r>
      <w:proofErr w:type="spellEnd"/>
      <w:r w:rsidRPr="0033310C">
        <w:t xml:space="preserve"> et al., 2013, </w:t>
      </w:r>
      <w:bookmarkStart w:id="7" w:name="bb0050"/>
      <w:r w:rsidRPr="0033310C">
        <w:t>Brantingham and Brantingham, 1995, </w:t>
      </w:r>
      <w:bookmarkStart w:id="8" w:name="bb0245"/>
      <w:r w:rsidRPr="0033310C">
        <w:t>Smith et al., 2000). However, the research in this area has left two areas that need further exploration.</w:t>
      </w:r>
    </w:p>
    <w:p w14:paraId="39EB1850" w14:textId="722FB502" w:rsidR="0033310C" w:rsidRPr="0033310C" w:rsidRDefault="0033310C" w:rsidP="0033310C">
      <w:r w:rsidRPr="0033310C">
        <w:t xml:space="preserve">The first relates to the alcohol outlet typology. Broadly defined, alcohol outlets are places that are licensed to sell alcohol beverages. Alcohol outlets are commonly disaggregated into </w:t>
      </w:r>
      <w:proofErr w:type="gramStart"/>
      <w:r w:rsidRPr="0033310C">
        <w:t>on-premise</w:t>
      </w:r>
      <w:proofErr w:type="gramEnd"/>
      <w:r w:rsidRPr="0033310C">
        <w:t xml:space="preserve"> (i.e., places that sell alcohol beverages that are meant for consumption while visiting the place, such as a bar or restaurant) and off-premise (i.e., places like liquor and convenience stores that sell alcohol beverages that are meant for consumption elsewhere). Only two studies have examined the association between different types of alcohol outlets (</w:t>
      </w:r>
      <w:proofErr w:type="gramStart"/>
      <w:r w:rsidRPr="0033310C">
        <w:t>on-premise</w:t>
      </w:r>
      <w:proofErr w:type="gramEnd"/>
      <w:r w:rsidRPr="0033310C">
        <w:t>, such as bars and restaurants, and off-premise, such as liquor stores) and robberies. These studies have suggested that different types of alcohol outlets have different association with robberies (</w:t>
      </w:r>
      <w:proofErr w:type="spellStart"/>
      <w:r w:rsidRPr="0033310C">
        <w:t>Bernasco</w:t>
      </w:r>
      <w:proofErr w:type="spellEnd"/>
      <w:r w:rsidRPr="0033310C">
        <w:t xml:space="preserve"> and Block, 2011, </w:t>
      </w:r>
      <w:proofErr w:type="spellStart"/>
      <w:r w:rsidRPr="0033310C">
        <w:t>Bernasco</w:t>
      </w:r>
      <w:proofErr w:type="spellEnd"/>
      <w:r w:rsidRPr="0033310C">
        <w:t xml:space="preserve"> et al., 2013). Understanding the associations that different outlets have with robberies is essential to determining appropriate policy responses.</w:t>
      </w:r>
    </w:p>
    <w:p w14:paraId="0B1089E3" w14:textId="65ADFCD2" w:rsidR="0033310C" w:rsidRPr="0033310C" w:rsidRDefault="0033310C" w:rsidP="0033310C">
      <w:r w:rsidRPr="0033310C">
        <w:t>The second relates to the issue of measurement of social disorganization. The concept of social disorganization captures neighborhood level characteristics, such as ethnic heterogeneity, poverty, residential instability, and single-headed households, which taken together reduce social cohesion in the area and the ability of community residents to realize common goals (</w:t>
      </w:r>
      <w:bookmarkStart w:id="9" w:name="bb0235"/>
      <w:r w:rsidRPr="0033310C">
        <w:t xml:space="preserve">Shaw and McKay, 1942). A few studies measured social disorganization as an index comprised of several variables, while </w:t>
      </w:r>
      <w:proofErr w:type="gramStart"/>
      <w:r w:rsidRPr="0033310C">
        <w:t>the majority of</w:t>
      </w:r>
      <w:proofErr w:type="gramEnd"/>
      <w:r w:rsidRPr="0033310C">
        <w:t xml:space="preserve"> prior studies have examined the association between individual social disorganization variables estimated separately. The issue of measurement is important because prior studies in this area have produced different findings depending on which </w:t>
      </w:r>
      <w:proofErr w:type="gramStart"/>
      <w:r w:rsidRPr="0033310C">
        <w:t>measure</w:t>
      </w:r>
      <w:proofErr w:type="gramEnd"/>
      <w:r w:rsidRPr="0033310C">
        <w:t xml:space="preserve"> they utilized, making it difficult to fully understand the relationship between social disorganization and robberies. Therefore, this study further explores the association between different alcohol outlets and robberies in the city of Milwaukee, WI, and examines how different measures of social disorganization affect the findings.</w:t>
      </w:r>
    </w:p>
    <w:p w14:paraId="14866E42" w14:textId="77777777" w:rsidR="0033310C" w:rsidRPr="0033310C" w:rsidRDefault="0033310C" w:rsidP="0033310C">
      <w:pPr>
        <w:pStyle w:val="Heading2"/>
      </w:pPr>
      <w:r w:rsidRPr="0033310C">
        <w:t>1.1. Theoretical perspectives</w:t>
      </w:r>
    </w:p>
    <w:p w14:paraId="04409493" w14:textId="14617E04" w:rsidR="0033310C" w:rsidRPr="0033310C" w:rsidRDefault="0033310C" w:rsidP="0033310C">
      <w:r w:rsidRPr="0033310C">
        <w:t>Two broad types of social ecological theories, place-based and social integration (</w:t>
      </w:r>
      <w:bookmarkStart w:id="10" w:name="bb0080"/>
      <w:r w:rsidRPr="0033310C">
        <w:t>Gorman et al., 2013), can explain spatial distribution of robberies. First, place-based theories (such as routine activities or crime potential theory) suggest that some neighborhoods may be attractive to motivated offenders because they bring about a flow of vulnerable victims who are suitable targets for robbery and have ineffective or absent guardianship (</w:t>
      </w:r>
      <w:bookmarkStart w:id="11" w:name="bb0065"/>
      <w:r w:rsidRPr="0033310C">
        <w:t>Cohen and Felson, 1979</w:t>
      </w:r>
      <w:bookmarkEnd w:id="11"/>
      <w:r w:rsidRPr="0033310C">
        <w:t xml:space="preserve">). Motivated offenders travel from one place to another </w:t>
      </w:r>
      <w:proofErr w:type="gramStart"/>
      <w:r w:rsidRPr="0033310C">
        <w:t>during the course of</w:t>
      </w:r>
      <w:proofErr w:type="gramEnd"/>
      <w:r w:rsidRPr="0033310C">
        <w:t xml:space="preserve"> their daily routine and assess opportunities for robberies within their awareness space (</w:t>
      </w:r>
      <w:bookmarkStart w:id="12" w:name="bb9000"/>
      <w:r w:rsidRPr="0033310C">
        <w:t>Brantingham and Brantingham, 1993). As they take note of opportunities to victimize vulnerable victims, they are cautious about the opportunities upon which they act. If they act upon opportunities that are within their neighborhoods, they risk the possibility of being recognized by their victims. If they act upon opportunities outside of their neighborhood, they risk the possibility of appearing to be out of place (Brantingham and Brantingham, 1993</w:t>
      </w:r>
      <w:bookmarkEnd w:id="12"/>
      <w:r w:rsidRPr="0033310C">
        <w:t xml:space="preserve">). Some offenders choose to act upon opportunities that exist along edges between different parts of the city (e.g., </w:t>
      </w:r>
      <w:proofErr w:type="gramStart"/>
      <w:r w:rsidRPr="0033310C">
        <w:t>wealthy</w:t>
      </w:r>
      <w:proofErr w:type="gramEnd"/>
      <w:r w:rsidRPr="0033310C">
        <w:t xml:space="preserve"> and poor, white and minority), where they are less likely to stand out. Accordingly, robberies may occur on the edges </w:t>
      </w:r>
      <w:r w:rsidRPr="0033310C">
        <w:lastRenderedPageBreak/>
        <w:t>between wealthy and poor neighborhoods where there is an opportunity for victimization of vulnerable victims and where there are absent guardians. Additionally, robberies may occur in neighborhoods with high availability of alcohol outlets, which serve as social attractors (</w:t>
      </w:r>
      <w:bookmarkStart w:id="13" w:name="bb0165"/>
      <w:r w:rsidRPr="0033310C">
        <w:t>Parker, 1993). Alcohol outlets can either attract crime by bringing a flow of unguarded vulnerable victims or generate crime by providing public places that are easily accessible to the public (e.g., places that are located on main street, or near public transportation stations) and lack place managers (Brantingham and Brantingham, 1995, </w:t>
      </w:r>
      <w:bookmarkStart w:id="14" w:name="bb9005"/>
      <w:r w:rsidRPr="0033310C">
        <w:t xml:space="preserve">Eck, 1995). For example, neighborhoods with high availability of bars produce intoxicated patrons who are vulnerable victims at closing time, while liquor stores lack effective guardianship once the patron leaves the premise and becomes vulnerable. Liquor stores themselves also may be suitable targets when only one store clerk is present but may be unsuitable for robbery when customers or multiple store clerks are present. Alcohol outlets may also contribute to robbery by being part of an environmental landscape that already provides situational opportunities for victimization. For example, </w:t>
      </w:r>
      <w:proofErr w:type="gramStart"/>
      <w:r w:rsidRPr="0033310C">
        <w:t>a majority of</w:t>
      </w:r>
      <w:proofErr w:type="gramEnd"/>
      <w:r w:rsidRPr="0033310C">
        <w:t xml:space="preserve"> commercial robberies have occurred in convenience stores that were located near major transportation route, on a lightly traveled street, and in an area with retail activity (</w:t>
      </w:r>
      <w:bookmarkStart w:id="15" w:name="bb0070"/>
      <w:r w:rsidRPr="0033310C">
        <w:t>Duffala, 1976</w:t>
      </w:r>
      <w:bookmarkEnd w:id="15"/>
      <w:r w:rsidRPr="0033310C">
        <w:t>).</w:t>
      </w:r>
    </w:p>
    <w:p w14:paraId="3C908087" w14:textId="5787FF19" w:rsidR="0033310C" w:rsidRPr="0033310C" w:rsidRDefault="0033310C" w:rsidP="0033310C">
      <w:r w:rsidRPr="0033310C">
        <w:t>The second broad type of social ecological theory, social integration theory, argues that some neighborhoods may be conducive to robberies because they are socially disorganized (Shaw and McKay, 1942). Such neighborhoods are marked by poverty, ethnic heterogeneity, and population turnover all of which reduce social cohesion of the area. Socially disorganized neighborhoods lack collective efficacy necessary to exert influence over the behavior of community members or events in their community (</w:t>
      </w:r>
      <w:bookmarkStart w:id="16" w:name="bb0215"/>
      <w:r w:rsidRPr="0033310C">
        <w:t>Sampson and Groves, 1989</w:t>
      </w:r>
      <w:bookmarkEnd w:id="16"/>
      <w:r w:rsidRPr="0033310C">
        <w:t>, </w:t>
      </w:r>
      <w:bookmarkStart w:id="17" w:name="bb0220"/>
      <w:r w:rsidRPr="0033310C">
        <w:t>Sampson et al., 1997</w:t>
      </w:r>
      <w:bookmarkEnd w:id="17"/>
      <w:r w:rsidRPr="0033310C">
        <w:t>, </w:t>
      </w:r>
      <w:bookmarkStart w:id="18" w:name="bb0225"/>
      <w:r w:rsidRPr="0033310C">
        <w:t>Sampson et al., 2002</w:t>
      </w:r>
      <w:bookmarkEnd w:id="18"/>
      <w:r w:rsidRPr="0033310C">
        <w:t xml:space="preserve">). As such, those neighborhoods may be unable to control the behavior of their community members and may also lack political influence </w:t>
      </w:r>
      <w:proofErr w:type="gramStart"/>
      <w:r w:rsidRPr="0033310C">
        <w:t>to</w:t>
      </w:r>
      <w:proofErr w:type="gramEnd"/>
      <w:r w:rsidRPr="0033310C">
        <w:t xml:space="preserve"> control and limit opening of alcohol outlets in their communities. Additionally, socially disorganized neighborhoods are often </w:t>
      </w:r>
      <w:proofErr w:type="gramStart"/>
      <w:r w:rsidRPr="0033310C">
        <w:t>in close proximity to</w:t>
      </w:r>
      <w:proofErr w:type="gramEnd"/>
      <w:r w:rsidRPr="0033310C">
        <w:t xml:space="preserve"> central downtown business district, and the proximity to downtown is associated with crime rates (</w:t>
      </w:r>
      <w:bookmarkStart w:id="19" w:name="bb9010"/>
      <w:r w:rsidRPr="0033310C">
        <w:t>Park and Burgess, 1924</w:t>
      </w:r>
      <w:bookmarkEnd w:id="19"/>
      <w:r w:rsidRPr="0033310C">
        <w:t xml:space="preserve">, Shaw and </w:t>
      </w:r>
      <w:proofErr w:type="spellStart"/>
      <w:r w:rsidRPr="0033310C">
        <w:t>Mckay</w:t>
      </w:r>
      <w:proofErr w:type="spellEnd"/>
      <w:r w:rsidRPr="0033310C">
        <w:t>, 1942).</w:t>
      </w:r>
    </w:p>
    <w:p w14:paraId="0E9F8C91" w14:textId="77777777" w:rsidR="0033310C" w:rsidRPr="0033310C" w:rsidRDefault="0033310C" w:rsidP="0033310C">
      <w:pPr>
        <w:pStyle w:val="Heading2"/>
      </w:pPr>
      <w:r w:rsidRPr="0033310C">
        <w:t>1.2. Literature review</w:t>
      </w:r>
    </w:p>
    <w:p w14:paraId="19E06222" w14:textId="77777777" w:rsidR="0033310C" w:rsidRPr="0033310C" w:rsidRDefault="0033310C" w:rsidP="0033310C">
      <w:pPr>
        <w:pStyle w:val="Heading3"/>
      </w:pPr>
      <w:r w:rsidRPr="0033310C">
        <w:t>1.2.1. Alcohol outlets and robberies</w:t>
      </w:r>
    </w:p>
    <w:p w14:paraId="50216274" w14:textId="3A7096B8" w:rsidR="0033310C" w:rsidRPr="0033310C" w:rsidRDefault="0033310C" w:rsidP="0033310C">
      <w:r w:rsidRPr="0033310C">
        <w:t xml:space="preserve">Research on alcohol availability and resulting alcohol related problems is rich within epidemiological and public health literature. Within this rich body of literature, alcohol outlets are commonly disaggregated into </w:t>
      </w:r>
      <w:proofErr w:type="gramStart"/>
      <w:r w:rsidRPr="0033310C">
        <w:t>on-premise</w:t>
      </w:r>
      <w:proofErr w:type="gramEnd"/>
      <w:r w:rsidRPr="0033310C">
        <w:t xml:space="preserve"> (i.e., places that sell alcohol beverages that are meant for consumption while visiting the place, such as a bar or restaurant) and off-premise (i.e., places like liquor and convenience stores that sell alcohol beverages that are meant for consumption elsewhere) (e.g., </w:t>
      </w:r>
      <w:bookmarkStart w:id="20" w:name="bb0160"/>
      <w:r w:rsidRPr="0033310C">
        <w:t xml:space="preserve">Ornstein and </w:t>
      </w:r>
      <w:proofErr w:type="spellStart"/>
      <w:r w:rsidRPr="0033310C">
        <w:t>Hanssens</w:t>
      </w:r>
      <w:proofErr w:type="spellEnd"/>
      <w:r w:rsidRPr="0033310C">
        <w:t xml:space="preserve">, 1985). The epidemiological and public health literature suggests that alcohol availability plays an important role in negative health and social outcomes. First, alcohol outlets contribute to alcohol consumption, alcoholism, and related health problems. For example, per capita </w:t>
      </w:r>
      <w:proofErr w:type="gramStart"/>
      <w:r w:rsidRPr="0033310C">
        <w:t>on-premise</w:t>
      </w:r>
      <w:proofErr w:type="gramEnd"/>
      <w:r w:rsidRPr="0033310C">
        <w:t xml:space="preserve"> alcohol license was positively and significantly associated with consumption of distilled spirits and of beer across the nation (Ornstein and </w:t>
      </w:r>
      <w:proofErr w:type="spellStart"/>
      <w:r w:rsidRPr="0033310C">
        <w:t>Hanssens</w:t>
      </w:r>
      <w:proofErr w:type="spellEnd"/>
      <w:r w:rsidRPr="0033310C">
        <w:t>, 1985</w:t>
      </w:r>
      <w:bookmarkEnd w:id="20"/>
      <w:r w:rsidRPr="0033310C">
        <w:t xml:space="preserve">). Additionally, the number of </w:t>
      </w:r>
      <w:proofErr w:type="gramStart"/>
      <w:r w:rsidRPr="0033310C">
        <w:t>on-premise</w:t>
      </w:r>
      <w:proofErr w:type="gramEnd"/>
      <w:r w:rsidRPr="0033310C">
        <w:t xml:space="preserve"> alcohol outlets per 100,000 persons was associated with per capita consumption and alcoholism rate, independent of level of urbanism, per capita income, and per capita restrictions on the number of alcohol outlets (</w:t>
      </w:r>
      <w:bookmarkStart w:id="21" w:name="bb0120"/>
      <w:r w:rsidRPr="0033310C">
        <w:t>Harford et al., 1979</w:t>
      </w:r>
      <w:bookmarkEnd w:id="21"/>
      <w:r w:rsidRPr="0033310C">
        <w:t>, </w:t>
      </w:r>
      <w:bookmarkStart w:id="22" w:name="bb0170"/>
      <w:r w:rsidRPr="0033310C">
        <w:t>Parker et al., 1978</w:t>
      </w:r>
      <w:bookmarkEnd w:id="22"/>
      <w:r w:rsidRPr="0033310C">
        <w:t>). Per capita alcohol outlet availability was associated with liver cirrhosis mortality, even after controlling for neighborhood characteristics such as race/ethnicity and wealth (</w:t>
      </w:r>
      <w:bookmarkStart w:id="23" w:name="bb0185"/>
      <w:r w:rsidRPr="0033310C">
        <w:t>Rabow and Watts, 1982).</w:t>
      </w:r>
    </w:p>
    <w:p w14:paraId="2BCAED82" w14:textId="4185CBCB" w:rsidR="0033310C" w:rsidRPr="0033310C" w:rsidRDefault="0033310C" w:rsidP="0033310C">
      <w:r w:rsidRPr="0033310C">
        <w:t xml:space="preserve">Alcohol outlet availability can also have negative social consequences, such as crime and interpersonal violence. For example, density of </w:t>
      </w:r>
      <w:proofErr w:type="gramStart"/>
      <w:r w:rsidRPr="0033310C">
        <w:t>on-premise</w:t>
      </w:r>
      <w:proofErr w:type="gramEnd"/>
      <w:r w:rsidRPr="0033310C">
        <w:t xml:space="preserve"> and of off-premise alcohol outlets was associated with assaultive violence (i.e., criminal homicide, forcible rape, robbery, and aggravated assault) (</w:t>
      </w:r>
      <w:bookmarkStart w:id="24" w:name="bb9020"/>
      <w:r w:rsidRPr="0033310C">
        <w:t>Scribner et al., 1995</w:t>
      </w:r>
      <w:bookmarkEnd w:id="24"/>
      <w:r w:rsidRPr="0033310C">
        <w:t>), alcohol-related motor vehicle crashes (</w:t>
      </w:r>
      <w:bookmarkStart w:id="25" w:name="bb0230"/>
      <w:r w:rsidRPr="0033310C">
        <w:t>Scribner et al., 1994</w:t>
      </w:r>
      <w:bookmarkEnd w:id="25"/>
      <w:r w:rsidRPr="0033310C">
        <w:t>), and felony drunk driving arrest rates (Rabow and Watts, 1982</w:t>
      </w:r>
      <w:bookmarkEnd w:id="23"/>
      <w:r w:rsidRPr="0033310C">
        <w:t xml:space="preserve">), independent of neighborhood sociodemographic characteristics such as median income, unemployment, racial/ethnic composition, and female headed households. Indeed, even recent empirical epidemiological and </w:t>
      </w:r>
      <w:r w:rsidRPr="0033310C">
        <w:lastRenderedPageBreak/>
        <w:t xml:space="preserve">criminological studies acknowledged the role that the availability of different alcohol outlet types </w:t>
      </w:r>
      <w:proofErr w:type="gramStart"/>
      <w:r w:rsidRPr="0033310C">
        <w:t>in a given</w:t>
      </w:r>
      <w:proofErr w:type="gramEnd"/>
      <w:r w:rsidRPr="0033310C">
        <w:t xml:space="preserve"> neighborhood have on violence (e.g., </w:t>
      </w:r>
      <w:bookmarkStart w:id="26" w:name="bb0110"/>
      <w:r w:rsidRPr="0033310C">
        <w:t>Gruenewald and Remer, 2006</w:t>
      </w:r>
      <w:bookmarkEnd w:id="26"/>
      <w:r w:rsidRPr="0033310C">
        <w:t>, </w:t>
      </w:r>
      <w:bookmarkStart w:id="27" w:name="bb0135"/>
      <w:r w:rsidRPr="0033310C">
        <w:t>Lipton et al., 2013, </w:t>
      </w:r>
      <w:bookmarkStart w:id="28" w:name="bb0140"/>
      <w:r w:rsidRPr="0033310C">
        <w:t>Livingston, 2008a</w:t>
      </w:r>
      <w:bookmarkEnd w:id="28"/>
      <w:r w:rsidRPr="0033310C">
        <w:t>, </w:t>
      </w:r>
      <w:bookmarkStart w:id="29" w:name="bb0145"/>
      <w:r w:rsidRPr="0033310C">
        <w:t>Livingston, 2008b</w:t>
      </w:r>
      <w:bookmarkEnd w:id="29"/>
      <w:r w:rsidRPr="0033310C">
        <w:t>, </w:t>
      </w:r>
      <w:bookmarkStart w:id="30" w:name="bb0180"/>
      <w:r w:rsidRPr="0033310C">
        <w:t>Pridemore and Grubesic, 2013</w:t>
      </w:r>
      <w:bookmarkEnd w:id="30"/>
      <w:r w:rsidRPr="0033310C">
        <w:t>, </w:t>
      </w:r>
      <w:bookmarkStart w:id="31" w:name="bb0200"/>
      <w:r w:rsidRPr="0033310C">
        <w:t>Roman et al., 2008</w:t>
      </w:r>
      <w:bookmarkEnd w:id="31"/>
      <w:r w:rsidRPr="0033310C">
        <w:t>, </w:t>
      </w:r>
      <w:bookmarkStart w:id="32" w:name="bb0250"/>
      <w:r w:rsidRPr="0033310C">
        <w:t>Snowden and Pridemore, 2013</w:t>
      </w:r>
      <w:bookmarkEnd w:id="32"/>
      <w:r w:rsidRPr="0033310C">
        <w:t>, </w:t>
      </w:r>
      <w:bookmarkStart w:id="33" w:name="bb0290"/>
      <w:r w:rsidRPr="0033310C">
        <w:t>Zhu et al., 2004). For example, Lipton et al. (2013)</w:t>
      </w:r>
      <w:bookmarkEnd w:id="27"/>
      <w:r w:rsidRPr="0033310C">
        <w:t> found that alcohol outlets were related to violent crimes at the local block group level and to violent crimes in neighboring block groups.</w:t>
      </w:r>
    </w:p>
    <w:p w14:paraId="23066740" w14:textId="594AF318" w:rsidR="0033310C" w:rsidRPr="0033310C" w:rsidRDefault="0033310C" w:rsidP="0033310C">
      <w:r w:rsidRPr="0033310C">
        <w:t>Recently, criminologists have shown substantial interest in place-based investigations of causes and correlates of crime and in examinations of routine activities and environmental criminological theory. This place-based endeavor has focused on the role of various micro-places within neighborhoods in crime causation. Broadly defined, micro-places are various types of places that operate within neighborhoods, such as alcohol outlets, half-way houses and laundromats. Alcohol outlets</w:t>
      </w:r>
      <w:proofErr w:type="gramStart"/>
      <w:r w:rsidRPr="0033310C">
        <w:t>, in particular, appear</w:t>
      </w:r>
      <w:proofErr w:type="gramEnd"/>
      <w:r w:rsidRPr="0033310C">
        <w:t xml:space="preserve"> to be deviant places (</w:t>
      </w:r>
      <w:bookmarkStart w:id="34" w:name="bb0260"/>
      <w:r w:rsidRPr="0033310C">
        <w:t>Stark, 1987</w:t>
      </w:r>
      <w:bookmarkEnd w:id="34"/>
      <w:r w:rsidRPr="0033310C">
        <w:t>) and are associated with crime at various distance thresholds (</w:t>
      </w:r>
      <w:bookmarkStart w:id="35" w:name="bb0095"/>
      <w:r w:rsidRPr="0033310C">
        <w:t>Grubesic and Pridemore, 2011, </w:t>
      </w:r>
      <w:bookmarkStart w:id="36" w:name="bb0100"/>
      <w:r w:rsidRPr="0033310C">
        <w:t>Grubesic et al., 2011</w:t>
      </w:r>
      <w:bookmarkEnd w:id="36"/>
      <w:r w:rsidRPr="0033310C">
        <w:t>). Grubesic and Pridemore (2011) used sophisticated proximity analyses and spatial cluster detection to identify clusters of alcohol outlets and assess spatial distribution of violent crimes around those clusters. They identified six statistically significant agglomerations of alcohol outlets. Within each one of those alcohol outlet agglomerations, violent crimes clustered within a particular distance from the alcohol outlet agglomerations. For example, for the first statistically significant agglomeration of alcohol outlets, simple assaults clustered within three distance ranges: between 575 and 659 feet from the alcohol outlet agglomeration, between 1500 and 1613 feet from the alcohol outlet agglomeration, and between 2637 and 3061 feet from the alcohol outlet agglomeration (Grubesic and Pridemore, 2011</w:t>
      </w:r>
      <w:bookmarkEnd w:id="35"/>
      <w:r w:rsidRPr="0033310C">
        <w:t>). Additionally, </w:t>
      </w:r>
      <w:bookmarkStart w:id="37" w:name="bb0085"/>
      <w:r w:rsidRPr="0033310C">
        <w:t>Groff and Lockwood (2014) found that bars were associated with violent, property, and disorder crimes within 400 feet of the street segment that contained bars, as well as within 800 feet and 1200 feet away from the street segments that contained bars. Most of these prior studies, however, have grouped all crimes (e.g., </w:t>
      </w:r>
      <w:bookmarkStart w:id="38" w:name="bb0060"/>
      <w:r w:rsidRPr="0033310C">
        <w:t>Britt et al., 2005</w:t>
      </w:r>
      <w:bookmarkEnd w:id="38"/>
      <w:r w:rsidRPr="0033310C">
        <w:t>) or all violent crimes (e.g., </w:t>
      </w:r>
      <w:bookmarkStart w:id="39" w:name="bb0075"/>
      <w:r w:rsidRPr="0033310C">
        <w:t>Gorman et al., 2001</w:t>
      </w:r>
      <w:bookmarkEnd w:id="39"/>
      <w:r w:rsidRPr="0033310C">
        <w:t>, Zhu et al., 2004</w:t>
      </w:r>
      <w:bookmarkEnd w:id="33"/>
      <w:r w:rsidRPr="0033310C">
        <w:t>) into one broad category. Less is known about the role of alcohol outlets, including different alcohol outlet types, on robberies.</w:t>
      </w:r>
    </w:p>
    <w:p w14:paraId="47B3BF9E" w14:textId="7B968D19" w:rsidR="0033310C" w:rsidRPr="0033310C" w:rsidRDefault="0033310C" w:rsidP="0033310C">
      <w:r w:rsidRPr="0033310C">
        <w:t>Place-based theories of crime causation have found support in empirical literature that examined robberies. In line with routine activities theory, it appears that places such as beer establishments bring about a flow of people to and from the establishment, some of whom are inebriated and vulnerable (</w:t>
      </w:r>
      <w:bookmarkStart w:id="40" w:name="bb0115"/>
      <w:r w:rsidRPr="0033310C">
        <w:t>Haberman et al., 2013). Haberman et al. (2013)</w:t>
      </w:r>
      <w:bookmarkEnd w:id="40"/>
      <w:r w:rsidRPr="0033310C">
        <w:t> found that beer establishments were significantly associated with robbery counts, and that an increase in each additional beer establishment increased expected robbery counts by 71%. Brantingham and Brantingham’s (1995) ideas about micro-places being the generators or attractors of crime have also found empirical support. For example, </w:t>
      </w:r>
      <w:proofErr w:type="spellStart"/>
      <w:r w:rsidRPr="0033310C">
        <w:t>Bernasco</w:t>
      </w:r>
      <w:proofErr w:type="spellEnd"/>
      <w:r w:rsidRPr="0033310C">
        <w:t xml:space="preserve"> et al. (2013) found that census blocks with retail activity were most likely to be selected for robbery and that the odds were greatest for blocks with liquor stores and relatively high for blocks with bars and clubs. Additionally, liquor stores were the greatest crime attractors for robbery, relative to other types of legitimate retail businesses (e.g., pawn shops, laundromats, etc.), increasing the expected number of robberies by 67% (</w:t>
      </w:r>
      <w:proofErr w:type="spellStart"/>
      <w:r w:rsidRPr="0033310C">
        <w:t>Bernasco</w:t>
      </w:r>
      <w:proofErr w:type="spellEnd"/>
      <w:r w:rsidRPr="0033310C">
        <w:t xml:space="preserve"> and Block, 2011).</w:t>
      </w:r>
    </w:p>
    <w:p w14:paraId="55CAE12C" w14:textId="77777777" w:rsidR="0033310C" w:rsidRPr="0033310C" w:rsidRDefault="0033310C" w:rsidP="0033310C">
      <w:pPr>
        <w:pStyle w:val="Heading3"/>
      </w:pPr>
      <w:r w:rsidRPr="0033310C">
        <w:t>1.2.2. Social disorganization and robberies</w:t>
      </w:r>
    </w:p>
    <w:p w14:paraId="632D277B" w14:textId="3F4405CF" w:rsidR="0033310C" w:rsidRPr="0033310C" w:rsidRDefault="0033310C" w:rsidP="0033310C">
      <w:r w:rsidRPr="0033310C">
        <w:t>Social integration theory, such as social disorganization, has also found support in empirical studies that examined robberies. However, prior studies that examined neighborhood-level robberies differ in their approach for assessing the association between social disorganization and robbery levels. Some studies created an index to measure social disorganization levels (e.g., </w:t>
      </w:r>
      <w:bookmarkStart w:id="41" w:name="bb0025"/>
      <w:proofErr w:type="spellStart"/>
      <w:r w:rsidRPr="0033310C">
        <w:t>Bernasco</w:t>
      </w:r>
      <w:proofErr w:type="spellEnd"/>
      <w:r w:rsidRPr="0033310C">
        <w:t xml:space="preserve"> and Block, 2009, </w:t>
      </w:r>
      <w:bookmarkStart w:id="42" w:name="bb0150"/>
      <w:r w:rsidRPr="0033310C">
        <w:t>Nielsen and Martinez, 2003, </w:t>
      </w:r>
      <w:bookmarkStart w:id="43" w:name="bb0155"/>
      <w:r w:rsidRPr="0033310C">
        <w:t>Nielsen et al., 2005, </w:t>
      </w:r>
      <w:bookmarkStart w:id="44" w:name="bb0285"/>
      <w:r w:rsidRPr="0033310C">
        <w:t>Warner, 2007) and controlled for either (1) neighborhood collective efficacy levels (</w:t>
      </w:r>
      <w:proofErr w:type="spellStart"/>
      <w:r w:rsidRPr="0033310C">
        <w:t>Bernasco</w:t>
      </w:r>
      <w:proofErr w:type="spellEnd"/>
      <w:r w:rsidRPr="0033310C">
        <w:t xml:space="preserve"> and Block, 2009</w:t>
      </w:r>
      <w:bookmarkEnd w:id="41"/>
      <w:r w:rsidRPr="0033310C">
        <w:t xml:space="preserve">), (2) disadvantage index (Warner, 2007), or (3) disadvantage index and residential instability index (Nielsen and Martinez, 2003, Nielsen et al., 2005). For example, Nielsen and Martinez (2003) found a significant association between neighborhood disadvantage index (comprised of percent non-Latino Blacks, percent female headed households, percent male joblessness, and percent living in poverty) and </w:t>
      </w:r>
      <w:r w:rsidRPr="0033310C">
        <w:lastRenderedPageBreak/>
        <w:t>robbery. Additionally, Warner (2007) found that neighborhood disadvantage index (comprised of percent living below poverty, percent female headed households, percent receiving public assistance, and percent Black) was significantly associated with gun-related robberies. Importantly, </w:t>
      </w:r>
      <w:bookmarkStart w:id="45" w:name="bb9015"/>
      <w:r w:rsidRPr="0033310C">
        <w:t>Pridemore and Grubesic (2012) found that not only does social organization index have a negative and a significant effect on violent crimes in a large urban city, but also that the effect of alcohol outlets on violent crimes is more detrimental in neighborhoods with low levels of social organization (i.e., they were socially disorganized).</w:t>
      </w:r>
    </w:p>
    <w:p w14:paraId="565072FF" w14:textId="09B55D10" w:rsidR="0033310C" w:rsidRPr="0033310C" w:rsidRDefault="0033310C" w:rsidP="0033310C">
      <w:r w:rsidRPr="0033310C">
        <w:t>Instead of utilizing an index in their models, other studies examined the individual variables often used in creating social disorganization indices to estimate neighborhood robbery levels (e.g., </w:t>
      </w:r>
      <w:proofErr w:type="spellStart"/>
      <w:r w:rsidRPr="0033310C">
        <w:t>Bernasco</w:t>
      </w:r>
      <w:proofErr w:type="spellEnd"/>
      <w:r w:rsidRPr="0033310C">
        <w:t xml:space="preserve"> and Block, 2011, Smith et al., 2000). For example, Smith et al. (2000) regressed street robbery on six individual variables used to measure social disorganization levels (i.e., number of single-parent households, distance from the center of city, number of African Americans, racial heterogeneity, percent of buildings in low quartile of value, and average value of buildings). They found that the number of single-parent households, distance from center of city, and racial heterogeneity were significantly associated with street robbery, although the number of African Americans and percent of buildings in low quartile of value were not. However, </w:t>
      </w:r>
      <w:proofErr w:type="spellStart"/>
      <w:r w:rsidRPr="0033310C">
        <w:t>Bernasco</w:t>
      </w:r>
      <w:proofErr w:type="spellEnd"/>
      <w:r w:rsidRPr="0033310C">
        <w:t xml:space="preserve"> and Block (2011) recently found that percentage below poverty level, percentage African American, and ethnic heterogeneity were all significantly associated with street robbery.</w:t>
      </w:r>
    </w:p>
    <w:p w14:paraId="67588E41" w14:textId="77777777" w:rsidR="0033310C" w:rsidRPr="0033310C" w:rsidRDefault="0033310C" w:rsidP="0033310C">
      <w:pPr>
        <w:pStyle w:val="Heading3"/>
      </w:pPr>
      <w:r w:rsidRPr="0033310C">
        <w:t>1.2.3. Current study and hypotheses</w:t>
      </w:r>
    </w:p>
    <w:p w14:paraId="4B5649DA" w14:textId="45F0EAA4" w:rsidR="0033310C" w:rsidRPr="0033310C" w:rsidRDefault="0033310C" w:rsidP="0033310C">
      <w:r w:rsidRPr="0033310C">
        <w:t xml:space="preserve">Given this theoretical and empirical review, this study aims to advance our understanding of the role of alcohol outlets in robbery incidents. We do so by disaggregating alcohol outlet types into those where alcohol is purchased and consumed while visiting the outlet (i.e., </w:t>
      </w:r>
      <w:proofErr w:type="gramStart"/>
      <w:r w:rsidRPr="0033310C">
        <w:t>on-premise</w:t>
      </w:r>
      <w:proofErr w:type="gramEnd"/>
      <w:r w:rsidRPr="0033310C">
        <w:t>, such as bars and restaurants) and those where alcohol is purchased and consumed elsewhere (i.e., off-premise, such as liquor or convenience stores). We follow analytical approaches utilized in prior empirical studies and examine the influence of modeling social disorganization variables as an index (as discussed in detail below) (e.g., Nielsen and Martinez, 2003</w:t>
      </w:r>
      <w:bookmarkEnd w:id="42"/>
      <w:r w:rsidRPr="0033310C">
        <w:t>, Warner, 2007) verses including the four social disorganization variables (proportion African American, proportion single parent households, proportion renter occupied housing units, and proportion living in poverty) separately into the models (e.g., </w:t>
      </w:r>
      <w:proofErr w:type="spellStart"/>
      <w:r w:rsidRPr="0033310C">
        <w:t>Bernasco</w:t>
      </w:r>
      <w:proofErr w:type="spellEnd"/>
      <w:r w:rsidRPr="0033310C">
        <w:t xml:space="preserve"> and Block, 2011, Smith et al., 2000). Given the multiple approaches used in prior studies to assess the relationship between neighborhood characteristics, social disorganization levels, and robberies, we examine whether and how findings of the relationship between alcohol outlets and robbery are influenced by the measurement of the social disorganization levels. The issue of measurement is important both theoretically and practically. Theoretically, because prior studies in this area have produced different findings depending on which measure of social disorganization they utilized, it is difficult to know just how broadly the covariates of robberies (i.e., neighborhood characteristics or social disorganization) can be generalized. This is also important practically, as the appropriateness of policies and interventions in reducing robberies may vary by type of alcohol outlet. In line with prior studies, </w:t>
      </w:r>
      <w:proofErr w:type="gramStart"/>
      <w:r w:rsidRPr="0033310C">
        <w:t>all of</w:t>
      </w:r>
      <w:proofErr w:type="gramEnd"/>
      <w:r w:rsidRPr="0033310C">
        <w:t xml:space="preserve"> our models control for the role of routine activity theory variables (i.e., population density that provides greater guardianship, and proportion of young individuals that provides greater availability of unsupervised motivated offenders). Additionally, we include a variable that measured the distance of block group centroids from city center. This variable is included as a general measure of social disorganization as done in the classic work of Shaw and McKay (1942)</w:t>
      </w:r>
      <w:bookmarkEnd w:id="9"/>
      <w:r w:rsidRPr="0033310C">
        <w:t> and in more recent work by Smith et al. (2000) that examined the association between social disorganization, routine activities, and robbery diffusion. Lastly, in line with prior research that found social organization to moderate the relationship between alcohol outlets and violent crimes in a large urban city (Pridemore and Grubesic, 2012), we create three interaction variables to allow us to assess the moderating effect of social disorganization on the relationship between various alcohol outlet types and robberies.</w:t>
      </w:r>
    </w:p>
    <w:p w14:paraId="485BFBCC" w14:textId="0B6AF3EC" w:rsidR="0033310C" w:rsidRPr="0033310C" w:rsidRDefault="0033310C" w:rsidP="0033310C">
      <w:r w:rsidRPr="0033310C">
        <w:t xml:space="preserve">We test the hypothesis that (1) the density of total alcohol outlets will be associated with robbery density in an urban setting. Additionally, we test whether (2) the association exists for different alcohol outlet types (i.e., </w:t>
      </w:r>
      <w:proofErr w:type="gramStart"/>
      <w:r w:rsidRPr="0033310C">
        <w:t>on-</w:t>
      </w:r>
      <w:r w:rsidRPr="0033310C">
        <w:lastRenderedPageBreak/>
        <w:t>premise</w:t>
      </w:r>
      <w:proofErr w:type="gramEnd"/>
      <w:r w:rsidRPr="0033310C">
        <w:t xml:space="preserve"> and off-premise). There are theoretical reasons to believe that different outlet types may have a different influence on robbery. For example, off-</w:t>
      </w:r>
      <w:proofErr w:type="gramStart"/>
      <w:r w:rsidRPr="0033310C">
        <w:t>premise</w:t>
      </w:r>
      <w:proofErr w:type="gramEnd"/>
      <w:r w:rsidRPr="0033310C">
        <w:t xml:space="preserve"> alcohol outlets are places where informal social control ends the moment the patron leaves the premise. As such, these places may be more likely to contribute to more frequent occurrences of robberies relative to </w:t>
      </w:r>
      <w:proofErr w:type="gramStart"/>
      <w:r w:rsidRPr="0033310C">
        <w:t>on-premise</w:t>
      </w:r>
      <w:proofErr w:type="gramEnd"/>
      <w:r w:rsidRPr="0033310C">
        <w:t xml:space="preserve"> outlets. In the case of </w:t>
      </w:r>
      <w:proofErr w:type="gramStart"/>
      <w:r w:rsidRPr="0033310C">
        <w:t>on-premise</w:t>
      </w:r>
      <w:proofErr w:type="gramEnd"/>
      <w:r w:rsidRPr="0033310C">
        <w:t xml:space="preserve"> alcohol outlets (e.g., restaurants and bars), on the other hand, during the regular business hours there are other patrons or trained staff who may act quickly in cases of problematic or suspicious behavior occurring in the vicinity of the outlet. However, </w:t>
      </w:r>
      <w:proofErr w:type="gramStart"/>
      <w:r w:rsidRPr="0033310C">
        <w:t>on-premise</w:t>
      </w:r>
      <w:proofErr w:type="gramEnd"/>
      <w:r w:rsidRPr="0033310C">
        <w:t xml:space="preserve"> alcohol outlets may contribute to robberies at closing hours, when some patrons leave the premise inebriated and thus become vulnerable to victimization. Lastly, we test for a (3) direct and moderating effect of the social disorganization index on the association between alcohol outlet density, including </w:t>
      </w:r>
      <w:proofErr w:type="gramStart"/>
      <w:r w:rsidRPr="0033310C">
        <w:t>on-premise</w:t>
      </w:r>
      <w:proofErr w:type="gramEnd"/>
      <w:r w:rsidRPr="0033310C">
        <w:t xml:space="preserve"> and off-premise alcohol outlet density, and robbery. The influence of social disorganization may result in a direct association with </w:t>
      </w:r>
      <w:proofErr w:type="gramStart"/>
      <w:r w:rsidRPr="0033310C">
        <w:t>robbery</w:t>
      </w:r>
      <w:proofErr w:type="gramEnd"/>
      <w:r w:rsidRPr="0033310C">
        <w:t xml:space="preserve"> or it may aggravate conditions within neighborhoods (Pridemore and Grubesic, 2012). If it aggravates conditions, socially disorganized neighborhoods may be unable to create limits on alcohol outlets that are licensed to operate within their areas, resulting in a differential effect of those outlets on robbery across neighborhoods with various levels of disorganization (Pridemore and Grubesic, 2012</w:t>
      </w:r>
      <w:bookmarkEnd w:id="45"/>
      <w:r w:rsidRPr="0033310C">
        <w:t>).</w:t>
      </w:r>
    </w:p>
    <w:p w14:paraId="0BD7A584" w14:textId="77777777" w:rsidR="0033310C" w:rsidRPr="0033310C" w:rsidRDefault="0033310C" w:rsidP="0033310C">
      <w:pPr>
        <w:pStyle w:val="Heading1"/>
      </w:pPr>
      <w:r w:rsidRPr="0033310C">
        <w:t>2. Materials and methods</w:t>
      </w:r>
    </w:p>
    <w:p w14:paraId="6AF57BB6" w14:textId="77777777" w:rsidR="0033310C" w:rsidRPr="0033310C" w:rsidRDefault="0033310C" w:rsidP="0033310C">
      <w:pPr>
        <w:pStyle w:val="Heading2"/>
      </w:pPr>
      <w:r w:rsidRPr="0033310C">
        <w:t>2.1. Research site and units of analysis</w:t>
      </w:r>
    </w:p>
    <w:p w14:paraId="6697EF40" w14:textId="1206D49D" w:rsidR="0033310C" w:rsidRPr="0033310C" w:rsidRDefault="0033310C" w:rsidP="0033310C">
      <w:r w:rsidRPr="0033310C">
        <w:t>Milwaukee, Wisconsin, is the largest city in the state, covering land area of about 96 square miles with an estimated population of 598,916 individuals (</w:t>
      </w:r>
      <w:bookmarkStart w:id="46" w:name="bb0280"/>
      <w:r w:rsidRPr="0033310C">
        <w:t xml:space="preserve">US Census Bureau, 2014). Relative to the rest of the state, Milwaukee is an exceptionally diverse city, with 44.8% of White residents, 40% of African American residents, 17.3% of Hispanic or Latino residents, and 3.5% of Asian residents (US Census Bureau, 2014). Within the state of </w:t>
      </w:r>
      <w:proofErr w:type="spellStart"/>
      <w:r w:rsidRPr="0033310C">
        <w:t>Wisonsin</w:t>
      </w:r>
      <w:proofErr w:type="spellEnd"/>
      <w:r w:rsidRPr="0033310C">
        <w:t>, on the other hand, 86.2% residents are White, 6.3% are African American, 5.9% are Hispanic or Latino, and 2.3% are Asian (US Census Bureau, 2014). Homeownership rate in this diverse city is lower relative to the rest of the state (44.5% in Milwaukee verses 68.6% in the state) (US Census Bureau, 2014). The median household income between 2008 and 2012 for Milwaukee was also lower relative to the rest of the state, with the income being $35,823 for Milwaukee and $52,627 for the state. About 28% of Milwaukee residents live below poverty levels, while the percentage of residents who live below poverty levels for the state of Wisconsin is much lower at 12.5% (US Census Bureau, 2014</w:t>
      </w:r>
      <w:bookmarkEnd w:id="46"/>
      <w:r w:rsidRPr="0033310C">
        <w:t>). Milwaukee is also an interesting research site because it is nationally known for its historical ties with alcohol production, as it used to be a home for several large beer brewing companies (e.g., Pabst and Schlitz), and alcohol producers abound even presently (e.g., Historic Pabst Brewery, Big Bay Brewing Company, Lakefront Brewery, Sprecher Brewery, Milwaukee Brewing Co., MillerCoors, Milwaukee Distillery, etc.).</w:t>
      </w:r>
    </w:p>
    <w:p w14:paraId="6DC24715" w14:textId="1EEE2C65" w:rsidR="0033310C" w:rsidRPr="0033310C" w:rsidRDefault="0033310C" w:rsidP="0033310C">
      <w:r w:rsidRPr="0033310C">
        <w:t>The units of analysis for this study are 571 census block groups that lie within the city of Milwaukee boundaries. The population of these census block groups ranged between 288 and 3391, with a mean of 1045.46 (</w:t>
      </w:r>
      <w:bookmarkStart w:id="47" w:name="bb0275"/>
      <w:r w:rsidRPr="0033310C">
        <w:t>US Census Bureau, 2010). The size of these 571 census block groups ranged from 0.03 square miles to 3.7 square miles, with a mean of 0.17 square miles (US Census Bureau, 2010</w:t>
      </w:r>
      <w:bookmarkEnd w:id="47"/>
      <w:r w:rsidRPr="0033310C">
        <w:t>).</w:t>
      </w:r>
    </w:p>
    <w:p w14:paraId="512DF2DB" w14:textId="77777777" w:rsidR="0033310C" w:rsidRPr="0033310C" w:rsidRDefault="0033310C" w:rsidP="0033310C">
      <w:pPr>
        <w:pStyle w:val="Heading2"/>
      </w:pPr>
      <w:r w:rsidRPr="0033310C">
        <w:t>2.2. Outcome variable</w:t>
      </w:r>
    </w:p>
    <w:p w14:paraId="6ACA89B5" w14:textId="77777777" w:rsidR="0033310C" w:rsidRPr="0033310C" w:rsidRDefault="0033310C" w:rsidP="0033310C">
      <w:r w:rsidRPr="0033310C">
        <w:t xml:space="preserve">Data on robberies were obtained from the City of Milwaukee Community Mapping and Analysis for Safety Strategies public applications website. Data on robberies were based on incidents that occurred between January 1, </w:t>
      </w:r>
      <w:proofErr w:type="gramStart"/>
      <w:r w:rsidRPr="0033310C">
        <w:t>2013</w:t>
      </w:r>
      <w:proofErr w:type="gramEnd"/>
      <w:r w:rsidRPr="0033310C">
        <w:t xml:space="preserve"> and August 31, 2013 in the city of Milwaukee. The data included incident number, date, time, and location of the incident, which was geocoded using ArcMap 10 and the 2013 </w:t>
      </w:r>
      <w:proofErr w:type="gramStart"/>
      <w:r w:rsidRPr="0033310C">
        <w:t>Census TIGER street</w:t>
      </w:r>
      <w:proofErr w:type="gramEnd"/>
      <w:r w:rsidRPr="0033310C">
        <w:t xml:space="preserve"> centerlines as a reference layer with a 99.7% successful match. Using successfully matched data, we calculated robbery density per square mile for each block group. We standardized the robbery data by the census block group land area (i.e., per square mile), rather than by the population of a census block group (i.e., per 1000 residents). If we standardized the data on robberies with a traditional, population-based rate, the resulting </w:t>
      </w:r>
      <w:r w:rsidRPr="0033310C">
        <w:lastRenderedPageBreak/>
        <w:t xml:space="preserve">metric would </w:t>
      </w:r>
      <w:proofErr w:type="gramStart"/>
      <w:r w:rsidRPr="0033310C">
        <w:t>take into account</w:t>
      </w:r>
      <w:proofErr w:type="gramEnd"/>
      <w:r w:rsidRPr="0033310C">
        <w:t xml:space="preserve"> only the population that lives in each block group, and thus fail to account for victims and offenders traveling to other block groups as they go about their daily activities, including purchasing alcoholic beverages, drinking, and becoming robbery victims and offenders. Because the distribution of robbery density was skewed, the scores were calculated using square root transformation.</w:t>
      </w:r>
    </w:p>
    <w:p w14:paraId="7711CFE6" w14:textId="77777777" w:rsidR="0033310C" w:rsidRPr="0033310C" w:rsidRDefault="0033310C" w:rsidP="0033310C">
      <w:pPr>
        <w:pStyle w:val="Heading2"/>
      </w:pPr>
      <w:r w:rsidRPr="0033310C">
        <w:t>2.3. Main predictor variables</w:t>
      </w:r>
    </w:p>
    <w:p w14:paraId="0161A12C" w14:textId="77777777" w:rsidR="0033310C" w:rsidRPr="0033310C" w:rsidRDefault="0033310C" w:rsidP="0033310C">
      <w:r w:rsidRPr="0033310C">
        <w:t xml:space="preserve">Data on all active alcohol outlet licenses as of summer 2013 were obtained from the Wisconsin Department of Revenue. The data included license address, which was geocoded using ArcMap 10 with 99.7% successful match, and license type (e.g., </w:t>
      </w:r>
      <w:proofErr w:type="gramStart"/>
      <w:r w:rsidRPr="0033310C">
        <w:t>on-premise</w:t>
      </w:r>
      <w:proofErr w:type="gramEnd"/>
      <w:r w:rsidRPr="0033310C">
        <w:t xml:space="preserve">, such as bars and restaurants, or off-premise, such as liquor and convenience stores). Unfortunately, the nature of the license type data did not allow us to further disaggregate the two broad license types (i.e., </w:t>
      </w:r>
      <w:proofErr w:type="gramStart"/>
      <w:r w:rsidRPr="0033310C">
        <w:t>on-premise</w:t>
      </w:r>
      <w:proofErr w:type="gramEnd"/>
      <w:r w:rsidRPr="0033310C">
        <w:t xml:space="preserve"> into bars, restaurants, or similar, or off-premise into convenience, liquor, grocery store). Using successfully matched data, we calculated total alcohol outlet density as the number of all outlets per square mile for each block group. We disaggregated all alcohol outlets into two broad types (i.e., </w:t>
      </w:r>
      <w:proofErr w:type="gramStart"/>
      <w:r w:rsidRPr="0033310C">
        <w:t>on-premise</w:t>
      </w:r>
      <w:proofErr w:type="gramEnd"/>
      <w:r w:rsidRPr="0033310C">
        <w:t xml:space="preserve"> and off-premise). As with robbery density, we calculated </w:t>
      </w:r>
      <w:proofErr w:type="gramStart"/>
      <w:r w:rsidRPr="0033310C">
        <w:t>on-premise</w:t>
      </w:r>
      <w:proofErr w:type="gramEnd"/>
      <w:r w:rsidRPr="0033310C">
        <w:t xml:space="preserve"> alcohol outlet density based on the number of on-premise outlets per square mile for each block group, and off-premise alcohol outlet density as the number of off-premise outlets per square mile for each block group. Because the distribution of alcohol outlet density, including different alcohol outlet types, was skewed the scores were calculated using square root transformation.</w:t>
      </w:r>
    </w:p>
    <w:p w14:paraId="1970B6C8" w14:textId="77777777" w:rsidR="0033310C" w:rsidRPr="0033310C" w:rsidRDefault="0033310C" w:rsidP="0033310C">
      <w:pPr>
        <w:pStyle w:val="Heading2"/>
      </w:pPr>
      <w:r w:rsidRPr="0033310C">
        <w:t>2.4. Control variables</w:t>
      </w:r>
    </w:p>
    <w:p w14:paraId="1420C710" w14:textId="4DB9C1F0" w:rsidR="0033310C" w:rsidRPr="0033310C" w:rsidRDefault="0033310C" w:rsidP="0033310C">
      <w:r w:rsidRPr="0033310C">
        <w:t xml:space="preserve">We controlled for several variables that are theoretically important for robbery. Specifically, we controlled for routine activities theory variables, including (1) population density, which we calculated based on the number of individuals residing in a census block group per square mile; and (2) proportion young individuals residing in a census block group, calculated based on the number of individuals who were 15–24 years of age relative to the total block group population; and four social disorganization variables, including (3) proportion African American residents residing in a census block group; (4) proportion single parent households; (5) proportion renters, calculated based on the number of renter-occupied housing units relative to the total number of housing units, and (6) poverty, calculated based on the number of individuals with income below poverty level, relative to total number of individuals. </w:t>
      </w:r>
      <w:proofErr w:type="gramStart"/>
      <w:r w:rsidRPr="0033310C">
        <w:t>Similar to</w:t>
      </w:r>
      <w:proofErr w:type="gramEnd"/>
      <w:r w:rsidRPr="0033310C">
        <w:t xml:space="preserve"> previous research on the influence of social disorganization on robberies (e.g., Nielsen et al., 2005</w:t>
      </w:r>
      <w:bookmarkEnd w:id="43"/>
      <w:r w:rsidRPr="0033310C">
        <w:t>, Warner, 2007</w:t>
      </w:r>
      <w:bookmarkEnd w:id="44"/>
      <w:r w:rsidRPr="0033310C">
        <w:t>) we also created a variable to directly measure social disorganization levels in census block groups. This social disorganization variable was operationalized as an index consisting of four traditional measures of social disorganization at the block group level: ethnic heterogeneity, which was calculated using Lieberson Diversity Index (</w:t>
      </w:r>
      <w:bookmarkStart w:id="48" w:name="bb0130"/>
      <w:r w:rsidRPr="0033310C">
        <w:t>Lieberson, 1969</w:t>
      </w:r>
      <w:bookmarkEnd w:id="48"/>
      <w:r w:rsidRPr="0033310C">
        <w:t xml:space="preserve">), poverty, residential instability, and single-headed households. This index was calculated as a summed standardized score of these four variables and divided by four. Also </w:t>
      </w:r>
      <w:proofErr w:type="gramStart"/>
      <w:r w:rsidRPr="0033310C">
        <w:t>similar to</w:t>
      </w:r>
      <w:proofErr w:type="gramEnd"/>
      <w:r w:rsidRPr="0033310C">
        <w:t xml:space="preserve"> prior research (i.e., Smith et al., 2000), we controlled for the distance (in miles) between census block group centroids and the city center. The data for these variables were obtained from the US Census Bureau.</w:t>
      </w:r>
    </w:p>
    <w:p w14:paraId="48817CD4" w14:textId="77777777" w:rsidR="0033310C" w:rsidRPr="0033310C" w:rsidRDefault="0033310C" w:rsidP="0033310C">
      <w:pPr>
        <w:pStyle w:val="Heading2"/>
      </w:pPr>
      <w:r w:rsidRPr="0033310C">
        <w:t>2.5. Statistical analyses</w:t>
      </w:r>
    </w:p>
    <w:p w14:paraId="2A9EA234" w14:textId="31411238" w:rsidR="0033310C" w:rsidRPr="0033310C" w:rsidRDefault="0033310C" w:rsidP="0033310C">
      <w:r w:rsidRPr="0033310C">
        <w:t>We used ArcMap 10 software to clean, geocode, and manage data. Potential errors in geocoding related to positional accuracy with the use of TIGER street centerlines (</w:t>
      </w:r>
      <w:bookmarkStart w:id="49" w:name="bb0040"/>
      <w:proofErr w:type="spellStart"/>
      <w:r w:rsidRPr="0033310C">
        <w:t>Bichler</w:t>
      </w:r>
      <w:proofErr w:type="spellEnd"/>
      <w:r w:rsidRPr="0033310C">
        <w:t xml:space="preserve"> and </w:t>
      </w:r>
      <w:proofErr w:type="spellStart"/>
      <w:r w:rsidRPr="0033310C">
        <w:t>Balchak</w:t>
      </w:r>
      <w:proofErr w:type="spellEnd"/>
      <w:r w:rsidRPr="0033310C">
        <w:t>, 2007</w:t>
      </w:r>
      <w:bookmarkEnd w:id="49"/>
      <w:r w:rsidRPr="0033310C">
        <w:t>, </w:t>
      </w:r>
      <w:bookmarkStart w:id="50" w:name="bb0090"/>
      <w:r w:rsidRPr="0033310C">
        <w:t>Grubesic and Murray, 2004</w:t>
      </w:r>
      <w:bookmarkEnd w:id="50"/>
      <w:r w:rsidRPr="0033310C">
        <w:t>, </w:t>
      </w:r>
      <w:bookmarkStart w:id="51" w:name="bb0190"/>
      <w:r w:rsidRPr="0033310C">
        <w:t>Ratcliffe, 2001</w:t>
      </w:r>
      <w:bookmarkEnd w:id="51"/>
      <w:r w:rsidRPr="0033310C">
        <w:t>, </w:t>
      </w:r>
      <w:bookmarkStart w:id="52" w:name="bb0195"/>
      <w:r w:rsidRPr="0033310C">
        <w:t>Ratcliffe, 2004</w:t>
      </w:r>
      <w:bookmarkEnd w:id="52"/>
      <w:r w:rsidRPr="0033310C">
        <w:t xml:space="preserve">) were considered. The high rate of successful geocoding of crime and outlet data was obtained by carefully cleaning the address data and manually matching instances in which ArcGIS was unable to find a successful match. Personal familiarity of the authors with the research site helped in this case, and the process included selecting a random sample of geocoded addresses and visually and physically verifying the accuracy of geocodes. We subsequently employed </w:t>
      </w:r>
      <w:proofErr w:type="spellStart"/>
      <w:r w:rsidRPr="0033310C">
        <w:t>GeoDa</w:t>
      </w:r>
      <w:proofErr w:type="spellEnd"/>
      <w:r w:rsidRPr="0033310C">
        <w:t xml:space="preserve"> and </w:t>
      </w:r>
      <w:proofErr w:type="spellStart"/>
      <w:r w:rsidRPr="0033310C">
        <w:t>GeoDaSpace</w:t>
      </w:r>
      <w:proofErr w:type="spellEnd"/>
      <w:r w:rsidRPr="0033310C">
        <w:t xml:space="preserve"> </w:t>
      </w:r>
      <w:proofErr w:type="spellStart"/>
      <w:r w:rsidRPr="0033310C">
        <w:t>softwares</w:t>
      </w:r>
      <w:proofErr w:type="spellEnd"/>
      <w:r w:rsidRPr="0033310C">
        <w:t xml:space="preserve"> (</w:t>
      </w:r>
      <w:bookmarkStart w:id="53" w:name="bb0015"/>
      <w:proofErr w:type="spellStart"/>
      <w:r w:rsidRPr="0033310C">
        <w:t>Anselin</w:t>
      </w:r>
      <w:proofErr w:type="spellEnd"/>
      <w:r w:rsidRPr="0033310C">
        <w:t xml:space="preserve"> et al., 2006</w:t>
      </w:r>
      <w:bookmarkEnd w:id="53"/>
      <w:r w:rsidRPr="0033310C">
        <w:t xml:space="preserve">) to estimate all models with first order queen contiguity weight matrix to specify adjacencies. Thus, all models </w:t>
      </w:r>
      <w:r w:rsidRPr="0033310C">
        <w:lastRenderedPageBreak/>
        <w:t>included the spatial lag term (</w:t>
      </w:r>
      <w:r w:rsidRPr="0033310C">
        <w:rPr>
          <w:i/>
          <w:iCs/>
        </w:rPr>
        <w:t>Rho</w:t>
      </w:r>
      <w:r w:rsidRPr="0033310C">
        <w:t>) that measured the average influence of robberies in neighboring block groups on the block group of interest. First, we estimated global models using GeoDa; the models were specified as spatially lagged autoregressive models with maximum likelihood estimation and first order queen contiguity spatial weight matrix. However, results of regression diagnostics for spatially lagged global models indicated significant heteroskedasticity in error terms in the global models. We used GeoDa for Exploratory Spatial Data Analysis (</w:t>
      </w:r>
      <w:bookmarkStart w:id="54" w:name="bb0010"/>
      <w:proofErr w:type="spellStart"/>
      <w:r w:rsidRPr="0033310C">
        <w:t>Anselin</w:t>
      </w:r>
      <w:proofErr w:type="spellEnd"/>
      <w:r w:rsidRPr="0033310C">
        <w:t>, 1996</w:t>
      </w:r>
      <w:bookmarkEnd w:id="54"/>
      <w:r w:rsidRPr="0033310C">
        <w:t xml:space="preserve">) to identify possible spatial regime that may be at play in creating heteroskedasticity in error terms (e.g., we interactively brushed and evaluated standard deviation maps of residuals, evaluated boxplots for outliers and leverage). Subsequently, we conducted grouping analysis ArcMap 10.2.2. to create a spatial regime variable along distinct geographic divisions in robbery distribution (North Milwaukee block groups versus South Milwaukee block groups). </w:t>
      </w:r>
      <w:proofErr w:type="gramStart"/>
      <w:r w:rsidRPr="0033310C">
        <w:t>All of</w:t>
      </w:r>
      <w:proofErr w:type="gramEnd"/>
      <w:r w:rsidRPr="0033310C">
        <w:t xml:space="preserve"> the spatial regime models were estimated using GeoDaSpace with Spatial Two Stage Least Squares Estimation (S2SLS) for the two regimes (North and South).</w:t>
      </w:r>
    </w:p>
    <w:p w14:paraId="22C16422" w14:textId="77777777" w:rsidR="0033310C" w:rsidRPr="0033310C" w:rsidRDefault="0033310C" w:rsidP="0033310C">
      <w:r w:rsidRPr="0033310C">
        <w:t>We conducted two sets of analyses. The first set of analyses controlled for indicators of routine activities and social disorganization, and included population density, proportion young, proportion African American, proportion single headed households, proportion renters, poverty, distance from city center, and the spatial lag term (</w:t>
      </w:r>
      <w:r w:rsidRPr="0033310C">
        <w:rPr>
          <w:i/>
          <w:iCs/>
        </w:rPr>
        <w:t>Rho</w:t>
      </w:r>
      <w:r w:rsidRPr="0033310C">
        <w:t xml:space="preserve">) for robbery density. The second set of analyses accounted for direct and moderating effects of social disorganization index on robberies, routine activities indicators (population density and proportion young population) and distance from city center. In each of these two sets of analyses, we estimated nine models to examine whether (1) robbery density is associated with total alcohol outlet density; (2) robbery density is associated with </w:t>
      </w:r>
      <w:proofErr w:type="gramStart"/>
      <w:r w:rsidRPr="0033310C">
        <w:t>on-premise</w:t>
      </w:r>
      <w:proofErr w:type="gramEnd"/>
      <w:r w:rsidRPr="0033310C">
        <w:t xml:space="preserve"> alcohol outlet density, and (3) robbery density is associated with off-premise alcohol outlet density.</w:t>
      </w:r>
    </w:p>
    <w:p w14:paraId="702B2B83" w14:textId="77777777" w:rsidR="0033310C" w:rsidRPr="0033310C" w:rsidRDefault="0033310C" w:rsidP="0033310C">
      <w:pPr>
        <w:pStyle w:val="Heading1"/>
      </w:pPr>
      <w:r w:rsidRPr="0033310C">
        <w:t>3. Results</w:t>
      </w:r>
    </w:p>
    <w:p w14:paraId="43314583" w14:textId="58946B15" w:rsidR="0033310C" w:rsidRPr="0033310C" w:rsidRDefault="0033310C" w:rsidP="0033310C">
      <w:r w:rsidRPr="0033310C">
        <w:t>To provide a background context about the study research site, </w:t>
      </w:r>
      <w:bookmarkStart w:id="55" w:name="bf0005"/>
      <w:r w:rsidRPr="0033310C">
        <w:t>Fig. 1</w:t>
      </w:r>
      <w:bookmarkEnd w:id="55"/>
      <w:r w:rsidRPr="0033310C">
        <w:t> shows the state of Wisconsin and the location of Milwaukee as a research study site, and its proximity to other major Wisconsin and Illinois cities.</w:t>
      </w:r>
    </w:p>
    <w:p w14:paraId="5444956B" w14:textId="195ACBF8" w:rsidR="0033310C" w:rsidRPr="0033310C" w:rsidRDefault="0033310C" w:rsidP="00A77D36">
      <w:pPr>
        <w:pStyle w:val="NoSpacing"/>
      </w:pPr>
      <w:r w:rsidRPr="0033310C">
        <w:rPr>
          <w:noProof/>
        </w:rPr>
        <w:drawing>
          <wp:inline distT="0" distB="0" distL="0" distR="0" wp14:anchorId="22742438" wp14:editId="4E527F48">
            <wp:extent cx="2148840" cy="2743200"/>
            <wp:effectExtent l="0" t="0" r="381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48840" cy="2743200"/>
                    </a:xfrm>
                    <a:prstGeom prst="rect">
                      <a:avLst/>
                    </a:prstGeom>
                    <a:noFill/>
                    <a:ln>
                      <a:noFill/>
                    </a:ln>
                  </pic:spPr>
                </pic:pic>
              </a:graphicData>
            </a:graphic>
          </wp:inline>
        </w:drawing>
      </w:r>
    </w:p>
    <w:p w14:paraId="3867A81F" w14:textId="77777777" w:rsidR="0033310C" w:rsidRPr="0033310C" w:rsidRDefault="0033310C" w:rsidP="00A77D36">
      <w:pPr>
        <w:pStyle w:val="NoSpacing"/>
      </w:pPr>
      <w:r w:rsidRPr="0033310C">
        <w:t>Fig. 1. Location of research study site.</w:t>
      </w:r>
    </w:p>
    <w:p w14:paraId="744DE021" w14:textId="77777777" w:rsidR="00A77D36" w:rsidRDefault="00A77D36" w:rsidP="0033310C">
      <w:bookmarkStart w:id="56" w:name="bf0010"/>
    </w:p>
    <w:p w14:paraId="7BA98214" w14:textId="78A886F2" w:rsidR="0033310C" w:rsidRPr="0033310C" w:rsidRDefault="0033310C" w:rsidP="0033310C">
      <w:r w:rsidRPr="0033310C">
        <w:t>Figs. 2 and </w:t>
      </w:r>
      <w:bookmarkStart w:id="57" w:name="bf0015"/>
      <w:r w:rsidRPr="0033310C">
        <w:t>3 show spatial distribution of robbery density and of total alcohol outlet density, respectively, for Milwaukee block groups, using the traditional data classing method of natural breaks in the data with five classes. Fig. 2</w:t>
      </w:r>
      <w:bookmarkEnd w:id="56"/>
      <w:r w:rsidRPr="0033310C">
        <w:t xml:space="preserve"> shows that robbery density is very high southwest and especially northwest of city center. Fig. </w:t>
      </w:r>
      <w:r w:rsidRPr="0033310C">
        <w:lastRenderedPageBreak/>
        <w:t>3</w:t>
      </w:r>
      <w:bookmarkEnd w:id="57"/>
      <w:r w:rsidRPr="0033310C">
        <w:t> shows that total alcohol outlet density is very high in block groups that are in the center of the city and especially in those close to city center.</w:t>
      </w:r>
    </w:p>
    <w:p w14:paraId="30F02AC9" w14:textId="4833F4E0" w:rsidR="0033310C" w:rsidRPr="0033310C" w:rsidRDefault="0033310C" w:rsidP="00A77D36">
      <w:pPr>
        <w:pStyle w:val="NoSpacing"/>
      </w:pPr>
      <w:r w:rsidRPr="0033310C">
        <w:rPr>
          <w:noProof/>
        </w:rPr>
        <w:drawing>
          <wp:inline distT="0" distB="0" distL="0" distR="0" wp14:anchorId="5C9E2B85" wp14:editId="6A9C59AE">
            <wp:extent cx="1892808" cy="274320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2808" cy="2743200"/>
                    </a:xfrm>
                    <a:prstGeom prst="rect">
                      <a:avLst/>
                    </a:prstGeom>
                    <a:noFill/>
                    <a:ln>
                      <a:noFill/>
                    </a:ln>
                  </pic:spPr>
                </pic:pic>
              </a:graphicData>
            </a:graphic>
          </wp:inline>
        </w:drawing>
      </w:r>
    </w:p>
    <w:p w14:paraId="67811164" w14:textId="77777777" w:rsidR="0033310C" w:rsidRPr="0033310C" w:rsidRDefault="0033310C" w:rsidP="00A77D36">
      <w:pPr>
        <w:pStyle w:val="NoSpacing"/>
      </w:pPr>
      <w:r w:rsidRPr="0033310C">
        <w:t>Fig. 2. Number of robberies per square mile (by block group) in Milwaukee, WI, 2013.</w:t>
      </w:r>
    </w:p>
    <w:p w14:paraId="5D851D17" w14:textId="580BD966" w:rsidR="0033310C" w:rsidRPr="0033310C" w:rsidRDefault="0033310C" w:rsidP="00A77D36">
      <w:pPr>
        <w:pStyle w:val="NoSpacing"/>
      </w:pPr>
      <w:r w:rsidRPr="0033310C">
        <w:rPr>
          <w:noProof/>
        </w:rPr>
        <w:drawing>
          <wp:inline distT="0" distB="0" distL="0" distR="0" wp14:anchorId="3AF8697B" wp14:editId="0B29669E">
            <wp:extent cx="2039112" cy="27432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9112" cy="2743200"/>
                    </a:xfrm>
                    <a:prstGeom prst="rect">
                      <a:avLst/>
                    </a:prstGeom>
                    <a:noFill/>
                    <a:ln>
                      <a:noFill/>
                    </a:ln>
                  </pic:spPr>
                </pic:pic>
              </a:graphicData>
            </a:graphic>
          </wp:inline>
        </w:drawing>
      </w:r>
    </w:p>
    <w:p w14:paraId="35DAE6CE" w14:textId="77777777" w:rsidR="0033310C" w:rsidRPr="0033310C" w:rsidRDefault="0033310C" w:rsidP="00A77D36">
      <w:pPr>
        <w:pStyle w:val="NoSpacing"/>
      </w:pPr>
      <w:r w:rsidRPr="0033310C">
        <w:t>Fig. 3. Number of total alcohol outlets per square mile (by block group) in Milwaukee, WI, 2013.</w:t>
      </w:r>
    </w:p>
    <w:p w14:paraId="1FC590CE" w14:textId="77777777" w:rsidR="00A77D36" w:rsidRDefault="00A77D36" w:rsidP="0033310C">
      <w:bookmarkStart w:id="58" w:name="bf0020"/>
    </w:p>
    <w:p w14:paraId="29D54999" w14:textId="4DE9DCB9" w:rsidR="0033310C" w:rsidRPr="0033310C" w:rsidRDefault="0033310C" w:rsidP="0033310C">
      <w:r w:rsidRPr="0033310C">
        <w:t>Figs. 4</w:t>
      </w:r>
      <w:bookmarkEnd w:id="58"/>
      <w:r w:rsidRPr="0033310C">
        <w:t> and </w:t>
      </w:r>
      <w:bookmarkStart w:id="59" w:name="bf0025"/>
      <w:r w:rsidRPr="0033310C">
        <w:t>5</w:t>
      </w:r>
      <w:bookmarkEnd w:id="59"/>
      <w:r w:rsidRPr="0033310C">
        <w:t> show spatial distribution of transformed (i.e., square root) values of robbery density and total alcohol outlet density, respectively, for Milwaukee block groups. These figures are provided to illustrate the distribution of the transformed variables of robbery density and total alcohol outlet density, which were utilized in the statistical models described below.</w:t>
      </w:r>
    </w:p>
    <w:p w14:paraId="76754779" w14:textId="24B93231" w:rsidR="0033310C" w:rsidRPr="0033310C" w:rsidRDefault="0033310C" w:rsidP="00A77D36">
      <w:pPr>
        <w:pStyle w:val="NoSpacing"/>
      </w:pPr>
      <w:r w:rsidRPr="0033310C">
        <w:rPr>
          <w:noProof/>
        </w:rPr>
        <w:lastRenderedPageBreak/>
        <w:drawing>
          <wp:inline distT="0" distB="0" distL="0" distR="0" wp14:anchorId="66F35731" wp14:editId="497ACA3C">
            <wp:extent cx="2148840" cy="2743200"/>
            <wp:effectExtent l="0" t="0" r="381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48840" cy="2743200"/>
                    </a:xfrm>
                    <a:prstGeom prst="rect">
                      <a:avLst/>
                    </a:prstGeom>
                    <a:noFill/>
                    <a:ln>
                      <a:noFill/>
                    </a:ln>
                  </pic:spPr>
                </pic:pic>
              </a:graphicData>
            </a:graphic>
          </wp:inline>
        </w:drawing>
      </w:r>
    </w:p>
    <w:p w14:paraId="23C5FCE4" w14:textId="77777777" w:rsidR="0033310C" w:rsidRPr="0033310C" w:rsidRDefault="0033310C" w:rsidP="00A77D36">
      <w:pPr>
        <w:pStyle w:val="NoSpacing"/>
      </w:pPr>
      <w:r w:rsidRPr="0033310C">
        <w:t>Fig. 4. Square root of robbery density (by block group) in Milwaukee, WI, 2013.</w:t>
      </w:r>
    </w:p>
    <w:p w14:paraId="7D836C53" w14:textId="38C360EB" w:rsidR="0033310C" w:rsidRPr="0033310C" w:rsidRDefault="0033310C" w:rsidP="00A77D36">
      <w:pPr>
        <w:pStyle w:val="NoSpacing"/>
      </w:pPr>
      <w:r w:rsidRPr="0033310C">
        <w:rPr>
          <w:noProof/>
        </w:rPr>
        <w:drawing>
          <wp:inline distT="0" distB="0" distL="0" distR="0" wp14:anchorId="2064E5E5" wp14:editId="06AD2F3A">
            <wp:extent cx="2112264" cy="2743200"/>
            <wp:effectExtent l="0" t="0" r="254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12264" cy="2743200"/>
                    </a:xfrm>
                    <a:prstGeom prst="rect">
                      <a:avLst/>
                    </a:prstGeom>
                    <a:noFill/>
                    <a:ln>
                      <a:noFill/>
                    </a:ln>
                  </pic:spPr>
                </pic:pic>
              </a:graphicData>
            </a:graphic>
          </wp:inline>
        </w:drawing>
      </w:r>
    </w:p>
    <w:p w14:paraId="5F1DC53D" w14:textId="77777777" w:rsidR="0033310C" w:rsidRPr="0033310C" w:rsidRDefault="0033310C" w:rsidP="00A77D36">
      <w:pPr>
        <w:pStyle w:val="NoSpacing"/>
      </w:pPr>
      <w:r w:rsidRPr="0033310C">
        <w:t>Fig. 5. Square root of total alcohol outlet density (by block group) in Milwaukee, WI, 2013.</w:t>
      </w:r>
    </w:p>
    <w:p w14:paraId="46C5A60D" w14:textId="77777777" w:rsidR="00A77D36" w:rsidRDefault="00A77D36" w:rsidP="0033310C"/>
    <w:p w14:paraId="14249479" w14:textId="3CF965DD" w:rsidR="0033310C" w:rsidRPr="0033310C" w:rsidRDefault="0033310C" w:rsidP="0033310C">
      <w:r w:rsidRPr="0033310C">
        <w:t xml:space="preserve">We considered additional traditional data classing methods (i.e., quartile, equal interval, and standard deviation) for their use in displaying the values of robbery density and total alcohol outlet density, </w:t>
      </w:r>
      <w:proofErr w:type="gramStart"/>
      <w:r w:rsidRPr="0033310C">
        <w:t>in light of</w:t>
      </w:r>
      <w:proofErr w:type="gramEnd"/>
      <w:r w:rsidRPr="0033310C">
        <w:t xml:space="preserve"> choosing the most strategic mapping approach that would be sensitive to the nature of the data distribution (see </w:t>
      </w:r>
      <w:bookmarkStart w:id="60" w:name="bb0055"/>
      <w:r w:rsidRPr="0033310C">
        <w:t>Brewer and Pickle, 2002</w:t>
      </w:r>
      <w:bookmarkEnd w:id="60"/>
      <w:r w:rsidRPr="0033310C">
        <w:t>, </w:t>
      </w:r>
      <w:bookmarkStart w:id="61" w:name="bb0240"/>
      <w:r w:rsidRPr="0033310C">
        <w:t>Smith, 1986</w:t>
      </w:r>
      <w:bookmarkEnd w:id="61"/>
      <w:r w:rsidRPr="0033310C">
        <w:t>). Ultimately, the natural breaks classing method was chosen as it resulted in the highest value of Goodness of Variance Fit (i.e., relative to quartile classing method). Therefore, as noted above, these figures show spatial distribution of these variables according to the natural breaks classing method with five classes.</w:t>
      </w:r>
    </w:p>
    <w:p w14:paraId="5A609B3B" w14:textId="4102CCC9" w:rsidR="0033310C" w:rsidRPr="0033310C" w:rsidRDefault="0033310C" w:rsidP="0033310C">
      <w:r w:rsidRPr="0033310C">
        <w:t>Descriptive statistics for the outcome, main predictor, and control variables used in regression models are presented in </w:t>
      </w:r>
      <w:bookmarkStart w:id="62" w:name="bt0005"/>
      <w:r w:rsidRPr="0033310C">
        <w:t>Table 1</w:t>
      </w:r>
      <w:bookmarkEnd w:id="62"/>
      <w:r w:rsidRPr="0033310C">
        <w:t xml:space="preserve">. On average, Milwaukee block groups contained about 37 incidents of robbery per square mile and about 22 alcohol outlets per square mile, most of which were </w:t>
      </w:r>
      <w:proofErr w:type="gramStart"/>
      <w:r w:rsidRPr="0033310C">
        <w:t>on-premise</w:t>
      </w:r>
      <w:proofErr w:type="gramEnd"/>
      <w:r w:rsidRPr="0033310C">
        <w:t xml:space="preserve"> alcohol outlets (e.g., bars and restaurants). Social disorganization index for Milwaukee block groups ranged from −6.02 (suggesting social organization) to 8.16 (suggesting social disorganization).</w:t>
      </w:r>
    </w:p>
    <w:p w14:paraId="473005E4" w14:textId="21EA2E35" w:rsidR="0033310C" w:rsidRPr="0033310C" w:rsidRDefault="0033310C" w:rsidP="00002C89">
      <w:pPr>
        <w:spacing w:after="0"/>
      </w:pPr>
      <w:r w:rsidRPr="0033310C">
        <w:lastRenderedPageBreak/>
        <w:t xml:space="preserve">Table 1. Descriptive statistics for Milwaukee block groups </w:t>
      </w:r>
      <m:oMath>
        <m:r>
          <w:rPr>
            <w:rFonts w:ascii="Cambria Math" w:hAnsi="Cambria Math"/>
          </w:rPr>
          <m:t>(</m:t>
        </m:r>
        <m:r>
          <w:rPr>
            <w:rFonts w:ascii="Cambria Math" w:hAnsi="Cambria Math"/>
          </w:rPr>
          <m:t>N</m:t>
        </m:r>
        <m:r>
          <w:rPr>
            <w:rFonts w:ascii="Cambria Math" w:hAnsi="Cambria Math"/>
          </w:rPr>
          <m:t> = 571)</m:t>
        </m:r>
      </m:oMath>
      <w:r w:rsidRPr="0033310C">
        <w:t>.</w:t>
      </w:r>
    </w:p>
    <w:tbl>
      <w:tblPr>
        <w:tblStyle w:val="TableGrid"/>
        <w:tblW w:w="0" w:type="auto"/>
        <w:tblLook w:val="04A0" w:firstRow="1" w:lastRow="0" w:firstColumn="1" w:lastColumn="0" w:noHBand="0" w:noVBand="1"/>
      </w:tblPr>
      <w:tblGrid>
        <w:gridCol w:w="3901"/>
        <w:gridCol w:w="830"/>
        <w:gridCol w:w="1053"/>
        <w:gridCol w:w="1053"/>
        <w:gridCol w:w="941"/>
      </w:tblGrid>
      <w:tr w:rsidR="0033310C" w:rsidRPr="0033310C" w14:paraId="1B2E3AAB" w14:textId="77777777" w:rsidTr="00106666">
        <w:tc>
          <w:tcPr>
            <w:tcW w:w="0" w:type="auto"/>
            <w:hideMark/>
          </w:tcPr>
          <w:p w14:paraId="185EE568" w14:textId="77777777" w:rsidR="0033310C" w:rsidRPr="0033310C" w:rsidRDefault="0033310C" w:rsidP="00106666">
            <w:pPr>
              <w:pStyle w:val="NoSpacing"/>
            </w:pPr>
            <w:r w:rsidRPr="0033310C">
              <w:t>Empty Cell</w:t>
            </w:r>
          </w:p>
        </w:tc>
        <w:tc>
          <w:tcPr>
            <w:tcW w:w="0" w:type="auto"/>
            <w:hideMark/>
          </w:tcPr>
          <w:p w14:paraId="0B9377A3" w14:textId="77777777" w:rsidR="0033310C" w:rsidRPr="0033310C" w:rsidRDefault="0033310C" w:rsidP="00106666">
            <w:pPr>
              <w:pStyle w:val="NoSpacing"/>
            </w:pPr>
            <w:r w:rsidRPr="0033310C">
              <w:t>Min.</w:t>
            </w:r>
          </w:p>
        </w:tc>
        <w:tc>
          <w:tcPr>
            <w:tcW w:w="0" w:type="auto"/>
            <w:hideMark/>
          </w:tcPr>
          <w:p w14:paraId="33616C2D" w14:textId="77777777" w:rsidR="0033310C" w:rsidRPr="0033310C" w:rsidRDefault="0033310C" w:rsidP="00106666">
            <w:pPr>
              <w:pStyle w:val="NoSpacing"/>
            </w:pPr>
            <w:r w:rsidRPr="0033310C">
              <w:t>Max.</w:t>
            </w:r>
          </w:p>
        </w:tc>
        <w:tc>
          <w:tcPr>
            <w:tcW w:w="0" w:type="auto"/>
            <w:hideMark/>
          </w:tcPr>
          <w:p w14:paraId="3B7FCA86" w14:textId="77777777" w:rsidR="0033310C" w:rsidRPr="0033310C" w:rsidRDefault="0033310C" w:rsidP="00106666">
            <w:pPr>
              <w:pStyle w:val="NoSpacing"/>
            </w:pPr>
            <w:r w:rsidRPr="0033310C">
              <w:t>Mean</w:t>
            </w:r>
          </w:p>
        </w:tc>
        <w:tc>
          <w:tcPr>
            <w:tcW w:w="0" w:type="auto"/>
            <w:hideMark/>
          </w:tcPr>
          <w:p w14:paraId="308937CB" w14:textId="77777777" w:rsidR="0033310C" w:rsidRPr="0033310C" w:rsidRDefault="0033310C" w:rsidP="00106666">
            <w:pPr>
              <w:pStyle w:val="NoSpacing"/>
            </w:pPr>
            <w:r w:rsidRPr="0033310C">
              <w:t>S.D.</w:t>
            </w:r>
          </w:p>
        </w:tc>
      </w:tr>
      <w:tr w:rsidR="0033310C" w:rsidRPr="0033310C" w14:paraId="0257EAB2" w14:textId="77777777" w:rsidTr="00106666">
        <w:tc>
          <w:tcPr>
            <w:tcW w:w="0" w:type="auto"/>
            <w:hideMark/>
          </w:tcPr>
          <w:p w14:paraId="578D7661" w14:textId="77777777" w:rsidR="0033310C" w:rsidRPr="0033310C" w:rsidRDefault="0033310C" w:rsidP="00106666">
            <w:pPr>
              <w:pStyle w:val="NoSpacing"/>
            </w:pPr>
            <w:r w:rsidRPr="0033310C">
              <w:t>Robbery density</w:t>
            </w:r>
          </w:p>
        </w:tc>
        <w:tc>
          <w:tcPr>
            <w:tcW w:w="0" w:type="auto"/>
            <w:hideMark/>
          </w:tcPr>
          <w:p w14:paraId="69035348" w14:textId="77777777" w:rsidR="0033310C" w:rsidRPr="0033310C" w:rsidRDefault="0033310C" w:rsidP="00106666">
            <w:pPr>
              <w:pStyle w:val="NoSpacing"/>
            </w:pPr>
            <w:r w:rsidRPr="0033310C">
              <w:t>0.00</w:t>
            </w:r>
          </w:p>
        </w:tc>
        <w:tc>
          <w:tcPr>
            <w:tcW w:w="0" w:type="auto"/>
            <w:hideMark/>
          </w:tcPr>
          <w:p w14:paraId="3F9EEE83" w14:textId="77777777" w:rsidR="0033310C" w:rsidRPr="0033310C" w:rsidRDefault="0033310C" w:rsidP="00106666">
            <w:pPr>
              <w:pStyle w:val="NoSpacing"/>
            </w:pPr>
            <w:r w:rsidRPr="0033310C">
              <w:t>250.00</w:t>
            </w:r>
          </w:p>
        </w:tc>
        <w:tc>
          <w:tcPr>
            <w:tcW w:w="0" w:type="auto"/>
            <w:hideMark/>
          </w:tcPr>
          <w:p w14:paraId="4F30ED02" w14:textId="77777777" w:rsidR="0033310C" w:rsidRPr="0033310C" w:rsidRDefault="0033310C" w:rsidP="00106666">
            <w:pPr>
              <w:pStyle w:val="NoSpacing"/>
            </w:pPr>
            <w:r w:rsidRPr="0033310C">
              <w:t>37.31</w:t>
            </w:r>
          </w:p>
        </w:tc>
        <w:tc>
          <w:tcPr>
            <w:tcW w:w="0" w:type="auto"/>
            <w:hideMark/>
          </w:tcPr>
          <w:p w14:paraId="23014244" w14:textId="77777777" w:rsidR="0033310C" w:rsidRPr="0033310C" w:rsidRDefault="0033310C" w:rsidP="00106666">
            <w:pPr>
              <w:pStyle w:val="NoSpacing"/>
            </w:pPr>
            <w:r w:rsidRPr="0033310C">
              <w:t>40.85</w:t>
            </w:r>
          </w:p>
        </w:tc>
      </w:tr>
      <w:tr w:rsidR="0033310C" w:rsidRPr="0033310C" w14:paraId="230189C9" w14:textId="77777777" w:rsidTr="00106666">
        <w:tc>
          <w:tcPr>
            <w:tcW w:w="0" w:type="auto"/>
            <w:hideMark/>
          </w:tcPr>
          <w:p w14:paraId="01D366CA" w14:textId="77777777" w:rsidR="0033310C" w:rsidRPr="0033310C" w:rsidRDefault="0033310C" w:rsidP="00106666">
            <w:pPr>
              <w:pStyle w:val="NoSpacing"/>
            </w:pPr>
            <w:r w:rsidRPr="0033310C">
              <w:t>Total alcohol outlet density</w:t>
            </w:r>
          </w:p>
        </w:tc>
        <w:tc>
          <w:tcPr>
            <w:tcW w:w="0" w:type="auto"/>
            <w:hideMark/>
          </w:tcPr>
          <w:p w14:paraId="261B08BC" w14:textId="77777777" w:rsidR="0033310C" w:rsidRPr="0033310C" w:rsidRDefault="0033310C" w:rsidP="00106666">
            <w:pPr>
              <w:pStyle w:val="NoSpacing"/>
            </w:pPr>
            <w:r w:rsidRPr="0033310C">
              <w:t>0.00</w:t>
            </w:r>
          </w:p>
        </w:tc>
        <w:tc>
          <w:tcPr>
            <w:tcW w:w="0" w:type="auto"/>
            <w:hideMark/>
          </w:tcPr>
          <w:p w14:paraId="762AEB5B" w14:textId="77777777" w:rsidR="0033310C" w:rsidRPr="0033310C" w:rsidRDefault="0033310C" w:rsidP="00106666">
            <w:pPr>
              <w:pStyle w:val="NoSpacing"/>
            </w:pPr>
            <w:r w:rsidRPr="0033310C">
              <w:t>400.00</w:t>
            </w:r>
          </w:p>
        </w:tc>
        <w:tc>
          <w:tcPr>
            <w:tcW w:w="0" w:type="auto"/>
            <w:hideMark/>
          </w:tcPr>
          <w:p w14:paraId="6793FD2A" w14:textId="77777777" w:rsidR="0033310C" w:rsidRPr="0033310C" w:rsidRDefault="0033310C" w:rsidP="00106666">
            <w:pPr>
              <w:pStyle w:val="NoSpacing"/>
            </w:pPr>
            <w:r w:rsidRPr="0033310C">
              <w:t>22.39</w:t>
            </w:r>
          </w:p>
        </w:tc>
        <w:tc>
          <w:tcPr>
            <w:tcW w:w="0" w:type="auto"/>
            <w:hideMark/>
          </w:tcPr>
          <w:p w14:paraId="33641EE2" w14:textId="77777777" w:rsidR="0033310C" w:rsidRPr="0033310C" w:rsidRDefault="0033310C" w:rsidP="00106666">
            <w:pPr>
              <w:pStyle w:val="NoSpacing"/>
            </w:pPr>
            <w:r w:rsidRPr="0033310C">
              <w:t>39.77</w:t>
            </w:r>
          </w:p>
        </w:tc>
      </w:tr>
      <w:tr w:rsidR="0033310C" w:rsidRPr="0033310C" w14:paraId="2CB65B3C" w14:textId="77777777" w:rsidTr="00106666">
        <w:tc>
          <w:tcPr>
            <w:tcW w:w="0" w:type="auto"/>
            <w:hideMark/>
          </w:tcPr>
          <w:p w14:paraId="0D0FBB04" w14:textId="77777777" w:rsidR="0033310C" w:rsidRPr="0033310C" w:rsidRDefault="0033310C" w:rsidP="00106666">
            <w:pPr>
              <w:pStyle w:val="NoSpacing"/>
            </w:pPr>
            <w:proofErr w:type="gramStart"/>
            <w:r w:rsidRPr="0033310C">
              <w:t>On-premise</w:t>
            </w:r>
            <w:proofErr w:type="gramEnd"/>
            <w:r w:rsidRPr="0033310C">
              <w:t xml:space="preserve"> alcohol outlet density</w:t>
            </w:r>
          </w:p>
        </w:tc>
        <w:tc>
          <w:tcPr>
            <w:tcW w:w="0" w:type="auto"/>
            <w:hideMark/>
          </w:tcPr>
          <w:p w14:paraId="2F863782" w14:textId="77777777" w:rsidR="0033310C" w:rsidRPr="0033310C" w:rsidRDefault="0033310C" w:rsidP="00106666">
            <w:pPr>
              <w:pStyle w:val="NoSpacing"/>
            </w:pPr>
            <w:r w:rsidRPr="0033310C">
              <w:t>0.00</w:t>
            </w:r>
          </w:p>
        </w:tc>
        <w:tc>
          <w:tcPr>
            <w:tcW w:w="0" w:type="auto"/>
            <w:hideMark/>
          </w:tcPr>
          <w:p w14:paraId="4B0C52C3" w14:textId="77777777" w:rsidR="0033310C" w:rsidRPr="0033310C" w:rsidRDefault="0033310C" w:rsidP="00106666">
            <w:pPr>
              <w:pStyle w:val="NoSpacing"/>
            </w:pPr>
            <w:r w:rsidRPr="0033310C">
              <w:t>377.78</w:t>
            </w:r>
          </w:p>
        </w:tc>
        <w:tc>
          <w:tcPr>
            <w:tcW w:w="0" w:type="auto"/>
            <w:hideMark/>
          </w:tcPr>
          <w:p w14:paraId="32CFE931" w14:textId="77777777" w:rsidR="0033310C" w:rsidRPr="0033310C" w:rsidRDefault="0033310C" w:rsidP="00106666">
            <w:pPr>
              <w:pStyle w:val="NoSpacing"/>
            </w:pPr>
            <w:r w:rsidRPr="0033310C">
              <w:t>16.20</w:t>
            </w:r>
          </w:p>
        </w:tc>
        <w:tc>
          <w:tcPr>
            <w:tcW w:w="0" w:type="auto"/>
            <w:hideMark/>
          </w:tcPr>
          <w:p w14:paraId="6D31DB48" w14:textId="77777777" w:rsidR="0033310C" w:rsidRPr="0033310C" w:rsidRDefault="0033310C" w:rsidP="00106666">
            <w:pPr>
              <w:pStyle w:val="NoSpacing"/>
            </w:pPr>
            <w:r w:rsidRPr="0033310C">
              <w:t>35.50</w:t>
            </w:r>
          </w:p>
        </w:tc>
      </w:tr>
      <w:tr w:rsidR="0033310C" w:rsidRPr="0033310C" w14:paraId="7AADA63C" w14:textId="77777777" w:rsidTr="00106666">
        <w:tc>
          <w:tcPr>
            <w:tcW w:w="0" w:type="auto"/>
            <w:hideMark/>
          </w:tcPr>
          <w:p w14:paraId="6AD6CCDC" w14:textId="77777777" w:rsidR="0033310C" w:rsidRPr="0033310C" w:rsidRDefault="0033310C" w:rsidP="00106666">
            <w:pPr>
              <w:pStyle w:val="NoSpacing"/>
            </w:pPr>
            <w:r w:rsidRPr="0033310C">
              <w:t>Off-</w:t>
            </w:r>
            <w:proofErr w:type="gramStart"/>
            <w:r w:rsidRPr="0033310C">
              <w:t>premise</w:t>
            </w:r>
            <w:proofErr w:type="gramEnd"/>
            <w:r w:rsidRPr="0033310C">
              <w:t xml:space="preserve"> alcohol outlet density</w:t>
            </w:r>
          </w:p>
        </w:tc>
        <w:tc>
          <w:tcPr>
            <w:tcW w:w="0" w:type="auto"/>
            <w:hideMark/>
          </w:tcPr>
          <w:p w14:paraId="4D7DF960" w14:textId="77777777" w:rsidR="0033310C" w:rsidRPr="0033310C" w:rsidRDefault="0033310C" w:rsidP="00106666">
            <w:pPr>
              <w:pStyle w:val="NoSpacing"/>
            </w:pPr>
            <w:r w:rsidRPr="0033310C">
              <w:t>0.00</w:t>
            </w:r>
          </w:p>
        </w:tc>
        <w:tc>
          <w:tcPr>
            <w:tcW w:w="0" w:type="auto"/>
            <w:hideMark/>
          </w:tcPr>
          <w:p w14:paraId="74D4AF9D" w14:textId="77777777" w:rsidR="0033310C" w:rsidRPr="0033310C" w:rsidRDefault="0033310C" w:rsidP="00106666">
            <w:pPr>
              <w:pStyle w:val="NoSpacing"/>
            </w:pPr>
            <w:r w:rsidRPr="0033310C">
              <w:t>83.33</w:t>
            </w:r>
          </w:p>
        </w:tc>
        <w:tc>
          <w:tcPr>
            <w:tcW w:w="0" w:type="auto"/>
            <w:hideMark/>
          </w:tcPr>
          <w:p w14:paraId="1E620EC7" w14:textId="77777777" w:rsidR="0033310C" w:rsidRPr="0033310C" w:rsidRDefault="0033310C" w:rsidP="00106666">
            <w:pPr>
              <w:pStyle w:val="NoSpacing"/>
            </w:pPr>
            <w:r w:rsidRPr="0033310C">
              <w:t>6.19</w:t>
            </w:r>
          </w:p>
        </w:tc>
        <w:tc>
          <w:tcPr>
            <w:tcW w:w="0" w:type="auto"/>
            <w:hideMark/>
          </w:tcPr>
          <w:p w14:paraId="32DD9BC5" w14:textId="77777777" w:rsidR="0033310C" w:rsidRPr="0033310C" w:rsidRDefault="0033310C" w:rsidP="00106666">
            <w:pPr>
              <w:pStyle w:val="NoSpacing"/>
            </w:pPr>
            <w:r w:rsidRPr="0033310C">
              <w:t>11.47</w:t>
            </w:r>
          </w:p>
        </w:tc>
      </w:tr>
      <w:tr w:rsidR="0033310C" w:rsidRPr="0033310C" w14:paraId="629CE723" w14:textId="77777777" w:rsidTr="00106666">
        <w:tc>
          <w:tcPr>
            <w:tcW w:w="0" w:type="auto"/>
            <w:hideMark/>
          </w:tcPr>
          <w:p w14:paraId="72CF4B8C" w14:textId="77777777" w:rsidR="0033310C" w:rsidRPr="0033310C" w:rsidRDefault="0033310C" w:rsidP="00106666">
            <w:pPr>
              <w:pStyle w:val="NoSpacing"/>
            </w:pPr>
            <w:r w:rsidRPr="0033310C">
              <w:t>Population density</w:t>
            </w:r>
          </w:p>
        </w:tc>
        <w:tc>
          <w:tcPr>
            <w:tcW w:w="0" w:type="auto"/>
            <w:hideMark/>
          </w:tcPr>
          <w:p w14:paraId="15922E87" w14:textId="77777777" w:rsidR="0033310C" w:rsidRPr="0033310C" w:rsidRDefault="0033310C" w:rsidP="00106666">
            <w:pPr>
              <w:pStyle w:val="NoSpacing"/>
            </w:pPr>
            <w:r w:rsidRPr="0033310C">
              <w:t>376.50</w:t>
            </w:r>
          </w:p>
        </w:tc>
        <w:tc>
          <w:tcPr>
            <w:tcW w:w="0" w:type="auto"/>
            <w:hideMark/>
          </w:tcPr>
          <w:p w14:paraId="240F9D7A" w14:textId="77777777" w:rsidR="0033310C" w:rsidRPr="0033310C" w:rsidRDefault="0033310C" w:rsidP="00106666">
            <w:pPr>
              <w:pStyle w:val="NoSpacing"/>
            </w:pPr>
            <w:r w:rsidRPr="0033310C">
              <w:t>51050.00</w:t>
            </w:r>
          </w:p>
        </w:tc>
        <w:tc>
          <w:tcPr>
            <w:tcW w:w="0" w:type="auto"/>
            <w:hideMark/>
          </w:tcPr>
          <w:p w14:paraId="06192026" w14:textId="77777777" w:rsidR="0033310C" w:rsidRPr="0033310C" w:rsidRDefault="0033310C" w:rsidP="00106666">
            <w:pPr>
              <w:pStyle w:val="NoSpacing"/>
            </w:pPr>
            <w:r w:rsidRPr="0033310C">
              <w:t>10489.05</w:t>
            </w:r>
          </w:p>
        </w:tc>
        <w:tc>
          <w:tcPr>
            <w:tcW w:w="0" w:type="auto"/>
            <w:hideMark/>
          </w:tcPr>
          <w:p w14:paraId="0CF30895" w14:textId="77777777" w:rsidR="0033310C" w:rsidRPr="0033310C" w:rsidRDefault="0033310C" w:rsidP="00106666">
            <w:pPr>
              <w:pStyle w:val="NoSpacing"/>
            </w:pPr>
            <w:r w:rsidRPr="0033310C">
              <w:t>6583.87</w:t>
            </w:r>
          </w:p>
        </w:tc>
      </w:tr>
      <w:tr w:rsidR="0033310C" w:rsidRPr="0033310C" w14:paraId="7B328CED" w14:textId="77777777" w:rsidTr="00106666">
        <w:tc>
          <w:tcPr>
            <w:tcW w:w="0" w:type="auto"/>
            <w:hideMark/>
          </w:tcPr>
          <w:p w14:paraId="385C0D98" w14:textId="77777777" w:rsidR="0033310C" w:rsidRPr="0033310C" w:rsidRDefault="0033310C" w:rsidP="00106666">
            <w:pPr>
              <w:pStyle w:val="NoSpacing"/>
            </w:pPr>
            <w:r w:rsidRPr="0033310C">
              <w:t>Proportion young</w:t>
            </w:r>
          </w:p>
        </w:tc>
        <w:tc>
          <w:tcPr>
            <w:tcW w:w="0" w:type="auto"/>
            <w:hideMark/>
          </w:tcPr>
          <w:p w14:paraId="3E825EEE" w14:textId="77777777" w:rsidR="0033310C" w:rsidRPr="0033310C" w:rsidRDefault="0033310C" w:rsidP="00106666">
            <w:pPr>
              <w:pStyle w:val="NoSpacing"/>
            </w:pPr>
            <w:r w:rsidRPr="0033310C">
              <w:t>0.03</w:t>
            </w:r>
          </w:p>
        </w:tc>
        <w:tc>
          <w:tcPr>
            <w:tcW w:w="0" w:type="auto"/>
            <w:hideMark/>
          </w:tcPr>
          <w:p w14:paraId="2A809AB7" w14:textId="77777777" w:rsidR="0033310C" w:rsidRPr="0033310C" w:rsidRDefault="0033310C" w:rsidP="00106666">
            <w:pPr>
              <w:pStyle w:val="NoSpacing"/>
            </w:pPr>
            <w:r w:rsidRPr="0033310C">
              <w:t>0.88</w:t>
            </w:r>
          </w:p>
        </w:tc>
        <w:tc>
          <w:tcPr>
            <w:tcW w:w="0" w:type="auto"/>
            <w:hideMark/>
          </w:tcPr>
          <w:p w14:paraId="22BC388C" w14:textId="77777777" w:rsidR="0033310C" w:rsidRPr="0033310C" w:rsidRDefault="0033310C" w:rsidP="00106666">
            <w:pPr>
              <w:pStyle w:val="NoSpacing"/>
            </w:pPr>
            <w:r w:rsidRPr="0033310C">
              <w:t>0.17</w:t>
            </w:r>
          </w:p>
        </w:tc>
        <w:tc>
          <w:tcPr>
            <w:tcW w:w="0" w:type="auto"/>
            <w:hideMark/>
          </w:tcPr>
          <w:p w14:paraId="29D21313" w14:textId="77777777" w:rsidR="0033310C" w:rsidRPr="0033310C" w:rsidRDefault="0033310C" w:rsidP="00106666">
            <w:pPr>
              <w:pStyle w:val="NoSpacing"/>
            </w:pPr>
            <w:r w:rsidRPr="0033310C">
              <w:t>0.10</w:t>
            </w:r>
          </w:p>
        </w:tc>
      </w:tr>
      <w:tr w:rsidR="0033310C" w:rsidRPr="0033310C" w14:paraId="6828E8C1" w14:textId="77777777" w:rsidTr="00106666">
        <w:tc>
          <w:tcPr>
            <w:tcW w:w="0" w:type="auto"/>
            <w:hideMark/>
          </w:tcPr>
          <w:p w14:paraId="5D5555CF" w14:textId="77777777" w:rsidR="0033310C" w:rsidRPr="0033310C" w:rsidRDefault="0033310C" w:rsidP="00106666">
            <w:pPr>
              <w:pStyle w:val="NoSpacing"/>
            </w:pPr>
            <w:r w:rsidRPr="0033310C">
              <w:t>Proportion African American</w:t>
            </w:r>
          </w:p>
        </w:tc>
        <w:tc>
          <w:tcPr>
            <w:tcW w:w="0" w:type="auto"/>
            <w:hideMark/>
          </w:tcPr>
          <w:p w14:paraId="2DC9CDD4" w14:textId="77777777" w:rsidR="0033310C" w:rsidRPr="0033310C" w:rsidRDefault="0033310C" w:rsidP="00106666">
            <w:pPr>
              <w:pStyle w:val="NoSpacing"/>
            </w:pPr>
            <w:r w:rsidRPr="0033310C">
              <w:t>0.00</w:t>
            </w:r>
          </w:p>
        </w:tc>
        <w:tc>
          <w:tcPr>
            <w:tcW w:w="0" w:type="auto"/>
            <w:hideMark/>
          </w:tcPr>
          <w:p w14:paraId="31E9F983" w14:textId="77777777" w:rsidR="0033310C" w:rsidRPr="0033310C" w:rsidRDefault="0033310C" w:rsidP="00106666">
            <w:pPr>
              <w:pStyle w:val="NoSpacing"/>
            </w:pPr>
            <w:r w:rsidRPr="0033310C">
              <w:t>0.98</w:t>
            </w:r>
          </w:p>
        </w:tc>
        <w:tc>
          <w:tcPr>
            <w:tcW w:w="0" w:type="auto"/>
            <w:hideMark/>
          </w:tcPr>
          <w:p w14:paraId="7815D29B" w14:textId="77777777" w:rsidR="0033310C" w:rsidRPr="0033310C" w:rsidRDefault="0033310C" w:rsidP="00106666">
            <w:pPr>
              <w:pStyle w:val="NoSpacing"/>
            </w:pPr>
            <w:r w:rsidRPr="0033310C">
              <w:t>0.43</w:t>
            </w:r>
          </w:p>
        </w:tc>
        <w:tc>
          <w:tcPr>
            <w:tcW w:w="0" w:type="auto"/>
            <w:hideMark/>
          </w:tcPr>
          <w:p w14:paraId="783D711A" w14:textId="77777777" w:rsidR="0033310C" w:rsidRPr="0033310C" w:rsidRDefault="0033310C" w:rsidP="00106666">
            <w:pPr>
              <w:pStyle w:val="NoSpacing"/>
            </w:pPr>
            <w:r w:rsidRPr="0033310C">
              <w:t>0.37</w:t>
            </w:r>
          </w:p>
        </w:tc>
      </w:tr>
      <w:tr w:rsidR="0033310C" w:rsidRPr="0033310C" w14:paraId="46EAC90D" w14:textId="77777777" w:rsidTr="00106666">
        <w:tc>
          <w:tcPr>
            <w:tcW w:w="0" w:type="auto"/>
            <w:hideMark/>
          </w:tcPr>
          <w:p w14:paraId="04762D20" w14:textId="77777777" w:rsidR="0033310C" w:rsidRPr="0033310C" w:rsidRDefault="0033310C" w:rsidP="00106666">
            <w:pPr>
              <w:pStyle w:val="NoSpacing"/>
            </w:pPr>
            <w:r w:rsidRPr="0033310C">
              <w:t>Proportion single headed households</w:t>
            </w:r>
          </w:p>
        </w:tc>
        <w:tc>
          <w:tcPr>
            <w:tcW w:w="0" w:type="auto"/>
            <w:hideMark/>
          </w:tcPr>
          <w:p w14:paraId="44ADE583" w14:textId="77777777" w:rsidR="0033310C" w:rsidRPr="0033310C" w:rsidRDefault="0033310C" w:rsidP="00106666">
            <w:pPr>
              <w:pStyle w:val="NoSpacing"/>
            </w:pPr>
            <w:r w:rsidRPr="0033310C">
              <w:t>0.00</w:t>
            </w:r>
          </w:p>
        </w:tc>
        <w:tc>
          <w:tcPr>
            <w:tcW w:w="0" w:type="auto"/>
            <w:hideMark/>
          </w:tcPr>
          <w:p w14:paraId="5E4AB7F7" w14:textId="77777777" w:rsidR="0033310C" w:rsidRPr="0033310C" w:rsidRDefault="0033310C" w:rsidP="00106666">
            <w:pPr>
              <w:pStyle w:val="NoSpacing"/>
            </w:pPr>
            <w:r w:rsidRPr="0033310C">
              <w:t>0.66</w:t>
            </w:r>
          </w:p>
        </w:tc>
        <w:tc>
          <w:tcPr>
            <w:tcW w:w="0" w:type="auto"/>
            <w:hideMark/>
          </w:tcPr>
          <w:p w14:paraId="738075B7" w14:textId="77777777" w:rsidR="0033310C" w:rsidRPr="0033310C" w:rsidRDefault="0033310C" w:rsidP="00106666">
            <w:pPr>
              <w:pStyle w:val="NoSpacing"/>
            </w:pPr>
            <w:r w:rsidRPr="0033310C">
              <w:t>0.22</w:t>
            </w:r>
          </w:p>
        </w:tc>
        <w:tc>
          <w:tcPr>
            <w:tcW w:w="0" w:type="auto"/>
            <w:hideMark/>
          </w:tcPr>
          <w:p w14:paraId="2230D868" w14:textId="77777777" w:rsidR="0033310C" w:rsidRPr="0033310C" w:rsidRDefault="0033310C" w:rsidP="00106666">
            <w:pPr>
              <w:pStyle w:val="NoSpacing"/>
            </w:pPr>
            <w:r w:rsidRPr="0033310C">
              <w:t>0.13</w:t>
            </w:r>
          </w:p>
        </w:tc>
      </w:tr>
      <w:tr w:rsidR="0033310C" w:rsidRPr="0033310C" w14:paraId="557D97C1" w14:textId="77777777" w:rsidTr="00106666">
        <w:tc>
          <w:tcPr>
            <w:tcW w:w="0" w:type="auto"/>
            <w:hideMark/>
          </w:tcPr>
          <w:p w14:paraId="382FC533" w14:textId="77777777" w:rsidR="0033310C" w:rsidRPr="0033310C" w:rsidRDefault="0033310C" w:rsidP="00106666">
            <w:pPr>
              <w:pStyle w:val="NoSpacing"/>
            </w:pPr>
            <w:r w:rsidRPr="0033310C">
              <w:t>Proportion renter occupied housing units</w:t>
            </w:r>
          </w:p>
        </w:tc>
        <w:tc>
          <w:tcPr>
            <w:tcW w:w="0" w:type="auto"/>
            <w:hideMark/>
          </w:tcPr>
          <w:p w14:paraId="1BAD0853" w14:textId="77777777" w:rsidR="0033310C" w:rsidRPr="0033310C" w:rsidRDefault="0033310C" w:rsidP="00106666">
            <w:pPr>
              <w:pStyle w:val="NoSpacing"/>
            </w:pPr>
            <w:r w:rsidRPr="0033310C">
              <w:t>0.03</w:t>
            </w:r>
          </w:p>
        </w:tc>
        <w:tc>
          <w:tcPr>
            <w:tcW w:w="0" w:type="auto"/>
            <w:hideMark/>
          </w:tcPr>
          <w:p w14:paraId="582526FA" w14:textId="77777777" w:rsidR="0033310C" w:rsidRPr="0033310C" w:rsidRDefault="0033310C" w:rsidP="00106666">
            <w:pPr>
              <w:pStyle w:val="NoSpacing"/>
            </w:pPr>
            <w:r w:rsidRPr="0033310C">
              <w:t>0.98</w:t>
            </w:r>
          </w:p>
        </w:tc>
        <w:tc>
          <w:tcPr>
            <w:tcW w:w="0" w:type="auto"/>
            <w:hideMark/>
          </w:tcPr>
          <w:p w14:paraId="245521F5" w14:textId="77777777" w:rsidR="0033310C" w:rsidRPr="0033310C" w:rsidRDefault="0033310C" w:rsidP="00106666">
            <w:pPr>
              <w:pStyle w:val="NoSpacing"/>
            </w:pPr>
            <w:r w:rsidRPr="0033310C">
              <w:t>0.49</w:t>
            </w:r>
          </w:p>
        </w:tc>
        <w:tc>
          <w:tcPr>
            <w:tcW w:w="0" w:type="auto"/>
            <w:hideMark/>
          </w:tcPr>
          <w:p w14:paraId="71048560" w14:textId="77777777" w:rsidR="0033310C" w:rsidRPr="0033310C" w:rsidRDefault="0033310C" w:rsidP="00106666">
            <w:pPr>
              <w:pStyle w:val="NoSpacing"/>
            </w:pPr>
            <w:r w:rsidRPr="0033310C">
              <w:t>0.18</w:t>
            </w:r>
          </w:p>
        </w:tc>
      </w:tr>
      <w:tr w:rsidR="0033310C" w:rsidRPr="0033310C" w14:paraId="319066B9" w14:textId="77777777" w:rsidTr="00106666">
        <w:tc>
          <w:tcPr>
            <w:tcW w:w="0" w:type="auto"/>
            <w:hideMark/>
          </w:tcPr>
          <w:p w14:paraId="4E33A5E6" w14:textId="77777777" w:rsidR="0033310C" w:rsidRPr="0033310C" w:rsidRDefault="0033310C" w:rsidP="00106666">
            <w:pPr>
              <w:pStyle w:val="NoSpacing"/>
            </w:pPr>
            <w:r w:rsidRPr="0033310C">
              <w:t>Proportion living in poverty</w:t>
            </w:r>
          </w:p>
        </w:tc>
        <w:tc>
          <w:tcPr>
            <w:tcW w:w="0" w:type="auto"/>
            <w:hideMark/>
          </w:tcPr>
          <w:p w14:paraId="2E7039C7" w14:textId="77777777" w:rsidR="0033310C" w:rsidRPr="0033310C" w:rsidRDefault="0033310C" w:rsidP="00106666">
            <w:pPr>
              <w:pStyle w:val="NoSpacing"/>
            </w:pPr>
            <w:r w:rsidRPr="0033310C">
              <w:t>0.00</w:t>
            </w:r>
          </w:p>
        </w:tc>
        <w:tc>
          <w:tcPr>
            <w:tcW w:w="0" w:type="auto"/>
            <w:hideMark/>
          </w:tcPr>
          <w:p w14:paraId="22655D3D" w14:textId="77777777" w:rsidR="0033310C" w:rsidRPr="0033310C" w:rsidRDefault="0033310C" w:rsidP="00106666">
            <w:pPr>
              <w:pStyle w:val="NoSpacing"/>
            </w:pPr>
            <w:r w:rsidRPr="0033310C">
              <w:t>0.85</w:t>
            </w:r>
          </w:p>
        </w:tc>
        <w:tc>
          <w:tcPr>
            <w:tcW w:w="0" w:type="auto"/>
            <w:hideMark/>
          </w:tcPr>
          <w:p w14:paraId="25B6ADC0" w14:textId="77777777" w:rsidR="0033310C" w:rsidRPr="0033310C" w:rsidRDefault="0033310C" w:rsidP="00106666">
            <w:pPr>
              <w:pStyle w:val="NoSpacing"/>
            </w:pPr>
            <w:r w:rsidRPr="0033310C">
              <w:t>0.21</w:t>
            </w:r>
          </w:p>
        </w:tc>
        <w:tc>
          <w:tcPr>
            <w:tcW w:w="0" w:type="auto"/>
            <w:hideMark/>
          </w:tcPr>
          <w:p w14:paraId="6C346841" w14:textId="77777777" w:rsidR="0033310C" w:rsidRPr="0033310C" w:rsidRDefault="0033310C" w:rsidP="00106666">
            <w:pPr>
              <w:pStyle w:val="NoSpacing"/>
            </w:pPr>
            <w:r w:rsidRPr="0033310C">
              <w:t>0.15</w:t>
            </w:r>
          </w:p>
        </w:tc>
      </w:tr>
      <w:tr w:rsidR="0033310C" w:rsidRPr="0033310C" w14:paraId="7A9B698E" w14:textId="77777777" w:rsidTr="00106666">
        <w:tc>
          <w:tcPr>
            <w:tcW w:w="0" w:type="auto"/>
            <w:hideMark/>
          </w:tcPr>
          <w:p w14:paraId="0BC18A45" w14:textId="77777777" w:rsidR="0033310C" w:rsidRPr="0033310C" w:rsidRDefault="0033310C" w:rsidP="00106666">
            <w:pPr>
              <w:pStyle w:val="NoSpacing"/>
            </w:pPr>
            <w:r w:rsidRPr="0033310C">
              <w:t>Distance from city center</w:t>
            </w:r>
          </w:p>
        </w:tc>
        <w:tc>
          <w:tcPr>
            <w:tcW w:w="0" w:type="auto"/>
            <w:hideMark/>
          </w:tcPr>
          <w:p w14:paraId="1AE24259" w14:textId="77777777" w:rsidR="0033310C" w:rsidRPr="0033310C" w:rsidRDefault="0033310C" w:rsidP="00106666">
            <w:pPr>
              <w:pStyle w:val="NoSpacing"/>
            </w:pPr>
            <w:r w:rsidRPr="0033310C">
              <w:t>0.00</w:t>
            </w:r>
          </w:p>
        </w:tc>
        <w:tc>
          <w:tcPr>
            <w:tcW w:w="0" w:type="auto"/>
            <w:hideMark/>
          </w:tcPr>
          <w:p w14:paraId="75181C88" w14:textId="77777777" w:rsidR="0033310C" w:rsidRPr="0033310C" w:rsidRDefault="0033310C" w:rsidP="00106666">
            <w:pPr>
              <w:pStyle w:val="NoSpacing"/>
            </w:pPr>
            <w:r w:rsidRPr="0033310C">
              <w:t>10.97</w:t>
            </w:r>
          </w:p>
        </w:tc>
        <w:tc>
          <w:tcPr>
            <w:tcW w:w="0" w:type="auto"/>
            <w:hideMark/>
          </w:tcPr>
          <w:p w14:paraId="390B8332" w14:textId="77777777" w:rsidR="0033310C" w:rsidRPr="0033310C" w:rsidRDefault="0033310C" w:rsidP="00106666">
            <w:pPr>
              <w:pStyle w:val="NoSpacing"/>
            </w:pPr>
            <w:r w:rsidRPr="0033310C">
              <w:t>3.90</w:t>
            </w:r>
          </w:p>
        </w:tc>
        <w:tc>
          <w:tcPr>
            <w:tcW w:w="0" w:type="auto"/>
            <w:hideMark/>
          </w:tcPr>
          <w:p w14:paraId="09B4DD53" w14:textId="77777777" w:rsidR="0033310C" w:rsidRPr="0033310C" w:rsidRDefault="0033310C" w:rsidP="00106666">
            <w:pPr>
              <w:pStyle w:val="NoSpacing"/>
            </w:pPr>
            <w:r w:rsidRPr="0033310C">
              <w:t>2.21</w:t>
            </w:r>
          </w:p>
        </w:tc>
      </w:tr>
      <w:tr w:rsidR="0033310C" w:rsidRPr="0033310C" w14:paraId="79368500" w14:textId="77777777" w:rsidTr="00106666">
        <w:tc>
          <w:tcPr>
            <w:tcW w:w="0" w:type="auto"/>
            <w:hideMark/>
          </w:tcPr>
          <w:p w14:paraId="372D5377" w14:textId="77777777" w:rsidR="0033310C" w:rsidRPr="0033310C" w:rsidRDefault="0033310C" w:rsidP="00106666">
            <w:pPr>
              <w:pStyle w:val="NoSpacing"/>
            </w:pPr>
            <w:r w:rsidRPr="0033310C">
              <w:t>Social disorganization index</w:t>
            </w:r>
          </w:p>
        </w:tc>
        <w:tc>
          <w:tcPr>
            <w:tcW w:w="0" w:type="auto"/>
            <w:hideMark/>
          </w:tcPr>
          <w:p w14:paraId="60E7BED7" w14:textId="77777777" w:rsidR="0033310C" w:rsidRPr="0033310C" w:rsidRDefault="0033310C" w:rsidP="00106666">
            <w:pPr>
              <w:pStyle w:val="NoSpacing"/>
            </w:pPr>
            <w:r w:rsidRPr="0033310C">
              <w:t>−6.02</w:t>
            </w:r>
          </w:p>
        </w:tc>
        <w:tc>
          <w:tcPr>
            <w:tcW w:w="0" w:type="auto"/>
            <w:hideMark/>
          </w:tcPr>
          <w:p w14:paraId="35912A4E" w14:textId="77777777" w:rsidR="0033310C" w:rsidRPr="0033310C" w:rsidRDefault="0033310C" w:rsidP="00106666">
            <w:pPr>
              <w:pStyle w:val="NoSpacing"/>
            </w:pPr>
            <w:r w:rsidRPr="0033310C">
              <w:t>8.16</w:t>
            </w:r>
          </w:p>
        </w:tc>
        <w:tc>
          <w:tcPr>
            <w:tcW w:w="0" w:type="auto"/>
            <w:hideMark/>
          </w:tcPr>
          <w:p w14:paraId="1D10B0E7" w14:textId="77777777" w:rsidR="0033310C" w:rsidRPr="0033310C" w:rsidRDefault="0033310C" w:rsidP="00106666">
            <w:pPr>
              <w:pStyle w:val="NoSpacing"/>
            </w:pPr>
            <w:r w:rsidRPr="0033310C">
              <w:t>0.01</w:t>
            </w:r>
          </w:p>
        </w:tc>
        <w:tc>
          <w:tcPr>
            <w:tcW w:w="0" w:type="auto"/>
            <w:hideMark/>
          </w:tcPr>
          <w:p w14:paraId="245F5B19" w14:textId="77777777" w:rsidR="0033310C" w:rsidRPr="0033310C" w:rsidRDefault="0033310C" w:rsidP="00106666">
            <w:pPr>
              <w:pStyle w:val="NoSpacing"/>
            </w:pPr>
            <w:r w:rsidRPr="0033310C">
              <w:t>2.56</w:t>
            </w:r>
          </w:p>
        </w:tc>
      </w:tr>
    </w:tbl>
    <w:p w14:paraId="33FE2A51" w14:textId="77777777" w:rsidR="00106666" w:rsidRDefault="00106666" w:rsidP="0033310C">
      <w:bookmarkStart w:id="63" w:name="bt0010"/>
    </w:p>
    <w:bookmarkEnd w:id="63"/>
    <w:p w14:paraId="18ACCE83" w14:textId="10D2FB62" w:rsidR="00D32DB9" w:rsidRPr="0033310C" w:rsidRDefault="00D32DB9" w:rsidP="00D32DB9">
      <w:r w:rsidRPr="0033310C">
        <w:t xml:space="preserve">Table 2 shows the correlation matrix for Milwaukee block groups. As expected, the density of robbery was positively and significantly associated with total alcohol outlet density </w:t>
      </w:r>
      <m:oMath>
        <m:r>
          <w:rPr>
            <w:rFonts w:ascii="Cambria Math" w:hAnsi="Cambria Math"/>
          </w:rPr>
          <m:t>(</m:t>
        </m:r>
        <m:r>
          <w:rPr>
            <w:rFonts w:ascii="Cambria Math" w:hAnsi="Cambria Math"/>
          </w:rPr>
          <m:t>r</m:t>
        </m:r>
        <m:r>
          <w:rPr>
            <w:rFonts w:ascii="Cambria Math" w:hAnsi="Cambria Math"/>
          </w:rPr>
          <m:t> = .20)</m:t>
        </m:r>
      </m:oMath>
      <w:r w:rsidRPr="0033310C">
        <w:t xml:space="preserve">, </w:t>
      </w:r>
      <w:proofErr w:type="gramStart"/>
      <w:r w:rsidRPr="0033310C">
        <w:t>on-premise</w:t>
      </w:r>
      <w:proofErr w:type="gramEnd"/>
      <w:r w:rsidRPr="0033310C">
        <w:t xml:space="preserve"> alcohol outlet density </w:t>
      </w:r>
      <m:oMath>
        <m:r>
          <w:rPr>
            <w:rFonts w:ascii="Cambria Math" w:hAnsi="Cambria Math"/>
          </w:rPr>
          <m:t>(</m:t>
        </m:r>
        <m:r>
          <w:rPr>
            <w:rFonts w:ascii="Cambria Math" w:hAnsi="Cambria Math"/>
          </w:rPr>
          <m:t>r</m:t>
        </m:r>
        <m:r>
          <w:rPr>
            <w:rFonts w:ascii="Cambria Math" w:hAnsi="Cambria Math"/>
          </w:rPr>
          <m:t> = .10)</m:t>
        </m:r>
      </m:oMath>
      <w:r w:rsidRPr="0033310C">
        <w:t xml:space="preserve">, and off-premise alcohol outlet density </w:t>
      </w:r>
      <m:oMath>
        <m:r>
          <w:rPr>
            <w:rFonts w:ascii="Cambria Math" w:hAnsi="Cambria Math"/>
          </w:rPr>
          <m:t>(</m:t>
        </m:r>
        <m:r>
          <w:rPr>
            <w:rFonts w:ascii="Cambria Math" w:hAnsi="Cambria Math"/>
          </w:rPr>
          <m:t>r</m:t>
        </m:r>
        <m:r>
          <w:rPr>
            <w:rFonts w:ascii="Cambria Math" w:hAnsi="Cambria Math"/>
          </w:rPr>
          <m:t> = .38)</m:t>
        </m:r>
      </m:oMath>
      <w:r w:rsidRPr="0033310C">
        <w:t xml:space="preserve">. Social disorganization index was positively and significantly associated with robbery density </w:t>
      </w:r>
      <m:oMath>
        <m:r>
          <w:rPr>
            <w:rFonts w:ascii="Cambria Math" w:hAnsi="Cambria Math"/>
          </w:rPr>
          <m:t>(</m:t>
        </m:r>
        <m:r>
          <w:rPr>
            <w:rFonts w:ascii="Cambria Math" w:hAnsi="Cambria Math"/>
          </w:rPr>
          <m:t>r</m:t>
        </m:r>
        <m:r>
          <w:rPr>
            <w:rFonts w:ascii="Cambria Math" w:hAnsi="Cambria Math"/>
          </w:rPr>
          <m:t> = .49)</m:t>
        </m:r>
      </m:oMath>
      <w:r w:rsidRPr="0033310C">
        <w:t xml:space="preserve">, total alcohol outlet density </w:t>
      </w:r>
      <m:oMath>
        <m:r>
          <w:rPr>
            <w:rFonts w:ascii="Cambria Math" w:hAnsi="Cambria Math"/>
          </w:rPr>
          <m:t>(</m:t>
        </m:r>
        <m:r>
          <w:rPr>
            <w:rFonts w:ascii="Cambria Math" w:hAnsi="Cambria Math"/>
          </w:rPr>
          <m:t>r</m:t>
        </m:r>
        <m:r>
          <w:rPr>
            <w:rFonts w:ascii="Cambria Math" w:hAnsi="Cambria Math"/>
          </w:rPr>
          <m:t> = .15)</m:t>
        </m:r>
      </m:oMath>
      <w:r w:rsidRPr="0033310C">
        <w:t>, and off-</w:t>
      </w:r>
      <w:proofErr w:type="gramStart"/>
      <w:r w:rsidRPr="0033310C">
        <w:t>premise</w:t>
      </w:r>
      <w:proofErr w:type="gramEnd"/>
      <w:r w:rsidRPr="0033310C">
        <w:t xml:space="preserve"> alcohol outlet density </w:t>
      </w:r>
      <m:oMath>
        <m:r>
          <w:rPr>
            <w:rFonts w:ascii="Cambria Math" w:hAnsi="Cambria Math"/>
          </w:rPr>
          <m:t>(</m:t>
        </m:r>
        <m:r>
          <w:rPr>
            <w:rFonts w:ascii="Cambria Math" w:hAnsi="Cambria Math"/>
          </w:rPr>
          <m:t>r</m:t>
        </m:r>
        <m:r>
          <w:rPr>
            <w:rFonts w:ascii="Cambria Math" w:hAnsi="Cambria Math"/>
          </w:rPr>
          <m:t> = .29)</m:t>
        </m:r>
      </m:oMath>
      <w:r w:rsidRPr="0033310C">
        <w:t>.</w:t>
      </w:r>
    </w:p>
    <w:p w14:paraId="387B2A8B" w14:textId="77777777" w:rsidR="00D32DB9" w:rsidRPr="0033310C" w:rsidRDefault="00D32DB9" w:rsidP="00D32DB9">
      <w:r w:rsidRPr="0033310C">
        <w:t>Table 3 shows the results of robbery density regressed on total alcohol outlet density and control variables for Milwaukee block groups. Model 1 is a global model and examined the association between total alcohol outlet density and robbery density net of control variables. In Model 1, we see that total alcohol outlet density was positively and significantly associated with robbery density. The spatial lag term (</w:t>
      </w:r>
      <w:r w:rsidRPr="0033310C">
        <w:rPr>
          <w:i/>
          <w:iCs/>
        </w:rPr>
        <w:t>Rho</w:t>
      </w:r>
      <w:r w:rsidRPr="0033310C">
        <w:t xml:space="preserve">) associated with robberies was a positive and significant contributor to the model. Additionally, one of the routine </w:t>
      </w:r>
      <w:proofErr w:type="gramStart"/>
      <w:r w:rsidRPr="0033310C">
        <w:t>activities</w:t>
      </w:r>
      <w:proofErr w:type="gramEnd"/>
      <w:r w:rsidRPr="0033310C">
        <w:t xml:space="preserve"> theory variables was significantly associated with robbery density, although it was in the opposite direction than expected. Population density was positively associated with robbery density, suggesting an unexpected relationship between a greater guardianship through more “eyes on the street” and a greater number of robberies. Moreover, two out of four social disorganization variables were associated with robbery density. Specifically, there was a positive and significant association between proportion African American and robbery density, and between proportion single parent households and robbery density. The model explained about 59% of the variance in robbery density. Because Breusch–Pagan Test suggested heteroskedasticity in error terms in Model 1, Models 2 and 3 were estimated to explore the influence of spatial regime and provide a more disaggregate analysis of the relationship between robbery and total alcohol outlet density. Results of these two spatial regime models suggest that there were significant differences between South Milwaukee block groups and North Milwaukee block groups. For example, while total alcohol outlet density, population density, and proportion African American were significantly and positively associated with robbery density in North Milwaukee block groups, there was no evidence that these variables played a role in robbery density in South Milwaukee block groups.</w:t>
      </w:r>
    </w:p>
    <w:p w14:paraId="681BDDC0" w14:textId="7A5BECE9" w:rsidR="00D32DB9" w:rsidRPr="0033310C" w:rsidRDefault="00D32DB9" w:rsidP="00D32DB9">
      <w:r w:rsidRPr="0033310C">
        <w:t xml:space="preserve">Table 4 shows results of Models 4–6 that were estimated to assess the relationship between robbery density and </w:t>
      </w:r>
      <w:proofErr w:type="gramStart"/>
      <w:r w:rsidRPr="0033310C">
        <w:t>on-premise</w:t>
      </w:r>
      <w:proofErr w:type="gramEnd"/>
      <w:r w:rsidRPr="0033310C">
        <w:t xml:space="preserve"> alcohol outlet density, net of control variables. The association between robbery density and </w:t>
      </w:r>
      <w:proofErr w:type="gramStart"/>
      <w:r w:rsidRPr="0033310C">
        <w:t>on-premise</w:t>
      </w:r>
      <w:proofErr w:type="gramEnd"/>
      <w:r w:rsidRPr="0033310C">
        <w:t xml:space="preserve"> alcohol outlet density appeared to be statistically significant only in the global model (Model 4), although the </w:t>
      </w:r>
      <w:r w:rsidRPr="0033310C">
        <w:rPr>
          <w:i/>
          <w:iCs/>
        </w:rPr>
        <w:t>p</w:t>
      </w:r>
      <w:r w:rsidRPr="0033310C">
        <w:t xml:space="preserve">-value was borderline significant </w:t>
      </w:r>
      <m:oMath>
        <m:r>
          <w:rPr>
            <w:rFonts w:ascii="Cambria Math" w:hAnsi="Cambria Math"/>
          </w:rPr>
          <m:t>(</m:t>
        </m:r>
        <m:r>
          <w:rPr>
            <w:rFonts w:ascii="Cambria Math" w:hAnsi="Cambria Math"/>
          </w:rPr>
          <m:t>p</m:t>
        </m:r>
        <m:r>
          <w:rPr>
            <w:rFonts w:ascii="Cambria Math" w:hAnsi="Cambria Math"/>
          </w:rPr>
          <m:t> = 0.0459)</m:t>
        </m:r>
      </m:oMath>
      <w:r w:rsidRPr="0033310C">
        <w:t xml:space="preserve"> and prohibits us from making definite conclusions. Results of Model 4 suggest that population density continued to be a significant contributor to the model, along with several social disorganization variables, such as proportion African American, proportion single parent households, and proportion living in poverty, and the spatial lag term (</w:t>
      </w:r>
      <w:r w:rsidRPr="0033310C">
        <w:rPr>
          <w:i/>
          <w:iCs/>
        </w:rPr>
        <w:t>Rho</w:t>
      </w:r>
      <w:r w:rsidRPr="0033310C">
        <w:t xml:space="preserve">). Model 4 explained </w:t>
      </w:r>
      <w:r w:rsidRPr="0033310C">
        <w:lastRenderedPageBreak/>
        <w:t xml:space="preserve">about 58% of the variance in robbery density. However, differences along the spatial regime were noted as population density and proportion African American were only positively and significantly associated with robbery density in the North Milwaukee block groups. Moreover, the results of the global model seen in Model 4 suggest that the association between the proportion of single parent households, proportion living in poverty, and </w:t>
      </w:r>
      <w:proofErr w:type="gramStart"/>
      <w:r w:rsidRPr="0033310C">
        <w:t>on-premise</w:t>
      </w:r>
      <w:proofErr w:type="gramEnd"/>
      <w:r w:rsidRPr="0033310C">
        <w:t xml:space="preserve"> alcohol outlet density with robbery density was only significant in the global model and not in the spatial regime models (Model 5 and Model 6).</w:t>
      </w:r>
    </w:p>
    <w:p w14:paraId="101704FD" w14:textId="77777777" w:rsidR="00D32DB9" w:rsidRPr="0033310C" w:rsidRDefault="00D32DB9" w:rsidP="00D32DB9">
      <w:r w:rsidRPr="0033310C">
        <w:t>Lastly, </w:t>
      </w:r>
      <w:bookmarkStart w:id="64" w:name="bt0025"/>
      <w:r w:rsidRPr="0033310C">
        <w:t>Table 5</w:t>
      </w:r>
      <w:bookmarkEnd w:id="64"/>
      <w:r w:rsidRPr="0033310C">
        <w:t> shows results of Models 7–9 that examined the association between off-</w:t>
      </w:r>
      <w:proofErr w:type="gramStart"/>
      <w:r w:rsidRPr="0033310C">
        <w:t>premise</w:t>
      </w:r>
      <w:proofErr w:type="gramEnd"/>
      <w:r w:rsidRPr="0033310C">
        <w:t xml:space="preserve"> alcohol outlet density and robbery density net of control variables. Results of Model 7 suggested that off-</w:t>
      </w:r>
      <w:proofErr w:type="gramStart"/>
      <w:r w:rsidRPr="0033310C">
        <w:t>premise</w:t>
      </w:r>
      <w:proofErr w:type="gramEnd"/>
      <w:r w:rsidRPr="0033310C">
        <w:t xml:space="preserve"> alcohol outlet density was positively and significantly associated with robbery density. The spatial lag (</w:t>
      </w:r>
      <w:r w:rsidRPr="0033310C">
        <w:rPr>
          <w:i/>
          <w:iCs/>
        </w:rPr>
        <w:t>Rho</w:t>
      </w:r>
      <w:r w:rsidRPr="0033310C">
        <w:t>) associated with robbery density in the Model 7 was a positive and significant contributor to the model. Additionally, population density was positively and significantly associated with robbery density, and so was the proportion African American. The model explained about 59% of the variance in robbery density. There were significant differences across spatial regimes, between South Milwaukee block groups and North Milwaukee block groups. For example, while there is a positive and significant association between population density and proportion African American with robbery density in North Milwaukee block groups, there is no evidence that population density and proportion African American play a role in robbery density in South Milwaukee block groups. Nonetheless, the association between off-</w:t>
      </w:r>
      <w:proofErr w:type="gramStart"/>
      <w:r w:rsidRPr="0033310C">
        <w:t>premise</w:t>
      </w:r>
      <w:proofErr w:type="gramEnd"/>
      <w:r w:rsidRPr="0033310C">
        <w:t xml:space="preserve"> alcohol outlet density and robbery density was evident not only in the global model as seen in Model 7, but also in the spatial regime models, Model 8 and Model 9.</w:t>
      </w:r>
    </w:p>
    <w:p w14:paraId="5E272983" w14:textId="77777777" w:rsidR="00D32DB9" w:rsidRPr="0033310C" w:rsidRDefault="00D32DB9" w:rsidP="00D32DB9">
      <w:r w:rsidRPr="0033310C">
        <w:t xml:space="preserve">Next, we examined the association between alcohol outlet density and robbery </w:t>
      </w:r>
      <w:proofErr w:type="gramStart"/>
      <w:r w:rsidRPr="0033310C">
        <w:t>density, and</w:t>
      </w:r>
      <w:proofErr w:type="gramEnd"/>
      <w:r w:rsidRPr="0033310C">
        <w:t xml:space="preserve"> tested for the direct and moderating effect of social disorganization index in Milwaukee census block groups. </w:t>
      </w:r>
      <w:bookmarkStart w:id="65" w:name="bt0030"/>
      <w:r w:rsidRPr="0033310C">
        <w:t>Table 6</w:t>
      </w:r>
      <w:bookmarkEnd w:id="65"/>
      <w:r w:rsidRPr="0033310C">
        <w:t> shows the results of robbery density regressed on alcohol outlet types, social disorganization index, and control variables for Milwaukee block groups. Model 10 examined the association between total alcohol outlet density and robbery density net of control variables. In Model 10 we see that total alcohol outlet density was not significantly associated with robbery density, when directly controlling for social disorganization index, which was positively and significantly associated with robbery density. Model 10 also suggests that, as in Model 1, both population density and the spatial lag term (</w:t>
      </w:r>
      <w:r w:rsidRPr="0033310C">
        <w:rPr>
          <w:i/>
          <w:iCs/>
        </w:rPr>
        <w:t>Rho</w:t>
      </w:r>
      <w:r w:rsidRPr="0033310C">
        <w:t>) associated with robbery density were positive and significant contributors to the model. The model explained about 56% of the variance in robbery density. Results of Models 11 and 12 suggest that there were significant spatial regime differences between South Milwaukee block groups and North Milwaukee block groups. For example, while there is a positive and significant association between population density and robbery density, and between social disorganization and robbery density in North Milwaukee block groups, there is no evidence of such relationships for South Milwaukee block groups.</w:t>
      </w:r>
    </w:p>
    <w:p w14:paraId="1F706AFF" w14:textId="77777777" w:rsidR="00D32DB9" w:rsidRPr="0033310C" w:rsidRDefault="00D32DB9" w:rsidP="00D32DB9">
      <w:r w:rsidRPr="0033310C">
        <w:t xml:space="preserve">Table 7 shows results of global and spatial regime models that examined the association between </w:t>
      </w:r>
      <w:proofErr w:type="gramStart"/>
      <w:r w:rsidRPr="0033310C">
        <w:t>on-premise</w:t>
      </w:r>
      <w:proofErr w:type="gramEnd"/>
      <w:r w:rsidRPr="0033310C">
        <w:t xml:space="preserve"> alcohol outlet density and robbery density. Results of Model 13 suggest that the density of </w:t>
      </w:r>
      <w:proofErr w:type="gramStart"/>
      <w:r w:rsidRPr="0033310C">
        <w:t>on-premise</w:t>
      </w:r>
      <w:proofErr w:type="gramEnd"/>
      <w:r w:rsidRPr="0033310C">
        <w:t xml:space="preserve"> alcohol outlets was not significantly associated with robbery density net of control variables. However, like in the Model 10 above, social disorganization was a positive and significant contributor to the model. Additionally, both population density and spatial lag term (</w:t>
      </w:r>
      <w:r w:rsidRPr="0033310C">
        <w:rPr>
          <w:i/>
          <w:iCs/>
        </w:rPr>
        <w:t>Rho</w:t>
      </w:r>
      <w:r w:rsidRPr="0033310C">
        <w:t>) were associated with robbery density. This model explained about 55% of the variance in robbery density. Significant differences in the spatial regime for Milwaukee block groups were noted in the relationship of robbery density with population density and with social disorganization. For example, results of Model 15 suggest that social disorganization was positively associated with robbery density in the North Milwaukee block groups. However, results of Model 14 suggest no significant association between social disorganization and robbery density in South Milwaukee block groups.</w:t>
      </w:r>
    </w:p>
    <w:p w14:paraId="3DB1E540" w14:textId="4147561A" w:rsidR="00D32DB9" w:rsidRDefault="00D32DB9" w:rsidP="00D32DB9">
      <w:pPr>
        <w:sectPr w:rsidR="00D32DB9" w:rsidSect="00D22874">
          <w:pgSz w:w="12240" w:h="15840"/>
          <w:pgMar w:top="1080" w:right="1080" w:bottom="1080" w:left="1080" w:header="720" w:footer="720" w:gutter="0"/>
          <w:cols w:space="720"/>
          <w:docGrid w:linePitch="360"/>
        </w:sectPr>
      </w:pPr>
      <w:r w:rsidRPr="0033310C">
        <w:t>Lastly, </w:t>
      </w:r>
      <w:bookmarkStart w:id="66" w:name="bt0040"/>
      <w:r w:rsidRPr="0033310C">
        <w:t>Table 8</w:t>
      </w:r>
      <w:bookmarkEnd w:id="66"/>
      <w:r w:rsidRPr="0033310C">
        <w:t> shows results of models that examined whether association exists between off-</w:t>
      </w:r>
      <w:proofErr w:type="gramStart"/>
      <w:r w:rsidRPr="0033310C">
        <w:t>premise</w:t>
      </w:r>
      <w:proofErr w:type="gramEnd"/>
      <w:r w:rsidRPr="0033310C">
        <w:t xml:space="preserve"> alcohol outlet density and robbery density. Results of Model 16 suggest that although social disorganization remained a positive and significant contributor to the model, the density of off-</w:t>
      </w:r>
      <w:proofErr w:type="gramStart"/>
      <w:r w:rsidRPr="0033310C">
        <w:t>premise</w:t>
      </w:r>
      <w:proofErr w:type="gramEnd"/>
      <w:r w:rsidRPr="0033310C">
        <w:t xml:space="preserve"> alcohol outlets was also significantly and positively associated with robbery density across global and spatial regime models. Both population density </w:t>
      </w:r>
      <w:r w:rsidRPr="0033310C">
        <w:lastRenderedPageBreak/>
        <w:t>and spatial lag term (</w:t>
      </w:r>
      <w:r w:rsidRPr="0033310C">
        <w:rPr>
          <w:i/>
          <w:iCs/>
        </w:rPr>
        <w:t>Rho</w:t>
      </w:r>
      <w:r w:rsidRPr="0033310C">
        <w:t>) were significantly associated with robbery density in the global model, as evidenced in Model 16. This model explained about 56% of variance in robbery density. Once again, the differences in spatial regimes were noted. For example, results of Model 18 suggest that both population density and social disorganization were significantly associated with robbery density in North Milwaukee block groups, although they were not so in South Milwaukee block groups as shown in Model 17. Nevertheless, the density of off-</w:t>
      </w:r>
      <w:proofErr w:type="gramStart"/>
      <w:r w:rsidRPr="0033310C">
        <w:t>premise</w:t>
      </w:r>
      <w:proofErr w:type="gramEnd"/>
      <w:r w:rsidRPr="0033310C">
        <w:t xml:space="preserve"> alcohol outlet density was positively associated with robbery density across the global and the spatial regime models</w:t>
      </w:r>
      <w:r w:rsidR="00881708">
        <w:t>.</w:t>
      </w:r>
    </w:p>
    <w:p w14:paraId="049EE020" w14:textId="20F1D1B7" w:rsidR="0033310C" w:rsidRPr="0033310C" w:rsidRDefault="0033310C" w:rsidP="00106666">
      <w:pPr>
        <w:spacing w:after="0"/>
      </w:pPr>
      <w:r w:rsidRPr="0033310C">
        <w:lastRenderedPageBreak/>
        <w:t xml:space="preserve">Table 2. Correlation matrix for Milwaukee block groups </w:t>
      </w:r>
      <m:oMath>
        <m:r>
          <w:rPr>
            <w:rFonts w:ascii="Cambria Math" w:hAnsi="Cambria Math"/>
          </w:rPr>
          <m:t>(</m:t>
        </m:r>
        <m:r>
          <w:rPr>
            <w:rFonts w:ascii="Cambria Math" w:hAnsi="Cambria Math"/>
          </w:rPr>
          <m:t>N</m:t>
        </m:r>
        <m:r>
          <w:rPr>
            <w:rFonts w:ascii="Cambria Math" w:hAnsi="Cambria Math"/>
          </w:rPr>
          <m:t> = 571)</m:t>
        </m:r>
      </m:oMath>
      <w:r w:rsidRPr="0033310C">
        <w:t>.</w:t>
      </w:r>
    </w:p>
    <w:tbl>
      <w:tblPr>
        <w:tblStyle w:val="TableGrid"/>
        <w:tblW w:w="0" w:type="auto"/>
        <w:tblLook w:val="04A0" w:firstRow="1" w:lastRow="0" w:firstColumn="1" w:lastColumn="0" w:noHBand="0" w:noVBand="1"/>
      </w:tblPr>
      <w:tblGrid>
        <w:gridCol w:w="3891"/>
        <w:gridCol w:w="869"/>
        <w:gridCol w:w="869"/>
        <w:gridCol w:w="869"/>
        <w:gridCol w:w="869"/>
        <w:gridCol w:w="869"/>
        <w:gridCol w:w="869"/>
        <w:gridCol w:w="759"/>
        <w:gridCol w:w="759"/>
        <w:gridCol w:w="869"/>
        <w:gridCol w:w="869"/>
        <w:gridCol w:w="869"/>
        <w:gridCol w:w="440"/>
      </w:tblGrid>
      <w:tr w:rsidR="0033310C" w:rsidRPr="0033310C" w14:paraId="58D3986E" w14:textId="77777777" w:rsidTr="00106666">
        <w:tc>
          <w:tcPr>
            <w:tcW w:w="0" w:type="auto"/>
            <w:hideMark/>
          </w:tcPr>
          <w:p w14:paraId="5E08E4B8" w14:textId="77777777" w:rsidR="0033310C" w:rsidRPr="0033310C" w:rsidRDefault="0033310C" w:rsidP="00106666">
            <w:pPr>
              <w:pStyle w:val="NoSpacing"/>
            </w:pPr>
            <w:r w:rsidRPr="0033310C">
              <w:t>Empty Cell</w:t>
            </w:r>
          </w:p>
        </w:tc>
        <w:tc>
          <w:tcPr>
            <w:tcW w:w="0" w:type="auto"/>
            <w:hideMark/>
          </w:tcPr>
          <w:p w14:paraId="163B506C" w14:textId="77777777" w:rsidR="0033310C" w:rsidRPr="0033310C" w:rsidRDefault="0033310C" w:rsidP="00106666">
            <w:pPr>
              <w:pStyle w:val="NoSpacing"/>
            </w:pPr>
            <w:r w:rsidRPr="0033310C">
              <w:t>1</w:t>
            </w:r>
          </w:p>
        </w:tc>
        <w:tc>
          <w:tcPr>
            <w:tcW w:w="0" w:type="auto"/>
            <w:hideMark/>
          </w:tcPr>
          <w:p w14:paraId="7C88F016" w14:textId="77777777" w:rsidR="0033310C" w:rsidRPr="0033310C" w:rsidRDefault="0033310C" w:rsidP="00106666">
            <w:pPr>
              <w:pStyle w:val="NoSpacing"/>
            </w:pPr>
            <w:r w:rsidRPr="0033310C">
              <w:t>2</w:t>
            </w:r>
          </w:p>
        </w:tc>
        <w:tc>
          <w:tcPr>
            <w:tcW w:w="0" w:type="auto"/>
            <w:hideMark/>
          </w:tcPr>
          <w:p w14:paraId="2C6F6651" w14:textId="77777777" w:rsidR="0033310C" w:rsidRPr="0033310C" w:rsidRDefault="0033310C" w:rsidP="00106666">
            <w:pPr>
              <w:pStyle w:val="NoSpacing"/>
            </w:pPr>
            <w:r w:rsidRPr="0033310C">
              <w:t>3</w:t>
            </w:r>
          </w:p>
        </w:tc>
        <w:tc>
          <w:tcPr>
            <w:tcW w:w="0" w:type="auto"/>
            <w:hideMark/>
          </w:tcPr>
          <w:p w14:paraId="48B501AC" w14:textId="77777777" w:rsidR="0033310C" w:rsidRPr="0033310C" w:rsidRDefault="0033310C" w:rsidP="00106666">
            <w:pPr>
              <w:pStyle w:val="NoSpacing"/>
            </w:pPr>
            <w:r w:rsidRPr="0033310C">
              <w:t>4</w:t>
            </w:r>
          </w:p>
        </w:tc>
        <w:tc>
          <w:tcPr>
            <w:tcW w:w="0" w:type="auto"/>
            <w:hideMark/>
          </w:tcPr>
          <w:p w14:paraId="630E11ED" w14:textId="77777777" w:rsidR="0033310C" w:rsidRPr="0033310C" w:rsidRDefault="0033310C" w:rsidP="00106666">
            <w:pPr>
              <w:pStyle w:val="NoSpacing"/>
            </w:pPr>
            <w:r w:rsidRPr="0033310C">
              <w:t>5</w:t>
            </w:r>
          </w:p>
        </w:tc>
        <w:tc>
          <w:tcPr>
            <w:tcW w:w="0" w:type="auto"/>
            <w:hideMark/>
          </w:tcPr>
          <w:p w14:paraId="2DD2A743" w14:textId="77777777" w:rsidR="0033310C" w:rsidRPr="0033310C" w:rsidRDefault="0033310C" w:rsidP="00106666">
            <w:pPr>
              <w:pStyle w:val="NoSpacing"/>
            </w:pPr>
            <w:r w:rsidRPr="0033310C">
              <w:t>6</w:t>
            </w:r>
          </w:p>
        </w:tc>
        <w:tc>
          <w:tcPr>
            <w:tcW w:w="0" w:type="auto"/>
            <w:hideMark/>
          </w:tcPr>
          <w:p w14:paraId="056779FA" w14:textId="77777777" w:rsidR="0033310C" w:rsidRPr="0033310C" w:rsidRDefault="0033310C" w:rsidP="00106666">
            <w:pPr>
              <w:pStyle w:val="NoSpacing"/>
            </w:pPr>
            <w:r w:rsidRPr="0033310C">
              <w:t>7</w:t>
            </w:r>
          </w:p>
        </w:tc>
        <w:tc>
          <w:tcPr>
            <w:tcW w:w="0" w:type="auto"/>
            <w:hideMark/>
          </w:tcPr>
          <w:p w14:paraId="6DBF2DFB" w14:textId="77777777" w:rsidR="0033310C" w:rsidRPr="0033310C" w:rsidRDefault="0033310C" w:rsidP="00106666">
            <w:pPr>
              <w:pStyle w:val="NoSpacing"/>
            </w:pPr>
            <w:r w:rsidRPr="0033310C">
              <w:t>8</w:t>
            </w:r>
          </w:p>
        </w:tc>
        <w:tc>
          <w:tcPr>
            <w:tcW w:w="0" w:type="auto"/>
            <w:hideMark/>
          </w:tcPr>
          <w:p w14:paraId="5A53DEEF" w14:textId="77777777" w:rsidR="0033310C" w:rsidRPr="0033310C" w:rsidRDefault="0033310C" w:rsidP="00106666">
            <w:pPr>
              <w:pStyle w:val="NoSpacing"/>
            </w:pPr>
            <w:r w:rsidRPr="0033310C">
              <w:t>9</w:t>
            </w:r>
          </w:p>
        </w:tc>
        <w:tc>
          <w:tcPr>
            <w:tcW w:w="0" w:type="auto"/>
            <w:hideMark/>
          </w:tcPr>
          <w:p w14:paraId="5E9C4E44" w14:textId="77777777" w:rsidR="0033310C" w:rsidRPr="0033310C" w:rsidRDefault="0033310C" w:rsidP="00106666">
            <w:pPr>
              <w:pStyle w:val="NoSpacing"/>
            </w:pPr>
            <w:r w:rsidRPr="0033310C">
              <w:t>10</w:t>
            </w:r>
          </w:p>
        </w:tc>
        <w:tc>
          <w:tcPr>
            <w:tcW w:w="0" w:type="auto"/>
            <w:hideMark/>
          </w:tcPr>
          <w:p w14:paraId="2D735F92" w14:textId="77777777" w:rsidR="0033310C" w:rsidRPr="0033310C" w:rsidRDefault="0033310C" w:rsidP="00106666">
            <w:pPr>
              <w:pStyle w:val="NoSpacing"/>
            </w:pPr>
            <w:r w:rsidRPr="0033310C">
              <w:t>11</w:t>
            </w:r>
          </w:p>
        </w:tc>
        <w:tc>
          <w:tcPr>
            <w:tcW w:w="0" w:type="auto"/>
            <w:hideMark/>
          </w:tcPr>
          <w:p w14:paraId="3E2627D9" w14:textId="77777777" w:rsidR="0033310C" w:rsidRPr="0033310C" w:rsidRDefault="0033310C" w:rsidP="00106666">
            <w:pPr>
              <w:pStyle w:val="NoSpacing"/>
            </w:pPr>
            <w:r w:rsidRPr="0033310C">
              <w:t>12</w:t>
            </w:r>
          </w:p>
        </w:tc>
      </w:tr>
      <w:tr w:rsidR="0033310C" w:rsidRPr="0033310C" w14:paraId="0CCC1B07" w14:textId="77777777" w:rsidTr="00106666">
        <w:tc>
          <w:tcPr>
            <w:tcW w:w="0" w:type="auto"/>
            <w:hideMark/>
          </w:tcPr>
          <w:p w14:paraId="488BA3AE" w14:textId="77777777" w:rsidR="0033310C" w:rsidRPr="0033310C" w:rsidRDefault="0033310C" w:rsidP="00106666">
            <w:pPr>
              <w:pStyle w:val="NoSpacing"/>
            </w:pPr>
            <w:r w:rsidRPr="0033310C">
              <w:t>1. Robbery density</w:t>
            </w:r>
          </w:p>
        </w:tc>
        <w:tc>
          <w:tcPr>
            <w:tcW w:w="0" w:type="auto"/>
            <w:hideMark/>
          </w:tcPr>
          <w:p w14:paraId="30131D62" w14:textId="77777777" w:rsidR="0033310C" w:rsidRPr="0033310C" w:rsidRDefault="0033310C" w:rsidP="00106666">
            <w:pPr>
              <w:pStyle w:val="NoSpacing"/>
            </w:pPr>
            <w:r w:rsidRPr="0033310C">
              <w:t>1</w:t>
            </w:r>
          </w:p>
        </w:tc>
        <w:tc>
          <w:tcPr>
            <w:tcW w:w="0" w:type="auto"/>
            <w:hideMark/>
          </w:tcPr>
          <w:p w14:paraId="685B03E7" w14:textId="77777777" w:rsidR="0033310C" w:rsidRPr="0033310C" w:rsidRDefault="0033310C" w:rsidP="00106666">
            <w:pPr>
              <w:pStyle w:val="NoSpacing"/>
            </w:pPr>
          </w:p>
        </w:tc>
        <w:tc>
          <w:tcPr>
            <w:tcW w:w="0" w:type="auto"/>
            <w:hideMark/>
          </w:tcPr>
          <w:p w14:paraId="06B1A3D1" w14:textId="77777777" w:rsidR="0033310C" w:rsidRPr="0033310C" w:rsidRDefault="0033310C" w:rsidP="00106666">
            <w:pPr>
              <w:pStyle w:val="NoSpacing"/>
            </w:pPr>
          </w:p>
        </w:tc>
        <w:tc>
          <w:tcPr>
            <w:tcW w:w="0" w:type="auto"/>
            <w:hideMark/>
          </w:tcPr>
          <w:p w14:paraId="67E635CE" w14:textId="77777777" w:rsidR="0033310C" w:rsidRPr="0033310C" w:rsidRDefault="0033310C" w:rsidP="00106666">
            <w:pPr>
              <w:pStyle w:val="NoSpacing"/>
            </w:pPr>
          </w:p>
        </w:tc>
        <w:tc>
          <w:tcPr>
            <w:tcW w:w="0" w:type="auto"/>
            <w:hideMark/>
          </w:tcPr>
          <w:p w14:paraId="05AB1879" w14:textId="77777777" w:rsidR="0033310C" w:rsidRPr="0033310C" w:rsidRDefault="0033310C" w:rsidP="00106666">
            <w:pPr>
              <w:pStyle w:val="NoSpacing"/>
            </w:pPr>
          </w:p>
        </w:tc>
        <w:tc>
          <w:tcPr>
            <w:tcW w:w="0" w:type="auto"/>
            <w:hideMark/>
          </w:tcPr>
          <w:p w14:paraId="0FD69E5F" w14:textId="77777777" w:rsidR="0033310C" w:rsidRPr="0033310C" w:rsidRDefault="0033310C" w:rsidP="00106666">
            <w:pPr>
              <w:pStyle w:val="NoSpacing"/>
            </w:pPr>
          </w:p>
        </w:tc>
        <w:tc>
          <w:tcPr>
            <w:tcW w:w="0" w:type="auto"/>
            <w:hideMark/>
          </w:tcPr>
          <w:p w14:paraId="37864FC5" w14:textId="77777777" w:rsidR="0033310C" w:rsidRPr="0033310C" w:rsidRDefault="0033310C" w:rsidP="00106666">
            <w:pPr>
              <w:pStyle w:val="NoSpacing"/>
            </w:pPr>
          </w:p>
        </w:tc>
        <w:tc>
          <w:tcPr>
            <w:tcW w:w="0" w:type="auto"/>
            <w:hideMark/>
          </w:tcPr>
          <w:p w14:paraId="36AF0751" w14:textId="77777777" w:rsidR="0033310C" w:rsidRPr="0033310C" w:rsidRDefault="0033310C" w:rsidP="00106666">
            <w:pPr>
              <w:pStyle w:val="NoSpacing"/>
            </w:pPr>
          </w:p>
        </w:tc>
        <w:tc>
          <w:tcPr>
            <w:tcW w:w="0" w:type="auto"/>
            <w:hideMark/>
          </w:tcPr>
          <w:p w14:paraId="73B88497" w14:textId="77777777" w:rsidR="0033310C" w:rsidRPr="0033310C" w:rsidRDefault="0033310C" w:rsidP="00106666">
            <w:pPr>
              <w:pStyle w:val="NoSpacing"/>
            </w:pPr>
          </w:p>
        </w:tc>
        <w:tc>
          <w:tcPr>
            <w:tcW w:w="0" w:type="auto"/>
            <w:hideMark/>
          </w:tcPr>
          <w:p w14:paraId="08C390B7" w14:textId="77777777" w:rsidR="0033310C" w:rsidRPr="0033310C" w:rsidRDefault="0033310C" w:rsidP="00106666">
            <w:pPr>
              <w:pStyle w:val="NoSpacing"/>
            </w:pPr>
          </w:p>
        </w:tc>
        <w:tc>
          <w:tcPr>
            <w:tcW w:w="0" w:type="auto"/>
            <w:hideMark/>
          </w:tcPr>
          <w:p w14:paraId="519379B2" w14:textId="77777777" w:rsidR="0033310C" w:rsidRPr="0033310C" w:rsidRDefault="0033310C" w:rsidP="00106666">
            <w:pPr>
              <w:pStyle w:val="NoSpacing"/>
            </w:pPr>
          </w:p>
        </w:tc>
        <w:tc>
          <w:tcPr>
            <w:tcW w:w="0" w:type="auto"/>
            <w:hideMark/>
          </w:tcPr>
          <w:p w14:paraId="21B08ADE" w14:textId="77777777" w:rsidR="0033310C" w:rsidRPr="0033310C" w:rsidRDefault="0033310C" w:rsidP="00106666">
            <w:pPr>
              <w:pStyle w:val="NoSpacing"/>
            </w:pPr>
          </w:p>
        </w:tc>
      </w:tr>
      <w:tr w:rsidR="0033310C" w:rsidRPr="0033310C" w14:paraId="44A8F1FA" w14:textId="77777777" w:rsidTr="00106666">
        <w:tc>
          <w:tcPr>
            <w:tcW w:w="0" w:type="auto"/>
            <w:hideMark/>
          </w:tcPr>
          <w:p w14:paraId="0D358DC0" w14:textId="77777777" w:rsidR="0033310C" w:rsidRPr="0033310C" w:rsidRDefault="0033310C" w:rsidP="00106666">
            <w:pPr>
              <w:pStyle w:val="NoSpacing"/>
            </w:pPr>
            <w:bookmarkStart w:id="67" w:name="btblfn2" w:colFirst="1" w:colLast="11"/>
            <w:r w:rsidRPr="0033310C">
              <w:t>2. Total alcohol outlet density</w:t>
            </w:r>
          </w:p>
        </w:tc>
        <w:tc>
          <w:tcPr>
            <w:tcW w:w="0" w:type="auto"/>
            <w:hideMark/>
          </w:tcPr>
          <w:p w14:paraId="5A8BA6AF" w14:textId="4219AA2A" w:rsidR="0033310C" w:rsidRPr="0033310C" w:rsidRDefault="0033310C" w:rsidP="00106666">
            <w:pPr>
              <w:pStyle w:val="NoSpacing"/>
            </w:pPr>
            <w:r w:rsidRPr="0033310C">
              <w:t>.202</w:t>
            </w:r>
            <w:r w:rsidRPr="0033310C">
              <w:rPr>
                <w:rFonts w:ascii="Tahoma" w:hAnsi="Tahoma" w:cs="Tahoma"/>
                <w:vertAlign w:val="superscript"/>
              </w:rPr>
              <w:t>⁎⁎</w:t>
            </w:r>
          </w:p>
        </w:tc>
        <w:tc>
          <w:tcPr>
            <w:tcW w:w="0" w:type="auto"/>
            <w:hideMark/>
          </w:tcPr>
          <w:p w14:paraId="3A8680A9" w14:textId="77777777" w:rsidR="0033310C" w:rsidRPr="0033310C" w:rsidRDefault="0033310C" w:rsidP="00106666">
            <w:pPr>
              <w:pStyle w:val="NoSpacing"/>
            </w:pPr>
            <w:r w:rsidRPr="0033310C">
              <w:t>1</w:t>
            </w:r>
          </w:p>
        </w:tc>
        <w:tc>
          <w:tcPr>
            <w:tcW w:w="0" w:type="auto"/>
            <w:hideMark/>
          </w:tcPr>
          <w:p w14:paraId="55029B40" w14:textId="77777777" w:rsidR="0033310C" w:rsidRPr="0033310C" w:rsidRDefault="0033310C" w:rsidP="00106666">
            <w:pPr>
              <w:pStyle w:val="NoSpacing"/>
            </w:pPr>
          </w:p>
        </w:tc>
        <w:tc>
          <w:tcPr>
            <w:tcW w:w="0" w:type="auto"/>
            <w:hideMark/>
          </w:tcPr>
          <w:p w14:paraId="600AC781" w14:textId="77777777" w:rsidR="0033310C" w:rsidRPr="0033310C" w:rsidRDefault="0033310C" w:rsidP="00106666">
            <w:pPr>
              <w:pStyle w:val="NoSpacing"/>
            </w:pPr>
          </w:p>
        </w:tc>
        <w:tc>
          <w:tcPr>
            <w:tcW w:w="0" w:type="auto"/>
            <w:hideMark/>
          </w:tcPr>
          <w:p w14:paraId="1894973A" w14:textId="77777777" w:rsidR="0033310C" w:rsidRPr="0033310C" w:rsidRDefault="0033310C" w:rsidP="00106666">
            <w:pPr>
              <w:pStyle w:val="NoSpacing"/>
            </w:pPr>
          </w:p>
        </w:tc>
        <w:tc>
          <w:tcPr>
            <w:tcW w:w="0" w:type="auto"/>
            <w:hideMark/>
          </w:tcPr>
          <w:p w14:paraId="177A4D1C" w14:textId="77777777" w:rsidR="0033310C" w:rsidRPr="0033310C" w:rsidRDefault="0033310C" w:rsidP="00106666">
            <w:pPr>
              <w:pStyle w:val="NoSpacing"/>
            </w:pPr>
          </w:p>
        </w:tc>
        <w:tc>
          <w:tcPr>
            <w:tcW w:w="0" w:type="auto"/>
            <w:hideMark/>
          </w:tcPr>
          <w:p w14:paraId="49ECF81F" w14:textId="77777777" w:rsidR="0033310C" w:rsidRPr="0033310C" w:rsidRDefault="0033310C" w:rsidP="00106666">
            <w:pPr>
              <w:pStyle w:val="NoSpacing"/>
            </w:pPr>
          </w:p>
        </w:tc>
        <w:tc>
          <w:tcPr>
            <w:tcW w:w="0" w:type="auto"/>
            <w:hideMark/>
          </w:tcPr>
          <w:p w14:paraId="22F7AC02" w14:textId="77777777" w:rsidR="0033310C" w:rsidRPr="0033310C" w:rsidRDefault="0033310C" w:rsidP="00106666">
            <w:pPr>
              <w:pStyle w:val="NoSpacing"/>
            </w:pPr>
          </w:p>
        </w:tc>
        <w:tc>
          <w:tcPr>
            <w:tcW w:w="0" w:type="auto"/>
            <w:hideMark/>
          </w:tcPr>
          <w:p w14:paraId="128E8E0A" w14:textId="77777777" w:rsidR="0033310C" w:rsidRPr="0033310C" w:rsidRDefault="0033310C" w:rsidP="00106666">
            <w:pPr>
              <w:pStyle w:val="NoSpacing"/>
            </w:pPr>
          </w:p>
        </w:tc>
        <w:tc>
          <w:tcPr>
            <w:tcW w:w="0" w:type="auto"/>
            <w:hideMark/>
          </w:tcPr>
          <w:p w14:paraId="01EBC9C9" w14:textId="77777777" w:rsidR="0033310C" w:rsidRPr="0033310C" w:rsidRDefault="0033310C" w:rsidP="00106666">
            <w:pPr>
              <w:pStyle w:val="NoSpacing"/>
            </w:pPr>
          </w:p>
        </w:tc>
        <w:tc>
          <w:tcPr>
            <w:tcW w:w="0" w:type="auto"/>
            <w:hideMark/>
          </w:tcPr>
          <w:p w14:paraId="4DA8E7AE" w14:textId="77777777" w:rsidR="0033310C" w:rsidRPr="0033310C" w:rsidRDefault="0033310C" w:rsidP="00106666">
            <w:pPr>
              <w:pStyle w:val="NoSpacing"/>
            </w:pPr>
          </w:p>
        </w:tc>
        <w:tc>
          <w:tcPr>
            <w:tcW w:w="0" w:type="auto"/>
            <w:hideMark/>
          </w:tcPr>
          <w:p w14:paraId="63CCD8E0" w14:textId="77777777" w:rsidR="0033310C" w:rsidRPr="0033310C" w:rsidRDefault="0033310C" w:rsidP="00106666">
            <w:pPr>
              <w:pStyle w:val="NoSpacing"/>
            </w:pPr>
          </w:p>
        </w:tc>
      </w:tr>
      <w:tr w:rsidR="0033310C" w:rsidRPr="0033310C" w14:paraId="2CFB67CB" w14:textId="77777777" w:rsidTr="00106666">
        <w:tc>
          <w:tcPr>
            <w:tcW w:w="0" w:type="auto"/>
            <w:hideMark/>
          </w:tcPr>
          <w:p w14:paraId="2057CD2D" w14:textId="77777777" w:rsidR="0033310C" w:rsidRPr="0033310C" w:rsidRDefault="0033310C" w:rsidP="00106666">
            <w:pPr>
              <w:pStyle w:val="NoSpacing"/>
            </w:pPr>
            <w:bookmarkStart w:id="68" w:name="btblfn1" w:colFirst="1" w:colLast="1"/>
            <w:r w:rsidRPr="0033310C">
              <w:t xml:space="preserve">3. </w:t>
            </w:r>
            <w:proofErr w:type="gramStart"/>
            <w:r w:rsidRPr="0033310C">
              <w:t>On-premise</w:t>
            </w:r>
            <w:proofErr w:type="gramEnd"/>
            <w:r w:rsidRPr="0033310C">
              <w:t xml:space="preserve"> alcohol outlet density</w:t>
            </w:r>
          </w:p>
        </w:tc>
        <w:tc>
          <w:tcPr>
            <w:tcW w:w="0" w:type="auto"/>
            <w:hideMark/>
          </w:tcPr>
          <w:p w14:paraId="63670A84" w14:textId="2BAF4D91" w:rsidR="0033310C" w:rsidRPr="0033310C" w:rsidRDefault="0033310C" w:rsidP="00106666">
            <w:pPr>
              <w:pStyle w:val="NoSpacing"/>
            </w:pPr>
            <w:r w:rsidRPr="0033310C">
              <w:t>.105</w:t>
            </w:r>
            <w:r w:rsidRPr="0033310C">
              <w:rPr>
                <w:rFonts w:ascii="Tahoma" w:hAnsi="Tahoma" w:cs="Tahoma"/>
                <w:vertAlign w:val="superscript"/>
              </w:rPr>
              <w:t>⁎</w:t>
            </w:r>
          </w:p>
        </w:tc>
        <w:tc>
          <w:tcPr>
            <w:tcW w:w="0" w:type="auto"/>
            <w:hideMark/>
          </w:tcPr>
          <w:p w14:paraId="030B5BA0" w14:textId="54825430" w:rsidR="0033310C" w:rsidRPr="0033310C" w:rsidRDefault="0033310C" w:rsidP="00106666">
            <w:pPr>
              <w:pStyle w:val="NoSpacing"/>
            </w:pPr>
            <w:r w:rsidRPr="0033310C">
              <w:t>.960</w:t>
            </w:r>
            <w:r w:rsidRPr="0033310C">
              <w:rPr>
                <w:rFonts w:ascii="Tahoma" w:hAnsi="Tahoma" w:cs="Tahoma"/>
                <w:vertAlign w:val="superscript"/>
              </w:rPr>
              <w:t>⁎⁎</w:t>
            </w:r>
          </w:p>
        </w:tc>
        <w:tc>
          <w:tcPr>
            <w:tcW w:w="0" w:type="auto"/>
            <w:hideMark/>
          </w:tcPr>
          <w:p w14:paraId="65C6AB4A" w14:textId="77777777" w:rsidR="0033310C" w:rsidRPr="0033310C" w:rsidRDefault="0033310C" w:rsidP="00106666">
            <w:pPr>
              <w:pStyle w:val="NoSpacing"/>
            </w:pPr>
            <w:r w:rsidRPr="0033310C">
              <w:t>1</w:t>
            </w:r>
          </w:p>
        </w:tc>
        <w:tc>
          <w:tcPr>
            <w:tcW w:w="0" w:type="auto"/>
            <w:hideMark/>
          </w:tcPr>
          <w:p w14:paraId="11A62F7F" w14:textId="77777777" w:rsidR="0033310C" w:rsidRPr="0033310C" w:rsidRDefault="0033310C" w:rsidP="00106666">
            <w:pPr>
              <w:pStyle w:val="NoSpacing"/>
            </w:pPr>
          </w:p>
        </w:tc>
        <w:tc>
          <w:tcPr>
            <w:tcW w:w="0" w:type="auto"/>
            <w:hideMark/>
          </w:tcPr>
          <w:p w14:paraId="2F78DE0D" w14:textId="77777777" w:rsidR="0033310C" w:rsidRPr="0033310C" w:rsidRDefault="0033310C" w:rsidP="00106666">
            <w:pPr>
              <w:pStyle w:val="NoSpacing"/>
            </w:pPr>
          </w:p>
        </w:tc>
        <w:tc>
          <w:tcPr>
            <w:tcW w:w="0" w:type="auto"/>
            <w:hideMark/>
          </w:tcPr>
          <w:p w14:paraId="4AEB5411" w14:textId="77777777" w:rsidR="0033310C" w:rsidRPr="0033310C" w:rsidRDefault="0033310C" w:rsidP="00106666">
            <w:pPr>
              <w:pStyle w:val="NoSpacing"/>
            </w:pPr>
          </w:p>
        </w:tc>
        <w:tc>
          <w:tcPr>
            <w:tcW w:w="0" w:type="auto"/>
            <w:hideMark/>
          </w:tcPr>
          <w:p w14:paraId="4104E49F" w14:textId="77777777" w:rsidR="0033310C" w:rsidRPr="0033310C" w:rsidRDefault="0033310C" w:rsidP="00106666">
            <w:pPr>
              <w:pStyle w:val="NoSpacing"/>
            </w:pPr>
          </w:p>
        </w:tc>
        <w:tc>
          <w:tcPr>
            <w:tcW w:w="0" w:type="auto"/>
            <w:hideMark/>
          </w:tcPr>
          <w:p w14:paraId="73C3766F" w14:textId="77777777" w:rsidR="0033310C" w:rsidRPr="0033310C" w:rsidRDefault="0033310C" w:rsidP="00106666">
            <w:pPr>
              <w:pStyle w:val="NoSpacing"/>
            </w:pPr>
          </w:p>
        </w:tc>
        <w:tc>
          <w:tcPr>
            <w:tcW w:w="0" w:type="auto"/>
            <w:hideMark/>
          </w:tcPr>
          <w:p w14:paraId="2CA375E3" w14:textId="77777777" w:rsidR="0033310C" w:rsidRPr="0033310C" w:rsidRDefault="0033310C" w:rsidP="00106666">
            <w:pPr>
              <w:pStyle w:val="NoSpacing"/>
            </w:pPr>
          </w:p>
        </w:tc>
        <w:tc>
          <w:tcPr>
            <w:tcW w:w="0" w:type="auto"/>
            <w:hideMark/>
          </w:tcPr>
          <w:p w14:paraId="15EE5F28" w14:textId="77777777" w:rsidR="0033310C" w:rsidRPr="0033310C" w:rsidRDefault="0033310C" w:rsidP="00106666">
            <w:pPr>
              <w:pStyle w:val="NoSpacing"/>
            </w:pPr>
          </w:p>
        </w:tc>
        <w:tc>
          <w:tcPr>
            <w:tcW w:w="0" w:type="auto"/>
            <w:hideMark/>
          </w:tcPr>
          <w:p w14:paraId="74C54543" w14:textId="77777777" w:rsidR="0033310C" w:rsidRPr="0033310C" w:rsidRDefault="0033310C" w:rsidP="00106666">
            <w:pPr>
              <w:pStyle w:val="NoSpacing"/>
            </w:pPr>
          </w:p>
        </w:tc>
        <w:tc>
          <w:tcPr>
            <w:tcW w:w="0" w:type="auto"/>
            <w:hideMark/>
          </w:tcPr>
          <w:p w14:paraId="4EFF2356" w14:textId="77777777" w:rsidR="0033310C" w:rsidRPr="0033310C" w:rsidRDefault="0033310C" w:rsidP="00106666">
            <w:pPr>
              <w:pStyle w:val="NoSpacing"/>
            </w:pPr>
          </w:p>
        </w:tc>
      </w:tr>
      <w:tr w:rsidR="0033310C" w:rsidRPr="0033310C" w14:paraId="646C1AFB" w14:textId="77777777" w:rsidTr="00106666">
        <w:tc>
          <w:tcPr>
            <w:tcW w:w="0" w:type="auto"/>
            <w:hideMark/>
          </w:tcPr>
          <w:p w14:paraId="43C9B083" w14:textId="77777777" w:rsidR="0033310C" w:rsidRPr="0033310C" w:rsidRDefault="0033310C" w:rsidP="00106666">
            <w:pPr>
              <w:pStyle w:val="NoSpacing"/>
            </w:pPr>
            <w:r w:rsidRPr="0033310C">
              <w:t>4. Off-</w:t>
            </w:r>
            <w:proofErr w:type="gramStart"/>
            <w:r w:rsidRPr="0033310C">
              <w:t>premise</w:t>
            </w:r>
            <w:proofErr w:type="gramEnd"/>
            <w:r w:rsidRPr="0033310C">
              <w:t xml:space="preserve"> alcohol outlet density</w:t>
            </w:r>
          </w:p>
        </w:tc>
        <w:tc>
          <w:tcPr>
            <w:tcW w:w="0" w:type="auto"/>
            <w:hideMark/>
          </w:tcPr>
          <w:p w14:paraId="2B855C4C" w14:textId="172A8B78" w:rsidR="0033310C" w:rsidRPr="0033310C" w:rsidRDefault="0033310C" w:rsidP="00106666">
            <w:pPr>
              <w:pStyle w:val="NoSpacing"/>
            </w:pPr>
            <w:r w:rsidRPr="0033310C">
              <w:t>.377</w:t>
            </w:r>
            <w:r w:rsidRPr="0033310C">
              <w:rPr>
                <w:rFonts w:ascii="Tahoma" w:hAnsi="Tahoma" w:cs="Tahoma"/>
                <w:vertAlign w:val="superscript"/>
              </w:rPr>
              <w:t>⁎⁎</w:t>
            </w:r>
          </w:p>
        </w:tc>
        <w:tc>
          <w:tcPr>
            <w:tcW w:w="0" w:type="auto"/>
            <w:hideMark/>
          </w:tcPr>
          <w:p w14:paraId="363286C2" w14:textId="2B49A5BF" w:rsidR="0033310C" w:rsidRPr="0033310C" w:rsidRDefault="0033310C" w:rsidP="00106666">
            <w:pPr>
              <w:pStyle w:val="NoSpacing"/>
            </w:pPr>
            <w:r w:rsidRPr="0033310C">
              <w:t>.497</w:t>
            </w:r>
            <w:r w:rsidRPr="0033310C">
              <w:rPr>
                <w:rFonts w:ascii="Tahoma" w:hAnsi="Tahoma" w:cs="Tahoma"/>
                <w:vertAlign w:val="superscript"/>
              </w:rPr>
              <w:t>⁎⁎</w:t>
            </w:r>
          </w:p>
        </w:tc>
        <w:tc>
          <w:tcPr>
            <w:tcW w:w="0" w:type="auto"/>
            <w:hideMark/>
          </w:tcPr>
          <w:p w14:paraId="4B688E54" w14:textId="06FA3FFA" w:rsidR="0033310C" w:rsidRPr="0033310C" w:rsidRDefault="0033310C" w:rsidP="00106666">
            <w:pPr>
              <w:pStyle w:val="NoSpacing"/>
            </w:pPr>
            <w:r w:rsidRPr="0033310C">
              <w:t>.233</w:t>
            </w:r>
            <w:r w:rsidRPr="0033310C">
              <w:rPr>
                <w:rFonts w:ascii="Tahoma" w:hAnsi="Tahoma" w:cs="Tahoma"/>
                <w:vertAlign w:val="superscript"/>
              </w:rPr>
              <w:t>⁎⁎</w:t>
            </w:r>
          </w:p>
        </w:tc>
        <w:tc>
          <w:tcPr>
            <w:tcW w:w="0" w:type="auto"/>
            <w:hideMark/>
          </w:tcPr>
          <w:p w14:paraId="0528FBCB" w14:textId="77777777" w:rsidR="0033310C" w:rsidRPr="0033310C" w:rsidRDefault="0033310C" w:rsidP="00106666">
            <w:pPr>
              <w:pStyle w:val="NoSpacing"/>
            </w:pPr>
            <w:r w:rsidRPr="0033310C">
              <w:t>1</w:t>
            </w:r>
          </w:p>
        </w:tc>
        <w:tc>
          <w:tcPr>
            <w:tcW w:w="0" w:type="auto"/>
            <w:hideMark/>
          </w:tcPr>
          <w:p w14:paraId="105054F8" w14:textId="77777777" w:rsidR="0033310C" w:rsidRPr="0033310C" w:rsidRDefault="0033310C" w:rsidP="00106666">
            <w:pPr>
              <w:pStyle w:val="NoSpacing"/>
            </w:pPr>
          </w:p>
        </w:tc>
        <w:tc>
          <w:tcPr>
            <w:tcW w:w="0" w:type="auto"/>
            <w:hideMark/>
          </w:tcPr>
          <w:p w14:paraId="74D866BD" w14:textId="77777777" w:rsidR="0033310C" w:rsidRPr="0033310C" w:rsidRDefault="0033310C" w:rsidP="00106666">
            <w:pPr>
              <w:pStyle w:val="NoSpacing"/>
            </w:pPr>
          </w:p>
        </w:tc>
        <w:tc>
          <w:tcPr>
            <w:tcW w:w="0" w:type="auto"/>
            <w:hideMark/>
          </w:tcPr>
          <w:p w14:paraId="2CEA46CA" w14:textId="77777777" w:rsidR="0033310C" w:rsidRPr="0033310C" w:rsidRDefault="0033310C" w:rsidP="00106666">
            <w:pPr>
              <w:pStyle w:val="NoSpacing"/>
            </w:pPr>
          </w:p>
        </w:tc>
        <w:tc>
          <w:tcPr>
            <w:tcW w:w="0" w:type="auto"/>
            <w:hideMark/>
          </w:tcPr>
          <w:p w14:paraId="32AA7D0A" w14:textId="77777777" w:rsidR="0033310C" w:rsidRPr="0033310C" w:rsidRDefault="0033310C" w:rsidP="00106666">
            <w:pPr>
              <w:pStyle w:val="NoSpacing"/>
            </w:pPr>
          </w:p>
        </w:tc>
        <w:tc>
          <w:tcPr>
            <w:tcW w:w="0" w:type="auto"/>
            <w:hideMark/>
          </w:tcPr>
          <w:p w14:paraId="518BB150" w14:textId="77777777" w:rsidR="0033310C" w:rsidRPr="0033310C" w:rsidRDefault="0033310C" w:rsidP="00106666">
            <w:pPr>
              <w:pStyle w:val="NoSpacing"/>
            </w:pPr>
          </w:p>
        </w:tc>
        <w:tc>
          <w:tcPr>
            <w:tcW w:w="0" w:type="auto"/>
            <w:hideMark/>
          </w:tcPr>
          <w:p w14:paraId="771E2B3E" w14:textId="77777777" w:rsidR="0033310C" w:rsidRPr="0033310C" w:rsidRDefault="0033310C" w:rsidP="00106666">
            <w:pPr>
              <w:pStyle w:val="NoSpacing"/>
            </w:pPr>
          </w:p>
        </w:tc>
        <w:tc>
          <w:tcPr>
            <w:tcW w:w="0" w:type="auto"/>
            <w:hideMark/>
          </w:tcPr>
          <w:p w14:paraId="5B6DD9EA" w14:textId="77777777" w:rsidR="0033310C" w:rsidRPr="0033310C" w:rsidRDefault="0033310C" w:rsidP="00106666">
            <w:pPr>
              <w:pStyle w:val="NoSpacing"/>
            </w:pPr>
          </w:p>
        </w:tc>
        <w:tc>
          <w:tcPr>
            <w:tcW w:w="0" w:type="auto"/>
            <w:hideMark/>
          </w:tcPr>
          <w:p w14:paraId="204DD188" w14:textId="77777777" w:rsidR="0033310C" w:rsidRPr="0033310C" w:rsidRDefault="0033310C" w:rsidP="00106666">
            <w:pPr>
              <w:pStyle w:val="NoSpacing"/>
            </w:pPr>
          </w:p>
        </w:tc>
      </w:tr>
      <w:tr w:rsidR="0033310C" w:rsidRPr="0033310C" w14:paraId="75196179" w14:textId="77777777" w:rsidTr="00106666">
        <w:tc>
          <w:tcPr>
            <w:tcW w:w="0" w:type="auto"/>
            <w:hideMark/>
          </w:tcPr>
          <w:p w14:paraId="22540174" w14:textId="77777777" w:rsidR="0033310C" w:rsidRPr="0033310C" w:rsidRDefault="0033310C" w:rsidP="00106666">
            <w:pPr>
              <w:pStyle w:val="NoSpacing"/>
            </w:pPr>
            <w:r w:rsidRPr="0033310C">
              <w:t>5. Population density</w:t>
            </w:r>
          </w:p>
        </w:tc>
        <w:tc>
          <w:tcPr>
            <w:tcW w:w="0" w:type="auto"/>
            <w:hideMark/>
          </w:tcPr>
          <w:p w14:paraId="0BC872B2" w14:textId="1104446E" w:rsidR="0033310C" w:rsidRPr="0033310C" w:rsidRDefault="0033310C" w:rsidP="00106666">
            <w:pPr>
              <w:pStyle w:val="NoSpacing"/>
            </w:pPr>
            <w:r w:rsidRPr="0033310C">
              <w:t>.468</w:t>
            </w:r>
            <w:r w:rsidRPr="0033310C">
              <w:rPr>
                <w:rFonts w:ascii="Tahoma" w:hAnsi="Tahoma" w:cs="Tahoma"/>
                <w:vertAlign w:val="superscript"/>
              </w:rPr>
              <w:t>⁎⁎</w:t>
            </w:r>
          </w:p>
        </w:tc>
        <w:tc>
          <w:tcPr>
            <w:tcW w:w="0" w:type="auto"/>
            <w:hideMark/>
          </w:tcPr>
          <w:p w14:paraId="23E4C8F1" w14:textId="7017112C" w:rsidR="0033310C" w:rsidRPr="0033310C" w:rsidRDefault="0033310C" w:rsidP="00106666">
            <w:pPr>
              <w:pStyle w:val="NoSpacing"/>
            </w:pPr>
            <w:r w:rsidRPr="0033310C">
              <w:t>.409</w:t>
            </w:r>
            <w:r w:rsidRPr="0033310C">
              <w:rPr>
                <w:rFonts w:ascii="Tahoma" w:hAnsi="Tahoma" w:cs="Tahoma"/>
                <w:vertAlign w:val="superscript"/>
              </w:rPr>
              <w:t>⁎⁎</w:t>
            </w:r>
          </w:p>
        </w:tc>
        <w:tc>
          <w:tcPr>
            <w:tcW w:w="0" w:type="auto"/>
            <w:hideMark/>
          </w:tcPr>
          <w:p w14:paraId="1AFD9AD2" w14:textId="61E4183F" w:rsidR="0033310C" w:rsidRPr="0033310C" w:rsidRDefault="0033310C" w:rsidP="00106666">
            <w:pPr>
              <w:pStyle w:val="NoSpacing"/>
            </w:pPr>
            <w:r w:rsidRPr="0033310C">
              <w:t>.334</w:t>
            </w:r>
            <w:r w:rsidRPr="0033310C">
              <w:rPr>
                <w:rFonts w:ascii="Tahoma" w:hAnsi="Tahoma" w:cs="Tahoma"/>
                <w:vertAlign w:val="superscript"/>
              </w:rPr>
              <w:t>⁎⁎</w:t>
            </w:r>
          </w:p>
        </w:tc>
        <w:tc>
          <w:tcPr>
            <w:tcW w:w="0" w:type="auto"/>
            <w:hideMark/>
          </w:tcPr>
          <w:p w14:paraId="0E2938E4" w14:textId="135C36DE" w:rsidR="0033310C" w:rsidRPr="0033310C" w:rsidRDefault="0033310C" w:rsidP="00106666">
            <w:pPr>
              <w:pStyle w:val="NoSpacing"/>
            </w:pPr>
            <w:r w:rsidRPr="0033310C">
              <w:t>.386</w:t>
            </w:r>
            <w:r w:rsidRPr="0033310C">
              <w:rPr>
                <w:rFonts w:ascii="Tahoma" w:hAnsi="Tahoma" w:cs="Tahoma"/>
                <w:vertAlign w:val="superscript"/>
              </w:rPr>
              <w:t>⁎⁎</w:t>
            </w:r>
          </w:p>
        </w:tc>
        <w:tc>
          <w:tcPr>
            <w:tcW w:w="0" w:type="auto"/>
            <w:hideMark/>
          </w:tcPr>
          <w:p w14:paraId="5E784B0F" w14:textId="77777777" w:rsidR="0033310C" w:rsidRPr="0033310C" w:rsidRDefault="0033310C" w:rsidP="00106666">
            <w:pPr>
              <w:pStyle w:val="NoSpacing"/>
            </w:pPr>
            <w:r w:rsidRPr="0033310C">
              <w:t>1</w:t>
            </w:r>
          </w:p>
        </w:tc>
        <w:tc>
          <w:tcPr>
            <w:tcW w:w="0" w:type="auto"/>
            <w:hideMark/>
          </w:tcPr>
          <w:p w14:paraId="47E45C2F" w14:textId="77777777" w:rsidR="0033310C" w:rsidRPr="0033310C" w:rsidRDefault="0033310C" w:rsidP="00106666">
            <w:pPr>
              <w:pStyle w:val="NoSpacing"/>
            </w:pPr>
          </w:p>
        </w:tc>
        <w:tc>
          <w:tcPr>
            <w:tcW w:w="0" w:type="auto"/>
            <w:hideMark/>
          </w:tcPr>
          <w:p w14:paraId="1EB159D5" w14:textId="77777777" w:rsidR="0033310C" w:rsidRPr="0033310C" w:rsidRDefault="0033310C" w:rsidP="00106666">
            <w:pPr>
              <w:pStyle w:val="NoSpacing"/>
            </w:pPr>
          </w:p>
        </w:tc>
        <w:tc>
          <w:tcPr>
            <w:tcW w:w="0" w:type="auto"/>
            <w:hideMark/>
          </w:tcPr>
          <w:p w14:paraId="14D0034B" w14:textId="77777777" w:rsidR="0033310C" w:rsidRPr="0033310C" w:rsidRDefault="0033310C" w:rsidP="00106666">
            <w:pPr>
              <w:pStyle w:val="NoSpacing"/>
            </w:pPr>
          </w:p>
        </w:tc>
        <w:tc>
          <w:tcPr>
            <w:tcW w:w="0" w:type="auto"/>
            <w:hideMark/>
          </w:tcPr>
          <w:p w14:paraId="0B1B0F98" w14:textId="77777777" w:rsidR="0033310C" w:rsidRPr="0033310C" w:rsidRDefault="0033310C" w:rsidP="00106666">
            <w:pPr>
              <w:pStyle w:val="NoSpacing"/>
            </w:pPr>
          </w:p>
        </w:tc>
        <w:tc>
          <w:tcPr>
            <w:tcW w:w="0" w:type="auto"/>
            <w:hideMark/>
          </w:tcPr>
          <w:p w14:paraId="2831E84D" w14:textId="77777777" w:rsidR="0033310C" w:rsidRPr="0033310C" w:rsidRDefault="0033310C" w:rsidP="00106666">
            <w:pPr>
              <w:pStyle w:val="NoSpacing"/>
            </w:pPr>
          </w:p>
        </w:tc>
        <w:tc>
          <w:tcPr>
            <w:tcW w:w="0" w:type="auto"/>
            <w:hideMark/>
          </w:tcPr>
          <w:p w14:paraId="1DA9A0A6" w14:textId="77777777" w:rsidR="0033310C" w:rsidRPr="0033310C" w:rsidRDefault="0033310C" w:rsidP="00106666">
            <w:pPr>
              <w:pStyle w:val="NoSpacing"/>
            </w:pPr>
          </w:p>
        </w:tc>
        <w:tc>
          <w:tcPr>
            <w:tcW w:w="0" w:type="auto"/>
            <w:hideMark/>
          </w:tcPr>
          <w:p w14:paraId="0F84CF82" w14:textId="77777777" w:rsidR="0033310C" w:rsidRPr="0033310C" w:rsidRDefault="0033310C" w:rsidP="00106666">
            <w:pPr>
              <w:pStyle w:val="NoSpacing"/>
            </w:pPr>
          </w:p>
        </w:tc>
      </w:tr>
      <w:tr w:rsidR="0033310C" w:rsidRPr="0033310C" w14:paraId="516D660F" w14:textId="77777777" w:rsidTr="00106666">
        <w:tc>
          <w:tcPr>
            <w:tcW w:w="0" w:type="auto"/>
            <w:hideMark/>
          </w:tcPr>
          <w:p w14:paraId="69BD6873" w14:textId="77777777" w:rsidR="0033310C" w:rsidRPr="0033310C" w:rsidRDefault="0033310C" w:rsidP="00106666">
            <w:pPr>
              <w:pStyle w:val="NoSpacing"/>
            </w:pPr>
            <w:r w:rsidRPr="0033310C">
              <w:t>6. Proportion young</w:t>
            </w:r>
          </w:p>
        </w:tc>
        <w:tc>
          <w:tcPr>
            <w:tcW w:w="0" w:type="auto"/>
            <w:hideMark/>
          </w:tcPr>
          <w:p w14:paraId="225CE99B" w14:textId="2A2FFB56" w:rsidR="0033310C" w:rsidRPr="0033310C" w:rsidRDefault="0033310C" w:rsidP="00106666">
            <w:pPr>
              <w:pStyle w:val="NoSpacing"/>
            </w:pPr>
            <w:r w:rsidRPr="0033310C">
              <w:t>.162</w:t>
            </w:r>
            <w:r w:rsidRPr="0033310C">
              <w:rPr>
                <w:rFonts w:ascii="Tahoma" w:hAnsi="Tahoma" w:cs="Tahoma"/>
                <w:vertAlign w:val="superscript"/>
              </w:rPr>
              <w:t>⁎⁎</w:t>
            </w:r>
          </w:p>
        </w:tc>
        <w:tc>
          <w:tcPr>
            <w:tcW w:w="0" w:type="auto"/>
            <w:hideMark/>
          </w:tcPr>
          <w:p w14:paraId="617AB360" w14:textId="2C5DAE5A" w:rsidR="0033310C" w:rsidRPr="0033310C" w:rsidRDefault="0033310C" w:rsidP="00106666">
            <w:pPr>
              <w:pStyle w:val="NoSpacing"/>
            </w:pPr>
            <w:r w:rsidRPr="0033310C">
              <w:t>.266</w:t>
            </w:r>
            <w:r w:rsidRPr="0033310C">
              <w:rPr>
                <w:rFonts w:ascii="Tahoma" w:hAnsi="Tahoma" w:cs="Tahoma"/>
                <w:vertAlign w:val="superscript"/>
              </w:rPr>
              <w:t>⁎⁎</w:t>
            </w:r>
          </w:p>
        </w:tc>
        <w:tc>
          <w:tcPr>
            <w:tcW w:w="0" w:type="auto"/>
            <w:hideMark/>
          </w:tcPr>
          <w:p w14:paraId="3B40626F" w14:textId="686708ED" w:rsidR="0033310C" w:rsidRPr="0033310C" w:rsidRDefault="0033310C" w:rsidP="00106666">
            <w:pPr>
              <w:pStyle w:val="NoSpacing"/>
            </w:pPr>
            <w:r w:rsidRPr="0033310C">
              <w:t>.256</w:t>
            </w:r>
            <w:r w:rsidRPr="0033310C">
              <w:rPr>
                <w:rFonts w:ascii="Tahoma" w:hAnsi="Tahoma" w:cs="Tahoma"/>
                <w:vertAlign w:val="superscript"/>
              </w:rPr>
              <w:t>⁎⁎</w:t>
            </w:r>
          </w:p>
        </w:tc>
        <w:tc>
          <w:tcPr>
            <w:tcW w:w="0" w:type="auto"/>
            <w:hideMark/>
          </w:tcPr>
          <w:p w14:paraId="300D2021" w14:textId="44CD72D6" w:rsidR="0033310C" w:rsidRPr="0033310C" w:rsidRDefault="0033310C" w:rsidP="00106666">
            <w:pPr>
              <w:pStyle w:val="NoSpacing"/>
            </w:pPr>
            <w:r w:rsidRPr="0033310C">
              <w:t>.131</w:t>
            </w:r>
            <w:r w:rsidRPr="0033310C">
              <w:rPr>
                <w:rFonts w:ascii="Tahoma" w:hAnsi="Tahoma" w:cs="Tahoma"/>
                <w:vertAlign w:val="superscript"/>
              </w:rPr>
              <w:t>⁎⁎</w:t>
            </w:r>
          </w:p>
        </w:tc>
        <w:tc>
          <w:tcPr>
            <w:tcW w:w="0" w:type="auto"/>
            <w:hideMark/>
          </w:tcPr>
          <w:p w14:paraId="029669BC" w14:textId="7C66E3AE" w:rsidR="0033310C" w:rsidRPr="0033310C" w:rsidRDefault="0033310C" w:rsidP="00106666">
            <w:pPr>
              <w:pStyle w:val="NoSpacing"/>
            </w:pPr>
            <w:r w:rsidRPr="0033310C">
              <w:t>.368</w:t>
            </w:r>
            <w:r w:rsidRPr="0033310C">
              <w:rPr>
                <w:rFonts w:ascii="Tahoma" w:hAnsi="Tahoma" w:cs="Tahoma"/>
                <w:vertAlign w:val="superscript"/>
              </w:rPr>
              <w:t>⁎⁎</w:t>
            </w:r>
          </w:p>
        </w:tc>
        <w:tc>
          <w:tcPr>
            <w:tcW w:w="0" w:type="auto"/>
            <w:hideMark/>
          </w:tcPr>
          <w:p w14:paraId="5F62F94F" w14:textId="77777777" w:rsidR="0033310C" w:rsidRPr="0033310C" w:rsidRDefault="0033310C" w:rsidP="00106666">
            <w:pPr>
              <w:pStyle w:val="NoSpacing"/>
            </w:pPr>
            <w:r w:rsidRPr="0033310C">
              <w:t>1</w:t>
            </w:r>
          </w:p>
        </w:tc>
        <w:tc>
          <w:tcPr>
            <w:tcW w:w="0" w:type="auto"/>
            <w:hideMark/>
          </w:tcPr>
          <w:p w14:paraId="73032563" w14:textId="77777777" w:rsidR="0033310C" w:rsidRPr="0033310C" w:rsidRDefault="0033310C" w:rsidP="00106666">
            <w:pPr>
              <w:pStyle w:val="NoSpacing"/>
            </w:pPr>
          </w:p>
        </w:tc>
        <w:tc>
          <w:tcPr>
            <w:tcW w:w="0" w:type="auto"/>
            <w:hideMark/>
          </w:tcPr>
          <w:p w14:paraId="5ABE4811" w14:textId="77777777" w:rsidR="0033310C" w:rsidRPr="0033310C" w:rsidRDefault="0033310C" w:rsidP="00106666">
            <w:pPr>
              <w:pStyle w:val="NoSpacing"/>
            </w:pPr>
          </w:p>
        </w:tc>
        <w:tc>
          <w:tcPr>
            <w:tcW w:w="0" w:type="auto"/>
            <w:hideMark/>
          </w:tcPr>
          <w:p w14:paraId="50DF8CD1" w14:textId="77777777" w:rsidR="0033310C" w:rsidRPr="0033310C" w:rsidRDefault="0033310C" w:rsidP="00106666">
            <w:pPr>
              <w:pStyle w:val="NoSpacing"/>
            </w:pPr>
          </w:p>
        </w:tc>
        <w:tc>
          <w:tcPr>
            <w:tcW w:w="0" w:type="auto"/>
            <w:hideMark/>
          </w:tcPr>
          <w:p w14:paraId="2B2A0332" w14:textId="77777777" w:rsidR="0033310C" w:rsidRPr="0033310C" w:rsidRDefault="0033310C" w:rsidP="00106666">
            <w:pPr>
              <w:pStyle w:val="NoSpacing"/>
            </w:pPr>
          </w:p>
        </w:tc>
        <w:tc>
          <w:tcPr>
            <w:tcW w:w="0" w:type="auto"/>
            <w:hideMark/>
          </w:tcPr>
          <w:p w14:paraId="05C963C5" w14:textId="77777777" w:rsidR="0033310C" w:rsidRPr="0033310C" w:rsidRDefault="0033310C" w:rsidP="00106666">
            <w:pPr>
              <w:pStyle w:val="NoSpacing"/>
            </w:pPr>
          </w:p>
        </w:tc>
        <w:tc>
          <w:tcPr>
            <w:tcW w:w="0" w:type="auto"/>
            <w:hideMark/>
          </w:tcPr>
          <w:p w14:paraId="1A051E70" w14:textId="77777777" w:rsidR="0033310C" w:rsidRPr="0033310C" w:rsidRDefault="0033310C" w:rsidP="00106666">
            <w:pPr>
              <w:pStyle w:val="NoSpacing"/>
            </w:pPr>
          </w:p>
        </w:tc>
      </w:tr>
      <w:tr w:rsidR="0033310C" w:rsidRPr="0033310C" w14:paraId="2FD8B014" w14:textId="77777777" w:rsidTr="00106666">
        <w:tc>
          <w:tcPr>
            <w:tcW w:w="0" w:type="auto"/>
            <w:hideMark/>
          </w:tcPr>
          <w:p w14:paraId="6CF13034" w14:textId="77777777" w:rsidR="0033310C" w:rsidRPr="0033310C" w:rsidRDefault="0033310C" w:rsidP="00106666">
            <w:pPr>
              <w:pStyle w:val="NoSpacing"/>
            </w:pPr>
            <w:r w:rsidRPr="0033310C">
              <w:t>7. Proportion African American</w:t>
            </w:r>
          </w:p>
        </w:tc>
        <w:tc>
          <w:tcPr>
            <w:tcW w:w="0" w:type="auto"/>
            <w:hideMark/>
          </w:tcPr>
          <w:p w14:paraId="7BD32429" w14:textId="6DAA8C07" w:rsidR="0033310C" w:rsidRPr="0033310C" w:rsidRDefault="0033310C" w:rsidP="00106666">
            <w:pPr>
              <w:pStyle w:val="NoSpacing"/>
            </w:pPr>
            <w:r w:rsidRPr="0033310C">
              <w:t>.341</w:t>
            </w:r>
            <w:r w:rsidRPr="0033310C">
              <w:rPr>
                <w:rFonts w:ascii="Tahoma" w:hAnsi="Tahoma" w:cs="Tahoma"/>
                <w:vertAlign w:val="superscript"/>
              </w:rPr>
              <w:t>⁎⁎</w:t>
            </w:r>
          </w:p>
        </w:tc>
        <w:tc>
          <w:tcPr>
            <w:tcW w:w="0" w:type="auto"/>
            <w:hideMark/>
          </w:tcPr>
          <w:p w14:paraId="6E1F4109" w14:textId="770B6D26" w:rsidR="0033310C" w:rsidRPr="0033310C" w:rsidRDefault="0033310C" w:rsidP="00106666">
            <w:pPr>
              <w:pStyle w:val="NoSpacing"/>
            </w:pPr>
            <w:r w:rsidRPr="0033310C">
              <w:t>−.215</w:t>
            </w:r>
            <w:r w:rsidRPr="0033310C">
              <w:rPr>
                <w:rFonts w:ascii="Tahoma" w:hAnsi="Tahoma" w:cs="Tahoma"/>
                <w:vertAlign w:val="superscript"/>
              </w:rPr>
              <w:t>⁎⁎</w:t>
            </w:r>
          </w:p>
        </w:tc>
        <w:tc>
          <w:tcPr>
            <w:tcW w:w="0" w:type="auto"/>
            <w:hideMark/>
          </w:tcPr>
          <w:p w14:paraId="400EF81F" w14:textId="3A2F2DE1" w:rsidR="0033310C" w:rsidRPr="0033310C" w:rsidRDefault="0033310C" w:rsidP="00106666">
            <w:pPr>
              <w:pStyle w:val="NoSpacing"/>
            </w:pPr>
            <w:r w:rsidRPr="0033310C">
              <w:t>−.266</w:t>
            </w:r>
            <w:r w:rsidRPr="0033310C">
              <w:rPr>
                <w:rFonts w:ascii="Tahoma" w:hAnsi="Tahoma" w:cs="Tahoma"/>
                <w:vertAlign w:val="superscript"/>
              </w:rPr>
              <w:t>⁎⁎</w:t>
            </w:r>
          </w:p>
        </w:tc>
        <w:tc>
          <w:tcPr>
            <w:tcW w:w="0" w:type="auto"/>
            <w:hideMark/>
          </w:tcPr>
          <w:p w14:paraId="19518EDC" w14:textId="77777777" w:rsidR="0033310C" w:rsidRPr="0033310C" w:rsidRDefault="0033310C" w:rsidP="00106666">
            <w:pPr>
              <w:pStyle w:val="NoSpacing"/>
            </w:pPr>
            <w:r w:rsidRPr="0033310C">
              <w:t>.080</w:t>
            </w:r>
          </w:p>
        </w:tc>
        <w:tc>
          <w:tcPr>
            <w:tcW w:w="0" w:type="auto"/>
            <w:hideMark/>
          </w:tcPr>
          <w:p w14:paraId="68E26057" w14:textId="014FCCD4" w:rsidR="0033310C" w:rsidRPr="0033310C" w:rsidRDefault="0033310C" w:rsidP="00106666">
            <w:pPr>
              <w:pStyle w:val="NoSpacing"/>
            </w:pPr>
            <w:r w:rsidRPr="0033310C">
              <w:t>−.141</w:t>
            </w:r>
            <w:r w:rsidRPr="0033310C">
              <w:rPr>
                <w:rFonts w:ascii="Tahoma" w:hAnsi="Tahoma" w:cs="Tahoma"/>
                <w:vertAlign w:val="superscript"/>
              </w:rPr>
              <w:t>⁎⁎</w:t>
            </w:r>
          </w:p>
        </w:tc>
        <w:tc>
          <w:tcPr>
            <w:tcW w:w="0" w:type="auto"/>
            <w:hideMark/>
          </w:tcPr>
          <w:p w14:paraId="4F96E250" w14:textId="77777777" w:rsidR="0033310C" w:rsidRPr="0033310C" w:rsidRDefault="0033310C" w:rsidP="00106666">
            <w:pPr>
              <w:pStyle w:val="NoSpacing"/>
            </w:pPr>
            <w:r w:rsidRPr="0033310C">
              <w:t>−.004</w:t>
            </w:r>
          </w:p>
        </w:tc>
        <w:tc>
          <w:tcPr>
            <w:tcW w:w="0" w:type="auto"/>
            <w:hideMark/>
          </w:tcPr>
          <w:p w14:paraId="6A7508CD" w14:textId="77777777" w:rsidR="0033310C" w:rsidRPr="0033310C" w:rsidRDefault="0033310C" w:rsidP="00106666">
            <w:pPr>
              <w:pStyle w:val="NoSpacing"/>
            </w:pPr>
            <w:r w:rsidRPr="0033310C">
              <w:t>1</w:t>
            </w:r>
          </w:p>
        </w:tc>
        <w:tc>
          <w:tcPr>
            <w:tcW w:w="0" w:type="auto"/>
            <w:hideMark/>
          </w:tcPr>
          <w:p w14:paraId="26DF9656" w14:textId="77777777" w:rsidR="0033310C" w:rsidRPr="0033310C" w:rsidRDefault="0033310C" w:rsidP="00106666">
            <w:pPr>
              <w:pStyle w:val="NoSpacing"/>
            </w:pPr>
          </w:p>
        </w:tc>
        <w:tc>
          <w:tcPr>
            <w:tcW w:w="0" w:type="auto"/>
            <w:hideMark/>
          </w:tcPr>
          <w:p w14:paraId="6A97305D" w14:textId="77777777" w:rsidR="0033310C" w:rsidRPr="0033310C" w:rsidRDefault="0033310C" w:rsidP="00106666">
            <w:pPr>
              <w:pStyle w:val="NoSpacing"/>
            </w:pPr>
          </w:p>
        </w:tc>
        <w:tc>
          <w:tcPr>
            <w:tcW w:w="0" w:type="auto"/>
            <w:hideMark/>
          </w:tcPr>
          <w:p w14:paraId="452758CB" w14:textId="77777777" w:rsidR="0033310C" w:rsidRPr="0033310C" w:rsidRDefault="0033310C" w:rsidP="00106666">
            <w:pPr>
              <w:pStyle w:val="NoSpacing"/>
            </w:pPr>
          </w:p>
        </w:tc>
        <w:tc>
          <w:tcPr>
            <w:tcW w:w="0" w:type="auto"/>
            <w:hideMark/>
          </w:tcPr>
          <w:p w14:paraId="11864B00" w14:textId="77777777" w:rsidR="0033310C" w:rsidRPr="0033310C" w:rsidRDefault="0033310C" w:rsidP="00106666">
            <w:pPr>
              <w:pStyle w:val="NoSpacing"/>
            </w:pPr>
          </w:p>
        </w:tc>
        <w:tc>
          <w:tcPr>
            <w:tcW w:w="0" w:type="auto"/>
            <w:hideMark/>
          </w:tcPr>
          <w:p w14:paraId="67F7FE03" w14:textId="77777777" w:rsidR="0033310C" w:rsidRPr="0033310C" w:rsidRDefault="0033310C" w:rsidP="00106666">
            <w:pPr>
              <w:pStyle w:val="NoSpacing"/>
            </w:pPr>
          </w:p>
        </w:tc>
      </w:tr>
      <w:tr w:rsidR="0033310C" w:rsidRPr="0033310C" w14:paraId="647E6AA0" w14:textId="77777777" w:rsidTr="00106666">
        <w:tc>
          <w:tcPr>
            <w:tcW w:w="0" w:type="auto"/>
            <w:hideMark/>
          </w:tcPr>
          <w:p w14:paraId="26E7B3D4" w14:textId="77777777" w:rsidR="0033310C" w:rsidRPr="0033310C" w:rsidRDefault="0033310C" w:rsidP="00106666">
            <w:pPr>
              <w:pStyle w:val="NoSpacing"/>
            </w:pPr>
            <w:r w:rsidRPr="0033310C">
              <w:t>8. Proportion single headed households</w:t>
            </w:r>
          </w:p>
        </w:tc>
        <w:tc>
          <w:tcPr>
            <w:tcW w:w="0" w:type="auto"/>
            <w:hideMark/>
          </w:tcPr>
          <w:p w14:paraId="21EA8736" w14:textId="488D3B29" w:rsidR="0033310C" w:rsidRPr="0033310C" w:rsidRDefault="0033310C" w:rsidP="00106666">
            <w:pPr>
              <w:pStyle w:val="NoSpacing"/>
            </w:pPr>
            <w:r w:rsidRPr="0033310C">
              <w:t>.424</w:t>
            </w:r>
            <w:r w:rsidRPr="0033310C">
              <w:rPr>
                <w:rFonts w:ascii="Tahoma" w:hAnsi="Tahoma" w:cs="Tahoma"/>
                <w:vertAlign w:val="superscript"/>
              </w:rPr>
              <w:t>⁎⁎</w:t>
            </w:r>
          </w:p>
        </w:tc>
        <w:tc>
          <w:tcPr>
            <w:tcW w:w="0" w:type="auto"/>
            <w:hideMark/>
          </w:tcPr>
          <w:p w14:paraId="3D51E920" w14:textId="73C3FF1A" w:rsidR="0033310C" w:rsidRPr="0033310C" w:rsidRDefault="0033310C" w:rsidP="00106666">
            <w:pPr>
              <w:pStyle w:val="NoSpacing"/>
            </w:pPr>
            <w:r w:rsidRPr="0033310C">
              <w:t>−.185</w:t>
            </w:r>
            <w:r w:rsidRPr="0033310C">
              <w:rPr>
                <w:rFonts w:ascii="Tahoma" w:hAnsi="Tahoma" w:cs="Tahoma"/>
                <w:vertAlign w:val="superscript"/>
              </w:rPr>
              <w:t>⁎⁎</w:t>
            </w:r>
          </w:p>
        </w:tc>
        <w:tc>
          <w:tcPr>
            <w:tcW w:w="0" w:type="auto"/>
            <w:hideMark/>
          </w:tcPr>
          <w:p w14:paraId="0A69478C" w14:textId="7FA513D7" w:rsidR="0033310C" w:rsidRPr="0033310C" w:rsidRDefault="0033310C" w:rsidP="00106666">
            <w:pPr>
              <w:pStyle w:val="NoSpacing"/>
            </w:pPr>
            <w:r w:rsidRPr="0033310C">
              <w:t>−.263</w:t>
            </w:r>
            <w:r w:rsidRPr="0033310C">
              <w:rPr>
                <w:rFonts w:ascii="Tahoma" w:hAnsi="Tahoma" w:cs="Tahoma"/>
                <w:vertAlign w:val="superscript"/>
              </w:rPr>
              <w:t>⁎⁎</w:t>
            </w:r>
          </w:p>
        </w:tc>
        <w:tc>
          <w:tcPr>
            <w:tcW w:w="0" w:type="auto"/>
            <w:hideMark/>
          </w:tcPr>
          <w:p w14:paraId="03EA6DF3" w14:textId="2DF38625" w:rsidR="0033310C" w:rsidRPr="0033310C" w:rsidRDefault="0033310C" w:rsidP="00106666">
            <w:pPr>
              <w:pStyle w:val="NoSpacing"/>
            </w:pPr>
            <w:r w:rsidRPr="0033310C">
              <w:t>.172</w:t>
            </w:r>
            <w:r w:rsidRPr="0033310C">
              <w:rPr>
                <w:rFonts w:ascii="Tahoma" w:hAnsi="Tahoma" w:cs="Tahoma"/>
                <w:vertAlign w:val="superscript"/>
              </w:rPr>
              <w:t>⁎⁎</w:t>
            </w:r>
          </w:p>
        </w:tc>
        <w:tc>
          <w:tcPr>
            <w:tcW w:w="0" w:type="auto"/>
            <w:hideMark/>
          </w:tcPr>
          <w:p w14:paraId="5388BD92" w14:textId="5155A628" w:rsidR="0033310C" w:rsidRPr="0033310C" w:rsidRDefault="0033310C" w:rsidP="00106666">
            <w:pPr>
              <w:pStyle w:val="NoSpacing"/>
            </w:pPr>
            <w:r w:rsidRPr="0033310C">
              <w:t>.088</w:t>
            </w:r>
            <w:r w:rsidRPr="0033310C">
              <w:rPr>
                <w:rFonts w:ascii="Tahoma" w:hAnsi="Tahoma" w:cs="Tahoma"/>
                <w:vertAlign w:val="superscript"/>
              </w:rPr>
              <w:t>⁎</w:t>
            </w:r>
          </w:p>
        </w:tc>
        <w:tc>
          <w:tcPr>
            <w:tcW w:w="0" w:type="auto"/>
            <w:hideMark/>
          </w:tcPr>
          <w:p w14:paraId="3FDD7004" w14:textId="77777777" w:rsidR="0033310C" w:rsidRPr="0033310C" w:rsidRDefault="0033310C" w:rsidP="00106666">
            <w:pPr>
              <w:pStyle w:val="NoSpacing"/>
            </w:pPr>
            <w:r w:rsidRPr="0033310C">
              <w:t>−.079</w:t>
            </w:r>
          </w:p>
        </w:tc>
        <w:tc>
          <w:tcPr>
            <w:tcW w:w="0" w:type="auto"/>
            <w:hideMark/>
          </w:tcPr>
          <w:p w14:paraId="2D1F2B76" w14:textId="2FAC7E78" w:rsidR="0033310C" w:rsidRPr="0033310C" w:rsidRDefault="0033310C" w:rsidP="00106666">
            <w:pPr>
              <w:pStyle w:val="NoSpacing"/>
            </w:pPr>
            <w:r w:rsidRPr="0033310C">
              <w:t>.747</w:t>
            </w:r>
            <w:r w:rsidRPr="0033310C">
              <w:rPr>
                <w:rFonts w:ascii="Tahoma" w:hAnsi="Tahoma" w:cs="Tahoma"/>
                <w:vertAlign w:val="superscript"/>
              </w:rPr>
              <w:t>⁎⁎</w:t>
            </w:r>
          </w:p>
        </w:tc>
        <w:tc>
          <w:tcPr>
            <w:tcW w:w="0" w:type="auto"/>
            <w:hideMark/>
          </w:tcPr>
          <w:p w14:paraId="1FD317D3" w14:textId="77777777" w:rsidR="0033310C" w:rsidRPr="0033310C" w:rsidRDefault="0033310C" w:rsidP="00106666">
            <w:pPr>
              <w:pStyle w:val="NoSpacing"/>
            </w:pPr>
            <w:r w:rsidRPr="0033310C">
              <w:t>1</w:t>
            </w:r>
          </w:p>
        </w:tc>
        <w:tc>
          <w:tcPr>
            <w:tcW w:w="0" w:type="auto"/>
            <w:hideMark/>
          </w:tcPr>
          <w:p w14:paraId="0045B7D9" w14:textId="77777777" w:rsidR="0033310C" w:rsidRPr="0033310C" w:rsidRDefault="0033310C" w:rsidP="00106666">
            <w:pPr>
              <w:pStyle w:val="NoSpacing"/>
            </w:pPr>
          </w:p>
        </w:tc>
        <w:tc>
          <w:tcPr>
            <w:tcW w:w="0" w:type="auto"/>
            <w:hideMark/>
          </w:tcPr>
          <w:p w14:paraId="0DAAAA2B" w14:textId="77777777" w:rsidR="0033310C" w:rsidRPr="0033310C" w:rsidRDefault="0033310C" w:rsidP="00106666">
            <w:pPr>
              <w:pStyle w:val="NoSpacing"/>
            </w:pPr>
          </w:p>
        </w:tc>
        <w:tc>
          <w:tcPr>
            <w:tcW w:w="0" w:type="auto"/>
            <w:hideMark/>
          </w:tcPr>
          <w:p w14:paraId="674EFF26" w14:textId="77777777" w:rsidR="0033310C" w:rsidRPr="0033310C" w:rsidRDefault="0033310C" w:rsidP="00106666">
            <w:pPr>
              <w:pStyle w:val="NoSpacing"/>
            </w:pPr>
          </w:p>
        </w:tc>
        <w:tc>
          <w:tcPr>
            <w:tcW w:w="0" w:type="auto"/>
            <w:hideMark/>
          </w:tcPr>
          <w:p w14:paraId="5C9F409B" w14:textId="77777777" w:rsidR="0033310C" w:rsidRPr="0033310C" w:rsidRDefault="0033310C" w:rsidP="00106666">
            <w:pPr>
              <w:pStyle w:val="NoSpacing"/>
            </w:pPr>
          </w:p>
        </w:tc>
      </w:tr>
      <w:tr w:rsidR="0033310C" w:rsidRPr="0033310C" w14:paraId="26845039" w14:textId="77777777" w:rsidTr="00106666">
        <w:tc>
          <w:tcPr>
            <w:tcW w:w="0" w:type="auto"/>
            <w:hideMark/>
          </w:tcPr>
          <w:p w14:paraId="60CD60AD" w14:textId="77777777" w:rsidR="0033310C" w:rsidRPr="0033310C" w:rsidRDefault="0033310C" w:rsidP="00106666">
            <w:pPr>
              <w:pStyle w:val="NoSpacing"/>
            </w:pPr>
            <w:r w:rsidRPr="0033310C">
              <w:t>9. Proportion renter occupied housing units</w:t>
            </w:r>
          </w:p>
        </w:tc>
        <w:tc>
          <w:tcPr>
            <w:tcW w:w="0" w:type="auto"/>
            <w:hideMark/>
          </w:tcPr>
          <w:p w14:paraId="4202C3E9" w14:textId="0AF20605" w:rsidR="0033310C" w:rsidRPr="0033310C" w:rsidRDefault="0033310C" w:rsidP="00106666">
            <w:pPr>
              <w:pStyle w:val="NoSpacing"/>
            </w:pPr>
            <w:r w:rsidRPr="0033310C">
              <w:t>.356</w:t>
            </w:r>
            <w:r w:rsidRPr="0033310C">
              <w:rPr>
                <w:rFonts w:ascii="Tahoma" w:hAnsi="Tahoma" w:cs="Tahoma"/>
                <w:vertAlign w:val="superscript"/>
              </w:rPr>
              <w:t>⁎⁎</w:t>
            </w:r>
          </w:p>
        </w:tc>
        <w:tc>
          <w:tcPr>
            <w:tcW w:w="0" w:type="auto"/>
            <w:hideMark/>
          </w:tcPr>
          <w:p w14:paraId="7F228D2B" w14:textId="3CFB90A3" w:rsidR="0033310C" w:rsidRPr="0033310C" w:rsidRDefault="0033310C" w:rsidP="00106666">
            <w:pPr>
              <w:pStyle w:val="NoSpacing"/>
            </w:pPr>
            <w:r w:rsidRPr="0033310C">
              <w:t>.335</w:t>
            </w:r>
            <w:r w:rsidRPr="0033310C">
              <w:rPr>
                <w:rFonts w:ascii="Tahoma" w:hAnsi="Tahoma" w:cs="Tahoma"/>
                <w:vertAlign w:val="superscript"/>
              </w:rPr>
              <w:t>⁎⁎</w:t>
            </w:r>
          </w:p>
        </w:tc>
        <w:tc>
          <w:tcPr>
            <w:tcW w:w="0" w:type="auto"/>
            <w:hideMark/>
          </w:tcPr>
          <w:p w14:paraId="6B8EAE6B" w14:textId="433616D5" w:rsidR="0033310C" w:rsidRPr="0033310C" w:rsidRDefault="0033310C" w:rsidP="00106666">
            <w:pPr>
              <w:pStyle w:val="NoSpacing"/>
            </w:pPr>
            <w:r w:rsidRPr="0033310C">
              <w:t>.298</w:t>
            </w:r>
            <w:r w:rsidRPr="0033310C">
              <w:rPr>
                <w:rFonts w:ascii="Tahoma" w:hAnsi="Tahoma" w:cs="Tahoma"/>
                <w:vertAlign w:val="superscript"/>
              </w:rPr>
              <w:t>⁎⁎</w:t>
            </w:r>
          </w:p>
        </w:tc>
        <w:tc>
          <w:tcPr>
            <w:tcW w:w="0" w:type="auto"/>
            <w:hideMark/>
          </w:tcPr>
          <w:p w14:paraId="5BC62C31" w14:textId="2D8D3E75" w:rsidR="0033310C" w:rsidRPr="0033310C" w:rsidRDefault="0033310C" w:rsidP="00106666">
            <w:pPr>
              <w:pStyle w:val="NoSpacing"/>
            </w:pPr>
            <w:r w:rsidRPr="0033310C">
              <w:t>.239</w:t>
            </w:r>
            <w:r w:rsidRPr="0033310C">
              <w:rPr>
                <w:rFonts w:ascii="Tahoma" w:hAnsi="Tahoma" w:cs="Tahoma"/>
                <w:vertAlign w:val="superscript"/>
              </w:rPr>
              <w:t>⁎⁎</w:t>
            </w:r>
          </w:p>
        </w:tc>
        <w:tc>
          <w:tcPr>
            <w:tcW w:w="0" w:type="auto"/>
            <w:hideMark/>
          </w:tcPr>
          <w:p w14:paraId="5C9A2E3D" w14:textId="22BF94E8" w:rsidR="0033310C" w:rsidRPr="0033310C" w:rsidRDefault="0033310C" w:rsidP="00106666">
            <w:pPr>
              <w:pStyle w:val="NoSpacing"/>
            </w:pPr>
            <w:r w:rsidRPr="0033310C">
              <w:t>.435</w:t>
            </w:r>
            <w:r w:rsidRPr="0033310C">
              <w:rPr>
                <w:rFonts w:ascii="Tahoma" w:hAnsi="Tahoma" w:cs="Tahoma"/>
                <w:vertAlign w:val="superscript"/>
              </w:rPr>
              <w:t>⁎⁎</w:t>
            </w:r>
          </w:p>
        </w:tc>
        <w:tc>
          <w:tcPr>
            <w:tcW w:w="0" w:type="auto"/>
            <w:hideMark/>
          </w:tcPr>
          <w:p w14:paraId="21ECBD38" w14:textId="4AB24FCB" w:rsidR="0033310C" w:rsidRPr="0033310C" w:rsidRDefault="0033310C" w:rsidP="00106666">
            <w:pPr>
              <w:pStyle w:val="NoSpacing"/>
            </w:pPr>
            <w:r w:rsidRPr="0033310C">
              <w:t>.458</w:t>
            </w:r>
            <w:r w:rsidRPr="0033310C">
              <w:rPr>
                <w:rFonts w:ascii="Tahoma" w:hAnsi="Tahoma" w:cs="Tahoma"/>
                <w:vertAlign w:val="superscript"/>
              </w:rPr>
              <w:t>⁎⁎</w:t>
            </w:r>
          </w:p>
        </w:tc>
        <w:tc>
          <w:tcPr>
            <w:tcW w:w="0" w:type="auto"/>
            <w:hideMark/>
          </w:tcPr>
          <w:p w14:paraId="1223C5C5" w14:textId="2789A02A" w:rsidR="0033310C" w:rsidRPr="0033310C" w:rsidRDefault="0033310C" w:rsidP="00106666">
            <w:pPr>
              <w:pStyle w:val="NoSpacing"/>
            </w:pPr>
            <w:r w:rsidRPr="0033310C">
              <w:t>.173</w:t>
            </w:r>
            <w:r w:rsidRPr="0033310C">
              <w:rPr>
                <w:rFonts w:ascii="Tahoma" w:hAnsi="Tahoma" w:cs="Tahoma"/>
                <w:vertAlign w:val="superscript"/>
              </w:rPr>
              <w:t>⁎⁎</w:t>
            </w:r>
          </w:p>
        </w:tc>
        <w:tc>
          <w:tcPr>
            <w:tcW w:w="0" w:type="auto"/>
            <w:hideMark/>
          </w:tcPr>
          <w:p w14:paraId="0166C16E" w14:textId="61B84424" w:rsidR="0033310C" w:rsidRPr="0033310C" w:rsidRDefault="0033310C" w:rsidP="00106666">
            <w:pPr>
              <w:pStyle w:val="NoSpacing"/>
            </w:pPr>
            <w:r w:rsidRPr="0033310C">
              <w:t>.252</w:t>
            </w:r>
            <w:r w:rsidRPr="0033310C">
              <w:rPr>
                <w:rFonts w:ascii="Tahoma" w:hAnsi="Tahoma" w:cs="Tahoma"/>
                <w:vertAlign w:val="superscript"/>
              </w:rPr>
              <w:t>⁎⁎</w:t>
            </w:r>
          </w:p>
        </w:tc>
        <w:tc>
          <w:tcPr>
            <w:tcW w:w="0" w:type="auto"/>
            <w:hideMark/>
          </w:tcPr>
          <w:p w14:paraId="5E17488A" w14:textId="77777777" w:rsidR="0033310C" w:rsidRPr="0033310C" w:rsidRDefault="0033310C" w:rsidP="00106666">
            <w:pPr>
              <w:pStyle w:val="NoSpacing"/>
            </w:pPr>
            <w:r w:rsidRPr="0033310C">
              <w:t>1</w:t>
            </w:r>
          </w:p>
        </w:tc>
        <w:tc>
          <w:tcPr>
            <w:tcW w:w="0" w:type="auto"/>
            <w:hideMark/>
          </w:tcPr>
          <w:p w14:paraId="3E46BD16" w14:textId="77777777" w:rsidR="0033310C" w:rsidRPr="0033310C" w:rsidRDefault="0033310C" w:rsidP="00106666">
            <w:pPr>
              <w:pStyle w:val="NoSpacing"/>
            </w:pPr>
          </w:p>
        </w:tc>
        <w:tc>
          <w:tcPr>
            <w:tcW w:w="0" w:type="auto"/>
            <w:hideMark/>
          </w:tcPr>
          <w:p w14:paraId="3AD0C9F6" w14:textId="77777777" w:rsidR="0033310C" w:rsidRPr="0033310C" w:rsidRDefault="0033310C" w:rsidP="00106666">
            <w:pPr>
              <w:pStyle w:val="NoSpacing"/>
            </w:pPr>
          </w:p>
        </w:tc>
        <w:tc>
          <w:tcPr>
            <w:tcW w:w="0" w:type="auto"/>
            <w:hideMark/>
          </w:tcPr>
          <w:p w14:paraId="76E0BB74" w14:textId="77777777" w:rsidR="0033310C" w:rsidRPr="0033310C" w:rsidRDefault="0033310C" w:rsidP="00106666">
            <w:pPr>
              <w:pStyle w:val="NoSpacing"/>
            </w:pPr>
          </w:p>
        </w:tc>
      </w:tr>
      <w:tr w:rsidR="0033310C" w:rsidRPr="0033310C" w14:paraId="5BD6EFB4" w14:textId="77777777" w:rsidTr="00106666">
        <w:tc>
          <w:tcPr>
            <w:tcW w:w="0" w:type="auto"/>
            <w:hideMark/>
          </w:tcPr>
          <w:p w14:paraId="3D065095" w14:textId="77777777" w:rsidR="0033310C" w:rsidRPr="0033310C" w:rsidRDefault="0033310C" w:rsidP="00106666">
            <w:pPr>
              <w:pStyle w:val="NoSpacing"/>
            </w:pPr>
            <w:r w:rsidRPr="0033310C">
              <w:t>10. Proportion living in poverty</w:t>
            </w:r>
          </w:p>
        </w:tc>
        <w:tc>
          <w:tcPr>
            <w:tcW w:w="0" w:type="auto"/>
            <w:hideMark/>
          </w:tcPr>
          <w:p w14:paraId="364E2E9C" w14:textId="3189A329" w:rsidR="0033310C" w:rsidRPr="0033310C" w:rsidRDefault="0033310C" w:rsidP="00106666">
            <w:pPr>
              <w:pStyle w:val="NoSpacing"/>
            </w:pPr>
            <w:r w:rsidRPr="0033310C">
              <w:t>.530</w:t>
            </w:r>
            <w:r w:rsidRPr="0033310C">
              <w:rPr>
                <w:rFonts w:ascii="Tahoma" w:hAnsi="Tahoma" w:cs="Tahoma"/>
                <w:vertAlign w:val="superscript"/>
              </w:rPr>
              <w:t>⁎⁎</w:t>
            </w:r>
          </w:p>
        </w:tc>
        <w:tc>
          <w:tcPr>
            <w:tcW w:w="0" w:type="auto"/>
            <w:hideMark/>
          </w:tcPr>
          <w:p w14:paraId="705EDF46" w14:textId="0F7E45B2" w:rsidR="0033310C" w:rsidRPr="0033310C" w:rsidRDefault="0033310C" w:rsidP="00106666">
            <w:pPr>
              <w:pStyle w:val="NoSpacing"/>
            </w:pPr>
            <w:r w:rsidRPr="0033310C">
              <w:t>.181</w:t>
            </w:r>
            <w:r w:rsidRPr="0033310C">
              <w:rPr>
                <w:rFonts w:ascii="Tahoma" w:hAnsi="Tahoma" w:cs="Tahoma"/>
                <w:vertAlign w:val="superscript"/>
              </w:rPr>
              <w:t>⁎⁎</w:t>
            </w:r>
          </w:p>
        </w:tc>
        <w:tc>
          <w:tcPr>
            <w:tcW w:w="0" w:type="auto"/>
            <w:hideMark/>
          </w:tcPr>
          <w:p w14:paraId="02A88103" w14:textId="3A18EDC3" w:rsidR="0033310C" w:rsidRPr="0033310C" w:rsidRDefault="0033310C" w:rsidP="00106666">
            <w:pPr>
              <w:pStyle w:val="NoSpacing"/>
            </w:pPr>
            <w:r w:rsidRPr="0033310C">
              <w:t>.090</w:t>
            </w:r>
            <w:r w:rsidRPr="0033310C">
              <w:rPr>
                <w:rFonts w:ascii="Tahoma" w:hAnsi="Tahoma" w:cs="Tahoma"/>
                <w:vertAlign w:val="superscript"/>
              </w:rPr>
              <w:t>⁎</w:t>
            </w:r>
          </w:p>
        </w:tc>
        <w:tc>
          <w:tcPr>
            <w:tcW w:w="0" w:type="auto"/>
            <w:hideMark/>
          </w:tcPr>
          <w:p w14:paraId="1569F7E1" w14:textId="2885F96B" w:rsidR="0033310C" w:rsidRPr="0033310C" w:rsidRDefault="0033310C" w:rsidP="00106666">
            <w:pPr>
              <w:pStyle w:val="NoSpacing"/>
            </w:pPr>
            <w:r w:rsidRPr="0033310C">
              <w:t>.350</w:t>
            </w:r>
            <w:r w:rsidRPr="0033310C">
              <w:rPr>
                <w:rFonts w:ascii="Tahoma" w:hAnsi="Tahoma" w:cs="Tahoma"/>
                <w:vertAlign w:val="superscript"/>
              </w:rPr>
              <w:t>⁎⁎</w:t>
            </w:r>
          </w:p>
        </w:tc>
        <w:tc>
          <w:tcPr>
            <w:tcW w:w="0" w:type="auto"/>
            <w:hideMark/>
          </w:tcPr>
          <w:p w14:paraId="1D573787" w14:textId="0BFD1DAF" w:rsidR="0033310C" w:rsidRPr="0033310C" w:rsidRDefault="0033310C" w:rsidP="00106666">
            <w:pPr>
              <w:pStyle w:val="NoSpacing"/>
            </w:pPr>
            <w:r w:rsidRPr="0033310C">
              <w:t>.365</w:t>
            </w:r>
            <w:r w:rsidRPr="0033310C">
              <w:rPr>
                <w:rFonts w:ascii="Tahoma" w:hAnsi="Tahoma" w:cs="Tahoma"/>
                <w:vertAlign w:val="superscript"/>
              </w:rPr>
              <w:t>⁎⁎</w:t>
            </w:r>
          </w:p>
        </w:tc>
        <w:tc>
          <w:tcPr>
            <w:tcW w:w="0" w:type="auto"/>
            <w:hideMark/>
          </w:tcPr>
          <w:p w14:paraId="35F9F6C8" w14:textId="24A4A3BF" w:rsidR="0033310C" w:rsidRPr="0033310C" w:rsidRDefault="0033310C" w:rsidP="00106666">
            <w:pPr>
              <w:pStyle w:val="NoSpacing"/>
            </w:pPr>
            <w:r w:rsidRPr="0033310C">
              <w:t>.330</w:t>
            </w:r>
            <w:r w:rsidRPr="0033310C">
              <w:rPr>
                <w:rFonts w:ascii="Tahoma" w:hAnsi="Tahoma" w:cs="Tahoma"/>
                <w:vertAlign w:val="superscript"/>
              </w:rPr>
              <w:t>⁎⁎</w:t>
            </w:r>
          </w:p>
        </w:tc>
        <w:tc>
          <w:tcPr>
            <w:tcW w:w="0" w:type="auto"/>
            <w:hideMark/>
          </w:tcPr>
          <w:p w14:paraId="517D2E19" w14:textId="337A79BB" w:rsidR="0033310C" w:rsidRPr="0033310C" w:rsidRDefault="0033310C" w:rsidP="00106666">
            <w:pPr>
              <w:pStyle w:val="NoSpacing"/>
            </w:pPr>
            <w:r w:rsidRPr="0033310C">
              <w:t>.447</w:t>
            </w:r>
            <w:r w:rsidRPr="0033310C">
              <w:rPr>
                <w:rFonts w:ascii="Tahoma" w:hAnsi="Tahoma" w:cs="Tahoma"/>
                <w:vertAlign w:val="superscript"/>
              </w:rPr>
              <w:t>⁎⁎</w:t>
            </w:r>
          </w:p>
        </w:tc>
        <w:tc>
          <w:tcPr>
            <w:tcW w:w="0" w:type="auto"/>
            <w:hideMark/>
          </w:tcPr>
          <w:p w14:paraId="4A5E4DF2" w14:textId="22A19C2C" w:rsidR="0033310C" w:rsidRPr="0033310C" w:rsidRDefault="0033310C" w:rsidP="00106666">
            <w:pPr>
              <w:pStyle w:val="NoSpacing"/>
            </w:pPr>
            <w:r w:rsidRPr="0033310C">
              <w:t>.574</w:t>
            </w:r>
            <w:r w:rsidRPr="0033310C">
              <w:rPr>
                <w:rFonts w:ascii="Tahoma" w:hAnsi="Tahoma" w:cs="Tahoma"/>
                <w:vertAlign w:val="superscript"/>
              </w:rPr>
              <w:t>⁎⁎</w:t>
            </w:r>
          </w:p>
        </w:tc>
        <w:tc>
          <w:tcPr>
            <w:tcW w:w="0" w:type="auto"/>
            <w:hideMark/>
          </w:tcPr>
          <w:p w14:paraId="1EE12717" w14:textId="32F8340B" w:rsidR="0033310C" w:rsidRPr="0033310C" w:rsidRDefault="0033310C" w:rsidP="00106666">
            <w:pPr>
              <w:pStyle w:val="NoSpacing"/>
            </w:pPr>
            <w:r w:rsidRPr="0033310C">
              <w:t>.584</w:t>
            </w:r>
            <w:r w:rsidRPr="0033310C">
              <w:rPr>
                <w:rFonts w:ascii="Tahoma" w:hAnsi="Tahoma" w:cs="Tahoma"/>
                <w:vertAlign w:val="superscript"/>
              </w:rPr>
              <w:t>⁎⁎</w:t>
            </w:r>
          </w:p>
        </w:tc>
        <w:tc>
          <w:tcPr>
            <w:tcW w:w="0" w:type="auto"/>
            <w:hideMark/>
          </w:tcPr>
          <w:p w14:paraId="3EA55F98" w14:textId="77777777" w:rsidR="0033310C" w:rsidRPr="0033310C" w:rsidRDefault="0033310C" w:rsidP="00106666">
            <w:pPr>
              <w:pStyle w:val="NoSpacing"/>
            </w:pPr>
            <w:r w:rsidRPr="0033310C">
              <w:t>1</w:t>
            </w:r>
          </w:p>
        </w:tc>
        <w:tc>
          <w:tcPr>
            <w:tcW w:w="0" w:type="auto"/>
            <w:hideMark/>
          </w:tcPr>
          <w:p w14:paraId="69511392" w14:textId="77777777" w:rsidR="0033310C" w:rsidRPr="0033310C" w:rsidRDefault="0033310C" w:rsidP="00106666">
            <w:pPr>
              <w:pStyle w:val="NoSpacing"/>
            </w:pPr>
          </w:p>
        </w:tc>
        <w:tc>
          <w:tcPr>
            <w:tcW w:w="0" w:type="auto"/>
            <w:hideMark/>
          </w:tcPr>
          <w:p w14:paraId="6668C192" w14:textId="77777777" w:rsidR="0033310C" w:rsidRPr="0033310C" w:rsidRDefault="0033310C" w:rsidP="00106666">
            <w:pPr>
              <w:pStyle w:val="NoSpacing"/>
            </w:pPr>
          </w:p>
        </w:tc>
      </w:tr>
      <w:bookmarkEnd w:id="68"/>
      <w:tr w:rsidR="0033310C" w:rsidRPr="0033310C" w14:paraId="2AC9E81C" w14:textId="77777777" w:rsidTr="00106666">
        <w:tc>
          <w:tcPr>
            <w:tcW w:w="0" w:type="auto"/>
            <w:hideMark/>
          </w:tcPr>
          <w:p w14:paraId="5FB6BB48" w14:textId="77777777" w:rsidR="0033310C" w:rsidRPr="0033310C" w:rsidRDefault="0033310C" w:rsidP="00106666">
            <w:pPr>
              <w:pStyle w:val="NoSpacing"/>
            </w:pPr>
            <w:r w:rsidRPr="0033310C">
              <w:t>11. Distance from city center</w:t>
            </w:r>
          </w:p>
        </w:tc>
        <w:tc>
          <w:tcPr>
            <w:tcW w:w="0" w:type="auto"/>
            <w:hideMark/>
          </w:tcPr>
          <w:p w14:paraId="003BB2C5" w14:textId="6BC7327F" w:rsidR="0033310C" w:rsidRPr="0033310C" w:rsidRDefault="0033310C" w:rsidP="00106666">
            <w:pPr>
              <w:pStyle w:val="NoSpacing"/>
            </w:pPr>
            <w:r w:rsidRPr="0033310C">
              <w:t>−.362</w:t>
            </w:r>
            <w:r w:rsidRPr="0033310C">
              <w:rPr>
                <w:rFonts w:ascii="Tahoma" w:hAnsi="Tahoma" w:cs="Tahoma"/>
                <w:vertAlign w:val="superscript"/>
              </w:rPr>
              <w:t>⁎⁎</w:t>
            </w:r>
          </w:p>
        </w:tc>
        <w:tc>
          <w:tcPr>
            <w:tcW w:w="0" w:type="auto"/>
            <w:hideMark/>
          </w:tcPr>
          <w:p w14:paraId="0D45DB7A" w14:textId="7CA11C27" w:rsidR="0033310C" w:rsidRPr="0033310C" w:rsidRDefault="0033310C" w:rsidP="00106666">
            <w:pPr>
              <w:pStyle w:val="NoSpacing"/>
            </w:pPr>
            <w:r w:rsidRPr="0033310C">
              <w:t>−.443</w:t>
            </w:r>
            <w:r w:rsidRPr="0033310C">
              <w:rPr>
                <w:rFonts w:ascii="Tahoma" w:hAnsi="Tahoma" w:cs="Tahoma"/>
                <w:vertAlign w:val="superscript"/>
              </w:rPr>
              <w:t>⁎⁎</w:t>
            </w:r>
          </w:p>
        </w:tc>
        <w:tc>
          <w:tcPr>
            <w:tcW w:w="0" w:type="auto"/>
            <w:hideMark/>
          </w:tcPr>
          <w:p w14:paraId="4C019BBB" w14:textId="4BC0ACE3" w:rsidR="0033310C" w:rsidRPr="0033310C" w:rsidRDefault="0033310C" w:rsidP="00106666">
            <w:pPr>
              <w:pStyle w:val="NoSpacing"/>
            </w:pPr>
            <w:r w:rsidRPr="0033310C">
              <w:t>−.397</w:t>
            </w:r>
            <w:r w:rsidRPr="0033310C">
              <w:rPr>
                <w:rFonts w:ascii="Tahoma" w:hAnsi="Tahoma" w:cs="Tahoma"/>
                <w:vertAlign w:val="superscript"/>
              </w:rPr>
              <w:t>⁎⁎</w:t>
            </w:r>
          </w:p>
        </w:tc>
        <w:tc>
          <w:tcPr>
            <w:tcW w:w="0" w:type="auto"/>
            <w:hideMark/>
          </w:tcPr>
          <w:p w14:paraId="74C036ED" w14:textId="4332BBE9" w:rsidR="0033310C" w:rsidRPr="0033310C" w:rsidRDefault="0033310C" w:rsidP="00106666">
            <w:pPr>
              <w:pStyle w:val="NoSpacing"/>
            </w:pPr>
            <w:r w:rsidRPr="0033310C">
              <w:t>−.308</w:t>
            </w:r>
            <w:r w:rsidRPr="0033310C">
              <w:rPr>
                <w:rFonts w:ascii="Tahoma" w:hAnsi="Tahoma" w:cs="Tahoma"/>
                <w:vertAlign w:val="superscript"/>
              </w:rPr>
              <w:t>⁎⁎</w:t>
            </w:r>
          </w:p>
        </w:tc>
        <w:tc>
          <w:tcPr>
            <w:tcW w:w="0" w:type="auto"/>
            <w:hideMark/>
          </w:tcPr>
          <w:p w14:paraId="0D08297F" w14:textId="19590189" w:rsidR="0033310C" w:rsidRPr="0033310C" w:rsidRDefault="0033310C" w:rsidP="00106666">
            <w:pPr>
              <w:pStyle w:val="NoSpacing"/>
            </w:pPr>
            <w:r w:rsidRPr="0033310C">
              <w:t>−.475</w:t>
            </w:r>
            <w:r w:rsidRPr="0033310C">
              <w:rPr>
                <w:rFonts w:ascii="Tahoma" w:hAnsi="Tahoma" w:cs="Tahoma"/>
                <w:vertAlign w:val="superscript"/>
              </w:rPr>
              <w:t>⁎⁎</w:t>
            </w:r>
          </w:p>
        </w:tc>
        <w:tc>
          <w:tcPr>
            <w:tcW w:w="0" w:type="auto"/>
            <w:hideMark/>
          </w:tcPr>
          <w:p w14:paraId="0D2CA94F" w14:textId="4EA6A074" w:rsidR="0033310C" w:rsidRPr="0033310C" w:rsidRDefault="0033310C" w:rsidP="00106666">
            <w:pPr>
              <w:pStyle w:val="NoSpacing"/>
            </w:pPr>
            <w:r w:rsidRPr="0033310C">
              <w:t>−.362</w:t>
            </w:r>
            <w:r w:rsidRPr="0033310C">
              <w:rPr>
                <w:rFonts w:ascii="Tahoma" w:hAnsi="Tahoma" w:cs="Tahoma"/>
                <w:vertAlign w:val="superscript"/>
              </w:rPr>
              <w:t>⁎⁎</w:t>
            </w:r>
          </w:p>
        </w:tc>
        <w:tc>
          <w:tcPr>
            <w:tcW w:w="0" w:type="auto"/>
            <w:hideMark/>
          </w:tcPr>
          <w:p w14:paraId="0567E9B6" w14:textId="77777777" w:rsidR="0033310C" w:rsidRPr="0033310C" w:rsidRDefault="0033310C" w:rsidP="00106666">
            <w:pPr>
              <w:pStyle w:val="NoSpacing"/>
            </w:pPr>
            <w:r w:rsidRPr="0033310C">
              <w:t>.061</w:t>
            </w:r>
          </w:p>
        </w:tc>
        <w:tc>
          <w:tcPr>
            <w:tcW w:w="0" w:type="auto"/>
            <w:hideMark/>
          </w:tcPr>
          <w:p w14:paraId="7E7D8C75" w14:textId="77777777" w:rsidR="0033310C" w:rsidRPr="0033310C" w:rsidRDefault="0033310C" w:rsidP="00106666">
            <w:pPr>
              <w:pStyle w:val="NoSpacing"/>
            </w:pPr>
            <w:r w:rsidRPr="0033310C">
              <w:t>.015</w:t>
            </w:r>
          </w:p>
        </w:tc>
        <w:tc>
          <w:tcPr>
            <w:tcW w:w="0" w:type="auto"/>
            <w:hideMark/>
          </w:tcPr>
          <w:p w14:paraId="31825E30" w14:textId="6FD05BB0" w:rsidR="0033310C" w:rsidRPr="0033310C" w:rsidRDefault="0033310C" w:rsidP="00106666">
            <w:pPr>
              <w:pStyle w:val="NoSpacing"/>
            </w:pPr>
            <w:r w:rsidRPr="0033310C">
              <w:t>−.435</w:t>
            </w:r>
            <w:r w:rsidRPr="0033310C">
              <w:rPr>
                <w:rFonts w:ascii="Tahoma" w:hAnsi="Tahoma" w:cs="Tahoma"/>
                <w:vertAlign w:val="superscript"/>
              </w:rPr>
              <w:t>⁎⁎</w:t>
            </w:r>
          </w:p>
        </w:tc>
        <w:tc>
          <w:tcPr>
            <w:tcW w:w="0" w:type="auto"/>
            <w:hideMark/>
          </w:tcPr>
          <w:p w14:paraId="716430AD" w14:textId="5AAF5501" w:rsidR="0033310C" w:rsidRPr="0033310C" w:rsidRDefault="0033310C" w:rsidP="00106666">
            <w:pPr>
              <w:pStyle w:val="NoSpacing"/>
            </w:pPr>
            <w:r w:rsidRPr="0033310C">
              <w:t>−.422</w:t>
            </w:r>
            <w:r w:rsidRPr="0033310C">
              <w:rPr>
                <w:rFonts w:ascii="Tahoma" w:hAnsi="Tahoma" w:cs="Tahoma"/>
                <w:vertAlign w:val="superscript"/>
              </w:rPr>
              <w:t>⁎⁎</w:t>
            </w:r>
          </w:p>
        </w:tc>
        <w:tc>
          <w:tcPr>
            <w:tcW w:w="0" w:type="auto"/>
            <w:hideMark/>
          </w:tcPr>
          <w:p w14:paraId="2BAC4380" w14:textId="77777777" w:rsidR="0033310C" w:rsidRPr="0033310C" w:rsidRDefault="0033310C" w:rsidP="00106666">
            <w:pPr>
              <w:pStyle w:val="NoSpacing"/>
            </w:pPr>
            <w:r w:rsidRPr="0033310C">
              <w:t>1</w:t>
            </w:r>
          </w:p>
        </w:tc>
        <w:tc>
          <w:tcPr>
            <w:tcW w:w="0" w:type="auto"/>
            <w:hideMark/>
          </w:tcPr>
          <w:p w14:paraId="0AA659A6" w14:textId="77777777" w:rsidR="0033310C" w:rsidRPr="0033310C" w:rsidRDefault="0033310C" w:rsidP="00106666">
            <w:pPr>
              <w:pStyle w:val="NoSpacing"/>
            </w:pPr>
          </w:p>
        </w:tc>
      </w:tr>
      <w:tr w:rsidR="0033310C" w:rsidRPr="0033310C" w14:paraId="29C096CC" w14:textId="77777777" w:rsidTr="00106666">
        <w:tc>
          <w:tcPr>
            <w:tcW w:w="0" w:type="auto"/>
            <w:hideMark/>
          </w:tcPr>
          <w:p w14:paraId="1EDA337F" w14:textId="77777777" w:rsidR="0033310C" w:rsidRPr="0033310C" w:rsidRDefault="0033310C" w:rsidP="00106666">
            <w:pPr>
              <w:pStyle w:val="NoSpacing"/>
            </w:pPr>
            <w:r w:rsidRPr="0033310C">
              <w:t>12. Social disorganization index</w:t>
            </w:r>
          </w:p>
        </w:tc>
        <w:tc>
          <w:tcPr>
            <w:tcW w:w="0" w:type="auto"/>
            <w:hideMark/>
          </w:tcPr>
          <w:p w14:paraId="33F640E4" w14:textId="3C5C4FE0" w:rsidR="0033310C" w:rsidRPr="0033310C" w:rsidRDefault="0033310C" w:rsidP="00106666">
            <w:pPr>
              <w:pStyle w:val="NoSpacing"/>
            </w:pPr>
            <w:r w:rsidRPr="0033310C">
              <w:t>.493</w:t>
            </w:r>
            <w:r w:rsidRPr="0033310C">
              <w:rPr>
                <w:rFonts w:ascii="Tahoma" w:hAnsi="Tahoma" w:cs="Tahoma"/>
                <w:vertAlign w:val="superscript"/>
              </w:rPr>
              <w:t>⁎⁎</w:t>
            </w:r>
          </w:p>
        </w:tc>
        <w:tc>
          <w:tcPr>
            <w:tcW w:w="0" w:type="auto"/>
            <w:hideMark/>
          </w:tcPr>
          <w:p w14:paraId="092435AF" w14:textId="2A2794E6" w:rsidR="0033310C" w:rsidRPr="0033310C" w:rsidRDefault="0033310C" w:rsidP="00106666">
            <w:pPr>
              <w:pStyle w:val="NoSpacing"/>
            </w:pPr>
            <w:r w:rsidRPr="0033310C">
              <w:t>.146</w:t>
            </w:r>
            <w:r w:rsidRPr="0033310C">
              <w:rPr>
                <w:rFonts w:ascii="Tahoma" w:hAnsi="Tahoma" w:cs="Tahoma"/>
                <w:vertAlign w:val="superscript"/>
              </w:rPr>
              <w:t>⁎⁎</w:t>
            </w:r>
          </w:p>
        </w:tc>
        <w:tc>
          <w:tcPr>
            <w:tcW w:w="0" w:type="auto"/>
            <w:hideMark/>
          </w:tcPr>
          <w:p w14:paraId="4D2C3FA8" w14:textId="77777777" w:rsidR="0033310C" w:rsidRPr="0033310C" w:rsidRDefault="0033310C" w:rsidP="00106666">
            <w:pPr>
              <w:pStyle w:val="NoSpacing"/>
            </w:pPr>
            <w:r w:rsidRPr="0033310C">
              <w:t>.069</w:t>
            </w:r>
          </w:p>
        </w:tc>
        <w:tc>
          <w:tcPr>
            <w:tcW w:w="0" w:type="auto"/>
            <w:hideMark/>
          </w:tcPr>
          <w:p w14:paraId="3592FC01" w14:textId="7AA4C0CE" w:rsidR="0033310C" w:rsidRPr="0033310C" w:rsidRDefault="0033310C" w:rsidP="00106666">
            <w:pPr>
              <w:pStyle w:val="NoSpacing"/>
            </w:pPr>
            <w:r w:rsidRPr="0033310C">
              <w:t>.293</w:t>
            </w:r>
            <w:r w:rsidRPr="0033310C">
              <w:rPr>
                <w:rFonts w:ascii="Tahoma" w:hAnsi="Tahoma" w:cs="Tahoma"/>
                <w:vertAlign w:val="superscript"/>
              </w:rPr>
              <w:t>⁎⁎</w:t>
            </w:r>
          </w:p>
        </w:tc>
        <w:tc>
          <w:tcPr>
            <w:tcW w:w="0" w:type="auto"/>
            <w:hideMark/>
          </w:tcPr>
          <w:p w14:paraId="62DA8263" w14:textId="484750B4" w:rsidR="0033310C" w:rsidRPr="0033310C" w:rsidRDefault="0033310C" w:rsidP="00106666">
            <w:pPr>
              <w:pStyle w:val="NoSpacing"/>
            </w:pPr>
            <w:r w:rsidRPr="0033310C">
              <w:t>.390</w:t>
            </w:r>
            <w:r w:rsidRPr="0033310C">
              <w:rPr>
                <w:rFonts w:ascii="Tahoma" w:hAnsi="Tahoma" w:cs="Tahoma"/>
                <w:vertAlign w:val="superscript"/>
              </w:rPr>
              <w:t>⁎⁎</w:t>
            </w:r>
          </w:p>
        </w:tc>
        <w:tc>
          <w:tcPr>
            <w:tcW w:w="0" w:type="auto"/>
            <w:hideMark/>
          </w:tcPr>
          <w:p w14:paraId="73C8E980" w14:textId="66B05F8F" w:rsidR="0033310C" w:rsidRPr="0033310C" w:rsidRDefault="0033310C" w:rsidP="00106666">
            <w:pPr>
              <w:pStyle w:val="NoSpacing"/>
            </w:pPr>
            <w:r w:rsidRPr="0033310C">
              <w:t>.243</w:t>
            </w:r>
            <w:r w:rsidRPr="0033310C">
              <w:rPr>
                <w:rFonts w:ascii="Tahoma" w:hAnsi="Tahoma" w:cs="Tahoma"/>
                <w:vertAlign w:val="superscript"/>
              </w:rPr>
              <w:t>⁎⁎</w:t>
            </w:r>
          </w:p>
        </w:tc>
        <w:tc>
          <w:tcPr>
            <w:tcW w:w="0" w:type="auto"/>
            <w:hideMark/>
          </w:tcPr>
          <w:p w14:paraId="7DB2D606" w14:textId="0A80F768" w:rsidR="0033310C" w:rsidRPr="0033310C" w:rsidRDefault="0033310C" w:rsidP="00106666">
            <w:pPr>
              <w:pStyle w:val="NoSpacing"/>
            </w:pPr>
            <w:r w:rsidRPr="0033310C">
              <w:t>.385</w:t>
            </w:r>
            <w:r w:rsidRPr="0033310C">
              <w:rPr>
                <w:rFonts w:ascii="Tahoma" w:hAnsi="Tahoma" w:cs="Tahoma"/>
                <w:vertAlign w:val="superscript"/>
              </w:rPr>
              <w:t>⁎⁎</w:t>
            </w:r>
          </w:p>
        </w:tc>
        <w:tc>
          <w:tcPr>
            <w:tcW w:w="0" w:type="auto"/>
            <w:hideMark/>
          </w:tcPr>
          <w:p w14:paraId="50C98E34" w14:textId="4D048E6C" w:rsidR="0033310C" w:rsidRPr="0033310C" w:rsidRDefault="0033310C" w:rsidP="00106666">
            <w:pPr>
              <w:pStyle w:val="NoSpacing"/>
            </w:pPr>
            <w:r w:rsidRPr="0033310C">
              <w:t>.668</w:t>
            </w:r>
            <w:r w:rsidRPr="0033310C">
              <w:rPr>
                <w:rFonts w:ascii="Tahoma" w:hAnsi="Tahoma" w:cs="Tahoma"/>
                <w:vertAlign w:val="superscript"/>
              </w:rPr>
              <w:t>⁎⁎</w:t>
            </w:r>
          </w:p>
        </w:tc>
        <w:tc>
          <w:tcPr>
            <w:tcW w:w="0" w:type="auto"/>
            <w:hideMark/>
          </w:tcPr>
          <w:p w14:paraId="5F613BA1" w14:textId="694757BB" w:rsidR="0033310C" w:rsidRPr="0033310C" w:rsidRDefault="0033310C" w:rsidP="00106666">
            <w:pPr>
              <w:pStyle w:val="NoSpacing"/>
            </w:pPr>
            <w:r w:rsidRPr="0033310C">
              <w:t>.754</w:t>
            </w:r>
            <w:r w:rsidRPr="0033310C">
              <w:rPr>
                <w:rFonts w:ascii="Tahoma" w:hAnsi="Tahoma" w:cs="Tahoma"/>
                <w:vertAlign w:val="superscript"/>
              </w:rPr>
              <w:t>⁎⁎</w:t>
            </w:r>
          </w:p>
        </w:tc>
        <w:tc>
          <w:tcPr>
            <w:tcW w:w="0" w:type="auto"/>
            <w:hideMark/>
          </w:tcPr>
          <w:p w14:paraId="3039680E" w14:textId="0B635F6B" w:rsidR="0033310C" w:rsidRPr="0033310C" w:rsidRDefault="0033310C" w:rsidP="00106666">
            <w:pPr>
              <w:pStyle w:val="NoSpacing"/>
            </w:pPr>
            <w:r w:rsidRPr="0033310C">
              <w:t>.799</w:t>
            </w:r>
            <w:r w:rsidRPr="0033310C">
              <w:rPr>
                <w:rFonts w:ascii="Tahoma" w:hAnsi="Tahoma" w:cs="Tahoma"/>
                <w:vertAlign w:val="superscript"/>
              </w:rPr>
              <w:t>⁎⁎</w:t>
            </w:r>
          </w:p>
        </w:tc>
        <w:tc>
          <w:tcPr>
            <w:tcW w:w="0" w:type="auto"/>
            <w:hideMark/>
          </w:tcPr>
          <w:p w14:paraId="2559AF63" w14:textId="75AAC6B2" w:rsidR="0033310C" w:rsidRPr="0033310C" w:rsidRDefault="0033310C" w:rsidP="00106666">
            <w:pPr>
              <w:pStyle w:val="NoSpacing"/>
            </w:pPr>
            <w:r w:rsidRPr="0033310C">
              <w:t>−.262</w:t>
            </w:r>
            <w:r w:rsidRPr="0033310C">
              <w:rPr>
                <w:rFonts w:ascii="Tahoma" w:hAnsi="Tahoma" w:cs="Tahoma"/>
                <w:vertAlign w:val="superscript"/>
              </w:rPr>
              <w:t>⁎⁎</w:t>
            </w:r>
          </w:p>
        </w:tc>
        <w:tc>
          <w:tcPr>
            <w:tcW w:w="0" w:type="auto"/>
            <w:hideMark/>
          </w:tcPr>
          <w:p w14:paraId="7CAA3BAF" w14:textId="77777777" w:rsidR="0033310C" w:rsidRPr="0033310C" w:rsidRDefault="0033310C" w:rsidP="00106666">
            <w:pPr>
              <w:pStyle w:val="NoSpacing"/>
            </w:pPr>
            <w:r w:rsidRPr="0033310C">
              <w:t>1</w:t>
            </w:r>
          </w:p>
        </w:tc>
      </w:tr>
    </w:tbl>
    <w:bookmarkEnd w:id="67"/>
    <w:p w14:paraId="482C963B" w14:textId="59AB9E82" w:rsidR="0033310C" w:rsidRPr="0033310C" w:rsidRDefault="0033310C" w:rsidP="00F41D2A">
      <w:pPr>
        <w:pStyle w:val="NoSpacing"/>
      </w:pPr>
      <w:r w:rsidRPr="0033310C">
        <w:rPr>
          <w:rFonts w:ascii="Tahoma" w:hAnsi="Tahoma" w:cs="Tahoma"/>
        </w:rPr>
        <w:t>⁎</w:t>
      </w:r>
      <w:r>
        <w:rPr>
          <w:rFonts w:ascii="Tahoma" w:hAnsi="Tahoma" w:cs="Tahoma"/>
        </w:rPr>
        <w:t xml:space="preserve"> </w:t>
      </w:r>
      <w:r w:rsidRPr="0033310C">
        <w:t>Correlation is significant at the 0.05 level (2-tailed).</w:t>
      </w:r>
    </w:p>
    <w:p w14:paraId="2B6891CF" w14:textId="32E96432" w:rsidR="0033310C" w:rsidRPr="0033310C" w:rsidRDefault="0033310C" w:rsidP="00F41D2A">
      <w:pPr>
        <w:pStyle w:val="NoSpacing"/>
      </w:pPr>
      <w:r w:rsidRPr="0033310C">
        <w:rPr>
          <w:rFonts w:ascii="Tahoma" w:hAnsi="Tahoma" w:cs="Tahoma"/>
        </w:rPr>
        <w:t>⁎⁎</w:t>
      </w:r>
      <w:r>
        <w:t xml:space="preserve"> </w:t>
      </w:r>
      <w:r w:rsidRPr="0033310C">
        <w:t>Correlation is significant at the 0.01 level (2-tailed).</w:t>
      </w:r>
    </w:p>
    <w:p w14:paraId="41F85244" w14:textId="77777777" w:rsidR="00623C32" w:rsidRDefault="00623C32" w:rsidP="00F41D2A">
      <w:pPr>
        <w:spacing w:after="0"/>
      </w:pPr>
    </w:p>
    <w:p w14:paraId="711A5183" w14:textId="78752ACF" w:rsidR="0033310C" w:rsidRPr="0033310C" w:rsidRDefault="0033310C" w:rsidP="00F41D2A">
      <w:pPr>
        <w:spacing w:after="0"/>
      </w:pPr>
      <w:r w:rsidRPr="0033310C">
        <w:t>Table 3. Robberies density regressed on total alcohol outlet density and control variables for Milwaukee block groups.</w:t>
      </w:r>
    </w:p>
    <w:tbl>
      <w:tblPr>
        <w:tblStyle w:val="TableGrid"/>
        <w:tblW w:w="0" w:type="auto"/>
        <w:tblLook w:val="04A0" w:firstRow="1" w:lastRow="0" w:firstColumn="1" w:lastColumn="0" w:noHBand="0" w:noVBand="1"/>
      </w:tblPr>
      <w:tblGrid>
        <w:gridCol w:w="3901"/>
        <w:gridCol w:w="2553"/>
        <w:gridCol w:w="607"/>
        <w:gridCol w:w="1881"/>
        <w:gridCol w:w="607"/>
        <w:gridCol w:w="1883"/>
        <w:gridCol w:w="607"/>
      </w:tblGrid>
      <w:tr w:rsidR="008F70DF" w:rsidRPr="0033310C" w14:paraId="0972FA2E" w14:textId="77777777" w:rsidTr="003D3469">
        <w:tc>
          <w:tcPr>
            <w:tcW w:w="0" w:type="auto"/>
            <w:hideMark/>
          </w:tcPr>
          <w:p w14:paraId="19B61158" w14:textId="77777777" w:rsidR="008F70DF" w:rsidRPr="0033310C" w:rsidRDefault="008F70DF" w:rsidP="00F41D2A">
            <w:pPr>
              <w:pStyle w:val="NoSpacing"/>
            </w:pPr>
            <w:r w:rsidRPr="0033310C">
              <w:t>Empty Cell</w:t>
            </w:r>
          </w:p>
        </w:tc>
        <w:tc>
          <w:tcPr>
            <w:tcW w:w="0" w:type="auto"/>
            <w:hideMark/>
          </w:tcPr>
          <w:p w14:paraId="23CC03E0" w14:textId="27BCBE26" w:rsidR="008F70DF" w:rsidRPr="0033310C" w:rsidRDefault="008F70DF" w:rsidP="00F41D2A">
            <w:pPr>
              <w:pStyle w:val="NoSpacing"/>
            </w:pPr>
            <w:r w:rsidRPr="0033310C">
              <w:t>Model 1</w:t>
            </w:r>
            <w:r w:rsidRPr="0033310C">
              <w:br/>
              <w:t>Spatial lag</w:t>
            </w:r>
            <w:r w:rsidRPr="0033310C">
              <w:br/>
              <w:t xml:space="preserve">Global model </w:t>
            </w:r>
            <m:oMath>
              <m:r>
                <w:rPr>
                  <w:rFonts w:ascii="Cambria Math" w:hAnsi="Cambria Math"/>
                </w:rPr>
                <m:t>(</m:t>
              </m:r>
              <m:r>
                <w:rPr>
                  <w:rFonts w:ascii="Cambria Math" w:hAnsi="Cambria Math"/>
                </w:rPr>
                <m:t>N</m:t>
              </m:r>
              <m:r>
                <w:rPr>
                  <w:rFonts w:ascii="Cambria Math" w:hAnsi="Cambria Math"/>
                </w:rPr>
                <m:t> = 571)</m:t>
              </m:r>
            </m:oMath>
          </w:p>
        </w:tc>
        <w:tc>
          <w:tcPr>
            <w:tcW w:w="0" w:type="auto"/>
          </w:tcPr>
          <w:p w14:paraId="78C40F18" w14:textId="622796AB" w:rsidR="008F70DF" w:rsidRPr="0033310C" w:rsidRDefault="008F70DF" w:rsidP="00F41D2A">
            <w:pPr>
              <w:pStyle w:val="NoSpacing"/>
            </w:pPr>
          </w:p>
        </w:tc>
        <w:tc>
          <w:tcPr>
            <w:tcW w:w="0" w:type="auto"/>
            <w:hideMark/>
          </w:tcPr>
          <w:p w14:paraId="2A86CD5A" w14:textId="01696B11" w:rsidR="008F70DF" w:rsidRPr="0033310C" w:rsidRDefault="008F70DF" w:rsidP="00F41D2A">
            <w:pPr>
              <w:pStyle w:val="NoSpacing"/>
            </w:pPr>
            <w:r w:rsidRPr="0033310C">
              <w:t>Model 2</w:t>
            </w:r>
            <w:r w:rsidRPr="0033310C">
              <w:br/>
              <w:t>S2SLS</w:t>
            </w:r>
            <w:r w:rsidRPr="0033310C">
              <w:br/>
              <w:t xml:space="preserve">South </w:t>
            </w:r>
            <m:oMath>
              <m:r>
                <w:rPr>
                  <w:rFonts w:ascii="Cambria Math" w:hAnsi="Cambria Math"/>
                </w:rPr>
                <m:t>(</m:t>
              </m:r>
              <m:r>
                <w:rPr>
                  <w:rFonts w:ascii="Cambria Math" w:hAnsi="Cambria Math"/>
                </w:rPr>
                <m:t>N</m:t>
              </m:r>
              <m:r>
                <w:rPr>
                  <w:rFonts w:ascii="Cambria Math" w:hAnsi="Cambria Math"/>
                </w:rPr>
                <m:t> = 119)</m:t>
              </m:r>
            </m:oMath>
          </w:p>
        </w:tc>
        <w:tc>
          <w:tcPr>
            <w:tcW w:w="0" w:type="auto"/>
          </w:tcPr>
          <w:p w14:paraId="1483F96B" w14:textId="149EC8B7" w:rsidR="008F70DF" w:rsidRPr="0033310C" w:rsidRDefault="008F70DF" w:rsidP="00F41D2A">
            <w:pPr>
              <w:pStyle w:val="NoSpacing"/>
            </w:pPr>
          </w:p>
        </w:tc>
        <w:tc>
          <w:tcPr>
            <w:tcW w:w="0" w:type="auto"/>
            <w:hideMark/>
          </w:tcPr>
          <w:p w14:paraId="1B3E870C" w14:textId="43B660D6" w:rsidR="008F70DF" w:rsidRPr="0033310C" w:rsidRDefault="008F70DF" w:rsidP="00F41D2A">
            <w:pPr>
              <w:pStyle w:val="NoSpacing"/>
            </w:pPr>
            <w:r w:rsidRPr="0033310C">
              <w:t>Model 3</w:t>
            </w:r>
            <w:r w:rsidRPr="0033310C">
              <w:br/>
              <w:t>S2SLS</w:t>
            </w:r>
            <w:r w:rsidRPr="0033310C">
              <w:br/>
              <w:t xml:space="preserve">North </w:t>
            </w:r>
            <m:oMath>
              <m:r>
                <w:rPr>
                  <w:rFonts w:ascii="Cambria Math" w:hAnsi="Cambria Math"/>
                </w:rPr>
                <m:t>(</m:t>
              </m:r>
              <m:r>
                <w:rPr>
                  <w:rFonts w:ascii="Cambria Math" w:hAnsi="Cambria Math"/>
                </w:rPr>
                <m:t>N</m:t>
              </m:r>
              <m:r>
                <w:rPr>
                  <w:rFonts w:ascii="Cambria Math" w:hAnsi="Cambria Math"/>
                </w:rPr>
                <m:t> = 452)</m:t>
              </m:r>
            </m:oMath>
          </w:p>
        </w:tc>
        <w:tc>
          <w:tcPr>
            <w:tcW w:w="0" w:type="auto"/>
          </w:tcPr>
          <w:p w14:paraId="26042E5A" w14:textId="4E8D3BDE" w:rsidR="008F70DF" w:rsidRPr="0033310C" w:rsidRDefault="008F70DF" w:rsidP="00F41D2A">
            <w:pPr>
              <w:pStyle w:val="NoSpacing"/>
            </w:pPr>
          </w:p>
        </w:tc>
      </w:tr>
      <w:tr w:rsidR="0033310C" w:rsidRPr="0033310C" w14:paraId="68080441" w14:textId="77777777" w:rsidTr="00F41D2A">
        <w:tc>
          <w:tcPr>
            <w:tcW w:w="0" w:type="auto"/>
            <w:hideMark/>
          </w:tcPr>
          <w:p w14:paraId="1AF47521" w14:textId="77777777" w:rsidR="0033310C" w:rsidRPr="0033310C" w:rsidRDefault="0033310C" w:rsidP="00F41D2A">
            <w:pPr>
              <w:pStyle w:val="NoSpacing"/>
            </w:pPr>
          </w:p>
        </w:tc>
        <w:tc>
          <w:tcPr>
            <w:tcW w:w="0" w:type="auto"/>
            <w:hideMark/>
          </w:tcPr>
          <w:p w14:paraId="2F3E323B" w14:textId="77777777" w:rsidR="0033310C" w:rsidRPr="0033310C" w:rsidRDefault="0033310C" w:rsidP="00F41D2A">
            <w:pPr>
              <w:pStyle w:val="NoSpacing"/>
              <w:rPr>
                <w:b/>
                <w:bCs/>
              </w:rPr>
            </w:pPr>
            <w:r w:rsidRPr="0033310C">
              <w:rPr>
                <w:b/>
                <w:bCs/>
                <w:i/>
                <w:iCs/>
              </w:rPr>
              <w:t>B</w:t>
            </w:r>
          </w:p>
        </w:tc>
        <w:tc>
          <w:tcPr>
            <w:tcW w:w="0" w:type="auto"/>
            <w:hideMark/>
          </w:tcPr>
          <w:p w14:paraId="0019C09A" w14:textId="77777777" w:rsidR="0033310C" w:rsidRPr="0033310C" w:rsidRDefault="0033310C" w:rsidP="00F41D2A">
            <w:pPr>
              <w:pStyle w:val="NoSpacing"/>
              <w:rPr>
                <w:b/>
                <w:bCs/>
              </w:rPr>
            </w:pPr>
            <w:r w:rsidRPr="0033310C">
              <w:rPr>
                <w:b/>
                <w:bCs/>
              </w:rPr>
              <w:t>SE</w:t>
            </w:r>
          </w:p>
        </w:tc>
        <w:tc>
          <w:tcPr>
            <w:tcW w:w="0" w:type="auto"/>
            <w:hideMark/>
          </w:tcPr>
          <w:p w14:paraId="76FE8C23" w14:textId="77777777" w:rsidR="0033310C" w:rsidRPr="0033310C" w:rsidRDefault="0033310C" w:rsidP="00F41D2A">
            <w:pPr>
              <w:pStyle w:val="NoSpacing"/>
              <w:rPr>
                <w:b/>
                <w:bCs/>
              </w:rPr>
            </w:pPr>
            <w:r w:rsidRPr="0033310C">
              <w:rPr>
                <w:b/>
                <w:bCs/>
                <w:i/>
                <w:iCs/>
              </w:rPr>
              <w:t>B</w:t>
            </w:r>
          </w:p>
        </w:tc>
        <w:tc>
          <w:tcPr>
            <w:tcW w:w="0" w:type="auto"/>
            <w:hideMark/>
          </w:tcPr>
          <w:p w14:paraId="1E5323C3" w14:textId="77777777" w:rsidR="0033310C" w:rsidRPr="0033310C" w:rsidRDefault="0033310C" w:rsidP="00F41D2A">
            <w:pPr>
              <w:pStyle w:val="NoSpacing"/>
              <w:rPr>
                <w:b/>
                <w:bCs/>
              </w:rPr>
            </w:pPr>
            <w:r w:rsidRPr="0033310C">
              <w:rPr>
                <w:b/>
                <w:bCs/>
              </w:rPr>
              <w:t>SE</w:t>
            </w:r>
          </w:p>
        </w:tc>
        <w:tc>
          <w:tcPr>
            <w:tcW w:w="0" w:type="auto"/>
            <w:hideMark/>
          </w:tcPr>
          <w:p w14:paraId="768FB97E" w14:textId="77777777" w:rsidR="0033310C" w:rsidRPr="0033310C" w:rsidRDefault="0033310C" w:rsidP="00F41D2A">
            <w:pPr>
              <w:pStyle w:val="NoSpacing"/>
              <w:rPr>
                <w:b/>
                <w:bCs/>
              </w:rPr>
            </w:pPr>
            <w:r w:rsidRPr="0033310C">
              <w:rPr>
                <w:b/>
                <w:bCs/>
                <w:i/>
                <w:iCs/>
              </w:rPr>
              <w:t>B</w:t>
            </w:r>
          </w:p>
        </w:tc>
        <w:tc>
          <w:tcPr>
            <w:tcW w:w="0" w:type="auto"/>
            <w:hideMark/>
          </w:tcPr>
          <w:p w14:paraId="02CC05D2" w14:textId="77777777" w:rsidR="0033310C" w:rsidRPr="0033310C" w:rsidRDefault="0033310C" w:rsidP="00F41D2A">
            <w:pPr>
              <w:pStyle w:val="NoSpacing"/>
              <w:rPr>
                <w:b/>
                <w:bCs/>
              </w:rPr>
            </w:pPr>
            <w:r w:rsidRPr="0033310C">
              <w:rPr>
                <w:b/>
                <w:bCs/>
              </w:rPr>
              <w:t>SE</w:t>
            </w:r>
          </w:p>
        </w:tc>
      </w:tr>
      <w:tr w:rsidR="0033310C" w:rsidRPr="0033310C" w14:paraId="47855930" w14:textId="77777777" w:rsidTr="00F41D2A">
        <w:tc>
          <w:tcPr>
            <w:tcW w:w="0" w:type="auto"/>
            <w:hideMark/>
          </w:tcPr>
          <w:p w14:paraId="16982FF3" w14:textId="77777777" w:rsidR="0033310C" w:rsidRPr="0033310C" w:rsidRDefault="0033310C" w:rsidP="00F41D2A">
            <w:pPr>
              <w:pStyle w:val="NoSpacing"/>
            </w:pPr>
            <w:r w:rsidRPr="0033310C">
              <w:t>Constant</w:t>
            </w:r>
          </w:p>
        </w:tc>
        <w:tc>
          <w:tcPr>
            <w:tcW w:w="0" w:type="auto"/>
            <w:hideMark/>
          </w:tcPr>
          <w:p w14:paraId="67742AD5" w14:textId="77777777" w:rsidR="0033310C" w:rsidRPr="0033310C" w:rsidRDefault="0033310C" w:rsidP="00F41D2A">
            <w:pPr>
              <w:pStyle w:val="NoSpacing"/>
            </w:pPr>
            <w:r w:rsidRPr="0033310C">
              <w:t>−0.36</w:t>
            </w:r>
          </w:p>
        </w:tc>
        <w:tc>
          <w:tcPr>
            <w:tcW w:w="0" w:type="auto"/>
            <w:hideMark/>
          </w:tcPr>
          <w:p w14:paraId="6E9C1800" w14:textId="77777777" w:rsidR="0033310C" w:rsidRPr="0033310C" w:rsidRDefault="0033310C" w:rsidP="00F41D2A">
            <w:pPr>
              <w:pStyle w:val="NoSpacing"/>
            </w:pPr>
            <w:r w:rsidRPr="0033310C">
              <w:t>0.50</w:t>
            </w:r>
          </w:p>
        </w:tc>
        <w:tc>
          <w:tcPr>
            <w:tcW w:w="0" w:type="auto"/>
            <w:hideMark/>
          </w:tcPr>
          <w:p w14:paraId="7551A40B" w14:textId="77777777" w:rsidR="0033310C" w:rsidRPr="0033310C" w:rsidRDefault="0033310C" w:rsidP="00F41D2A">
            <w:pPr>
              <w:pStyle w:val="NoSpacing"/>
            </w:pPr>
            <w:r w:rsidRPr="0033310C">
              <w:t>−1.11</w:t>
            </w:r>
          </w:p>
        </w:tc>
        <w:tc>
          <w:tcPr>
            <w:tcW w:w="0" w:type="auto"/>
            <w:hideMark/>
          </w:tcPr>
          <w:p w14:paraId="580F3780" w14:textId="77777777" w:rsidR="0033310C" w:rsidRPr="0033310C" w:rsidRDefault="0033310C" w:rsidP="00F41D2A">
            <w:pPr>
              <w:pStyle w:val="NoSpacing"/>
            </w:pPr>
            <w:r w:rsidRPr="0033310C">
              <w:t>1.15</w:t>
            </w:r>
          </w:p>
        </w:tc>
        <w:tc>
          <w:tcPr>
            <w:tcW w:w="0" w:type="auto"/>
            <w:hideMark/>
          </w:tcPr>
          <w:p w14:paraId="5AD10CEE" w14:textId="77777777" w:rsidR="0033310C" w:rsidRPr="0033310C" w:rsidRDefault="0033310C" w:rsidP="00F41D2A">
            <w:pPr>
              <w:pStyle w:val="NoSpacing"/>
            </w:pPr>
            <w:r w:rsidRPr="0033310C">
              <w:t>−0.60</w:t>
            </w:r>
          </w:p>
        </w:tc>
        <w:tc>
          <w:tcPr>
            <w:tcW w:w="0" w:type="auto"/>
            <w:hideMark/>
          </w:tcPr>
          <w:p w14:paraId="20E9E1BA" w14:textId="77777777" w:rsidR="0033310C" w:rsidRPr="0033310C" w:rsidRDefault="0033310C" w:rsidP="00F41D2A">
            <w:pPr>
              <w:pStyle w:val="NoSpacing"/>
            </w:pPr>
            <w:r w:rsidRPr="0033310C">
              <w:t>0.81</w:t>
            </w:r>
          </w:p>
        </w:tc>
      </w:tr>
      <w:tr w:rsidR="0033310C" w:rsidRPr="0033310C" w14:paraId="47B50802" w14:textId="77777777" w:rsidTr="00F41D2A">
        <w:tc>
          <w:tcPr>
            <w:tcW w:w="0" w:type="auto"/>
            <w:hideMark/>
          </w:tcPr>
          <w:p w14:paraId="61BB5E40" w14:textId="77777777" w:rsidR="0033310C" w:rsidRPr="0033310C" w:rsidRDefault="0033310C" w:rsidP="00F41D2A">
            <w:pPr>
              <w:pStyle w:val="NoSpacing"/>
            </w:pPr>
            <w:bookmarkStart w:id="69" w:name="btblfn4" w:colFirst="1" w:colLast="5"/>
            <w:r w:rsidRPr="0033310C">
              <w:t>Population density</w:t>
            </w:r>
          </w:p>
        </w:tc>
        <w:tc>
          <w:tcPr>
            <w:tcW w:w="0" w:type="auto"/>
            <w:hideMark/>
          </w:tcPr>
          <w:p w14:paraId="6C1BB8F4" w14:textId="1108839D" w:rsidR="0033310C" w:rsidRPr="0033310C" w:rsidRDefault="0033310C" w:rsidP="00F41D2A">
            <w:pPr>
              <w:pStyle w:val="NoSpacing"/>
            </w:pPr>
            <w:r w:rsidRPr="0033310C">
              <w:t>0.00</w:t>
            </w:r>
            <w:r w:rsidRPr="0033310C">
              <w:rPr>
                <w:rFonts w:ascii="Tahoma" w:hAnsi="Tahoma" w:cs="Tahoma"/>
                <w:vertAlign w:val="superscript"/>
              </w:rPr>
              <w:t>⁎⁎</w:t>
            </w:r>
          </w:p>
        </w:tc>
        <w:tc>
          <w:tcPr>
            <w:tcW w:w="0" w:type="auto"/>
            <w:hideMark/>
          </w:tcPr>
          <w:p w14:paraId="7E936492" w14:textId="77777777" w:rsidR="0033310C" w:rsidRPr="0033310C" w:rsidRDefault="0033310C" w:rsidP="00F41D2A">
            <w:pPr>
              <w:pStyle w:val="NoSpacing"/>
            </w:pPr>
            <w:r w:rsidRPr="0033310C">
              <w:t>0.00</w:t>
            </w:r>
          </w:p>
        </w:tc>
        <w:tc>
          <w:tcPr>
            <w:tcW w:w="0" w:type="auto"/>
            <w:hideMark/>
          </w:tcPr>
          <w:p w14:paraId="77861FA9" w14:textId="77777777" w:rsidR="0033310C" w:rsidRPr="0033310C" w:rsidRDefault="0033310C" w:rsidP="00F41D2A">
            <w:pPr>
              <w:pStyle w:val="NoSpacing"/>
            </w:pPr>
            <w:r w:rsidRPr="0033310C">
              <w:t>0.00</w:t>
            </w:r>
          </w:p>
        </w:tc>
        <w:tc>
          <w:tcPr>
            <w:tcW w:w="0" w:type="auto"/>
            <w:hideMark/>
          </w:tcPr>
          <w:p w14:paraId="6F798283" w14:textId="77777777" w:rsidR="0033310C" w:rsidRPr="0033310C" w:rsidRDefault="0033310C" w:rsidP="00F41D2A">
            <w:pPr>
              <w:pStyle w:val="NoSpacing"/>
            </w:pPr>
            <w:r w:rsidRPr="0033310C">
              <w:t>0.00</w:t>
            </w:r>
          </w:p>
        </w:tc>
        <w:tc>
          <w:tcPr>
            <w:tcW w:w="0" w:type="auto"/>
            <w:hideMark/>
          </w:tcPr>
          <w:p w14:paraId="2390DFFD" w14:textId="41D56D49" w:rsidR="0033310C" w:rsidRPr="0033310C" w:rsidRDefault="0033310C" w:rsidP="00F41D2A">
            <w:pPr>
              <w:pStyle w:val="NoSpacing"/>
            </w:pPr>
            <w:r w:rsidRPr="0033310C">
              <w:t>0.00</w:t>
            </w:r>
            <w:r w:rsidRPr="0033310C">
              <w:rPr>
                <w:rFonts w:ascii="Tahoma" w:hAnsi="Tahoma" w:cs="Tahoma"/>
                <w:vertAlign w:val="superscript"/>
              </w:rPr>
              <w:t>⁎⁎</w:t>
            </w:r>
          </w:p>
        </w:tc>
        <w:tc>
          <w:tcPr>
            <w:tcW w:w="0" w:type="auto"/>
            <w:hideMark/>
          </w:tcPr>
          <w:p w14:paraId="07EDC541" w14:textId="77777777" w:rsidR="0033310C" w:rsidRPr="0033310C" w:rsidRDefault="0033310C" w:rsidP="00F41D2A">
            <w:pPr>
              <w:pStyle w:val="NoSpacing"/>
            </w:pPr>
            <w:r w:rsidRPr="0033310C">
              <w:t>0.00</w:t>
            </w:r>
          </w:p>
        </w:tc>
      </w:tr>
      <w:tr w:rsidR="0033310C" w:rsidRPr="0033310C" w14:paraId="509ED389" w14:textId="77777777" w:rsidTr="00F41D2A">
        <w:tc>
          <w:tcPr>
            <w:tcW w:w="0" w:type="auto"/>
            <w:hideMark/>
          </w:tcPr>
          <w:p w14:paraId="070113D0" w14:textId="77777777" w:rsidR="0033310C" w:rsidRPr="0033310C" w:rsidRDefault="0033310C" w:rsidP="00F41D2A">
            <w:pPr>
              <w:pStyle w:val="NoSpacing"/>
            </w:pPr>
            <w:r w:rsidRPr="0033310C">
              <w:t>Proportion young</w:t>
            </w:r>
          </w:p>
        </w:tc>
        <w:tc>
          <w:tcPr>
            <w:tcW w:w="0" w:type="auto"/>
            <w:hideMark/>
          </w:tcPr>
          <w:p w14:paraId="4F61D94B" w14:textId="77777777" w:rsidR="0033310C" w:rsidRPr="0033310C" w:rsidRDefault="0033310C" w:rsidP="00F41D2A">
            <w:pPr>
              <w:pStyle w:val="NoSpacing"/>
            </w:pPr>
            <w:r w:rsidRPr="0033310C">
              <w:t>−0.70</w:t>
            </w:r>
          </w:p>
        </w:tc>
        <w:tc>
          <w:tcPr>
            <w:tcW w:w="0" w:type="auto"/>
            <w:hideMark/>
          </w:tcPr>
          <w:p w14:paraId="77D9FE11" w14:textId="77777777" w:rsidR="0033310C" w:rsidRPr="0033310C" w:rsidRDefault="0033310C" w:rsidP="00F41D2A">
            <w:pPr>
              <w:pStyle w:val="NoSpacing"/>
            </w:pPr>
            <w:r w:rsidRPr="0033310C">
              <w:t>1.15</w:t>
            </w:r>
          </w:p>
        </w:tc>
        <w:tc>
          <w:tcPr>
            <w:tcW w:w="0" w:type="auto"/>
            <w:hideMark/>
          </w:tcPr>
          <w:p w14:paraId="00F4BAA1" w14:textId="77777777" w:rsidR="0033310C" w:rsidRPr="0033310C" w:rsidRDefault="0033310C" w:rsidP="00F41D2A">
            <w:pPr>
              <w:pStyle w:val="NoSpacing"/>
            </w:pPr>
            <w:r w:rsidRPr="0033310C">
              <w:t>5.89</w:t>
            </w:r>
          </w:p>
        </w:tc>
        <w:tc>
          <w:tcPr>
            <w:tcW w:w="0" w:type="auto"/>
            <w:hideMark/>
          </w:tcPr>
          <w:p w14:paraId="47A86E0E" w14:textId="77777777" w:rsidR="0033310C" w:rsidRPr="0033310C" w:rsidRDefault="0033310C" w:rsidP="00F41D2A">
            <w:pPr>
              <w:pStyle w:val="NoSpacing"/>
            </w:pPr>
            <w:r w:rsidRPr="0033310C">
              <w:t>9.99</w:t>
            </w:r>
          </w:p>
        </w:tc>
        <w:tc>
          <w:tcPr>
            <w:tcW w:w="0" w:type="auto"/>
            <w:hideMark/>
          </w:tcPr>
          <w:p w14:paraId="2392F870" w14:textId="77777777" w:rsidR="0033310C" w:rsidRPr="0033310C" w:rsidRDefault="0033310C" w:rsidP="00F41D2A">
            <w:pPr>
              <w:pStyle w:val="NoSpacing"/>
            </w:pPr>
            <w:r w:rsidRPr="0033310C">
              <w:t>−1.27</w:t>
            </w:r>
          </w:p>
        </w:tc>
        <w:tc>
          <w:tcPr>
            <w:tcW w:w="0" w:type="auto"/>
            <w:hideMark/>
          </w:tcPr>
          <w:p w14:paraId="5851AE76" w14:textId="77777777" w:rsidR="0033310C" w:rsidRPr="0033310C" w:rsidRDefault="0033310C" w:rsidP="00F41D2A">
            <w:pPr>
              <w:pStyle w:val="NoSpacing"/>
            </w:pPr>
            <w:r w:rsidRPr="0033310C">
              <w:t>1.27</w:t>
            </w:r>
          </w:p>
        </w:tc>
      </w:tr>
      <w:tr w:rsidR="0033310C" w:rsidRPr="0033310C" w14:paraId="07FE3AF7" w14:textId="77777777" w:rsidTr="00F41D2A">
        <w:tc>
          <w:tcPr>
            <w:tcW w:w="0" w:type="auto"/>
            <w:hideMark/>
          </w:tcPr>
          <w:p w14:paraId="78261378" w14:textId="77777777" w:rsidR="0033310C" w:rsidRPr="0033310C" w:rsidRDefault="0033310C" w:rsidP="00F41D2A">
            <w:pPr>
              <w:pStyle w:val="NoSpacing"/>
            </w:pPr>
            <w:r w:rsidRPr="0033310C">
              <w:t>Proportion African American</w:t>
            </w:r>
          </w:p>
        </w:tc>
        <w:tc>
          <w:tcPr>
            <w:tcW w:w="0" w:type="auto"/>
            <w:hideMark/>
          </w:tcPr>
          <w:p w14:paraId="67C5E797" w14:textId="34C967F2" w:rsidR="0033310C" w:rsidRPr="0033310C" w:rsidRDefault="0033310C" w:rsidP="00F41D2A">
            <w:pPr>
              <w:pStyle w:val="NoSpacing"/>
            </w:pPr>
            <w:r w:rsidRPr="0033310C">
              <w:t>2.22</w:t>
            </w:r>
            <w:r w:rsidRPr="0033310C">
              <w:rPr>
                <w:rFonts w:ascii="Tahoma" w:hAnsi="Tahoma" w:cs="Tahoma"/>
                <w:vertAlign w:val="superscript"/>
              </w:rPr>
              <w:t>⁎⁎</w:t>
            </w:r>
          </w:p>
        </w:tc>
        <w:tc>
          <w:tcPr>
            <w:tcW w:w="0" w:type="auto"/>
            <w:hideMark/>
          </w:tcPr>
          <w:p w14:paraId="2E527595" w14:textId="77777777" w:rsidR="0033310C" w:rsidRPr="0033310C" w:rsidRDefault="0033310C" w:rsidP="00F41D2A">
            <w:pPr>
              <w:pStyle w:val="NoSpacing"/>
            </w:pPr>
            <w:r w:rsidRPr="0033310C">
              <w:t>0.46</w:t>
            </w:r>
          </w:p>
        </w:tc>
        <w:tc>
          <w:tcPr>
            <w:tcW w:w="0" w:type="auto"/>
            <w:hideMark/>
          </w:tcPr>
          <w:p w14:paraId="2C7593EC" w14:textId="77777777" w:rsidR="0033310C" w:rsidRPr="0033310C" w:rsidRDefault="0033310C" w:rsidP="00F41D2A">
            <w:pPr>
              <w:pStyle w:val="NoSpacing"/>
            </w:pPr>
            <w:r w:rsidRPr="0033310C">
              <w:t>−1.29</w:t>
            </w:r>
          </w:p>
        </w:tc>
        <w:tc>
          <w:tcPr>
            <w:tcW w:w="0" w:type="auto"/>
            <w:hideMark/>
          </w:tcPr>
          <w:p w14:paraId="35B88074" w14:textId="77777777" w:rsidR="0033310C" w:rsidRPr="0033310C" w:rsidRDefault="0033310C" w:rsidP="00F41D2A">
            <w:pPr>
              <w:pStyle w:val="NoSpacing"/>
            </w:pPr>
            <w:r w:rsidRPr="0033310C">
              <w:t>7.12</w:t>
            </w:r>
          </w:p>
        </w:tc>
        <w:tc>
          <w:tcPr>
            <w:tcW w:w="0" w:type="auto"/>
            <w:hideMark/>
          </w:tcPr>
          <w:p w14:paraId="0224B311" w14:textId="173CBD4F" w:rsidR="0033310C" w:rsidRPr="0033310C" w:rsidRDefault="0033310C" w:rsidP="00F41D2A">
            <w:pPr>
              <w:pStyle w:val="NoSpacing"/>
            </w:pPr>
            <w:r w:rsidRPr="0033310C">
              <w:t>1.89</w:t>
            </w:r>
            <w:r w:rsidRPr="0033310C">
              <w:rPr>
                <w:rFonts w:ascii="Tahoma" w:hAnsi="Tahoma" w:cs="Tahoma"/>
                <w:vertAlign w:val="superscript"/>
              </w:rPr>
              <w:t>⁎⁎</w:t>
            </w:r>
          </w:p>
        </w:tc>
        <w:tc>
          <w:tcPr>
            <w:tcW w:w="0" w:type="auto"/>
            <w:hideMark/>
          </w:tcPr>
          <w:p w14:paraId="54F64D3F" w14:textId="77777777" w:rsidR="0033310C" w:rsidRPr="0033310C" w:rsidRDefault="0033310C" w:rsidP="00F41D2A">
            <w:pPr>
              <w:pStyle w:val="NoSpacing"/>
            </w:pPr>
            <w:r w:rsidRPr="0033310C">
              <w:t>0.54</w:t>
            </w:r>
          </w:p>
        </w:tc>
      </w:tr>
      <w:tr w:rsidR="0033310C" w:rsidRPr="0033310C" w14:paraId="7119A572" w14:textId="77777777" w:rsidTr="00F41D2A">
        <w:tc>
          <w:tcPr>
            <w:tcW w:w="0" w:type="auto"/>
            <w:hideMark/>
          </w:tcPr>
          <w:p w14:paraId="3F28CE60" w14:textId="77777777" w:rsidR="0033310C" w:rsidRPr="0033310C" w:rsidRDefault="0033310C" w:rsidP="00F41D2A">
            <w:pPr>
              <w:pStyle w:val="NoSpacing"/>
            </w:pPr>
            <w:bookmarkStart w:id="70" w:name="btblfn3" w:colFirst="1" w:colLast="1"/>
            <w:r w:rsidRPr="0033310C">
              <w:t>Proportion single parent households</w:t>
            </w:r>
          </w:p>
        </w:tc>
        <w:tc>
          <w:tcPr>
            <w:tcW w:w="0" w:type="auto"/>
            <w:hideMark/>
          </w:tcPr>
          <w:p w14:paraId="1B821F01" w14:textId="55E416B2" w:rsidR="0033310C" w:rsidRPr="0033310C" w:rsidRDefault="0033310C" w:rsidP="00F41D2A">
            <w:pPr>
              <w:pStyle w:val="NoSpacing"/>
            </w:pPr>
            <w:r w:rsidRPr="0033310C">
              <w:t>2.93</w:t>
            </w:r>
            <w:r w:rsidRPr="0033310C">
              <w:rPr>
                <w:rFonts w:ascii="Tahoma" w:hAnsi="Tahoma" w:cs="Tahoma"/>
                <w:vertAlign w:val="superscript"/>
              </w:rPr>
              <w:t>⁎</w:t>
            </w:r>
          </w:p>
        </w:tc>
        <w:tc>
          <w:tcPr>
            <w:tcW w:w="0" w:type="auto"/>
            <w:hideMark/>
          </w:tcPr>
          <w:p w14:paraId="69EC32F1" w14:textId="77777777" w:rsidR="0033310C" w:rsidRPr="0033310C" w:rsidRDefault="0033310C" w:rsidP="00F41D2A">
            <w:pPr>
              <w:pStyle w:val="NoSpacing"/>
            </w:pPr>
            <w:r w:rsidRPr="0033310C">
              <w:t>1.35</w:t>
            </w:r>
          </w:p>
        </w:tc>
        <w:tc>
          <w:tcPr>
            <w:tcW w:w="0" w:type="auto"/>
            <w:hideMark/>
          </w:tcPr>
          <w:p w14:paraId="256B2FA1" w14:textId="77777777" w:rsidR="0033310C" w:rsidRPr="0033310C" w:rsidRDefault="0033310C" w:rsidP="00F41D2A">
            <w:pPr>
              <w:pStyle w:val="NoSpacing"/>
            </w:pPr>
            <w:r w:rsidRPr="0033310C">
              <w:t>0.52</w:t>
            </w:r>
          </w:p>
        </w:tc>
        <w:tc>
          <w:tcPr>
            <w:tcW w:w="0" w:type="auto"/>
            <w:hideMark/>
          </w:tcPr>
          <w:p w14:paraId="1C0EF26E" w14:textId="77777777" w:rsidR="0033310C" w:rsidRPr="0033310C" w:rsidRDefault="0033310C" w:rsidP="00F41D2A">
            <w:pPr>
              <w:pStyle w:val="NoSpacing"/>
            </w:pPr>
            <w:r w:rsidRPr="0033310C">
              <w:t>4.78</w:t>
            </w:r>
          </w:p>
        </w:tc>
        <w:tc>
          <w:tcPr>
            <w:tcW w:w="0" w:type="auto"/>
            <w:hideMark/>
          </w:tcPr>
          <w:p w14:paraId="04772F9F" w14:textId="77777777" w:rsidR="0033310C" w:rsidRPr="0033310C" w:rsidRDefault="0033310C" w:rsidP="00F41D2A">
            <w:pPr>
              <w:pStyle w:val="NoSpacing"/>
            </w:pPr>
            <w:r w:rsidRPr="0033310C">
              <w:t>3.06</w:t>
            </w:r>
          </w:p>
        </w:tc>
        <w:tc>
          <w:tcPr>
            <w:tcW w:w="0" w:type="auto"/>
            <w:hideMark/>
          </w:tcPr>
          <w:p w14:paraId="6B6A8914" w14:textId="77777777" w:rsidR="0033310C" w:rsidRPr="0033310C" w:rsidRDefault="0033310C" w:rsidP="00F41D2A">
            <w:pPr>
              <w:pStyle w:val="NoSpacing"/>
            </w:pPr>
            <w:r w:rsidRPr="0033310C">
              <w:t>1.58</w:t>
            </w:r>
          </w:p>
        </w:tc>
      </w:tr>
      <w:tr w:rsidR="0033310C" w:rsidRPr="0033310C" w14:paraId="4B0BA393" w14:textId="77777777" w:rsidTr="00F41D2A">
        <w:tc>
          <w:tcPr>
            <w:tcW w:w="0" w:type="auto"/>
            <w:hideMark/>
          </w:tcPr>
          <w:p w14:paraId="7FECF6E1" w14:textId="77777777" w:rsidR="0033310C" w:rsidRPr="0033310C" w:rsidRDefault="0033310C" w:rsidP="00F41D2A">
            <w:pPr>
              <w:pStyle w:val="NoSpacing"/>
            </w:pPr>
            <w:r w:rsidRPr="0033310C">
              <w:t>Proportion renter occupied housing units</w:t>
            </w:r>
          </w:p>
        </w:tc>
        <w:tc>
          <w:tcPr>
            <w:tcW w:w="0" w:type="auto"/>
            <w:hideMark/>
          </w:tcPr>
          <w:p w14:paraId="40C8084E" w14:textId="77777777" w:rsidR="0033310C" w:rsidRPr="0033310C" w:rsidRDefault="0033310C" w:rsidP="00F41D2A">
            <w:pPr>
              <w:pStyle w:val="NoSpacing"/>
            </w:pPr>
            <w:r w:rsidRPr="0033310C">
              <w:t>0.13</w:t>
            </w:r>
          </w:p>
        </w:tc>
        <w:tc>
          <w:tcPr>
            <w:tcW w:w="0" w:type="auto"/>
            <w:hideMark/>
          </w:tcPr>
          <w:p w14:paraId="54F367D5" w14:textId="77777777" w:rsidR="0033310C" w:rsidRPr="0033310C" w:rsidRDefault="0033310C" w:rsidP="00F41D2A">
            <w:pPr>
              <w:pStyle w:val="NoSpacing"/>
            </w:pPr>
            <w:r w:rsidRPr="0033310C">
              <w:t>0.71</w:t>
            </w:r>
          </w:p>
        </w:tc>
        <w:tc>
          <w:tcPr>
            <w:tcW w:w="0" w:type="auto"/>
            <w:hideMark/>
          </w:tcPr>
          <w:p w14:paraId="18E34BDF" w14:textId="77777777" w:rsidR="0033310C" w:rsidRPr="0033310C" w:rsidRDefault="0033310C" w:rsidP="00F41D2A">
            <w:pPr>
              <w:pStyle w:val="NoSpacing"/>
            </w:pPr>
            <w:r w:rsidRPr="0033310C">
              <w:t>−0.11</w:t>
            </w:r>
          </w:p>
        </w:tc>
        <w:tc>
          <w:tcPr>
            <w:tcW w:w="0" w:type="auto"/>
            <w:hideMark/>
          </w:tcPr>
          <w:p w14:paraId="62E2564B" w14:textId="77777777" w:rsidR="0033310C" w:rsidRPr="0033310C" w:rsidRDefault="0033310C" w:rsidP="00F41D2A">
            <w:pPr>
              <w:pStyle w:val="NoSpacing"/>
            </w:pPr>
            <w:r w:rsidRPr="0033310C">
              <w:t>1.37</w:t>
            </w:r>
          </w:p>
        </w:tc>
        <w:tc>
          <w:tcPr>
            <w:tcW w:w="0" w:type="auto"/>
            <w:hideMark/>
          </w:tcPr>
          <w:p w14:paraId="20156280" w14:textId="77777777" w:rsidR="0033310C" w:rsidRPr="0033310C" w:rsidRDefault="0033310C" w:rsidP="00F41D2A">
            <w:pPr>
              <w:pStyle w:val="NoSpacing"/>
            </w:pPr>
            <w:r w:rsidRPr="0033310C">
              <w:t>0.60</w:t>
            </w:r>
          </w:p>
        </w:tc>
        <w:tc>
          <w:tcPr>
            <w:tcW w:w="0" w:type="auto"/>
            <w:hideMark/>
          </w:tcPr>
          <w:p w14:paraId="6F708783" w14:textId="77777777" w:rsidR="0033310C" w:rsidRPr="0033310C" w:rsidRDefault="0033310C" w:rsidP="00F41D2A">
            <w:pPr>
              <w:pStyle w:val="NoSpacing"/>
            </w:pPr>
            <w:r w:rsidRPr="0033310C">
              <w:t>0.85</w:t>
            </w:r>
          </w:p>
        </w:tc>
      </w:tr>
      <w:tr w:rsidR="0033310C" w:rsidRPr="0033310C" w14:paraId="5B64B8D9" w14:textId="77777777" w:rsidTr="00F41D2A">
        <w:tc>
          <w:tcPr>
            <w:tcW w:w="0" w:type="auto"/>
            <w:hideMark/>
          </w:tcPr>
          <w:p w14:paraId="188F2954" w14:textId="77777777" w:rsidR="0033310C" w:rsidRPr="0033310C" w:rsidRDefault="0033310C" w:rsidP="00F41D2A">
            <w:pPr>
              <w:pStyle w:val="NoSpacing"/>
            </w:pPr>
            <w:r w:rsidRPr="0033310C">
              <w:t>Proportion living in poverty</w:t>
            </w:r>
          </w:p>
        </w:tc>
        <w:tc>
          <w:tcPr>
            <w:tcW w:w="0" w:type="auto"/>
            <w:hideMark/>
          </w:tcPr>
          <w:p w14:paraId="473136B5" w14:textId="77777777" w:rsidR="0033310C" w:rsidRPr="0033310C" w:rsidRDefault="0033310C" w:rsidP="00F41D2A">
            <w:pPr>
              <w:pStyle w:val="NoSpacing"/>
            </w:pPr>
            <w:r w:rsidRPr="0033310C">
              <w:t>1.90</w:t>
            </w:r>
          </w:p>
        </w:tc>
        <w:tc>
          <w:tcPr>
            <w:tcW w:w="0" w:type="auto"/>
            <w:hideMark/>
          </w:tcPr>
          <w:p w14:paraId="460CAAA0" w14:textId="77777777" w:rsidR="0033310C" w:rsidRPr="0033310C" w:rsidRDefault="0033310C" w:rsidP="00F41D2A">
            <w:pPr>
              <w:pStyle w:val="NoSpacing"/>
            </w:pPr>
            <w:r w:rsidRPr="0033310C">
              <w:t>1.02</w:t>
            </w:r>
          </w:p>
        </w:tc>
        <w:tc>
          <w:tcPr>
            <w:tcW w:w="0" w:type="auto"/>
            <w:hideMark/>
          </w:tcPr>
          <w:p w14:paraId="6EFA930A" w14:textId="77777777" w:rsidR="0033310C" w:rsidRPr="0033310C" w:rsidRDefault="0033310C" w:rsidP="00F41D2A">
            <w:pPr>
              <w:pStyle w:val="NoSpacing"/>
            </w:pPr>
            <w:r w:rsidRPr="0033310C">
              <w:t>−0.86</w:t>
            </w:r>
          </w:p>
        </w:tc>
        <w:tc>
          <w:tcPr>
            <w:tcW w:w="0" w:type="auto"/>
            <w:hideMark/>
          </w:tcPr>
          <w:p w14:paraId="1DE7DB73" w14:textId="77777777" w:rsidR="0033310C" w:rsidRPr="0033310C" w:rsidRDefault="0033310C" w:rsidP="00F41D2A">
            <w:pPr>
              <w:pStyle w:val="NoSpacing"/>
            </w:pPr>
            <w:r w:rsidRPr="0033310C">
              <w:t>2.97</w:t>
            </w:r>
          </w:p>
        </w:tc>
        <w:tc>
          <w:tcPr>
            <w:tcW w:w="0" w:type="auto"/>
            <w:hideMark/>
          </w:tcPr>
          <w:p w14:paraId="62DA8525" w14:textId="77777777" w:rsidR="0033310C" w:rsidRPr="0033310C" w:rsidRDefault="0033310C" w:rsidP="00F41D2A">
            <w:pPr>
              <w:pStyle w:val="NoSpacing"/>
            </w:pPr>
            <w:r w:rsidRPr="0033310C">
              <w:t>1.92</w:t>
            </w:r>
          </w:p>
        </w:tc>
        <w:tc>
          <w:tcPr>
            <w:tcW w:w="0" w:type="auto"/>
            <w:hideMark/>
          </w:tcPr>
          <w:p w14:paraId="7432C962" w14:textId="77777777" w:rsidR="0033310C" w:rsidRPr="0033310C" w:rsidRDefault="0033310C" w:rsidP="00F41D2A">
            <w:pPr>
              <w:pStyle w:val="NoSpacing"/>
            </w:pPr>
            <w:r w:rsidRPr="0033310C">
              <w:t>1.11</w:t>
            </w:r>
          </w:p>
        </w:tc>
      </w:tr>
      <w:tr w:rsidR="0033310C" w:rsidRPr="0033310C" w14:paraId="0B7DB9C0" w14:textId="77777777" w:rsidTr="00F41D2A">
        <w:tc>
          <w:tcPr>
            <w:tcW w:w="0" w:type="auto"/>
            <w:hideMark/>
          </w:tcPr>
          <w:p w14:paraId="42144D99" w14:textId="77777777" w:rsidR="0033310C" w:rsidRPr="0033310C" w:rsidRDefault="0033310C" w:rsidP="00F41D2A">
            <w:pPr>
              <w:pStyle w:val="NoSpacing"/>
            </w:pPr>
            <w:r w:rsidRPr="0033310C">
              <w:t>Distance from city center</w:t>
            </w:r>
          </w:p>
        </w:tc>
        <w:tc>
          <w:tcPr>
            <w:tcW w:w="0" w:type="auto"/>
            <w:hideMark/>
          </w:tcPr>
          <w:p w14:paraId="1FF1CE96" w14:textId="77777777" w:rsidR="0033310C" w:rsidRPr="0033310C" w:rsidRDefault="0033310C" w:rsidP="00F41D2A">
            <w:pPr>
              <w:pStyle w:val="NoSpacing"/>
            </w:pPr>
            <w:r w:rsidRPr="0033310C">
              <w:t>−0.08</w:t>
            </w:r>
          </w:p>
        </w:tc>
        <w:tc>
          <w:tcPr>
            <w:tcW w:w="0" w:type="auto"/>
            <w:hideMark/>
          </w:tcPr>
          <w:p w14:paraId="1A8F0877" w14:textId="77777777" w:rsidR="0033310C" w:rsidRPr="0033310C" w:rsidRDefault="0033310C" w:rsidP="00F41D2A">
            <w:pPr>
              <w:pStyle w:val="NoSpacing"/>
            </w:pPr>
            <w:r w:rsidRPr="0033310C">
              <w:t>0.06</w:t>
            </w:r>
          </w:p>
        </w:tc>
        <w:tc>
          <w:tcPr>
            <w:tcW w:w="0" w:type="auto"/>
            <w:hideMark/>
          </w:tcPr>
          <w:p w14:paraId="7C448B01" w14:textId="77777777" w:rsidR="0033310C" w:rsidRPr="0033310C" w:rsidRDefault="0033310C" w:rsidP="00F41D2A">
            <w:pPr>
              <w:pStyle w:val="NoSpacing"/>
            </w:pPr>
            <w:r w:rsidRPr="0033310C">
              <w:t>0.07</w:t>
            </w:r>
          </w:p>
        </w:tc>
        <w:tc>
          <w:tcPr>
            <w:tcW w:w="0" w:type="auto"/>
            <w:hideMark/>
          </w:tcPr>
          <w:p w14:paraId="6C959408" w14:textId="77777777" w:rsidR="0033310C" w:rsidRPr="0033310C" w:rsidRDefault="0033310C" w:rsidP="00F41D2A">
            <w:pPr>
              <w:pStyle w:val="NoSpacing"/>
            </w:pPr>
            <w:r w:rsidRPr="0033310C">
              <w:t>0.17</w:t>
            </w:r>
          </w:p>
        </w:tc>
        <w:tc>
          <w:tcPr>
            <w:tcW w:w="0" w:type="auto"/>
            <w:hideMark/>
          </w:tcPr>
          <w:p w14:paraId="415CDBAF" w14:textId="77777777" w:rsidR="0033310C" w:rsidRPr="0033310C" w:rsidRDefault="0033310C" w:rsidP="00F41D2A">
            <w:pPr>
              <w:pStyle w:val="NoSpacing"/>
            </w:pPr>
            <w:r w:rsidRPr="0033310C">
              <w:t>−0.06</w:t>
            </w:r>
          </w:p>
        </w:tc>
        <w:tc>
          <w:tcPr>
            <w:tcW w:w="0" w:type="auto"/>
            <w:hideMark/>
          </w:tcPr>
          <w:p w14:paraId="2264AE41" w14:textId="77777777" w:rsidR="0033310C" w:rsidRPr="0033310C" w:rsidRDefault="0033310C" w:rsidP="00F41D2A">
            <w:pPr>
              <w:pStyle w:val="NoSpacing"/>
            </w:pPr>
            <w:r w:rsidRPr="0033310C">
              <w:t>0.08</w:t>
            </w:r>
          </w:p>
        </w:tc>
      </w:tr>
      <w:tr w:rsidR="0033310C" w:rsidRPr="0033310C" w14:paraId="56D7029A" w14:textId="77777777" w:rsidTr="00F41D2A">
        <w:tc>
          <w:tcPr>
            <w:tcW w:w="0" w:type="auto"/>
            <w:hideMark/>
          </w:tcPr>
          <w:p w14:paraId="714BAED3" w14:textId="77777777" w:rsidR="0033310C" w:rsidRPr="0033310C" w:rsidRDefault="0033310C" w:rsidP="00F41D2A">
            <w:pPr>
              <w:pStyle w:val="NoSpacing"/>
            </w:pPr>
            <w:r w:rsidRPr="0033310C">
              <w:rPr>
                <w:i/>
                <w:iCs/>
              </w:rPr>
              <w:t>Rho</w:t>
            </w:r>
            <w:r w:rsidRPr="0033310C">
              <w:t> sqrt robbery density</w:t>
            </w:r>
          </w:p>
        </w:tc>
        <w:tc>
          <w:tcPr>
            <w:tcW w:w="0" w:type="auto"/>
            <w:hideMark/>
          </w:tcPr>
          <w:p w14:paraId="7F7EB7B4" w14:textId="4B7FB7C3" w:rsidR="0033310C" w:rsidRPr="0033310C" w:rsidRDefault="0033310C" w:rsidP="00F41D2A">
            <w:pPr>
              <w:pStyle w:val="NoSpacing"/>
            </w:pPr>
            <w:r w:rsidRPr="0033310C">
              <w:t>0.39</w:t>
            </w:r>
            <w:r w:rsidRPr="0033310C">
              <w:rPr>
                <w:rFonts w:ascii="Tahoma" w:hAnsi="Tahoma" w:cs="Tahoma"/>
                <w:vertAlign w:val="superscript"/>
              </w:rPr>
              <w:t>⁎⁎</w:t>
            </w:r>
          </w:p>
        </w:tc>
        <w:tc>
          <w:tcPr>
            <w:tcW w:w="0" w:type="auto"/>
            <w:hideMark/>
          </w:tcPr>
          <w:p w14:paraId="3B5A79B0" w14:textId="77777777" w:rsidR="0033310C" w:rsidRPr="0033310C" w:rsidRDefault="0033310C" w:rsidP="00F41D2A">
            <w:pPr>
              <w:pStyle w:val="NoSpacing"/>
            </w:pPr>
            <w:r w:rsidRPr="0033310C">
              <w:t>0.05</w:t>
            </w:r>
          </w:p>
        </w:tc>
        <w:tc>
          <w:tcPr>
            <w:tcW w:w="0" w:type="auto"/>
            <w:hideMark/>
          </w:tcPr>
          <w:p w14:paraId="18FB342D" w14:textId="5B999ED3" w:rsidR="0033310C" w:rsidRPr="0033310C" w:rsidRDefault="0033310C" w:rsidP="00F41D2A">
            <w:pPr>
              <w:pStyle w:val="NoSpacing"/>
            </w:pPr>
            <w:r w:rsidRPr="0033310C">
              <w:t>0.74</w:t>
            </w:r>
            <w:r w:rsidRPr="0033310C">
              <w:rPr>
                <w:rFonts w:ascii="Tahoma" w:hAnsi="Tahoma" w:cs="Tahoma"/>
                <w:vertAlign w:val="superscript"/>
              </w:rPr>
              <w:t>⁎</w:t>
            </w:r>
          </w:p>
        </w:tc>
        <w:tc>
          <w:tcPr>
            <w:tcW w:w="0" w:type="auto"/>
            <w:hideMark/>
          </w:tcPr>
          <w:p w14:paraId="780D50A6" w14:textId="77777777" w:rsidR="0033310C" w:rsidRPr="0033310C" w:rsidRDefault="0033310C" w:rsidP="00F41D2A">
            <w:pPr>
              <w:pStyle w:val="NoSpacing"/>
            </w:pPr>
            <w:r w:rsidRPr="0033310C">
              <w:t>0.30</w:t>
            </w:r>
          </w:p>
        </w:tc>
        <w:tc>
          <w:tcPr>
            <w:tcW w:w="0" w:type="auto"/>
            <w:hideMark/>
          </w:tcPr>
          <w:p w14:paraId="31DBFA40" w14:textId="7C8A6483" w:rsidR="0033310C" w:rsidRPr="0033310C" w:rsidRDefault="0033310C" w:rsidP="00F41D2A">
            <w:pPr>
              <w:pStyle w:val="NoSpacing"/>
            </w:pPr>
            <w:r w:rsidRPr="0033310C">
              <w:t>0.42</w:t>
            </w:r>
            <w:r w:rsidRPr="0033310C">
              <w:rPr>
                <w:rFonts w:ascii="Tahoma" w:hAnsi="Tahoma" w:cs="Tahoma"/>
                <w:vertAlign w:val="superscript"/>
              </w:rPr>
              <w:t>⁎⁎</w:t>
            </w:r>
          </w:p>
        </w:tc>
        <w:tc>
          <w:tcPr>
            <w:tcW w:w="0" w:type="auto"/>
            <w:hideMark/>
          </w:tcPr>
          <w:p w14:paraId="5F1C2C29" w14:textId="77777777" w:rsidR="0033310C" w:rsidRPr="0033310C" w:rsidRDefault="0033310C" w:rsidP="00F41D2A">
            <w:pPr>
              <w:pStyle w:val="NoSpacing"/>
            </w:pPr>
            <w:r w:rsidRPr="0033310C">
              <w:t>0.12</w:t>
            </w:r>
          </w:p>
        </w:tc>
      </w:tr>
      <w:tr w:rsidR="0033310C" w:rsidRPr="0033310C" w14:paraId="5C49152C" w14:textId="77777777" w:rsidTr="00F41D2A">
        <w:tc>
          <w:tcPr>
            <w:tcW w:w="0" w:type="auto"/>
            <w:hideMark/>
          </w:tcPr>
          <w:p w14:paraId="118BA265" w14:textId="77777777" w:rsidR="0033310C" w:rsidRPr="0033310C" w:rsidRDefault="0033310C" w:rsidP="00F41D2A">
            <w:pPr>
              <w:pStyle w:val="NoSpacing"/>
            </w:pPr>
            <w:r w:rsidRPr="0033310C">
              <w:t>Sqrt total alcohol outlet density</w:t>
            </w:r>
          </w:p>
        </w:tc>
        <w:tc>
          <w:tcPr>
            <w:tcW w:w="0" w:type="auto"/>
            <w:hideMark/>
          </w:tcPr>
          <w:p w14:paraId="34E1A501" w14:textId="44749DA3" w:rsidR="0033310C" w:rsidRPr="0033310C" w:rsidRDefault="0033310C" w:rsidP="00F41D2A">
            <w:pPr>
              <w:pStyle w:val="NoSpacing"/>
            </w:pPr>
            <w:r w:rsidRPr="0033310C">
              <w:t>0.11</w:t>
            </w:r>
            <w:r w:rsidRPr="0033310C">
              <w:rPr>
                <w:rFonts w:ascii="Tahoma" w:hAnsi="Tahoma" w:cs="Tahoma"/>
                <w:vertAlign w:val="superscript"/>
              </w:rPr>
              <w:t>⁎⁎</w:t>
            </w:r>
          </w:p>
        </w:tc>
        <w:tc>
          <w:tcPr>
            <w:tcW w:w="0" w:type="auto"/>
            <w:hideMark/>
          </w:tcPr>
          <w:p w14:paraId="4F83E690" w14:textId="77777777" w:rsidR="0033310C" w:rsidRPr="0033310C" w:rsidRDefault="0033310C" w:rsidP="00F41D2A">
            <w:pPr>
              <w:pStyle w:val="NoSpacing"/>
            </w:pPr>
            <w:r w:rsidRPr="0033310C">
              <w:t>0.04</w:t>
            </w:r>
          </w:p>
        </w:tc>
        <w:tc>
          <w:tcPr>
            <w:tcW w:w="0" w:type="auto"/>
            <w:hideMark/>
          </w:tcPr>
          <w:p w14:paraId="1230FBEE" w14:textId="77777777" w:rsidR="0033310C" w:rsidRPr="0033310C" w:rsidRDefault="0033310C" w:rsidP="00F41D2A">
            <w:pPr>
              <w:pStyle w:val="NoSpacing"/>
            </w:pPr>
            <w:r w:rsidRPr="0033310C">
              <w:t>0.10</w:t>
            </w:r>
          </w:p>
        </w:tc>
        <w:tc>
          <w:tcPr>
            <w:tcW w:w="0" w:type="auto"/>
            <w:hideMark/>
          </w:tcPr>
          <w:p w14:paraId="7C3D9639" w14:textId="77777777" w:rsidR="0033310C" w:rsidRPr="0033310C" w:rsidRDefault="0033310C" w:rsidP="00F41D2A">
            <w:pPr>
              <w:pStyle w:val="NoSpacing"/>
            </w:pPr>
            <w:r w:rsidRPr="0033310C">
              <w:t>0.08</w:t>
            </w:r>
          </w:p>
        </w:tc>
        <w:tc>
          <w:tcPr>
            <w:tcW w:w="0" w:type="auto"/>
            <w:hideMark/>
          </w:tcPr>
          <w:p w14:paraId="61B914D2" w14:textId="49136232" w:rsidR="0033310C" w:rsidRPr="0033310C" w:rsidRDefault="0033310C" w:rsidP="00F41D2A">
            <w:pPr>
              <w:pStyle w:val="NoSpacing"/>
            </w:pPr>
            <w:r w:rsidRPr="0033310C">
              <w:t>0.11</w:t>
            </w:r>
            <w:r w:rsidRPr="0033310C">
              <w:rPr>
                <w:rFonts w:ascii="Tahoma" w:hAnsi="Tahoma" w:cs="Tahoma"/>
                <w:vertAlign w:val="superscript"/>
              </w:rPr>
              <w:t>⁎</w:t>
            </w:r>
          </w:p>
        </w:tc>
        <w:tc>
          <w:tcPr>
            <w:tcW w:w="0" w:type="auto"/>
            <w:hideMark/>
          </w:tcPr>
          <w:p w14:paraId="1460AFE8" w14:textId="77777777" w:rsidR="0033310C" w:rsidRPr="0033310C" w:rsidRDefault="0033310C" w:rsidP="00F41D2A">
            <w:pPr>
              <w:pStyle w:val="NoSpacing"/>
            </w:pPr>
            <w:r w:rsidRPr="0033310C">
              <w:t>0.04</w:t>
            </w:r>
          </w:p>
        </w:tc>
      </w:tr>
      <w:bookmarkEnd w:id="70"/>
      <w:tr w:rsidR="0033310C" w:rsidRPr="0033310C" w14:paraId="76ACB412" w14:textId="77777777" w:rsidTr="00F41D2A">
        <w:tc>
          <w:tcPr>
            <w:tcW w:w="0" w:type="auto"/>
            <w:hideMark/>
          </w:tcPr>
          <w:p w14:paraId="74578D92" w14:textId="77777777" w:rsidR="0033310C" w:rsidRPr="0033310C" w:rsidRDefault="0033310C" w:rsidP="00F41D2A">
            <w:pPr>
              <w:pStyle w:val="NoSpacing"/>
            </w:pPr>
            <w:r w:rsidRPr="0033310C">
              <w:rPr>
                <w:i/>
                <w:iCs/>
              </w:rPr>
              <w:t>R</w:t>
            </w:r>
            <w:r w:rsidRPr="0033310C">
              <w:t>-squared</w:t>
            </w:r>
          </w:p>
        </w:tc>
        <w:tc>
          <w:tcPr>
            <w:tcW w:w="0" w:type="auto"/>
            <w:hideMark/>
          </w:tcPr>
          <w:p w14:paraId="5DDF155F" w14:textId="77777777" w:rsidR="0033310C" w:rsidRPr="0033310C" w:rsidRDefault="0033310C" w:rsidP="00F41D2A">
            <w:pPr>
              <w:pStyle w:val="NoSpacing"/>
            </w:pPr>
            <w:r w:rsidRPr="0033310C">
              <w:t>58.79</w:t>
            </w:r>
          </w:p>
        </w:tc>
        <w:tc>
          <w:tcPr>
            <w:tcW w:w="0" w:type="auto"/>
            <w:hideMark/>
          </w:tcPr>
          <w:p w14:paraId="5243B6C0" w14:textId="77777777" w:rsidR="0033310C" w:rsidRPr="0033310C" w:rsidRDefault="0033310C" w:rsidP="00F41D2A">
            <w:pPr>
              <w:pStyle w:val="NoSpacing"/>
            </w:pPr>
          </w:p>
        </w:tc>
        <w:tc>
          <w:tcPr>
            <w:tcW w:w="0" w:type="auto"/>
            <w:hideMark/>
          </w:tcPr>
          <w:p w14:paraId="0AC6CA68" w14:textId="77777777" w:rsidR="0033310C" w:rsidRPr="0033310C" w:rsidRDefault="0033310C" w:rsidP="00F41D2A">
            <w:pPr>
              <w:pStyle w:val="NoSpacing"/>
            </w:pPr>
            <w:r w:rsidRPr="0033310C">
              <w:t>–</w:t>
            </w:r>
          </w:p>
        </w:tc>
        <w:tc>
          <w:tcPr>
            <w:tcW w:w="0" w:type="auto"/>
            <w:hideMark/>
          </w:tcPr>
          <w:p w14:paraId="074FA56B" w14:textId="77777777" w:rsidR="0033310C" w:rsidRPr="0033310C" w:rsidRDefault="0033310C" w:rsidP="00F41D2A">
            <w:pPr>
              <w:pStyle w:val="NoSpacing"/>
            </w:pPr>
          </w:p>
        </w:tc>
        <w:tc>
          <w:tcPr>
            <w:tcW w:w="0" w:type="auto"/>
            <w:hideMark/>
          </w:tcPr>
          <w:p w14:paraId="15899EBD" w14:textId="77777777" w:rsidR="0033310C" w:rsidRPr="0033310C" w:rsidRDefault="0033310C" w:rsidP="00F41D2A">
            <w:pPr>
              <w:pStyle w:val="NoSpacing"/>
            </w:pPr>
            <w:r w:rsidRPr="0033310C">
              <w:t>–</w:t>
            </w:r>
          </w:p>
        </w:tc>
        <w:tc>
          <w:tcPr>
            <w:tcW w:w="0" w:type="auto"/>
            <w:hideMark/>
          </w:tcPr>
          <w:p w14:paraId="5B9B7A39" w14:textId="77777777" w:rsidR="0033310C" w:rsidRPr="0033310C" w:rsidRDefault="0033310C" w:rsidP="00F41D2A">
            <w:pPr>
              <w:pStyle w:val="NoSpacing"/>
            </w:pPr>
          </w:p>
        </w:tc>
      </w:tr>
      <w:tr w:rsidR="0033310C" w:rsidRPr="0033310C" w14:paraId="0C76D34D" w14:textId="77777777" w:rsidTr="00F41D2A">
        <w:tc>
          <w:tcPr>
            <w:tcW w:w="0" w:type="auto"/>
            <w:hideMark/>
          </w:tcPr>
          <w:p w14:paraId="5A850ECC" w14:textId="77777777" w:rsidR="0033310C" w:rsidRPr="0033310C" w:rsidRDefault="0033310C" w:rsidP="00F41D2A">
            <w:pPr>
              <w:pStyle w:val="NoSpacing"/>
            </w:pPr>
            <w:r w:rsidRPr="0033310C">
              <w:t>Pseudo </w:t>
            </w:r>
            <w:r w:rsidRPr="0033310C">
              <w:rPr>
                <w:i/>
                <w:iCs/>
              </w:rPr>
              <w:t>R</w:t>
            </w:r>
            <w:r w:rsidRPr="0033310C">
              <w:t>-squared</w:t>
            </w:r>
          </w:p>
        </w:tc>
        <w:tc>
          <w:tcPr>
            <w:tcW w:w="0" w:type="auto"/>
            <w:hideMark/>
          </w:tcPr>
          <w:p w14:paraId="3D95967B" w14:textId="77777777" w:rsidR="0033310C" w:rsidRPr="0033310C" w:rsidRDefault="0033310C" w:rsidP="00F41D2A">
            <w:pPr>
              <w:pStyle w:val="NoSpacing"/>
            </w:pPr>
            <w:r w:rsidRPr="0033310C">
              <w:t>–</w:t>
            </w:r>
          </w:p>
        </w:tc>
        <w:tc>
          <w:tcPr>
            <w:tcW w:w="0" w:type="auto"/>
            <w:hideMark/>
          </w:tcPr>
          <w:p w14:paraId="2EBAB584" w14:textId="77777777" w:rsidR="0033310C" w:rsidRPr="0033310C" w:rsidRDefault="0033310C" w:rsidP="00F41D2A">
            <w:pPr>
              <w:pStyle w:val="NoSpacing"/>
            </w:pPr>
          </w:p>
        </w:tc>
        <w:tc>
          <w:tcPr>
            <w:tcW w:w="0" w:type="auto"/>
            <w:hideMark/>
          </w:tcPr>
          <w:p w14:paraId="4BD251B5" w14:textId="77777777" w:rsidR="0033310C" w:rsidRPr="0033310C" w:rsidRDefault="0033310C" w:rsidP="00F41D2A">
            <w:pPr>
              <w:pStyle w:val="NoSpacing"/>
            </w:pPr>
            <w:r w:rsidRPr="0033310C">
              <w:t>30.15</w:t>
            </w:r>
          </w:p>
        </w:tc>
        <w:tc>
          <w:tcPr>
            <w:tcW w:w="0" w:type="auto"/>
            <w:hideMark/>
          </w:tcPr>
          <w:p w14:paraId="5E9574E7" w14:textId="77777777" w:rsidR="0033310C" w:rsidRPr="0033310C" w:rsidRDefault="0033310C" w:rsidP="00F41D2A">
            <w:pPr>
              <w:pStyle w:val="NoSpacing"/>
            </w:pPr>
          </w:p>
        </w:tc>
        <w:tc>
          <w:tcPr>
            <w:tcW w:w="0" w:type="auto"/>
            <w:hideMark/>
          </w:tcPr>
          <w:p w14:paraId="26B2AE31" w14:textId="77777777" w:rsidR="0033310C" w:rsidRPr="0033310C" w:rsidRDefault="0033310C" w:rsidP="00F41D2A">
            <w:pPr>
              <w:pStyle w:val="NoSpacing"/>
            </w:pPr>
            <w:r w:rsidRPr="0033310C">
              <w:t>52.52</w:t>
            </w:r>
          </w:p>
        </w:tc>
        <w:tc>
          <w:tcPr>
            <w:tcW w:w="0" w:type="auto"/>
            <w:hideMark/>
          </w:tcPr>
          <w:p w14:paraId="2FD15356" w14:textId="77777777" w:rsidR="0033310C" w:rsidRPr="0033310C" w:rsidRDefault="0033310C" w:rsidP="00F41D2A">
            <w:pPr>
              <w:pStyle w:val="NoSpacing"/>
            </w:pPr>
          </w:p>
        </w:tc>
      </w:tr>
      <w:tr w:rsidR="0033310C" w:rsidRPr="0033310C" w14:paraId="1A45DAEC" w14:textId="77777777" w:rsidTr="00F41D2A">
        <w:tc>
          <w:tcPr>
            <w:tcW w:w="0" w:type="auto"/>
            <w:hideMark/>
          </w:tcPr>
          <w:p w14:paraId="4594E845" w14:textId="77777777" w:rsidR="0033310C" w:rsidRPr="0033310C" w:rsidRDefault="0033310C" w:rsidP="00F41D2A">
            <w:pPr>
              <w:pStyle w:val="NoSpacing"/>
            </w:pPr>
            <w:r w:rsidRPr="0033310C">
              <w:lastRenderedPageBreak/>
              <w:t>Multicollinearity condition number</w:t>
            </w:r>
          </w:p>
        </w:tc>
        <w:tc>
          <w:tcPr>
            <w:tcW w:w="0" w:type="auto"/>
            <w:hideMark/>
          </w:tcPr>
          <w:p w14:paraId="7C9F7ADA" w14:textId="77777777" w:rsidR="0033310C" w:rsidRPr="0033310C" w:rsidRDefault="0033310C" w:rsidP="00F41D2A">
            <w:pPr>
              <w:pStyle w:val="NoSpacing"/>
            </w:pPr>
            <w:r w:rsidRPr="0033310C">
              <w:t>15.23</w:t>
            </w:r>
          </w:p>
        </w:tc>
        <w:tc>
          <w:tcPr>
            <w:tcW w:w="0" w:type="auto"/>
            <w:hideMark/>
          </w:tcPr>
          <w:p w14:paraId="0D38EA98" w14:textId="77777777" w:rsidR="0033310C" w:rsidRPr="0033310C" w:rsidRDefault="0033310C" w:rsidP="00F41D2A">
            <w:pPr>
              <w:pStyle w:val="NoSpacing"/>
            </w:pPr>
          </w:p>
        </w:tc>
        <w:tc>
          <w:tcPr>
            <w:tcW w:w="0" w:type="auto"/>
            <w:hideMark/>
          </w:tcPr>
          <w:p w14:paraId="5B8C8430" w14:textId="77777777" w:rsidR="0033310C" w:rsidRPr="0033310C" w:rsidRDefault="0033310C" w:rsidP="00F41D2A">
            <w:pPr>
              <w:pStyle w:val="NoSpacing"/>
            </w:pPr>
            <w:r w:rsidRPr="0033310C">
              <w:t>–</w:t>
            </w:r>
          </w:p>
        </w:tc>
        <w:tc>
          <w:tcPr>
            <w:tcW w:w="0" w:type="auto"/>
            <w:hideMark/>
          </w:tcPr>
          <w:p w14:paraId="38B7FD67" w14:textId="77777777" w:rsidR="0033310C" w:rsidRPr="0033310C" w:rsidRDefault="0033310C" w:rsidP="00F41D2A">
            <w:pPr>
              <w:pStyle w:val="NoSpacing"/>
            </w:pPr>
          </w:p>
        </w:tc>
        <w:tc>
          <w:tcPr>
            <w:tcW w:w="0" w:type="auto"/>
            <w:hideMark/>
          </w:tcPr>
          <w:p w14:paraId="05813BB4" w14:textId="77777777" w:rsidR="0033310C" w:rsidRPr="0033310C" w:rsidRDefault="0033310C" w:rsidP="00F41D2A">
            <w:pPr>
              <w:pStyle w:val="NoSpacing"/>
            </w:pPr>
            <w:r w:rsidRPr="0033310C">
              <w:t>–</w:t>
            </w:r>
          </w:p>
        </w:tc>
        <w:tc>
          <w:tcPr>
            <w:tcW w:w="0" w:type="auto"/>
            <w:hideMark/>
          </w:tcPr>
          <w:p w14:paraId="49DC0F5A" w14:textId="77777777" w:rsidR="0033310C" w:rsidRPr="0033310C" w:rsidRDefault="0033310C" w:rsidP="00F41D2A">
            <w:pPr>
              <w:pStyle w:val="NoSpacing"/>
            </w:pPr>
          </w:p>
        </w:tc>
      </w:tr>
      <w:tr w:rsidR="0033310C" w:rsidRPr="0033310C" w14:paraId="6E583076" w14:textId="77777777" w:rsidTr="00F41D2A">
        <w:tc>
          <w:tcPr>
            <w:tcW w:w="0" w:type="auto"/>
            <w:hideMark/>
          </w:tcPr>
          <w:p w14:paraId="04EC4071" w14:textId="77777777" w:rsidR="0033310C" w:rsidRPr="0033310C" w:rsidRDefault="0033310C" w:rsidP="00F41D2A">
            <w:pPr>
              <w:pStyle w:val="NoSpacing"/>
            </w:pPr>
            <w:r w:rsidRPr="0033310C">
              <w:t>S.E. of regression</w:t>
            </w:r>
          </w:p>
        </w:tc>
        <w:tc>
          <w:tcPr>
            <w:tcW w:w="0" w:type="auto"/>
            <w:hideMark/>
          </w:tcPr>
          <w:p w14:paraId="7670E512" w14:textId="77777777" w:rsidR="0033310C" w:rsidRPr="0033310C" w:rsidRDefault="0033310C" w:rsidP="00F41D2A">
            <w:pPr>
              <w:pStyle w:val="NoSpacing"/>
            </w:pPr>
            <w:r w:rsidRPr="0033310C">
              <w:t>2.29</w:t>
            </w:r>
          </w:p>
        </w:tc>
        <w:tc>
          <w:tcPr>
            <w:tcW w:w="0" w:type="auto"/>
            <w:hideMark/>
          </w:tcPr>
          <w:p w14:paraId="6410E251" w14:textId="77777777" w:rsidR="0033310C" w:rsidRPr="0033310C" w:rsidRDefault="0033310C" w:rsidP="00F41D2A">
            <w:pPr>
              <w:pStyle w:val="NoSpacing"/>
            </w:pPr>
          </w:p>
        </w:tc>
        <w:tc>
          <w:tcPr>
            <w:tcW w:w="0" w:type="auto"/>
            <w:hideMark/>
          </w:tcPr>
          <w:p w14:paraId="76C72426" w14:textId="77777777" w:rsidR="0033310C" w:rsidRPr="0033310C" w:rsidRDefault="0033310C" w:rsidP="00F41D2A">
            <w:pPr>
              <w:pStyle w:val="NoSpacing"/>
            </w:pPr>
            <w:r w:rsidRPr="0033310C">
              <w:t>–</w:t>
            </w:r>
          </w:p>
        </w:tc>
        <w:tc>
          <w:tcPr>
            <w:tcW w:w="0" w:type="auto"/>
            <w:hideMark/>
          </w:tcPr>
          <w:p w14:paraId="50C2C721" w14:textId="77777777" w:rsidR="0033310C" w:rsidRPr="0033310C" w:rsidRDefault="0033310C" w:rsidP="00F41D2A">
            <w:pPr>
              <w:pStyle w:val="NoSpacing"/>
            </w:pPr>
          </w:p>
        </w:tc>
        <w:tc>
          <w:tcPr>
            <w:tcW w:w="0" w:type="auto"/>
            <w:hideMark/>
          </w:tcPr>
          <w:p w14:paraId="5B5E2A9B" w14:textId="77777777" w:rsidR="0033310C" w:rsidRPr="0033310C" w:rsidRDefault="0033310C" w:rsidP="00F41D2A">
            <w:pPr>
              <w:pStyle w:val="NoSpacing"/>
            </w:pPr>
            <w:r w:rsidRPr="0033310C">
              <w:t>–</w:t>
            </w:r>
          </w:p>
        </w:tc>
        <w:tc>
          <w:tcPr>
            <w:tcW w:w="0" w:type="auto"/>
            <w:hideMark/>
          </w:tcPr>
          <w:p w14:paraId="4695728C" w14:textId="77777777" w:rsidR="0033310C" w:rsidRPr="0033310C" w:rsidRDefault="0033310C" w:rsidP="00F41D2A">
            <w:pPr>
              <w:pStyle w:val="NoSpacing"/>
            </w:pPr>
          </w:p>
        </w:tc>
      </w:tr>
      <w:tr w:rsidR="0033310C" w:rsidRPr="0033310C" w14:paraId="2CB9AD6A" w14:textId="77777777" w:rsidTr="00F41D2A">
        <w:tc>
          <w:tcPr>
            <w:tcW w:w="0" w:type="auto"/>
            <w:hideMark/>
          </w:tcPr>
          <w:p w14:paraId="48480345" w14:textId="77777777" w:rsidR="0033310C" w:rsidRPr="0033310C" w:rsidRDefault="0033310C" w:rsidP="00F41D2A">
            <w:pPr>
              <w:pStyle w:val="NoSpacing"/>
            </w:pPr>
            <w:r w:rsidRPr="0033310C">
              <w:t>Log likelihood</w:t>
            </w:r>
          </w:p>
        </w:tc>
        <w:tc>
          <w:tcPr>
            <w:tcW w:w="0" w:type="auto"/>
            <w:hideMark/>
          </w:tcPr>
          <w:p w14:paraId="0DB25732" w14:textId="77777777" w:rsidR="0033310C" w:rsidRPr="0033310C" w:rsidRDefault="0033310C" w:rsidP="00F41D2A">
            <w:pPr>
              <w:pStyle w:val="NoSpacing"/>
            </w:pPr>
            <w:r w:rsidRPr="0033310C">
              <w:t>−1291.19</w:t>
            </w:r>
          </w:p>
        </w:tc>
        <w:tc>
          <w:tcPr>
            <w:tcW w:w="0" w:type="auto"/>
            <w:hideMark/>
          </w:tcPr>
          <w:p w14:paraId="0DC7C693" w14:textId="77777777" w:rsidR="0033310C" w:rsidRPr="0033310C" w:rsidRDefault="0033310C" w:rsidP="00F41D2A">
            <w:pPr>
              <w:pStyle w:val="NoSpacing"/>
            </w:pPr>
          </w:p>
        </w:tc>
        <w:tc>
          <w:tcPr>
            <w:tcW w:w="0" w:type="auto"/>
            <w:hideMark/>
          </w:tcPr>
          <w:p w14:paraId="4419ABBA" w14:textId="77777777" w:rsidR="0033310C" w:rsidRPr="0033310C" w:rsidRDefault="0033310C" w:rsidP="00F41D2A">
            <w:pPr>
              <w:pStyle w:val="NoSpacing"/>
            </w:pPr>
            <w:r w:rsidRPr="0033310C">
              <w:t>–</w:t>
            </w:r>
          </w:p>
        </w:tc>
        <w:tc>
          <w:tcPr>
            <w:tcW w:w="0" w:type="auto"/>
            <w:hideMark/>
          </w:tcPr>
          <w:p w14:paraId="27DDCC7F" w14:textId="77777777" w:rsidR="0033310C" w:rsidRPr="0033310C" w:rsidRDefault="0033310C" w:rsidP="00F41D2A">
            <w:pPr>
              <w:pStyle w:val="NoSpacing"/>
            </w:pPr>
          </w:p>
        </w:tc>
        <w:tc>
          <w:tcPr>
            <w:tcW w:w="0" w:type="auto"/>
            <w:hideMark/>
          </w:tcPr>
          <w:p w14:paraId="02FAFA62" w14:textId="77777777" w:rsidR="0033310C" w:rsidRPr="0033310C" w:rsidRDefault="0033310C" w:rsidP="00F41D2A">
            <w:pPr>
              <w:pStyle w:val="NoSpacing"/>
            </w:pPr>
            <w:r w:rsidRPr="0033310C">
              <w:t>–</w:t>
            </w:r>
          </w:p>
        </w:tc>
        <w:tc>
          <w:tcPr>
            <w:tcW w:w="0" w:type="auto"/>
            <w:hideMark/>
          </w:tcPr>
          <w:p w14:paraId="716437B2" w14:textId="77777777" w:rsidR="0033310C" w:rsidRPr="0033310C" w:rsidRDefault="0033310C" w:rsidP="00F41D2A">
            <w:pPr>
              <w:pStyle w:val="NoSpacing"/>
            </w:pPr>
          </w:p>
        </w:tc>
      </w:tr>
      <w:tr w:rsidR="0033310C" w:rsidRPr="0033310C" w14:paraId="07E92AB8" w14:textId="77777777" w:rsidTr="00F41D2A">
        <w:tc>
          <w:tcPr>
            <w:tcW w:w="0" w:type="auto"/>
            <w:hideMark/>
          </w:tcPr>
          <w:p w14:paraId="6A3E8EC0" w14:textId="77777777" w:rsidR="0033310C" w:rsidRPr="0033310C" w:rsidRDefault="0033310C" w:rsidP="00F41D2A">
            <w:pPr>
              <w:pStyle w:val="NoSpacing"/>
            </w:pPr>
            <w:r w:rsidRPr="0033310C">
              <w:t>Akaike information criterion</w:t>
            </w:r>
          </w:p>
        </w:tc>
        <w:tc>
          <w:tcPr>
            <w:tcW w:w="0" w:type="auto"/>
            <w:hideMark/>
          </w:tcPr>
          <w:p w14:paraId="7CF75462" w14:textId="77777777" w:rsidR="0033310C" w:rsidRPr="0033310C" w:rsidRDefault="0033310C" w:rsidP="00F41D2A">
            <w:pPr>
              <w:pStyle w:val="NoSpacing"/>
            </w:pPr>
            <w:r w:rsidRPr="0033310C">
              <w:t>2602.39</w:t>
            </w:r>
          </w:p>
        </w:tc>
        <w:tc>
          <w:tcPr>
            <w:tcW w:w="0" w:type="auto"/>
            <w:hideMark/>
          </w:tcPr>
          <w:p w14:paraId="376D1E60" w14:textId="77777777" w:rsidR="0033310C" w:rsidRPr="0033310C" w:rsidRDefault="0033310C" w:rsidP="00F41D2A">
            <w:pPr>
              <w:pStyle w:val="NoSpacing"/>
            </w:pPr>
          </w:p>
        </w:tc>
        <w:tc>
          <w:tcPr>
            <w:tcW w:w="0" w:type="auto"/>
            <w:hideMark/>
          </w:tcPr>
          <w:p w14:paraId="70331C91" w14:textId="77777777" w:rsidR="0033310C" w:rsidRPr="0033310C" w:rsidRDefault="0033310C" w:rsidP="00F41D2A">
            <w:pPr>
              <w:pStyle w:val="NoSpacing"/>
            </w:pPr>
            <w:r w:rsidRPr="0033310C">
              <w:t>–</w:t>
            </w:r>
          </w:p>
        </w:tc>
        <w:tc>
          <w:tcPr>
            <w:tcW w:w="0" w:type="auto"/>
            <w:hideMark/>
          </w:tcPr>
          <w:p w14:paraId="73DBE2C1" w14:textId="77777777" w:rsidR="0033310C" w:rsidRPr="0033310C" w:rsidRDefault="0033310C" w:rsidP="00F41D2A">
            <w:pPr>
              <w:pStyle w:val="NoSpacing"/>
            </w:pPr>
          </w:p>
        </w:tc>
        <w:tc>
          <w:tcPr>
            <w:tcW w:w="0" w:type="auto"/>
            <w:hideMark/>
          </w:tcPr>
          <w:p w14:paraId="5596FE86" w14:textId="77777777" w:rsidR="0033310C" w:rsidRPr="0033310C" w:rsidRDefault="0033310C" w:rsidP="00F41D2A">
            <w:pPr>
              <w:pStyle w:val="NoSpacing"/>
            </w:pPr>
            <w:r w:rsidRPr="0033310C">
              <w:t>–</w:t>
            </w:r>
          </w:p>
        </w:tc>
        <w:tc>
          <w:tcPr>
            <w:tcW w:w="0" w:type="auto"/>
            <w:hideMark/>
          </w:tcPr>
          <w:p w14:paraId="1CAF30A0" w14:textId="77777777" w:rsidR="0033310C" w:rsidRPr="0033310C" w:rsidRDefault="0033310C" w:rsidP="00F41D2A">
            <w:pPr>
              <w:pStyle w:val="NoSpacing"/>
            </w:pPr>
          </w:p>
        </w:tc>
      </w:tr>
      <w:tr w:rsidR="0033310C" w:rsidRPr="0033310C" w14:paraId="3744094D" w14:textId="77777777" w:rsidTr="00F41D2A">
        <w:tc>
          <w:tcPr>
            <w:tcW w:w="0" w:type="auto"/>
            <w:hideMark/>
          </w:tcPr>
          <w:p w14:paraId="171877FD" w14:textId="77777777" w:rsidR="0033310C" w:rsidRPr="0033310C" w:rsidRDefault="0033310C" w:rsidP="00F41D2A">
            <w:pPr>
              <w:pStyle w:val="NoSpacing"/>
            </w:pPr>
            <w:r w:rsidRPr="0033310C">
              <w:t>Schwarz criterion</w:t>
            </w:r>
          </w:p>
        </w:tc>
        <w:tc>
          <w:tcPr>
            <w:tcW w:w="0" w:type="auto"/>
            <w:hideMark/>
          </w:tcPr>
          <w:p w14:paraId="20BFDFA8" w14:textId="77777777" w:rsidR="0033310C" w:rsidRPr="0033310C" w:rsidRDefault="0033310C" w:rsidP="00F41D2A">
            <w:pPr>
              <w:pStyle w:val="NoSpacing"/>
            </w:pPr>
            <w:r w:rsidRPr="0033310C">
              <w:t>2645.86</w:t>
            </w:r>
          </w:p>
        </w:tc>
        <w:tc>
          <w:tcPr>
            <w:tcW w:w="0" w:type="auto"/>
            <w:hideMark/>
          </w:tcPr>
          <w:p w14:paraId="7BF3F317" w14:textId="77777777" w:rsidR="0033310C" w:rsidRPr="0033310C" w:rsidRDefault="0033310C" w:rsidP="00F41D2A">
            <w:pPr>
              <w:pStyle w:val="NoSpacing"/>
            </w:pPr>
          </w:p>
        </w:tc>
        <w:tc>
          <w:tcPr>
            <w:tcW w:w="0" w:type="auto"/>
            <w:hideMark/>
          </w:tcPr>
          <w:p w14:paraId="58C1A8FF" w14:textId="77777777" w:rsidR="0033310C" w:rsidRPr="0033310C" w:rsidRDefault="0033310C" w:rsidP="00F41D2A">
            <w:pPr>
              <w:pStyle w:val="NoSpacing"/>
            </w:pPr>
            <w:r w:rsidRPr="0033310C">
              <w:t>–</w:t>
            </w:r>
          </w:p>
        </w:tc>
        <w:tc>
          <w:tcPr>
            <w:tcW w:w="0" w:type="auto"/>
            <w:hideMark/>
          </w:tcPr>
          <w:p w14:paraId="187D315B" w14:textId="77777777" w:rsidR="0033310C" w:rsidRPr="0033310C" w:rsidRDefault="0033310C" w:rsidP="00F41D2A">
            <w:pPr>
              <w:pStyle w:val="NoSpacing"/>
            </w:pPr>
          </w:p>
        </w:tc>
        <w:tc>
          <w:tcPr>
            <w:tcW w:w="0" w:type="auto"/>
            <w:hideMark/>
          </w:tcPr>
          <w:p w14:paraId="15DB270F" w14:textId="77777777" w:rsidR="0033310C" w:rsidRPr="0033310C" w:rsidRDefault="0033310C" w:rsidP="00F41D2A">
            <w:pPr>
              <w:pStyle w:val="NoSpacing"/>
            </w:pPr>
            <w:r w:rsidRPr="0033310C">
              <w:t>–</w:t>
            </w:r>
          </w:p>
        </w:tc>
        <w:tc>
          <w:tcPr>
            <w:tcW w:w="0" w:type="auto"/>
            <w:hideMark/>
          </w:tcPr>
          <w:p w14:paraId="13762A5E" w14:textId="77777777" w:rsidR="0033310C" w:rsidRPr="0033310C" w:rsidRDefault="0033310C" w:rsidP="00F41D2A">
            <w:pPr>
              <w:pStyle w:val="NoSpacing"/>
            </w:pPr>
          </w:p>
        </w:tc>
      </w:tr>
      <w:tr w:rsidR="0033310C" w:rsidRPr="0033310C" w14:paraId="11054065" w14:textId="77777777" w:rsidTr="00F41D2A">
        <w:tc>
          <w:tcPr>
            <w:tcW w:w="0" w:type="auto"/>
            <w:hideMark/>
          </w:tcPr>
          <w:p w14:paraId="4825AECE" w14:textId="77777777" w:rsidR="0033310C" w:rsidRPr="0033310C" w:rsidRDefault="0033310C" w:rsidP="00F41D2A">
            <w:pPr>
              <w:pStyle w:val="NoSpacing"/>
            </w:pPr>
            <w:r w:rsidRPr="0033310C">
              <w:t>Breusch–Pagan Test</w:t>
            </w:r>
          </w:p>
        </w:tc>
        <w:tc>
          <w:tcPr>
            <w:tcW w:w="0" w:type="auto"/>
            <w:hideMark/>
          </w:tcPr>
          <w:p w14:paraId="68AFFAE3" w14:textId="4F2DDC0C" w:rsidR="0033310C" w:rsidRPr="0033310C" w:rsidRDefault="0033310C" w:rsidP="00F41D2A">
            <w:pPr>
              <w:pStyle w:val="NoSpacing"/>
            </w:pPr>
            <w:r w:rsidRPr="0033310C">
              <w:t>61.36</w:t>
            </w:r>
            <w:r w:rsidRPr="0033310C">
              <w:rPr>
                <w:rFonts w:ascii="Tahoma" w:hAnsi="Tahoma" w:cs="Tahoma"/>
                <w:vertAlign w:val="superscript"/>
              </w:rPr>
              <w:t>⁎⁎</w:t>
            </w:r>
          </w:p>
        </w:tc>
        <w:tc>
          <w:tcPr>
            <w:tcW w:w="0" w:type="auto"/>
            <w:hideMark/>
          </w:tcPr>
          <w:p w14:paraId="4238BF71" w14:textId="77777777" w:rsidR="0033310C" w:rsidRPr="0033310C" w:rsidRDefault="0033310C" w:rsidP="00F41D2A">
            <w:pPr>
              <w:pStyle w:val="NoSpacing"/>
            </w:pPr>
          </w:p>
        </w:tc>
        <w:tc>
          <w:tcPr>
            <w:tcW w:w="0" w:type="auto"/>
            <w:hideMark/>
          </w:tcPr>
          <w:p w14:paraId="161517E3" w14:textId="77777777" w:rsidR="0033310C" w:rsidRPr="0033310C" w:rsidRDefault="0033310C" w:rsidP="00F41D2A">
            <w:pPr>
              <w:pStyle w:val="NoSpacing"/>
            </w:pPr>
            <w:r w:rsidRPr="0033310C">
              <w:t>–</w:t>
            </w:r>
          </w:p>
        </w:tc>
        <w:tc>
          <w:tcPr>
            <w:tcW w:w="0" w:type="auto"/>
            <w:hideMark/>
          </w:tcPr>
          <w:p w14:paraId="42421E08" w14:textId="77777777" w:rsidR="0033310C" w:rsidRPr="0033310C" w:rsidRDefault="0033310C" w:rsidP="00F41D2A">
            <w:pPr>
              <w:pStyle w:val="NoSpacing"/>
            </w:pPr>
          </w:p>
        </w:tc>
        <w:tc>
          <w:tcPr>
            <w:tcW w:w="0" w:type="auto"/>
            <w:hideMark/>
          </w:tcPr>
          <w:p w14:paraId="7D86E614" w14:textId="77777777" w:rsidR="0033310C" w:rsidRPr="0033310C" w:rsidRDefault="0033310C" w:rsidP="00F41D2A">
            <w:pPr>
              <w:pStyle w:val="NoSpacing"/>
            </w:pPr>
            <w:r w:rsidRPr="0033310C">
              <w:t>–</w:t>
            </w:r>
          </w:p>
        </w:tc>
        <w:tc>
          <w:tcPr>
            <w:tcW w:w="0" w:type="auto"/>
            <w:hideMark/>
          </w:tcPr>
          <w:p w14:paraId="3B3590EA" w14:textId="77777777" w:rsidR="0033310C" w:rsidRPr="0033310C" w:rsidRDefault="0033310C" w:rsidP="00F41D2A">
            <w:pPr>
              <w:pStyle w:val="NoSpacing"/>
            </w:pPr>
          </w:p>
        </w:tc>
      </w:tr>
      <w:bookmarkEnd w:id="69"/>
      <w:tr w:rsidR="0033310C" w:rsidRPr="0033310C" w14:paraId="534A2BCE" w14:textId="77777777" w:rsidTr="00F41D2A">
        <w:tc>
          <w:tcPr>
            <w:tcW w:w="0" w:type="auto"/>
            <w:hideMark/>
          </w:tcPr>
          <w:p w14:paraId="11841EF0" w14:textId="77777777" w:rsidR="0033310C" w:rsidRPr="0033310C" w:rsidRDefault="0033310C" w:rsidP="00F41D2A">
            <w:pPr>
              <w:pStyle w:val="NoSpacing"/>
            </w:pPr>
            <w:proofErr w:type="spellStart"/>
            <w:r w:rsidRPr="0033310C">
              <w:t>Anselin-Kelejian</w:t>
            </w:r>
            <w:proofErr w:type="spellEnd"/>
            <w:r w:rsidRPr="0033310C">
              <w:t xml:space="preserve"> Test</w:t>
            </w:r>
          </w:p>
        </w:tc>
        <w:tc>
          <w:tcPr>
            <w:tcW w:w="0" w:type="auto"/>
            <w:hideMark/>
          </w:tcPr>
          <w:p w14:paraId="14A3922A" w14:textId="77777777" w:rsidR="0033310C" w:rsidRPr="0033310C" w:rsidRDefault="0033310C" w:rsidP="00F41D2A">
            <w:pPr>
              <w:pStyle w:val="NoSpacing"/>
            </w:pPr>
            <w:r w:rsidRPr="0033310C">
              <w:t>–</w:t>
            </w:r>
          </w:p>
        </w:tc>
        <w:tc>
          <w:tcPr>
            <w:tcW w:w="0" w:type="auto"/>
            <w:hideMark/>
          </w:tcPr>
          <w:p w14:paraId="622B18D7" w14:textId="77777777" w:rsidR="0033310C" w:rsidRPr="0033310C" w:rsidRDefault="0033310C" w:rsidP="00F41D2A">
            <w:pPr>
              <w:pStyle w:val="NoSpacing"/>
            </w:pPr>
          </w:p>
        </w:tc>
        <w:tc>
          <w:tcPr>
            <w:tcW w:w="0" w:type="auto"/>
            <w:hideMark/>
          </w:tcPr>
          <w:p w14:paraId="2A64EA2A" w14:textId="77777777" w:rsidR="0033310C" w:rsidRPr="0033310C" w:rsidRDefault="0033310C" w:rsidP="00F41D2A">
            <w:pPr>
              <w:pStyle w:val="NoSpacing"/>
            </w:pPr>
            <w:r w:rsidRPr="0033310C">
              <w:t>1.58</w:t>
            </w:r>
          </w:p>
        </w:tc>
        <w:tc>
          <w:tcPr>
            <w:tcW w:w="0" w:type="auto"/>
            <w:hideMark/>
          </w:tcPr>
          <w:p w14:paraId="7C7822F9" w14:textId="77777777" w:rsidR="0033310C" w:rsidRPr="0033310C" w:rsidRDefault="0033310C" w:rsidP="00F41D2A">
            <w:pPr>
              <w:pStyle w:val="NoSpacing"/>
            </w:pPr>
          </w:p>
        </w:tc>
        <w:tc>
          <w:tcPr>
            <w:tcW w:w="0" w:type="auto"/>
            <w:hideMark/>
          </w:tcPr>
          <w:p w14:paraId="27E2A2DE" w14:textId="77777777" w:rsidR="0033310C" w:rsidRPr="0033310C" w:rsidRDefault="0033310C" w:rsidP="00F41D2A">
            <w:pPr>
              <w:pStyle w:val="NoSpacing"/>
            </w:pPr>
            <w:r w:rsidRPr="0033310C">
              <w:t>0.47</w:t>
            </w:r>
          </w:p>
        </w:tc>
        <w:tc>
          <w:tcPr>
            <w:tcW w:w="0" w:type="auto"/>
            <w:hideMark/>
          </w:tcPr>
          <w:p w14:paraId="3C8EF497" w14:textId="77777777" w:rsidR="0033310C" w:rsidRPr="0033310C" w:rsidRDefault="0033310C" w:rsidP="00F41D2A">
            <w:pPr>
              <w:pStyle w:val="NoSpacing"/>
            </w:pPr>
          </w:p>
        </w:tc>
      </w:tr>
      <w:tr w:rsidR="0033310C" w:rsidRPr="0033310C" w14:paraId="3AF15911" w14:textId="77777777" w:rsidTr="00F41D2A">
        <w:tc>
          <w:tcPr>
            <w:tcW w:w="0" w:type="auto"/>
            <w:hideMark/>
          </w:tcPr>
          <w:p w14:paraId="5F7F6DB4" w14:textId="77777777" w:rsidR="0033310C" w:rsidRPr="0033310C" w:rsidRDefault="0033310C" w:rsidP="00F41D2A">
            <w:pPr>
              <w:pStyle w:val="NoSpacing"/>
            </w:pPr>
            <w:r w:rsidRPr="0033310C">
              <w:t>Global Chow Test</w:t>
            </w:r>
          </w:p>
        </w:tc>
        <w:tc>
          <w:tcPr>
            <w:tcW w:w="0" w:type="auto"/>
            <w:hideMark/>
          </w:tcPr>
          <w:p w14:paraId="36A07380" w14:textId="77777777" w:rsidR="0033310C" w:rsidRPr="0033310C" w:rsidRDefault="0033310C" w:rsidP="00F41D2A">
            <w:pPr>
              <w:pStyle w:val="NoSpacing"/>
            </w:pPr>
            <w:r w:rsidRPr="0033310C">
              <w:t>–</w:t>
            </w:r>
          </w:p>
        </w:tc>
        <w:tc>
          <w:tcPr>
            <w:tcW w:w="0" w:type="auto"/>
            <w:hideMark/>
          </w:tcPr>
          <w:p w14:paraId="447BB890" w14:textId="77777777" w:rsidR="0033310C" w:rsidRPr="0033310C" w:rsidRDefault="0033310C" w:rsidP="00F41D2A">
            <w:pPr>
              <w:pStyle w:val="NoSpacing"/>
            </w:pPr>
          </w:p>
        </w:tc>
        <w:tc>
          <w:tcPr>
            <w:tcW w:w="0" w:type="auto"/>
            <w:hideMark/>
          </w:tcPr>
          <w:p w14:paraId="59643597" w14:textId="77777777" w:rsidR="0033310C" w:rsidRPr="0033310C" w:rsidRDefault="0033310C" w:rsidP="00F41D2A">
            <w:pPr>
              <w:pStyle w:val="NoSpacing"/>
            </w:pPr>
            <w:r w:rsidRPr="0033310C">
              <w:t>–</w:t>
            </w:r>
          </w:p>
        </w:tc>
        <w:tc>
          <w:tcPr>
            <w:tcW w:w="0" w:type="auto"/>
            <w:hideMark/>
          </w:tcPr>
          <w:p w14:paraId="7468D46B" w14:textId="77777777" w:rsidR="0033310C" w:rsidRPr="0033310C" w:rsidRDefault="0033310C" w:rsidP="00F41D2A">
            <w:pPr>
              <w:pStyle w:val="NoSpacing"/>
            </w:pPr>
          </w:p>
        </w:tc>
        <w:tc>
          <w:tcPr>
            <w:tcW w:w="0" w:type="auto"/>
            <w:hideMark/>
          </w:tcPr>
          <w:p w14:paraId="74AA02A8" w14:textId="77777777" w:rsidR="0033310C" w:rsidRPr="0033310C" w:rsidRDefault="0033310C" w:rsidP="00F41D2A">
            <w:pPr>
              <w:pStyle w:val="NoSpacing"/>
            </w:pPr>
            <w:r w:rsidRPr="0033310C">
              <w:t>13.53</w:t>
            </w:r>
          </w:p>
        </w:tc>
        <w:tc>
          <w:tcPr>
            <w:tcW w:w="0" w:type="auto"/>
            <w:hideMark/>
          </w:tcPr>
          <w:p w14:paraId="3934D58D" w14:textId="77777777" w:rsidR="0033310C" w:rsidRPr="0033310C" w:rsidRDefault="0033310C" w:rsidP="00F41D2A">
            <w:pPr>
              <w:pStyle w:val="NoSpacing"/>
            </w:pPr>
          </w:p>
        </w:tc>
      </w:tr>
    </w:tbl>
    <w:p w14:paraId="133D19D0" w14:textId="172FC283" w:rsidR="0033310C" w:rsidRPr="0033310C" w:rsidRDefault="0033310C" w:rsidP="00C42B5F">
      <w:pPr>
        <w:pStyle w:val="NoSpacing"/>
      </w:pPr>
      <w:r w:rsidRPr="0033310C">
        <w:rPr>
          <w:rFonts w:ascii="Tahoma" w:hAnsi="Tahoma" w:cs="Tahoma"/>
        </w:rPr>
        <w:t>⁎</w:t>
      </w:r>
      <w:r>
        <w:rPr>
          <w:rFonts w:ascii="Tahoma" w:hAnsi="Tahoma" w:cs="Tahoma"/>
        </w:rPr>
        <w:t xml:space="preserve"> </w:t>
      </w:r>
      <w:r w:rsidRPr="0033310C">
        <w:rPr>
          <w:i/>
          <w:iCs/>
        </w:rPr>
        <w:t>p</w:t>
      </w:r>
      <w:r w:rsidRPr="0033310C">
        <w:t> &lt; .05.</w:t>
      </w:r>
    </w:p>
    <w:p w14:paraId="5C494100" w14:textId="43C7FF32" w:rsidR="0033310C" w:rsidRPr="0033310C" w:rsidRDefault="0033310C" w:rsidP="00C42B5F">
      <w:pPr>
        <w:pStyle w:val="NoSpacing"/>
      </w:pPr>
      <w:r w:rsidRPr="0033310C">
        <w:rPr>
          <w:rFonts w:ascii="Tahoma" w:hAnsi="Tahoma" w:cs="Tahoma"/>
        </w:rPr>
        <w:t>⁎⁎</w:t>
      </w:r>
      <w:r>
        <w:t xml:space="preserve"> </w:t>
      </w:r>
      <w:r w:rsidRPr="0033310C">
        <w:rPr>
          <w:i/>
          <w:iCs/>
        </w:rPr>
        <w:t>p</w:t>
      </w:r>
      <w:r w:rsidRPr="0033310C">
        <w:t> &lt; .01.</w:t>
      </w:r>
    </w:p>
    <w:p w14:paraId="40F2281B" w14:textId="77777777" w:rsidR="00623C32" w:rsidRDefault="00623C32" w:rsidP="00C42B5F">
      <w:pPr>
        <w:spacing w:after="0"/>
      </w:pPr>
    </w:p>
    <w:p w14:paraId="6143FFA1" w14:textId="52206C93" w:rsidR="0033310C" w:rsidRPr="0033310C" w:rsidRDefault="0033310C" w:rsidP="00C42B5F">
      <w:pPr>
        <w:spacing w:after="0"/>
      </w:pPr>
      <w:r w:rsidRPr="0033310C">
        <w:t xml:space="preserve">Table 4. Robberies density regressed on </w:t>
      </w:r>
      <w:proofErr w:type="gramStart"/>
      <w:r w:rsidRPr="0033310C">
        <w:t>on-premise</w:t>
      </w:r>
      <w:proofErr w:type="gramEnd"/>
      <w:r w:rsidRPr="0033310C">
        <w:t xml:space="preserve"> alcohol outlet density and control variables for Milwaukee block groups.</w:t>
      </w:r>
    </w:p>
    <w:tbl>
      <w:tblPr>
        <w:tblStyle w:val="TableGrid"/>
        <w:tblW w:w="0" w:type="auto"/>
        <w:tblLook w:val="04A0" w:firstRow="1" w:lastRow="0" w:firstColumn="1" w:lastColumn="0" w:noHBand="0" w:noVBand="1"/>
      </w:tblPr>
      <w:tblGrid>
        <w:gridCol w:w="3901"/>
        <w:gridCol w:w="2553"/>
        <w:gridCol w:w="607"/>
        <w:gridCol w:w="1881"/>
        <w:gridCol w:w="718"/>
        <w:gridCol w:w="1883"/>
        <w:gridCol w:w="607"/>
      </w:tblGrid>
      <w:tr w:rsidR="0062601B" w:rsidRPr="0033310C" w14:paraId="318E8BFF" w14:textId="77777777" w:rsidTr="00D751A5">
        <w:tc>
          <w:tcPr>
            <w:tcW w:w="0" w:type="auto"/>
            <w:hideMark/>
          </w:tcPr>
          <w:p w14:paraId="08B2A5CD" w14:textId="77777777" w:rsidR="0062601B" w:rsidRPr="0033310C" w:rsidRDefault="0062601B" w:rsidP="0062601B">
            <w:pPr>
              <w:pStyle w:val="NoSpacing"/>
            </w:pPr>
            <w:r w:rsidRPr="0033310C">
              <w:t>Empty Cell</w:t>
            </w:r>
          </w:p>
        </w:tc>
        <w:tc>
          <w:tcPr>
            <w:tcW w:w="0" w:type="auto"/>
            <w:hideMark/>
          </w:tcPr>
          <w:p w14:paraId="4200A52A" w14:textId="21DFA584" w:rsidR="0062601B" w:rsidRPr="0033310C" w:rsidRDefault="0062601B" w:rsidP="0062601B">
            <w:pPr>
              <w:pStyle w:val="NoSpacing"/>
            </w:pPr>
            <w:r w:rsidRPr="0033310C">
              <w:t>Model 4</w:t>
            </w:r>
            <w:r w:rsidRPr="0033310C">
              <w:br/>
              <w:t>Spatial lag</w:t>
            </w:r>
            <w:r w:rsidRPr="0033310C">
              <w:br/>
              <w:t xml:space="preserve">Global model </w:t>
            </w:r>
            <m:oMath>
              <m:r>
                <w:rPr>
                  <w:rFonts w:ascii="Cambria Math" w:hAnsi="Cambria Math"/>
                </w:rPr>
                <m:t>(</m:t>
              </m:r>
              <m:r>
                <w:rPr>
                  <w:rFonts w:ascii="Cambria Math" w:hAnsi="Cambria Math"/>
                </w:rPr>
                <m:t>N</m:t>
              </m:r>
              <m:r>
                <w:rPr>
                  <w:rFonts w:ascii="Cambria Math" w:hAnsi="Cambria Math"/>
                </w:rPr>
                <m:t> = 571)</m:t>
              </m:r>
            </m:oMath>
          </w:p>
        </w:tc>
        <w:tc>
          <w:tcPr>
            <w:tcW w:w="0" w:type="auto"/>
          </w:tcPr>
          <w:p w14:paraId="488F4E0A" w14:textId="37A14C80" w:rsidR="0062601B" w:rsidRPr="0033310C" w:rsidRDefault="0062601B" w:rsidP="0062601B">
            <w:pPr>
              <w:pStyle w:val="NoSpacing"/>
            </w:pPr>
          </w:p>
        </w:tc>
        <w:tc>
          <w:tcPr>
            <w:tcW w:w="0" w:type="auto"/>
            <w:hideMark/>
          </w:tcPr>
          <w:p w14:paraId="0562F1F6" w14:textId="340B33B0" w:rsidR="0062601B" w:rsidRPr="0033310C" w:rsidRDefault="0062601B" w:rsidP="0062601B">
            <w:pPr>
              <w:pStyle w:val="NoSpacing"/>
            </w:pPr>
            <w:r w:rsidRPr="0033310C">
              <w:t>Model 5</w:t>
            </w:r>
            <w:r w:rsidRPr="0033310C">
              <w:br/>
              <w:t>S2SLS</w:t>
            </w:r>
            <w:r w:rsidRPr="0033310C">
              <w:br/>
              <w:t xml:space="preserve">South </w:t>
            </w:r>
            <m:oMath>
              <m:r>
                <w:rPr>
                  <w:rFonts w:ascii="Cambria Math" w:hAnsi="Cambria Math"/>
                </w:rPr>
                <m:t>(</m:t>
              </m:r>
              <m:r>
                <w:rPr>
                  <w:rFonts w:ascii="Cambria Math" w:hAnsi="Cambria Math"/>
                </w:rPr>
                <m:t>N</m:t>
              </m:r>
              <m:r>
                <w:rPr>
                  <w:rFonts w:ascii="Cambria Math" w:hAnsi="Cambria Math"/>
                </w:rPr>
                <m:t> = 119)</m:t>
              </m:r>
            </m:oMath>
          </w:p>
        </w:tc>
        <w:tc>
          <w:tcPr>
            <w:tcW w:w="0" w:type="auto"/>
          </w:tcPr>
          <w:p w14:paraId="3CB1A1B0" w14:textId="07BD5498" w:rsidR="0062601B" w:rsidRPr="0033310C" w:rsidRDefault="0062601B" w:rsidP="0062601B">
            <w:pPr>
              <w:pStyle w:val="NoSpacing"/>
            </w:pPr>
          </w:p>
        </w:tc>
        <w:tc>
          <w:tcPr>
            <w:tcW w:w="0" w:type="auto"/>
            <w:hideMark/>
          </w:tcPr>
          <w:p w14:paraId="6FC11D1B" w14:textId="16FE9A47" w:rsidR="0062601B" w:rsidRPr="0033310C" w:rsidRDefault="0062601B" w:rsidP="0062601B">
            <w:pPr>
              <w:pStyle w:val="NoSpacing"/>
            </w:pPr>
            <w:r w:rsidRPr="0033310C">
              <w:t>Model 6</w:t>
            </w:r>
            <w:r w:rsidRPr="0033310C">
              <w:br/>
              <w:t>S2SLS</w:t>
            </w:r>
            <w:r w:rsidRPr="0033310C">
              <w:br/>
              <w:t xml:space="preserve">North </w:t>
            </w:r>
            <m:oMath>
              <m:r>
                <w:rPr>
                  <w:rFonts w:ascii="Cambria Math" w:hAnsi="Cambria Math"/>
                </w:rPr>
                <m:t>(</m:t>
              </m:r>
              <m:r>
                <w:rPr>
                  <w:rFonts w:ascii="Cambria Math" w:hAnsi="Cambria Math"/>
                </w:rPr>
                <m:t>N</m:t>
              </m:r>
              <m:r>
                <w:rPr>
                  <w:rFonts w:ascii="Cambria Math" w:hAnsi="Cambria Math"/>
                </w:rPr>
                <m:t> = 452)</m:t>
              </m:r>
            </m:oMath>
          </w:p>
        </w:tc>
        <w:tc>
          <w:tcPr>
            <w:tcW w:w="0" w:type="auto"/>
          </w:tcPr>
          <w:p w14:paraId="05949E6E" w14:textId="70AB1E95" w:rsidR="0062601B" w:rsidRPr="0033310C" w:rsidRDefault="0062601B" w:rsidP="0062601B">
            <w:pPr>
              <w:pStyle w:val="NoSpacing"/>
            </w:pPr>
          </w:p>
        </w:tc>
      </w:tr>
      <w:tr w:rsidR="0033310C" w:rsidRPr="0033310C" w14:paraId="7D922446" w14:textId="77777777" w:rsidTr="0062601B">
        <w:tc>
          <w:tcPr>
            <w:tcW w:w="0" w:type="auto"/>
            <w:hideMark/>
          </w:tcPr>
          <w:p w14:paraId="449D8BA8" w14:textId="77777777" w:rsidR="0033310C" w:rsidRPr="0033310C" w:rsidRDefault="0033310C" w:rsidP="0062601B">
            <w:pPr>
              <w:pStyle w:val="NoSpacing"/>
            </w:pPr>
          </w:p>
        </w:tc>
        <w:tc>
          <w:tcPr>
            <w:tcW w:w="0" w:type="auto"/>
            <w:hideMark/>
          </w:tcPr>
          <w:p w14:paraId="6B037396" w14:textId="77777777" w:rsidR="0033310C" w:rsidRPr="0033310C" w:rsidRDefault="0033310C" w:rsidP="0062601B">
            <w:pPr>
              <w:pStyle w:val="NoSpacing"/>
            </w:pPr>
            <w:r w:rsidRPr="0033310C">
              <w:t>B</w:t>
            </w:r>
          </w:p>
        </w:tc>
        <w:tc>
          <w:tcPr>
            <w:tcW w:w="0" w:type="auto"/>
            <w:hideMark/>
          </w:tcPr>
          <w:p w14:paraId="7E762D3C" w14:textId="77777777" w:rsidR="0033310C" w:rsidRPr="0033310C" w:rsidRDefault="0033310C" w:rsidP="0062601B">
            <w:pPr>
              <w:pStyle w:val="NoSpacing"/>
            </w:pPr>
            <w:r w:rsidRPr="0033310C">
              <w:t>SE</w:t>
            </w:r>
          </w:p>
        </w:tc>
        <w:tc>
          <w:tcPr>
            <w:tcW w:w="0" w:type="auto"/>
            <w:hideMark/>
          </w:tcPr>
          <w:p w14:paraId="16B25ECB" w14:textId="77777777" w:rsidR="0033310C" w:rsidRPr="0033310C" w:rsidRDefault="0033310C" w:rsidP="0062601B">
            <w:pPr>
              <w:pStyle w:val="NoSpacing"/>
            </w:pPr>
            <w:r w:rsidRPr="0033310C">
              <w:t>B</w:t>
            </w:r>
          </w:p>
        </w:tc>
        <w:tc>
          <w:tcPr>
            <w:tcW w:w="0" w:type="auto"/>
            <w:hideMark/>
          </w:tcPr>
          <w:p w14:paraId="53EB5F4C" w14:textId="77777777" w:rsidR="0033310C" w:rsidRPr="0033310C" w:rsidRDefault="0033310C" w:rsidP="0062601B">
            <w:pPr>
              <w:pStyle w:val="NoSpacing"/>
            </w:pPr>
            <w:r w:rsidRPr="0033310C">
              <w:t>SE</w:t>
            </w:r>
          </w:p>
        </w:tc>
        <w:tc>
          <w:tcPr>
            <w:tcW w:w="0" w:type="auto"/>
            <w:hideMark/>
          </w:tcPr>
          <w:p w14:paraId="07B3C061" w14:textId="77777777" w:rsidR="0033310C" w:rsidRPr="0033310C" w:rsidRDefault="0033310C" w:rsidP="0062601B">
            <w:pPr>
              <w:pStyle w:val="NoSpacing"/>
            </w:pPr>
            <w:r w:rsidRPr="0033310C">
              <w:t>B</w:t>
            </w:r>
          </w:p>
        </w:tc>
        <w:tc>
          <w:tcPr>
            <w:tcW w:w="0" w:type="auto"/>
            <w:hideMark/>
          </w:tcPr>
          <w:p w14:paraId="15E7ED95" w14:textId="77777777" w:rsidR="0033310C" w:rsidRPr="0033310C" w:rsidRDefault="0033310C" w:rsidP="0062601B">
            <w:pPr>
              <w:pStyle w:val="NoSpacing"/>
            </w:pPr>
            <w:r w:rsidRPr="0033310C">
              <w:t>SE</w:t>
            </w:r>
          </w:p>
        </w:tc>
      </w:tr>
      <w:tr w:rsidR="0033310C" w:rsidRPr="0033310C" w14:paraId="7233CA26" w14:textId="77777777" w:rsidTr="0062601B">
        <w:tc>
          <w:tcPr>
            <w:tcW w:w="0" w:type="auto"/>
            <w:hideMark/>
          </w:tcPr>
          <w:p w14:paraId="6A8685A4" w14:textId="77777777" w:rsidR="0033310C" w:rsidRPr="0033310C" w:rsidRDefault="0033310C" w:rsidP="0062601B">
            <w:pPr>
              <w:pStyle w:val="NoSpacing"/>
            </w:pPr>
            <w:r w:rsidRPr="0033310C">
              <w:t>Constant</w:t>
            </w:r>
          </w:p>
        </w:tc>
        <w:tc>
          <w:tcPr>
            <w:tcW w:w="0" w:type="auto"/>
            <w:hideMark/>
          </w:tcPr>
          <w:p w14:paraId="45C1DA4A" w14:textId="77777777" w:rsidR="0033310C" w:rsidRPr="0033310C" w:rsidRDefault="0033310C" w:rsidP="0062601B">
            <w:pPr>
              <w:pStyle w:val="NoSpacing"/>
            </w:pPr>
            <w:r w:rsidRPr="0033310C">
              <w:t>−0.22</w:t>
            </w:r>
          </w:p>
        </w:tc>
        <w:tc>
          <w:tcPr>
            <w:tcW w:w="0" w:type="auto"/>
            <w:hideMark/>
          </w:tcPr>
          <w:p w14:paraId="38E0306F" w14:textId="77777777" w:rsidR="0033310C" w:rsidRPr="0033310C" w:rsidRDefault="0033310C" w:rsidP="0062601B">
            <w:pPr>
              <w:pStyle w:val="NoSpacing"/>
            </w:pPr>
            <w:r w:rsidRPr="0033310C">
              <w:t>0.50</w:t>
            </w:r>
          </w:p>
        </w:tc>
        <w:tc>
          <w:tcPr>
            <w:tcW w:w="0" w:type="auto"/>
            <w:hideMark/>
          </w:tcPr>
          <w:p w14:paraId="0BAEED37" w14:textId="77777777" w:rsidR="0033310C" w:rsidRPr="0033310C" w:rsidRDefault="0033310C" w:rsidP="0062601B">
            <w:pPr>
              <w:pStyle w:val="NoSpacing"/>
            </w:pPr>
            <w:r w:rsidRPr="0033310C">
              <w:t>−1.04</w:t>
            </w:r>
          </w:p>
        </w:tc>
        <w:tc>
          <w:tcPr>
            <w:tcW w:w="0" w:type="auto"/>
            <w:hideMark/>
          </w:tcPr>
          <w:p w14:paraId="50CF171E" w14:textId="77777777" w:rsidR="0033310C" w:rsidRPr="0033310C" w:rsidRDefault="0033310C" w:rsidP="0062601B">
            <w:pPr>
              <w:pStyle w:val="NoSpacing"/>
            </w:pPr>
            <w:r w:rsidRPr="0033310C">
              <w:t>1.15</w:t>
            </w:r>
          </w:p>
        </w:tc>
        <w:tc>
          <w:tcPr>
            <w:tcW w:w="0" w:type="auto"/>
            <w:hideMark/>
          </w:tcPr>
          <w:p w14:paraId="33B6C652" w14:textId="77777777" w:rsidR="0033310C" w:rsidRPr="0033310C" w:rsidRDefault="0033310C" w:rsidP="0062601B">
            <w:pPr>
              <w:pStyle w:val="NoSpacing"/>
            </w:pPr>
            <w:r w:rsidRPr="0033310C">
              <w:t>−0.53</w:t>
            </w:r>
          </w:p>
        </w:tc>
        <w:tc>
          <w:tcPr>
            <w:tcW w:w="0" w:type="auto"/>
            <w:hideMark/>
          </w:tcPr>
          <w:p w14:paraId="05E30B43" w14:textId="77777777" w:rsidR="0033310C" w:rsidRPr="0033310C" w:rsidRDefault="0033310C" w:rsidP="0062601B">
            <w:pPr>
              <w:pStyle w:val="NoSpacing"/>
            </w:pPr>
            <w:r w:rsidRPr="0033310C">
              <w:t>0.81</w:t>
            </w:r>
          </w:p>
        </w:tc>
      </w:tr>
      <w:tr w:rsidR="0033310C" w:rsidRPr="0033310C" w14:paraId="4C25A3E1" w14:textId="77777777" w:rsidTr="0062601B">
        <w:tc>
          <w:tcPr>
            <w:tcW w:w="0" w:type="auto"/>
            <w:hideMark/>
          </w:tcPr>
          <w:p w14:paraId="47DF1894" w14:textId="77777777" w:rsidR="0033310C" w:rsidRPr="0033310C" w:rsidRDefault="0033310C" w:rsidP="0062601B">
            <w:pPr>
              <w:pStyle w:val="NoSpacing"/>
            </w:pPr>
            <w:bookmarkStart w:id="71" w:name="btblfn6" w:colFirst="1" w:colLast="5"/>
            <w:r w:rsidRPr="0033310C">
              <w:t>Population density</w:t>
            </w:r>
          </w:p>
        </w:tc>
        <w:tc>
          <w:tcPr>
            <w:tcW w:w="0" w:type="auto"/>
            <w:hideMark/>
          </w:tcPr>
          <w:p w14:paraId="54BEBA82" w14:textId="0BBB6AAA" w:rsidR="0033310C" w:rsidRPr="0033310C" w:rsidRDefault="0033310C" w:rsidP="0062601B">
            <w:pPr>
              <w:pStyle w:val="NoSpacing"/>
            </w:pPr>
            <w:r w:rsidRPr="0033310C">
              <w:t>0.00</w:t>
            </w:r>
            <w:r w:rsidRPr="0033310C">
              <w:rPr>
                <w:rFonts w:ascii="Tahoma" w:hAnsi="Tahoma" w:cs="Tahoma"/>
                <w:vertAlign w:val="superscript"/>
              </w:rPr>
              <w:t>⁎⁎</w:t>
            </w:r>
          </w:p>
        </w:tc>
        <w:tc>
          <w:tcPr>
            <w:tcW w:w="0" w:type="auto"/>
            <w:hideMark/>
          </w:tcPr>
          <w:p w14:paraId="3405F7C7" w14:textId="77777777" w:rsidR="0033310C" w:rsidRPr="0033310C" w:rsidRDefault="0033310C" w:rsidP="0062601B">
            <w:pPr>
              <w:pStyle w:val="NoSpacing"/>
            </w:pPr>
            <w:r w:rsidRPr="0033310C">
              <w:t>0.00</w:t>
            </w:r>
          </w:p>
        </w:tc>
        <w:tc>
          <w:tcPr>
            <w:tcW w:w="0" w:type="auto"/>
            <w:hideMark/>
          </w:tcPr>
          <w:p w14:paraId="63FF4C02" w14:textId="77777777" w:rsidR="0033310C" w:rsidRPr="0033310C" w:rsidRDefault="0033310C" w:rsidP="0062601B">
            <w:pPr>
              <w:pStyle w:val="NoSpacing"/>
            </w:pPr>
            <w:r w:rsidRPr="0033310C">
              <w:t>0.00</w:t>
            </w:r>
          </w:p>
        </w:tc>
        <w:tc>
          <w:tcPr>
            <w:tcW w:w="0" w:type="auto"/>
            <w:hideMark/>
          </w:tcPr>
          <w:p w14:paraId="5413C3D7" w14:textId="77777777" w:rsidR="0033310C" w:rsidRPr="0033310C" w:rsidRDefault="0033310C" w:rsidP="0062601B">
            <w:pPr>
              <w:pStyle w:val="NoSpacing"/>
            </w:pPr>
            <w:r w:rsidRPr="0033310C">
              <w:t>0.00</w:t>
            </w:r>
          </w:p>
        </w:tc>
        <w:tc>
          <w:tcPr>
            <w:tcW w:w="0" w:type="auto"/>
            <w:hideMark/>
          </w:tcPr>
          <w:p w14:paraId="154CE427" w14:textId="5F2808C7" w:rsidR="0033310C" w:rsidRPr="0033310C" w:rsidRDefault="0033310C" w:rsidP="0062601B">
            <w:pPr>
              <w:pStyle w:val="NoSpacing"/>
            </w:pPr>
            <w:r w:rsidRPr="0033310C">
              <w:t>0.00</w:t>
            </w:r>
            <w:r w:rsidRPr="0033310C">
              <w:rPr>
                <w:rFonts w:ascii="Tahoma" w:hAnsi="Tahoma" w:cs="Tahoma"/>
                <w:vertAlign w:val="superscript"/>
              </w:rPr>
              <w:t>⁎⁎</w:t>
            </w:r>
          </w:p>
        </w:tc>
        <w:tc>
          <w:tcPr>
            <w:tcW w:w="0" w:type="auto"/>
            <w:hideMark/>
          </w:tcPr>
          <w:p w14:paraId="41D965DD" w14:textId="77777777" w:rsidR="0033310C" w:rsidRPr="0033310C" w:rsidRDefault="0033310C" w:rsidP="0062601B">
            <w:pPr>
              <w:pStyle w:val="NoSpacing"/>
            </w:pPr>
            <w:r w:rsidRPr="0033310C">
              <w:t>0.00</w:t>
            </w:r>
          </w:p>
        </w:tc>
      </w:tr>
      <w:tr w:rsidR="0033310C" w:rsidRPr="0033310C" w14:paraId="1B264BDB" w14:textId="77777777" w:rsidTr="0062601B">
        <w:tc>
          <w:tcPr>
            <w:tcW w:w="0" w:type="auto"/>
            <w:hideMark/>
          </w:tcPr>
          <w:p w14:paraId="5B0CCB59" w14:textId="77777777" w:rsidR="0033310C" w:rsidRPr="0033310C" w:rsidRDefault="0033310C" w:rsidP="0062601B">
            <w:pPr>
              <w:pStyle w:val="NoSpacing"/>
            </w:pPr>
            <w:r w:rsidRPr="0033310C">
              <w:t>Proportion young</w:t>
            </w:r>
          </w:p>
        </w:tc>
        <w:tc>
          <w:tcPr>
            <w:tcW w:w="0" w:type="auto"/>
            <w:hideMark/>
          </w:tcPr>
          <w:p w14:paraId="14E202A8" w14:textId="77777777" w:rsidR="0033310C" w:rsidRPr="0033310C" w:rsidRDefault="0033310C" w:rsidP="0062601B">
            <w:pPr>
              <w:pStyle w:val="NoSpacing"/>
            </w:pPr>
            <w:r w:rsidRPr="0033310C">
              <w:t>−0.82</w:t>
            </w:r>
          </w:p>
        </w:tc>
        <w:tc>
          <w:tcPr>
            <w:tcW w:w="0" w:type="auto"/>
            <w:hideMark/>
          </w:tcPr>
          <w:p w14:paraId="3D8C9B08" w14:textId="77777777" w:rsidR="0033310C" w:rsidRPr="0033310C" w:rsidRDefault="0033310C" w:rsidP="0062601B">
            <w:pPr>
              <w:pStyle w:val="NoSpacing"/>
            </w:pPr>
            <w:r w:rsidRPr="0033310C">
              <w:t>1.15</w:t>
            </w:r>
          </w:p>
        </w:tc>
        <w:tc>
          <w:tcPr>
            <w:tcW w:w="0" w:type="auto"/>
            <w:hideMark/>
          </w:tcPr>
          <w:p w14:paraId="56245DFE" w14:textId="77777777" w:rsidR="0033310C" w:rsidRPr="0033310C" w:rsidRDefault="0033310C" w:rsidP="0062601B">
            <w:pPr>
              <w:pStyle w:val="NoSpacing"/>
            </w:pPr>
            <w:r w:rsidRPr="0033310C">
              <w:t>5.66</w:t>
            </w:r>
          </w:p>
        </w:tc>
        <w:tc>
          <w:tcPr>
            <w:tcW w:w="0" w:type="auto"/>
            <w:hideMark/>
          </w:tcPr>
          <w:p w14:paraId="4C36BC2E" w14:textId="77777777" w:rsidR="0033310C" w:rsidRPr="0033310C" w:rsidRDefault="0033310C" w:rsidP="0062601B">
            <w:pPr>
              <w:pStyle w:val="NoSpacing"/>
            </w:pPr>
            <w:r w:rsidRPr="0033310C">
              <w:t>10.07</w:t>
            </w:r>
          </w:p>
        </w:tc>
        <w:tc>
          <w:tcPr>
            <w:tcW w:w="0" w:type="auto"/>
            <w:hideMark/>
          </w:tcPr>
          <w:p w14:paraId="6ADE018E" w14:textId="77777777" w:rsidR="0033310C" w:rsidRPr="0033310C" w:rsidRDefault="0033310C" w:rsidP="0062601B">
            <w:pPr>
              <w:pStyle w:val="NoSpacing"/>
            </w:pPr>
            <w:r w:rsidRPr="0033310C">
              <w:t>−1.33</w:t>
            </w:r>
          </w:p>
        </w:tc>
        <w:tc>
          <w:tcPr>
            <w:tcW w:w="0" w:type="auto"/>
            <w:hideMark/>
          </w:tcPr>
          <w:p w14:paraId="61EEA469" w14:textId="77777777" w:rsidR="0033310C" w:rsidRPr="0033310C" w:rsidRDefault="0033310C" w:rsidP="0062601B">
            <w:pPr>
              <w:pStyle w:val="NoSpacing"/>
            </w:pPr>
            <w:r w:rsidRPr="0033310C">
              <w:t>1.27</w:t>
            </w:r>
          </w:p>
        </w:tc>
      </w:tr>
      <w:tr w:rsidR="0033310C" w:rsidRPr="0033310C" w14:paraId="5865D8BB" w14:textId="77777777" w:rsidTr="0062601B">
        <w:tc>
          <w:tcPr>
            <w:tcW w:w="0" w:type="auto"/>
            <w:hideMark/>
          </w:tcPr>
          <w:p w14:paraId="2738BFC4" w14:textId="77777777" w:rsidR="0033310C" w:rsidRPr="0033310C" w:rsidRDefault="0033310C" w:rsidP="0062601B">
            <w:pPr>
              <w:pStyle w:val="NoSpacing"/>
            </w:pPr>
            <w:r w:rsidRPr="0033310C">
              <w:t>Proportion African American</w:t>
            </w:r>
          </w:p>
        </w:tc>
        <w:tc>
          <w:tcPr>
            <w:tcW w:w="0" w:type="auto"/>
            <w:hideMark/>
          </w:tcPr>
          <w:p w14:paraId="47218650" w14:textId="438788C8" w:rsidR="0033310C" w:rsidRPr="0033310C" w:rsidRDefault="0033310C" w:rsidP="0062601B">
            <w:pPr>
              <w:pStyle w:val="NoSpacing"/>
            </w:pPr>
            <w:r w:rsidRPr="0033310C">
              <w:t>2.20</w:t>
            </w:r>
            <w:r w:rsidRPr="0033310C">
              <w:rPr>
                <w:rFonts w:ascii="Tahoma" w:hAnsi="Tahoma" w:cs="Tahoma"/>
                <w:vertAlign w:val="superscript"/>
              </w:rPr>
              <w:t>⁎⁎</w:t>
            </w:r>
          </w:p>
        </w:tc>
        <w:tc>
          <w:tcPr>
            <w:tcW w:w="0" w:type="auto"/>
            <w:hideMark/>
          </w:tcPr>
          <w:p w14:paraId="6C2A892C" w14:textId="77777777" w:rsidR="0033310C" w:rsidRPr="0033310C" w:rsidRDefault="0033310C" w:rsidP="0062601B">
            <w:pPr>
              <w:pStyle w:val="NoSpacing"/>
            </w:pPr>
            <w:r w:rsidRPr="0033310C">
              <w:t>0.46</w:t>
            </w:r>
          </w:p>
        </w:tc>
        <w:tc>
          <w:tcPr>
            <w:tcW w:w="0" w:type="auto"/>
            <w:hideMark/>
          </w:tcPr>
          <w:p w14:paraId="36DD3C38" w14:textId="77777777" w:rsidR="0033310C" w:rsidRPr="0033310C" w:rsidRDefault="0033310C" w:rsidP="0062601B">
            <w:pPr>
              <w:pStyle w:val="NoSpacing"/>
            </w:pPr>
            <w:r w:rsidRPr="0033310C">
              <w:t>−1.40</w:t>
            </w:r>
          </w:p>
        </w:tc>
        <w:tc>
          <w:tcPr>
            <w:tcW w:w="0" w:type="auto"/>
            <w:hideMark/>
          </w:tcPr>
          <w:p w14:paraId="605C0516" w14:textId="77777777" w:rsidR="0033310C" w:rsidRPr="0033310C" w:rsidRDefault="0033310C" w:rsidP="0062601B">
            <w:pPr>
              <w:pStyle w:val="NoSpacing"/>
            </w:pPr>
            <w:r w:rsidRPr="0033310C">
              <w:t>7.16</w:t>
            </w:r>
          </w:p>
        </w:tc>
        <w:tc>
          <w:tcPr>
            <w:tcW w:w="0" w:type="auto"/>
            <w:hideMark/>
          </w:tcPr>
          <w:p w14:paraId="453C078A" w14:textId="03C6B4DE" w:rsidR="0033310C" w:rsidRPr="0033310C" w:rsidRDefault="0033310C" w:rsidP="0062601B">
            <w:pPr>
              <w:pStyle w:val="NoSpacing"/>
            </w:pPr>
            <w:r w:rsidRPr="0033310C">
              <w:t>1.84</w:t>
            </w:r>
            <w:r w:rsidRPr="0033310C">
              <w:rPr>
                <w:rFonts w:ascii="Tahoma" w:hAnsi="Tahoma" w:cs="Tahoma"/>
                <w:vertAlign w:val="superscript"/>
              </w:rPr>
              <w:t>⁎⁎</w:t>
            </w:r>
          </w:p>
        </w:tc>
        <w:tc>
          <w:tcPr>
            <w:tcW w:w="0" w:type="auto"/>
            <w:hideMark/>
          </w:tcPr>
          <w:p w14:paraId="2AFA1E36" w14:textId="77777777" w:rsidR="0033310C" w:rsidRPr="0033310C" w:rsidRDefault="0033310C" w:rsidP="0062601B">
            <w:pPr>
              <w:pStyle w:val="NoSpacing"/>
            </w:pPr>
            <w:r w:rsidRPr="0033310C">
              <w:t>0.54</w:t>
            </w:r>
          </w:p>
        </w:tc>
      </w:tr>
      <w:tr w:rsidR="0033310C" w:rsidRPr="0033310C" w14:paraId="24BFFF50" w14:textId="77777777" w:rsidTr="0062601B">
        <w:tc>
          <w:tcPr>
            <w:tcW w:w="0" w:type="auto"/>
            <w:hideMark/>
          </w:tcPr>
          <w:p w14:paraId="563852FA" w14:textId="77777777" w:rsidR="0033310C" w:rsidRPr="0033310C" w:rsidRDefault="0033310C" w:rsidP="0062601B">
            <w:pPr>
              <w:pStyle w:val="NoSpacing"/>
            </w:pPr>
            <w:bookmarkStart w:id="72" w:name="btblfn5" w:colFirst="1" w:colLast="1"/>
            <w:r w:rsidRPr="0033310C">
              <w:t>Proportion single parent households</w:t>
            </w:r>
          </w:p>
        </w:tc>
        <w:tc>
          <w:tcPr>
            <w:tcW w:w="0" w:type="auto"/>
            <w:hideMark/>
          </w:tcPr>
          <w:p w14:paraId="49D420E1" w14:textId="54D8FF04" w:rsidR="0033310C" w:rsidRPr="0033310C" w:rsidRDefault="0033310C" w:rsidP="0062601B">
            <w:pPr>
              <w:pStyle w:val="NoSpacing"/>
            </w:pPr>
            <w:r w:rsidRPr="0033310C">
              <w:t>2.91</w:t>
            </w:r>
            <w:r w:rsidRPr="0033310C">
              <w:rPr>
                <w:rFonts w:ascii="Tahoma" w:hAnsi="Tahoma" w:cs="Tahoma"/>
                <w:vertAlign w:val="superscript"/>
              </w:rPr>
              <w:t>⁎</w:t>
            </w:r>
          </w:p>
        </w:tc>
        <w:tc>
          <w:tcPr>
            <w:tcW w:w="0" w:type="auto"/>
            <w:hideMark/>
          </w:tcPr>
          <w:p w14:paraId="69FE2C55" w14:textId="77777777" w:rsidR="0033310C" w:rsidRPr="0033310C" w:rsidRDefault="0033310C" w:rsidP="0062601B">
            <w:pPr>
              <w:pStyle w:val="NoSpacing"/>
            </w:pPr>
            <w:r w:rsidRPr="0033310C">
              <w:t>1.36</w:t>
            </w:r>
          </w:p>
        </w:tc>
        <w:tc>
          <w:tcPr>
            <w:tcW w:w="0" w:type="auto"/>
            <w:hideMark/>
          </w:tcPr>
          <w:p w14:paraId="56F7957D" w14:textId="77777777" w:rsidR="0033310C" w:rsidRPr="0033310C" w:rsidRDefault="0033310C" w:rsidP="0062601B">
            <w:pPr>
              <w:pStyle w:val="NoSpacing"/>
            </w:pPr>
            <w:r w:rsidRPr="0033310C">
              <w:t>0.17</w:t>
            </w:r>
          </w:p>
        </w:tc>
        <w:tc>
          <w:tcPr>
            <w:tcW w:w="0" w:type="auto"/>
            <w:hideMark/>
          </w:tcPr>
          <w:p w14:paraId="732EC9BA" w14:textId="77777777" w:rsidR="0033310C" w:rsidRPr="0033310C" w:rsidRDefault="0033310C" w:rsidP="0062601B">
            <w:pPr>
              <w:pStyle w:val="NoSpacing"/>
            </w:pPr>
            <w:r w:rsidRPr="0033310C">
              <w:t>4.84</w:t>
            </w:r>
          </w:p>
        </w:tc>
        <w:tc>
          <w:tcPr>
            <w:tcW w:w="0" w:type="auto"/>
            <w:hideMark/>
          </w:tcPr>
          <w:p w14:paraId="64FDE54C" w14:textId="77777777" w:rsidR="0033310C" w:rsidRPr="0033310C" w:rsidRDefault="0033310C" w:rsidP="0062601B">
            <w:pPr>
              <w:pStyle w:val="NoSpacing"/>
            </w:pPr>
            <w:r w:rsidRPr="0033310C">
              <w:t>2.96</w:t>
            </w:r>
          </w:p>
        </w:tc>
        <w:tc>
          <w:tcPr>
            <w:tcW w:w="0" w:type="auto"/>
            <w:hideMark/>
          </w:tcPr>
          <w:p w14:paraId="7B5270D8" w14:textId="77777777" w:rsidR="0033310C" w:rsidRPr="0033310C" w:rsidRDefault="0033310C" w:rsidP="0062601B">
            <w:pPr>
              <w:pStyle w:val="NoSpacing"/>
            </w:pPr>
            <w:r w:rsidRPr="0033310C">
              <w:t>1.59</w:t>
            </w:r>
          </w:p>
        </w:tc>
      </w:tr>
      <w:tr w:rsidR="0033310C" w:rsidRPr="0033310C" w14:paraId="33763847" w14:textId="77777777" w:rsidTr="0062601B">
        <w:tc>
          <w:tcPr>
            <w:tcW w:w="0" w:type="auto"/>
            <w:hideMark/>
          </w:tcPr>
          <w:p w14:paraId="74B268D1" w14:textId="77777777" w:rsidR="0033310C" w:rsidRPr="0033310C" w:rsidRDefault="0033310C" w:rsidP="0062601B">
            <w:pPr>
              <w:pStyle w:val="NoSpacing"/>
            </w:pPr>
            <w:r w:rsidRPr="0033310C">
              <w:t>Proportion renter occupied housing units</w:t>
            </w:r>
          </w:p>
        </w:tc>
        <w:tc>
          <w:tcPr>
            <w:tcW w:w="0" w:type="auto"/>
            <w:hideMark/>
          </w:tcPr>
          <w:p w14:paraId="7B6C0213" w14:textId="77777777" w:rsidR="0033310C" w:rsidRPr="0033310C" w:rsidRDefault="0033310C" w:rsidP="0062601B">
            <w:pPr>
              <w:pStyle w:val="NoSpacing"/>
            </w:pPr>
            <w:r w:rsidRPr="0033310C">
              <w:t>0.18</w:t>
            </w:r>
          </w:p>
        </w:tc>
        <w:tc>
          <w:tcPr>
            <w:tcW w:w="0" w:type="auto"/>
            <w:hideMark/>
          </w:tcPr>
          <w:p w14:paraId="79987F52" w14:textId="77777777" w:rsidR="0033310C" w:rsidRPr="0033310C" w:rsidRDefault="0033310C" w:rsidP="0062601B">
            <w:pPr>
              <w:pStyle w:val="NoSpacing"/>
            </w:pPr>
            <w:r w:rsidRPr="0033310C">
              <w:t>0.72</w:t>
            </w:r>
          </w:p>
        </w:tc>
        <w:tc>
          <w:tcPr>
            <w:tcW w:w="0" w:type="auto"/>
            <w:hideMark/>
          </w:tcPr>
          <w:p w14:paraId="6A5966B2" w14:textId="77777777" w:rsidR="0033310C" w:rsidRPr="0033310C" w:rsidRDefault="0033310C" w:rsidP="0062601B">
            <w:pPr>
              <w:pStyle w:val="NoSpacing"/>
            </w:pPr>
            <w:r w:rsidRPr="0033310C">
              <w:t>−0.02</w:t>
            </w:r>
          </w:p>
        </w:tc>
        <w:tc>
          <w:tcPr>
            <w:tcW w:w="0" w:type="auto"/>
            <w:hideMark/>
          </w:tcPr>
          <w:p w14:paraId="02C5A8E3" w14:textId="77777777" w:rsidR="0033310C" w:rsidRPr="0033310C" w:rsidRDefault="0033310C" w:rsidP="0062601B">
            <w:pPr>
              <w:pStyle w:val="NoSpacing"/>
            </w:pPr>
            <w:r w:rsidRPr="0033310C">
              <w:t>1.38</w:t>
            </w:r>
          </w:p>
        </w:tc>
        <w:tc>
          <w:tcPr>
            <w:tcW w:w="0" w:type="auto"/>
            <w:hideMark/>
          </w:tcPr>
          <w:p w14:paraId="73ECC75B" w14:textId="77777777" w:rsidR="0033310C" w:rsidRPr="0033310C" w:rsidRDefault="0033310C" w:rsidP="0062601B">
            <w:pPr>
              <w:pStyle w:val="NoSpacing"/>
            </w:pPr>
            <w:r w:rsidRPr="0033310C">
              <w:t>0.63</w:t>
            </w:r>
          </w:p>
        </w:tc>
        <w:tc>
          <w:tcPr>
            <w:tcW w:w="0" w:type="auto"/>
            <w:hideMark/>
          </w:tcPr>
          <w:p w14:paraId="5DA8E56C" w14:textId="77777777" w:rsidR="0033310C" w:rsidRPr="0033310C" w:rsidRDefault="0033310C" w:rsidP="0062601B">
            <w:pPr>
              <w:pStyle w:val="NoSpacing"/>
            </w:pPr>
            <w:r w:rsidRPr="0033310C">
              <w:t>0.86</w:t>
            </w:r>
          </w:p>
        </w:tc>
      </w:tr>
      <w:tr w:rsidR="0033310C" w:rsidRPr="0033310C" w14:paraId="414AC73A" w14:textId="77777777" w:rsidTr="0062601B">
        <w:tc>
          <w:tcPr>
            <w:tcW w:w="0" w:type="auto"/>
            <w:hideMark/>
          </w:tcPr>
          <w:p w14:paraId="5959BFAD" w14:textId="77777777" w:rsidR="0033310C" w:rsidRPr="0033310C" w:rsidRDefault="0033310C" w:rsidP="0062601B">
            <w:pPr>
              <w:pStyle w:val="NoSpacing"/>
            </w:pPr>
            <w:r w:rsidRPr="0033310C">
              <w:t>Proportion living in poverty</w:t>
            </w:r>
          </w:p>
        </w:tc>
        <w:tc>
          <w:tcPr>
            <w:tcW w:w="0" w:type="auto"/>
            <w:hideMark/>
          </w:tcPr>
          <w:p w14:paraId="631B3F6A" w14:textId="32969183" w:rsidR="0033310C" w:rsidRPr="0033310C" w:rsidRDefault="0033310C" w:rsidP="0062601B">
            <w:pPr>
              <w:pStyle w:val="NoSpacing"/>
            </w:pPr>
            <w:r w:rsidRPr="0033310C">
              <w:t>2.10</w:t>
            </w:r>
            <w:r w:rsidRPr="0033310C">
              <w:rPr>
                <w:rFonts w:ascii="Tahoma" w:hAnsi="Tahoma" w:cs="Tahoma"/>
                <w:vertAlign w:val="superscript"/>
              </w:rPr>
              <w:t>⁎</w:t>
            </w:r>
          </w:p>
        </w:tc>
        <w:tc>
          <w:tcPr>
            <w:tcW w:w="0" w:type="auto"/>
            <w:hideMark/>
          </w:tcPr>
          <w:p w14:paraId="275CB11B" w14:textId="77777777" w:rsidR="0033310C" w:rsidRPr="0033310C" w:rsidRDefault="0033310C" w:rsidP="0062601B">
            <w:pPr>
              <w:pStyle w:val="NoSpacing"/>
            </w:pPr>
            <w:r w:rsidRPr="0033310C">
              <w:t>1.03</w:t>
            </w:r>
          </w:p>
        </w:tc>
        <w:tc>
          <w:tcPr>
            <w:tcW w:w="0" w:type="auto"/>
            <w:hideMark/>
          </w:tcPr>
          <w:p w14:paraId="2A032C5B" w14:textId="77777777" w:rsidR="0033310C" w:rsidRPr="0033310C" w:rsidRDefault="0033310C" w:rsidP="0062601B">
            <w:pPr>
              <w:pStyle w:val="NoSpacing"/>
            </w:pPr>
            <w:r w:rsidRPr="0033310C">
              <w:t>−0.42</w:t>
            </w:r>
          </w:p>
        </w:tc>
        <w:tc>
          <w:tcPr>
            <w:tcW w:w="0" w:type="auto"/>
            <w:hideMark/>
          </w:tcPr>
          <w:p w14:paraId="56C966D7" w14:textId="77777777" w:rsidR="0033310C" w:rsidRPr="0033310C" w:rsidRDefault="0033310C" w:rsidP="0062601B">
            <w:pPr>
              <w:pStyle w:val="NoSpacing"/>
            </w:pPr>
            <w:r w:rsidRPr="0033310C">
              <w:t>2.97</w:t>
            </w:r>
          </w:p>
        </w:tc>
        <w:tc>
          <w:tcPr>
            <w:tcW w:w="0" w:type="auto"/>
            <w:hideMark/>
          </w:tcPr>
          <w:p w14:paraId="077B2066" w14:textId="77777777" w:rsidR="0033310C" w:rsidRPr="0033310C" w:rsidRDefault="0033310C" w:rsidP="0062601B">
            <w:pPr>
              <w:pStyle w:val="NoSpacing"/>
            </w:pPr>
            <w:r w:rsidRPr="0033310C">
              <w:t>2.10</w:t>
            </w:r>
          </w:p>
        </w:tc>
        <w:tc>
          <w:tcPr>
            <w:tcW w:w="0" w:type="auto"/>
            <w:hideMark/>
          </w:tcPr>
          <w:p w14:paraId="199697D0" w14:textId="77777777" w:rsidR="0033310C" w:rsidRPr="0033310C" w:rsidRDefault="0033310C" w:rsidP="0062601B">
            <w:pPr>
              <w:pStyle w:val="NoSpacing"/>
            </w:pPr>
            <w:r w:rsidRPr="0033310C">
              <w:t>1.11</w:t>
            </w:r>
          </w:p>
        </w:tc>
      </w:tr>
      <w:tr w:rsidR="0033310C" w:rsidRPr="0033310C" w14:paraId="76C07409" w14:textId="77777777" w:rsidTr="0062601B">
        <w:tc>
          <w:tcPr>
            <w:tcW w:w="0" w:type="auto"/>
            <w:hideMark/>
          </w:tcPr>
          <w:p w14:paraId="6CC9CC8A" w14:textId="77777777" w:rsidR="0033310C" w:rsidRPr="0033310C" w:rsidRDefault="0033310C" w:rsidP="0062601B">
            <w:pPr>
              <w:pStyle w:val="NoSpacing"/>
            </w:pPr>
            <w:r w:rsidRPr="0033310C">
              <w:t>Distance from city center</w:t>
            </w:r>
          </w:p>
        </w:tc>
        <w:tc>
          <w:tcPr>
            <w:tcW w:w="0" w:type="auto"/>
            <w:hideMark/>
          </w:tcPr>
          <w:p w14:paraId="14B8CD7C" w14:textId="77777777" w:rsidR="0033310C" w:rsidRPr="0033310C" w:rsidRDefault="0033310C" w:rsidP="0062601B">
            <w:pPr>
              <w:pStyle w:val="NoSpacing"/>
            </w:pPr>
            <w:r w:rsidRPr="0033310C">
              <w:t>−0.10</w:t>
            </w:r>
          </w:p>
        </w:tc>
        <w:tc>
          <w:tcPr>
            <w:tcW w:w="0" w:type="auto"/>
            <w:hideMark/>
          </w:tcPr>
          <w:p w14:paraId="10AFD18F" w14:textId="77777777" w:rsidR="0033310C" w:rsidRPr="0033310C" w:rsidRDefault="0033310C" w:rsidP="0062601B">
            <w:pPr>
              <w:pStyle w:val="NoSpacing"/>
            </w:pPr>
            <w:r w:rsidRPr="0033310C">
              <w:t>0.06</w:t>
            </w:r>
          </w:p>
        </w:tc>
        <w:tc>
          <w:tcPr>
            <w:tcW w:w="0" w:type="auto"/>
            <w:hideMark/>
          </w:tcPr>
          <w:p w14:paraId="440727AD" w14:textId="77777777" w:rsidR="0033310C" w:rsidRPr="0033310C" w:rsidRDefault="0033310C" w:rsidP="0062601B">
            <w:pPr>
              <w:pStyle w:val="NoSpacing"/>
            </w:pPr>
            <w:r w:rsidRPr="0033310C">
              <w:t>0.06</w:t>
            </w:r>
          </w:p>
        </w:tc>
        <w:tc>
          <w:tcPr>
            <w:tcW w:w="0" w:type="auto"/>
            <w:hideMark/>
          </w:tcPr>
          <w:p w14:paraId="6189F1AF" w14:textId="77777777" w:rsidR="0033310C" w:rsidRPr="0033310C" w:rsidRDefault="0033310C" w:rsidP="0062601B">
            <w:pPr>
              <w:pStyle w:val="NoSpacing"/>
            </w:pPr>
            <w:r w:rsidRPr="0033310C">
              <w:t>0.18</w:t>
            </w:r>
          </w:p>
        </w:tc>
        <w:tc>
          <w:tcPr>
            <w:tcW w:w="0" w:type="auto"/>
            <w:hideMark/>
          </w:tcPr>
          <w:p w14:paraId="0409BE9D" w14:textId="77777777" w:rsidR="0033310C" w:rsidRPr="0033310C" w:rsidRDefault="0033310C" w:rsidP="0062601B">
            <w:pPr>
              <w:pStyle w:val="NoSpacing"/>
            </w:pPr>
            <w:r w:rsidRPr="0033310C">
              <w:t>−0.07</w:t>
            </w:r>
          </w:p>
        </w:tc>
        <w:tc>
          <w:tcPr>
            <w:tcW w:w="0" w:type="auto"/>
            <w:hideMark/>
          </w:tcPr>
          <w:p w14:paraId="04E24011" w14:textId="77777777" w:rsidR="0033310C" w:rsidRPr="0033310C" w:rsidRDefault="0033310C" w:rsidP="0062601B">
            <w:pPr>
              <w:pStyle w:val="NoSpacing"/>
            </w:pPr>
            <w:r w:rsidRPr="0033310C">
              <w:t>0.08</w:t>
            </w:r>
          </w:p>
        </w:tc>
      </w:tr>
      <w:tr w:rsidR="0033310C" w:rsidRPr="0033310C" w14:paraId="6AF657C2" w14:textId="77777777" w:rsidTr="0062601B">
        <w:tc>
          <w:tcPr>
            <w:tcW w:w="0" w:type="auto"/>
            <w:hideMark/>
          </w:tcPr>
          <w:p w14:paraId="50306F62" w14:textId="77777777" w:rsidR="0033310C" w:rsidRPr="0033310C" w:rsidRDefault="0033310C" w:rsidP="0062601B">
            <w:pPr>
              <w:pStyle w:val="NoSpacing"/>
            </w:pPr>
            <w:r w:rsidRPr="0033310C">
              <w:rPr>
                <w:i/>
                <w:iCs/>
              </w:rPr>
              <w:t>Rho</w:t>
            </w:r>
            <w:r w:rsidRPr="0033310C">
              <w:t> sqrt robbery density</w:t>
            </w:r>
          </w:p>
        </w:tc>
        <w:tc>
          <w:tcPr>
            <w:tcW w:w="0" w:type="auto"/>
            <w:hideMark/>
          </w:tcPr>
          <w:p w14:paraId="6D2DF504" w14:textId="10FABA60" w:rsidR="0033310C" w:rsidRPr="0033310C" w:rsidRDefault="0033310C" w:rsidP="0062601B">
            <w:pPr>
              <w:pStyle w:val="NoSpacing"/>
            </w:pPr>
            <w:r w:rsidRPr="0033310C">
              <w:t>0.39</w:t>
            </w:r>
            <w:r w:rsidRPr="0033310C">
              <w:rPr>
                <w:rFonts w:ascii="Tahoma" w:hAnsi="Tahoma" w:cs="Tahoma"/>
                <w:vertAlign w:val="superscript"/>
              </w:rPr>
              <w:t>⁎⁎</w:t>
            </w:r>
          </w:p>
        </w:tc>
        <w:tc>
          <w:tcPr>
            <w:tcW w:w="0" w:type="auto"/>
            <w:hideMark/>
          </w:tcPr>
          <w:p w14:paraId="171D824E" w14:textId="77777777" w:rsidR="0033310C" w:rsidRPr="0033310C" w:rsidRDefault="0033310C" w:rsidP="0062601B">
            <w:pPr>
              <w:pStyle w:val="NoSpacing"/>
            </w:pPr>
            <w:r w:rsidRPr="0033310C">
              <w:t>0.05</w:t>
            </w:r>
          </w:p>
        </w:tc>
        <w:tc>
          <w:tcPr>
            <w:tcW w:w="0" w:type="auto"/>
            <w:hideMark/>
          </w:tcPr>
          <w:p w14:paraId="621CBAE2" w14:textId="69FDB83E" w:rsidR="0033310C" w:rsidRPr="0033310C" w:rsidRDefault="0033310C" w:rsidP="0062601B">
            <w:pPr>
              <w:pStyle w:val="NoSpacing"/>
            </w:pPr>
            <w:r w:rsidRPr="0033310C">
              <w:t>0.76</w:t>
            </w:r>
            <w:r w:rsidRPr="0033310C">
              <w:rPr>
                <w:rFonts w:ascii="Tahoma" w:hAnsi="Tahoma" w:cs="Tahoma"/>
                <w:vertAlign w:val="superscript"/>
              </w:rPr>
              <w:t>⁎</w:t>
            </w:r>
          </w:p>
        </w:tc>
        <w:tc>
          <w:tcPr>
            <w:tcW w:w="0" w:type="auto"/>
            <w:hideMark/>
          </w:tcPr>
          <w:p w14:paraId="033A540F" w14:textId="77777777" w:rsidR="0033310C" w:rsidRPr="0033310C" w:rsidRDefault="0033310C" w:rsidP="0062601B">
            <w:pPr>
              <w:pStyle w:val="NoSpacing"/>
            </w:pPr>
            <w:r w:rsidRPr="0033310C">
              <w:t>0.30</w:t>
            </w:r>
          </w:p>
        </w:tc>
        <w:tc>
          <w:tcPr>
            <w:tcW w:w="0" w:type="auto"/>
            <w:hideMark/>
          </w:tcPr>
          <w:p w14:paraId="6FB782C3" w14:textId="5ADE1373" w:rsidR="0033310C" w:rsidRPr="0033310C" w:rsidRDefault="0033310C" w:rsidP="0062601B">
            <w:pPr>
              <w:pStyle w:val="NoSpacing"/>
            </w:pPr>
            <w:r w:rsidRPr="0033310C">
              <w:t>0.44</w:t>
            </w:r>
            <w:r w:rsidRPr="0033310C">
              <w:rPr>
                <w:rFonts w:ascii="Tahoma" w:hAnsi="Tahoma" w:cs="Tahoma"/>
                <w:vertAlign w:val="superscript"/>
              </w:rPr>
              <w:t>⁎⁎</w:t>
            </w:r>
          </w:p>
        </w:tc>
        <w:tc>
          <w:tcPr>
            <w:tcW w:w="0" w:type="auto"/>
            <w:hideMark/>
          </w:tcPr>
          <w:p w14:paraId="6E205F56" w14:textId="77777777" w:rsidR="0033310C" w:rsidRPr="0033310C" w:rsidRDefault="0033310C" w:rsidP="0062601B">
            <w:pPr>
              <w:pStyle w:val="NoSpacing"/>
            </w:pPr>
            <w:r w:rsidRPr="0033310C">
              <w:t>0.12</w:t>
            </w:r>
          </w:p>
        </w:tc>
      </w:tr>
      <w:tr w:rsidR="0033310C" w:rsidRPr="0033310C" w14:paraId="31598D90" w14:textId="77777777" w:rsidTr="0062601B">
        <w:tc>
          <w:tcPr>
            <w:tcW w:w="0" w:type="auto"/>
            <w:hideMark/>
          </w:tcPr>
          <w:p w14:paraId="07918E83" w14:textId="77777777" w:rsidR="0033310C" w:rsidRPr="0033310C" w:rsidRDefault="0033310C" w:rsidP="0062601B">
            <w:pPr>
              <w:pStyle w:val="NoSpacing"/>
            </w:pPr>
            <w:r w:rsidRPr="0033310C">
              <w:t xml:space="preserve">Sqrt </w:t>
            </w:r>
            <w:proofErr w:type="gramStart"/>
            <w:r w:rsidRPr="0033310C">
              <w:t>on-premise</w:t>
            </w:r>
            <w:proofErr w:type="gramEnd"/>
            <w:r w:rsidRPr="0033310C">
              <w:t xml:space="preserve"> alcohol outlet density</w:t>
            </w:r>
          </w:p>
        </w:tc>
        <w:tc>
          <w:tcPr>
            <w:tcW w:w="0" w:type="auto"/>
            <w:hideMark/>
          </w:tcPr>
          <w:p w14:paraId="7614F3C1" w14:textId="4E98F094" w:rsidR="0033310C" w:rsidRPr="0033310C" w:rsidRDefault="0033310C" w:rsidP="0062601B">
            <w:pPr>
              <w:pStyle w:val="NoSpacing"/>
            </w:pPr>
            <w:r w:rsidRPr="0033310C">
              <w:t>0.08</w:t>
            </w:r>
            <w:r w:rsidRPr="0033310C">
              <w:rPr>
                <w:rFonts w:ascii="Tahoma" w:hAnsi="Tahoma" w:cs="Tahoma"/>
                <w:vertAlign w:val="superscript"/>
              </w:rPr>
              <w:t>⁎</w:t>
            </w:r>
          </w:p>
        </w:tc>
        <w:tc>
          <w:tcPr>
            <w:tcW w:w="0" w:type="auto"/>
            <w:hideMark/>
          </w:tcPr>
          <w:p w14:paraId="1CD82DD9" w14:textId="77777777" w:rsidR="0033310C" w:rsidRPr="0033310C" w:rsidRDefault="0033310C" w:rsidP="0062601B">
            <w:pPr>
              <w:pStyle w:val="NoSpacing"/>
            </w:pPr>
            <w:r w:rsidRPr="0033310C">
              <w:t>0.04</w:t>
            </w:r>
          </w:p>
        </w:tc>
        <w:tc>
          <w:tcPr>
            <w:tcW w:w="0" w:type="auto"/>
            <w:hideMark/>
          </w:tcPr>
          <w:p w14:paraId="2C63A5B1" w14:textId="77777777" w:rsidR="0033310C" w:rsidRPr="0033310C" w:rsidRDefault="0033310C" w:rsidP="0062601B">
            <w:pPr>
              <w:pStyle w:val="NoSpacing"/>
            </w:pPr>
            <w:r w:rsidRPr="0033310C">
              <w:t>0.07</w:t>
            </w:r>
          </w:p>
        </w:tc>
        <w:tc>
          <w:tcPr>
            <w:tcW w:w="0" w:type="auto"/>
            <w:hideMark/>
          </w:tcPr>
          <w:p w14:paraId="05D83233" w14:textId="77777777" w:rsidR="0033310C" w:rsidRPr="0033310C" w:rsidRDefault="0033310C" w:rsidP="0062601B">
            <w:pPr>
              <w:pStyle w:val="NoSpacing"/>
            </w:pPr>
            <w:r w:rsidRPr="0033310C">
              <w:t>0.08</w:t>
            </w:r>
          </w:p>
        </w:tc>
        <w:tc>
          <w:tcPr>
            <w:tcW w:w="0" w:type="auto"/>
            <w:hideMark/>
          </w:tcPr>
          <w:p w14:paraId="520A7929" w14:textId="77777777" w:rsidR="0033310C" w:rsidRPr="0033310C" w:rsidRDefault="0033310C" w:rsidP="0062601B">
            <w:pPr>
              <w:pStyle w:val="NoSpacing"/>
            </w:pPr>
            <w:r w:rsidRPr="0033310C">
              <w:t>0.08</w:t>
            </w:r>
          </w:p>
        </w:tc>
        <w:tc>
          <w:tcPr>
            <w:tcW w:w="0" w:type="auto"/>
            <w:hideMark/>
          </w:tcPr>
          <w:p w14:paraId="76D7014B" w14:textId="77777777" w:rsidR="0033310C" w:rsidRPr="0033310C" w:rsidRDefault="0033310C" w:rsidP="0062601B">
            <w:pPr>
              <w:pStyle w:val="NoSpacing"/>
            </w:pPr>
            <w:r w:rsidRPr="0033310C">
              <w:t>0.04</w:t>
            </w:r>
          </w:p>
        </w:tc>
      </w:tr>
      <w:bookmarkEnd w:id="72"/>
      <w:tr w:rsidR="0033310C" w:rsidRPr="0033310C" w14:paraId="5EA2CC6C" w14:textId="77777777" w:rsidTr="0062601B">
        <w:tc>
          <w:tcPr>
            <w:tcW w:w="0" w:type="auto"/>
            <w:hideMark/>
          </w:tcPr>
          <w:p w14:paraId="35609EDD" w14:textId="77777777" w:rsidR="0033310C" w:rsidRPr="0033310C" w:rsidRDefault="0033310C" w:rsidP="0062601B">
            <w:pPr>
              <w:pStyle w:val="NoSpacing"/>
            </w:pPr>
            <w:r w:rsidRPr="0033310C">
              <w:rPr>
                <w:i/>
                <w:iCs/>
              </w:rPr>
              <w:t>R</w:t>
            </w:r>
            <w:r w:rsidRPr="0033310C">
              <w:t>-squared</w:t>
            </w:r>
          </w:p>
        </w:tc>
        <w:tc>
          <w:tcPr>
            <w:tcW w:w="0" w:type="auto"/>
            <w:hideMark/>
          </w:tcPr>
          <w:p w14:paraId="56BB4852" w14:textId="77777777" w:rsidR="0033310C" w:rsidRPr="0033310C" w:rsidRDefault="0033310C" w:rsidP="0062601B">
            <w:pPr>
              <w:pStyle w:val="NoSpacing"/>
            </w:pPr>
            <w:r w:rsidRPr="0033310C">
              <w:t>58.41</w:t>
            </w:r>
          </w:p>
        </w:tc>
        <w:tc>
          <w:tcPr>
            <w:tcW w:w="0" w:type="auto"/>
            <w:hideMark/>
          </w:tcPr>
          <w:p w14:paraId="69D248EE" w14:textId="77777777" w:rsidR="0033310C" w:rsidRPr="0033310C" w:rsidRDefault="0033310C" w:rsidP="0062601B">
            <w:pPr>
              <w:pStyle w:val="NoSpacing"/>
            </w:pPr>
          </w:p>
        </w:tc>
        <w:tc>
          <w:tcPr>
            <w:tcW w:w="0" w:type="auto"/>
            <w:hideMark/>
          </w:tcPr>
          <w:p w14:paraId="4344B5D1" w14:textId="77777777" w:rsidR="0033310C" w:rsidRPr="0033310C" w:rsidRDefault="0033310C" w:rsidP="0062601B">
            <w:pPr>
              <w:pStyle w:val="NoSpacing"/>
            </w:pPr>
            <w:r w:rsidRPr="0033310C">
              <w:t>–</w:t>
            </w:r>
          </w:p>
        </w:tc>
        <w:tc>
          <w:tcPr>
            <w:tcW w:w="0" w:type="auto"/>
            <w:hideMark/>
          </w:tcPr>
          <w:p w14:paraId="3DFFE738" w14:textId="77777777" w:rsidR="0033310C" w:rsidRPr="0033310C" w:rsidRDefault="0033310C" w:rsidP="0062601B">
            <w:pPr>
              <w:pStyle w:val="NoSpacing"/>
            </w:pPr>
          </w:p>
        </w:tc>
        <w:tc>
          <w:tcPr>
            <w:tcW w:w="0" w:type="auto"/>
            <w:hideMark/>
          </w:tcPr>
          <w:p w14:paraId="1D563673" w14:textId="77777777" w:rsidR="0033310C" w:rsidRPr="0033310C" w:rsidRDefault="0033310C" w:rsidP="0062601B">
            <w:pPr>
              <w:pStyle w:val="NoSpacing"/>
            </w:pPr>
            <w:r w:rsidRPr="0033310C">
              <w:t>–</w:t>
            </w:r>
          </w:p>
        </w:tc>
        <w:tc>
          <w:tcPr>
            <w:tcW w:w="0" w:type="auto"/>
            <w:hideMark/>
          </w:tcPr>
          <w:p w14:paraId="0F738ADC" w14:textId="77777777" w:rsidR="0033310C" w:rsidRPr="0033310C" w:rsidRDefault="0033310C" w:rsidP="0062601B">
            <w:pPr>
              <w:pStyle w:val="NoSpacing"/>
            </w:pPr>
          </w:p>
        </w:tc>
      </w:tr>
      <w:tr w:rsidR="0033310C" w:rsidRPr="0033310C" w14:paraId="38A8015A" w14:textId="77777777" w:rsidTr="0062601B">
        <w:tc>
          <w:tcPr>
            <w:tcW w:w="0" w:type="auto"/>
            <w:hideMark/>
          </w:tcPr>
          <w:p w14:paraId="26893569" w14:textId="77777777" w:rsidR="0033310C" w:rsidRPr="0033310C" w:rsidRDefault="0033310C" w:rsidP="0062601B">
            <w:pPr>
              <w:pStyle w:val="NoSpacing"/>
            </w:pPr>
            <w:r w:rsidRPr="0033310C">
              <w:t>Pseudo </w:t>
            </w:r>
            <w:r w:rsidRPr="0033310C">
              <w:rPr>
                <w:i/>
                <w:iCs/>
              </w:rPr>
              <w:t>R</w:t>
            </w:r>
            <w:r w:rsidRPr="0033310C">
              <w:t>-squared</w:t>
            </w:r>
          </w:p>
        </w:tc>
        <w:tc>
          <w:tcPr>
            <w:tcW w:w="0" w:type="auto"/>
            <w:hideMark/>
          </w:tcPr>
          <w:p w14:paraId="78D2BF61" w14:textId="77777777" w:rsidR="0033310C" w:rsidRPr="0033310C" w:rsidRDefault="0033310C" w:rsidP="0062601B">
            <w:pPr>
              <w:pStyle w:val="NoSpacing"/>
            </w:pPr>
          </w:p>
        </w:tc>
        <w:tc>
          <w:tcPr>
            <w:tcW w:w="0" w:type="auto"/>
            <w:hideMark/>
          </w:tcPr>
          <w:p w14:paraId="4804DBF5" w14:textId="77777777" w:rsidR="0033310C" w:rsidRPr="0033310C" w:rsidRDefault="0033310C" w:rsidP="0062601B">
            <w:pPr>
              <w:pStyle w:val="NoSpacing"/>
            </w:pPr>
          </w:p>
        </w:tc>
        <w:tc>
          <w:tcPr>
            <w:tcW w:w="0" w:type="auto"/>
            <w:hideMark/>
          </w:tcPr>
          <w:p w14:paraId="7D77193F" w14:textId="77777777" w:rsidR="0033310C" w:rsidRPr="0033310C" w:rsidRDefault="0033310C" w:rsidP="0062601B">
            <w:pPr>
              <w:pStyle w:val="NoSpacing"/>
            </w:pPr>
            <w:r w:rsidRPr="0033310C">
              <w:t>29.40</w:t>
            </w:r>
          </w:p>
        </w:tc>
        <w:tc>
          <w:tcPr>
            <w:tcW w:w="0" w:type="auto"/>
            <w:hideMark/>
          </w:tcPr>
          <w:p w14:paraId="5D107E85" w14:textId="77777777" w:rsidR="0033310C" w:rsidRPr="0033310C" w:rsidRDefault="0033310C" w:rsidP="0062601B">
            <w:pPr>
              <w:pStyle w:val="NoSpacing"/>
            </w:pPr>
          </w:p>
        </w:tc>
        <w:tc>
          <w:tcPr>
            <w:tcW w:w="0" w:type="auto"/>
            <w:hideMark/>
          </w:tcPr>
          <w:p w14:paraId="5CD29F3D" w14:textId="77777777" w:rsidR="0033310C" w:rsidRPr="0033310C" w:rsidRDefault="0033310C" w:rsidP="0062601B">
            <w:pPr>
              <w:pStyle w:val="NoSpacing"/>
            </w:pPr>
            <w:r w:rsidRPr="0033310C">
              <w:t>52.17</w:t>
            </w:r>
          </w:p>
        </w:tc>
        <w:tc>
          <w:tcPr>
            <w:tcW w:w="0" w:type="auto"/>
            <w:hideMark/>
          </w:tcPr>
          <w:p w14:paraId="1733C8B8" w14:textId="77777777" w:rsidR="0033310C" w:rsidRPr="0033310C" w:rsidRDefault="0033310C" w:rsidP="0062601B">
            <w:pPr>
              <w:pStyle w:val="NoSpacing"/>
            </w:pPr>
          </w:p>
        </w:tc>
      </w:tr>
      <w:tr w:rsidR="0033310C" w:rsidRPr="0033310C" w14:paraId="356AD6CB" w14:textId="77777777" w:rsidTr="0062601B">
        <w:tc>
          <w:tcPr>
            <w:tcW w:w="0" w:type="auto"/>
            <w:hideMark/>
          </w:tcPr>
          <w:p w14:paraId="2048B09D" w14:textId="77777777" w:rsidR="0033310C" w:rsidRPr="0033310C" w:rsidRDefault="0033310C" w:rsidP="0062601B">
            <w:pPr>
              <w:pStyle w:val="NoSpacing"/>
            </w:pPr>
            <w:r w:rsidRPr="0033310C">
              <w:t>Multicollinearity condition number</w:t>
            </w:r>
          </w:p>
        </w:tc>
        <w:tc>
          <w:tcPr>
            <w:tcW w:w="0" w:type="auto"/>
            <w:hideMark/>
          </w:tcPr>
          <w:p w14:paraId="1FAC457D" w14:textId="77777777" w:rsidR="0033310C" w:rsidRPr="0033310C" w:rsidRDefault="0033310C" w:rsidP="0062601B">
            <w:pPr>
              <w:pStyle w:val="NoSpacing"/>
            </w:pPr>
            <w:r w:rsidRPr="0033310C">
              <w:t>15.01</w:t>
            </w:r>
          </w:p>
        </w:tc>
        <w:tc>
          <w:tcPr>
            <w:tcW w:w="0" w:type="auto"/>
            <w:hideMark/>
          </w:tcPr>
          <w:p w14:paraId="2EF286B5" w14:textId="77777777" w:rsidR="0033310C" w:rsidRPr="0033310C" w:rsidRDefault="0033310C" w:rsidP="0062601B">
            <w:pPr>
              <w:pStyle w:val="NoSpacing"/>
            </w:pPr>
          </w:p>
        </w:tc>
        <w:tc>
          <w:tcPr>
            <w:tcW w:w="0" w:type="auto"/>
            <w:hideMark/>
          </w:tcPr>
          <w:p w14:paraId="29268D5F" w14:textId="77777777" w:rsidR="0033310C" w:rsidRPr="0033310C" w:rsidRDefault="0033310C" w:rsidP="0062601B">
            <w:pPr>
              <w:pStyle w:val="NoSpacing"/>
            </w:pPr>
            <w:r w:rsidRPr="0033310C">
              <w:t>–</w:t>
            </w:r>
          </w:p>
        </w:tc>
        <w:tc>
          <w:tcPr>
            <w:tcW w:w="0" w:type="auto"/>
            <w:hideMark/>
          </w:tcPr>
          <w:p w14:paraId="470A3128" w14:textId="77777777" w:rsidR="0033310C" w:rsidRPr="0033310C" w:rsidRDefault="0033310C" w:rsidP="0062601B">
            <w:pPr>
              <w:pStyle w:val="NoSpacing"/>
            </w:pPr>
          </w:p>
        </w:tc>
        <w:tc>
          <w:tcPr>
            <w:tcW w:w="0" w:type="auto"/>
            <w:hideMark/>
          </w:tcPr>
          <w:p w14:paraId="6D0C957C" w14:textId="77777777" w:rsidR="0033310C" w:rsidRPr="0033310C" w:rsidRDefault="0033310C" w:rsidP="0062601B">
            <w:pPr>
              <w:pStyle w:val="NoSpacing"/>
            </w:pPr>
            <w:r w:rsidRPr="0033310C">
              <w:t>–</w:t>
            </w:r>
          </w:p>
        </w:tc>
        <w:tc>
          <w:tcPr>
            <w:tcW w:w="0" w:type="auto"/>
            <w:hideMark/>
          </w:tcPr>
          <w:p w14:paraId="16CF9A9A" w14:textId="77777777" w:rsidR="0033310C" w:rsidRPr="0033310C" w:rsidRDefault="0033310C" w:rsidP="0062601B">
            <w:pPr>
              <w:pStyle w:val="NoSpacing"/>
            </w:pPr>
          </w:p>
        </w:tc>
      </w:tr>
      <w:tr w:rsidR="0033310C" w:rsidRPr="0033310C" w14:paraId="6B686DA2" w14:textId="77777777" w:rsidTr="0062601B">
        <w:tc>
          <w:tcPr>
            <w:tcW w:w="0" w:type="auto"/>
            <w:hideMark/>
          </w:tcPr>
          <w:p w14:paraId="5EBF0335" w14:textId="77777777" w:rsidR="0033310C" w:rsidRPr="0033310C" w:rsidRDefault="0033310C" w:rsidP="0062601B">
            <w:pPr>
              <w:pStyle w:val="NoSpacing"/>
            </w:pPr>
            <w:r w:rsidRPr="0033310C">
              <w:t>S.E. of regression</w:t>
            </w:r>
          </w:p>
        </w:tc>
        <w:tc>
          <w:tcPr>
            <w:tcW w:w="0" w:type="auto"/>
            <w:hideMark/>
          </w:tcPr>
          <w:p w14:paraId="60EB03CF" w14:textId="77777777" w:rsidR="0033310C" w:rsidRPr="0033310C" w:rsidRDefault="0033310C" w:rsidP="0062601B">
            <w:pPr>
              <w:pStyle w:val="NoSpacing"/>
            </w:pPr>
            <w:r w:rsidRPr="0033310C">
              <w:t>2.30</w:t>
            </w:r>
          </w:p>
        </w:tc>
        <w:tc>
          <w:tcPr>
            <w:tcW w:w="0" w:type="auto"/>
            <w:hideMark/>
          </w:tcPr>
          <w:p w14:paraId="32FE0A32" w14:textId="77777777" w:rsidR="0033310C" w:rsidRPr="0033310C" w:rsidRDefault="0033310C" w:rsidP="0062601B">
            <w:pPr>
              <w:pStyle w:val="NoSpacing"/>
            </w:pPr>
          </w:p>
        </w:tc>
        <w:tc>
          <w:tcPr>
            <w:tcW w:w="0" w:type="auto"/>
            <w:hideMark/>
          </w:tcPr>
          <w:p w14:paraId="56D9EC84" w14:textId="77777777" w:rsidR="0033310C" w:rsidRPr="0033310C" w:rsidRDefault="0033310C" w:rsidP="0062601B">
            <w:pPr>
              <w:pStyle w:val="NoSpacing"/>
            </w:pPr>
            <w:r w:rsidRPr="0033310C">
              <w:t>–</w:t>
            </w:r>
          </w:p>
        </w:tc>
        <w:tc>
          <w:tcPr>
            <w:tcW w:w="0" w:type="auto"/>
            <w:hideMark/>
          </w:tcPr>
          <w:p w14:paraId="01536151" w14:textId="77777777" w:rsidR="0033310C" w:rsidRPr="0033310C" w:rsidRDefault="0033310C" w:rsidP="0062601B">
            <w:pPr>
              <w:pStyle w:val="NoSpacing"/>
            </w:pPr>
          </w:p>
        </w:tc>
        <w:tc>
          <w:tcPr>
            <w:tcW w:w="0" w:type="auto"/>
            <w:hideMark/>
          </w:tcPr>
          <w:p w14:paraId="76C92056" w14:textId="77777777" w:rsidR="0033310C" w:rsidRPr="0033310C" w:rsidRDefault="0033310C" w:rsidP="0062601B">
            <w:pPr>
              <w:pStyle w:val="NoSpacing"/>
            </w:pPr>
            <w:r w:rsidRPr="0033310C">
              <w:t>–</w:t>
            </w:r>
          </w:p>
        </w:tc>
        <w:tc>
          <w:tcPr>
            <w:tcW w:w="0" w:type="auto"/>
            <w:hideMark/>
          </w:tcPr>
          <w:p w14:paraId="1CEA8120" w14:textId="77777777" w:rsidR="0033310C" w:rsidRPr="0033310C" w:rsidRDefault="0033310C" w:rsidP="0062601B">
            <w:pPr>
              <w:pStyle w:val="NoSpacing"/>
            </w:pPr>
          </w:p>
        </w:tc>
      </w:tr>
      <w:tr w:rsidR="0033310C" w:rsidRPr="0033310C" w14:paraId="7856AD77" w14:textId="77777777" w:rsidTr="0062601B">
        <w:tc>
          <w:tcPr>
            <w:tcW w:w="0" w:type="auto"/>
            <w:hideMark/>
          </w:tcPr>
          <w:p w14:paraId="2042C4DB" w14:textId="77777777" w:rsidR="0033310C" w:rsidRPr="0033310C" w:rsidRDefault="0033310C" w:rsidP="0062601B">
            <w:pPr>
              <w:pStyle w:val="NoSpacing"/>
            </w:pPr>
            <w:r w:rsidRPr="0033310C">
              <w:t>Log likelihood</w:t>
            </w:r>
          </w:p>
        </w:tc>
        <w:tc>
          <w:tcPr>
            <w:tcW w:w="0" w:type="auto"/>
            <w:hideMark/>
          </w:tcPr>
          <w:p w14:paraId="3C86D9B4" w14:textId="77777777" w:rsidR="0033310C" w:rsidRPr="0033310C" w:rsidRDefault="0033310C" w:rsidP="0062601B">
            <w:pPr>
              <w:pStyle w:val="NoSpacing"/>
            </w:pPr>
            <w:r w:rsidRPr="0033310C">
              <w:t>−1293.81</w:t>
            </w:r>
          </w:p>
        </w:tc>
        <w:tc>
          <w:tcPr>
            <w:tcW w:w="0" w:type="auto"/>
            <w:hideMark/>
          </w:tcPr>
          <w:p w14:paraId="1C5AA78F" w14:textId="77777777" w:rsidR="0033310C" w:rsidRPr="0033310C" w:rsidRDefault="0033310C" w:rsidP="0062601B">
            <w:pPr>
              <w:pStyle w:val="NoSpacing"/>
            </w:pPr>
          </w:p>
        </w:tc>
        <w:tc>
          <w:tcPr>
            <w:tcW w:w="0" w:type="auto"/>
            <w:hideMark/>
          </w:tcPr>
          <w:p w14:paraId="5CDAD245" w14:textId="77777777" w:rsidR="0033310C" w:rsidRPr="0033310C" w:rsidRDefault="0033310C" w:rsidP="0062601B">
            <w:pPr>
              <w:pStyle w:val="NoSpacing"/>
            </w:pPr>
            <w:r w:rsidRPr="0033310C">
              <w:t>–</w:t>
            </w:r>
          </w:p>
        </w:tc>
        <w:tc>
          <w:tcPr>
            <w:tcW w:w="0" w:type="auto"/>
            <w:hideMark/>
          </w:tcPr>
          <w:p w14:paraId="51C1792E" w14:textId="77777777" w:rsidR="0033310C" w:rsidRPr="0033310C" w:rsidRDefault="0033310C" w:rsidP="0062601B">
            <w:pPr>
              <w:pStyle w:val="NoSpacing"/>
            </w:pPr>
          </w:p>
        </w:tc>
        <w:tc>
          <w:tcPr>
            <w:tcW w:w="0" w:type="auto"/>
            <w:hideMark/>
          </w:tcPr>
          <w:p w14:paraId="0652CAEE" w14:textId="77777777" w:rsidR="0033310C" w:rsidRPr="0033310C" w:rsidRDefault="0033310C" w:rsidP="0062601B">
            <w:pPr>
              <w:pStyle w:val="NoSpacing"/>
            </w:pPr>
            <w:r w:rsidRPr="0033310C">
              <w:t>–</w:t>
            </w:r>
          </w:p>
        </w:tc>
        <w:tc>
          <w:tcPr>
            <w:tcW w:w="0" w:type="auto"/>
            <w:hideMark/>
          </w:tcPr>
          <w:p w14:paraId="313FD18C" w14:textId="77777777" w:rsidR="0033310C" w:rsidRPr="0033310C" w:rsidRDefault="0033310C" w:rsidP="0062601B">
            <w:pPr>
              <w:pStyle w:val="NoSpacing"/>
            </w:pPr>
          </w:p>
        </w:tc>
      </w:tr>
      <w:tr w:rsidR="0033310C" w:rsidRPr="0033310C" w14:paraId="224A4096" w14:textId="77777777" w:rsidTr="0062601B">
        <w:tc>
          <w:tcPr>
            <w:tcW w:w="0" w:type="auto"/>
            <w:hideMark/>
          </w:tcPr>
          <w:p w14:paraId="3049A49E" w14:textId="77777777" w:rsidR="0033310C" w:rsidRPr="0033310C" w:rsidRDefault="0033310C" w:rsidP="0062601B">
            <w:pPr>
              <w:pStyle w:val="NoSpacing"/>
            </w:pPr>
            <w:r w:rsidRPr="0033310C">
              <w:t>Akaike information criterion</w:t>
            </w:r>
          </w:p>
        </w:tc>
        <w:tc>
          <w:tcPr>
            <w:tcW w:w="0" w:type="auto"/>
            <w:hideMark/>
          </w:tcPr>
          <w:p w14:paraId="143D1AF1" w14:textId="77777777" w:rsidR="0033310C" w:rsidRPr="0033310C" w:rsidRDefault="0033310C" w:rsidP="0062601B">
            <w:pPr>
              <w:pStyle w:val="NoSpacing"/>
            </w:pPr>
            <w:r w:rsidRPr="0033310C">
              <w:t>2607.62</w:t>
            </w:r>
          </w:p>
        </w:tc>
        <w:tc>
          <w:tcPr>
            <w:tcW w:w="0" w:type="auto"/>
            <w:hideMark/>
          </w:tcPr>
          <w:p w14:paraId="073F455A" w14:textId="77777777" w:rsidR="0033310C" w:rsidRPr="0033310C" w:rsidRDefault="0033310C" w:rsidP="0062601B">
            <w:pPr>
              <w:pStyle w:val="NoSpacing"/>
            </w:pPr>
          </w:p>
        </w:tc>
        <w:tc>
          <w:tcPr>
            <w:tcW w:w="0" w:type="auto"/>
            <w:hideMark/>
          </w:tcPr>
          <w:p w14:paraId="21545135" w14:textId="77777777" w:rsidR="0033310C" w:rsidRPr="0033310C" w:rsidRDefault="0033310C" w:rsidP="0062601B">
            <w:pPr>
              <w:pStyle w:val="NoSpacing"/>
            </w:pPr>
            <w:r w:rsidRPr="0033310C">
              <w:t>–</w:t>
            </w:r>
          </w:p>
        </w:tc>
        <w:tc>
          <w:tcPr>
            <w:tcW w:w="0" w:type="auto"/>
            <w:hideMark/>
          </w:tcPr>
          <w:p w14:paraId="3ABC2AFB" w14:textId="77777777" w:rsidR="0033310C" w:rsidRPr="0033310C" w:rsidRDefault="0033310C" w:rsidP="0062601B">
            <w:pPr>
              <w:pStyle w:val="NoSpacing"/>
            </w:pPr>
          </w:p>
        </w:tc>
        <w:tc>
          <w:tcPr>
            <w:tcW w:w="0" w:type="auto"/>
            <w:hideMark/>
          </w:tcPr>
          <w:p w14:paraId="5FC9B905" w14:textId="77777777" w:rsidR="0033310C" w:rsidRPr="0033310C" w:rsidRDefault="0033310C" w:rsidP="0062601B">
            <w:pPr>
              <w:pStyle w:val="NoSpacing"/>
            </w:pPr>
            <w:r w:rsidRPr="0033310C">
              <w:t>–</w:t>
            </w:r>
          </w:p>
        </w:tc>
        <w:tc>
          <w:tcPr>
            <w:tcW w:w="0" w:type="auto"/>
            <w:hideMark/>
          </w:tcPr>
          <w:p w14:paraId="58CBECDA" w14:textId="77777777" w:rsidR="0033310C" w:rsidRPr="0033310C" w:rsidRDefault="0033310C" w:rsidP="0062601B">
            <w:pPr>
              <w:pStyle w:val="NoSpacing"/>
            </w:pPr>
          </w:p>
        </w:tc>
      </w:tr>
      <w:tr w:rsidR="0033310C" w:rsidRPr="0033310C" w14:paraId="49DD3093" w14:textId="77777777" w:rsidTr="0062601B">
        <w:tc>
          <w:tcPr>
            <w:tcW w:w="0" w:type="auto"/>
            <w:hideMark/>
          </w:tcPr>
          <w:p w14:paraId="159C88B8" w14:textId="77777777" w:rsidR="0033310C" w:rsidRPr="0033310C" w:rsidRDefault="0033310C" w:rsidP="0062601B">
            <w:pPr>
              <w:pStyle w:val="NoSpacing"/>
            </w:pPr>
            <w:r w:rsidRPr="0033310C">
              <w:t>Schwarz criterion</w:t>
            </w:r>
          </w:p>
        </w:tc>
        <w:tc>
          <w:tcPr>
            <w:tcW w:w="0" w:type="auto"/>
            <w:hideMark/>
          </w:tcPr>
          <w:p w14:paraId="3135C699" w14:textId="77777777" w:rsidR="0033310C" w:rsidRPr="0033310C" w:rsidRDefault="0033310C" w:rsidP="0062601B">
            <w:pPr>
              <w:pStyle w:val="NoSpacing"/>
            </w:pPr>
            <w:r w:rsidRPr="0033310C">
              <w:t>2651.1</w:t>
            </w:r>
          </w:p>
        </w:tc>
        <w:tc>
          <w:tcPr>
            <w:tcW w:w="0" w:type="auto"/>
            <w:hideMark/>
          </w:tcPr>
          <w:p w14:paraId="7710A78E" w14:textId="77777777" w:rsidR="0033310C" w:rsidRPr="0033310C" w:rsidRDefault="0033310C" w:rsidP="0062601B">
            <w:pPr>
              <w:pStyle w:val="NoSpacing"/>
            </w:pPr>
          </w:p>
        </w:tc>
        <w:tc>
          <w:tcPr>
            <w:tcW w:w="0" w:type="auto"/>
            <w:hideMark/>
          </w:tcPr>
          <w:p w14:paraId="54F8F9D5" w14:textId="77777777" w:rsidR="0033310C" w:rsidRPr="0033310C" w:rsidRDefault="0033310C" w:rsidP="0062601B">
            <w:pPr>
              <w:pStyle w:val="NoSpacing"/>
            </w:pPr>
            <w:r w:rsidRPr="0033310C">
              <w:t>–</w:t>
            </w:r>
          </w:p>
        </w:tc>
        <w:tc>
          <w:tcPr>
            <w:tcW w:w="0" w:type="auto"/>
            <w:hideMark/>
          </w:tcPr>
          <w:p w14:paraId="6E9534F8" w14:textId="77777777" w:rsidR="0033310C" w:rsidRPr="0033310C" w:rsidRDefault="0033310C" w:rsidP="0062601B">
            <w:pPr>
              <w:pStyle w:val="NoSpacing"/>
            </w:pPr>
          </w:p>
        </w:tc>
        <w:tc>
          <w:tcPr>
            <w:tcW w:w="0" w:type="auto"/>
            <w:hideMark/>
          </w:tcPr>
          <w:p w14:paraId="6D1E1111" w14:textId="77777777" w:rsidR="0033310C" w:rsidRPr="0033310C" w:rsidRDefault="0033310C" w:rsidP="0062601B">
            <w:pPr>
              <w:pStyle w:val="NoSpacing"/>
            </w:pPr>
            <w:r w:rsidRPr="0033310C">
              <w:t>–</w:t>
            </w:r>
          </w:p>
        </w:tc>
        <w:tc>
          <w:tcPr>
            <w:tcW w:w="0" w:type="auto"/>
            <w:hideMark/>
          </w:tcPr>
          <w:p w14:paraId="3581A67F" w14:textId="77777777" w:rsidR="0033310C" w:rsidRPr="0033310C" w:rsidRDefault="0033310C" w:rsidP="0062601B">
            <w:pPr>
              <w:pStyle w:val="NoSpacing"/>
            </w:pPr>
          </w:p>
        </w:tc>
      </w:tr>
      <w:tr w:rsidR="0033310C" w:rsidRPr="0033310C" w14:paraId="3CBE5F3D" w14:textId="77777777" w:rsidTr="0062601B">
        <w:tc>
          <w:tcPr>
            <w:tcW w:w="0" w:type="auto"/>
            <w:hideMark/>
          </w:tcPr>
          <w:p w14:paraId="459D5A75" w14:textId="77777777" w:rsidR="0033310C" w:rsidRPr="0033310C" w:rsidRDefault="0033310C" w:rsidP="0062601B">
            <w:pPr>
              <w:pStyle w:val="NoSpacing"/>
            </w:pPr>
            <w:r w:rsidRPr="0033310C">
              <w:t>Breusch–Pagan Test</w:t>
            </w:r>
          </w:p>
        </w:tc>
        <w:tc>
          <w:tcPr>
            <w:tcW w:w="0" w:type="auto"/>
            <w:hideMark/>
          </w:tcPr>
          <w:p w14:paraId="40A4194A" w14:textId="54042768" w:rsidR="0033310C" w:rsidRPr="0033310C" w:rsidRDefault="0033310C" w:rsidP="0062601B">
            <w:pPr>
              <w:pStyle w:val="NoSpacing"/>
            </w:pPr>
            <w:r w:rsidRPr="0033310C">
              <w:t>63.93</w:t>
            </w:r>
            <w:r w:rsidRPr="0033310C">
              <w:rPr>
                <w:rFonts w:ascii="Tahoma" w:hAnsi="Tahoma" w:cs="Tahoma"/>
                <w:vertAlign w:val="superscript"/>
              </w:rPr>
              <w:t>⁎⁎</w:t>
            </w:r>
          </w:p>
        </w:tc>
        <w:tc>
          <w:tcPr>
            <w:tcW w:w="0" w:type="auto"/>
            <w:hideMark/>
          </w:tcPr>
          <w:p w14:paraId="726AFD1A" w14:textId="77777777" w:rsidR="0033310C" w:rsidRPr="0033310C" w:rsidRDefault="0033310C" w:rsidP="0062601B">
            <w:pPr>
              <w:pStyle w:val="NoSpacing"/>
            </w:pPr>
          </w:p>
        </w:tc>
        <w:tc>
          <w:tcPr>
            <w:tcW w:w="0" w:type="auto"/>
            <w:hideMark/>
          </w:tcPr>
          <w:p w14:paraId="0D7CCAC1" w14:textId="77777777" w:rsidR="0033310C" w:rsidRPr="0033310C" w:rsidRDefault="0033310C" w:rsidP="0062601B">
            <w:pPr>
              <w:pStyle w:val="NoSpacing"/>
            </w:pPr>
            <w:r w:rsidRPr="0033310C">
              <w:t>–</w:t>
            </w:r>
          </w:p>
        </w:tc>
        <w:tc>
          <w:tcPr>
            <w:tcW w:w="0" w:type="auto"/>
            <w:hideMark/>
          </w:tcPr>
          <w:p w14:paraId="077B0EC8" w14:textId="77777777" w:rsidR="0033310C" w:rsidRPr="0033310C" w:rsidRDefault="0033310C" w:rsidP="0062601B">
            <w:pPr>
              <w:pStyle w:val="NoSpacing"/>
            </w:pPr>
          </w:p>
        </w:tc>
        <w:tc>
          <w:tcPr>
            <w:tcW w:w="0" w:type="auto"/>
            <w:hideMark/>
          </w:tcPr>
          <w:p w14:paraId="16F2B8C5" w14:textId="77777777" w:rsidR="0033310C" w:rsidRPr="0033310C" w:rsidRDefault="0033310C" w:rsidP="0062601B">
            <w:pPr>
              <w:pStyle w:val="NoSpacing"/>
            </w:pPr>
            <w:r w:rsidRPr="0033310C">
              <w:t>–</w:t>
            </w:r>
          </w:p>
        </w:tc>
        <w:tc>
          <w:tcPr>
            <w:tcW w:w="0" w:type="auto"/>
            <w:hideMark/>
          </w:tcPr>
          <w:p w14:paraId="78A71430" w14:textId="77777777" w:rsidR="0033310C" w:rsidRPr="0033310C" w:rsidRDefault="0033310C" w:rsidP="0062601B">
            <w:pPr>
              <w:pStyle w:val="NoSpacing"/>
            </w:pPr>
          </w:p>
        </w:tc>
      </w:tr>
      <w:bookmarkEnd w:id="71"/>
      <w:tr w:rsidR="0033310C" w:rsidRPr="0033310C" w14:paraId="36D7B946" w14:textId="77777777" w:rsidTr="0062601B">
        <w:tc>
          <w:tcPr>
            <w:tcW w:w="0" w:type="auto"/>
            <w:hideMark/>
          </w:tcPr>
          <w:p w14:paraId="6E586CEA" w14:textId="77777777" w:rsidR="0033310C" w:rsidRPr="0033310C" w:rsidRDefault="0033310C" w:rsidP="0062601B">
            <w:pPr>
              <w:pStyle w:val="NoSpacing"/>
            </w:pPr>
            <w:proofErr w:type="spellStart"/>
            <w:r w:rsidRPr="0033310C">
              <w:t>Anselin-Kelejian</w:t>
            </w:r>
            <w:proofErr w:type="spellEnd"/>
            <w:r w:rsidRPr="0033310C">
              <w:t xml:space="preserve"> Test</w:t>
            </w:r>
          </w:p>
        </w:tc>
        <w:tc>
          <w:tcPr>
            <w:tcW w:w="0" w:type="auto"/>
            <w:hideMark/>
          </w:tcPr>
          <w:p w14:paraId="51575155" w14:textId="77777777" w:rsidR="0033310C" w:rsidRPr="0033310C" w:rsidRDefault="0033310C" w:rsidP="0062601B">
            <w:pPr>
              <w:pStyle w:val="NoSpacing"/>
            </w:pPr>
            <w:r w:rsidRPr="0033310C">
              <w:t>–</w:t>
            </w:r>
          </w:p>
        </w:tc>
        <w:tc>
          <w:tcPr>
            <w:tcW w:w="0" w:type="auto"/>
            <w:hideMark/>
          </w:tcPr>
          <w:p w14:paraId="1DD7FB54" w14:textId="77777777" w:rsidR="0033310C" w:rsidRPr="0033310C" w:rsidRDefault="0033310C" w:rsidP="0062601B">
            <w:pPr>
              <w:pStyle w:val="NoSpacing"/>
            </w:pPr>
          </w:p>
        </w:tc>
        <w:tc>
          <w:tcPr>
            <w:tcW w:w="0" w:type="auto"/>
            <w:hideMark/>
          </w:tcPr>
          <w:p w14:paraId="01D18A01" w14:textId="77777777" w:rsidR="0033310C" w:rsidRPr="0033310C" w:rsidRDefault="0033310C" w:rsidP="0062601B">
            <w:pPr>
              <w:pStyle w:val="NoSpacing"/>
            </w:pPr>
            <w:r w:rsidRPr="0033310C">
              <w:t>1.82</w:t>
            </w:r>
          </w:p>
        </w:tc>
        <w:tc>
          <w:tcPr>
            <w:tcW w:w="0" w:type="auto"/>
            <w:hideMark/>
          </w:tcPr>
          <w:p w14:paraId="5EA7FC96" w14:textId="77777777" w:rsidR="0033310C" w:rsidRPr="0033310C" w:rsidRDefault="0033310C" w:rsidP="0062601B">
            <w:pPr>
              <w:pStyle w:val="NoSpacing"/>
            </w:pPr>
          </w:p>
        </w:tc>
        <w:tc>
          <w:tcPr>
            <w:tcW w:w="0" w:type="auto"/>
            <w:hideMark/>
          </w:tcPr>
          <w:p w14:paraId="6D91F77C" w14:textId="77777777" w:rsidR="0033310C" w:rsidRPr="0033310C" w:rsidRDefault="0033310C" w:rsidP="0062601B">
            <w:pPr>
              <w:pStyle w:val="NoSpacing"/>
            </w:pPr>
            <w:r w:rsidRPr="0033310C">
              <w:t>0.79</w:t>
            </w:r>
          </w:p>
        </w:tc>
        <w:tc>
          <w:tcPr>
            <w:tcW w:w="0" w:type="auto"/>
            <w:hideMark/>
          </w:tcPr>
          <w:p w14:paraId="13D03D98" w14:textId="77777777" w:rsidR="0033310C" w:rsidRPr="0033310C" w:rsidRDefault="0033310C" w:rsidP="0062601B">
            <w:pPr>
              <w:pStyle w:val="NoSpacing"/>
            </w:pPr>
          </w:p>
        </w:tc>
      </w:tr>
      <w:tr w:rsidR="0033310C" w:rsidRPr="0033310C" w14:paraId="3D2B6D25" w14:textId="77777777" w:rsidTr="0062601B">
        <w:tc>
          <w:tcPr>
            <w:tcW w:w="0" w:type="auto"/>
            <w:hideMark/>
          </w:tcPr>
          <w:p w14:paraId="0CEB9018" w14:textId="77777777" w:rsidR="0033310C" w:rsidRPr="0033310C" w:rsidRDefault="0033310C" w:rsidP="0062601B">
            <w:pPr>
              <w:pStyle w:val="NoSpacing"/>
            </w:pPr>
            <w:r w:rsidRPr="0033310C">
              <w:lastRenderedPageBreak/>
              <w:t>Global Chow Test</w:t>
            </w:r>
          </w:p>
        </w:tc>
        <w:tc>
          <w:tcPr>
            <w:tcW w:w="0" w:type="auto"/>
            <w:hideMark/>
          </w:tcPr>
          <w:p w14:paraId="44039E25" w14:textId="77777777" w:rsidR="0033310C" w:rsidRPr="0033310C" w:rsidRDefault="0033310C" w:rsidP="0062601B">
            <w:pPr>
              <w:pStyle w:val="NoSpacing"/>
            </w:pPr>
            <w:r w:rsidRPr="0033310C">
              <w:t>–</w:t>
            </w:r>
          </w:p>
        </w:tc>
        <w:tc>
          <w:tcPr>
            <w:tcW w:w="0" w:type="auto"/>
            <w:hideMark/>
          </w:tcPr>
          <w:p w14:paraId="59D6B879" w14:textId="77777777" w:rsidR="0033310C" w:rsidRPr="0033310C" w:rsidRDefault="0033310C" w:rsidP="0062601B">
            <w:pPr>
              <w:pStyle w:val="NoSpacing"/>
            </w:pPr>
          </w:p>
        </w:tc>
        <w:tc>
          <w:tcPr>
            <w:tcW w:w="0" w:type="auto"/>
            <w:hideMark/>
          </w:tcPr>
          <w:p w14:paraId="1D6FDB4B" w14:textId="77777777" w:rsidR="0033310C" w:rsidRPr="0033310C" w:rsidRDefault="0033310C" w:rsidP="0062601B">
            <w:pPr>
              <w:pStyle w:val="NoSpacing"/>
            </w:pPr>
            <w:r w:rsidRPr="0033310C">
              <w:t>–</w:t>
            </w:r>
          </w:p>
        </w:tc>
        <w:tc>
          <w:tcPr>
            <w:tcW w:w="0" w:type="auto"/>
            <w:hideMark/>
          </w:tcPr>
          <w:p w14:paraId="673C7DD9" w14:textId="77777777" w:rsidR="0033310C" w:rsidRPr="0033310C" w:rsidRDefault="0033310C" w:rsidP="0062601B">
            <w:pPr>
              <w:pStyle w:val="NoSpacing"/>
            </w:pPr>
          </w:p>
        </w:tc>
        <w:tc>
          <w:tcPr>
            <w:tcW w:w="0" w:type="auto"/>
            <w:hideMark/>
          </w:tcPr>
          <w:p w14:paraId="16B4D11D" w14:textId="77777777" w:rsidR="0033310C" w:rsidRPr="0033310C" w:rsidRDefault="0033310C" w:rsidP="0062601B">
            <w:pPr>
              <w:pStyle w:val="NoSpacing"/>
            </w:pPr>
            <w:r w:rsidRPr="0033310C">
              <w:t>12.35</w:t>
            </w:r>
          </w:p>
        </w:tc>
        <w:tc>
          <w:tcPr>
            <w:tcW w:w="0" w:type="auto"/>
            <w:hideMark/>
          </w:tcPr>
          <w:p w14:paraId="31C712DD" w14:textId="77777777" w:rsidR="0033310C" w:rsidRPr="0033310C" w:rsidRDefault="0033310C" w:rsidP="0062601B">
            <w:pPr>
              <w:pStyle w:val="NoSpacing"/>
            </w:pPr>
          </w:p>
        </w:tc>
      </w:tr>
    </w:tbl>
    <w:p w14:paraId="14EB869E" w14:textId="71B810BA" w:rsidR="0033310C" w:rsidRPr="0033310C" w:rsidRDefault="0033310C" w:rsidP="00C47A7A">
      <w:pPr>
        <w:pStyle w:val="NoSpacing"/>
      </w:pPr>
      <w:r w:rsidRPr="0033310C">
        <w:rPr>
          <w:rFonts w:ascii="Tahoma" w:hAnsi="Tahoma" w:cs="Tahoma"/>
        </w:rPr>
        <w:t>⁎</w:t>
      </w:r>
      <w:r w:rsidRPr="0033310C">
        <w:rPr>
          <w:i/>
          <w:iCs/>
        </w:rPr>
        <w:t>p</w:t>
      </w:r>
      <w:r w:rsidRPr="0033310C">
        <w:t> &lt; .05.</w:t>
      </w:r>
    </w:p>
    <w:p w14:paraId="2648DB82" w14:textId="621C8A70" w:rsidR="0033310C" w:rsidRPr="0033310C" w:rsidRDefault="0033310C" w:rsidP="00C47A7A">
      <w:pPr>
        <w:pStyle w:val="NoSpacing"/>
      </w:pPr>
      <w:r w:rsidRPr="0033310C">
        <w:rPr>
          <w:rFonts w:ascii="Tahoma" w:hAnsi="Tahoma" w:cs="Tahoma"/>
        </w:rPr>
        <w:t>⁎⁎</w:t>
      </w:r>
      <w:r w:rsidRPr="0033310C">
        <w:rPr>
          <w:i/>
          <w:iCs/>
        </w:rPr>
        <w:t>p</w:t>
      </w:r>
      <w:r w:rsidRPr="0033310C">
        <w:t> &lt; .01.</w:t>
      </w:r>
    </w:p>
    <w:p w14:paraId="0B3119B3" w14:textId="77777777" w:rsidR="00623C32" w:rsidRDefault="00623C32" w:rsidP="00C47A7A">
      <w:pPr>
        <w:spacing w:after="0"/>
      </w:pPr>
    </w:p>
    <w:p w14:paraId="7ABA921F" w14:textId="6B0A74D6" w:rsidR="0033310C" w:rsidRPr="0033310C" w:rsidRDefault="0033310C" w:rsidP="00C47A7A">
      <w:pPr>
        <w:spacing w:after="0"/>
      </w:pPr>
      <w:r w:rsidRPr="0033310C">
        <w:t>Table 5. Robberies density regressed on off-</w:t>
      </w:r>
      <w:proofErr w:type="gramStart"/>
      <w:r w:rsidRPr="0033310C">
        <w:t>premise</w:t>
      </w:r>
      <w:proofErr w:type="gramEnd"/>
      <w:r w:rsidRPr="0033310C">
        <w:t xml:space="preserve"> alcohol outlet density and control variables for Milwaukee block groups.</w:t>
      </w:r>
    </w:p>
    <w:tbl>
      <w:tblPr>
        <w:tblStyle w:val="TableGrid"/>
        <w:tblW w:w="0" w:type="auto"/>
        <w:tblLook w:val="04A0" w:firstRow="1" w:lastRow="0" w:firstColumn="1" w:lastColumn="0" w:noHBand="0" w:noVBand="1"/>
      </w:tblPr>
      <w:tblGrid>
        <w:gridCol w:w="3901"/>
        <w:gridCol w:w="2553"/>
        <w:gridCol w:w="607"/>
        <w:gridCol w:w="1881"/>
        <w:gridCol w:w="607"/>
        <w:gridCol w:w="1883"/>
        <w:gridCol w:w="607"/>
      </w:tblGrid>
      <w:tr w:rsidR="00C47A7A" w:rsidRPr="0033310C" w14:paraId="01341138" w14:textId="77777777" w:rsidTr="00BD67F1">
        <w:tc>
          <w:tcPr>
            <w:tcW w:w="0" w:type="auto"/>
            <w:hideMark/>
          </w:tcPr>
          <w:p w14:paraId="6284978F" w14:textId="77777777" w:rsidR="00C47A7A" w:rsidRPr="0033310C" w:rsidRDefault="00C47A7A" w:rsidP="00C47A7A">
            <w:pPr>
              <w:pStyle w:val="NoSpacing"/>
            </w:pPr>
            <w:r w:rsidRPr="0033310C">
              <w:t>Empty Cell</w:t>
            </w:r>
          </w:p>
        </w:tc>
        <w:tc>
          <w:tcPr>
            <w:tcW w:w="0" w:type="auto"/>
            <w:hideMark/>
          </w:tcPr>
          <w:p w14:paraId="13BF1406" w14:textId="220BB8A7" w:rsidR="00C47A7A" w:rsidRPr="0033310C" w:rsidRDefault="00C47A7A" w:rsidP="00C47A7A">
            <w:pPr>
              <w:pStyle w:val="NoSpacing"/>
            </w:pPr>
            <w:r w:rsidRPr="0033310C">
              <w:t>Model 7</w:t>
            </w:r>
            <w:r w:rsidRPr="0033310C">
              <w:br/>
              <w:t>Spatial lag</w:t>
            </w:r>
            <w:r w:rsidRPr="0033310C">
              <w:br/>
              <w:t xml:space="preserve">Global model </w:t>
            </w:r>
            <m:oMath>
              <m:r>
                <w:rPr>
                  <w:rFonts w:ascii="Cambria Math" w:hAnsi="Cambria Math"/>
                </w:rPr>
                <m:t>(</m:t>
              </m:r>
              <m:r>
                <w:rPr>
                  <w:rFonts w:ascii="Cambria Math" w:hAnsi="Cambria Math"/>
                </w:rPr>
                <m:t>N</m:t>
              </m:r>
              <m:r>
                <w:rPr>
                  <w:rFonts w:ascii="Cambria Math" w:hAnsi="Cambria Math"/>
                </w:rPr>
                <m:t> = 571)</m:t>
              </m:r>
            </m:oMath>
          </w:p>
        </w:tc>
        <w:tc>
          <w:tcPr>
            <w:tcW w:w="0" w:type="auto"/>
          </w:tcPr>
          <w:p w14:paraId="13B74329" w14:textId="7BC3707B" w:rsidR="00C47A7A" w:rsidRPr="0033310C" w:rsidRDefault="00C47A7A" w:rsidP="00C47A7A">
            <w:pPr>
              <w:pStyle w:val="NoSpacing"/>
            </w:pPr>
          </w:p>
        </w:tc>
        <w:tc>
          <w:tcPr>
            <w:tcW w:w="0" w:type="auto"/>
            <w:hideMark/>
          </w:tcPr>
          <w:p w14:paraId="04138518" w14:textId="553C2FB3" w:rsidR="00C47A7A" w:rsidRPr="0033310C" w:rsidRDefault="00C47A7A" w:rsidP="00C47A7A">
            <w:pPr>
              <w:pStyle w:val="NoSpacing"/>
            </w:pPr>
            <w:r w:rsidRPr="0033310C">
              <w:t>Model 8</w:t>
            </w:r>
            <w:r w:rsidRPr="0033310C">
              <w:br/>
              <w:t>S2SLS</w:t>
            </w:r>
            <w:r w:rsidRPr="0033310C">
              <w:br/>
              <w:t xml:space="preserve">South </w:t>
            </w:r>
            <m:oMath>
              <m:r>
                <w:rPr>
                  <w:rFonts w:ascii="Cambria Math" w:hAnsi="Cambria Math"/>
                </w:rPr>
                <m:t>(</m:t>
              </m:r>
              <m:r>
                <w:rPr>
                  <w:rFonts w:ascii="Cambria Math" w:hAnsi="Cambria Math"/>
                </w:rPr>
                <m:t>N</m:t>
              </m:r>
              <m:r>
                <w:rPr>
                  <w:rFonts w:ascii="Cambria Math" w:hAnsi="Cambria Math"/>
                </w:rPr>
                <m:t> = 119)</m:t>
              </m:r>
            </m:oMath>
          </w:p>
        </w:tc>
        <w:tc>
          <w:tcPr>
            <w:tcW w:w="0" w:type="auto"/>
          </w:tcPr>
          <w:p w14:paraId="7898392F" w14:textId="3438DA17" w:rsidR="00C47A7A" w:rsidRPr="0033310C" w:rsidRDefault="00C47A7A" w:rsidP="00C47A7A">
            <w:pPr>
              <w:pStyle w:val="NoSpacing"/>
            </w:pPr>
          </w:p>
        </w:tc>
        <w:tc>
          <w:tcPr>
            <w:tcW w:w="0" w:type="auto"/>
            <w:hideMark/>
          </w:tcPr>
          <w:p w14:paraId="169F2CD6" w14:textId="121C9063" w:rsidR="00C47A7A" w:rsidRPr="0033310C" w:rsidRDefault="00C47A7A" w:rsidP="00C47A7A">
            <w:pPr>
              <w:pStyle w:val="NoSpacing"/>
            </w:pPr>
            <w:r w:rsidRPr="0033310C">
              <w:t>Model 9</w:t>
            </w:r>
            <w:r w:rsidRPr="0033310C">
              <w:br/>
              <w:t>S2SLS</w:t>
            </w:r>
            <w:r w:rsidRPr="0033310C">
              <w:br/>
              <w:t xml:space="preserve">North </w:t>
            </w:r>
            <m:oMath>
              <m:r>
                <w:rPr>
                  <w:rFonts w:ascii="Cambria Math" w:hAnsi="Cambria Math"/>
                </w:rPr>
                <m:t>(</m:t>
              </m:r>
              <m:r>
                <w:rPr>
                  <w:rFonts w:ascii="Cambria Math" w:hAnsi="Cambria Math"/>
                </w:rPr>
                <m:t>N</m:t>
              </m:r>
              <m:r>
                <w:rPr>
                  <w:rFonts w:ascii="Cambria Math" w:hAnsi="Cambria Math"/>
                </w:rPr>
                <m:t> = 452)</m:t>
              </m:r>
            </m:oMath>
          </w:p>
        </w:tc>
        <w:tc>
          <w:tcPr>
            <w:tcW w:w="0" w:type="auto"/>
          </w:tcPr>
          <w:p w14:paraId="02D6B03F" w14:textId="5048DEFB" w:rsidR="00C47A7A" w:rsidRPr="0033310C" w:rsidRDefault="00C47A7A" w:rsidP="00C47A7A">
            <w:pPr>
              <w:pStyle w:val="NoSpacing"/>
            </w:pPr>
          </w:p>
        </w:tc>
      </w:tr>
      <w:tr w:rsidR="0033310C" w:rsidRPr="0033310C" w14:paraId="28915195" w14:textId="77777777" w:rsidTr="00C47A7A">
        <w:tc>
          <w:tcPr>
            <w:tcW w:w="0" w:type="auto"/>
            <w:hideMark/>
          </w:tcPr>
          <w:p w14:paraId="45854AE4" w14:textId="77777777" w:rsidR="0033310C" w:rsidRPr="0033310C" w:rsidRDefault="0033310C" w:rsidP="00C47A7A">
            <w:pPr>
              <w:pStyle w:val="NoSpacing"/>
            </w:pPr>
          </w:p>
        </w:tc>
        <w:tc>
          <w:tcPr>
            <w:tcW w:w="0" w:type="auto"/>
            <w:hideMark/>
          </w:tcPr>
          <w:p w14:paraId="2596EA7C" w14:textId="77777777" w:rsidR="0033310C" w:rsidRPr="0033310C" w:rsidRDefault="0033310C" w:rsidP="00C47A7A">
            <w:pPr>
              <w:pStyle w:val="NoSpacing"/>
              <w:rPr>
                <w:b/>
                <w:bCs/>
              </w:rPr>
            </w:pPr>
            <w:r w:rsidRPr="0033310C">
              <w:rPr>
                <w:b/>
                <w:bCs/>
                <w:i/>
                <w:iCs/>
              </w:rPr>
              <w:t>B</w:t>
            </w:r>
          </w:p>
        </w:tc>
        <w:tc>
          <w:tcPr>
            <w:tcW w:w="0" w:type="auto"/>
            <w:hideMark/>
          </w:tcPr>
          <w:p w14:paraId="29AE5FBB" w14:textId="77777777" w:rsidR="0033310C" w:rsidRPr="0033310C" w:rsidRDefault="0033310C" w:rsidP="00C47A7A">
            <w:pPr>
              <w:pStyle w:val="NoSpacing"/>
              <w:rPr>
                <w:b/>
                <w:bCs/>
              </w:rPr>
            </w:pPr>
            <w:r w:rsidRPr="0033310C">
              <w:rPr>
                <w:b/>
                <w:bCs/>
              </w:rPr>
              <w:t>SE</w:t>
            </w:r>
          </w:p>
        </w:tc>
        <w:tc>
          <w:tcPr>
            <w:tcW w:w="0" w:type="auto"/>
            <w:hideMark/>
          </w:tcPr>
          <w:p w14:paraId="219B43C1" w14:textId="77777777" w:rsidR="0033310C" w:rsidRPr="0033310C" w:rsidRDefault="0033310C" w:rsidP="00C47A7A">
            <w:pPr>
              <w:pStyle w:val="NoSpacing"/>
              <w:rPr>
                <w:b/>
                <w:bCs/>
              </w:rPr>
            </w:pPr>
            <w:r w:rsidRPr="0033310C">
              <w:rPr>
                <w:b/>
                <w:bCs/>
                <w:i/>
                <w:iCs/>
              </w:rPr>
              <w:t>B</w:t>
            </w:r>
          </w:p>
        </w:tc>
        <w:tc>
          <w:tcPr>
            <w:tcW w:w="0" w:type="auto"/>
            <w:hideMark/>
          </w:tcPr>
          <w:p w14:paraId="5C830D24" w14:textId="77777777" w:rsidR="0033310C" w:rsidRPr="0033310C" w:rsidRDefault="0033310C" w:rsidP="00C47A7A">
            <w:pPr>
              <w:pStyle w:val="NoSpacing"/>
              <w:rPr>
                <w:b/>
                <w:bCs/>
              </w:rPr>
            </w:pPr>
            <w:r w:rsidRPr="0033310C">
              <w:rPr>
                <w:b/>
                <w:bCs/>
              </w:rPr>
              <w:t>SE</w:t>
            </w:r>
          </w:p>
        </w:tc>
        <w:tc>
          <w:tcPr>
            <w:tcW w:w="0" w:type="auto"/>
            <w:hideMark/>
          </w:tcPr>
          <w:p w14:paraId="2A9C099A" w14:textId="77777777" w:rsidR="0033310C" w:rsidRPr="0033310C" w:rsidRDefault="0033310C" w:rsidP="00C47A7A">
            <w:pPr>
              <w:pStyle w:val="NoSpacing"/>
              <w:rPr>
                <w:b/>
                <w:bCs/>
              </w:rPr>
            </w:pPr>
            <w:r w:rsidRPr="0033310C">
              <w:rPr>
                <w:b/>
                <w:bCs/>
                <w:i/>
                <w:iCs/>
              </w:rPr>
              <w:t>B</w:t>
            </w:r>
          </w:p>
        </w:tc>
        <w:tc>
          <w:tcPr>
            <w:tcW w:w="0" w:type="auto"/>
            <w:hideMark/>
          </w:tcPr>
          <w:p w14:paraId="3F292586" w14:textId="77777777" w:rsidR="0033310C" w:rsidRPr="0033310C" w:rsidRDefault="0033310C" w:rsidP="00C47A7A">
            <w:pPr>
              <w:pStyle w:val="NoSpacing"/>
              <w:rPr>
                <w:b/>
                <w:bCs/>
              </w:rPr>
            </w:pPr>
            <w:r w:rsidRPr="0033310C">
              <w:rPr>
                <w:b/>
                <w:bCs/>
              </w:rPr>
              <w:t>SE</w:t>
            </w:r>
          </w:p>
        </w:tc>
      </w:tr>
      <w:tr w:rsidR="0033310C" w:rsidRPr="0033310C" w14:paraId="36CE18D3" w14:textId="77777777" w:rsidTr="00C47A7A">
        <w:tc>
          <w:tcPr>
            <w:tcW w:w="0" w:type="auto"/>
            <w:hideMark/>
          </w:tcPr>
          <w:p w14:paraId="69F39B0A" w14:textId="77777777" w:rsidR="0033310C" w:rsidRPr="0033310C" w:rsidRDefault="0033310C" w:rsidP="00C47A7A">
            <w:pPr>
              <w:pStyle w:val="NoSpacing"/>
            </w:pPr>
            <w:r w:rsidRPr="0033310C">
              <w:t>Constant</w:t>
            </w:r>
          </w:p>
        </w:tc>
        <w:tc>
          <w:tcPr>
            <w:tcW w:w="0" w:type="auto"/>
            <w:hideMark/>
          </w:tcPr>
          <w:p w14:paraId="418FCDA3" w14:textId="77777777" w:rsidR="0033310C" w:rsidRPr="0033310C" w:rsidRDefault="0033310C" w:rsidP="00C47A7A">
            <w:pPr>
              <w:pStyle w:val="NoSpacing"/>
            </w:pPr>
            <w:r w:rsidRPr="0033310C">
              <w:t>−0.04</w:t>
            </w:r>
          </w:p>
        </w:tc>
        <w:tc>
          <w:tcPr>
            <w:tcW w:w="0" w:type="auto"/>
            <w:hideMark/>
          </w:tcPr>
          <w:p w14:paraId="44D0BB7C" w14:textId="77777777" w:rsidR="0033310C" w:rsidRPr="0033310C" w:rsidRDefault="0033310C" w:rsidP="00C47A7A">
            <w:pPr>
              <w:pStyle w:val="NoSpacing"/>
            </w:pPr>
            <w:r w:rsidRPr="0033310C">
              <w:t>0.49</w:t>
            </w:r>
          </w:p>
        </w:tc>
        <w:tc>
          <w:tcPr>
            <w:tcW w:w="0" w:type="auto"/>
            <w:hideMark/>
          </w:tcPr>
          <w:p w14:paraId="16B552A6" w14:textId="77777777" w:rsidR="0033310C" w:rsidRPr="0033310C" w:rsidRDefault="0033310C" w:rsidP="00C47A7A">
            <w:pPr>
              <w:pStyle w:val="NoSpacing"/>
            </w:pPr>
            <w:r w:rsidRPr="0033310C">
              <w:t>−0.50</w:t>
            </w:r>
          </w:p>
        </w:tc>
        <w:tc>
          <w:tcPr>
            <w:tcW w:w="0" w:type="auto"/>
            <w:hideMark/>
          </w:tcPr>
          <w:p w14:paraId="45307289" w14:textId="77777777" w:rsidR="0033310C" w:rsidRPr="0033310C" w:rsidRDefault="0033310C" w:rsidP="00C47A7A">
            <w:pPr>
              <w:pStyle w:val="NoSpacing"/>
            </w:pPr>
            <w:r w:rsidRPr="0033310C">
              <w:t>1.11</w:t>
            </w:r>
          </w:p>
        </w:tc>
        <w:tc>
          <w:tcPr>
            <w:tcW w:w="0" w:type="auto"/>
            <w:hideMark/>
          </w:tcPr>
          <w:p w14:paraId="6EA6CF81" w14:textId="77777777" w:rsidR="0033310C" w:rsidRPr="0033310C" w:rsidRDefault="0033310C" w:rsidP="00C47A7A">
            <w:pPr>
              <w:pStyle w:val="NoSpacing"/>
            </w:pPr>
            <w:r w:rsidRPr="0033310C">
              <w:t>−0.28</w:t>
            </w:r>
          </w:p>
        </w:tc>
        <w:tc>
          <w:tcPr>
            <w:tcW w:w="0" w:type="auto"/>
            <w:hideMark/>
          </w:tcPr>
          <w:p w14:paraId="10736A9F" w14:textId="77777777" w:rsidR="0033310C" w:rsidRPr="0033310C" w:rsidRDefault="0033310C" w:rsidP="00C47A7A">
            <w:pPr>
              <w:pStyle w:val="NoSpacing"/>
            </w:pPr>
            <w:r w:rsidRPr="0033310C">
              <w:t>0.79</w:t>
            </w:r>
          </w:p>
        </w:tc>
      </w:tr>
      <w:tr w:rsidR="0033310C" w:rsidRPr="0033310C" w14:paraId="2219CD34" w14:textId="77777777" w:rsidTr="00C47A7A">
        <w:tc>
          <w:tcPr>
            <w:tcW w:w="0" w:type="auto"/>
            <w:hideMark/>
          </w:tcPr>
          <w:p w14:paraId="1B9B1FEF" w14:textId="77777777" w:rsidR="0033310C" w:rsidRPr="0033310C" w:rsidRDefault="0033310C" w:rsidP="00C47A7A">
            <w:pPr>
              <w:pStyle w:val="NoSpacing"/>
            </w:pPr>
            <w:bookmarkStart w:id="73" w:name="btblfn8" w:colFirst="1" w:colLast="5"/>
            <w:r w:rsidRPr="0033310C">
              <w:t>Population density</w:t>
            </w:r>
          </w:p>
        </w:tc>
        <w:tc>
          <w:tcPr>
            <w:tcW w:w="0" w:type="auto"/>
            <w:hideMark/>
          </w:tcPr>
          <w:p w14:paraId="2924E007" w14:textId="53DDB373" w:rsidR="0033310C" w:rsidRPr="0033310C" w:rsidRDefault="0033310C" w:rsidP="00C47A7A">
            <w:pPr>
              <w:pStyle w:val="NoSpacing"/>
            </w:pPr>
            <w:r w:rsidRPr="0033310C">
              <w:t>0.00</w:t>
            </w:r>
            <w:r w:rsidRPr="0033310C">
              <w:rPr>
                <w:rFonts w:ascii="Tahoma" w:hAnsi="Tahoma" w:cs="Tahoma"/>
                <w:vertAlign w:val="superscript"/>
              </w:rPr>
              <w:t>⁎⁎</w:t>
            </w:r>
          </w:p>
        </w:tc>
        <w:tc>
          <w:tcPr>
            <w:tcW w:w="0" w:type="auto"/>
            <w:hideMark/>
          </w:tcPr>
          <w:p w14:paraId="06B33BF9" w14:textId="77777777" w:rsidR="0033310C" w:rsidRPr="0033310C" w:rsidRDefault="0033310C" w:rsidP="00C47A7A">
            <w:pPr>
              <w:pStyle w:val="NoSpacing"/>
            </w:pPr>
            <w:r w:rsidRPr="0033310C">
              <w:t>0.00</w:t>
            </w:r>
          </w:p>
        </w:tc>
        <w:tc>
          <w:tcPr>
            <w:tcW w:w="0" w:type="auto"/>
            <w:hideMark/>
          </w:tcPr>
          <w:p w14:paraId="25106140" w14:textId="77777777" w:rsidR="0033310C" w:rsidRPr="0033310C" w:rsidRDefault="0033310C" w:rsidP="00C47A7A">
            <w:pPr>
              <w:pStyle w:val="NoSpacing"/>
            </w:pPr>
            <w:r w:rsidRPr="0033310C">
              <w:t>0.00</w:t>
            </w:r>
          </w:p>
        </w:tc>
        <w:tc>
          <w:tcPr>
            <w:tcW w:w="0" w:type="auto"/>
            <w:hideMark/>
          </w:tcPr>
          <w:p w14:paraId="006FAB05" w14:textId="77777777" w:rsidR="0033310C" w:rsidRPr="0033310C" w:rsidRDefault="0033310C" w:rsidP="00C47A7A">
            <w:pPr>
              <w:pStyle w:val="NoSpacing"/>
            </w:pPr>
            <w:r w:rsidRPr="0033310C">
              <w:t>0.00</w:t>
            </w:r>
          </w:p>
        </w:tc>
        <w:tc>
          <w:tcPr>
            <w:tcW w:w="0" w:type="auto"/>
            <w:hideMark/>
          </w:tcPr>
          <w:p w14:paraId="57009F54" w14:textId="7AED6CF9" w:rsidR="0033310C" w:rsidRPr="0033310C" w:rsidRDefault="0033310C" w:rsidP="00C47A7A">
            <w:pPr>
              <w:pStyle w:val="NoSpacing"/>
            </w:pPr>
            <w:r w:rsidRPr="0033310C">
              <w:t>0.00</w:t>
            </w:r>
            <w:r w:rsidRPr="0033310C">
              <w:rPr>
                <w:rFonts w:ascii="Tahoma" w:hAnsi="Tahoma" w:cs="Tahoma"/>
                <w:vertAlign w:val="superscript"/>
              </w:rPr>
              <w:t>⁎⁎</w:t>
            </w:r>
          </w:p>
        </w:tc>
        <w:tc>
          <w:tcPr>
            <w:tcW w:w="0" w:type="auto"/>
            <w:hideMark/>
          </w:tcPr>
          <w:p w14:paraId="4DED426A" w14:textId="77777777" w:rsidR="0033310C" w:rsidRPr="0033310C" w:rsidRDefault="0033310C" w:rsidP="00C47A7A">
            <w:pPr>
              <w:pStyle w:val="NoSpacing"/>
            </w:pPr>
            <w:r w:rsidRPr="0033310C">
              <w:t>0.00</w:t>
            </w:r>
          </w:p>
        </w:tc>
      </w:tr>
      <w:tr w:rsidR="0033310C" w:rsidRPr="0033310C" w14:paraId="44B052BC" w14:textId="77777777" w:rsidTr="00C47A7A">
        <w:tc>
          <w:tcPr>
            <w:tcW w:w="0" w:type="auto"/>
            <w:hideMark/>
          </w:tcPr>
          <w:p w14:paraId="52E1FE8F" w14:textId="77777777" w:rsidR="0033310C" w:rsidRPr="0033310C" w:rsidRDefault="0033310C" w:rsidP="00C47A7A">
            <w:pPr>
              <w:pStyle w:val="NoSpacing"/>
            </w:pPr>
            <w:r w:rsidRPr="0033310C">
              <w:t>Proportion young</w:t>
            </w:r>
          </w:p>
        </w:tc>
        <w:tc>
          <w:tcPr>
            <w:tcW w:w="0" w:type="auto"/>
            <w:hideMark/>
          </w:tcPr>
          <w:p w14:paraId="42EF9668" w14:textId="77777777" w:rsidR="0033310C" w:rsidRPr="0033310C" w:rsidRDefault="0033310C" w:rsidP="00C47A7A">
            <w:pPr>
              <w:pStyle w:val="NoSpacing"/>
            </w:pPr>
            <w:r w:rsidRPr="0033310C">
              <w:t>−0.75</w:t>
            </w:r>
          </w:p>
        </w:tc>
        <w:tc>
          <w:tcPr>
            <w:tcW w:w="0" w:type="auto"/>
            <w:hideMark/>
          </w:tcPr>
          <w:p w14:paraId="7C69E12E" w14:textId="77777777" w:rsidR="0033310C" w:rsidRPr="0033310C" w:rsidRDefault="0033310C" w:rsidP="00C47A7A">
            <w:pPr>
              <w:pStyle w:val="NoSpacing"/>
            </w:pPr>
            <w:r w:rsidRPr="0033310C">
              <w:t>1.15</w:t>
            </w:r>
          </w:p>
        </w:tc>
        <w:tc>
          <w:tcPr>
            <w:tcW w:w="0" w:type="auto"/>
            <w:hideMark/>
          </w:tcPr>
          <w:p w14:paraId="04F093E8" w14:textId="77777777" w:rsidR="0033310C" w:rsidRPr="0033310C" w:rsidRDefault="0033310C" w:rsidP="00C47A7A">
            <w:pPr>
              <w:pStyle w:val="NoSpacing"/>
            </w:pPr>
            <w:r w:rsidRPr="0033310C">
              <w:t>8.12</w:t>
            </w:r>
          </w:p>
        </w:tc>
        <w:tc>
          <w:tcPr>
            <w:tcW w:w="0" w:type="auto"/>
            <w:hideMark/>
          </w:tcPr>
          <w:p w14:paraId="1C66D7DE" w14:textId="77777777" w:rsidR="0033310C" w:rsidRPr="0033310C" w:rsidRDefault="0033310C" w:rsidP="00C47A7A">
            <w:pPr>
              <w:pStyle w:val="NoSpacing"/>
            </w:pPr>
            <w:r w:rsidRPr="0033310C">
              <w:t>9.78</w:t>
            </w:r>
          </w:p>
        </w:tc>
        <w:tc>
          <w:tcPr>
            <w:tcW w:w="0" w:type="auto"/>
            <w:hideMark/>
          </w:tcPr>
          <w:p w14:paraId="3074160C" w14:textId="77777777" w:rsidR="0033310C" w:rsidRPr="0033310C" w:rsidRDefault="0033310C" w:rsidP="00C47A7A">
            <w:pPr>
              <w:pStyle w:val="NoSpacing"/>
            </w:pPr>
            <w:r w:rsidRPr="0033310C">
              <w:t>−1.35</w:t>
            </w:r>
          </w:p>
        </w:tc>
        <w:tc>
          <w:tcPr>
            <w:tcW w:w="0" w:type="auto"/>
            <w:hideMark/>
          </w:tcPr>
          <w:p w14:paraId="707E9F40" w14:textId="77777777" w:rsidR="0033310C" w:rsidRPr="0033310C" w:rsidRDefault="0033310C" w:rsidP="00C47A7A">
            <w:pPr>
              <w:pStyle w:val="NoSpacing"/>
            </w:pPr>
            <w:r w:rsidRPr="0033310C">
              <w:t>1.27</w:t>
            </w:r>
          </w:p>
        </w:tc>
      </w:tr>
      <w:tr w:rsidR="0033310C" w:rsidRPr="0033310C" w14:paraId="1E391234" w14:textId="77777777" w:rsidTr="00C47A7A">
        <w:tc>
          <w:tcPr>
            <w:tcW w:w="0" w:type="auto"/>
            <w:hideMark/>
          </w:tcPr>
          <w:p w14:paraId="3B62D322" w14:textId="77777777" w:rsidR="0033310C" w:rsidRPr="0033310C" w:rsidRDefault="0033310C" w:rsidP="00C47A7A">
            <w:pPr>
              <w:pStyle w:val="NoSpacing"/>
            </w:pPr>
            <w:r w:rsidRPr="0033310C">
              <w:t>Proportion African American</w:t>
            </w:r>
          </w:p>
        </w:tc>
        <w:tc>
          <w:tcPr>
            <w:tcW w:w="0" w:type="auto"/>
            <w:hideMark/>
          </w:tcPr>
          <w:p w14:paraId="594A9B36" w14:textId="7F1BBEE2" w:rsidR="0033310C" w:rsidRPr="0033310C" w:rsidRDefault="0033310C" w:rsidP="00C47A7A">
            <w:pPr>
              <w:pStyle w:val="NoSpacing"/>
            </w:pPr>
            <w:r w:rsidRPr="0033310C">
              <w:t>2.08</w:t>
            </w:r>
            <w:r w:rsidRPr="0033310C">
              <w:rPr>
                <w:rFonts w:ascii="Tahoma" w:hAnsi="Tahoma" w:cs="Tahoma"/>
                <w:vertAlign w:val="superscript"/>
              </w:rPr>
              <w:t>⁎⁎</w:t>
            </w:r>
          </w:p>
        </w:tc>
        <w:tc>
          <w:tcPr>
            <w:tcW w:w="0" w:type="auto"/>
            <w:hideMark/>
          </w:tcPr>
          <w:p w14:paraId="1E315AFC" w14:textId="77777777" w:rsidR="0033310C" w:rsidRPr="0033310C" w:rsidRDefault="0033310C" w:rsidP="00C47A7A">
            <w:pPr>
              <w:pStyle w:val="NoSpacing"/>
            </w:pPr>
            <w:r w:rsidRPr="0033310C">
              <w:t>0.45</w:t>
            </w:r>
          </w:p>
        </w:tc>
        <w:tc>
          <w:tcPr>
            <w:tcW w:w="0" w:type="auto"/>
            <w:hideMark/>
          </w:tcPr>
          <w:p w14:paraId="667C2C64" w14:textId="77777777" w:rsidR="0033310C" w:rsidRPr="0033310C" w:rsidRDefault="0033310C" w:rsidP="00C47A7A">
            <w:pPr>
              <w:pStyle w:val="NoSpacing"/>
            </w:pPr>
            <w:r w:rsidRPr="0033310C">
              <w:t>−1.95</w:t>
            </w:r>
          </w:p>
        </w:tc>
        <w:tc>
          <w:tcPr>
            <w:tcW w:w="0" w:type="auto"/>
            <w:hideMark/>
          </w:tcPr>
          <w:p w14:paraId="44BFF708" w14:textId="77777777" w:rsidR="0033310C" w:rsidRPr="0033310C" w:rsidRDefault="0033310C" w:rsidP="00C47A7A">
            <w:pPr>
              <w:pStyle w:val="NoSpacing"/>
            </w:pPr>
            <w:r w:rsidRPr="0033310C">
              <w:t>6.97</w:t>
            </w:r>
          </w:p>
        </w:tc>
        <w:tc>
          <w:tcPr>
            <w:tcW w:w="0" w:type="auto"/>
            <w:hideMark/>
          </w:tcPr>
          <w:p w14:paraId="1374CDAB" w14:textId="72C858DD" w:rsidR="0033310C" w:rsidRPr="0033310C" w:rsidRDefault="0033310C" w:rsidP="00C47A7A">
            <w:pPr>
              <w:pStyle w:val="NoSpacing"/>
            </w:pPr>
            <w:r w:rsidRPr="0033310C">
              <w:t>1.67</w:t>
            </w:r>
            <w:r w:rsidRPr="0033310C">
              <w:rPr>
                <w:rFonts w:ascii="Tahoma" w:hAnsi="Tahoma" w:cs="Tahoma"/>
                <w:vertAlign w:val="superscript"/>
              </w:rPr>
              <w:t>⁎⁎</w:t>
            </w:r>
          </w:p>
        </w:tc>
        <w:tc>
          <w:tcPr>
            <w:tcW w:w="0" w:type="auto"/>
            <w:hideMark/>
          </w:tcPr>
          <w:p w14:paraId="0302D1D9" w14:textId="77777777" w:rsidR="0033310C" w:rsidRPr="0033310C" w:rsidRDefault="0033310C" w:rsidP="00C47A7A">
            <w:pPr>
              <w:pStyle w:val="NoSpacing"/>
            </w:pPr>
            <w:r w:rsidRPr="0033310C">
              <w:t>0.53</w:t>
            </w:r>
          </w:p>
        </w:tc>
      </w:tr>
      <w:tr w:rsidR="0033310C" w:rsidRPr="0033310C" w14:paraId="06466C15" w14:textId="77777777" w:rsidTr="00C47A7A">
        <w:tc>
          <w:tcPr>
            <w:tcW w:w="0" w:type="auto"/>
            <w:hideMark/>
          </w:tcPr>
          <w:p w14:paraId="0E7C1A5B" w14:textId="77777777" w:rsidR="0033310C" w:rsidRPr="0033310C" w:rsidRDefault="0033310C" w:rsidP="00C47A7A">
            <w:pPr>
              <w:pStyle w:val="NoSpacing"/>
            </w:pPr>
            <w:r w:rsidRPr="0033310C">
              <w:t>Proportion single parent households</w:t>
            </w:r>
          </w:p>
        </w:tc>
        <w:tc>
          <w:tcPr>
            <w:tcW w:w="0" w:type="auto"/>
            <w:hideMark/>
          </w:tcPr>
          <w:p w14:paraId="4A0BC7C9" w14:textId="77777777" w:rsidR="0033310C" w:rsidRPr="0033310C" w:rsidRDefault="0033310C" w:rsidP="00C47A7A">
            <w:pPr>
              <w:pStyle w:val="NoSpacing"/>
            </w:pPr>
            <w:r w:rsidRPr="0033310C">
              <w:t>2.49</w:t>
            </w:r>
          </w:p>
        </w:tc>
        <w:tc>
          <w:tcPr>
            <w:tcW w:w="0" w:type="auto"/>
            <w:hideMark/>
          </w:tcPr>
          <w:p w14:paraId="40FC42BC" w14:textId="77777777" w:rsidR="0033310C" w:rsidRPr="0033310C" w:rsidRDefault="0033310C" w:rsidP="00C47A7A">
            <w:pPr>
              <w:pStyle w:val="NoSpacing"/>
            </w:pPr>
            <w:r w:rsidRPr="0033310C">
              <w:t>1.34</w:t>
            </w:r>
          </w:p>
        </w:tc>
        <w:tc>
          <w:tcPr>
            <w:tcW w:w="0" w:type="auto"/>
            <w:hideMark/>
          </w:tcPr>
          <w:p w14:paraId="28990289" w14:textId="77777777" w:rsidR="0033310C" w:rsidRPr="0033310C" w:rsidRDefault="0033310C" w:rsidP="00C47A7A">
            <w:pPr>
              <w:pStyle w:val="NoSpacing"/>
            </w:pPr>
            <w:r w:rsidRPr="0033310C">
              <w:t>0.01</w:t>
            </w:r>
          </w:p>
        </w:tc>
        <w:tc>
          <w:tcPr>
            <w:tcW w:w="0" w:type="auto"/>
            <w:hideMark/>
          </w:tcPr>
          <w:p w14:paraId="11030C40" w14:textId="77777777" w:rsidR="0033310C" w:rsidRPr="0033310C" w:rsidRDefault="0033310C" w:rsidP="00C47A7A">
            <w:pPr>
              <w:pStyle w:val="NoSpacing"/>
            </w:pPr>
            <w:r w:rsidRPr="0033310C">
              <w:t>4.62</w:t>
            </w:r>
          </w:p>
        </w:tc>
        <w:tc>
          <w:tcPr>
            <w:tcW w:w="0" w:type="auto"/>
            <w:hideMark/>
          </w:tcPr>
          <w:p w14:paraId="3CF9BBDB" w14:textId="77777777" w:rsidR="0033310C" w:rsidRPr="0033310C" w:rsidRDefault="0033310C" w:rsidP="00C47A7A">
            <w:pPr>
              <w:pStyle w:val="NoSpacing"/>
            </w:pPr>
            <w:r w:rsidRPr="0033310C">
              <w:t>2.61</w:t>
            </w:r>
          </w:p>
        </w:tc>
        <w:tc>
          <w:tcPr>
            <w:tcW w:w="0" w:type="auto"/>
            <w:hideMark/>
          </w:tcPr>
          <w:p w14:paraId="53A89AC5" w14:textId="77777777" w:rsidR="0033310C" w:rsidRPr="0033310C" w:rsidRDefault="0033310C" w:rsidP="00C47A7A">
            <w:pPr>
              <w:pStyle w:val="NoSpacing"/>
            </w:pPr>
            <w:r w:rsidRPr="0033310C">
              <w:t>1.57</w:t>
            </w:r>
          </w:p>
        </w:tc>
      </w:tr>
      <w:tr w:rsidR="0033310C" w:rsidRPr="0033310C" w14:paraId="7E97970F" w14:textId="77777777" w:rsidTr="00C47A7A">
        <w:tc>
          <w:tcPr>
            <w:tcW w:w="0" w:type="auto"/>
            <w:hideMark/>
          </w:tcPr>
          <w:p w14:paraId="56AD2669" w14:textId="77777777" w:rsidR="0033310C" w:rsidRPr="0033310C" w:rsidRDefault="0033310C" w:rsidP="00C47A7A">
            <w:pPr>
              <w:pStyle w:val="NoSpacing"/>
            </w:pPr>
            <w:r w:rsidRPr="0033310C">
              <w:t>Proportion renter occupied housing units</w:t>
            </w:r>
          </w:p>
        </w:tc>
        <w:tc>
          <w:tcPr>
            <w:tcW w:w="0" w:type="auto"/>
            <w:hideMark/>
          </w:tcPr>
          <w:p w14:paraId="4BA7809B" w14:textId="77777777" w:rsidR="0033310C" w:rsidRPr="0033310C" w:rsidRDefault="0033310C" w:rsidP="00C47A7A">
            <w:pPr>
              <w:pStyle w:val="NoSpacing"/>
            </w:pPr>
            <w:r w:rsidRPr="0033310C">
              <w:t>0.56</w:t>
            </w:r>
          </w:p>
        </w:tc>
        <w:tc>
          <w:tcPr>
            <w:tcW w:w="0" w:type="auto"/>
            <w:hideMark/>
          </w:tcPr>
          <w:p w14:paraId="73FD9AD0" w14:textId="77777777" w:rsidR="0033310C" w:rsidRPr="0033310C" w:rsidRDefault="0033310C" w:rsidP="00C47A7A">
            <w:pPr>
              <w:pStyle w:val="NoSpacing"/>
            </w:pPr>
            <w:r w:rsidRPr="0033310C">
              <w:t>0.70</w:t>
            </w:r>
          </w:p>
        </w:tc>
        <w:tc>
          <w:tcPr>
            <w:tcW w:w="0" w:type="auto"/>
            <w:hideMark/>
          </w:tcPr>
          <w:p w14:paraId="63291BF7" w14:textId="77777777" w:rsidR="0033310C" w:rsidRPr="0033310C" w:rsidRDefault="0033310C" w:rsidP="00C47A7A">
            <w:pPr>
              <w:pStyle w:val="NoSpacing"/>
            </w:pPr>
            <w:r w:rsidRPr="0033310C">
              <w:t>0.02</w:t>
            </w:r>
          </w:p>
        </w:tc>
        <w:tc>
          <w:tcPr>
            <w:tcW w:w="0" w:type="auto"/>
            <w:hideMark/>
          </w:tcPr>
          <w:p w14:paraId="3B22BD0E" w14:textId="77777777" w:rsidR="0033310C" w:rsidRPr="0033310C" w:rsidRDefault="0033310C" w:rsidP="00C47A7A">
            <w:pPr>
              <w:pStyle w:val="NoSpacing"/>
            </w:pPr>
            <w:r w:rsidRPr="0033310C">
              <w:t>1.33</w:t>
            </w:r>
          </w:p>
        </w:tc>
        <w:tc>
          <w:tcPr>
            <w:tcW w:w="0" w:type="auto"/>
            <w:hideMark/>
          </w:tcPr>
          <w:p w14:paraId="3EBB9242" w14:textId="77777777" w:rsidR="0033310C" w:rsidRPr="0033310C" w:rsidRDefault="0033310C" w:rsidP="00C47A7A">
            <w:pPr>
              <w:pStyle w:val="NoSpacing"/>
            </w:pPr>
            <w:r w:rsidRPr="0033310C">
              <w:t>1.06</w:t>
            </w:r>
          </w:p>
        </w:tc>
        <w:tc>
          <w:tcPr>
            <w:tcW w:w="0" w:type="auto"/>
            <w:hideMark/>
          </w:tcPr>
          <w:p w14:paraId="3CE6D574" w14:textId="77777777" w:rsidR="0033310C" w:rsidRPr="0033310C" w:rsidRDefault="0033310C" w:rsidP="00C47A7A">
            <w:pPr>
              <w:pStyle w:val="NoSpacing"/>
            </w:pPr>
            <w:r w:rsidRPr="0033310C">
              <w:t>0.84</w:t>
            </w:r>
          </w:p>
        </w:tc>
      </w:tr>
      <w:tr w:rsidR="0033310C" w:rsidRPr="0033310C" w14:paraId="69F75E14" w14:textId="77777777" w:rsidTr="00C47A7A">
        <w:tc>
          <w:tcPr>
            <w:tcW w:w="0" w:type="auto"/>
            <w:hideMark/>
          </w:tcPr>
          <w:p w14:paraId="188B0513" w14:textId="77777777" w:rsidR="0033310C" w:rsidRPr="0033310C" w:rsidRDefault="0033310C" w:rsidP="00C47A7A">
            <w:pPr>
              <w:pStyle w:val="NoSpacing"/>
            </w:pPr>
            <w:r w:rsidRPr="0033310C">
              <w:t>Proportion living in poverty</w:t>
            </w:r>
          </w:p>
        </w:tc>
        <w:tc>
          <w:tcPr>
            <w:tcW w:w="0" w:type="auto"/>
            <w:hideMark/>
          </w:tcPr>
          <w:p w14:paraId="284E6FAA" w14:textId="77777777" w:rsidR="0033310C" w:rsidRPr="0033310C" w:rsidRDefault="0033310C" w:rsidP="00C47A7A">
            <w:pPr>
              <w:pStyle w:val="NoSpacing"/>
            </w:pPr>
            <w:r w:rsidRPr="0033310C">
              <w:t>1.70</w:t>
            </w:r>
          </w:p>
        </w:tc>
        <w:tc>
          <w:tcPr>
            <w:tcW w:w="0" w:type="auto"/>
            <w:hideMark/>
          </w:tcPr>
          <w:p w14:paraId="641E845A" w14:textId="77777777" w:rsidR="0033310C" w:rsidRPr="0033310C" w:rsidRDefault="0033310C" w:rsidP="00C47A7A">
            <w:pPr>
              <w:pStyle w:val="NoSpacing"/>
            </w:pPr>
            <w:r w:rsidRPr="0033310C">
              <w:t>1.03</w:t>
            </w:r>
          </w:p>
        </w:tc>
        <w:tc>
          <w:tcPr>
            <w:tcW w:w="0" w:type="auto"/>
            <w:hideMark/>
          </w:tcPr>
          <w:p w14:paraId="01C8685C" w14:textId="77777777" w:rsidR="0033310C" w:rsidRPr="0033310C" w:rsidRDefault="0033310C" w:rsidP="00C47A7A">
            <w:pPr>
              <w:pStyle w:val="NoSpacing"/>
            </w:pPr>
            <w:r w:rsidRPr="0033310C">
              <w:t>−1.63</w:t>
            </w:r>
          </w:p>
        </w:tc>
        <w:tc>
          <w:tcPr>
            <w:tcW w:w="0" w:type="auto"/>
            <w:hideMark/>
          </w:tcPr>
          <w:p w14:paraId="005847F9" w14:textId="77777777" w:rsidR="0033310C" w:rsidRPr="0033310C" w:rsidRDefault="0033310C" w:rsidP="00C47A7A">
            <w:pPr>
              <w:pStyle w:val="NoSpacing"/>
            </w:pPr>
            <w:r w:rsidRPr="0033310C">
              <w:t>2.91</w:t>
            </w:r>
          </w:p>
        </w:tc>
        <w:tc>
          <w:tcPr>
            <w:tcW w:w="0" w:type="auto"/>
            <w:hideMark/>
          </w:tcPr>
          <w:p w14:paraId="55CDD7ED" w14:textId="77777777" w:rsidR="0033310C" w:rsidRPr="0033310C" w:rsidRDefault="0033310C" w:rsidP="00C47A7A">
            <w:pPr>
              <w:pStyle w:val="NoSpacing"/>
            </w:pPr>
            <w:r w:rsidRPr="0033310C">
              <w:t>1.72</w:t>
            </w:r>
          </w:p>
        </w:tc>
        <w:tc>
          <w:tcPr>
            <w:tcW w:w="0" w:type="auto"/>
            <w:hideMark/>
          </w:tcPr>
          <w:p w14:paraId="54E17FF9" w14:textId="77777777" w:rsidR="0033310C" w:rsidRPr="0033310C" w:rsidRDefault="0033310C" w:rsidP="00C47A7A">
            <w:pPr>
              <w:pStyle w:val="NoSpacing"/>
            </w:pPr>
            <w:r w:rsidRPr="0033310C">
              <w:t>1.12</w:t>
            </w:r>
          </w:p>
        </w:tc>
      </w:tr>
      <w:tr w:rsidR="0033310C" w:rsidRPr="0033310C" w14:paraId="207F93F0" w14:textId="77777777" w:rsidTr="00C47A7A">
        <w:tc>
          <w:tcPr>
            <w:tcW w:w="0" w:type="auto"/>
            <w:hideMark/>
          </w:tcPr>
          <w:p w14:paraId="51E11150" w14:textId="77777777" w:rsidR="0033310C" w:rsidRPr="0033310C" w:rsidRDefault="0033310C" w:rsidP="00C47A7A">
            <w:pPr>
              <w:pStyle w:val="NoSpacing"/>
            </w:pPr>
            <w:r w:rsidRPr="0033310C">
              <w:t>Distance from city center</w:t>
            </w:r>
          </w:p>
        </w:tc>
        <w:tc>
          <w:tcPr>
            <w:tcW w:w="0" w:type="auto"/>
            <w:hideMark/>
          </w:tcPr>
          <w:p w14:paraId="4262010E" w14:textId="77777777" w:rsidR="0033310C" w:rsidRPr="0033310C" w:rsidRDefault="0033310C" w:rsidP="00C47A7A">
            <w:pPr>
              <w:pStyle w:val="NoSpacing"/>
            </w:pPr>
            <w:r w:rsidRPr="0033310C">
              <w:t>−0.12</w:t>
            </w:r>
          </w:p>
        </w:tc>
        <w:tc>
          <w:tcPr>
            <w:tcW w:w="0" w:type="auto"/>
            <w:hideMark/>
          </w:tcPr>
          <w:p w14:paraId="44CF4B81" w14:textId="77777777" w:rsidR="0033310C" w:rsidRPr="0033310C" w:rsidRDefault="0033310C" w:rsidP="00C47A7A">
            <w:pPr>
              <w:pStyle w:val="NoSpacing"/>
            </w:pPr>
            <w:r w:rsidRPr="0033310C">
              <w:t>0.05</w:t>
            </w:r>
          </w:p>
        </w:tc>
        <w:tc>
          <w:tcPr>
            <w:tcW w:w="0" w:type="auto"/>
            <w:hideMark/>
          </w:tcPr>
          <w:p w14:paraId="5F907066" w14:textId="77777777" w:rsidR="0033310C" w:rsidRPr="0033310C" w:rsidRDefault="0033310C" w:rsidP="00C47A7A">
            <w:pPr>
              <w:pStyle w:val="NoSpacing"/>
            </w:pPr>
            <w:r w:rsidRPr="0033310C">
              <w:t>−0.03</w:t>
            </w:r>
          </w:p>
        </w:tc>
        <w:tc>
          <w:tcPr>
            <w:tcW w:w="0" w:type="auto"/>
            <w:hideMark/>
          </w:tcPr>
          <w:p w14:paraId="4334DF68" w14:textId="77777777" w:rsidR="0033310C" w:rsidRPr="0033310C" w:rsidRDefault="0033310C" w:rsidP="00C47A7A">
            <w:pPr>
              <w:pStyle w:val="NoSpacing"/>
            </w:pPr>
            <w:r w:rsidRPr="0033310C">
              <w:t>1.17</w:t>
            </w:r>
          </w:p>
        </w:tc>
        <w:tc>
          <w:tcPr>
            <w:tcW w:w="0" w:type="auto"/>
            <w:hideMark/>
          </w:tcPr>
          <w:p w14:paraId="5E6B7744" w14:textId="77777777" w:rsidR="0033310C" w:rsidRPr="0033310C" w:rsidRDefault="0033310C" w:rsidP="00C47A7A">
            <w:pPr>
              <w:pStyle w:val="NoSpacing"/>
            </w:pPr>
            <w:r w:rsidRPr="0033310C">
              <w:t>−0.09</w:t>
            </w:r>
          </w:p>
        </w:tc>
        <w:tc>
          <w:tcPr>
            <w:tcW w:w="0" w:type="auto"/>
            <w:hideMark/>
          </w:tcPr>
          <w:p w14:paraId="5BCB476A" w14:textId="77777777" w:rsidR="0033310C" w:rsidRPr="0033310C" w:rsidRDefault="0033310C" w:rsidP="00C47A7A">
            <w:pPr>
              <w:pStyle w:val="NoSpacing"/>
            </w:pPr>
            <w:r w:rsidRPr="0033310C">
              <w:t>0.08</w:t>
            </w:r>
          </w:p>
        </w:tc>
      </w:tr>
      <w:tr w:rsidR="0033310C" w:rsidRPr="0033310C" w14:paraId="4DA619B6" w14:textId="77777777" w:rsidTr="00C47A7A">
        <w:tc>
          <w:tcPr>
            <w:tcW w:w="0" w:type="auto"/>
            <w:hideMark/>
          </w:tcPr>
          <w:p w14:paraId="595B1D47" w14:textId="77777777" w:rsidR="0033310C" w:rsidRPr="0033310C" w:rsidRDefault="0033310C" w:rsidP="00C47A7A">
            <w:pPr>
              <w:pStyle w:val="NoSpacing"/>
            </w:pPr>
            <w:r w:rsidRPr="0033310C">
              <w:rPr>
                <w:i/>
                <w:iCs/>
              </w:rPr>
              <w:t>Rho</w:t>
            </w:r>
            <w:r w:rsidRPr="0033310C">
              <w:t> sqrt robbery density</w:t>
            </w:r>
          </w:p>
        </w:tc>
        <w:tc>
          <w:tcPr>
            <w:tcW w:w="0" w:type="auto"/>
            <w:hideMark/>
          </w:tcPr>
          <w:p w14:paraId="177F0463" w14:textId="41CF30E6" w:rsidR="0033310C" w:rsidRPr="0033310C" w:rsidRDefault="0033310C" w:rsidP="00C47A7A">
            <w:pPr>
              <w:pStyle w:val="NoSpacing"/>
            </w:pPr>
            <w:r w:rsidRPr="0033310C">
              <w:t>0.38</w:t>
            </w:r>
            <w:r w:rsidRPr="0033310C">
              <w:rPr>
                <w:rFonts w:ascii="Tahoma" w:hAnsi="Tahoma" w:cs="Tahoma"/>
                <w:vertAlign w:val="superscript"/>
              </w:rPr>
              <w:t>⁎⁎</w:t>
            </w:r>
          </w:p>
        </w:tc>
        <w:tc>
          <w:tcPr>
            <w:tcW w:w="0" w:type="auto"/>
            <w:hideMark/>
          </w:tcPr>
          <w:p w14:paraId="7ED80A66" w14:textId="77777777" w:rsidR="0033310C" w:rsidRPr="0033310C" w:rsidRDefault="0033310C" w:rsidP="00C47A7A">
            <w:pPr>
              <w:pStyle w:val="NoSpacing"/>
            </w:pPr>
            <w:r w:rsidRPr="0033310C">
              <w:t>0.05</w:t>
            </w:r>
          </w:p>
        </w:tc>
        <w:tc>
          <w:tcPr>
            <w:tcW w:w="0" w:type="auto"/>
            <w:hideMark/>
          </w:tcPr>
          <w:p w14:paraId="4113F359" w14:textId="2901A8A3" w:rsidR="0033310C" w:rsidRPr="0033310C" w:rsidRDefault="0033310C" w:rsidP="00C47A7A">
            <w:pPr>
              <w:pStyle w:val="NoSpacing"/>
            </w:pPr>
            <w:r w:rsidRPr="0033310C">
              <w:t>0.64</w:t>
            </w:r>
            <w:bookmarkStart w:id="74" w:name="btblfn7" w:colFirst="3" w:colLast="3"/>
            <w:r w:rsidRPr="0033310C">
              <w:rPr>
                <w:rFonts w:ascii="Tahoma" w:hAnsi="Tahoma" w:cs="Tahoma"/>
                <w:vertAlign w:val="superscript"/>
              </w:rPr>
              <w:t>⁎</w:t>
            </w:r>
          </w:p>
        </w:tc>
        <w:tc>
          <w:tcPr>
            <w:tcW w:w="0" w:type="auto"/>
            <w:hideMark/>
          </w:tcPr>
          <w:p w14:paraId="356B86C2" w14:textId="77777777" w:rsidR="0033310C" w:rsidRPr="0033310C" w:rsidRDefault="0033310C" w:rsidP="00C47A7A">
            <w:pPr>
              <w:pStyle w:val="NoSpacing"/>
            </w:pPr>
            <w:r w:rsidRPr="0033310C">
              <w:t>0.03</w:t>
            </w:r>
          </w:p>
        </w:tc>
        <w:tc>
          <w:tcPr>
            <w:tcW w:w="0" w:type="auto"/>
            <w:hideMark/>
          </w:tcPr>
          <w:p w14:paraId="791D89C1" w14:textId="4298A7A6" w:rsidR="0033310C" w:rsidRPr="0033310C" w:rsidRDefault="0033310C" w:rsidP="00C47A7A">
            <w:pPr>
              <w:pStyle w:val="NoSpacing"/>
            </w:pPr>
            <w:r w:rsidRPr="0033310C">
              <w:t>0.43</w:t>
            </w:r>
            <w:r w:rsidRPr="0033310C">
              <w:rPr>
                <w:rFonts w:ascii="Tahoma" w:hAnsi="Tahoma" w:cs="Tahoma"/>
                <w:vertAlign w:val="superscript"/>
              </w:rPr>
              <w:t>⁎⁎</w:t>
            </w:r>
          </w:p>
        </w:tc>
        <w:tc>
          <w:tcPr>
            <w:tcW w:w="0" w:type="auto"/>
            <w:hideMark/>
          </w:tcPr>
          <w:p w14:paraId="7D3AA3AD" w14:textId="77777777" w:rsidR="0033310C" w:rsidRPr="0033310C" w:rsidRDefault="0033310C" w:rsidP="00C47A7A">
            <w:pPr>
              <w:pStyle w:val="NoSpacing"/>
            </w:pPr>
            <w:r w:rsidRPr="0033310C">
              <w:t>0.11</w:t>
            </w:r>
          </w:p>
        </w:tc>
      </w:tr>
      <w:tr w:rsidR="0033310C" w:rsidRPr="0033310C" w14:paraId="3673356C" w14:textId="77777777" w:rsidTr="00C47A7A">
        <w:tc>
          <w:tcPr>
            <w:tcW w:w="0" w:type="auto"/>
            <w:hideMark/>
          </w:tcPr>
          <w:p w14:paraId="78352A50" w14:textId="77777777" w:rsidR="0033310C" w:rsidRPr="0033310C" w:rsidRDefault="0033310C" w:rsidP="00C47A7A">
            <w:pPr>
              <w:pStyle w:val="NoSpacing"/>
            </w:pPr>
            <w:r w:rsidRPr="0033310C">
              <w:t>Sqrt off-</w:t>
            </w:r>
            <w:proofErr w:type="gramStart"/>
            <w:r w:rsidRPr="0033310C">
              <w:t>premise</w:t>
            </w:r>
            <w:proofErr w:type="gramEnd"/>
            <w:r w:rsidRPr="0033310C">
              <w:t xml:space="preserve"> alcohol outlet density</w:t>
            </w:r>
          </w:p>
        </w:tc>
        <w:tc>
          <w:tcPr>
            <w:tcW w:w="0" w:type="auto"/>
            <w:hideMark/>
          </w:tcPr>
          <w:p w14:paraId="2AA53F0B" w14:textId="6F8948BE" w:rsidR="0033310C" w:rsidRPr="0033310C" w:rsidRDefault="0033310C" w:rsidP="00C47A7A">
            <w:pPr>
              <w:pStyle w:val="NoSpacing"/>
            </w:pPr>
            <w:r w:rsidRPr="0033310C">
              <w:t>0.16</w:t>
            </w:r>
            <w:r w:rsidRPr="0033310C">
              <w:rPr>
                <w:rFonts w:ascii="Tahoma" w:hAnsi="Tahoma" w:cs="Tahoma"/>
                <w:vertAlign w:val="superscript"/>
              </w:rPr>
              <w:t>⁎⁎</w:t>
            </w:r>
          </w:p>
        </w:tc>
        <w:tc>
          <w:tcPr>
            <w:tcW w:w="0" w:type="auto"/>
            <w:hideMark/>
          </w:tcPr>
          <w:p w14:paraId="207045C4" w14:textId="77777777" w:rsidR="0033310C" w:rsidRPr="0033310C" w:rsidRDefault="0033310C" w:rsidP="00C47A7A">
            <w:pPr>
              <w:pStyle w:val="NoSpacing"/>
            </w:pPr>
            <w:r w:rsidRPr="0033310C">
              <w:t>0.05</w:t>
            </w:r>
          </w:p>
        </w:tc>
        <w:tc>
          <w:tcPr>
            <w:tcW w:w="0" w:type="auto"/>
            <w:hideMark/>
          </w:tcPr>
          <w:p w14:paraId="0E312F99" w14:textId="1DC4D4BD" w:rsidR="0033310C" w:rsidRPr="0033310C" w:rsidRDefault="0033310C" w:rsidP="00C47A7A">
            <w:pPr>
              <w:pStyle w:val="NoSpacing"/>
            </w:pPr>
            <w:r w:rsidRPr="0033310C">
              <w:t>0.29</w:t>
            </w:r>
            <w:r w:rsidRPr="0033310C">
              <w:rPr>
                <w:rFonts w:ascii="Tahoma" w:hAnsi="Tahoma" w:cs="Tahoma"/>
                <w:vertAlign w:val="superscript"/>
              </w:rPr>
              <w:t>⁎⁎</w:t>
            </w:r>
          </w:p>
        </w:tc>
        <w:tc>
          <w:tcPr>
            <w:tcW w:w="0" w:type="auto"/>
            <w:hideMark/>
          </w:tcPr>
          <w:p w14:paraId="0FFBA753" w14:textId="77777777" w:rsidR="0033310C" w:rsidRPr="0033310C" w:rsidRDefault="0033310C" w:rsidP="00C47A7A">
            <w:pPr>
              <w:pStyle w:val="NoSpacing"/>
            </w:pPr>
            <w:r w:rsidRPr="0033310C">
              <w:t>0.11</w:t>
            </w:r>
          </w:p>
        </w:tc>
        <w:tc>
          <w:tcPr>
            <w:tcW w:w="0" w:type="auto"/>
            <w:hideMark/>
          </w:tcPr>
          <w:p w14:paraId="444ECB1B" w14:textId="44A75C4B" w:rsidR="0033310C" w:rsidRPr="0033310C" w:rsidRDefault="0033310C" w:rsidP="00C47A7A">
            <w:pPr>
              <w:pStyle w:val="NoSpacing"/>
            </w:pPr>
            <w:r w:rsidRPr="0033310C">
              <w:t>0.14</w:t>
            </w:r>
            <w:r w:rsidRPr="0033310C">
              <w:rPr>
                <w:rFonts w:ascii="Tahoma" w:hAnsi="Tahoma" w:cs="Tahoma"/>
                <w:vertAlign w:val="superscript"/>
              </w:rPr>
              <w:t>⁎</w:t>
            </w:r>
          </w:p>
        </w:tc>
        <w:tc>
          <w:tcPr>
            <w:tcW w:w="0" w:type="auto"/>
            <w:hideMark/>
          </w:tcPr>
          <w:p w14:paraId="1DD2AE3E" w14:textId="77777777" w:rsidR="0033310C" w:rsidRPr="0033310C" w:rsidRDefault="0033310C" w:rsidP="00C47A7A">
            <w:pPr>
              <w:pStyle w:val="NoSpacing"/>
            </w:pPr>
            <w:r w:rsidRPr="0033310C">
              <w:t>0.06</w:t>
            </w:r>
          </w:p>
        </w:tc>
      </w:tr>
      <w:bookmarkEnd w:id="74"/>
      <w:tr w:rsidR="0033310C" w:rsidRPr="0033310C" w14:paraId="47F4601C" w14:textId="77777777" w:rsidTr="00C47A7A">
        <w:tc>
          <w:tcPr>
            <w:tcW w:w="0" w:type="auto"/>
            <w:hideMark/>
          </w:tcPr>
          <w:p w14:paraId="01B73375" w14:textId="77777777" w:rsidR="0033310C" w:rsidRPr="0033310C" w:rsidRDefault="0033310C" w:rsidP="00C47A7A">
            <w:pPr>
              <w:pStyle w:val="NoSpacing"/>
            </w:pPr>
            <w:r w:rsidRPr="0033310C">
              <w:rPr>
                <w:i/>
                <w:iCs/>
              </w:rPr>
              <w:t>R</w:t>
            </w:r>
            <w:r w:rsidRPr="0033310C">
              <w:t>-squared</w:t>
            </w:r>
          </w:p>
        </w:tc>
        <w:tc>
          <w:tcPr>
            <w:tcW w:w="0" w:type="auto"/>
            <w:hideMark/>
          </w:tcPr>
          <w:p w14:paraId="6C3DBEB5" w14:textId="77777777" w:rsidR="0033310C" w:rsidRPr="0033310C" w:rsidRDefault="0033310C" w:rsidP="00C47A7A">
            <w:pPr>
              <w:pStyle w:val="NoSpacing"/>
            </w:pPr>
            <w:r w:rsidRPr="0033310C">
              <w:t>58.77</w:t>
            </w:r>
          </w:p>
        </w:tc>
        <w:tc>
          <w:tcPr>
            <w:tcW w:w="0" w:type="auto"/>
            <w:hideMark/>
          </w:tcPr>
          <w:p w14:paraId="17CA103B" w14:textId="77777777" w:rsidR="0033310C" w:rsidRPr="0033310C" w:rsidRDefault="0033310C" w:rsidP="00C47A7A">
            <w:pPr>
              <w:pStyle w:val="NoSpacing"/>
            </w:pPr>
          </w:p>
        </w:tc>
        <w:tc>
          <w:tcPr>
            <w:tcW w:w="0" w:type="auto"/>
            <w:hideMark/>
          </w:tcPr>
          <w:p w14:paraId="3DDD762F" w14:textId="77777777" w:rsidR="0033310C" w:rsidRPr="0033310C" w:rsidRDefault="0033310C" w:rsidP="00C47A7A">
            <w:pPr>
              <w:pStyle w:val="NoSpacing"/>
            </w:pPr>
            <w:r w:rsidRPr="0033310C">
              <w:t>–</w:t>
            </w:r>
          </w:p>
        </w:tc>
        <w:tc>
          <w:tcPr>
            <w:tcW w:w="0" w:type="auto"/>
            <w:hideMark/>
          </w:tcPr>
          <w:p w14:paraId="740BBF3D" w14:textId="77777777" w:rsidR="0033310C" w:rsidRPr="0033310C" w:rsidRDefault="0033310C" w:rsidP="00C47A7A">
            <w:pPr>
              <w:pStyle w:val="NoSpacing"/>
            </w:pPr>
          </w:p>
        </w:tc>
        <w:tc>
          <w:tcPr>
            <w:tcW w:w="0" w:type="auto"/>
            <w:hideMark/>
          </w:tcPr>
          <w:p w14:paraId="01B48305" w14:textId="77777777" w:rsidR="0033310C" w:rsidRPr="0033310C" w:rsidRDefault="0033310C" w:rsidP="00C47A7A">
            <w:pPr>
              <w:pStyle w:val="NoSpacing"/>
            </w:pPr>
            <w:r w:rsidRPr="0033310C">
              <w:t>–</w:t>
            </w:r>
          </w:p>
        </w:tc>
        <w:tc>
          <w:tcPr>
            <w:tcW w:w="0" w:type="auto"/>
            <w:hideMark/>
          </w:tcPr>
          <w:p w14:paraId="05131409" w14:textId="77777777" w:rsidR="0033310C" w:rsidRPr="0033310C" w:rsidRDefault="0033310C" w:rsidP="00C47A7A">
            <w:pPr>
              <w:pStyle w:val="NoSpacing"/>
            </w:pPr>
          </w:p>
        </w:tc>
      </w:tr>
      <w:tr w:rsidR="0033310C" w:rsidRPr="0033310C" w14:paraId="282CAB19" w14:textId="77777777" w:rsidTr="00C47A7A">
        <w:tc>
          <w:tcPr>
            <w:tcW w:w="0" w:type="auto"/>
            <w:hideMark/>
          </w:tcPr>
          <w:p w14:paraId="0517DD8B" w14:textId="77777777" w:rsidR="0033310C" w:rsidRPr="0033310C" w:rsidRDefault="0033310C" w:rsidP="00C47A7A">
            <w:pPr>
              <w:pStyle w:val="NoSpacing"/>
            </w:pPr>
            <w:r w:rsidRPr="0033310C">
              <w:t>Pseudo </w:t>
            </w:r>
            <w:r w:rsidRPr="0033310C">
              <w:rPr>
                <w:i/>
                <w:iCs/>
              </w:rPr>
              <w:t>R</w:t>
            </w:r>
            <w:r w:rsidRPr="0033310C">
              <w:t>-squared</w:t>
            </w:r>
          </w:p>
        </w:tc>
        <w:tc>
          <w:tcPr>
            <w:tcW w:w="0" w:type="auto"/>
            <w:hideMark/>
          </w:tcPr>
          <w:p w14:paraId="7F9ADDB5" w14:textId="77777777" w:rsidR="0033310C" w:rsidRPr="0033310C" w:rsidRDefault="0033310C" w:rsidP="00C47A7A">
            <w:pPr>
              <w:pStyle w:val="NoSpacing"/>
            </w:pPr>
            <w:r w:rsidRPr="0033310C">
              <w:t>–</w:t>
            </w:r>
          </w:p>
        </w:tc>
        <w:tc>
          <w:tcPr>
            <w:tcW w:w="0" w:type="auto"/>
            <w:hideMark/>
          </w:tcPr>
          <w:p w14:paraId="73385C24" w14:textId="77777777" w:rsidR="0033310C" w:rsidRPr="0033310C" w:rsidRDefault="0033310C" w:rsidP="00C47A7A">
            <w:pPr>
              <w:pStyle w:val="NoSpacing"/>
            </w:pPr>
          </w:p>
        </w:tc>
        <w:tc>
          <w:tcPr>
            <w:tcW w:w="0" w:type="auto"/>
            <w:hideMark/>
          </w:tcPr>
          <w:p w14:paraId="5433C6CA" w14:textId="77777777" w:rsidR="0033310C" w:rsidRPr="0033310C" w:rsidRDefault="0033310C" w:rsidP="00C47A7A">
            <w:pPr>
              <w:pStyle w:val="NoSpacing"/>
            </w:pPr>
            <w:r w:rsidRPr="0033310C">
              <w:t>32.99</w:t>
            </w:r>
          </w:p>
        </w:tc>
        <w:tc>
          <w:tcPr>
            <w:tcW w:w="0" w:type="auto"/>
            <w:hideMark/>
          </w:tcPr>
          <w:p w14:paraId="615E1B02" w14:textId="77777777" w:rsidR="0033310C" w:rsidRPr="0033310C" w:rsidRDefault="0033310C" w:rsidP="00C47A7A">
            <w:pPr>
              <w:pStyle w:val="NoSpacing"/>
            </w:pPr>
          </w:p>
        </w:tc>
        <w:tc>
          <w:tcPr>
            <w:tcW w:w="0" w:type="auto"/>
            <w:hideMark/>
          </w:tcPr>
          <w:p w14:paraId="723EFD95" w14:textId="77777777" w:rsidR="0033310C" w:rsidRPr="0033310C" w:rsidRDefault="0033310C" w:rsidP="00C47A7A">
            <w:pPr>
              <w:pStyle w:val="NoSpacing"/>
            </w:pPr>
            <w:r w:rsidRPr="0033310C">
              <w:t>52.42</w:t>
            </w:r>
          </w:p>
        </w:tc>
        <w:tc>
          <w:tcPr>
            <w:tcW w:w="0" w:type="auto"/>
            <w:hideMark/>
          </w:tcPr>
          <w:p w14:paraId="75931F82" w14:textId="77777777" w:rsidR="0033310C" w:rsidRPr="0033310C" w:rsidRDefault="0033310C" w:rsidP="00C47A7A">
            <w:pPr>
              <w:pStyle w:val="NoSpacing"/>
            </w:pPr>
          </w:p>
        </w:tc>
      </w:tr>
      <w:tr w:rsidR="0033310C" w:rsidRPr="0033310C" w14:paraId="2F255BB6" w14:textId="77777777" w:rsidTr="00C47A7A">
        <w:tc>
          <w:tcPr>
            <w:tcW w:w="0" w:type="auto"/>
            <w:hideMark/>
          </w:tcPr>
          <w:p w14:paraId="54ACB513" w14:textId="77777777" w:rsidR="0033310C" w:rsidRPr="0033310C" w:rsidRDefault="0033310C" w:rsidP="00C47A7A">
            <w:pPr>
              <w:pStyle w:val="NoSpacing"/>
            </w:pPr>
            <w:r w:rsidRPr="0033310C">
              <w:t>Multicollinearity condition number</w:t>
            </w:r>
          </w:p>
        </w:tc>
        <w:tc>
          <w:tcPr>
            <w:tcW w:w="0" w:type="auto"/>
            <w:hideMark/>
          </w:tcPr>
          <w:p w14:paraId="00AB6F53" w14:textId="77777777" w:rsidR="0033310C" w:rsidRPr="0033310C" w:rsidRDefault="0033310C" w:rsidP="00C47A7A">
            <w:pPr>
              <w:pStyle w:val="NoSpacing"/>
            </w:pPr>
            <w:r w:rsidRPr="0033310C">
              <w:t>14.77</w:t>
            </w:r>
          </w:p>
        </w:tc>
        <w:tc>
          <w:tcPr>
            <w:tcW w:w="0" w:type="auto"/>
            <w:hideMark/>
          </w:tcPr>
          <w:p w14:paraId="4BDA7953" w14:textId="77777777" w:rsidR="0033310C" w:rsidRPr="0033310C" w:rsidRDefault="0033310C" w:rsidP="00C47A7A">
            <w:pPr>
              <w:pStyle w:val="NoSpacing"/>
            </w:pPr>
          </w:p>
        </w:tc>
        <w:tc>
          <w:tcPr>
            <w:tcW w:w="0" w:type="auto"/>
            <w:hideMark/>
          </w:tcPr>
          <w:p w14:paraId="176D4B82" w14:textId="77777777" w:rsidR="0033310C" w:rsidRPr="0033310C" w:rsidRDefault="0033310C" w:rsidP="00C47A7A">
            <w:pPr>
              <w:pStyle w:val="NoSpacing"/>
            </w:pPr>
            <w:r w:rsidRPr="0033310C">
              <w:t>–</w:t>
            </w:r>
          </w:p>
        </w:tc>
        <w:tc>
          <w:tcPr>
            <w:tcW w:w="0" w:type="auto"/>
            <w:hideMark/>
          </w:tcPr>
          <w:p w14:paraId="56F67DD0" w14:textId="77777777" w:rsidR="0033310C" w:rsidRPr="0033310C" w:rsidRDefault="0033310C" w:rsidP="00C47A7A">
            <w:pPr>
              <w:pStyle w:val="NoSpacing"/>
            </w:pPr>
          </w:p>
        </w:tc>
        <w:tc>
          <w:tcPr>
            <w:tcW w:w="0" w:type="auto"/>
            <w:hideMark/>
          </w:tcPr>
          <w:p w14:paraId="49456842" w14:textId="77777777" w:rsidR="0033310C" w:rsidRPr="0033310C" w:rsidRDefault="0033310C" w:rsidP="00C47A7A">
            <w:pPr>
              <w:pStyle w:val="NoSpacing"/>
            </w:pPr>
            <w:r w:rsidRPr="0033310C">
              <w:t>–</w:t>
            </w:r>
          </w:p>
        </w:tc>
        <w:tc>
          <w:tcPr>
            <w:tcW w:w="0" w:type="auto"/>
            <w:hideMark/>
          </w:tcPr>
          <w:p w14:paraId="06BD81B3" w14:textId="77777777" w:rsidR="0033310C" w:rsidRPr="0033310C" w:rsidRDefault="0033310C" w:rsidP="00C47A7A">
            <w:pPr>
              <w:pStyle w:val="NoSpacing"/>
            </w:pPr>
          </w:p>
        </w:tc>
      </w:tr>
      <w:tr w:rsidR="0033310C" w:rsidRPr="0033310C" w14:paraId="71A1B572" w14:textId="77777777" w:rsidTr="00C47A7A">
        <w:tc>
          <w:tcPr>
            <w:tcW w:w="0" w:type="auto"/>
            <w:hideMark/>
          </w:tcPr>
          <w:p w14:paraId="473C2AFC" w14:textId="77777777" w:rsidR="0033310C" w:rsidRPr="0033310C" w:rsidRDefault="0033310C" w:rsidP="00C47A7A">
            <w:pPr>
              <w:pStyle w:val="NoSpacing"/>
            </w:pPr>
            <w:r w:rsidRPr="0033310C">
              <w:t>S.E. of regression</w:t>
            </w:r>
          </w:p>
        </w:tc>
        <w:tc>
          <w:tcPr>
            <w:tcW w:w="0" w:type="auto"/>
            <w:hideMark/>
          </w:tcPr>
          <w:p w14:paraId="6A49E587" w14:textId="77777777" w:rsidR="0033310C" w:rsidRPr="0033310C" w:rsidRDefault="0033310C" w:rsidP="00C47A7A">
            <w:pPr>
              <w:pStyle w:val="NoSpacing"/>
            </w:pPr>
            <w:r w:rsidRPr="0033310C">
              <w:t>2.29</w:t>
            </w:r>
          </w:p>
        </w:tc>
        <w:tc>
          <w:tcPr>
            <w:tcW w:w="0" w:type="auto"/>
            <w:hideMark/>
          </w:tcPr>
          <w:p w14:paraId="2FF76009" w14:textId="77777777" w:rsidR="0033310C" w:rsidRPr="0033310C" w:rsidRDefault="0033310C" w:rsidP="00C47A7A">
            <w:pPr>
              <w:pStyle w:val="NoSpacing"/>
            </w:pPr>
          </w:p>
        </w:tc>
        <w:tc>
          <w:tcPr>
            <w:tcW w:w="0" w:type="auto"/>
            <w:hideMark/>
          </w:tcPr>
          <w:p w14:paraId="402BF3A4" w14:textId="77777777" w:rsidR="0033310C" w:rsidRPr="0033310C" w:rsidRDefault="0033310C" w:rsidP="00C47A7A">
            <w:pPr>
              <w:pStyle w:val="NoSpacing"/>
            </w:pPr>
            <w:r w:rsidRPr="0033310C">
              <w:t>–</w:t>
            </w:r>
          </w:p>
        </w:tc>
        <w:tc>
          <w:tcPr>
            <w:tcW w:w="0" w:type="auto"/>
            <w:hideMark/>
          </w:tcPr>
          <w:p w14:paraId="712EA128" w14:textId="77777777" w:rsidR="0033310C" w:rsidRPr="0033310C" w:rsidRDefault="0033310C" w:rsidP="00C47A7A">
            <w:pPr>
              <w:pStyle w:val="NoSpacing"/>
            </w:pPr>
          </w:p>
        </w:tc>
        <w:tc>
          <w:tcPr>
            <w:tcW w:w="0" w:type="auto"/>
            <w:hideMark/>
          </w:tcPr>
          <w:p w14:paraId="24E97FC8" w14:textId="77777777" w:rsidR="0033310C" w:rsidRPr="0033310C" w:rsidRDefault="0033310C" w:rsidP="00C47A7A">
            <w:pPr>
              <w:pStyle w:val="NoSpacing"/>
            </w:pPr>
            <w:r w:rsidRPr="0033310C">
              <w:t>–</w:t>
            </w:r>
          </w:p>
        </w:tc>
        <w:tc>
          <w:tcPr>
            <w:tcW w:w="0" w:type="auto"/>
            <w:hideMark/>
          </w:tcPr>
          <w:p w14:paraId="2CD7E610" w14:textId="77777777" w:rsidR="0033310C" w:rsidRPr="0033310C" w:rsidRDefault="0033310C" w:rsidP="00C47A7A">
            <w:pPr>
              <w:pStyle w:val="NoSpacing"/>
            </w:pPr>
          </w:p>
        </w:tc>
      </w:tr>
      <w:tr w:rsidR="0033310C" w:rsidRPr="0033310C" w14:paraId="603FD1E8" w14:textId="77777777" w:rsidTr="00C47A7A">
        <w:tc>
          <w:tcPr>
            <w:tcW w:w="0" w:type="auto"/>
            <w:hideMark/>
          </w:tcPr>
          <w:p w14:paraId="63BADB1C" w14:textId="77777777" w:rsidR="0033310C" w:rsidRPr="0033310C" w:rsidRDefault="0033310C" w:rsidP="00C47A7A">
            <w:pPr>
              <w:pStyle w:val="NoSpacing"/>
            </w:pPr>
            <w:r w:rsidRPr="0033310C">
              <w:t>Log likelihood</w:t>
            </w:r>
          </w:p>
        </w:tc>
        <w:tc>
          <w:tcPr>
            <w:tcW w:w="0" w:type="auto"/>
            <w:hideMark/>
          </w:tcPr>
          <w:p w14:paraId="1274B564" w14:textId="77777777" w:rsidR="0033310C" w:rsidRPr="0033310C" w:rsidRDefault="0033310C" w:rsidP="00C47A7A">
            <w:pPr>
              <w:pStyle w:val="NoSpacing"/>
            </w:pPr>
            <w:r w:rsidRPr="0033310C">
              <w:t>−1290.88</w:t>
            </w:r>
          </w:p>
        </w:tc>
        <w:tc>
          <w:tcPr>
            <w:tcW w:w="0" w:type="auto"/>
            <w:hideMark/>
          </w:tcPr>
          <w:p w14:paraId="225F663E" w14:textId="77777777" w:rsidR="0033310C" w:rsidRPr="0033310C" w:rsidRDefault="0033310C" w:rsidP="00C47A7A">
            <w:pPr>
              <w:pStyle w:val="NoSpacing"/>
            </w:pPr>
          </w:p>
        </w:tc>
        <w:tc>
          <w:tcPr>
            <w:tcW w:w="0" w:type="auto"/>
            <w:hideMark/>
          </w:tcPr>
          <w:p w14:paraId="40E212BE" w14:textId="77777777" w:rsidR="0033310C" w:rsidRPr="0033310C" w:rsidRDefault="0033310C" w:rsidP="00C47A7A">
            <w:pPr>
              <w:pStyle w:val="NoSpacing"/>
            </w:pPr>
            <w:r w:rsidRPr="0033310C">
              <w:t>–</w:t>
            </w:r>
          </w:p>
        </w:tc>
        <w:tc>
          <w:tcPr>
            <w:tcW w:w="0" w:type="auto"/>
            <w:hideMark/>
          </w:tcPr>
          <w:p w14:paraId="3BF5E208" w14:textId="77777777" w:rsidR="0033310C" w:rsidRPr="0033310C" w:rsidRDefault="0033310C" w:rsidP="00C47A7A">
            <w:pPr>
              <w:pStyle w:val="NoSpacing"/>
            </w:pPr>
          </w:p>
        </w:tc>
        <w:tc>
          <w:tcPr>
            <w:tcW w:w="0" w:type="auto"/>
            <w:hideMark/>
          </w:tcPr>
          <w:p w14:paraId="62ED3308" w14:textId="77777777" w:rsidR="0033310C" w:rsidRPr="0033310C" w:rsidRDefault="0033310C" w:rsidP="00C47A7A">
            <w:pPr>
              <w:pStyle w:val="NoSpacing"/>
            </w:pPr>
            <w:r w:rsidRPr="0033310C">
              <w:t>–</w:t>
            </w:r>
          </w:p>
        </w:tc>
        <w:tc>
          <w:tcPr>
            <w:tcW w:w="0" w:type="auto"/>
            <w:hideMark/>
          </w:tcPr>
          <w:p w14:paraId="40CBA9D9" w14:textId="77777777" w:rsidR="0033310C" w:rsidRPr="0033310C" w:rsidRDefault="0033310C" w:rsidP="00C47A7A">
            <w:pPr>
              <w:pStyle w:val="NoSpacing"/>
            </w:pPr>
          </w:p>
        </w:tc>
      </w:tr>
      <w:tr w:rsidR="0033310C" w:rsidRPr="0033310C" w14:paraId="32FC8156" w14:textId="77777777" w:rsidTr="00C47A7A">
        <w:tc>
          <w:tcPr>
            <w:tcW w:w="0" w:type="auto"/>
            <w:hideMark/>
          </w:tcPr>
          <w:p w14:paraId="0B649696" w14:textId="77777777" w:rsidR="0033310C" w:rsidRPr="0033310C" w:rsidRDefault="0033310C" w:rsidP="00C47A7A">
            <w:pPr>
              <w:pStyle w:val="NoSpacing"/>
            </w:pPr>
            <w:r w:rsidRPr="0033310C">
              <w:t>Akaike information criterion</w:t>
            </w:r>
          </w:p>
        </w:tc>
        <w:tc>
          <w:tcPr>
            <w:tcW w:w="0" w:type="auto"/>
            <w:hideMark/>
          </w:tcPr>
          <w:p w14:paraId="2CF1C226" w14:textId="77777777" w:rsidR="0033310C" w:rsidRPr="0033310C" w:rsidRDefault="0033310C" w:rsidP="00C47A7A">
            <w:pPr>
              <w:pStyle w:val="NoSpacing"/>
            </w:pPr>
            <w:r w:rsidRPr="0033310C">
              <w:t>2601.76</w:t>
            </w:r>
          </w:p>
        </w:tc>
        <w:tc>
          <w:tcPr>
            <w:tcW w:w="0" w:type="auto"/>
            <w:hideMark/>
          </w:tcPr>
          <w:p w14:paraId="51B1F47C" w14:textId="77777777" w:rsidR="0033310C" w:rsidRPr="0033310C" w:rsidRDefault="0033310C" w:rsidP="00C47A7A">
            <w:pPr>
              <w:pStyle w:val="NoSpacing"/>
            </w:pPr>
          </w:p>
        </w:tc>
        <w:tc>
          <w:tcPr>
            <w:tcW w:w="0" w:type="auto"/>
            <w:hideMark/>
          </w:tcPr>
          <w:p w14:paraId="32FD1A3B" w14:textId="77777777" w:rsidR="0033310C" w:rsidRPr="0033310C" w:rsidRDefault="0033310C" w:rsidP="00C47A7A">
            <w:pPr>
              <w:pStyle w:val="NoSpacing"/>
            </w:pPr>
            <w:r w:rsidRPr="0033310C">
              <w:t>–</w:t>
            </w:r>
          </w:p>
        </w:tc>
        <w:tc>
          <w:tcPr>
            <w:tcW w:w="0" w:type="auto"/>
            <w:hideMark/>
          </w:tcPr>
          <w:p w14:paraId="32E41377" w14:textId="77777777" w:rsidR="0033310C" w:rsidRPr="0033310C" w:rsidRDefault="0033310C" w:rsidP="00C47A7A">
            <w:pPr>
              <w:pStyle w:val="NoSpacing"/>
            </w:pPr>
          </w:p>
        </w:tc>
        <w:tc>
          <w:tcPr>
            <w:tcW w:w="0" w:type="auto"/>
            <w:hideMark/>
          </w:tcPr>
          <w:p w14:paraId="72CB8163" w14:textId="77777777" w:rsidR="0033310C" w:rsidRPr="0033310C" w:rsidRDefault="0033310C" w:rsidP="00C47A7A">
            <w:pPr>
              <w:pStyle w:val="NoSpacing"/>
            </w:pPr>
            <w:r w:rsidRPr="0033310C">
              <w:t>–</w:t>
            </w:r>
          </w:p>
        </w:tc>
        <w:tc>
          <w:tcPr>
            <w:tcW w:w="0" w:type="auto"/>
            <w:hideMark/>
          </w:tcPr>
          <w:p w14:paraId="042FA5E9" w14:textId="77777777" w:rsidR="0033310C" w:rsidRPr="0033310C" w:rsidRDefault="0033310C" w:rsidP="00C47A7A">
            <w:pPr>
              <w:pStyle w:val="NoSpacing"/>
            </w:pPr>
          </w:p>
        </w:tc>
      </w:tr>
      <w:tr w:rsidR="0033310C" w:rsidRPr="0033310C" w14:paraId="7431980C" w14:textId="77777777" w:rsidTr="00C47A7A">
        <w:tc>
          <w:tcPr>
            <w:tcW w:w="0" w:type="auto"/>
            <w:hideMark/>
          </w:tcPr>
          <w:p w14:paraId="1BFA81BB" w14:textId="77777777" w:rsidR="0033310C" w:rsidRPr="0033310C" w:rsidRDefault="0033310C" w:rsidP="00C47A7A">
            <w:pPr>
              <w:pStyle w:val="NoSpacing"/>
            </w:pPr>
            <w:r w:rsidRPr="0033310C">
              <w:t>Schwarz criterion</w:t>
            </w:r>
          </w:p>
        </w:tc>
        <w:tc>
          <w:tcPr>
            <w:tcW w:w="0" w:type="auto"/>
            <w:hideMark/>
          </w:tcPr>
          <w:p w14:paraId="744FB354" w14:textId="77777777" w:rsidR="0033310C" w:rsidRPr="0033310C" w:rsidRDefault="0033310C" w:rsidP="00C47A7A">
            <w:pPr>
              <w:pStyle w:val="NoSpacing"/>
            </w:pPr>
            <w:r w:rsidRPr="0033310C">
              <w:t>2645.24</w:t>
            </w:r>
          </w:p>
        </w:tc>
        <w:tc>
          <w:tcPr>
            <w:tcW w:w="0" w:type="auto"/>
            <w:hideMark/>
          </w:tcPr>
          <w:p w14:paraId="309F99E6" w14:textId="77777777" w:rsidR="0033310C" w:rsidRPr="0033310C" w:rsidRDefault="0033310C" w:rsidP="00C47A7A">
            <w:pPr>
              <w:pStyle w:val="NoSpacing"/>
            </w:pPr>
          </w:p>
        </w:tc>
        <w:tc>
          <w:tcPr>
            <w:tcW w:w="0" w:type="auto"/>
            <w:hideMark/>
          </w:tcPr>
          <w:p w14:paraId="75DFD41C" w14:textId="77777777" w:rsidR="0033310C" w:rsidRPr="0033310C" w:rsidRDefault="0033310C" w:rsidP="00C47A7A">
            <w:pPr>
              <w:pStyle w:val="NoSpacing"/>
            </w:pPr>
            <w:r w:rsidRPr="0033310C">
              <w:t>–</w:t>
            </w:r>
          </w:p>
        </w:tc>
        <w:tc>
          <w:tcPr>
            <w:tcW w:w="0" w:type="auto"/>
            <w:hideMark/>
          </w:tcPr>
          <w:p w14:paraId="26D921EC" w14:textId="77777777" w:rsidR="0033310C" w:rsidRPr="0033310C" w:rsidRDefault="0033310C" w:rsidP="00C47A7A">
            <w:pPr>
              <w:pStyle w:val="NoSpacing"/>
            </w:pPr>
          </w:p>
        </w:tc>
        <w:tc>
          <w:tcPr>
            <w:tcW w:w="0" w:type="auto"/>
            <w:hideMark/>
          </w:tcPr>
          <w:p w14:paraId="72F71600" w14:textId="77777777" w:rsidR="0033310C" w:rsidRPr="0033310C" w:rsidRDefault="0033310C" w:rsidP="00C47A7A">
            <w:pPr>
              <w:pStyle w:val="NoSpacing"/>
            </w:pPr>
            <w:r w:rsidRPr="0033310C">
              <w:t>–</w:t>
            </w:r>
          </w:p>
        </w:tc>
        <w:tc>
          <w:tcPr>
            <w:tcW w:w="0" w:type="auto"/>
            <w:hideMark/>
          </w:tcPr>
          <w:p w14:paraId="0C13F1D8" w14:textId="77777777" w:rsidR="0033310C" w:rsidRPr="0033310C" w:rsidRDefault="0033310C" w:rsidP="00C47A7A">
            <w:pPr>
              <w:pStyle w:val="NoSpacing"/>
            </w:pPr>
          </w:p>
        </w:tc>
      </w:tr>
      <w:tr w:rsidR="0033310C" w:rsidRPr="0033310C" w14:paraId="2444D588" w14:textId="77777777" w:rsidTr="00C47A7A">
        <w:tc>
          <w:tcPr>
            <w:tcW w:w="0" w:type="auto"/>
            <w:hideMark/>
          </w:tcPr>
          <w:p w14:paraId="2DA3077C" w14:textId="77777777" w:rsidR="0033310C" w:rsidRPr="0033310C" w:rsidRDefault="0033310C" w:rsidP="00C47A7A">
            <w:pPr>
              <w:pStyle w:val="NoSpacing"/>
            </w:pPr>
            <w:r w:rsidRPr="0033310C">
              <w:t>Breusch–Pagan Test</w:t>
            </w:r>
          </w:p>
        </w:tc>
        <w:tc>
          <w:tcPr>
            <w:tcW w:w="0" w:type="auto"/>
            <w:hideMark/>
          </w:tcPr>
          <w:p w14:paraId="6262F517" w14:textId="1A8E499F" w:rsidR="0033310C" w:rsidRPr="0033310C" w:rsidRDefault="0033310C" w:rsidP="00C47A7A">
            <w:pPr>
              <w:pStyle w:val="NoSpacing"/>
            </w:pPr>
            <w:r w:rsidRPr="0033310C">
              <w:t>59.78</w:t>
            </w:r>
            <w:r w:rsidRPr="0033310C">
              <w:rPr>
                <w:rFonts w:ascii="Tahoma" w:hAnsi="Tahoma" w:cs="Tahoma"/>
                <w:vertAlign w:val="superscript"/>
              </w:rPr>
              <w:t>⁎⁎</w:t>
            </w:r>
          </w:p>
        </w:tc>
        <w:tc>
          <w:tcPr>
            <w:tcW w:w="0" w:type="auto"/>
            <w:hideMark/>
          </w:tcPr>
          <w:p w14:paraId="0961536B" w14:textId="77777777" w:rsidR="0033310C" w:rsidRPr="0033310C" w:rsidRDefault="0033310C" w:rsidP="00C47A7A">
            <w:pPr>
              <w:pStyle w:val="NoSpacing"/>
            </w:pPr>
          </w:p>
        </w:tc>
        <w:tc>
          <w:tcPr>
            <w:tcW w:w="0" w:type="auto"/>
            <w:hideMark/>
          </w:tcPr>
          <w:p w14:paraId="75C9DE19" w14:textId="77777777" w:rsidR="0033310C" w:rsidRPr="0033310C" w:rsidRDefault="0033310C" w:rsidP="00C47A7A">
            <w:pPr>
              <w:pStyle w:val="NoSpacing"/>
            </w:pPr>
            <w:r w:rsidRPr="0033310C">
              <w:t>–</w:t>
            </w:r>
          </w:p>
        </w:tc>
        <w:tc>
          <w:tcPr>
            <w:tcW w:w="0" w:type="auto"/>
            <w:hideMark/>
          </w:tcPr>
          <w:p w14:paraId="5C5A680E" w14:textId="77777777" w:rsidR="0033310C" w:rsidRPr="0033310C" w:rsidRDefault="0033310C" w:rsidP="00C47A7A">
            <w:pPr>
              <w:pStyle w:val="NoSpacing"/>
            </w:pPr>
          </w:p>
        </w:tc>
        <w:tc>
          <w:tcPr>
            <w:tcW w:w="0" w:type="auto"/>
            <w:hideMark/>
          </w:tcPr>
          <w:p w14:paraId="1356CE69" w14:textId="77777777" w:rsidR="0033310C" w:rsidRPr="0033310C" w:rsidRDefault="0033310C" w:rsidP="00C47A7A">
            <w:pPr>
              <w:pStyle w:val="NoSpacing"/>
            </w:pPr>
            <w:r w:rsidRPr="0033310C">
              <w:t>–</w:t>
            </w:r>
          </w:p>
        </w:tc>
        <w:tc>
          <w:tcPr>
            <w:tcW w:w="0" w:type="auto"/>
            <w:hideMark/>
          </w:tcPr>
          <w:p w14:paraId="04394626" w14:textId="77777777" w:rsidR="0033310C" w:rsidRPr="0033310C" w:rsidRDefault="0033310C" w:rsidP="00C47A7A">
            <w:pPr>
              <w:pStyle w:val="NoSpacing"/>
            </w:pPr>
          </w:p>
        </w:tc>
      </w:tr>
      <w:bookmarkEnd w:id="73"/>
      <w:tr w:rsidR="0033310C" w:rsidRPr="0033310C" w14:paraId="20A161C3" w14:textId="77777777" w:rsidTr="00C47A7A">
        <w:tc>
          <w:tcPr>
            <w:tcW w:w="0" w:type="auto"/>
            <w:hideMark/>
          </w:tcPr>
          <w:p w14:paraId="7FC07EF2" w14:textId="77777777" w:rsidR="0033310C" w:rsidRPr="0033310C" w:rsidRDefault="0033310C" w:rsidP="00C47A7A">
            <w:pPr>
              <w:pStyle w:val="NoSpacing"/>
            </w:pPr>
            <w:proofErr w:type="spellStart"/>
            <w:r w:rsidRPr="0033310C">
              <w:t>Anselin-Kelejian</w:t>
            </w:r>
            <w:proofErr w:type="spellEnd"/>
            <w:r w:rsidRPr="0033310C">
              <w:t xml:space="preserve"> Test</w:t>
            </w:r>
          </w:p>
        </w:tc>
        <w:tc>
          <w:tcPr>
            <w:tcW w:w="0" w:type="auto"/>
            <w:hideMark/>
          </w:tcPr>
          <w:p w14:paraId="16D30121" w14:textId="77777777" w:rsidR="0033310C" w:rsidRPr="0033310C" w:rsidRDefault="0033310C" w:rsidP="00C47A7A">
            <w:pPr>
              <w:pStyle w:val="NoSpacing"/>
            </w:pPr>
            <w:r w:rsidRPr="0033310C">
              <w:t>–</w:t>
            </w:r>
          </w:p>
        </w:tc>
        <w:tc>
          <w:tcPr>
            <w:tcW w:w="0" w:type="auto"/>
            <w:hideMark/>
          </w:tcPr>
          <w:p w14:paraId="37DF022A" w14:textId="77777777" w:rsidR="0033310C" w:rsidRPr="0033310C" w:rsidRDefault="0033310C" w:rsidP="00C47A7A">
            <w:pPr>
              <w:pStyle w:val="NoSpacing"/>
            </w:pPr>
          </w:p>
        </w:tc>
        <w:tc>
          <w:tcPr>
            <w:tcW w:w="0" w:type="auto"/>
            <w:hideMark/>
          </w:tcPr>
          <w:p w14:paraId="0162E16C" w14:textId="77777777" w:rsidR="0033310C" w:rsidRPr="0033310C" w:rsidRDefault="0033310C" w:rsidP="00C47A7A">
            <w:pPr>
              <w:pStyle w:val="NoSpacing"/>
            </w:pPr>
            <w:r w:rsidRPr="0033310C">
              <w:t>0.87</w:t>
            </w:r>
          </w:p>
        </w:tc>
        <w:tc>
          <w:tcPr>
            <w:tcW w:w="0" w:type="auto"/>
            <w:hideMark/>
          </w:tcPr>
          <w:p w14:paraId="496EAFBF" w14:textId="77777777" w:rsidR="0033310C" w:rsidRPr="0033310C" w:rsidRDefault="0033310C" w:rsidP="00C47A7A">
            <w:pPr>
              <w:pStyle w:val="NoSpacing"/>
            </w:pPr>
          </w:p>
        </w:tc>
        <w:tc>
          <w:tcPr>
            <w:tcW w:w="0" w:type="auto"/>
            <w:hideMark/>
          </w:tcPr>
          <w:p w14:paraId="3658FF1E" w14:textId="77777777" w:rsidR="0033310C" w:rsidRPr="0033310C" w:rsidRDefault="0033310C" w:rsidP="00C47A7A">
            <w:pPr>
              <w:pStyle w:val="NoSpacing"/>
            </w:pPr>
            <w:r w:rsidRPr="0033310C">
              <w:t>0.78</w:t>
            </w:r>
          </w:p>
        </w:tc>
        <w:tc>
          <w:tcPr>
            <w:tcW w:w="0" w:type="auto"/>
            <w:hideMark/>
          </w:tcPr>
          <w:p w14:paraId="0F3FE0D7" w14:textId="77777777" w:rsidR="0033310C" w:rsidRPr="0033310C" w:rsidRDefault="0033310C" w:rsidP="00C47A7A">
            <w:pPr>
              <w:pStyle w:val="NoSpacing"/>
            </w:pPr>
          </w:p>
        </w:tc>
      </w:tr>
      <w:tr w:rsidR="0033310C" w:rsidRPr="0033310C" w14:paraId="087A992A" w14:textId="77777777" w:rsidTr="00C47A7A">
        <w:tc>
          <w:tcPr>
            <w:tcW w:w="0" w:type="auto"/>
            <w:hideMark/>
          </w:tcPr>
          <w:p w14:paraId="6A303E85" w14:textId="77777777" w:rsidR="0033310C" w:rsidRPr="0033310C" w:rsidRDefault="0033310C" w:rsidP="00C47A7A">
            <w:pPr>
              <w:pStyle w:val="NoSpacing"/>
            </w:pPr>
            <w:r w:rsidRPr="0033310C">
              <w:t>Global Chow Test</w:t>
            </w:r>
          </w:p>
        </w:tc>
        <w:tc>
          <w:tcPr>
            <w:tcW w:w="0" w:type="auto"/>
            <w:hideMark/>
          </w:tcPr>
          <w:p w14:paraId="57DB557F" w14:textId="77777777" w:rsidR="0033310C" w:rsidRPr="0033310C" w:rsidRDefault="0033310C" w:rsidP="00C47A7A">
            <w:pPr>
              <w:pStyle w:val="NoSpacing"/>
            </w:pPr>
            <w:r w:rsidRPr="0033310C">
              <w:t>–</w:t>
            </w:r>
          </w:p>
        </w:tc>
        <w:tc>
          <w:tcPr>
            <w:tcW w:w="0" w:type="auto"/>
            <w:hideMark/>
          </w:tcPr>
          <w:p w14:paraId="146BD988" w14:textId="77777777" w:rsidR="0033310C" w:rsidRPr="0033310C" w:rsidRDefault="0033310C" w:rsidP="00C47A7A">
            <w:pPr>
              <w:pStyle w:val="NoSpacing"/>
            </w:pPr>
          </w:p>
        </w:tc>
        <w:tc>
          <w:tcPr>
            <w:tcW w:w="0" w:type="auto"/>
            <w:hideMark/>
          </w:tcPr>
          <w:p w14:paraId="0884FB92" w14:textId="77777777" w:rsidR="0033310C" w:rsidRPr="0033310C" w:rsidRDefault="0033310C" w:rsidP="00C47A7A">
            <w:pPr>
              <w:pStyle w:val="NoSpacing"/>
            </w:pPr>
            <w:r w:rsidRPr="0033310C">
              <w:t>–</w:t>
            </w:r>
          </w:p>
        </w:tc>
        <w:tc>
          <w:tcPr>
            <w:tcW w:w="0" w:type="auto"/>
            <w:hideMark/>
          </w:tcPr>
          <w:p w14:paraId="70B3B640" w14:textId="77777777" w:rsidR="0033310C" w:rsidRPr="0033310C" w:rsidRDefault="0033310C" w:rsidP="00C47A7A">
            <w:pPr>
              <w:pStyle w:val="NoSpacing"/>
            </w:pPr>
          </w:p>
        </w:tc>
        <w:tc>
          <w:tcPr>
            <w:tcW w:w="0" w:type="auto"/>
            <w:hideMark/>
          </w:tcPr>
          <w:p w14:paraId="3963A784" w14:textId="77777777" w:rsidR="0033310C" w:rsidRPr="0033310C" w:rsidRDefault="0033310C" w:rsidP="00C47A7A">
            <w:pPr>
              <w:pStyle w:val="NoSpacing"/>
            </w:pPr>
            <w:r w:rsidRPr="0033310C">
              <w:t>14.75</w:t>
            </w:r>
          </w:p>
        </w:tc>
        <w:tc>
          <w:tcPr>
            <w:tcW w:w="0" w:type="auto"/>
            <w:hideMark/>
          </w:tcPr>
          <w:p w14:paraId="3F1E4CF1" w14:textId="77777777" w:rsidR="0033310C" w:rsidRPr="0033310C" w:rsidRDefault="0033310C" w:rsidP="00C47A7A">
            <w:pPr>
              <w:pStyle w:val="NoSpacing"/>
            </w:pPr>
          </w:p>
        </w:tc>
      </w:tr>
    </w:tbl>
    <w:p w14:paraId="13ACF3F9" w14:textId="0F8086E9" w:rsidR="0033310C" w:rsidRPr="0033310C" w:rsidRDefault="0033310C" w:rsidP="00C47A7A">
      <w:pPr>
        <w:pStyle w:val="NoSpacing"/>
      </w:pPr>
      <w:r w:rsidRPr="0033310C">
        <w:rPr>
          <w:rFonts w:ascii="Tahoma" w:hAnsi="Tahoma" w:cs="Tahoma"/>
        </w:rPr>
        <w:t>⁎</w:t>
      </w:r>
      <w:r w:rsidRPr="0033310C">
        <w:rPr>
          <w:i/>
          <w:iCs/>
        </w:rPr>
        <w:t>p</w:t>
      </w:r>
      <w:r w:rsidRPr="0033310C">
        <w:t> &lt; .05.</w:t>
      </w:r>
    </w:p>
    <w:p w14:paraId="5A94A6C0" w14:textId="23A47301" w:rsidR="0033310C" w:rsidRPr="0033310C" w:rsidRDefault="0033310C" w:rsidP="00C47A7A">
      <w:pPr>
        <w:pStyle w:val="NoSpacing"/>
      </w:pPr>
      <w:r w:rsidRPr="0033310C">
        <w:rPr>
          <w:rFonts w:ascii="Tahoma" w:hAnsi="Tahoma" w:cs="Tahoma"/>
        </w:rPr>
        <w:t>⁎⁎</w:t>
      </w:r>
      <w:r w:rsidRPr="0033310C">
        <w:rPr>
          <w:i/>
          <w:iCs/>
        </w:rPr>
        <w:t>p</w:t>
      </w:r>
      <w:r w:rsidRPr="0033310C">
        <w:t> &lt; .01.</w:t>
      </w:r>
    </w:p>
    <w:p w14:paraId="740618DD" w14:textId="77777777" w:rsidR="00623C32" w:rsidRDefault="00623C32" w:rsidP="00C47A7A">
      <w:pPr>
        <w:spacing w:after="0"/>
      </w:pPr>
    </w:p>
    <w:p w14:paraId="67296825" w14:textId="77777777" w:rsidR="00F86C95" w:rsidRDefault="00F86C95">
      <w:r>
        <w:br w:type="page"/>
      </w:r>
    </w:p>
    <w:p w14:paraId="5FBE78E7" w14:textId="62AECE33" w:rsidR="0033310C" w:rsidRPr="0033310C" w:rsidRDefault="0033310C" w:rsidP="00C47A7A">
      <w:pPr>
        <w:spacing w:after="0"/>
      </w:pPr>
      <w:r w:rsidRPr="0033310C">
        <w:lastRenderedPageBreak/>
        <w:t>Table 6. Robberies density regressed on total alcohol outlet density, social disorganization, and control variables for Milwaukee block groups.</w:t>
      </w:r>
    </w:p>
    <w:tbl>
      <w:tblPr>
        <w:tblStyle w:val="TableGrid"/>
        <w:tblW w:w="0" w:type="auto"/>
        <w:tblLook w:val="04A0" w:firstRow="1" w:lastRow="0" w:firstColumn="1" w:lastColumn="0" w:noHBand="0" w:noVBand="1"/>
      </w:tblPr>
      <w:tblGrid>
        <w:gridCol w:w="4619"/>
        <w:gridCol w:w="2553"/>
        <w:gridCol w:w="607"/>
        <w:gridCol w:w="1881"/>
        <w:gridCol w:w="607"/>
        <w:gridCol w:w="1883"/>
        <w:gridCol w:w="607"/>
      </w:tblGrid>
      <w:tr w:rsidR="00C47A7A" w:rsidRPr="0033310C" w14:paraId="6B19023B" w14:textId="77777777" w:rsidTr="00C47A7A">
        <w:tc>
          <w:tcPr>
            <w:tcW w:w="0" w:type="auto"/>
            <w:hideMark/>
          </w:tcPr>
          <w:p w14:paraId="293123B1" w14:textId="77777777" w:rsidR="00C47A7A" w:rsidRPr="0033310C" w:rsidRDefault="00C47A7A" w:rsidP="00C47A7A">
            <w:pPr>
              <w:pStyle w:val="NoSpacing"/>
            </w:pPr>
            <w:r w:rsidRPr="0033310C">
              <w:t>Empty Cell</w:t>
            </w:r>
          </w:p>
        </w:tc>
        <w:tc>
          <w:tcPr>
            <w:tcW w:w="0" w:type="auto"/>
            <w:hideMark/>
          </w:tcPr>
          <w:p w14:paraId="261A0B36" w14:textId="4AD39747" w:rsidR="00C47A7A" w:rsidRPr="0033310C" w:rsidRDefault="00C47A7A" w:rsidP="00C47A7A">
            <w:pPr>
              <w:pStyle w:val="NoSpacing"/>
            </w:pPr>
            <w:r w:rsidRPr="0033310C">
              <w:t>Model 10</w:t>
            </w:r>
            <w:r w:rsidRPr="0033310C">
              <w:br/>
              <w:t>Spatial lag</w:t>
            </w:r>
            <w:r w:rsidRPr="0033310C">
              <w:br/>
              <w:t xml:space="preserve">Global model </w:t>
            </w:r>
            <m:oMath>
              <m:r>
                <w:rPr>
                  <w:rFonts w:ascii="Cambria Math" w:hAnsi="Cambria Math"/>
                </w:rPr>
                <m:t>(</m:t>
              </m:r>
              <m:r>
                <w:rPr>
                  <w:rFonts w:ascii="Cambria Math" w:hAnsi="Cambria Math"/>
                </w:rPr>
                <m:t>N</m:t>
              </m:r>
              <m:r>
                <w:rPr>
                  <w:rFonts w:ascii="Cambria Math" w:hAnsi="Cambria Math"/>
                </w:rPr>
                <m:t> = 571)</m:t>
              </m:r>
            </m:oMath>
          </w:p>
        </w:tc>
        <w:tc>
          <w:tcPr>
            <w:tcW w:w="0" w:type="auto"/>
          </w:tcPr>
          <w:p w14:paraId="5D32F4BF" w14:textId="3F868145" w:rsidR="00C47A7A" w:rsidRPr="0033310C" w:rsidRDefault="00C47A7A" w:rsidP="00C47A7A">
            <w:pPr>
              <w:pStyle w:val="NoSpacing"/>
            </w:pPr>
          </w:p>
        </w:tc>
        <w:tc>
          <w:tcPr>
            <w:tcW w:w="0" w:type="auto"/>
            <w:hideMark/>
          </w:tcPr>
          <w:p w14:paraId="6230F5D4" w14:textId="552CDC27" w:rsidR="00C47A7A" w:rsidRPr="0033310C" w:rsidRDefault="00C47A7A" w:rsidP="00C47A7A">
            <w:pPr>
              <w:pStyle w:val="NoSpacing"/>
            </w:pPr>
            <w:r w:rsidRPr="0033310C">
              <w:t>Model 11</w:t>
            </w:r>
            <w:r w:rsidRPr="0033310C">
              <w:br/>
              <w:t>S2SLS</w:t>
            </w:r>
            <w:r w:rsidRPr="0033310C">
              <w:br/>
              <w:t xml:space="preserve">South </w:t>
            </w:r>
            <m:oMath>
              <m:r>
                <w:rPr>
                  <w:rFonts w:ascii="Cambria Math" w:hAnsi="Cambria Math"/>
                </w:rPr>
                <m:t>(</m:t>
              </m:r>
              <m:r>
                <w:rPr>
                  <w:rFonts w:ascii="Cambria Math" w:hAnsi="Cambria Math"/>
                </w:rPr>
                <m:t>N</m:t>
              </m:r>
              <m:r>
                <w:rPr>
                  <w:rFonts w:ascii="Cambria Math" w:hAnsi="Cambria Math"/>
                </w:rPr>
                <m:t> = 119)</m:t>
              </m:r>
            </m:oMath>
          </w:p>
        </w:tc>
        <w:tc>
          <w:tcPr>
            <w:tcW w:w="0" w:type="auto"/>
          </w:tcPr>
          <w:p w14:paraId="06E42D1D" w14:textId="525A02F9" w:rsidR="00C47A7A" w:rsidRPr="0033310C" w:rsidRDefault="00C47A7A" w:rsidP="00C47A7A">
            <w:pPr>
              <w:pStyle w:val="NoSpacing"/>
            </w:pPr>
          </w:p>
        </w:tc>
        <w:tc>
          <w:tcPr>
            <w:tcW w:w="0" w:type="auto"/>
            <w:hideMark/>
          </w:tcPr>
          <w:p w14:paraId="15F8637B" w14:textId="5DBACEB7" w:rsidR="00C47A7A" w:rsidRPr="0033310C" w:rsidRDefault="00C47A7A" w:rsidP="00C47A7A">
            <w:pPr>
              <w:pStyle w:val="NoSpacing"/>
            </w:pPr>
            <w:r w:rsidRPr="0033310C">
              <w:t>Model 12</w:t>
            </w:r>
            <w:r w:rsidRPr="0033310C">
              <w:br/>
              <w:t>S2SLS</w:t>
            </w:r>
            <w:r w:rsidRPr="0033310C">
              <w:br/>
              <w:t xml:space="preserve">North </w:t>
            </w:r>
            <m:oMath>
              <m:r>
                <w:rPr>
                  <w:rFonts w:ascii="Cambria Math" w:hAnsi="Cambria Math"/>
                </w:rPr>
                <m:t>(</m:t>
              </m:r>
              <m:r>
                <w:rPr>
                  <w:rFonts w:ascii="Cambria Math" w:hAnsi="Cambria Math"/>
                </w:rPr>
                <m:t>N</m:t>
              </m:r>
              <m:r>
                <w:rPr>
                  <w:rFonts w:ascii="Cambria Math" w:hAnsi="Cambria Math"/>
                </w:rPr>
                <m:t> = 452)</m:t>
              </m:r>
            </m:oMath>
          </w:p>
        </w:tc>
        <w:tc>
          <w:tcPr>
            <w:tcW w:w="0" w:type="auto"/>
          </w:tcPr>
          <w:p w14:paraId="7AA37052" w14:textId="18DDF478" w:rsidR="00C47A7A" w:rsidRPr="0033310C" w:rsidRDefault="00C47A7A" w:rsidP="00C47A7A">
            <w:pPr>
              <w:pStyle w:val="NoSpacing"/>
            </w:pPr>
          </w:p>
        </w:tc>
      </w:tr>
      <w:tr w:rsidR="0033310C" w:rsidRPr="0033310C" w14:paraId="21984BCA" w14:textId="77777777" w:rsidTr="00C47A7A">
        <w:tc>
          <w:tcPr>
            <w:tcW w:w="0" w:type="auto"/>
            <w:hideMark/>
          </w:tcPr>
          <w:p w14:paraId="397788CC" w14:textId="77777777" w:rsidR="0033310C" w:rsidRPr="0033310C" w:rsidRDefault="0033310C" w:rsidP="00C47A7A">
            <w:pPr>
              <w:pStyle w:val="NoSpacing"/>
            </w:pPr>
          </w:p>
        </w:tc>
        <w:tc>
          <w:tcPr>
            <w:tcW w:w="0" w:type="auto"/>
            <w:hideMark/>
          </w:tcPr>
          <w:p w14:paraId="39C7BB39" w14:textId="77777777" w:rsidR="0033310C" w:rsidRPr="0033310C" w:rsidRDefault="0033310C" w:rsidP="00C47A7A">
            <w:pPr>
              <w:pStyle w:val="NoSpacing"/>
              <w:rPr>
                <w:b/>
                <w:bCs/>
              </w:rPr>
            </w:pPr>
            <w:r w:rsidRPr="0033310C">
              <w:rPr>
                <w:b/>
                <w:bCs/>
                <w:i/>
                <w:iCs/>
              </w:rPr>
              <w:t>B</w:t>
            </w:r>
          </w:p>
        </w:tc>
        <w:tc>
          <w:tcPr>
            <w:tcW w:w="0" w:type="auto"/>
            <w:hideMark/>
          </w:tcPr>
          <w:p w14:paraId="3E664DA1" w14:textId="77777777" w:rsidR="0033310C" w:rsidRPr="0033310C" w:rsidRDefault="0033310C" w:rsidP="00C47A7A">
            <w:pPr>
              <w:pStyle w:val="NoSpacing"/>
              <w:rPr>
                <w:b/>
                <w:bCs/>
              </w:rPr>
            </w:pPr>
            <w:r w:rsidRPr="0033310C">
              <w:rPr>
                <w:b/>
                <w:bCs/>
              </w:rPr>
              <w:t>SE</w:t>
            </w:r>
          </w:p>
        </w:tc>
        <w:tc>
          <w:tcPr>
            <w:tcW w:w="0" w:type="auto"/>
            <w:hideMark/>
          </w:tcPr>
          <w:p w14:paraId="75BCDDBF" w14:textId="77777777" w:rsidR="0033310C" w:rsidRPr="0033310C" w:rsidRDefault="0033310C" w:rsidP="00C47A7A">
            <w:pPr>
              <w:pStyle w:val="NoSpacing"/>
              <w:rPr>
                <w:b/>
                <w:bCs/>
              </w:rPr>
            </w:pPr>
            <w:r w:rsidRPr="0033310C">
              <w:rPr>
                <w:b/>
                <w:bCs/>
                <w:i/>
                <w:iCs/>
              </w:rPr>
              <w:t>B</w:t>
            </w:r>
          </w:p>
        </w:tc>
        <w:tc>
          <w:tcPr>
            <w:tcW w:w="0" w:type="auto"/>
            <w:hideMark/>
          </w:tcPr>
          <w:p w14:paraId="6993D46E" w14:textId="77777777" w:rsidR="0033310C" w:rsidRPr="0033310C" w:rsidRDefault="0033310C" w:rsidP="00C47A7A">
            <w:pPr>
              <w:pStyle w:val="NoSpacing"/>
              <w:rPr>
                <w:b/>
                <w:bCs/>
              </w:rPr>
            </w:pPr>
            <w:r w:rsidRPr="0033310C">
              <w:rPr>
                <w:b/>
                <w:bCs/>
              </w:rPr>
              <w:t>SE</w:t>
            </w:r>
          </w:p>
        </w:tc>
        <w:tc>
          <w:tcPr>
            <w:tcW w:w="0" w:type="auto"/>
            <w:hideMark/>
          </w:tcPr>
          <w:p w14:paraId="67497D77" w14:textId="77777777" w:rsidR="0033310C" w:rsidRPr="0033310C" w:rsidRDefault="0033310C" w:rsidP="00C47A7A">
            <w:pPr>
              <w:pStyle w:val="NoSpacing"/>
              <w:rPr>
                <w:b/>
                <w:bCs/>
              </w:rPr>
            </w:pPr>
            <w:r w:rsidRPr="0033310C">
              <w:rPr>
                <w:b/>
                <w:bCs/>
                <w:i/>
                <w:iCs/>
              </w:rPr>
              <w:t>B</w:t>
            </w:r>
          </w:p>
        </w:tc>
        <w:tc>
          <w:tcPr>
            <w:tcW w:w="0" w:type="auto"/>
            <w:hideMark/>
          </w:tcPr>
          <w:p w14:paraId="095F2197" w14:textId="77777777" w:rsidR="0033310C" w:rsidRPr="0033310C" w:rsidRDefault="0033310C" w:rsidP="00C47A7A">
            <w:pPr>
              <w:pStyle w:val="NoSpacing"/>
              <w:rPr>
                <w:b/>
                <w:bCs/>
              </w:rPr>
            </w:pPr>
            <w:r w:rsidRPr="0033310C">
              <w:rPr>
                <w:b/>
                <w:bCs/>
              </w:rPr>
              <w:t>SE</w:t>
            </w:r>
          </w:p>
        </w:tc>
      </w:tr>
      <w:tr w:rsidR="0033310C" w:rsidRPr="0033310C" w14:paraId="1A2835D8" w14:textId="77777777" w:rsidTr="00C47A7A">
        <w:tc>
          <w:tcPr>
            <w:tcW w:w="0" w:type="auto"/>
            <w:hideMark/>
          </w:tcPr>
          <w:p w14:paraId="6AA0451E" w14:textId="77777777" w:rsidR="0033310C" w:rsidRPr="0033310C" w:rsidRDefault="0033310C" w:rsidP="00C47A7A">
            <w:pPr>
              <w:pStyle w:val="NoSpacing"/>
            </w:pPr>
            <w:bookmarkStart w:id="75" w:name="btblfn9" w:colFirst="1" w:colLast="5"/>
            <w:r w:rsidRPr="0033310C">
              <w:t>Constant</w:t>
            </w:r>
          </w:p>
        </w:tc>
        <w:tc>
          <w:tcPr>
            <w:tcW w:w="0" w:type="auto"/>
            <w:hideMark/>
          </w:tcPr>
          <w:p w14:paraId="21888DB5" w14:textId="4926A88B" w:rsidR="0033310C" w:rsidRPr="0033310C" w:rsidRDefault="0033310C" w:rsidP="00C47A7A">
            <w:pPr>
              <w:pStyle w:val="NoSpacing"/>
            </w:pPr>
            <w:r w:rsidRPr="0033310C">
              <w:t>1.58</w:t>
            </w:r>
            <w:r w:rsidRPr="0033310C">
              <w:rPr>
                <w:rFonts w:ascii="Tahoma" w:hAnsi="Tahoma" w:cs="Tahoma"/>
                <w:vertAlign w:val="superscript"/>
              </w:rPr>
              <w:t>⁎⁎</w:t>
            </w:r>
          </w:p>
        </w:tc>
        <w:tc>
          <w:tcPr>
            <w:tcW w:w="0" w:type="auto"/>
            <w:hideMark/>
          </w:tcPr>
          <w:p w14:paraId="0EB10B42" w14:textId="77777777" w:rsidR="0033310C" w:rsidRPr="0033310C" w:rsidRDefault="0033310C" w:rsidP="00C47A7A">
            <w:pPr>
              <w:pStyle w:val="NoSpacing"/>
            </w:pPr>
            <w:r w:rsidRPr="0033310C">
              <w:t>0.49</w:t>
            </w:r>
          </w:p>
        </w:tc>
        <w:tc>
          <w:tcPr>
            <w:tcW w:w="0" w:type="auto"/>
            <w:hideMark/>
          </w:tcPr>
          <w:p w14:paraId="3909A6CA" w14:textId="77777777" w:rsidR="0033310C" w:rsidRPr="0033310C" w:rsidRDefault="0033310C" w:rsidP="00C47A7A">
            <w:pPr>
              <w:pStyle w:val="NoSpacing"/>
            </w:pPr>
            <w:r w:rsidRPr="0033310C">
              <w:t>0.48</w:t>
            </w:r>
          </w:p>
        </w:tc>
        <w:tc>
          <w:tcPr>
            <w:tcW w:w="0" w:type="auto"/>
            <w:hideMark/>
          </w:tcPr>
          <w:p w14:paraId="4250559F" w14:textId="77777777" w:rsidR="0033310C" w:rsidRPr="0033310C" w:rsidRDefault="0033310C" w:rsidP="00C47A7A">
            <w:pPr>
              <w:pStyle w:val="NoSpacing"/>
            </w:pPr>
            <w:r w:rsidRPr="0033310C">
              <w:t>1.62</w:t>
            </w:r>
          </w:p>
        </w:tc>
        <w:tc>
          <w:tcPr>
            <w:tcW w:w="0" w:type="auto"/>
            <w:hideMark/>
          </w:tcPr>
          <w:p w14:paraId="1EF17E1E" w14:textId="77777777" w:rsidR="0033310C" w:rsidRPr="0033310C" w:rsidRDefault="0033310C" w:rsidP="00C47A7A">
            <w:pPr>
              <w:pStyle w:val="NoSpacing"/>
            </w:pPr>
            <w:r w:rsidRPr="0033310C">
              <w:t>1.48</w:t>
            </w:r>
          </w:p>
        </w:tc>
        <w:tc>
          <w:tcPr>
            <w:tcW w:w="0" w:type="auto"/>
            <w:hideMark/>
          </w:tcPr>
          <w:p w14:paraId="31801812" w14:textId="77777777" w:rsidR="0033310C" w:rsidRPr="0033310C" w:rsidRDefault="0033310C" w:rsidP="00C47A7A">
            <w:pPr>
              <w:pStyle w:val="NoSpacing"/>
            </w:pPr>
            <w:r w:rsidRPr="0033310C">
              <w:t>1.21</w:t>
            </w:r>
          </w:p>
        </w:tc>
      </w:tr>
      <w:tr w:rsidR="0033310C" w:rsidRPr="0033310C" w14:paraId="5330FB2B" w14:textId="77777777" w:rsidTr="00C47A7A">
        <w:tc>
          <w:tcPr>
            <w:tcW w:w="0" w:type="auto"/>
            <w:hideMark/>
          </w:tcPr>
          <w:p w14:paraId="13A66801" w14:textId="77777777" w:rsidR="0033310C" w:rsidRPr="0033310C" w:rsidRDefault="0033310C" w:rsidP="00C47A7A">
            <w:pPr>
              <w:pStyle w:val="NoSpacing"/>
            </w:pPr>
            <w:r w:rsidRPr="0033310C">
              <w:t>Population density</w:t>
            </w:r>
          </w:p>
        </w:tc>
        <w:tc>
          <w:tcPr>
            <w:tcW w:w="0" w:type="auto"/>
            <w:hideMark/>
          </w:tcPr>
          <w:p w14:paraId="71F09B3E" w14:textId="0FF527AB" w:rsidR="0033310C" w:rsidRPr="0033310C" w:rsidRDefault="0033310C" w:rsidP="00C47A7A">
            <w:pPr>
              <w:pStyle w:val="NoSpacing"/>
            </w:pPr>
            <w:r w:rsidRPr="0033310C">
              <w:t>0.00</w:t>
            </w:r>
            <w:r w:rsidRPr="0033310C">
              <w:rPr>
                <w:rFonts w:ascii="Tahoma" w:hAnsi="Tahoma" w:cs="Tahoma"/>
                <w:vertAlign w:val="superscript"/>
              </w:rPr>
              <w:t>⁎⁎</w:t>
            </w:r>
          </w:p>
        </w:tc>
        <w:tc>
          <w:tcPr>
            <w:tcW w:w="0" w:type="auto"/>
            <w:hideMark/>
          </w:tcPr>
          <w:p w14:paraId="36809229" w14:textId="77777777" w:rsidR="0033310C" w:rsidRPr="0033310C" w:rsidRDefault="0033310C" w:rsidP="00C47A7A">
            <w:pPr>
              <w:pStyle w:val="NoSpacing"/>
            </w:pPr>
            <w:r w:rsidRPr="0033310C">
              <w:t>0.00</w:t>
            </w:r>
          </w:p>
        </w:tc>
        <w:tc>
          <w:tcPr>
            <w:tcW w:w="0" w:type="auto"/>
            <w:hideMark/>
          </w:tcPr>
          <w:p w14:paraId="7D73F373" w14:textId="77777777" w:rsidR="0033310C" w:rsidRPr="0033310C" w:rsidRDefault="0033310C" w:rsidP="00C47A7A">
            <w:pPr>
              <w:pStyle w:val="NoSpacing"/>
            </w:pPr>
            <w:r w:rsidRPr="0033310C">
              <w:t>0.00</w:t>
            </w:r>
          </w:p>
        </w:tc>
        <w:tc>
          <w:tcPr>
            <w:tcW w:w="0" w:type="auto"/>
            <w:hideMark/>
          </w:tcPr>
          <w:p w14:paraId="644F8AB2" w14:textId="77777777" w:rsidR="0033310C" w:rsidRPr="0033310C" w:rsidRDefault="0033310C" w:rsidP="00C47A7A">
            <w:pPr>
              <w:pStyle w:val="NoSpacing"/>
            </w:pPr>
            <w:r w:rsidRPr="0033310C">
              <w:t>0.00</w:t>
            </w:r>
          </w:p>
        </w:tc>
        <w:tc>
          <w:tcPr>
            <w:tcW w:w="0" w:type="auto"/>
            <w:hideMark/>
          </w:tcPr>
          <w:p w14:paraId="5A88BBAF" w14:textId="313AB499" w:rsidR="0033310C" w:rsidRPr="0033310C" w:rsidRDefault="0033310C" w:rsidP="00C47A7A">
            <w:pPr>
              <w:pStyle w:val="NoSpacing"/>
            </w:pPr>
            <w:r w:rsidRPr="0033310C">
              <w:t>0.00</w:t>
            </w:r>
            <w:r w:rsidRPr="0033310C">
              <w:rPr>
                <w:rFonts w:ascii="Tahoma" w:hAnsi="Tahoma" w:cs="Tahoma"/>
                <w:vertAlign w:val="superscript"/>
              </w:rPr>
              <w:t>⁎⁎</w:t>
            </w:r>
          </w:p>
        </w:tc>
        <w:tc>
          <w:tcPr>
            <w:tcW w:w="0" w:type="auto"/>
            <w:hideMark/>
          </w:tcPr>
          <w:p w14:paraId="4A950D6D" w14:textId="77777777" w:rsidR="0033310C" w:rsidRPr="0033310C" w:rsidRDefault="0033310C" w:rsidP="00C47A7A">
            <w:pPr>
              <w:pStyle w:val="NoSpacing"/>
            </w:pPr>
            <w:r w:rsidRPr="0033310C">
              <w:t>0.00</w:t>
            </w:r>
          </w:p>
        </w:tc>
      </w:tr>
      <w:tr w:rsidR="0033310C" w:rsidRPr="0033310C" w14:paraId="2D96BC31" w14:textId="77777777" w:rsidTr="00C47A7A">
        <w:tc>
          <w:tcPr>
            <w:tcW w:w="0" w:type="auto"/>
            <w:hideMark/>
          </w:tcPr>
          <w:p w14:paraId="19208208" w14:textId="77777777" w:rsidR="0033310C" w:rsidRPr="0033310C" w:rsidRDefault="0033310C" w:rsidP="00C47A7A">
            <w:pPr>
              <w:pStyle w:val="NoSpacing"/>
            </w:pPr>
            <w:r w:rsidRPr="0033310C">
              <w:t>Proportion young</w:t>
            </w:r>
          </w:p>
        </w:tc>
        <w:tc>
          <w:tcPr>
            <w:tcW w:w="0" w:type="auto"/>
            <w:hideMark/>
          </w:tcPr>
          <w:p w14:paraId="0F29257B" w14:textId="77777777" w:rsidR="0033310C" w:rsidRPr="0033310C" w:rsidRDefault="0033310C" w:rsidP="00C47A7A">
            <w:pPr>
              <w:pStyle w:val="NoSpacing"/>
            </w:pPr>
            <w:r w:rsidRPr="0033310C">
              <w:t>−0.78</w:t>
            </w:r>
          </w:p>
        </w:tc>
        <w:tc>
          <w:tcPr>
            <w:tcW w:w="0" w:type="auto"/>
            <w:hideMark/>
          </w:tcPr>
          <w:p w14:paraId="388F987B" w14:textId="77777777" w:rsidR="0033310C" w:rsidRPr="0033310C" w:rsidRDefault="0033310C" w:rsidP="00C47A7A">
            <w:pPr>
              <w:pStyle w:val="NoSpacing"/>
            </w:pPr>
            <w:r w:rsidRPr="0033310C">
              <w:t>1.09</w:t>
            </w:r>
          </w:p>
        </w:tc>
        <w:tc>
          <w:tcPr>
            <w:tcW w:w="0" w:type="auto"/>
            <w:hideMark/>
          </w:tcPr>
          <w:p w14:paraId="77D97462" w14:textId="77777777" w:rsidR="0033310C" w:rsidRPr="0033310C" w:rsidRDefault="0033310C" w:rsidP="00C47A7A">
            <w:pPr>
              <w:pStyle w:val="NoSpacing"/>
            </w:pPr>
            <w:r w:rsidRPr="0033310C">
              <w:t>5.74</w:t>
            </w:r>
          </w:p>
        </w:tc>
        <w:tc>
          <w:tcPr>
            <w:tcW w:w="0" w:type="auto"/>
            <w:hideMark/>
          </w:tcPr>
          <w:p w14:paraId="6C52BB4D" w14:textId="77777777" w:rsidR="0033310C" w:rsidRPr="0033310C" w:rsidRDefault="0033310C" w:rsidP="00C47A7A">
            <w:pPr>
              <w:pStyle w:val="NoSpacing"/>
            </w:pPr>
            <w:r w:rsidRPr="0033310C">
              <w:t>9.13</w:t>
            </w:r>
          </w:p>
        </w:tc>
        <w:tc>
          <w:tcPr>
            <w:tcW w:w="0" w:type="auto"/>
            <w:hideMark/>
          </w:tcPr>
          <w:p w14:paraId="3CE861CC" w14:textId="77777777" w:rsidR="0033310C" w:rsidRPr="0033310C" w:rsidRDefault="0033310C" w:rsidP="00C47A7A">
            <w:pPr>
              <w:pStyle w:val="NoSpacing"/>
            </w:pPr>
            <w:r w:rsidRPr="0033310C">
              <w:t>−1.36</w:t>
            </w:r>
          </w:p>
        </w:tc>
        <w:tc>
          <w:tcPr>
            <w:tcW w:w="0" w:type="auto"/>
            <w:hideMark/>
          </w:tcPr>
          <w:p w14:paraId="39FCAD72" w14:textId="77777777" w:rsidR="0033310C" w:rsidRPr="0033310C" w:rsidRDefault="0033310C" w:rsidP="00C47A7A">
            <w:pPr>
              <w:pStyle w:val="NoSpacing"/>
            </w:pPr>
            <w:r w:rsidRPr="0033310C">
              <w:t>1.31</w:t>
            </w:r>
          </w:p>
        </w:tc>
      </w:tr>
      <w:tr w:rsidR="0033310C" w:rsidRPr="0033310C" w14:paraId="7E0207D9" w14:textId="77777777" w:rsidTr="00C47A7A">
        <w:tc>
          <w:tcPr>
            <w:tcW w:w="0" w:type="auto"/>
            <w:hideMark/>
          </w:tcPr>
          <w:p w14:paraId="0ABE6C1C" w14:textId="77777777" w:rsidR="0033310C" w:rsidRPr="0033310C" w:rsidRDefault="0033310C" w:rsidP="00C47A7A">
            <w:pPr>
              <w:pStyle w:val="NoSpacing"/>
            </w:pPr>
            <w:r w:rsidRPr="0033310C">
              <w:t>Social disorganization</w:t>
            </w:r>
          </w:p>
        </w:tc>
        <w:tc>
          <w:tcPr>
            <w:tcW w:w="0" w:type="auto"/>
            <w:hideMark/>
          </w:tcPr>
          <w:p w14:paraId="46462C83" w14:textId="44A2D151" w:rsidR="0033310C" w:rsidRPr="0033310C" w:rsidRDefault="0033310C" w:rsidP="00C47A7A">
            <w:pPr>
              <w:pStyle w:val="NoSpacing"/>
            </w:pPr>
            <w:r w:rsidRPr="0033310C">
              <w:t>0.32</w:t>
            </w:r>
            <w:r w:rsidRPr="0033310C">
              <w:rPr>
                <w:rFonts w:ascii="Tahoma" w:hAnsi="Tahoma" w:cs="Tahoma"/>
                <w:vertAlign w:val="superscript"/>
              </w:rPr>
              <w:t>⁎⁎</w:t>
            </w:r>
          </w:p>
        </w:tc>
        <w:tc>
          <w:tcPr>
            <w:tcW w:w="0" w:type="auto"/>
            <w:hideMark/>
          </w:tcPr>
          <w:p w14:paraId="0D267C3A" w14:textId="77777777" w:rsidR="0033310C" w:rsidRPr="0033310C" w:rsidRDefault="0033310C" w:rsidP="00C47A7A">
            <w:pPr>
              <w:pStyle w:val="NoSpacing"/>
            </w:pPr>
            <w:r w:rsidRPr="0033310C">
              <w:t>0.06</w:t>
            </w:r>
          </w:p>
        </w:tc>
        <w:tc>
          <w:tcPr>
            <w:tcW w:w="0" w:type="auto"/>
            <w:hideMark/>
          </w:tcPr>
          <w:p w14:paraId="1878805C" w14:textId="77777777" w:rsidR="0033310C" w:rsidRPr="0033310C" w:rsidRDefault="0033310C" w:rsidP="00C47A7A">
            <w:pPr>
              <w:pStyle w:val="NoSpacing"/>
            </w:pPr>
            <w:r w:rsidRPr="0033310C">
              <w:t>0.01</w:t>
            </w:r>
          </w:p>
        </w:tc>
        <w:tc>
          <w:tcPr>
            <w:tcW w:w="0" w:type="auto"/>
            <w:hideMark/>
          </w:tcPr>
          <w:p w14:paraId="61E1013E" w14:textId="77777777" w:rsidR="0033310C" w:rsidRPr="0033310C" w:rsidRDefault="0033310C" w:rsidP="00C47A7A">
            <w:pPr>
              <w:pStyle w:val="NoSpacing"/>
            </w:pPr>
            <w:r w:rsidRPr="0033310C">
              <w:t>0.13</w:t>
            </w:r>
          </w:p>
        </w:tc>
        <w:tc>
          <w:tcPr>
            <w:tcW w:w="0" w:type="auto"/>
            <w:hideMark/>
          </w:tcPr>
          <w:p w14:paraId="0FF98DBB" w14:textId="71191A4B" w:rsidR="0033310C" w:rsidRPr="0033310C" w:rsidRDefault="0033310C" w:rsidP="00C47A7A">
            <w:pPr>
              <w:pStyle w:val="NoSpacing"/>
            </w:pPr>
            <w:r w:rsidRPr="0033310C">
              <w:t>0.32</w:t>
            </w:r>
            <w:r w:rsidRPr="0033310C">
              <w:rPr>
                <w:rFonts w:ascii="Tahoma" w:hAnsi="Tahoma" w:cs="Tahoma"/>
                <w:vertAlign w:val="superscript"/>
              </w:rPr>
              <w:t>⁎⁎</w:t>
            </w:r>
          </w:p>
        </w:tc>
        <w:tc>
          <w:tcPr>
            <w:tcW w:w="0" w:type="auto"/>
            <w:hideMark/>
          </w:tcPr>
          <w:p w14:paraId="73BEE91E" w14:textId="77777777" w:rsidR="0033310C" w:rsidRPr="0033310C" w:rsidRDefault="0033310C" w:rsidP="00C47A7A">
            <w:pPr>
              <w:pStyle w:val="NoSpacing"/>
            </w:pPr>
            <w:r w:rsidRPr="0033310C">
              <w:t>0.08</w:t>
            </w:r>
          </w:p>
        </w:tc>
      </w:tr>
      <w:tr w:rsidR="0033310C" w:rsidRPr="0033310C" w14:paraId="62956932" w14:textId="77777777" w:rsidTr="00C47A7A">
        <w:tc>
          <w:tcPr>
            <w:tcW w:w="0" w:type="auto"/>
            <w:hideMark/>
          </w:tcPr>
          <w:p w14:paraId="2EF41C06" w14:textId="77777777" w:rsidR="0033310C" w:rsidRPr="0033310C" w:rsidRDefault="0033310C" w:rsidP="00C47A7A">
            <w:pPr>
              <w:pStyle w:val="NoSpacing"/>
            </w:pPr>
            <w:r w:rsidRPr="0033310C">
              <w:t>Distance from city center</w:t>
            </w:r>
          </w:p>
        </w:tc>
        <w:tc>
          <w:tcPr>
            <w:tcW w:w="0" w:type="auto"/>
            <w:hideMark/>
          </w:tcPr>
          <w:p w14:paraId="65E3E652" w14:textId="77777777" w:rsidR="0033310C" w:rsidRPr="0033310C" w:rsidRDefault="0033310C" w:rsidP="00C47A7A">
            <w:pPr>
              <w:pStyle w:val="NoSpacing"/>
            </w:pPr>
            <w:r w:rsidRPr="0033310C">
              <w:t>−0.04</w:t>
            </w:r>
          </w:p>
        </w:tc>
        <w:tc>
          <w:tcPr>
            <w:tcW w:w="0" w:type="auto"/>
            <w:hideMark/>
          </w:tcPr>
          <w:p w14:paraId="7307D750" w14:textId="77777777" w:rsidR="0033310C" w:rsidRPr="0033310C" w:rsidRDefault="0033310C" w:rsidP="00C47A7A">
            <w:pPr>
              <w:pStyle w:val="NoSpacing"/>
            </w:pPr>
            <w:r w:rsidRPr="0033310C">
              <w:t>0.06</w:t>
            </w:r>
          </w:p>
        </w:tc>
        <w:tc>
          <w:tcPr>
            <w:tcW w:w="0" w:type="auto"/>
            <w:hideMark/>
          </w:tcPr>
          <w:p w14:paraId="0EDC1E1D" w14:textId="77777777" w:rsidR="0033310C" w:rsidRPr="0033310C" w:rsidRDefault="0033310C" w:rsidP="00C47A7A">
            <w:pPr>
              <w:pStyle w:val="NoSpacing"/>
            </w:pPr>
            <w:r w:rsidRPr="0033310C">
              <w:t>0.12</w:t>
            </w:r>
          </w:p>
        </w:tc>
        <w:tc>
          <w:tcPr>
            <w:tcW w:w="0" w:type="auto"/>
            <w:hideMark/>
          </w:tcPr>
          <w:p w14:paraId="2D7BF05D" w14:textId="77777777" w:rsidR="0033310C" w:rsidRPr="0033310C" w:rsidRDefault="0033310C" w:rsidP="00C47A7A">
            <w:pPr>
              <w:pStyle w:val="NoSpacing"/>
            </w:pPr>
            <w:r w:rsidRPr="0033310C">
              <w:t>0.17</w:t>
            </w:r>
          </w:p>
        </w:tc>
        <w:tc>
          <w:tcPr>
            <w:tcW w:w="0" w:type="auto"/>
            <w:hideMark/>
          </w:tcPr>
          <w:p w14:paraId="06C0F19C" w14:textId="77777777" w:rsidR="0033310C" w:rsidRPr="0033310C" w:rsidRDefault="0033310C" w:rsidP="00C47A7A">
            <w:pPr>
              <w:pStyle w:val="NoSpacing"/>
            </w:pPr>
            <w:r w:rsidRPr="0033310C">
              <w:t>−0.03</w:t>
            </w:r>
          </w:p>
        </w:tc>
        <w:tc>
          <w:tcPr>
            <w:tcW w:w="0" w:type="auto"/>
            <w:hideMark/>
          </w:tcPr>
          <w:p w14:paraId="3301AEA3" w14:textId="77777777" w:rsidR="0033310C" w:rsidRPr="0033310C" w:rsidRDefault="0033310C" w:rsidP="00C47A7A">
            <w:pPr>
              <w:pStyle w:val="NoSpacing"/>
            </w:pPr>
            <w:r w:rsidRPr="0033310C">
              <w:t>0.09</w:t>
            </w:r>
          </w:p>
        </w:tc>
      </w:tr>
      <w:tr w:rsidR="0033310C" w:rsidRPr="0033310C" w14:paraId="034659E2" w14:textId="77777777" w:rsidTr="00C47A7A">
        <w:tc>
          <w:tcPr>
            <w:tcW w:w="0" w:type="auto"/>
            <w:hideMark/>
          </w:tcPr>
          <w:p w14:paraId="18F19608" w14:textId="77777777" w:rsidR="0033310C" w:rsidRPr="0033310C" w:rsidRDefault="0033310C" w:rsidP="00C47A7A">
            <w:pPr>
              <w:pStyle w:val="NoSpacing"/>
            </w:pPr>
            <w:r w:rsidRPr="0033310C">
              <w:rPr>
                <w:i/>
                <w:iCs/>
              </w:rPr>
              <w:t>Rho</w:t>
            </w:r>
            <w:r w:rsidRPr="0033310C">
              <w:t> sqrt robbery density</w:t>
            </w:r>
          </w:p>
        </w:tc>
        <w:tc>
          <w:tcPr>
            <w:tcW w:w="0" w:type="auto"/>
            <w:hideMark/>
          </w:tcPr>
          <w:p w14:paraId="071575D8" w14:textId="1D3E8A44" w:rsidR="0033310C" w:rsidRPr="0033310C" w:rsidRDefault="0033310C" w:rsidP="00C47A7A">
            <w:pPr>
              <w:pStyle w:val="NoSpacing"/>
            </w:pPr>
            <w:r w:rsidRPr="0033310C">
              <w:t>0.54</w:t>
            </w:r>
            <w:r w:rsidRPr="0033310C">
              <w:rPr>
                <w:rFonts w:ascii="Tahoma" w:hAnsi="Tahoma" w:cs="Tahoma"/>
                <w:vertAlign w:val="superscript"/>
              </w:rPr>
              <w:t>⁎⁎</w:t>
            </w:r>
          </w:p>
        </w:tc>
        <w:tc>
          <w:tcPr>
            <w:tcW w:w="0" w:type="auto"/>
            <w:hideMark/>
          </w:tcPr>
          <w:p w14:paraId="5D569724" w14:textId="77777777" w:rsidR="0033310C" w:rsidRPr="0033310C" w:rsidRDefault="0033310C" w:rsidP="00C47A7A">
            <w:pPr>
              <w:pStyle w:val="NoSpacing"/>
            </w:pPr>
            <w:r w:rsidRPr="0033310C">
              <w:t>0.04</w:t>
            </w:r>
          </w:p>
        </w:tc>
        <w:tc>
          <w:tcPr>
            <w:tcW w:w="0" w:type="auto"/>
            <w:hideMark/>
          </w:tcPr>
          <w:p w14:paraId="5DF11858" w14:textId="77777777" w:rsidR="0033310C" w:rsidRPr="0033310C" w:rsidRDefault="0033310C" w:rsidP="00C47A7A">
            <w:pPr>
              <w:pStyle w:val="NoSpacing"/>
            </w:pPr>
            <w:r w:rsidRPr="0033310C">
              <w:t>0.52</w:t>
            </w:r>
          </w:p>
        </w:tc>
        <w:tc>
          <w:tcPr>
            <w:tcW w:w="0" w:type="auto"/>
            <w:hideMark/>
          </w:tcPr>
          <w:p w14:paraId="053FC0C3" w14:textId="77777777" w:rsidR="0033310C" w:rsidRPr="0033310C" w:rsidRDefault="0033310C" w:rsidP="00C47A7A">
            <w:pPr>
              <w:pStyle w:val="NoSpacing"/>
            </w:pPr>
            <w:r w:rsidRPr="0033310C">
              <w:t>0.35</w:t>
            </w:r>
          </w:p>
        </w:tc>
        <w:tc>
          <w:tcPr>
            <w:tcW w:w="0" w:type="auto"/>
            <w:hideMark/>
          </w:tcPr>
          <w:p w14:paraId="79D2B5AE" w14:textId="02939628" w:rsidR="0033310C" w:rsidRPr="0033310C" w:rsidRDefault="0033310C" w:rsidP="00C47A7A">
            <w:pPr>
              <w:pStyle w:val="NoSpacing"/>
            </w:pPr>
            <w:r w:rsidRPr="0033310C">
              <w:t>0.59</w:t>
            </w:r>
            <w:r w:rsidRPr="0033310C">
              <w:rPr>
                <w:rFonts w:ascii="Tahoma" w:hAnsi="Tahoma" w:cs="Tahoma"/>
                <w:vertAlign w:val="superscript"/>
              </w:rPr>
              <w:t>⁎⁎</w:t>
            </w:r>
          </w:p>
        </w:tc>
        <w:tc>
          <w:tcPr>
            <w:tcW w:w="0" w:type="auto"/>
            <w:hideMark/>
          </w:tcPr>
          <w:p w14:paraId="2390C0EF" w14:textId="77777777" w:rsidR="0033310C" w:rsidRPr="0033310C" w:rsidRDefault="0033310C" w:rsidP="00C47A7A">
            <w:pPr>
              <w:pStyle w:val="NoSpacing"/>
            </w:pPr>
            <w:r w:rsidRPr="0033310C">
              <w:t>0.14</w:t>
            </w:r>
          </w:p>
        </w:tc>
      </w:tr>
      <w:tr w:rsidR="0033310C" w:rsidRPr="0033310C" w14:paraId="020CDCCC" w14:textId="77777777" w:rsidTr="00C47A7A">
        <w:tc>
          <w:tcPr>
            <w:tcW w:w="0" w:type="auto"/>
            <w:hideMark/>
          </w:tcPr>
          <w:p w14:paraId="3CF2EA66" w14:textId="77777777" w:rsidR="0033310C" w:rsidRPr="0033310C" w:rsidRDefault="0033310C" w:rsidP="00C47A7A">
            <w:pPr>
              <w:pStyle w:val="NoSpacing"/>
            </w:pPr>
            <w:r w:rsidRPr="0033310C">
              <w:t>Sqrt total alcohol outlet density</w:t>
            </w:r>
          </w:p>
        </w:tc>
        <w:tc>
          <w:tcPr>
            <w:tcW w:w="0" w:type="auto"/>
            <w:hideMark/>
          </w:tcPr>
          <w:p w14:paraId="4E1726D8" w14:textId="77777777" w:rsidR="0033310C" w:rsidRPr="0033310C" w:rsidRDefault="0033310C" w:rsidP="00C47A7A">
            <w:pPr>
              <w:pStyle w:val="NoSpacing"/>
            </w:pPr>
            <w:r w:rsidRPr="0033310C">
              <w:t>0.04</w:t>
            </w:r>
          </w:p>
        </w:tc>
        <w:tc>
          <w:tcPr>
            <w:tcW w:w="0" w:type="auto"/>
            <w:hideMark/>
          </w:tcPr>
          <w:p w14:paraId="693A0A80" w14:textId="77777777" w:rsidR="0033310C" w:rsidRPr="0033310C" w:rsidRDefault="0033310C" w:rsidP="00C47A7A">
            <w:pPr>
              <w:pStyle w:val="NoSpacing"/>
            </w:pPr>
            <w:r w:rsidRPr="0033310C">
              <w:t>0.04</w:t>
            </w:r>
          </w:p>
        </w:tc>
        <w:tc>
          <w:tcPr>
            <w:tcW w:w="0" w:type="auto"/>
            <w:hideMark/>
          </w:tcPr>
          <w:p w14:paraId="72B1CF20" w14:textId="77777777" w:rsidR="0033310C" w:rsidRPr="0033310C" w:rsidRDefault="0033310C" w:rsidP="00C47A7A">
            <w:pPr>
              <w:pStyle w:val="NoSpacing"/>
            </w:pPr>
            <w:r w:rsidRPr="0033310C">
              <w:t>0.10</w:t>
            </w:r>
          </w:p>
        </w:tc>
        <w:tc>
          <w:tcPr>
            <w:tcW w:w="0" w:type="auto"/>
            <w:hideMark/>
          </w:tcPr>
          <w:p w14:paraId="2A63FDC8" w14:textId="77777777" w:rsidR="0033310C" w:rsidRPr="0033310C" w:rsidRDefault="0033310C" w:rsidP="00C47A7A">
            <w:pPr>
              <w:pStyle w:val="NoSpacing"/>
            </w:pPr>
            <w:r w:rsidRPr="0033310C">
              <w:t>0.08</w:t>
            </w:r>
          </w:p>
        </w:tc>
        <w:tc>
          <w:tcPr>
            <w:tcW w:w="0" w:type="auto"/>
            <w:hideMark/>
          </w:tcPr>
          <w:p w14:paraId="590B9E92" w14:textId="77777777" w:rsidR="0033310C" w:rsidRPr="0033310C" w:rsidRDefault="0033310C" w:rsidP="00C47A7A">
            <w:pPr>
              <w:pStyle w:val="NoSpacing"/>
            </w:pPr>
            <w:r w:rsidRPr="0033310C">
              <w:t>0.05</w:t>
            </w:r>
          </w:p>
        </w:tc>
        <w:tc>
          <w:tcPr>
            <w:tcW w:w="0" w:type="auto"/>
            <w:hideMark/>
          </w:tcPr>
          <w:p w14:paraId="2DCF3ABB" w14:textId="77777777" w:rsidR="0033310C" w:rsidRPr="0033310C" w:rsidRDefault="0033310C" w:rsidP="00C47A7A">
            <w:pPr>
              <w:pStyle w:val="NoSpacing"/>
            </w:pPr>
            <w:r w:rsidRPr="0033310C">
              <w:t>0.04</w:t>
            </w:r>
          </w:p>
        </w:tc>
      </w:tr>
      <w:tr w:rsidR="0033310C" w:rsidRPr="0033310C" w14:paraId="4DECB100" w14:textId="77777777" w:rsidTr="00C47A7A">
        <w:tc>
          <w:tcPr>
            <w:tcW w:w="0" w:type="auto"/>
            <w:hideMark/>
          </w:tcPr>
          <w:p w14:paraId="427F2ED0" w14:textId="77777777" w:rsidR="0033310C" w:rsidRPr="0033310C" w:rsidRDefault="0033310C" w:rsidP="00C47A7A">
            <w:pPr>
              <w:pStyle w:val="NoSpacing"/>
            </w:pPr>
            <w:r w:rsidRPr="0033310C">
              <w:t>Total alcohol outlet × social disorganization index</w:t>
            </w:r>
          </w:p>
        </w:tc>
        <w:tc>
          <w:tcPr>
            <w:tcW w:w="0" w:type="auto"/>
            <w:hideMark/>
          </w:tcPr>
          <w:p w14:paraId="2433BDF4" w14:textId="77777777" w:rsidR="0033310C" w:rsidRPr="0033310C" w:rsidRDefault="0033310C" w:rsidP="00C47A7A">
            <w:pPr>
              <w:pStyle w:val="NoSpacing"/>
            </w:pPr>
            <w:r w:rsidRPr="0033310C">
              <w:t>0.00</w:t>
            </w:r>
          </w:p>
        </w:tc>
        <w:tc>
          <w:tcPr>
            <w:tcW w:w="0" w:type="auto"/>
            <w:hideMark/>
          </w:tcPr>
          <w:p w14:paraId="700B02B1" w14:textId="77777777" w:rsidR="0033310C" w:rsidRPr="0033310C" w:rsidRDefault="0033310C" w:rsidP="00C47A7A">
            <w:pPr>
              <w:pStyle w:val="NoSpacing"/>
            </w:pPr>
            <w:r w:rsidRPr="0033310C">
              <w:t>0.01</w:t>
            </w:r>
          </w:p>
        </w:tc>
        <w:tc>
          <w:tcPr>
            <w:tcW w:w="0" w:type="auto"/>
            <w:hideMark/>
          </w:tcPr>
          <w:p w14:paraId="71734452" w14:textId="77777777" w:rsidR="0033310C" w:rsidRPr="0033310C" w:rsidRDefault="0033310C" w:rsidP="00C47A7A">
            <w:pPr>
              <w:pStyle w:val="NoSpacing"/>
            </w:pPr>
            <w:r w:rsidRPr="0033310C">
              <w:t>0.01</w:t>
            </w:r>
          </w:p>
        </w:tc>
        <w:tc>
          <w:tcPr>
            <w:tcW w:w="0" w:type="auto"/>
            <w:hideMark/>
          </w:tcPr>
          <w:p w14:paraId="6E110016" w14:textId="77777777" w:rsidR="0033310C" w:rsidRPr="0033310C" w:rsidRDefault="0033310C" w:rsidP="00C47A7A">
            <w:pPr>
              <w:pStyle w:val="NoSpacing"/>
            </w:pPr>
            <w:r w:rsidRPr="0033310C">
              <w:t>0.02</w:t>
            </w:r>
          </w:p>
        </w:tc>
        <w:tc>
          <w:tcPr>
            <w:tcW w:w="0" w:type="auto"/>
            <w:hideMark/>
          </w:tcPr>
          <w:p w14:paraId="1D3D4767" w14:textId="77777777" w:rsidR="0033310C" w:rsidRPr="0033310C" w:rsidRDefault="0033310C" w:rsidP="00C47A7A">
            <w:pPr>
              <w:pStyle w:val="NoSpacing"/>
            </w:pPr>
            <w:r w:rsidRPr="0033310C">
              <w:t>−0.00</w:t>
            </w:r>
          </w:p>
        </w:tc>
        <w:tc>
          <w:tcPr>
            <w:tcW w:w="0" w:type="auto"/>
            <w:hideMark/>
          </w:tcPr>
          <w:p w14:paraId="52E8F430" w14:textId="77777777" w:rsidR="0033310C" w:rsidRPr="0033310C" w:rsidRDefault="0033310C" w:rsidP="00C47A7A">
            <w:pPr>
              <w:pStyle w:val="NoSpacing"/>
            </w:pPr>
            <w:r w:rsidRPr="0033310C">
              <w:t>0.02</w:t>
            </w:r>
          </w:p>
        </w:tc>
      </w:tr>
      <w:tr w:rsidR="0033310C" w:rsidRPr="0033310C" w14:paraId="55DC9319" w14:textId="77777777" w:rsidTr="00C47A7A">
        <w:tc>
          <w:tcPr>
            <w:tcW w:w="0" w:type="auto"/>
            <w:hideMark/>
          </w:tcPr>
          <w:p w14:paraId="5C1C54A6" w14:textId="77777777" w:rsidR="0033310C" w:rsidRPr="0033310C" w:rsidRDefault="0033310C" w:rsidP="00C47A7A">
            <w:pPr>
              <w:pStyle w:val="NoSpacing"/>
            </w:pPr>
            <w:r w:rsidRPr="0033310C">
              <w:rPr>
                <w:i/>
                <w:iCs/>
              </w:rPr>
              <w:t>R</w:t>
            </w:r>
            <w:r w:rsidRPr="0033310C">
              <w:t>-squared</w:t>
            </w:r>
          </w:p>
        </w:tc>
        <w:tc>
          <w:tcPr>
            <w:tcW w:w="0" w:type="auto"/>
            <w:hideMark/>
          </w:tcPr>
          <w:p w14:paraId="45E85226" w14:textId="77777777" w:rsidR="0033310C" w:rsidRPr="0033310C" w:rsidRDefault="0033310C" w:rsidP="00C47A7A">
            <w:pPr>
              <w:pStyle w:val="NoSpacing"/>
            </w:pPr>
            <w:r w:rsidRPr="0033310C">
              <w:t>55.61</w:t>
            </w:r>
          </w:p>
        </w:tc>
        <w:tc>
          <w:tcPr>
            <w:tcW w:w="0" w:type="auto"/>
            <w:hideMark/>
          </w:tcPr>
          <w:p w14:paraId="7CA46094" w14:textId="77777777" w:rsidR="0033310C" w:rsidRPr="0033310C" w:rsidRDefault="0033310C" w:rsidP="00C47A7A">
            <w:pPr>
              <w:pStyle w:val="NoSpacing"/>
            </w:pPr>
          </w:p>
        </w:tc>
        <w:tc>
          <w:tcPr>
            <w:tcW w:w="0" w:type="auto"/>
            <w:hideMark/>
          </w:tcPr>
          <w:p w14:paraId="491A19BB" w14:textId="77777777" w:rsidR="0033310C" w:rsidRPr="0033310C" w:rsidRDefault="0033310C" w:rsidP="00C47A7A">
            <w:pPr>
              <w:pStyle w:val="NoSpacing"/>
            </w:pPr>
            <w:r w:rsidRPr="0033310C">
              <w:t>–</w:t>
            </w:r>
          </w:p>
        </w:tc>
        <w:tc>
          <w:tcPr>
            <w:tcW w:w="0" w:type="auto"/>
            <w:hideMark/>
          </w:tcPr>
          <w:p w14:paraId="095A0077" w14:textId="77777777" w:rsidR="0033310C" w:rsidRPr="0033310C" w:rsidRDefault="0033310C" w:rsidP="00C47A7A">
            <w:pPr>
              <w:pStyle w:val="NoSpacing"/>
            </w:pPr>
          </w:p>
        </w:tc>
        <w:tc>
          <w:tcPr>
            <w:tcW w:w="0" w:type="auto"/>
            <w:hideMark/>
          </w:tcPr>
          <w:p w14:paraId="5CD08D6D" w14:textId="77777777" w:rsidR="0033310C" w:rsidRPr="0033310C" w:rsidRDefault="0033310C" w:rsidP="00C47A7A">
            <w:pPr>
              <w:pStyle w:val="NoSpacing"/>
            </w:pPr>
            <w:r w:rsidRPr="0033310C">
              <w:t>–</w:t>
            </w:r>
          </w:p>
        </w:tc>
        <w:tc>
          <w:tcPr>
            <w:tcW w:w="0" w:type="auto"/>
            <w:hideMark/>
          </w:tcPr>
          <w:p w14:paraId="47CE7147" w14:textId="77777777" w:rsidR="0033310C" w:rsidRPr="0033310C" w:rsidRDefault="0033310C" w:rsidP="00C47A7A">
            <w:pPr>
              <w:pStyle w:val="NoSpacing"/>
            </w:pPr>
          </w:p>
        </w:tc>
      </w:tr>
      <w:tr w:rsidR="0033310C" w:rsidRPr="0033310C" w14:paraId="140A1377" w14:textId="77777777" w:rsidTr="00C47A7A">
        <w:tc>
          <w:tcPr>
            <w:tcW w:w="0" w:type="auto"/>
            <w:hideMark/>
          </w:tcPr>
          <w:p w14:paraId="0A040BEA" w14:textId="77777777" w:rsidR="0033310C" w:rsidRPr="0033310C" w:rsidRDefault="0033310C" w:rsidP="00C47A7A">
            <w:pPr>
              <w:pStyle w:val="NoSpacing"/>
            </w:pPr>
            <w:r w:rsidRPr="0033310C">
              <w:t>Pseudo </w:t>
            </w:r>
            <w:r w:rsidRPr="0033310C">
              <w:rPr>
                <w:i/>
                <w:iCs/>
              </w:rPr>
              <w:t>R</w:t>
            </w:r>
            <w:r w:rsidRPr="0033310C">
              <w:t>-squared</w:t>
            </w:r>
          </w:p>
        </w:tc>
        <w:tc>
          <w:tcPr>
            <w:tcW w:w="0" w:type="auto"/>
            <w:hideMark/>
          </w:tcPr>
          <w:p w14:paraId="5849BDB7" w14:textId="77777777" w:rsidR="0033310C" w:rsidRPr="0033310C" w:rsidRDefault="0033310C" w:rsidP="00C47A7A">
            <w:pPr>
              <w:pStyle w:val="NoSpacing"/>
            </w:pPr>
            <w:r w:rsidRPr="0033310C">
              <w:t>–</w:t>
            </w:r>
          </w:p>
        </w:tc>
        <w:tc>
          <w:tcPr>
            <w:tcW w:w="0" w:type="auto"/>
            <w:hideMark/>
          </w:tcPr>
          <w:p w14:paraId="1FFFE7AE" w14:textId="77777777" w:rsidR="0033310C" w:rsidRPr="0033310C" w:rsidRDefault="0033310C" w:rsidP="00C47A7A">
            <w:pPr>
              <w:pStyle w:val="NoSpacing"/>
            </w:pPr>
          </w:p>
        </w:tc>
        <w:tc>
          <w:tcPr>
            <w:tcW w:w="0" w:type="auto"/>
            <w:hideMark/>
          </w:tcPr>
          <w:p w14:paraId="3767BBA7" w14:textId="77777777" w:rsidR="0033310C" w:rsidRPr="0033310C" w:rsidRDefault="0033310C" w:rsidP="00C47A7A">
            <w:pPr>
              <w:pStyle w:val="NoSpacing"/>
            </w:pPr>
            <w:r w:rsidRPr="0033310C">
              <w:t>29.70</w:t>
            </w:r>
          </w:p>
        </w:tc>
        <w:tc>
          <w:tcPr>
            <w:tcW w:w="0" w:type="auto"/>
            <w:hideMark/>
          </w:tcPr>
          <w:p w14:paraId="2196CD69" w14:textId="77777777" w:rsidR="0033310C" w:rsidRPr="0033310C" w:rsidRDefault="0033310C" w:rsidP="00C47A7A">
            <w:pPr>
              <w:pStyle w:val="NoSpacing"/>
            </w:pPr>
          </w:p>
        </w:tc>
        <w:tc>
          <w:tcPr>
            <w:tcW w:w="0" w:type="auto"/>
            <w:hideMark/>
          </w:tcPr>
          <w:p w14:paraId="31530385" w14:textId="77777777" w:rsidR="0033310C" w:rsidRPr="0033310C" w:rsidRDefault="0033310C" w:rsidP="00C47A7A">
            <w:pPr>
              <w:pStyle w:val="NoSpacing"/>
            </w:pPr>
            <w:r w:rsidRPr="0033310C">
              <w:t>49.30</w:t>
            </w:r>
          </w:p>
        </w:tc>
        <w:tc>
          <w:tcPr>
            <w:tcW w:w="0" w:type="auto"/>
            <w:hideMark/>
          </w:tcPr>
          <w:p w14:paraId="58BADF01" w14:textId="77777777" w:rsidR="0033310C" w:rsidRPr="0033310C" w:rsidRDefault="0033310C" w:rsidP="00C47A7A">
            <w:pPr>
              <w:pStyle w:val="NoSpacing"/>
            </w:pPr>
          </w:p>
        </w:tc>
      </w:tr>
      <w:tr w:rsidR="0033310C" w:rsidRPr="0033310C" w14:paraId="0E4F8E95" w14:textId="77777777" w:rsidTr="00C47A7A">
        <w:tc>
          <w:tcPr>
            <w:tcW w:w="0" w:type="auto"/>
            <w:hideMark/>
          </w:tcPr>
          <w:p w14:paraId="6199777F" w14:textId="77777777" w:rsidR="0033310C" w:rsidRPr="0033310C" w:rsidRDefault="0033310C" w:rsidP="00C47A7A">
            <w:pPr>
              <w:pStyle w:val="NoSpacing"/>
            </w:pPr>
            <w:r w:rsidRPr="0033310C">
              <w:t>Multicollinearity condition number</w:t>
            </w:r>
          </w:p>
        </w:tc>
        <w:tc>
          <w:tcPr>
            <w:tcW w:w="0" w:type="auto"/>
            <w:hideMark/>
          </w:tcPr>
          <w:p w14:paraId="578A36FA" w14:textId="77777777" w:rsidR="0033310C" w:rsidRPr="0033310C" w:rsidRDefault="0033310C" w:rsidP="00C47A7A">
            <w:pPr>
              <w:pStyle w:val="NoSpacing"/>
            </w:pPr>
            <w:r w:rsidRPr="0033310C">
              <w:t>10.10</w:t>
            </w:r>
          </w:p>
        </w:tc>
        <w:tc>
          <w:tcPr>
            <w:tcW w:w="0" w:type="auto"/>
            <w:hideMark/>
          </w:tcPr>
          <w:p w14:paraId="6C6BE79D" w14:textId="77777777" w:rsidR="0033310C" w:rsidRPr="0033310C" w:rsidRDefault="0033310C" w:rsidP="00C47A7A">
            <w:pPr>
              <w:pStyle w:val="NoSpacing"/>
            </w:pPr>
          </w:p>
        </w:tc>
        <w:tc>
          <w:tcPr>
            <w:tcW w:w="0" w:type="auto"/>
            <w:hideMark/>
          </w:tcPr>
          <w:p w14:paraId="02A1673A" w14:textId="77777777" w:rsidR="0033310C" w:rsidRPr="0033310C" w:rsidRDefault="0033310C" w:rsidP="00C47A7A">
            <w:pPr>
              <w:pStyle w:val="NoSpacing"/>
            </w:pPr>
            <w:r w:rsidRPr="0033310C">
              <w:t>–</w:t>
            </w:r>
          </w:p>
        </w:tc>
        <w:tc>
          <w:tcPr>
            <w:tcW w:w="0" w:type="auto"/>
            <w:hideMark/>
          </w:tcPr>
          <w:p w14:paraId="0501D2D9" w14:textId="77777777" w:rsidR="0033310C" w:rsidRPr="0033310C" w:rsidRDefault="0033310C" w:rsidP="00C47A7A">
            <w:pPr>
              <w:pStyle w:val="NoSpacing"/>
            </w:pPr>
          </w:p>
        </w:tc>
        <w:tc>
          <w:tcPr>
            <w:tcW w:w="0" w:type="auto"/>
            <w:hideMark/>
          </w:tcPr>
          <w:p w14:paraId="320279D8" w14:textId="77777777" w:rsidR="0033310C" w:rsidRPr="0033310C" w:rsidRDefault="0033310C" w:rsidP="00C47A7A">
            <w:pPr>
              <w:pStyle w:val="NoSpacing"/>
            </w:pPr>
            <w:r w:rsidRPr="0033310C">
              <w:t>–</w:t>
            </w:r>
          </w:p>
        </w:tc>
        <w:tc>
          <w:tcPr>
            <w:tcW w:w="0" w:type="auto"/>
            <w:hideMark/>
          </w:tcPr>
          <w:p w14:paraId="240927FB" w14:textId="77777777" w:rsidR="0033310C" w:rsidRPr="0033310C" w:rsidRDefault="0033310C" w:rsidP="00C47A7A">
            <w:pPr>
              <w:pStyle w:val="NoSpacing"/>
            </w:pPr>
          </w:p>
        </w:tc>
      </w:tr>
      <w:tr w:rsidR="0033310C" w:rsidRPr="0033310C" w14:paraId="202968A6" w14:textId="77777777" w:rsidTr="00C47A7A">
        <w:tc>
          <w:tcPr>
            <w:tcW w:w="0" w:type="auto"/>
            <w:hideMark/>
          </w:tcPr>
          <w:p w14:paraId="1D1DA36A" w14:textId="77777777" w:rsidR="0033310C" w:rsidRPr="0033310C" w:rsidRDefault="0033310C" w:rsidP="00C47A7A">
            <w:pPr>
              <w:pStyle w:val="NoSpacing"/>
            </w:pPr>
            <w:r w:rsidRPr="0033310C">
              <w:t>S.E. of regression</w:t>
            </w:r>
          </w:p>
        </w:tc>
        <w:tc>
          <w:tcPr>
            <w:tcW w:w="0" w:type="auto"/>
            <w:hideMark/>
          </w:tcPr>
          <w:p w14:paraId="1512DAF6" w14:textId="77777777" w:rsidR="0033310C" w:rsidRPr="0033310C" w:rsidRDefault="0033310C" w:rsidP="00C47A7A">
            <w:pPr>
              <w:pStyle w:val="NoSpacing"/>
            </w:pPr>
            <w:r w:rsidRPr="0033310C">
              <w:t>2.38</w:t>
            </w:r>
          </w:p>
        </w:tc>
        <w:tc>
          <w:tcPr>
            <w:tcW w:w="0" w:type="auto"/>
            <w:hideMark/>
          </w:tcPr>
          <w:p w14:paraId="0F66C91A" w14:textId="77777777" w:rsidR="0033310C" w:rsidRPr="0033310C" w:rsidRDefault="0033310C" w:rsidP="00C47A7A">
            <w:pPr>
              <w:pStyle w:val="NoSpacing"/>
            </w:pPr>
          </w:p>
        </w:tc>
        <w:tc>
          <w:tcPr>
            <w:tcW w:w="0" w:type="auto"/>
            <w:hideMark/>
          </w:tcPr>
          <w:p w14:paraId="753DAF57" w14:textId="77777777" w:rsidR="0033310C" w:rsidRPr="0033310C" w:rsidRDefault="0033310C" w:rsidP="00C47A7A">
            <w:pPr>
              <w:pStyle w:val="NoSpacing"/>
            </w:pPr>
            <w:r w:rsidRPr="0033310C">
              <w:t>–</w:t>
            </w:r>
          </w:p>
        </w:tc>
        <w:tc>
          <w:tcPr>
            <w:tcW w:w="0" w:type="auto"/>
            <w:hideMark/>
          </w:tcPr>
          <w:p w14:paraId="5A7C8A56" w14:textId="77777777" w:rsidR="0033310C" w:rsidRPr="0033310C" w:rsidRDefault="0033310C" w:rsidP="00C47A7A">
            <w:pPr>
              <w:pStyle w:val="NoSpacing"/>
            </w:pPr>
          </w:p>
        </w:tc>
        <w:tc>
          <w:tcPr>
            <w:tcW w:w="0" w:type="auto"/>
            <w:hideMark/>
          </w:tcPr>
          <w:p w14:paraId="76D3F2DC" w14:textId="77777777" w:rsidR="0033310C" w:rsidRPr="0033310C" w:rsidRDefault="0033310C" w:rsidP="00C47A7A">
            <w:pPr>
              <w:pStyle w:val="NoSpacing"/>
            </w:pPr>
            <w:r w:rsidRPr="0033310C">
              <w:t>–</w:t>
            </w:r>
          </w:p>
        </w:tc>
        <w:tc>
          <w:tcPr>
            <w:tcW w:w="0" w:type="auto"/>
            <w:hideMark/>
          </w:tcPr>
          <w:p w14:paraId="3C18D829" w14:textId="77777777" w:rsidR="0033310C" w:rsidRPr="0033310C" w:rsidRDefault="0033310C" w:rsidP="00C47A7A">
            <w:pPr>
              <w:pStyle w:val="NoSpacing"/>
            </w:pPr>
          </w:p>
        </w:tc>
      </w:tr>
      <w:tr w:rsidR="0033310C" w:rsidRPr="0033310C" w14:paraId="1A7768F2" w14:textId="77777777" w:rsidTr="00C47A7A">
        <w:tc>
          <w:tcPr>
            <w:tcW w:w="0" w:type="auto"/>
            <w:hideMark/>
          </w:tcPr>
          <w:p w14:paraId="6FA07448" w14:textId="77777777" w:rsidR="0033310C" w:rsidRPr="0033310C" w:rsidRDefault="0033310C" w:rsidP="00C47A7A">
            <w:pPr>
              <w:pStyle w:val="NoSpacing"/>
            </w:pPr>
            <w:r w:rsidRPr="0033310C">
              <w:t>Log likelihood</w:t>
            </w:r>
          </w:p>
        </w:tc>
        <w:tc>
          <w:tcPr>
            <w:tcW w:w="0" w:type="auto"/>
            <w:hideMark/>
          </w:tcPr>
          <w:p w14:paraId="7999CF09" w14:textId="77777777" w:rsidR="0033310C" w:rsidRPr="0033310C" w:rsidRDefault="0033310C" w:rsidP="00C47A7A">
            <w:pPr>
              <w:pStyle w:val="NoSpacing"/>
            </w:pPr>
            <w:r w:rsidRPr="0033310C">
              <w:t>−1321.75</w:t>
            </w:r>
          </w:p>
        </w:tc>
        <w:tc>
          <w:tcPr>
            <w:tcW w:w="0" w:type="auto"/>
            <w:hideMark/>
          </w:tcPr>
          <w:p w14:paraId="1CA8873B" w14:textId="77777777" w:rsidR="0033310C" w:rsidRPr="0033310C" w:rsidRDefault="0033310C" w:rsidP="00C47A7A">
            <w:pPr>
              <w:pStyle w:val="NoSpacing"/>
            </w:pPr>
          </w:p>
        </w:tc>
        <w:tc>
          <w:tcPr>
            <w:tcW w:w="0" w:type="auto"/>
            <w:hideMark/>
          </w:tcPr>
          <w:p w14:paraId="085898C3" w14:textId="77777777" w:rsidR="0033310C" w:rsidRPr="0033310C" w:rsidRDefault="0033310C" w:rsidP="00C47A7A">
            <w:pPr>
              <w:pStyle w:val="NoSpacing"/>
            </w:pPr>
            <w:r w:rsidRPr="0033310C">
              <w:t>–</w:t>
            </w:r>
          </w:p>
        </w:tc>
        <w:tc>
          <w:tcPr>
            <w:tcW w:w="0" w:type="auto"/>
            <w:hideMark/>
          </w:tcPr>
          <w:p w14:paraId="49E91867" w14:textId="77777777" w:rsidR="0033310C" w:rsidRPr="0033310C" w:rsidRDefault="0033310C" w:rsidP="00C47A7A">
            <w:pPr>
              <w:pStyle w:val="NoSpacing"/>
            </w:pPr>
          </w:p>
        </w:tc>
        <w:tc>
          <w:tcPr>
            <w:tcW w:w="0" w:type="auto"/>
            <w:hideMark/>
          </w:tcPr>
          <w:p w14:paraId="0E59FDAA" w14:textId="77777777" w:rsidR="0033310C" w:rsidRPr="0033310C" w:rsidRDefault="0033310C" w:rsidP="00C47A7A">
            <w:pPr>
              <w:pStyle w:val="NoSpacing"/>
            </w:pPr>
            <w:r w:rsidRPr="0033310C">
              <w:t>–</w:t>
            </w:r>
          </w:p>
        </w:tc>
        <w:tc>
          <w:tcPr>
            <w:tcW w:w="0" w:type="auto"/>
            <w:hideMark/>
          </w:tcPr>
          <w:p w14:paraId="2D6518DC" w14:textId="77777777" w:rsidR="0033310C" w:rsidRPr="0033310C" w:rsidRDefault="0033310C" w:rsidP="00C47A7A">
            <w:pPr>
              <w:pStyle w:val="NoSpacing"/>
            </w:pPr>
          </w:p>
        </w:tc>
      </w:tr>
      <w:tr w:rsidR="0033310C" w:rsidRPr="0033310C" w14:paraId="0AB50786" w14:textId="77777777" w:rsidTr="00C47A7A">
        <w:tc>
          <w:tcPr>
            <w:tcW w:w="0" w:type="auto"/>
            <w:hideMark/>
          </w:tcPr>
          <w:p w14:paraId="7201C827" w14:textId="77777777" w:rsidR="0033310C" w:rsidRPr="0033310C" w:rsidRDefault="0033310C" w:rsidP="00C47A7A">
            <w:pPr>
              <w:pStyle w:val="NoSpacing"/>
            </w:pPr>
            <w:r w:rsidRPr="0033310C">
              <w:t>Akaike information criterion</w:t>
            </w:r>
          </w:p>
        </w:tc>
        <w:tc>
          <w:tcPr>
            <w:tcW w:w="0" w:type="auto"/>
            <w:hideMark/>
          </w:tcPr>
          <w:p w14:paraId="496881DE" w14:textId="77777777" w:rsidR="0033310C" w:rsidRPr="0033310C" w:rsidRDefault="0033310C" w:rsidP="00C47A7A">
            <w:pPr>
              <w:pStyle w:val="NoSpacing"/>
            </w:pPr>
            <w:r w:rsidRPr="0033310C">
              <w:t>2659.49</w:t>
            </w:r>
          </w:p>
        </w:tc>
        <w:tc>
          <w:tcPr>
            <w:tcW w:w="0" w:type="auto"/>
            <w:hideMark/>
          </w:tcPr>
          <w:p w14:paraId="494B0BAC" w14:textId="77777777" w:rsidR="0033310C" w:rsidRPr="0033310C" w:rsidRDefault="0033310C" w:rsidP="00C47A7A">
            <w:pPr>
              <w:pStyle w:val="NoSpacing"/>
            </w:pPr>
          </w:p>
        </w:tc>
        <w:tc>
          <w:tcPr>
            <w:tcW w:w="0" w:type="auto"/>
            <w:hideMark/>
          </w:tcPr>
          <w:p w14:paraId="5F0BA025" w14:textId="77777777" w:rsidR="0033310C" w:rsidRPr="0033310C" w:rsidRDefault="0033310C" w:rsidP="00C47A7A">
            <w:pPr>
              <w:pStyle w:val="NoSpacing"/>
            </w:pPr>
            <w:r w:rsidRPr="0033310C">
              <w:t>–</w:t>
            </w:r>
          </w:p>
        </w:tc>
        <w:tc>
          <w:tcPr>
            <w:tcW w:w="0" w:type="auto"/>
            <w:hideMark/>
          </w:tcPr>
          <w:p w14:paraId="5C0BA366" w14:textId="77777777" w:rsidR="0033310C" w:rsidRPr="0033310C" w:rsidRDefault="0033310C" w:rsidP="00C47A7A">
            <w:pPr>
              <w:pStyle w:val="NoSpacing"/>
            </w:pPr>
          </w:p>
        </w:tc>
        <w:tc>
          <w:tcPr>
            <w:tcW w:w="0" w:type="auto"/>
            <w:hideMark/>
          </w:tcPr>
          <w:p w14:paraId="458878D7" w14:textId="77777777" w:rsidR="0033310C" w:rsidRPr="0033310C" w:rsidRDefault="0033310C" w:rsidP="00C47A7A">
            <w:pPr>
              <w:pStyle w:val="NoSpacing"/>
            </w:pPr>
            <w:r w:rsidRPr="0033310C">
              <w:t>–</w:t>
            </w:r>
          </w:p>
        </w:tc>
        <w:tc>
          <w:tcPr>
            <w:tcW w:w="0" w:type="auto"/>
            <w:hideMark/>
          </w:tcPr>
          <w:p w14:paraId="1F90A274" w14:textId="77777777" w:rsidR="0033310C" w:rsidRPr="0033310C" w:rsidRDefault="0033310C" w:rsidP="00C47A7A">
            <w:pPr>
              <w:pStyle w:val="NoSpacing"/>
            </w:pPr>
          </w:p>
        </w:tc>
      </w:tr>
      <w:tr w:rsidR="0033310C" w:rsidRPr="0033310C" w14:paraId="0DF98A31" w14:textId="77777777" w:rsidTr="00C47A7A">
        <w:tc>
          <w:tcPr>
            <w:tcW w:w="0" w:type="auto"/>
            <w:hideMark/>
          </w:tcPr>
          <w:p w14:paraId="5DEE48D0" w14:textId="77777777" w:rsidR="0033310C" w:rsidRPr="0033310C" w:rsidRDefault="0033310C" w:rsidP="00C47A7A">
            <w:pPr>
              <w:pStyle w:val="NoSpacing"/>
            </w:pPr>
            <w:r w:rsidRPr="0033310C">
              <w:t>Schwarz criterion</w:t>
            </w:r>
          </w:p>
        </w:tc>
        <w:tc>
          <w:tcPr>
            <w:tcW w:w="0" w:type="auto"/>
            <w:hideMark/>
          </w:tcPr>
          <w:p w14:paraId="196C490E" w14:textId="77777777" w:rsidR="0033310C" w:rsidRPr="0033310C" w:rsidRDefault="0033310C" w:rsidP="00C47A7A">
            <w:pPr>
              <w:pStyle w:val="NoSpacing"/>
            </w:pPr>
            <w:r w:rsidRPr="0033310C">
              <w:t>2694.27</w:t>
            </w:r>
          </w:p>
        </w:tc>
        <w:tc>
          <w:tcPr>
            <w:tcW w:w="0" w:type="auto"/>
            <w:hideMark/>
          </w:tcPr>
          <w:p w14:paraId="6A3B4A5E" w14:textId="77777777" w:rsidR="0033310C" w:rsidRPr="0033310C" w:rsidRDefault="0033310C" w:rsidP="00C47A7A">
            <w:pPr>
              <w:pStyle w:val="NoSpacing"/>
            </w:pPr>
          </w:p>
        </w:tc>
        <w:tc>
          <w:tcPr>
            <w:tcW w:w="0" w:type="auto"/>
            <w:hideMark/>
          </w:tcPr>
          <w:p w14:paraId="7FA0DF65" w14:textId="77777777" w:rsidR="0033310C" w:rsidRPr="0033310C" w:rsidRDefault="0033310C" w:rsidP="00C47A7A">
            <w:pPr>
              <w:pStyle w:val="NoSpacing"/>
            </w:pPr>
            <w:r w:rsidRPr="0033310C">
              <w:t>–</w:t>
            </w:r>
          </w:p>
        </w:tc>
        <w:tc>
          <w:tcPr>
            <w:tcW w:w="0" w:type="auto"/>
            <w:hideMark/>
          </w:tcPr>
          <w:p w14:paraId="59A7316E" w14:textId="77777777" w:rsidR="0033310C" w:rsidRPr="0033310C" w:rsidRDefault="0033310C" w:rsidP="00C47A7A">
            <w:pPr>
              <w:pStyle w:val="NoSpacing"/>
            </w:pPr>
          </w:p>
        </w:tc>
        <w:tc>
          <w:tcPr>
            <w:tcW w:w="0" w:type="auto"/>
            <w:hideMark/>
          </w:tcPr>
          <w:p w14:paraId="7E204005" w14:textId="77777777" w:rsidR="0033310C" w:rsidRPr="0033310C" w:rsidRDefault="0033310C" w:rsidP="00C47A7A">
            <w:pPr>
              <w:pStyle w:val="NoSpacing"/>
            </w:pPr>
            <w:r w:rsidRPr="0033310C">
              <w:t>–</w:t>
            </w:r>
          </w:p>
        </w:tc>
        <w:tc>
          <w:tcPr>
            <w:tcW w:w="0" w:type="auto"/>
            <w:hideMark/>
          </w:tcPr>
          <w:p w14:paraId="3644F1B5" w14:textId="77777777" w:rsidR="0033310C" w:rsidRPr="0033310C" w:rsidRDefault="0033310C" w:rsidP="00C47A7A">
            <w:pPr>
              <w:pStyle w:val="NoSpacing"/>
            </w:pPr>
          </w:p>
        </w:tc>
      </w:tr>
      <w:tr w:rsidR="0033310C" w:rsidRPr="0033310C" w14:paraId="05CBC051" w14:textId="77777777" w:rsidTr="00C47A7A">
        <w:tc>
          <w:tcPr>
            <w:tcW w:w="0" w:type="auto"/>
            <w:hideMark/>
          </w:tcPr>
          <w:p w14:paraId="393740AF" w14:textId="77777777" w:rsidR="0033310C" w:rsidRPr="0033310C" w:rsidRDefault="0033310C" w:rsidP="00C47A7A">
            <w:pPr>
              <w:pStyle w:val="NoSpacing"/>
            </w:pPr>
            <w:r w:rsidRPr="0033310C">
              <w:t>Breusch–Pagan Test</w:t>
            </w:r>
          </w:p>
        </w:tc>
        <w:tc>
          <w:tcPr>
            <w:tcW w:w="0" w:type="auto"/>
            <w:hideMark/>
          </w:tcPr>
          <w:p w14:paraId="17B94CF9" w14:textId="05001102" w:rsidR="0033310C" w:rsidRPr="0033310C" w:rsidRDefault="0033310C" w:rsidP="00C47A7A">
            <w:pPr>
              <w:pStyle w:val="NoSpacing"/>
            </w:pPr>
            <w:r w:rsidRPr="0033310C">
              <w:t>41.64</w:t>
            </w:r>
            <w:r w:rsidRPr="0033310C">
              <w:rPr>
                <w:rFonts w:ascii="Tahoma" w:hAnsi="Tahoma" w:cs="Tahoma"/>
                <w:vertAlign w:val="superscript"/>
              </w:rPr>
              <w:t>⁎⁎</w:t>
            </w:r>
          </w:p>
        </w:tc>
        <w:tc>
          <w:tcPr>
            <w:tcW w:w="0" w:type="auto"/>
            <w:hideMark/>
          </w:tcPr>
          <w:p w14:paraId="3ACAA64D" w14:textId="77777777" w:rsidR="0033310C" w:rsidRPr="0033310C" w:rsidRDefault="0033310C" w:rsidP="00C47A7A">
            <w:pPr>
              <w:pStyle w:val="NoSpacing"/>
            </w:pPr>
          </w:p>
        </w:tc>
        <w:tc>
          <w:tcPr>
            <w:tcW w:w="0" w:type="auto"/>
            <w:hideMark/>
          </w:tcPr>
          <w:p w14:paraId="0B5ABA82" w14:textId="77777777" w:rsidR="0033310C" w:rsidRPr="0033310C" w:rsidRDefault="0033310C" w:rsidP="00C47A7A">
            <w:pPr>
              <w:pStyle w:val="NoSpacing"/>
            </w:pPr>
            <w:r w:rsidRPr="0033310C">
              <w:t>–</w:t>
            </w:r>
          </w:p>
        </w:tc>
        <w:tc>
          <w:tcPr>
            <w:tcW w:w="0" w:type="auto"/>
            <w:hideMark/>
          </w:tcPr>
          <w:p w14:paraId="32B1BB3C" w14:textId="77777777" w:rsidR="0033310C" w:rsidRPr="0033310C" w:rsidRDefault="0033310C" w:rsidP="00C47A7A">
            <w:pPr>
              <w:pStyle w:val="NoSpacing"/>
            </w:pPr>
          </w:p>
        </w:tc>
        <w:tc>
          <w:tcPr>
            <w:tcW w:w="0" w:type="auto"/>
            <w:hideMark/>
          </w:tcPr>
          <w:p w14:paraId="6768B480" w14:textId="77777777" w:rsidR="0033310C" w:rsidRPr="0033310C" w:rsidRDefault="0033310C" w:rsidP="00C47A7A">
            <w:pPr>
              <w:pStyle w:val="NoSpacing"/>
            </w:pPr>
            <w:r w:rsidRPr="0033310C">
              <w:t>–</w:t>
            </w:r>
          </w:p>
        </w:tc>
        <w:tc>
          <w:tcPr>
            <w:tcW w:w="0" w:type="auto"/>
            <w:hideMark/>
          </w:tcPr>
          <w:p w14:paraId="36E18C2F" w14:textId="77777777" w:rsidR="0033310C" w:rsidRPr="0033310C" w:rsidRDefault="0033310C" w:rsidP="00C47A7A">
            <w:pPr>
              <w:pStyle w:val="NoSpacing"/>
            </w:pPr>
          </w:p>
        </w:tc>
      </w:tr>
      <w:bookmarkEnd w:id="75"/>
      <w:tr w:rsidR="0033310C" w:rsidRPr="0033310C" w14:paraId="1F9D071F" w14:textId="77777777" w:rsidTr="00C47A7A">
        <w:tc>
          <w:tcPr>
            <w:tcW w:w="0" w:type="auto"/>
            <w:hideMark/>
          </w:tcPr>
          <w:p w14:paraId="749DA3B6" w14:textId="77777777" w:rsidR="0033310C" w:rsidRPr="0033310C" w:rsidRDefault="0033310C" w:rsidP="00C47A7A">
            <w:pPr>
              <w:pStyle w:val="NoSpacing"/>
            </w:pPr>
            <w:proofErr w:type="spellStart"/>
            <w:r w:rsidRPr="0033310C">
              <w:t>Anselin-Kelejian</w:t>
            </w:r>
            <w:proofErr w:type="spellEnd"/>
            <w:r w:rsidRPr="0033310C">
              <w:t xml:space="preserve"> Test</w:t>
            </w:r>
          </w:p>
        </w:tc>
        <w:tc>
          <w:tcPr>
            <w:tcW w:w="0" w:type="auto"/>
            <w:hideMark/>
          </w:tcPr>
          <w:p w14:paraId="5E9E7779" w14:textId="77777777" w:rsidR="0033310C" w:rsidRPr="0033310C" w:rsidRDefault="0033310C" w:rsidP="00C47A7A">
            <w:pPr>
              <w:pStyle w:val="NoSpacing"/>
            </w:pPr>
            <w:r w:rsidRPr="0033310C">
              <w:t>–</w:t>
            </w:r>
          </w:p>
        </w:tc>
        <w:tc>
          <w:tcPr>
            <w:tcW w:w="0" w:type="auto"/>
            <w:hideMark/>
          </w:tcPr>
          <w:p w14:paraId="005A4EA1" w14:textId="77777777" w:rsidR="0033310C" w:rsidRPr="0033310C" w:rsidRDefault="0033310C" w:rsidP="00C47A7A">
            <w:pPr>
              <w:pStyle w:val="NoSpacing"/>
            </w:pPr>
          </w:p>
        </w:tc>
        <w:tc>
          <w:tcPr>
            <w:tcW w:w="0" w:type="auto"/>
            <w:hideMark/>
          </w:tcPr>
          <w:p w14:paraId="238718A8" w14:textId="77777777" w:rsidR="0033310C" w:rsidRPr="0033310C" w:rsidRDefault="0033310C" w:rsidP="00C47A7A">
            <w:pPr>
              <w:pStyle w:val="NoSpacing"/>
            </w:pPr>
            <w:r w:rsidRPr="0033310C">
              <w:t>0.11</w:t>
            </w:r>
          </w:p>
        </w:tc>
        <w:tc>
          <w:tcPr>
            <w:tcW w:w="0" w:type="auto"/>
            <w:hideMark/>
          </w:tcPr>
          <w:p w14:paraId="10C9B848" w14:textId="77777777" w:rsidR="0033310C" w:rsidRPr="0033310C" w:rsidRDefault="0033310C" w:rsidP="00C47A7A">
            <w:pPr>
              <w:pStyle w:val="NoSpacing"/>
            </w:pPr>
          </w:p>
        </w:tc>
        <w:tc>
          <w:tcPr>
            <w:tcW w:w="0" w:type="auto"/>
            <w:hideMark/>
          </w:tcPr>
          <w:p w14:paraId="25AF5C74" w14:textId="77777777" w:rsidR="0033310C" w:rsidRPr="0033310C" w:rsidRDefault="0033310C" w:rsidP="00C47A7A">
            <w:pPr>
              <w:pStyle w:val="NoSpacing"/>
            </w:pPr>
            <w:r w:rsidRPr="0033310C">
              <w:t>0.74</w:t>
            </w:r>
          </w:p>
        </w:tc>
        <w:tc>
          <w:tcPr>
            <w:tcW w:w="0" w:type="auto"/>
            <w:hideMark/>
          </w:tcPr>
          <w:p w14:paraId="537A8DC1" w14:textId="77777777" w:rsidR="0033310C" w:rsidRPr="0033310C" w:rsidRDefault="0033310C" w:rsidP="00C47A7A">
            <w:pPr>
              <w:pStyle w:val="NoSpacing"/>
            </w:pPr>
          </w:p>
        </w:tc>
      </w:tr>
      <w:tr w:rsidR="0033310C" w:rsidRPr="0033310C" w14:paraId="49446110" w14:textId="77777777" w:rsidTr="00C47A7A">
        <w:tc>
          <w:tcPr>
            <w:tcW w:w="0" w:type="auto"/>
            <w:hideMark/>
          </w:tcPr>
          <w:p w14:paraId="6626FA37" w14:textId="77777777" w:rsidR="0033310C" w:rsidRPr="0033310C" w:rsidRDefault="0033310C" w:rsidP="00C47A7A">
            <w:pPr>
              <w:pStyle w:val="NoSpacing"/>
            </w:pPr>
            <w:r w:rsidRPr="0033310C">
              <w:t>Global Chow Test</w:t>
            </w:r>
          </w:p>
        </w:tc>
        <w:tc>
          <w:tcPr>
            <w:tcW w:w="0" w:type="auto"/>
            <w:hideMark/>
          </w:tcPr>
          <w:p w14:paraId="0059F48A" w14:textId="77777777" w:rsidR="0033310C" w:rsidRPr="0033310C" w:rsidRDefault="0033310C" w:rsidP="00C47A7A">
            <w:pPr>
              <w:pStyle w:val="NoSpacing"/>
            </w:pPr>
            <w:r w:rsidRPr="0033310C">
              <w:t>–</w:t>
            </w:r>
          </w:p>
        </w:tc>
        <w:tc>
          <w:tcPr>
            <w:tcW w:w="0" w:type="auto"/>
            <w:hideMark/>
          </w:tcPr>
          <w:p w14:paraId="1606FC78" w14:textId="77777777" w:rsidR="0033310C" w:rsidRPr="0033310C" w:rsidRDefault="0033310C" w:rsidP="00C47A7A">
            <w:pPr>
              <w:pStyle w:val="NoSpacing"/>
            </w:pPr>
          </w:p>
        </w:tc>
        <w:tc>
          <w:tcPr>
            <w:tcW w:w="0" w:type="auto"/>
            <w:hideMark/>
          </w:tcPr>
          <w:p w14:paraId="25105320" w14:textId="77777777" w:rsidR="0033310C" w:rsidRPr="0033310C" w:rsidRDefault="0033310C" w:rsidP="00C47A7A">
            <w:pPr>
              <w:pStyle w:val="NoSpacing"/>
            </w:pPr>
            <w:r w:rsidRPr="0033310C">
              <w:t>–</w:t>
            </w:r>
          </w:p>
        </w:tc>
        <w:tc>
          <w:tcPr>
            <w:tcW w:w="0" w:type="auto"/>
            <w:hideMark/>
          </w:tcPr>
          <w:p w14:paraId="7E51B810" w14:textId="77777777" w:rsidR="0033310C" w:rsidRPr="0033310C" w:rsidRDefault="0033310C" w:rsidP="00C47A7A">
            <w:pPr>
              <w:pStyle w:val="NoSpacing"/>
            </w:pPr>
          </w:p>
        </w:tc>
        <w:tc>
          <w:tcPr>
            <w:tcW w:w="0" w:type="auto"/>
            <w:hideMark/>
          </w:tcPr>
          <w:p w14:paraId="200F2E22" w14:textId="77777777" w:rsidR="0033310C" w:rsidRPr="0033310C" w:rsidRDefault="0033310C" w:rsidP="00C47A7A">
            <w:pPr>
              <w:pStyle w:val="NoSpacing"/>
            </w:pPr>
            <w:r w:rsidRPr="0033310C">
              <w:t>10.50</w:t>
            </w:r>
          </w:p>
        </w:tc>
        <w:tc>
          <w:tcPr>
            <w:tcW w:w="0" w:type="auto"/>
            <w:hideMark/>
          </w:tcPr>
          <w:p w14:paraId="01698C9F" w14:textId="77777777" w:rsidR="0033310C" w:rsidRPr="0033310C" w:rsidRDefault="0033310C" w:rsidP="00C47A7A">
            <w:pPr>
              <w:pStyle w:val="NoSpacing"/>
            </w:pPr>
          </w:p>
        </w:tc>
      </w:tr>
    </w:tbl>
    <w:p w14:paraId="5F4C9095" w14:textId="77777777" w:rsidR="0033310C" w:rsidRPr="00C47A7A" w:rsidRDefault="0033310C" w:rsidP="00C47A7A">
      <w:pPr>
        <w:pStyle w:val="NoSpacing"/>
      </w:pPr>
      <w:r w:rsidRPr="00C47A7A">
        <w:rPr>
          <w:rFonts w:ascii="Cambria Math" w:hAnsi="Cambria Math" w:cs="Cambria Math"/>
        </w:rPr>
        <w:t>∗</w:t>
      </w:r>
      <w:r w:rsidRPr="00C47A7A">
        <w:t> p &lt; .05.</w:t>
      </w:r>
    </w:p>
    <w:p w14:paraId="7B648A1F" w14:textId="30140396" w:rsidR="0033310C" w:rsidRPr="00C47A7A" w:rsidRDefault="0033310C" w:rsidP="00C47A7A">
      <w:pPr>
        <w:pStyle w:val="NoSpacing"/>
      </w:pPr>
      <w:r w:rsidRPr="00C47A7A">
        <w:rPr>
          <w:rFonts w:ascii="Tahoma" w:hAnsi="Tahoma" w:cs="Tahoma"/>
        </w:rPr>
        <w:t>⁎⁎</w:t>
      </w:r>
      <w:r w:rsidRPr="00C47A7A">
        <w:t>p &lt; .01.</w:t>
      </w:r>
    </w:p>
    <w:p w14:paraId="41366A78" w14:textId="77777777" w:rsidR="00623C32" w:rsidRDefault="00623C32" w:rsidP="00C35B99">
      <w:pPr>
        <w:spacing w:after="0"/>
      </w:pPr>
    </w:p>
    <w:p w14:paraId="2008FB4A" w14:textId="5E496862" w:rsidR="0033310C" w:rsidRPr="0033310C" w:rsidRDefault="0033310C" w:rsidP="00C35B99">
      <w:pPr>
        <w:spacing w:after="0"/>
      </w:pPr>
      <w:r w:rsidRPr="0033310C">
        <w:t xml:space="preserve">Table 7. Robberies density regressed on </w:t>
      </w:r>
      <w:proofErr w:type="gramStart"/>
      <w:r w:rsidRPr="0033310C">
        <w:t>on-premise</w:t>
      </w:r>
      <w:proofErr w:type="gramEnd"/>
      <w:r w:rsidRPr="0033310C">
        <w:t xml:space="preserve"> alcohol outlet density, social disorganization, and control variables for Milwaukee block groups.</w:t>
      </w:r>
    </w:p>
    <w:tbl>
      <w:tblPr>
        <w:tblStyle w:val="TableGrid"/>
        <w:tblW w:w="0" w:type="auto"/>
        <w:tblLook w:val="04A0" w:firstRow="1" w:lastRow="0" w:firstColumn="1" w:lastColumn="0" w:noHBand="0" w:noVBand="1"/>
      </w:tblPr>
      <w:tblGrid>
        <w:gridCol w:w="3948"/>
        <w:gridCol w:w="2553"/>
        <w:gridCol w:w="607"/>
        <w:gridCol w:w="1881"/>
        <w:gridCol w:w="607"/>
        <w:gridCol w:w="1883"/>
        <w:gridCol w:w="607"/>
      </w:tblGrid>
      <w:tr w:rsidR="00623C32" w:rsidRPr="0033310C" w14:paraId="42356AA7" w14:textId="77777777" w:rsidTr="00623C32">
        <w:tc>
          <w:tcPr>
            <w:tcW w:w="0" w:type="auto"/>
            <w:hideMark/>
          </w:tcPr>
          <w:p w14:paraId="139D1C0E" w14:textId="77777777" w:rsidR="00623C32" w:rsidRPr="0033310C" w:rsidRDefault="00623C32" w:rsidP="00C35B99">
            <w:pPr>
              <w:pStyle w:val="NoSpacing"/>
            </w:pPr>
            <w:r w:rsidRPr="0033310C">
              <w:t>Empty Cell</w:t>
            </w:r>
          </w:p>
        </w:tc>
        <w:tc>
          <w:tcPr>
            <w:tcW w:w="0" w:type="auto"/>
            <w:hideMark/>
          </w:tcPr>
          <w:p w14:paraId="79A153A6" w14:textId="7A61A4E7" w:rsidR="00623C32" w:rsidRPr="0033310C" w:rsidRDefault="00623C32" w:rsidP="00C35B99">
            <w:pPr>
              <w:pStyle w:val="NoSpacing"/>
            </w:pPr>
            <w:r w:rsidRPr="0033310C">
              <w:t>Model 13</w:t>
            </w:r>
            <w:r w:rsidRPr="0033310C">
              <w:br/>
              <w:t>Spatial lag</w:t>
            </w:r>
            <w:r w:rsidRPr="0033310C">
              <w:br/>
              <w:t xml:space="preserve">Global model </w:t>
            </w:r>
            <m:oMath>
              <m:r>
                <w:rPr>
                  <w:rFonts w:ascii="Cambria Math" w:hAnsi="Cambria Math"/>
                </w:rPr>
                <m:t>(</m:t>
              </m:r>
              <m:r>
                <w:rPr>
                  <w:rFonts w:ascii="Cambria Math" w:hAnsi="Cambria Math"/>
                </w:rPr>
                <m:t>N</m:t>
              </m:r>
              <m:r>
                <w:rPr>
                  <w:rFonts w:ascii="Cambria Math" w:hAnsi="Cambria Math"/>
                </w:rPr>
                <m:t> = 571)</m:t>
              </m:r>
            </m:oMath>
          </w:p>
        </w:tc>
        <w:tc>
          <w:tcPr>
            <w:tcW w:w="0" w:type="auto"/>
          </w:tcPr>
          <w:p w14:paraId="0D49F438" w14:textId="21B3611D" w:rsidR="00623C32" w:rsidRPr="0033310C" w:rsidRDefault="00623C32" w:rsidP="00C35B99">
            <w:pPr>
              <w:pStyle w:val="NoSpacing"/>
            </w:pPr>
          </w:p>
        </w:tc>
        <w:tc>
          <w:tcPr>
            <w:tcW w:w="0" w:type="auto"/>
            <w:hideMark/>
          </w:tcPr>
          <w:p w14:paraId="18A7C525" w14:textId="1437DF75" w:rsidR="00623C32" w:rsidRPr="0033310C" w:rsidRDefault="00623C32" w:rsidP="00C35B99">
            <w:pPr>
              <w:pStyle w:val="NoSpacing"/>
            </w:pPr>
            <w:r w:rsidRPr="0033310C">
              <w:t>Model 14</w:t>
            </w:r>
            <w:r w:rsidRPr="0033310C">
              <w:br/>
              <w:t>S2SLS</w:t>
            </w:r>
            <w:r w:rsidRPr="0033310C">
              <w:br/>
              <w:t xml:space="preserve">South </w:t>
            </w:r>
            <m:oMath>
              <m:r>
                <w:rPr>
                  <w:rFonts w:ascii="Cambria Math" w:hAnsi="Cambria Math"/>
                </w:rPr>
                <m:t>(</m:t>
              </m:r>
              <m:r>
                <w:rPr>
                  <w:rFonts w:ascii="Cambria Math" w:hAnsi="Cambria Math"/>
                </w:rPr>
                <m:t>N</m:t>
              </m:r>
              <m:r>
                <w:rPr>
                  <w:rFonts w:ascii="Cambria Math" w:hAnsi="Cambria Math"/>
                </w:rPr>
                <m:t> = 119)</m:t>
              </m:r>
            </m:oMath>
          </w:p>
        </w:tc>
        <w:tc>
          <w:tcPr>
            <w:tcW w:w="0" w:type="auto"/>
          </w:tcPr>
          <w:p w14:paraId="692AC57C" w14:textId="37CB988A" w:rsidR="00623C32" w:rsidRPr="0033310C" w:rsidRDefault="00623C32" w:rsidP="00C35B99">
            <w:pPr>
              <w:pStyle w:val="NoSpacing"/>
            </w:pPr>
          </w:p>
        </w:tc>
        <w:tc>
          <w:tcPr>
            <w:tcW w:w="0" w:type="auto"/>
            <w:hideMark/>
          </w:tcPr>
          <w:p w14:paraId="5678BA4F" w14:textId="355A3BC2" w:rsidR="00623C32" w:rsidRPr="0033310C" w:rsidRDefault="00623C32" w:rsidP="00C35B99">
            <w:pPr>
              <w:pStyle w:val="NoSpacing"/>
            </w:pPr>
            <w:r w:rsidRPr="0033310C">
              <w:t>Model 15</w:t>
            </w:r>
            <w:r w:rsidRPr="0033310C">
              <w:br/>
              <w:t>S2SLS</w:t>
            </w:r>
            <w:r w:rsidRPr="0033310C">
              <w:br/>
              <w:t xml:space="preserve">North </w:t>
            </w:r>
            <m:oMath>
              <m:r>
                <w:rPr>
                  <w:rFonts w:ascii="Cambria Math" w:hAnsi="Cambria Math"/>
                </w:rPr>
                <m:t>(</m:t>
              </m:r>
              <m:r>
                <w:rPr>
                  <w:rFonts w:ascii="Cambria Math" w:hAnsi="Cambria Math"/>
                </w:rPr>
                <m:t>N</m:t>
              </m:r>
              <m:r>
                <w:rPr>
                  <w:rFonts w:ascii="Cambria Math" w:hAnsi="Cambria Math"/>
                </w:rPr>
                <m:t> = 452)</m:t>
              </m:r>
            </m:oMath>
          </w:p>
        </w:tc>
        <w:tc>
          <w:tcPr>
            <w:tcW w:w="0" w:type="auto"/>
          </w:tcPr>
          <w:p w14:paraId="28E70848" w14:textId="1DDD865F" w:rsidR="00623C32" w:rsidRPr="0033310C" w:rsidRDefault="00623C32" w:rsidP="00C35B99">
            <w:pPr>
              <w:pStyle w:val="NoSpacing"/>
            </w:pPr>
          </w:p>
        </w:tc>
      </w:tr>
      <w:tr w:rsidR="0033310C" w:rsidRPr="0033310C" w14:paraId="730283C2" w14:textId="77777777" w:rsidTr="00623C32">
        <w:tc>
          <w:tcPr>
            <w:tcW w:w="0" w:type="auto"/>
            <w:hideMark/>
          </w:tcPr>
          <w:p w14:paraId="164960DD" w14:textId="77777777" w:rsidR="0033310C" w:rsidRPr="0033310C" w:rsidRDefault="0033310C" w:rsidP="00C35B99">
            <w:pPr>
              <w:pStyle w:val="NoSpacing"/>
            </w:pPr>
          </w:p>
        </w:tc>
        <w:tc>
          <w:tcPr>
            <w:tcW w:w="0" w:type="auto"/>
            <w:hideMark/>
          </w:tcPr>
          <w:p w14:paraId="1815A9BF" w14:textId="77777777" w:rsidR="0033310C" w:rsidRPr="0033310C" w:rsidRDefault="0033310C" w:rsidP="00C35B99">
            <w:pPr>
              <w:pStyle w:val="NoSpacing"/>
              <w:rPr>
                <w:b/>
                <w:bCs/>
              </w:rPr>
            </w:pPr>
            <w:r w:rsidRPr="0033310C">
              <w:rPr>
                <w:b/>
                <w:bCs/>
                <w:i/>
                <w:iCs/>
              </w:rPr>
              <w:t>B</w:t>
            </w:r>
          </w:p>
        </w:tc>
        <w:tc>
          <w:tcPr>
            <w:tcW w:w="0" w:type="auto"/>
            <w:hideMark/>
          </w:tcPr>
          <w:p w14:paraId="121DC55A" w14:textId="77777777" w:rsidR="0033310C" w:rsidRPr="0033310C" w:rsidRDefault="0033310C" w:rsidP="00C35B99">
            <w:pPr>
              <w:pStyle w:val="NoSpacing"/>
              <w:rPr>
                <w:b/>
                <w:bCs/>
              </w:rPr>
            </w:pPr>
            <w:r w:rsidRPr="0033310C">
              <w:rPr>
                <w:b/>
                <w:bCs/>
              </w:rPr>
              <w:t>SE</w:t>
            </w:r>
          </w:p>
        </w:tc>
        <w:tc>
          <w:tcPr>
            <w:tcW w:w="0" w:type="auto"/>
            <w:hideMark/>
          </w:tcPr>
          <w:p w14:paraId="1B28D3AE" w14:textId="77777777" w:rsidR="0033310C" w:rsidRPr="0033310C" w:rsidRDefault="0033310C" w:rsidP="00C35B99">
            <w:pPr>
              <w:pStyle w:val="NoSpacing"/>
              <w:rPr>
                <w:b/>
                <w:bCs/>
              </w:rPr>
            </w:pPr>
            <w:r w:rsidRPr="0033310C">
              <w:rPr>
                <w:b/>
                <w:bCs/>
                <w:i/>
                <w:iCs/>
              </w:rPr>
              <w:t>B</w:t>
            </w:r>
          </w:p>
        </w:tc>
        <w:tc>
          <w:tcPr>
            <w:tcW w:w="0" w:type="auto"/>
            <w:hideMark/>
          </w:tcPr>
          <w:p w14:paraId="084D86B7" w14:textId="77777777" w:rsidR="0033310C" w:rsidRPr="0033310C" w:rsidRDefault="0033310C" w:rsidP="00C35B99">
            <w:pPr>
              <w:pStyle w:val="NoSpacing"/>
              <w:rPr>
                <w:b/>
                <w:bCs/>
              </w:rPr>
            </w:pPr>
            <w:r w:rsidRPr="0033310C">
              <w:rPr>
                <w:b/>
                <w:bCs/>
              </w:rPr>
              <w:t>SE</w:t>
            </w:r>
          </w:p>
        </w:tc>
        <w:tc>
          <w:tcPr>
            <w:tcW w:w="0" w:type="auto"/>
            <w:hideMark/>
          </w:tcPr>
          <w:p w14:paraId="2135DF6B" w14:textId="77777777" w:rsidR="0033310C" w:rsidRPr="0033310C" w:rsidRDefault="0033310C" w:rsidP="00C35B99">
            <w:pPr>
              <w:pStyle w:val="NoSpacing"/>
              <w:rPr>
                <w:b/>
                <w:bCs/>
              </w:rPr>
            </w:pPr>
            <w:r w:rsidRPr="0033310C">
              <w:rPr>
                <w:b/>
                <w:bCs/>
                <w:i/>
                <w:iCs/>
              </w:rPr>
              <w:t>B</w:t>
            </w:r>
          </w:p>
        </w:tc>
        <w:tc>
          <w:tcPr>
            <w:tcW w:w="0" w:type="auto"/>
            <w:hideMark/>
          </w:tcPr>
          <w:p w14:paraId="2AC8C38B" w14:textId="77777777" w:rsidR="0033310C" w:rsidRPr="0033310C" w:rsidRDefault="0033310C" w:rsidP="00C35B99">
            <w:pPr>
              <w:pStyle w:val="NoSpacing"/>
              <w:rPr>
                <w:b/>
                <w:bCs/>
              </w:rPr>
            </w:pPr>
            <w:r w:rsidRPr="0033310C">
              <w:rPr>
                <w:b/>
                <w:bCs/>
              </w:rPr>
              <w:t>SE</w:t>
            </w:r>
          </w:p>
        </w:tc>
      </w:tr>
      <w:tr w:rsidR="0033310C" w:rsidRPr="0033310C" w14:paraId="237D15EA" w14:textId="77777777" w:rsidTr="00623C32">
        <w:tc>
          <w:tcPr>
            <w:tcW w:w="0" w:type="auto"/>
            <w:hideMark/>
          </w:tcPr>
          <w:p w14:paraId="4285A8A1" w14:textId="77777777" w:rsidR="0033310C" w:rsidRPr="0033310C" w:rsidRDefault="0033310C" w:rsidP="00C35B99">
            <w:pPr>
              <w:pStyle w:val="NoSpacing"/>
            </w:pPr>
            <w:bookmarkStart w:id="76" w:name="btblfn10" w:colFirst="1" w:colLast="5"/>
            <w:r w:rsidRPr="0033310C">
              <w:t>Constant</w:t>
            </w:r>
          </w:p>
        </w:tc>
        <w:tc>
          <w:tcPr>
            <w:tcW w:w="0" w:type="auto"/>
            <w:hideMark/>
          </w:tcPr>
          <w:p w14:paraId="1CA30BC5" w14:textId="343F6258" w:rsidR="0033310C" w:rsidRPr="0033310C" w:rsidRDefault="0033310C" w:rsidP="00C35B99">
            <w:pPr>
              <w:pStyle w:val="NoSpacing"/>
            </w:pPr>
            <w:r w:rsidRPr="0033310C">
              <w:t>1.91</w:t>
            </w:r>
            <w:r w:rsidRPr="0033310C">
              <w:rPr>
                <w:rFonts w:ascii="Tahoma" w:hAnsi="Tahoma" w:cs="Tahoma"/>
                <w:vertAlign w:val="superscript"/>
              </w:rPr>
              <w:t>⁎⁎</w:t>
            </w:r>
          </w:p>
        </w:tc>
        <w:tc>
          <w:tcPr>
            <w:tcW w:w="0" w:type="auto"/>
            <w:hideMark/>
          </w:tcPr>
          <w:p w14:paraId="360751E5" w14:textId="77777777" w:rsidR="0033310C" w:rsidRPr="0033310C" w:rsidRDefault="0033310C" w:rsidP="00C35B99">
            <w:pPr>
              <w:pStyle w:val="NoSpacing"/>
            </w:pPr>
            <w:r w:rsidRPr="0033310C">
              <w:t>0.48</w:t>
            </w:r>
          </w:p>
        </w:tc>
        <w:tc>
          <w:tcPr>
            <w:tcW w:w="0" w:type="auto"/>
            <w:hideMark/>
          </w:tcPr>
          <w:p w14:paraId="51DD830D" w14:textId="77777777" w:rsidR="0033310C" w:rsidRPr="0033310C" w:rsidRDefault="0033310C" w:rsidP="00C35B99">
            <w:pPr>
              <w:pStyle w:val="NoSpacing"/>
            </w:pPr>
            <w:r w:rsidRPr="0033310C">
              <w:t>−0.11</w:t>
            </w:r>
          </w:p>
        </w:tc>
        <w:tc>
          <w:tcPr>
            <w:tcW w:w="0" w:type="auto"/>
            <w:hideMark/>
          </w:tcPr>
          <w:p w14:paraId="39F960CA" w14:textId="77777777" w:rsidR="0033310C" w:rsidRPr="0033310C" w:rsidRDefault="0033310C" w:rsidP="00C35B99">
            <w:pPr>
              <w:pStyle w:val="NoSpacing"/>
            </w:pPr>
            <w:r w:rsidRPr="0033310C">
              <w:t>1.64</w:t>
            </w:r>
          </w:p>
        </w:tc>
        <w:tc>
          <w:tcPr>
            <w:tcW w:w="0" w:type="auto"/>
            <w:hideMark/>
          </w:tcPr>
          <w:p w14:paraId="2F0301C5" w14:textId="77777777" w:rsidR="0033310C" w:rsidRPr="0033310C" w:rsidRDefault="0033310C" w:rsidP="00C35B99">
            <w:pPr>
              <w:pStyle w:val="NoSpacing"/>
            </w:pPr>
            <w:r w:rsidRPr="0033310C">
              <w:t>1.42</w:t>
            </w:r>
          </w:p>
        </w:tc>
        <w:tc>
          <w:tcPr>
            <w:tcW w:w="0" w:type="auto"/>
            <w:hideMark/>
          </w:tcPr>
          <w:p w14:paraId="2167BAFC" w14:textId="77777777" w:rsidR="0033310C" w:rsidRPr="0033310C" w:rsidRDefault="0033310C" w:rsidP="00C35B99">
            <w:pPr>
              <w:pStyle w:val="NoSpacing"/>
            </w:pPr>
            <w:r w:rsidRPr="0033310C">
              <w:t>1.14</w:t>
            </w:r>
          </w:p>
        </w:tc>
      </w:tr>
      <w:tr w:rsidR="0033310C" w:rsidRPr="0033310C" w14:paraId="7ACAE66C" w14:textId="77777777" w:rsidTr="00623C32">
        <w:tc>
          <w:tcPr>
            <w:tcW w:w="0" w:type="auto"/>
            <w:hideMark/>
          </w:tcPr>
          <w:p w14:paraId="10BE669C" w14:textId="77777777" w:rsidR="0033310C" w:rsidRPr="0033310C" w:rsidRDefault="0033310C" w:rsidP="00C35B99">
            <w:pPr>
              <w:pStyle w:val="NoSpacing"/>
            </w:pPr>
            <w:r w:rsidRPr="0033310C">
              <w:t>Population density</w:t>
            </w:r>
          </w:p>
        </w:tc>
        <w:tc>
          <w:tcPr>
            <w:tcW w:w="0" w:type="auto"/>
            <w:hideMark/>
          </w:tcPr>
          <w:p w14:paraId="737335C7" w14:textId="717B0FFE" w:rsidR="0033310C" w:rsidRPr="0033310C" w:rsidRDefault="0033310C" w:rsidP="00C35B99">
            <w:pPr>
              <w:pStyle w:val="NoSpacing"/>
            </w:pPr>
            <w:r w:rsidRPr="0033310C">
              <w:t>0.00</w:t>
            </w:r>
            <w:r w:rsidRPr="0033310C">
              <w:rPr>
                <w:rFonts w:ascii="Tahoma" w:hAnsi="Tahoma" w:cs="Tahoma"/>
                <w:vertAlign w:val="superscript"/>
              </w:rPr>
              <w:t>⁎⁎</w:t>
            </w:r>
          </w:p>
        </w:tc>
        <w:tc>
          <w:tcPr>
            <w:tcW w:w="0" w:type="auto"/>
            <w:hideMark/>
          </w:tcPr>
          <w:p w14:paraId="25E2FB98" w14:textId="77777777" w:rsidR="0033310C" w:rsidRPr="0033310C" w:rsidRDefault="0033310C" w:rsidP="00C35B99">
            <w:pPr>
              <w:pStyle w:val="NoSpacing"/>
            </w:pPr>
            <w:r w:rsidRPr="0033310C">
              <w:t>0.00</w:t>
            </w:r>
          </w:p>
        </w:tc>
        <w:tc>
          <w:tcPr>
            <w:tcW w:w="0" w:type="auto"/>
            <w:hideMark/>
          </w:tcPr>
          <w:p w14:paraId="0FDACA11" w14:textId="77777777" w:rsidR="0033310C" w:rsidRPr="0033310C" w:rsidRDefault="0033310C" w:rsidP="00C35B99">
            <w:pPr>
              <w:pStyle w:val="NoSpacing"/>
            </w:pPr>
            <w:r w:rsidRPr="0033310C">
              <w:t>0.00</w:t>
            </w:r>
          </w:p>
        </w:tc>
        <w:tc>
          <w:tcPr>
            <w:tcW w:w="0" w:type="auto"/>
            <w:hideMark/>
          </w:tcPr>
          <w:p w14:paraId="5786AB77" w14:textId="77777777" w:rsidR="0033310C" w:rsidRPr="0033310C" w:rsidRDefault="0033310C" w:rsidP="00C35B99">
            <w:pPr>
              <w:pStyle w:val="NoSpacing"/>
            </w:pPr>
            <w:r w:rsidRPr="0033310C">
              <w:t>0.00</w:t>
            </w:r>
          </w:p>
        </w:tc>
        <w:tc>
          <w:tcPr>
            <w:tcW w:w="0" w:type="auto"/>
            <w:hideMark/>
          </w:tcPr>
          <w:p w14:paraId="646CE465" w14:textId="721EC4E0" w:rsidR="0033310C" w:rsidRPr="0033310C" w:rsidRDefault="0033310C" w:rsidP="00C35B99">
            <w:pPr>
              <w:pStyle w:val="NoSpacing"/>
            </w:pPr>
            <w:r w:rsidRPr="0033310C">
              <w:t>0.00</w:t>
            </w:r>
            <w:r w:rsidRPr="0033310C">
              <w:rPr>
                <w:rFonts w:ascii="Tahoma" w:hAnsi="Tahoma" w:cs="Tahoma"/>
                <w:vertAlign w:val="superscript"/>
              </w:rPr>
              <w:t>⁎⁎</w:t>
            </w:r>
          </w:p>
        </w:tc>
        <w:tc>
          <w:tcPr>
            <w:tcW w:w="0" w:type="auto"/>
            <w:hideMark/>
          </w:tcPr>
          <w:p w14:paraId="4082F3AC" w14:textId="77777777" w:rsidR="0033310C" w:rsidRPr="0033310C" w:rsidRDefault="0033310C" w:rsidP="00C35B99">
            <w:pPr>
              <w:pStyle w:val="NoSpacing"/>
            </w:pPr>
            <w:r w:rsidRPr="0033310C">
              <w:t>0.00</w:t>
            </w:r>
          </w:p>
        </w:tc>
      </w:tr>
      <w:tr w:rsidR="0033310C" w:rsidRPr="0033310C" w14:paraId="2580E23B" w14:textId="77777777" w:rsidTr="00623C32">
        <w:tc>
          <w:tcPr>
            <w:tcW w:w="0" w:type="auto"/>
            <w:hideMark/>
          </w:tcPr>
          <w:p w14:paraId="54F6AE60" w14:textId="77777777" w:rsidR="0033310C" w:rsidRPr="0033310C" w:rsidRDefault="0033310C" w:rsidP="00C35B99">
            <w:pPr>
              <w:pStyle w:val="NoSpacing"/>
            </w:pPr>
            <w:r w:rsidRPr="0033310C">
              <w:t>Proportion young</w:t>
            </w:r>
          </w:p>
        </w:tc>
        <w:tc>
          <w:tcPr>
            <w:tcW w:w="0" w:type="auto"/>
            <w:hideMark/>
          </w:tcPr>
          <w:p w14:paraId="168C7D82" w14:textId="77777777" w:rsidR="0033310C" w:rsidRPr="0033310C" w:rsidRDefault="0033310C" w:rsidP="00C35B99">
            <w:pPr>
              <w:pStyle w:val="NoSpacing"/>
            </w:pPr>
            <w:r w:rsidRPr="0033310C">
              <w:t>−0.76</w:t>
            </w:r>
          </w:p>
        </w:tc>
        <w:tc>
          <w:tcPr>
            <w:tcW w:w="0" w:type="auto"/>
            <w:hideMark/>
          </w:tcPr>
          <w:p w14:paraId="26B79588" w14:textId="77777777" w:rsidR="0033310C" w:rsidRPr="0033310C" w:rsidRDefault="0033310C" w:rsidP="00C35B99">
            <w:pPr>
              <w:pStyle w:val="NoSpacing"/>
            </w:pPr>
            <w:r w:rsidRPr="0033310C">
              <w:t>1.08</w:t>
            </w:r>
          </w:p>
        </w:tc>
        <w:tc>
          <w:tcPr>
            <w:tcW w:w="0" w:type="auto"/>
            <w:hideMark/>
          </w:tcPr>
          <w:p w14:paraId="6BF049D0" w14:textId="77777777" w:rsidR="0033310C" w:rsidRPr="0033310C" w:rsidRDefault="0033310C" w:rsidP="00C35B99">
            <w:pPr>
              <w:pStyle w:val="NoSpacing"/>
            </w:pPr>
            <w:r w:rsidRPr="0033310C">
              <w:t>6.26</w:t>
            </w:r>
          </w:p>
        </w:tc>
        <w:tc>
          <w:tcPr>
            <w:tcW w:w="0" w:type="auto"/>
            <w:hideMark/>
          </w:tcPr>
          <w:p w14:paraId="7C4C8E5F" w14:textId="77777777" w:rsidR="0033310C" w:rsidRPr="0033310C" w:rsidRDefault="0033310C" w:rsidP="00C35B99">
            <w:pPr>
              <w:pStyle w:val="NoSpacing"/>
            </w:pPr>
            <w:r w:rsidRPr="0033310C">
              <w:t>9.30</w:t>
            </w:r>
          </w:p>
        </w:tc>
        <w:tc>
          <w:tcPr>
            <w:tcW w:w="0" w:type="auto"/>
            <w:hideMark/>
          </w:tcPr>
          <w:p w14:paraId="1FFEBC3D" w14:textId="77777777" w:rsidR="0033310C" w:rsidRPr="0033310C" w:rsidRDefault="0033310C" w:rsidP="00C35B99">
            <w:pPr>
              <w:pStyle w:val="NoSpacing"/>
            </w:pPr>
            <w:r w:rsidRPr="0033310C">
              <w:t>−1.13</w:t>
            </w:r>
          </w:p>
        </w:tc>
        <w:tc>
          <w:tcPr>
            <w:tcW w:w="0" w:type="auto"/>
            <w:hideMark/>
          </w:tcPr>
          <w:p w14:paraId="0A882F07" w14:textId="77777777" w:rsidR="0033310C" w:rsidRPr="0033310C" w:rsidRDefault="0033310C" w:rsidP="00C35B99">
            <w:pPr>
              <w:pStyle w:val="NoSpacing"/>
            </w:pPr>
            <w:r w:rsidRPr="0033310C">
              <w:t>1.28</w:t>
            </w:r>
          </w:p>
        </w:tc>
      </w:tr>
      <w:tr w:rsidR="0033310C" w:rsidRPr="0033310C" w14:paraId="061B8BF0" w14:textId="77777777" w:rsidTr="00623C32">
        <w:tc>
          <w:tcPr>
            <w:tcW w:w="0" w:type="auto"/>
            <w:hideMark/>
          </w:tcPr>
          <w:p w14:paraId="5C73BE3C" w14:textId="77777777" w:rsidR="0033310C" w:rsidRPr="0033310C" w:rsidRDefault="0033310C" w:rsidP="00C35B99">
            <w:pPr>
              <w:pStyle w:val="NoSpacing"/>
            </w:pPr>
            <w:r w:rsidRPr="0033310C">
              <w:t>Social disorganization</w:t>
            </w:r>
          </w:p>
        </w:tc>
        <w:tc>
          <w:tcPr>
            <w:tcW w:w="0" w:type="auto"/>
            <w:hideMark/>
          </w:tcPr>
          <w:p w14:paraId="5F55E49A" w14:textId="67A440E8" w:rsidR="0033310C" w:rsidRPr="0033310C" w:rsidRDefault="0033310C" w:rsidP="00C35B99">
            <w:pPr>
              <w:pStyle w:val="NoSpacing"/>
            </w:pPr>
            <w:r w:rsidRPr="0033310C">
              <w:t>0.34</w:t>
            </w:r>
            <w:r w:rsidRPr="0033310C">
              <w:rPr>
                <w:rFonts w:ascii="Tahoma" w:hAnsi="Tahoma" w:cs="Tahoma"/>
                <w:vertAlign w:val="superscript"/>
              </w:rPr>
              <w:t>⁎⁎</w:t>
            </w:r>
          </w:p>
        </w:tc>
        <w:tc>
          <w:tcPr>
            <w:tcW w:w="0" w:type="auto"/>
            <w:hideMark/>
          </w:tcPr>
          <w:p w14:paraId="7D2FDBDB" w14:textId="77777777" w:rsidR="0033310C" w:rsidRPr="0033310C" w:rsidRDefault="0033310C" w:rsidP="00C35B99">
            <w:pPr>
              <w:pStyle w:val="NoSpacing"/>
            </w:pPr>
            <w:r w:rsidRPr="0033310C">
              <w:t>0.06</w:t>
            </w:r>
          </w:p>
        </w:tc>
        <w:tc>
          <w:tcPr>
            <w:tcW w:w="0" w:type="auto"/>
            <w:hideMark/>
          </w:tcPr>
          <w:p w14:paraId="301260B0" w14:textId="77777777" w:rsidR="0033310C" w:rsidRPr="0033310C" w:rsidRDefault="0033310C" w:rsidP="00C35B99">
            <w:pPr>
              <w:pStyle w:val="NoSpacing"/>
            </w:pPr>
            <w:r w:rsidRPr="0033310C">
              <w:t>0.05</w:t>
            </w:r>
          </w:p>
        </w:tc>
        <w:tc>
          <w:tcPr>
            <w:tcW w:w="0" w:type="auto"/>
            <w:hideMark/>
          </w:tcPr>
          <w:p w14:paraId="4C140ACA" w14:textId="77777777" w:rsidR="0033310C" w:rsidRPr="0033310C" w:rsidRDefault="0033310C" w:rsidP="00C35B99">
            <w:pPr>
              <w:pStyle w:val="NoSpacing"/>
            </w:pPr>
            <w:r w:rsidRPr="0033310C">
              <w:t>0.13</w:t>
            </w:r>
          </w:p>
        </w:tc>
        <w:tc>
          <w:tcPr>
            <w:tcW w:w="0" w:type="auto"/>
            <w:hideMark/>
          </w:tcPr>
          <w:p w14:paraId="37EED2D5" w14:textId="628EE646" w:rsidR="0033310C" w:rsidRPr="0033310C" w:rsidRDefault="0033310C" w:rsidP="00C35B99">
            <w:pPr>
              <w:pStyle w:val="NoSpacing"/>
            </w:pPr>
            <w:r w:rsidRPr="0033310C">
              <w:t>0.31</w:t>
            </w:r>
            <w:r w:rsidRPr="0033310C">
              <w:rPr>
                <w:rFonts w:ascii="Tahoma" w:hAnsi="Tahoma" w:cs="Tahoma"/>
                <w:vertAlign w:val="superscript"/>
              </w:rPr>
              <w:t>⁎⁎</w:t>
            </w:r>
          </w:p>
        </w:tc>
        <w:tc>
          <w:tcPr>
            <w:tcW w:w="0" w:type="auto"/>
            <w:hideMark/>
          </w:tcPr>
          <w:p w14:paraId="601AFAFC" w14:textId="77777777" w:rsidR="0033310C" w:rsidRPr="0033310C" w:rsidRDefault="0033310C" w:rsidP="00C35B99">
            <w:pPr>
              <w:pStyle w:val="NoSpacing"/>
            </w:pPr>
            <w:r w:rsidRPr="0033310C">
              <w:t>0.08</w:t>
            </w:r>
          </w:p>
        </w:tc>
      </w:tr>
      <w:tr w:rsidR="0033310C" w:rsidRPr="0033310C" w14:paraId="63F45ABB" w14:textId="77777777" w:rsidTr="00623C32">
        <w:tc>
          <w:tcPr>
            <w:tcW w:w="0" w:type="auto"/>
            <w:hideMark/>
          </w:tcPr>
          <w:p w14:paraId="69D4295C" w14:textId="77777777" w:rsidR="0033310C" w:rsidRPr="0033310C" w:rsidRDefault="0033310C" w:rsidP="00C35B99">
            <w:pPr>
              <w:pStyle w:val="NoSpacing"/>
            </w:pPr>
            <w:r w:rsidRPr="0033310C">
              <w:lastRenderedPageBreak/>
              <w:t>Distance from city center</w:t>
            </w:r>
          </w:p>
        </w:tc>
        <w:tc>
          <w:tcPr>
            <w:tcW w:w="0" w:type="auto"/>
            <w:hideMark/>
          </w:tcPr>
          <w:p w14:paraId="0B43B0F3" w14:textId="77777777" w:rsidR="0033310C" w:rsidRPr="0033310C" w:rsidRDefault="0033310C" w:rsidP="00C35B99">
            <w:pPr>
              <w:pStyle w:val="NoSpacing"/>
            </w:pPr>
            <w:r w:rsidRPr="0033310C">
              <w:t>−0.09</w:t>
            </w:r>
          </w:p>
        </w:tc>
        <w:tc>
          <w:tcPr>
            <w:tcW w:w="0" w:type="auto"/>
            <w:hideMark/>
          </w:tcPr>
          <w:p w14:paraId="3EE81DCA" w14:textId="77777777" w:rsidR="0033310C" w:rsidRPr="0033310C" w:rsidRDefault="0033310C" w:rsidP="00C35B99">
            <w:pPr>
              <w:pStyle w:val="NoSpacing"/>
            </w:pPr>
            <w:r w:rsidRPr="0033310C">
              <w:t>0.06</w:t>
            </w:r>
          </w:p>
        </w:tc>
        <w:tc>
          <w:tcPr>
            <w:tcW w:w="0" w:type="auto"/>
            <w:hideMark/>
          </w:tcPr>
          <w:p w14:paraId="69CB9B1B" w14:textId="77777777" w:rsidR="0033310C" w:rsidRPr="0033310C" w:rsidRDefault="0033310C" w:rsidP="00C35B99">
            <w:pPr>
              <w:pStyle w:val="NoSpacing"/>
            </w:pPr>
            <w:r w:rsidRPr="0033310C">
              <w:t>−0.02</w:t>
            </w:r>
          </w:p>
        </w:tc>
        <w:tc>
          <w:tcPr>
            <w:tcW w:w="0" w:type="auto"/>
            <w:hideMark/>
          </w:tcPr>
          <w:p w14:paraId="430A5B03" w14:textId="77777777" w:rsidR="0033310C" w:rsidRPr="0033310C" w:rsidRDefault="0033310C" w:rsidP="00C35B99">
            <w:pPr>
              <w:pStyle w:val="NoSpacing"/>
            </w:pPr>
            <w:r w:rsidRPr="0033310C">
              <w:t>0.17</w:t>
            </w:r>
          </w:p>
        </w:tc>
        <w:tc>
          <w:tcPr>
            <w:tcW w:w="0" w:type="auto"/>
            <w:hideMark/>
          </w:tcPr>
          <w:p w14:paraId="7F5253C2" w14:textId="77777777" w:rsidR="0033310C" w:rsidRPr="0033310C" w:rsidRDefault="0033310C" w:rsidP="00C35B99">
            <w:pPr>
              <w:pStyle w:val="NoSpacing"/>
            </w:pPr>
            <w:r w:rsidRPr="0033310C">
              <w:t>−0.05</w:t>
            </w:r>
          </w:p>
        </w:tc>
        <w:tc>
          <w:tcPr>
            <w:tcW w:w="0" w:type="auto"/>
            <w:hideMark/>
          </w:tcPr>
          <w:p w14:paraId="1464393B" w14:textId="77777777" w:rsidR="0033310C" w:rsidRPr="0033310C" w:rsidRDefault="0033310C" w:rsidP="00C35B99">
            <w:pPr>
              <w:pStyle w:val="NoSpacing"/>
            </w:pPr>
            <w:r w:rsidRPr="0033310C">
              <w:t>0.09</w:t>
            </w:r>
          </w:p>
        </w:tc>
      </w:tr>
      <w:tr w:rsidR="0033310C" w:rsidRPr="0033310C" w14:paraId="617DE995" w14:textId="77777777" w:rsidTr="00623C32">
        <w:tc>
          <w:tcPr>
            <w:tcW w:w="0" w:type="auto"/>
            <w:hideMark/>
          </w:tcPr>
          <w:p w14:paraId="3049B105" w14:textId="77777777" w:rsidR="0033310C" w:rsidRPr="0033310C" w:rsidRDefault="0033310C" w:rsidP="00C35B99">
            <w:pPr>
              <w:pStyle w:val="NoSpacing"/>
            </w:pPr>
            <w:r w:rsidRPr="0033310C">
              <w:rPr>
                <w:i/>
                <w:iCs/>
              </w:rPr>
              <w:t>Rho</w:t>
            </w:r>
            <w:r w:rsidRPr="0033310C">
              <w:t> sqrt robbery density</w:t>
            </w:r>
          </w:p>
        </w:tc>
        <w:tc>
          <w:tcPr>
            <w:tcW w:w="0" w:type="auto"/>
            <w:hideMark/>
          </w:tcPr>
          <w:p w14:paraId="1618D4AD" w14:textId="3BCB087A" w:rsidR="0033310C" w:rsidRPr="0033310C" w:rsidRDefault="0033310C" w:rsidP="00C35B99">
            <w:pPr>
              <w:pStyle w:val="NoSpacing"/>
            </w:pPr>
            <w:r w:rsidRPr="0033310C">
              <w:t>0.53</w:t>
            </w:r>
            <w:r w:rsidRPr="0033310C">
              <w:rPr>
                <w:rFonts w:ascii="Tahoma" w:hAnsi="Tahoma" w:cs="Tahoma"/>
                <w:vertAlign w:val="superscript"/>
              </w:rPr>
              <w:t>⁎⁎</w:t>
            </w:r>
          </w:p>
        </w:tc>
        <w:tc>
          <w:tcPr>
            <w:tcW w:w="0" w:type="auto"/>
            <w:hideMark/>
          </w:tcPr>
          <w:p w14:paraId="51A3ABBE" w14:textId="77777777" w:rsidR="0033310C" w:rsidRPr="0033310C" w:rsidRDefault="0033310C" w:rsidP="00C35B99">
            <w:pPr>
              <w:pStyle w:val="NoSpacing"/>
            </w:pPr>
            <w:r w:rsidRPr="0033310C">
              <w:t>0.04</w:t>
            </w:r>
          </w:p>
        </w:tc>
        <w:tc>
          <w:tcPr>
            <w:tcW w:w="0" w:type="auto"/>
            <w:hideMark/>
          </w:tcPr>
          <w:p w14:paraId="0F006906" w14:textId="77777777" w:rsidR="0033310C" w:rsidRPr="0033310C" w:rsidRDefault="0033310C" w:rsidP="00C35B99">
            <w:pPr>
              <w:pStyle w:val="NoSpacing"/>
            </w:pPr>
            <w:r w:rsidRPr="0033310C">
              <w:t>0.45</w:t>
            </w:r>
          </w:p>
        </w:tc>
        <w:tc>
          <w:tcPr>
            <w:tcW w:w="0" w:type="auto"/>
            <w:hideMark/>
          </w:tcPr>
          <w:p w14:paraId="1DC9CC38" w14:textId="77777777" w:rsidR="0033310C" w:rsidRPr="0033310C" w:rsidRDefault="0033310C" w:rsidP="00C35B99">
            <w:pPr>
              <w:pStyle w:val="NoSpacing"/>
            </w:pPr>
            <w:r w:rsidRPr="0033310C">
              <w:t>0.38</w:t>
            </w:r>
          </w:p>
        </w:tc>
        <w:tc>
          <w:tcPr>
            <w:tcW w:w="0" w:type="auto"/>
            <w:hideMark/>
          </w:tcPr>
          <w:p w14:paraId="61AC4D4B" w14:textId="5A24776B" w:rsidR="0033310C" w:rsidRPr="0033310C" w:rsidRDefault="0033310C" w:rsidP="00C35B99">
            <w:pPr>
              <w:pStyle w:val="NoSpacing"/>
            </w:pPr>
            <w:r w:rsidRPr="0033310C">
              <w:t>0.63</w:t>
            </w:r>
            <w:r w:rsidRPr="0033310C">
              <w:rPr>
                <w:rFonts w:ascii="Tahoma" w:hAnsi="Tahoma" w:cs="Tahoma"/>
                <w:vertAlign w:val="superscript"/>
              </w:rPr>
              <w:t>⁎⁎</w:t>
            </w:r>
          </w:p>
        </w:tc>
        <w:tc>
          <w:tcPr>
            <w:tcW w:w="0" w:type="auto"/>
            <w:hideMark/>
          </w:tcPr>
          <w:p w14:paraId="2A1E24FE" w14:textId="77777777" w:rsidR="0033310C" w:rsidRPr="0033310C" w:rsidRDefault="0033310C" w:rsidP="00C35B99">
            <w:pPr>
              <w:pStyle w:val="NoSpacing"/>
            </w:pPr>
            <w:r w:rsidRPr="0033310C">
              <w:t>0.13</w:t>
            </w:r>
          </w:p>
        </w:tc>
      </w:tr>
      <w:tr w:rsidR="0033310C" w:rsidRPr="0033310C" w14:paraId="57A36856" w14:textId="77777777" w:rsidTr="00623C32">
        <w:tc>
          <w:tcPr>
            <w:tcW w:w="0" w:type="auto"/>
            <w:hideMark/>
          </w:tcPr>
          <w:p w14:paraId="3676D3A5" w14:textId="77777777" w:rsidR="0033310C" w:rsidRPr="0033310C" w:rsidRDefault="0033310C" w:rsidP="00C35B99">
            <w:pPr>
              <w:pStyle w:val="NoSpacing"/>
            </w:pPr>
            <w:r w:rsidRPr="0033310C">
              <w:t xml:space="preserve">Sqrt </w:t>
            </w:r>
            <w:proofErr w:type="gramStart"/>
            <w:r w:rsidRPr="0033310C">
              <w:t>on-premise</w:t>
            </w:r>
            <w:proofErr w:type="gramEnd"/>
            <w:r w:rsidRPr="0033310C">
              <w:t xml:space="preserve"> alcohol outlet density</w:t>
            </w:r>
          </w:p>
        </w:tc>
        <w:tc>
          <w:tcPr>
            <w:tcW w:w="0" w:type="auto"/>
            <w:hideMark/>
          </w:tcPr>
          <w:p w14:paraId="07A2249B" w14:textId="77777777" w:rsidR="0033310C" w:rsidRPr="0033310C" w:rsidRDefault="0033310C" w:rsidP="00C35B99">
            <w:pPr>
              <w:pStyle w:val="NoSpacing"/>
            </w:pPr>
            <w:r w:rsidRPr="0033310C">
              <w:t>−0.02</w:t>
            </w:r>
          </w:p>
        </w:tc>
        <w:tc>
          <w:tcPr>
            <w:tcW w:w="0" w:type="auto"/>
            <w:hideMark/>
          </w:tcPr>
          <w:p w14:paraId="7263029B" w14:textId="77777777" w:rsidR="0033310C" w:rsidRPr="0033310C" w:rsidRDefault="0033310C" w:rsidP="00C35B99">
            <w:pPr>
              <w:pStyle w:val="NoSpacing"/>
            </w:pPr>
            <w:r w:rsidRPr="0033310C">
              <w:t>0.04</w:t>
            </w:r>
          </w:p>
        </w:tc>
        <w:tc>
          <w:tcPr>
            <w:tcW w:w="0" w:type="auto"/>
            <w:hideMark/>
          </w:tcPr>
          <w:p w14:paraId="5B67EC44" w14:textId="77777777" w:rsidR="0033310C" w:rsidRPr="0033310C" w:rsidRDefault="0033310C" w:rsidP="00C35B99">
            <w:pPr>
              <w:pStyle w:val="NoSpacing"/>
            </w:pPr>
            <w:r w:rsidRPr="0033310C">
              <w:t>0.05</w:t>
            </w:r>
          </w:p>
        </w:tc>
        <w:tc>
          <w:tcPr>
            <w:tcW w:w="0" w:type="auto"/>
            <w:hideMark/>
          </w:tcPr>
          <w:p w14:paraId="3CDFE590" w14:textId="77777777" w:rsidR="0033310C" w:rsidRPr="0033310C" w:rsidRDefault="0033310C" w:rsidP="00C35B99">
            <w:pPr>
              <w:pStyle w:val="NoSpacing"/>
            </w:pPr>
            <w:r w:rsidRPr="0033310C">
              <w:t>0.08</w:t>
            </w:r>
          </w:p>
        </w:tc>
        <w:tc>
          <w:tcPr>
            <w:tcW w:w="0" w:type="auto"/>
            <w:hideMark/>
          </w:tcPr>
          <w:p w14:paraId="74769EA0" w14:textId="77777777" w:rsidR="0033310C" w:rsidRPr="0033310C" w:rsidRDefault="0033310C" w:rsidP="00C35B99">
            <w:pPr>
              <w:pStyle w:val="NoSpacing"/>
            </w:pPr>
            <w:r w:rsidRPr="0033310C">
              <w:t>−0.00</w:t>
            </w:r>
          </w:p>
        </w:tc>
        <w:tc>
          <w:tcPr>
            <w:tcW w:w="0" w:type="auto"/>
            <w:hideMark/>
          </w:tcPr>
          <w:p w14:paraId="05B04DC0" w14:textId="77777777" w:rsidR="0033310C" w:rsidRPr="0033310C" w:rsidRDefault="0033310C" w:rsidP="00C35B99">
            <w:pPr>
              <w:pStyle w:val="NoSpacing"/>
            </w:pPr>
            <w:r w:rsidRPr="0033310C">
              <w:t>0.04</w:t>
            </w:r>
          </w:p>
        </w:tc>
      </w:tr>
      <w:tr w:rsidR="0033310C" w:rsidRPr="0033310C" w14:paraId="207A0D97" w14:textId="77777777" w:rsidTr="00623C32">
        <w:tc>
          <w:tcPr>
            <w:tcW w:w="0" w:type="auto"/>
            <w:hideMark/>
          </w:tcPr>
          <w:p w14:paraId="32E67DD0" w14:textId="77777777" w:rsidR="0033310C" w:rsidRPr="0033310C" w:rsidRDefault="0033310C" w:rsidP="00C35B99">
            <w:pPr>
              <w:pStyle w:val="NoSpacing"/>
            </w:pPr>
            <w:proofErr w:type="gramStart"/>
            <w:r w:rsidRPr="0033310C">
              <w:t>On-premise</w:t>
            </w:r>
            <w:proofErr w:type="gramEnd"/>
            <w:r w:rsidRPr="0033310C">
              <w:t> × Social disorganization index</w:t>
            </w:r>
          </w:p>
        </w:tc>
        <w:tc>
          <w:tcPr>
            <w:tcW w:w="0" w:type="auto"/>
            <w:hideMark/>
          </w:tcPr>
          <w:p w14:paraId="4F7574D8" w14:textId="77777777" w:rsidR="0033310C" w:rsidRPr="0033310C" w:rsidRDefault="0033310C" w:rsidP="00C35B99">
            <w:pPr>
              <w:pStyle w:val="NoSpacing"/>
            </w:pPr>
            <w:r w:rsidRPr="0033310C">
              <w:t>−0.00</w:t>
            </w:r>
          </w:p>
        </w:tc>
        <w:tc>
          <w:tcPr>
            <w:tcW w:w="0" w:type="auto"/>
            <w:hideMark/>
          </w:tcPr>
          <w:p w14:paraId="68106BF7" w14:textId="77777777" w:rsidR="0033310C" w:rsidRPr="0033310C" w:rsidRDefault="0033310C" w:rsidP="00C35B99">
            <w:pPr>
              <w:pStyle w:val="NoSpacing"/>
            </w:pPr>
            <w:r w:rsidRPr="0033310C">
              <w:t>0.01</w:t>
            </w:r>
          </w:p>
        </w:tc>
        <w:tc>
          <w:tcPr>
            <w:tcW w:w="0" w:type="auto"/>
            <w:hideMark/>
          </w:tcPr>
          <w:p w14:paraId="590AD957" w14:textId="77777777" w:rsidR="0033310C" w:rsidRPr="0033310C" w:rsidRDefault="0033310C" w:rsidP="00C35B99">
            <w:pPr>
              <w:pStyle w:val="NoSpacing"/>
            </w:pPr>
            <w:r w:rsidRPr="0033310C">
              <w:t>−0.00</w:t>
            </w:r>
          </w:p>
        </w:tc>
        <w:tc>
          <w:tcPr>
            <w:tcW w:w="0" w:type="auto"/>
            <w:hideMark/>
          </w:tcPr>
          <w:p w14:paraId="1040CD0E" w14:textId="77777777" w:rsidR="0033310C" w:rsidRPr="0033310C" w:rsidRDefault="0033310C" w:rsidP="00C35B99">
            <w:pPr>
              <w:pStyle w:val="NoSpacing"/>
            </w:pPr>
            <w:r w:rsidRPr="0033310C">
              <w:t>0.02</w:t>
            </w:r>
          </w:p>
        </w:tc>
        <w:tc>
          <w:tcPr>
            <w:tcW w:w="0" w:type="auto"/>
            <w:hideMark/>
          </w:tcPr>
          <w:p w14:paraId="21073B86" w14:textId="77777777" w:rsidR="0033310C" w:rsidRPr="0033310C" w:rsidRDefault="0033310C" w:rsidP="00C35B99">
            <w:pPr>
              <w:pStyle w:val="NoSpacing"/>
            </w:pPr>
            <w:r w:rsidRPr="0033310C">
              <w:t>−0.01</w:t>
            </w:r>
          </w:p>
        </w:tc>
        <w:tc>
          <w:tcPr>
            <w:tcW w:w="0" w:type="auto"/>
            <w:hideMark/>
          </w:tcPr>
          <w:p w14:paraId="2D834851" w14:textId="77777777" w:rsidR="0033310C" w:rsidRPr="0033310C" w:rsidRDefault="0033310C" w:rsidP="00C35B99">
            <w:pPr>
              <w:pStyle w:val="NoSpacing"/>
            </w:pPr>
            <w:r w:rsidRPr="0033310C">
              <w:t>0.02</w:t>
            </w:r>
          </w:p>
        </w:tc>
      </w:tr>
      <w:tr w:rsidR="0033310C" w:rsidRPr="0033310C" w14:paraId="791A41C9" w14:textId="77777777" w:rsidTr="00623C32">
        <w:tc>
          <w:tcPr>
            <w:tcW w:w="0" w:type="auto"/>
            <w:hideMark/>
          </w:tcPr>
          <w:p w14:paraId="3A8615DB" w14:textId="77777777" w:rsidR="0033310C" w:rsidRPr="0033310C" w:rsidRDefault="0033310C" w:rsidP="00C35B99">
            <w:pPr>
              <w:pStyle w:val="NoSpacing"/>
            </w:pPr>
            <w:r w:rsidRPr="0033310C">
              <w:rPr>
                <w:i/>
                <w:iCs/>
              </w:rPr>
              <w:t>R</w:t>
            </w:r>
            <w:r w:rsidRPr="0033310C">
              <w:t>-squared</w:t>
            </w:r>
          </w:p>
        </w:tc>
        <w:tc>
          <w:tcPr>
            <w:tcW w:w="0" w:type="auto"/>
            <w:hideMark/>
          </w:tcPr>
          <w:p w14:paraId="45013E9C" w14:textId="77777777" w:rsidR="0033310C" w:rsidRPr="0033310C" w:rsidRDefault="0033310C" w:rsidP="00C35B99">
            <w:pPr>
              <w:pStyle w:val="NoSpacing"/>
            </w:pPr>
            <w:r w:rsidRPr="0033310C">
              <w:t>55.42</w:t>
            </w:r>
          </w:p>
        </w:tc>
        <w:tc>
          <w:tcPr>
            <w:tcW w:w="0" w:type="auto"/>
            <w:hideMark/>
          </w:tcPr>
          <w:p w14:paraId="5BCBCE85" w14:textId="77777777" w:rsidR="0033310C" w:rsidRPr="0033310C" w:rsidRDefault="0033310C" w:rsidP="00C35B99">
            <w:pPr>
              <w:pStyle w:val="NoSpacing"/>
            </w:pPr>
          </w:p>
        </w:tc>
        <w:tc>
          <w:tcPr>
            <w:tcW w:w="0" w:type="auto"/>
            <w:hideMark/>
          </w:tcPr>
          <w:p w14:paraId="34BEBB14" w14:textId="77777777" w:rsidR="0033310C" w:rsidRPr="0033310C" w:rsidRDefault="0033310C" w:rsidP="00C35B99">
            <w:pPr>
              <w:pStyle w:val="NoSpacing"/>
            </w:pPr>
            <w:r w:rsidRPr="0033310C">
              <w:t>–</w:t>
            </w:r>
          </w:p>
        </w:tc>
        <w:tc>
          <w:tcPr>
            <w:tcW w:w="0" w:type="auto"/>
            <w:hideMark/>
          </w:tcPr>
          <w:p w14:paraId="141BC449" w14:textId="77777777" w:rsidR="0033310C" w:rsidRPr="0033310C" w:rsidRDefault="0033310C" w:rsidP="00C35B99">
            <w:pPr>
              <w:pStyle w:val="NoSpacing"/>
            </w:pPr>
          </w:p>
        </w:tc>
        <w:tc>
          <w:tcPr>
            <w:tcW w:w="0" w:type="auto"/>
            <w:hideMark/>
          </w:tcPr>
          <w:p w14:paraId="0845EC14" w14:textId="77777777" w:rsidR="0033310C" w:rsidRPr="0033310C" w:rsidRDefault="0033310C" w:rsidP="00C35B99">
            <w:pPr>
              <w:pStyle w:val="NoSpacing"/>
            </w:pPr>
            <w:r w:rsidRPr="0033310C">
              <w:t>–</w:t>
            </w:r>
          </w:p>
        </w:tc>
        <w:tc>
          <w:tcPr>
            <w:tcW w:w="0" w:type="auto"/>
            <w:hideMark/>
          </w:tcPr>
          <w:p w14:paraId="7D7E80A5" w14:textId="77777777" w:rsidR="0033310C" w:rsidRPr="0033310C" w:rsidRDefault="0033310C" w:rsidP="00C35B99">
            <w:pPr>
              <w:pStyle w:val="NoSpacing"/>
            </w:pPr>
          </w:p>
        </w:tc>
      </w:tr>
      <w:tr w:rsidR="0033310C" w:rsidRPr="0033310C" w14:paraId="1C4D16D2" w14:textId="77777777" w:rsidTr="00623C32">
        <w:tc>
          <w:tcPr>
            <w:tcW w:w="0" w:type="auto"/>
            <w:hideMark/>
          </w:tcPr>
          <w:p w14:paraId="7F5AA1FE" w14:textId="77777777" w:rsidR="0033310C" w:rsidRPr="0033310C" w:rsidRDefault="0033310C" w:rsidP="00C35B99">
            <w:pPr>
              <w:pStyle w:val="NoSpacing"/>
            </w:pPr>
            <w:r w:rsidRPr="0033310C">
              <w:t>Pseudo </w:t>
            </w:r>
            <w:r w:rsidRPr="0033310C">
              <w:rPr>
                <w:i/>
                <w:iCs/>
              </w:rPr>
              <w:t>R</w:t>
            </w:r>
            <w:r w:rsidRPr="0033310C">
              <w:t>-squared</w:t>
            </w:r>
          </w:p>
        </w:tc>
        <w:tc>
          <w:tcPr>
            <w:tcW w:w="0" w:type="auto"/>
            <w:hideMark/>
          </w:tcPr>
          <w:p w14:paraId="530595B8" w14:textId="77777777" w:rsidR="0033310C" w:rsidRPr="0033310C" w:rsidRDefault="0033310C" w:rsidP="00C35B99">
            <w:pPr>
              <w:pStyle w:val="NoSpacing"/>
            </w:pPr>
            <w:r w:rsidRPr="0033310C">
              <w:t>–</w:t>
            </w:r>
          </w:p>
        </w:tc>
        <w:tc>
          <w:tcPr>
            <w:tcW w:w="0" w:type="auto"/>
            <w:hideMark/>
          </w:tcPr>
          <w:p w14:paraId="184D84D8" w14:textId="77777777" w:rsidR="0033310C" w:rsidRPr="0033310C" w:rsidRDefault="0033310C" w:rsidP="00C35B99">
            <w:pPr>
              <w:pStyle w:val="NoSpacing"/>
            </w:pPr>
          </w:p>
        </w:tc>
        <w:tc>
          <w:tcPr>
            <w:tcW w:w="0" w:type="auto"/>
            <w:hideMark/>
          </w:tcPr>
          <w:p w14:paraId="70EE1381" w14:textId="77777777" w:rsidR="0033310C" w:rsidRPr="0033310C" w:rsidRDefault="0033310C" w:rsidP="00C35B99">
            <w:pPr>
              <w:pStyle w:val="NoSpacing"/>
            </w:pPr>
            <w:r w:rsidRPr="0033310C">
              <w:t>28.59</w:t>
            </w:r>
          </w:p>
        </w:tc>
        <w:tc>
          <w:tcPr>
            <w:tcW w:w="0" w:type="auto"/>
            <w:hideMark/>
          </w:tcPr>
          <w:p w14:paraId="786F2F2D" w14:textId="77777777" w:rsidR="0033310C" w:rsidRPr="0033310C" w:rsidRDefault="0033310C" w:rsidP="00C35B99">
            <w:pPr>
              <w:pStyle w:val="NoSpacing"/>
            </w:pPr>
          </w:p>
        </w:tc>
        <w:tc>
          <w:tcPr>
            <w:tcW w:w="0" w:type="auto"/>
            <w:hideMark/>
          </w:tcPr>
          <w:p w14:paraId="5C71C02A" w14:textId="77777777" w:rsidR="0033310C" w:rsidRPr="0033310C" w:rsidRDefault="0033310C" w:rsidP="00C35B99">
            <w:pPr>
              <w:pStyle w:val="NoSpacing"/>
            </w:pPr>
            <w:r w:rsidRPr="0033310C">
              <w:t>49.25</w:t>
            </w:r>
          </w:p>
        </w:tc>
        <w:tc>
          <w:tcPr>
            <w:tcW w:w="0" w:type="auto"/>
            <w:hideMark/>
          </w:tcPr>
          <w:p w14:paraId="12E5FDFA" w14:textId="77777777" w:rsidR="0033310C" w:rsidRPr="0033310C" w:rsidRDefault="0033310C" w:rsidP="00C35B99">
            <w:pPr>
              <w:pStyle w:val="NoSpacing"/>
            </w:pPr>
          </w:p>
        </w:tc>
      </w:tr>
      <w:tr w:rsidR="0033310C" w:rsidRPr="0033310C" w14:paraId="254637B9" w14:textId="77777777" w:rsidTr="00623C32">
        <w:tc>
          <w:tcPr>
            <w:tcW w:w="0" w:type="auto"/>
            <w:hideMark/>
          </w:tcPr>
          <w:p w14:paraId="54713634" w14:textId="77777777" w:rsidR="0033310C" w:rsidRPr="0033310C" w:rsidRDefault="0033310C" w:rsidP="00C35B99">
            <w:pPr>
              <w:pStyle w:val="NoSpacing"/>
            </w:pPr>
            <w:r w:rsidRPr="0033310C">
              <w:t>Multicollinearity condition number</w:t>
            </w:r>
          </w:p>
        </w:tc>
        <w:tc>
          <w:tcPr>
            <w:tcW w:w="0" w:type="auto"/>
            <w:hideMark/>
          </w:tcPr>
          <w:p w14:paraId="16394069" w14:textId="77777777" w:rsidR="0033310C" w:rsidRPr="0033310C" w:rsidRDefault="0033310C" w:rsidP="00C35B99">
            <w:pPr>
              <w:pStyle w:val="NoSpacing"/>
            </w:pPr>
            <w:r w:rsidRPr="0033310C">
              <w:t>9.69</w:t>
            </w:r>
          </w:p>
        </w:tc>
        <w:tc>
          <w:tcPr>
            <w:tcW w:w="0" w:type="auto"/>
            <w:hideMark/>
          </w:tcPr>
          <w:p w14:paraId="2D68B59E" w14:textId="77777777" w:rsidR="0033310C" w:rsidRPr="0033310C" w:rsidRDefault="0033310C" w:rsidP="00C35B99">
            <w:pPr>
              <w:pStyle w:val="NoSpacing"/>
            </w:pPr>
          </w:p>
        </w:tc>
        <w:tc>
          <w:tcPr>
            <w:tcW w:w="0" w:type="auto"/>
            <w:hideMark/>
          </w:tcPr>
          <w:p w14:paraId="250C2E17" w14:textId="77777777" w:rsidR="0033310C" w:rsidRPr="0033310C" w:rsidRDefault="0033310C" w:rsidP="00C35B99">
            <w:pPr>
              <w:pStyle w:val="NoSpacing"/>
            </w:pPr>
            <w:r w:rsidRPr="0033310C">
              <w:t>–</w:t>
            </w:r>
          </w:p>
        </w:tc>
        <w:tc>
          <w:tcPr>
            <w:tcW w:w="0" w:type="auto"/>
            <w:hideMark/>
          </w:tcPr>
          <w:p w14:paraId="5F50EAF7" w14:textId="77777777" w:rsidR="0033310C" w:rsidRPr="0033310C" w:rsidRDefault="0033310C" w:rsidP="00C35B99">
            <w:pPr>
              <w:pStyle w:val="NoSpacing"/>
            </w:pPr>
          </w:p>
        </w:tc>
        <w:tc>
          <w:tcPr>
            <w:tcW w:w="0" w:type="auto"/>
            <w:hideMark/>
          </w:tcPr>
          <w:p w14:paraId="3E52F1ED" w14:textId="77777777" w:rsidR="0033310C" w:rsidRPr="0033310C" w:rsidRDefault="0033310C" w:rsidP="00C35B99">
            <w:pPr>
              <w:pStyle w:val="NoSpacing"/>
            </w:pPr>
            <w:r w:rsidRPr="0033310C">
              <w:t>–</w:t>
            </w:r>
          </w:p>
        </w:tc>
        <w:tc>
          <w:tcPr>
            <w:tcW w:w="0" w:type="auto"/>
            <w:hideMark/>
          </w:tcPr>
          <w:p w14:paraId="0F17F608" w14:textId="77777777" w:rsidR="0033310C" w:rsidRPr="0033310C" w:rsidRDefault="0033310C" w:rsidP="00C35B99">
            <w:pPr>
              <w:pStyle w:val="NoSpacing"/>
            </w:pPr>
          </w:p>
        </w:tc>
      </w:tr>
      <w:tr w:rsidR="0033310C" w:rsidRPr="0033310C" w14:paraId="37ACC23A" w14:textId="77777777" w:rsidTr="00623C32">
        <w:tc>
          <w:tcPr>
            <w:tcW w:w="0" w:type="auto"/>
            <w:hideMark/>
          </w:tcPr>
          <w:p w14:paraId="11D46B22" w14:textId="77777777" w:rsidR="0033310C" w:rsidRPr="0033310C" w:rsidRDefault="0033310C" w:rsidP="00C35B99">
            <w:pPr>
              <w:pStyle w:val="NoSpacing"/>
            </w:pPr>
            <w:r w:rsidRPr="0033310C">
              <w:t>S.E. of regression</w:t>
            </w:r>
          </w:p>
        </w:tc>
        <w:tc>
          <w:tcPr>
            <w:tcW w:w="0" w:type="auto"/>
            <w:hideMark/>
          </w:tcPr>
          <w:p w14:paraId="1D1EB04D" w14:textId="77777777" w:rsidR="0033310C" w:rsidRPr="0033310C" w:rsidRDefault="0033310C" w:rsidP="00C35B99">
            <w:pPr>
              <w:pStyle w:val="NoSpacing"/>
            </w:pPr>
            <w:r w:rsidRPr="0033310C">
              <w:t>2.38</w:t>
            </w:r>
          </w:p>
        </w:tc>
        <w:tc>
          <w:tcPr>
            <w:tcW w:w="0" w:type="auto"/>
            <w:hideMark/>
          </w:tcPr>
          <w:p w14:paraId="3D5E2F3F" w14:textId="77777777" w:rsidR="0033310C" w:rsidRPr="0033310C" w:rsidRDefault="0033310C" w:rsidP="00C35B99">
            <w:pPr>
              <w:pStyle w:val="NoSpacing"/>
            </w:pPr>
          </w:p>
        </w:tc>
        <w:tc>
          <w:tcPr>
            <w:tcW w:w="0" w:type="auto"/>
            <w:hideMark/>
          </w:tcPr>
          <w:p w14:paraId="61476358" w14:textId="77777777" w:rsidR="0033310C" w:rsidRPr="0033310C" w:rsidRDefault="0033310C" w:rsidP="00C35B99">
            <w:pPr>
              <w:pStyle w:val="NoSpacing"/>
            </w:pPr>
            <w:r w:rsidRPr="0033310C">
              <w:t>–</w:t>
            </w:r>
          </w:p>
        </w:tc>
        <w:tc>
          <w:tcPr>
            <w:tcW w:w="0" w:type="auto"/>
            <w:hideMark/>
          </w:tcPr>
          <w:p w14:paraId="0ABB108C" w14:textId="77777777" w:rsidR="0033310C" w:rsidRPr="0033310C" w:rsidRDefault="0033310C" w:rsidP="00C35B99">
            <w:pPr>
              <w:pStyle w:val="NoSpacing"/>
            </w:pPr>
          </w:p>
        </w:tc>
        <w:tc>
          <w:tcPr>
            <w:tcW w:w="0" w:type="auto"/>
            <w:hideMark/>
          </w:tcPr>
          <w:p w14:paraId="45767BB6" w14:textId="77777777" w:rsidR="0033310C" w:rsidRPr="0033310C" w:rsidRDefault="0033310C" w:rsidP="00C35B99">
            <w:pPr>
              <w:pStyle w:val="NoSpacing"/>
            </w:pPr>
            <w:r w:rsidRPr="0033310C">
              <w:t>–</w:t>
            </w:r>
          </w:p>
        </w:tc>
        <w:tc>
          <w:tcPr>
            <w:tcW w:w="0" w:type="auto"/>
            <w:hideMark/>
          </w:tcPr>
          <w:p w14:paraId="6D74DF70" w14:textId="77777777" w:rsidR="0033310C" w:rsidRPr="0033310C" w:rsidRDefault="0033310C" w:rsidP="00C35B99">
            <w:pPr>
              <w:pStyle w:val="NoSpacing"/>
            </w:pPr>
          </w:p>
        </w:tc>
      </w:tr>
      <w:tr w:rsidR="0033310C" w:rsidRPr="0033310C" w14:paraId="1C1F728E" w14:textId="77777777" w:rsidTr="00623C32">
        <w:tc>
          <w:tcPr>
            <w:tcW w:w="0" w:type="auto"/>
            <w:hideMark/>
          </w:tcPr>
          <w:p w14:paraId="79A3EC54" w14:textId="77777777" w:rsidR="0033310C" w:rsidRPr="0033310C" w:rsidRDefault="0033310C" w:rsidP="00C35B99">
            <w:pPr>
              <w:pStyle w:val="NoSpacing"/>
            </w:pPr>
            <w:r w:rsidRPr="0033310C">
              <w:t>Log likelihood</w:t>
            </w:r>
          </w:p>
        </w:tc>
        <w:tc>
          <w:tcPr>
            <w:tcW w:w="0" w:type="auto"/>
            <w:hideMark/>
          </w:tcPr>
          <w:p w14:paraId="20AE5ABD" w14:textId="77777777" w:rsidR="0033310C" w:rsidRPr="0033310C" w:rsidRDefault="0033310C" w:rsidP="00C35B99">
            <w:pPr>
              <w:pStyle w:val="NoSpacing"/>
            </w:pPr>
            <w:r w:rsidRPr="0033310C">
              <w:t>−1322.12</w:t>
            </w:r>
          </w:p>
        </w:tc>
        <w:tc>
          <w:tcPr>
            <w:tcW w:w="0" w:type="auto"/>
            <w:hideMark/>
          </w:tcPr>
          <w:p w14:paraId="5BDBC0D4" w14:textId="77777777" w:rsidR="0033310C" w:rsidRPr="0033310C" w:rsidRDefault="0033310C" w:rsidP="00C35B99">
            <w:pPr>
              <w:pStyle w:val="NoSpacing"/>
            </w:pPr>
          </w:p>
        </w:tc>
        <w:tc>
          <w:tcPr>
            <w:tcW w:w="0" w:type="auto"/>
            <w:hideMark/>
          </w:tcPr>
          <w:p w14:paraId="18815963" w14:textId="77777777" w:rsidR="0033310C" w:rsidRPr="0033310C" w:rsidRDefault="0033310C" w:rsidP="00C35B99">
            <w:pPr>
              <w:pStyle w:val="NoSpacing"/>
            </w:pPr>
            <w:r w:rsidRPr="0033310C">
              <w:t>–</w:t>
            </w:r>
          </w:p>
        </w:tc>
        <w:tc>
          <w:tcPr>
            <w:tcW w:w="0" w:type="auto"/>
            <w:hideMark/>
          </w:tcPr>
          <w:p w14:paraId="354EF2AC" w14:textId="77777777" w:rsidR="0033310C" w:rsidRPr="0033310C" w:rsidRDefault="0033310C" w:rsidP="00C35B99">
            <w:pPr>
              <w:pStyle w:val="NoSpacing"/>
            </w:pPr>
          </w:p>
        </w:tc>
        <w:tc>
          <w:tcPr>
            <w:tcW w:w="0" w:type="auto"/>
            <w:hideMark/>
          </w:tcPr>
          <w:p w14:paraId="30C083CE" w14:textId="77777777" w:rsidR="0033310C" w:rsidRPr="0033310C" w:rsidRDefault="0033310C" w:rsidP="00C35B99">
            <w:pPr>
              <w:pStyle w:val="NoSpacing"/>
            </w:pPr>
            <w:r w:rsidRPr="0033310C">
              <w:t>–</w:t>
            </w:r>
          </w:p>
        </w:tc>
        <w:tc>
          <w:tcPr>
            <w:tcW w:w="0" w:type="auto"/>
            <w:hideMark/>
          </w:tcPr>
          <w:p w14:paraId="648D4F13" w14:textId="77777777" w:rsidR="0033310C" w:rsidRPr="0033310C" w:rsidRDefault="0033310C" w:rsidP="00C35B99">
            <w:pPr>
              <w:pStyle w:val="NoSpacing"/>
            </w:pPr>
          </w:p>
        </w:tc>
      </w:tr>
      <w:tr w:rsidR="0033310C" w:rsidRPr="0033310C" w14:paraId="42BD9058" w14:textId="77777777" w:rsidTr="00623C32">
        <w:tc>
          <w:tcPr>
            <w:tcW w:w="0" w:type="auto"/>
            <w:hideMark/>
          </w:tcPr>
          <w:p w14:paraId="7D7A8594" w14:textId="77777777" w:rsidR="0033310C" w:rsidRPr="0033310C" w:rsidRDefault="0033310C" w:rsidP="00C35B99">
            <w:pPr>
              <w:pStyle w:val="NoSpacing"/>
            </w:pPr>
            <w:r w:rsidRPr="0033310C">
              <w:t>Akaike information criterion</w:t>
            </w:r>
          </w:p>
        </w:tc>
        <w:tc>
          <w:tcPr>
            <w:tcW w:w="0" w:type="auto"/>
            <w:hideMark/>
          </w:tcPr>
          <w:p w14:paraId="6063705B" w14:textId="77777777" w:rsidR="0033310C" w:rsidRPr="0033310C" w:rsidRDefault="0033310C" w:rsidP="00C35B99">
            <w:pPr>
              <w:pStyle w:val="NoSpacing"/>
            </w:pPr>
            <w:r w:rsidRPr="0033310C">
              <w:t>2660.24</w:t>
            </w:r>
          </w:p>
        </w:tc>
        <w:tc>
          <w:tcPr>
            <w:tcW w:w="0" w:type="auto"/>
            <w:hideMark/>
          </w:tcPr>
          <w:p w14:paraId="61DA3AFB" w14:textId="77777777" w:rsidR="0033310C" w:rsidRPr="0033310C" w:rsidRDefault="0033310C" w:rsidP="00C35B99">
            <w:pPr>
              <w:pStyle w:val="NoSpacing"/>
            </w:pPr>
          </w:p>
        </w:tc>
        <w:tc>
          <w:tcPr>
            <w:tcW w:w="0" w:type="auto"/>
            <w:hideMark/>
          </w:tcPr>
          <w:p w14:paraId="0C15ACEB" w14:textId="77777777" w:rsidR="0033310C" w:rsidRPr="0033310C" w:rsidRDefault="0033310C" w:rsidP="00C35B99">
            <w:pPr>
              <w:pStyle w:val="NoSpacing"/>
            </w:pPr>
            <w:r w:rsidRPr="0033310C">
              <w:t>–</w:t>
            </w:r>
          </w:p>
        </w:tc>
        <w:tc>
          <w:tcPr>
            <w:tcW w:w="0" w:type="auto"/>
            <w:hideMark/>
          </w:tcPr>
          <w:p w14:paraId="36975EE8" w14:textId="77777777" w:rsidR="0033310C" w:rsidRPr="0033310C" w:rsidRDefault="0033310C" w:rsidP="00C35B99">
            <w:pPr>
              <w:pStyle w:val="NoSpacing"/>
            </w:pPr>
          </w:p>
        </w:tc>
        <w:tc>
          <w:tcPr>
            <w:tcW w:w="0" w:type="auto"/>
            <w:hideMark/>
          </w:tcPr>
          <w:p w14:paraId="6820B236" w14:textId="77777777" w:rsidR="0033310C" w:rsidRPr="0033310C" w:rsidRDefault="0033310C" w:rsidP="00C35B99">
            <w:pPr>
              <w:pStyle w:val="NoSpacing"/>
            </w:pPr>
            <w:r w:rsidRPr="0033310C">
              <w:t>–</w:t>
            </w:r>
          </w:p>
        </w:tc>
        <w:tc>
          <w:tcPr>
            <w:tcW w:w="0" w:type="auto"/>
            <w:hideMark/>
          </w:tcPr>
          <w:p w14:paraId="4961A9D8" w14:textId="77777777" w:rsidR="0033310C" w:rsidRPr="0033310C" w:rsidRDefault="0033310C" w:rsidP="00C35B99">
            <w:pPr>
              <w:pStyle w:val="NoSpacing"/>
            </w:pPr>
          </w:p>
        </w:tc>
      </w:tr>
      <w:tr w:rsidR="0033310C" w:rsidRPr="0033310C" w14:paraId="2EB51016" w14:textId="77777777" w:rsidTr="00623C32">
        <w:tc>
          <w:tcPr>
            <w:tcW w:w="0" w:type="auto"/>
            <w:hideMark/>
          </w:tcPr>
          <w:p w14:paraId="7D5767BE" w14:textId="77777777" w:rsidR="0033310C" w:rsidRPr="0033310C" w:rsidRDefault="0033310C" w:rsidP="00C35B99">
            <w:pPr>
              <w:pStyle w:val="NoSpacing"/>
            </w:pPr>
            <w:r w:rsidRPr="0033310C">
              <w:t>Schwarz criterion</w:t>
            </w:r>
          </w:p>
        </w:tc>
        <w:tc>
          <w:tcPr>
            <w:tcW w:w="0" w:type="auto"/>
            <w:hideMark/>
          </w:tcPr>
          <w:p w14:paraId="1D33D3D2" w14:textId="77777777" w:rsidR="0033310C" w:rsidRPr="0033310C" w:rsidRDefault="0033310C" w:rsidP="00C35B99">
            <w:pPr>
              <w:pStyle w:val="NoSpacing"/>
            </w:pPr>
            <w:r w:rsidRPr="0033310C">
              <w:t>2695.02</w:t>
            </w:r>
          </w:p>
        </w:tc>
        <w:tc>
          <w:tcPr>
            <w:tcW w:w="0" w:type="auto"/>
            <w:hideMark/>
          </w:tcPr>
          <w:p w14:paraId="6851D310" w14:textId="77777777" w:rsidR="0033310C" w:rsidRPr="0033310C" w:rsidRDefault="0033310C" w:rsidP="00C35B99">
            <w:pPr>
              <w:pStyle w:val="NoSpacing"/>
            </w:pPr>
          </w:p>
        </w:tc>
        <w:tc>
          <w:tcPr>
            <w:tcW w:w="0" w:type="auto"/>
            <w:hideMark/>
          </w:tcPr>
          <w:p w14:paraId="261AFA5C" w14:textId="77777777" w:rsidR="0033310C" w:rsidRPr="0033310C" w:rsidRDefault="0033310C" w:rsidP="00C35B99">
            <w:pPr>
              <w:pStyle w:val="NoSpacing"/>
            </w:pPr>
            <w:r w:rsidRPr="0033310C">
              <w:t>–</w:t>
            </w:r>
          </w:p>
        </w:tc>
        <w:tc>
          <w:tcPr>
            <w:tcW w:w="0" w:type="auto"/>
            <w:hideMark/>
          </w:tcPr>
          <w:p w14:paraId="74036453" w14:textId="77777777" w:rsidR="0033310C" w:rsidRPr="0033310C" w:rsidRDefault="0033310C" w:rsidP="00C35B99">
            <w:pPr>
              <w:pStyle w:val="NoSpacing"/>
            </w:pPr>
          </w:p>
        </w:tc>
        <w:tc>
          <w:tcPr>
            <w:tcW w:w="0" w:type="auto"/>
            <w:hideMark/>
          </w:tcPr>
          <w:p w14:paraId="412CBA3D" w14:textId="77777777" w:rsidR="0033310C" w:rsidRPr="0033310C" w:rsidRDefault="0033310C" w:rsidP="00C35B99">
            <w:pPr>
              <w:pStyle w:val="NoSpacing"/>
            </w:pPr>
            <w:r w:rsidRPr="0033310C">
              <w:t>–</w:t>
            </w:r>
          </w:p>
        </w:tc>
        <w:tc>
          <w:tcPr>
            <w:tcW w:w="0" w:type="auto"/>
            <w:hideMark/>
          </w:tcPr>
          <w:p w14:paraId="6BF19A30" w14:textId="77777777" w:rsidR="0033310C" w:rsidRPr="0033310C" w:rsidRDefault="0033310C" w:rsidP="00C35B99">
            <w:pPr>
              <w:pStyle w:val="NoSpacing"/>
            </w:pPr>
          </w:p>
        </w:tc>
      </w:tr>
      <w:tr w:rsidR="0033310C" w:rsidRPr="0033310C" w14:paraId="344224FE" w14:textId="77777777" w:rsidTr="00623C32">
        <w:tc>
          <w:tcPr>
            <w:tcW w:w="0" w:type="auto"/>
            <w:hideMark/>
          </w:tcPr>
          <w:p w14:paraId="7336DE27" w14:textId="77777777" w:rsidR="0033310C" w:rsidRPr="0033310C" w:rsidRDefault="0033310C" w:rsidP="00C35B99">
            <w:pPr>
              <w:pStyle w:val="NoSpacing"/>
            </w:pPr>
            <w:r w:rsidRPr="0033310C">
              <w:t>Breusch–Pagan Test</w:t>
            </w:r>
          </w:p>
        </w:tc>
        <w:tc>
          <w:tcPr>
            <w:tcW w:w="0" w:type="auto"/>
            <w:hideMark/>
          </w:tcPr>
          <w:p w14:paraId="1AF566EC" w14:textId="031BE454" w:rsidR="0033310C" w:rsidRPr="0033310C" w:rsidRDefault="0033310C" w:rsidP="00C35B99">
            <w:pPr>
              <w:pStyle w:val="NoSpacing"/>
            </w:pPr>
            <w:r w:rsidRPr="0033310C">
              <w:t>41.88</w:t>
            </w:r>
            <w:r w:rsidRPr="0033310C">
              <w:rPr>
                <w:rFonts w:ascii="Tahoma" w:hAnsi="Tahoma" w:cs="Tahoma"/>
                <w:vertAlign w:val="superscript"/>
              </w:rPr>
              <w:t>⁎⁎</w:t>
            </w:r>
          </w:p>
        </w:tc>
        <w:tc>
          <w:tcPr>
            <w:tcW w:w="0" w:type="auto"/>
            <w:hideMark/>
          </w:tcPr>
          <w:p w14:paraId="537A1CD0" w14:textId="77777777" w:rsidR="0033310C" w:rsidRPr="0033310C" w:rsidRDefault="0033310C" w:rsidP="00C35B99">
            <w:pPr>
              <w:pStyle w:val="NoSpacing"/>
            </w:pPr>
          </w:p>
        </w:tc>
        <w:tc>
          <w:tcPr>
            <w:tcW w:w="0" w:type="auto"/>
            <w:hideMark/>
          </w:tcPr>
          <w:p w14:paraId="0EB0306E" w14:textId="77777777" w:rsidR="0033310C" w:rsidRPr="0033310C" w:rsidRDefault="0033310C" w:rsidP="00C35B99">
            <w:pPr>
              <w:pStyle w:val="NoSpacing"/>
            </w:pPr>
            <w:r w:rsidRPr="0033310C">
              <w:t>–</w:t>
            </w:r>
          </w:p>
        </w:tc>
        <w:tc>
          <w:tcPr>
            <w:tcW w:w="0" w:type="auto"/>
            <w:hideMark/>
          </w:tcPr>
          <w:p w14:paraId="183EAFC6" w14:textId="77777777" w:rsidR="0033310C" w:rsidRPr="0033310C" w:rsidRDefault="0033310C" w:rsidP="00C35B99">
            <w:pPr>
              <w:pStyle w:val="NoSpacing"/>
            </w:pPr>
          </w:p>
        </w:tc>
        <w:tc>
          <w:tcPr>
            <w:tcW w:w="0" w:type="auto"/>
            <w:hideMark/>
          </w:tcPr>
          <w:p w14:paraId="37EA012B" w14:textId="77777777" w:rsidR="0033310C" w:rsidRPr="0033310C" w:rsidRDefault="0033310C" w:rsidP="00C35B99">
            <w:pPr>
              <w:pStyle w:val="NoSpacing"/>
            </w:pPr>
            <w:r w:rsidRPr="0033310C">
              <w:t>–</w:t>
            </w:r>
          </w:p>
        </w:tc>
        <w:tc>
          <w:tcPr>
            <w:tcW w:w="0" w:type="auto"/>
            <w:hideMark/>
          </w:tcPr>
          <w:p w14:paraId="273B97FA" w14:textId="77777777" w:rsidR="0033310C" w:rsidRPr="0033310C" w:rsidRDefault="0033310C" w:rsidP="00C35B99">
            <w:pPr>
              <w:pStyle w:val="NoSpacing"/>
            </w:pPr>
          </w:p>
        </w:tc>
      </w:tr>
      <w:bookmarkEnd w:id="76"/>
      <w:tr w:rsidR="0033310C" w:rsidRPr="0033310C" w14:paraId="4CF3EDB4" w14:textId="77777777" w:rsidTr="00623C32">
        <w:tc>
          <w:tcPr>
            <w:tcW w:w="0" w:type="auto"/>
            <w:hideMark/>
          </w:tcPr>
          <w:p w14:paraId="6891EF93" w14:textId="77777777" w:rsidR="0033310C" w:rsidRPr="0033310C" w:rsidRDefault="0033310C" w:rsidP="00C35B99">
            <w:pPr>
              <w:pStyle w:val="NoSpacing"/>
            </w:pPr>
            <w:proofErr w:type="spellStart"/>
            <w:r w:rsidRPr="0033310C">
              <w:t>Anselin-Kelejian</w:t>
            </w:r>
            <w:proofErr w:type="spellEnd"/>
            <w:r w:rsidRPr="0033310C">
              <w:t xml:space="preserve"> Test</w:t>
            </w:r>
          </w:p>
        </w:tc>
        <w:tc>
          <w:tcPr>
            <w:tcW w:w="0" w:type="auto"/>
            <w:hideMark/>
          </w:tcPr>
          <w:p w14:paraId="41A0C94C" w14:textId="77777777" w:rsidR="0033310C" w:rsidRPr="0033310C" w:rsidRDefault="0033310C" w:rsidP="00C35B99">
            <w:pPr>
              <w:pStyle w:val="NoSpacing"/>
            </w:pPr>
            <w:r w:rsidRPr="0033310C">
              <w:t>–</w:t>
            </w:r>
          </w:p>
        </w:tc>
        <w:tc>
          <w:tcPr>
            <w:tcW w:w="0" w:type="auto"/>
            <w:hideMark/>
          </w:tcPr>
          <w:p w14:paraId="50573BDB" w14:textId="77777777" w:rsidR="0033310C" w:rsidRPr="0033310C" w:rsidRDefault="0033310C" w:rsidP="00C35B99">
            <w:pPr>
              <w:pStyle w:val="NoSpacing"/>
            </w:pPr>
          </w:p>
        </w:tc>
        <w:tc>
          <w:tcPr>
            <w:tcW w:w="0" w:type="auto"/>
            <w:hideMark/>
          </w:tcPr>
          <w:p w14:paraId="3DA012D5" w14:textId="77777777" w:rsidR="0033310C" w:rsidRPr="0033310C" w:rsidRDefault="0033310C" w:rsidP="00C35B99">
            <w:pPr>
              <w:pStyle w:val="NoSpacing"/>
            </w:pPr>
            <w:r w:rsidRPr="0033310C">
              <w:t>0.02</w:t>
            </w:r>
          </w:p>
        </w:tc>
        <w:tc>
          <w:tcPr>
            <w:tcW w:w="0" w:type="auto"/>
            <w:hideMark/>
          </w:tcPr>
          <w:p w14:paraId="40FF39CA" w14:textId="77777777" w:rsidR="0033310C" w:rsidRPr="0033310C" w:rsidRDefault="0033310C" w:rsidP="00C35B99">
            <w:pPr>
              <w:pStyle w:val="NoSpacing"/>
            </w:pPr>
          </w:p>
        </w:tc>
        <w:tc>
          <w:tcPr>
            <w:tcW w:w="0" w:type="auto"/>
            <w:hideMark/>
          </w:tcPr>
          <w:p w14:paraId="1A58CE01" w14:textId="77777777" w:rsidR="0033310C" w:rsidRPr="0033310C" w:rsidRDefault="0033310C" w:rsidP="00C35B99">
            <w:pPr>
              <w:pStyle w:val="NoSpacing"/>
            </w:pPr>
            <w:r w:rsidRPr="0033310C">
              <w:t>1.85</w:t>
            </w:r>
          </w:p>
        </w:tc>
        <w:tc>
          <w:tcPr>
            <w:tcW w:w="0" w:type="auto"/>
            <w:hideMark/>
          </w:tcPr>
          <w:p w14:paraId="5BE3CB1D" w14:textId="77777777" w:rsidR="0033310C" w:rsidRPr="0033310C" w:rsidRDefault="0033310C" w:rsidP="00C35B99">
            <w:pPr>
              <w:pStyle w:val="NoSpacing"/>
            </w:pPr>
          </w:p>
        </w:tc>
      </w:tr>
      <w:tr w:rsidR="0033310C" w:rsidRPr="0033310C" w14:paraId="07B695B6" w14:textId="77777777" w:rsidTr="00623C32">
        <w:tc>
          <w:tcPr>
            <w:tcW w:w="0" w:type="auto"/>
            <w:hideMark/>
          </w:tcPr>
          <w:p w14:paraId="44F2E7E2" w14:textId="77777777" w:rsidR="0033310C" w:rsidRPr="0033310C" w:rsidRDefault="0033310C" w:rsidP="00C35B99">
            <w:pPr>
              <w:pStyle w:val="NoSpacing"/>
            </w:pPr>
            <w:r w:rsidRPr="0033310C">
              <w:t>Global Chow Test</w:t>
            </w:r>
          </w:p>
        </w:tc>
        <w:tc>
          <w:tcPr>
            <w:tcW w:w="0" w:type="auto"/>
            <w:hideMark/>
          </w:tcPr>
          <w:p w14:paraId="35B6AC9B" w14:textId="77777777" w:rsidR="0033310C" w:rsidRPr="0033310C" w:rsidRDefault="0033310C" w:rsidP="00C35B99">
            <w:pPr>
              <w:pStyle w:val="NoSpacing"/>
            </w:pPr>
            <w:r w:rsidRPr="0033310C">
              <w:t>–</w:t>
            </w:r>
          </w:p>
        </w:tc>
        <w:tc>
          <w:tcPr>
            <w:tcW w:w="0" w:type="auto"/>
            <w:hideMark/>
          </w:tcPr>
          <w:p w14:paraId="3C08988A" w14:textId="77777777" w:rsidR="0033310C" w:rsidRPr="0033310C" w:rsidRDefault="0033310C" w:rsidP="00C35B99">
            <w:pPr>
              <w:pStyle w:val="NoSpacing"/>
            </w:pPr>
          </w:p>
        </w:tc>
        <w:tc>
          <w:tcPr>
            <w:tcW w:w="0" w:type="auto"/>
            <w:hideMark/>
          </w:tcPr>
          <w:p w14:paraId="30D0C4FE" w14:textId="77777777" w:rsidR="0033310C" w:rsidRPr="0033310C" w:rsidRDefault="0033310C" w:rsidP="00C35B99">
            <w:pPr>
              <w:pStyle w:val="NoSpacing"/>
            </w:pPr>
            <w:r w:rsidRPr="0033310C">
              <w:t>–</w:t>
            </w:r>
          </w:p>
        </w:tc>
        <w:tc>
          <w:tcPr>
            <w:tcW w:w="0" w:type="auto"/>
            <w:hideMark/>
          </w:tcPr>
          <w:p w14:paraId="54221C77" w14:textId="77777777" w:rsidR="0033310C" w:rsidRPr="0033310C" w:rsidRDefault="0033310C" w:rsidP="00C35B99">
            <w:pPr>
              <w:pStyle w:val="NoSpacing"/>
            </w:pPr>
          </w:p>
        </w:tc>
        <w:tc>
          <w:tcPr>
            <w:tcW w:w="0" w:type="auto"/>
            <w:hideMark/>
          </w:tcPr>
          <w:p w14:paraId="3BAAD30E" w14:textId="77777777" w:rsidR="0033310C" w:rsidRPr="0033310C" w:rsidRDefault="0033310C" w:rsidP="00C35B99">
            <w:pPr>
              <w:pStyle w:val="NoSpacing"/>
            </w:pPr>
            <w:r w:rsidRPr="0033310C">
              <w:t>9.24</w:t>
            </w:r>
          </w:p>
        </w:tc>
        <w:tc>
          <w:tcPr>
            <w:tcW w:w="0" w:type="auto"/>
            <w:hideMark/>
          </w:tcPr>
          <w:p w14:paraId="236F810D" w14:textId="77777777" w:rsidR="0033310C" w:rsidRPr="0033310C" w:rsidRDefault="0033310C" w:rsidP="00C35B99">
            <w:pPr>
              <w:pStyle w:val="NoSpacing"/>
            </w:pPr>
          </w:p>
        </w:tc>
      </w:tr>
    </w:tbl>
    <w:p w14:paraId="029A0D43" w14:textId="77777777" w:rsidR="0033310C" w:rsidRPr="0033310C" w:rsidRDefault="0033310C" w:rsidP="00623C32">
      <w:pPr>
        <w:pStyle w:val="NoSpacing"/>
      </w:pPr>
      <w:r w:rsidRPr="0033310C">
        <w:rPr>
          <w:rFonts w:ascii="Cambria Math" w:hAnsi="Cambria Math" w:cs="Cambria Math"/>
          <w:vertAlign w:val="superscript"/>
        </w:rPr>
        <w:t>∗</w:t>
      </w:r>
      <w:r w:rsidRPr="0033310C">
        <w:t> </w:t>
      </w:r>
      <w:r w:rsidRPr="0033310C">
        <w:rPr>
          <w:i/>
          <w:iCs/>
        </w:rPr>
        <w:t>p</w:t>
      </w:r>
      <w:r w:rsidRPr="0033310C">
        <w:t> &lt; .05.</w:t>
      </w:r>
    </w:p>
    <w:p w14:paraId="48E805AF" w14:textId="0B1D4C4E" w:rsidR="0033310C" w:rsidRPr="0033310C" w:rsidRDefault="0033310C" w:rsidP="00623C32">
      <w:pPr>
        <w:pStyle w:val="NoSpacing"/>
      </w:pPr>
      <w:r w:rsidRPr="0033310C">
        <w:rPr>
          <w:rFonts w:ascii="Tahoma" w:hAnsi="Tahoma" w:cs="Tahoma"/>
        </w:rPr>
        <w:t>⁎⁎</w:t>
      </w:r>
      <w:r w:rsidR="00C35B99">
        <w:rPr>
          <w:rFonts w:ascii="Tahoma" w:hAnsi="Tahoma" w:cs="Tahoma"/>
        </w:rPr>
        <w:t xml:space="preserve"> </w:t>
      </w:r>
      <w:r w:rsidRPr="0033310C">
        <w:rPr>
          <w:i/>
          <w:iCs/>
        </w:rPr>
        <w:t>p</w:t>
      </w:r>
      <w:r w:rsidRPr="0033310C">
        <w:t> &lt; .01.</w:t>
      </w:r>
    </w:p>
    <w:p w14:paraId="188C6618" w14:textId="77777777" w:rsidR="00623C32" w:rsidRDefault="00623C32" w:rsidP="0033310C"/>
    <w:p w14:paraId="0773E569" w14:textId="3F2F66ED" w:rsidR="0033310C" w:rsidRPr="0033310C" w:rsidRDefault="0033310C" w:rsidP="00623C32">
      <w:pPr>
        <w:spacing w:after="0"/>
      </w:pPr>
      <w:r w:rsidRPr="0033310C">
        <w:t>Table 8. Robberies density regressed on off-</w:t>
      </w:r>
      <w:proofErr w:type="gramStart"/>
      <w:r w:rsidRPr="0033310C">
        <w:t>premise</w:t>
      </w:r>
      <w:proofErr w:type="gramEnd"/>
      <w:r w:rsidRPr="0033310C">
        <w:t xml:space="preserve"> alcohol outlet density, social disorganization, and control variables for Milwaukee block groups.</w:t>
      </w:r>
    </w:p>
    <w:tbl>
      <w:tblPr>
        <w:tblStyle w:val="TableGrid"/>
        <w:tblW w:w="0" w:type="auto"/>
        <w:tblLook w:val="04A0" w:firstRow="1" w:lastRow="0" w:firstColumn="1" w:lastColumn="0" w:noHBand="0" w:noVBand="1"/>
      </w:tblPr>
      <w:tblGrid>
        <w:gridCol w:w="3952"/>
        <w:gridCol w:w="2553"/>
        <w:gridCol w:w="607"/>
        <w:gridCol w:w="1881"/>
        <w:gridCol w:w="607"/>
        <w:gridCol w:w="1883"/>
        <w:gridCol w:w="607"/>
      </w:tblGrid>
      <w:tr w:rsidR="00623C32" w:rsidRPr="0033310C" w14:paraId="0CC0B390" w14:textId="77777777" w:rsidTr="00623C32">
        <w:tc>
          <w:tcPr>
            <w:tcW w:w="0" w:type="auto"/>
            <w:hideMark/>
          </w:tcPr>
          <w:p w14:paraId="0434AAD1" w14:textId="77777777" w:rsidR="00623C32" w:rsidRPr="0033310C" w:rsidRDefault="00623C32" w:rsidP="00623C32">
            <w:pPr>
              <w:pStyle w:val="NoSpacing"/>
            </w:pPr>
            <w:r w:rsidRPr="0033310C">
              <w:t>Empty Cell</w:t>
            </w:r>
          </w:p>
        </w:tc>
        <w:tc>
          <w:tcPr>
            <w:tcW w:w="0" w:type="auto"/>
            <w:hideMark/>
          </w:tcPr>
          <w:p w14:paraId="7C9A06A2" w14:textId="3B2570D1" w:rsidR="00623C32" w:rsidRPr="0033310C" w:rsidRDefault="00623C32" w:rsidP="00623C32">
            <w:pPr>
              <w:pStyle w:val="NoSpacing"/>
              <w:rPr>
                <w:b/>
                <w:bCs/>
              </w:rPr>
            </w:pPr>
            <w:r w:rsidRPr="0033310C">
              <w:t>Model 16</w:t>
            </w:r>
            <w:r w:rsidRPr="0033310C">
              <w:br/>
              <w:t>Spatial lag</w:t>
            </w:r>
            <w:r w:rsidRPr="0033310C">
              <w:br/>
              <w:t xml:space="preserve">Global model </w:t>
            </w:r>
            <m:oMath>
              <m:r>
                <w:rPr>
                  <w:rFonts w:ascii="Cambria Math" w:hAnsi="Cambria Math"/>
                </w:rPr>
                <m:t>(</m:t>
              </m:r>
              <m:r>
                <w:rPr>
                  <w:rFonts w:ascii="Cambria Math" w:hAnsi="Cambria Math"/>
                </w:rPr>
                <m:t>N</m:t>
              </m:r>
              <m:r>
                <w:rPr>
                  <w:rFonts w:ascii="Cambria Math" w:hAnsi="Cambria Math"/>
                </w:rPr>
                <m:t> = 571)</m:t>
              </m:r>
            </m:oMath>
          </w:p>
        </w:tc>
        <w:tc>
          <w:tcPr>
            <w:tcW w:w="0" w:type="auto"/>
          </w:tcPr>
          <w:p w14:paraId="7389B3D8" w14:textId="7497BF7D" w:rsidR="00623C32" w:rsidRPr="0033310C" w:rsidRDefault="00623C32" w:rsidP="00623C32">
            <w:pPr>
              <w:pStyle w:val="NoSpacing"/>
            </w:pPr>
          </w:p>
        </w:tc>
        <w:tc>
          <w:tcPr>
            <w:tcW w:w="0" w:type="auto"/>
            <w:hideMark/>
          </w:tcPr>
          <w:p w14:paraId="4E66AAEF" w14:textId="4D07DC30" w:rsidR="00623C32" w:rsidRPr="0033310C" w:rsidRDefault="00623C32" w:rsidP="00623C32">
            <w:pPr>
              <w:pStyle w:val="NoSpacing"/>
              <w:rPr>
                <w:b/>
                <w:bCs/>
              </w:rPr>
            </w:pPr>
            <w:r w:rsidRPr="0033310C">
              <w:t>Model 17</w:t>
            </w:r>
            <w:r w:rsidRPr="0033310C">
              <w:br/>
              <w:t>S2SLS</w:t>
            </w:r>
            <w:r w:rsidRPr="0033310C">
              <w:br/>
              <w:t xml:space="preserve">South </w:t>
            </w:r>
            <m:oMath>
              <m:r>
                <w:rPr>
                  <w:rFonts w:ascii="Cambria Math" w:hAnsi="Cambria Math"/>
                </w:rPr>
                <m:t>(</m:t>
              </m:r>
              <m:r>
                <w:rPr>
                  <w:rFonts w:ascii="Cambria Math" w:hAnsi="Cambria Math"/>
                </w:rPr>
                <m:t>N</m:t>
              </m:r>
              <m:r>
                <w:rPr>
                  <w:rFonts w:ascii="Cambria Math" w:hAnsi="Cambria Math"/>
                </w:rPr>
                <m:t> = 119)</m:t>
              </m:r>
            </m:oMath>
          </w:p>
        </w:tc>
        <w:tc>
          <w:tcPr>
            <w:tcW w:w="0" w:type="auto"/>
          </w:tcPr>
          <w:p w14:paraId="04C54DD9" w14:textId="0569FEF5" w:rsidR="00623C32" w:rsidRPr="0033310C" w:rsidRDefault="00623C32" w:rsidP="00623C32">
            <w:pPr>
              <w:pStyle w:val="NoSpacing"/>
            </w:pPr>
          </w:p>
        </w:tc>
        <w:tc>
          <w:tcPr>
            <w:tcW w:w="0" w:type="auto"/>
            <w:hideMark/>
          </w:tcPr>
          <w:p w14:paraId="16701CBE" w14:textId="3A77ED96" w:rsidR="00623C32" w:rsidRPr="0033310C" w:rsidRDefault="00623C32" w:rsidP="00623C32">
            <w:pPr>
              <w:pStyle w:val="NoSpacing"/>
              <w:rPr>
                <w:b/>
                <w:bCs/>
              </w:rPr>
            </w:pPr>
            <w:r w:rsidRPr="0033310C">
              <w:t>Model 18</w:t>
            </w:r>
            <w:r w:rsidRPr="0033310C">
              <w:br/>
              <w:t>S2SLS</w:t>
            </w:r>
            <w:r w:rsidRPr="0033310C">
              <w:br/>
              <w:t xml:space="preserve">North </w:t>
            </w:r>
            <m:oMath>
              <m:r>
                <w:rPr>
                  <w:rFonts w:ascii="Cambria Math" w:hAnsi="Cambria Math"/>
                </w:rPr>
                <m:t>(</m:t>
              </m:r>
              <m:r>
                <w:rPr>
                  <w:rFonts w:ascii="Cambria Math" w:hAnsi="Cambria Math"/>
                </w:rPr>
                <m:t>N</m:t>
              </m:r>
              <m:r>
                <w:rPr>
                  <w:rFonts w:ascii="Cambria Math" w:hAnsi="Cambria Math"/>
                </w:rPr>
                <m:t> = 452)</m:t>
              </m:r>
            </m:oMath>
          </w:p>
        </w:tc>
        <w:tc>
          <w:tcPr>
            <w:tcW w:w="0" w:type="auto"/>
          </w:tcPr>
          <w:p w14:paraId="2048325C" w14:textId="36CAA030" w:rsidR="00623C32" w:rsidRPr="0033310C" w:rsidRDefault="00623C32" w:rsidP="00623C32">
            <w:pPr>
              <w:pStyle w:val="NoSpacing"/>
            </w:pPr>
          </w:p>
        </w:tc>
      </w:tr>
      <w:tr w:rsidR="0033310C" w:rsidRPr="0033310C" w14:paraId="754F7EE7" w14:textId="77777777" w:rsidTr="00623C32">
        <w:tc>
          <w:tcPr>
            <w:tcW w:w="0" w:type="auto"/>
            <w:hideMark/>
          </w:tcPr>
          <w:p w14:paraId="57B5615F" w14:textId="77777777" w:rsidR="0033310C" w:rsidRPr="0033310C" w:rsidRDefault="0033310C" w:rsidP="00623C32">
            <w:pPr>
              <w:pStyle w:val="NoSpacing"/>
            </w:pPr>
          </w:p>
        </w:tc>
        <w:tc>
          <w:tcPr>
            <w:tcW w:w="0" w:type="auto"/>
            <w:hideMark/>
          </w:tcPr>
          <w:p w14:paraId="64654CFB" w14:textId="77777777" w:rsidR="0033310C" w:rsidRPr="0033310C" w:rsidRDefault="0033310C" w:rsidP="00623C32">
            <w:pPr>
              <w:pStyle w:val="NoSpacing"/>
              <w:rPr>
                <w:b/>
                <w:bCs/>
              </w:rPr>
            </w:pPr>
            <w:r w:rsidRPr="0033310C">
              <w:rPr>
                <w:b/>
                <w:bCs/>
                <w:i/>
                <w:iCs/>
              </w:rPr>
              <w:t>B</w:t>
            </w:r>
          </w:p>
        </w:tc>
        <w:tc>
          <w:tcPr>
            <w:tcW w:w="0" w:type="auto"/>
            <w:hideMark/>
          </w:tcPr>
          <w:p w14:paraId="1D47205D" w14:textId="77777777" w:rsidR="0033310C" w:rsidRPr="0033310C" w:rsidRDefault="0033310C" w:rsidP="00623C32">
            <w:pPr>
              <w:pStyle w:val="NoSpacing"/>
              <w:rPr>
                <w:b/>
                <w:bCs/>
              </w:rPr>
            </w:pPr>
            <w:r w:rsidRPr="0033310C">
              <w:rPr>
                <w:b/>
                <w:bCs/>
              </w:rPr>
              <w:t>SE</w:t>
            </w:r>
          </w:p>
        </w:tc>
        <w:tc>
          <w:tcPr>
            <w:tcW w:w="0" w:type="auto"/>
            <w:hideMark/>
          </w:tcPr>
          <w:p w14:paraId="4CB147D5" w14:textId="77777777" w:rsidR="0033310C" w:rsidRPr="0033310C" w:rsidRDefault="0033310C" w:rsidP="00623C32">
            <w:pPr>
              <w:pStyle w:val="NoSpacing"/>
              <w:rPr>
                <w:b/>
                <w:bCs/>
              </w:rPr>
            </w:pPr>
            <w:r w:rsidRPr="0033310C">
              <w:rPr>
                <w:b/>
                <w:bCs/>
                <w:i/>
                <w:iCs/>
              </w:rPr>
              <w:t>B</w:t>
            </w:r>
          </w:p>
        </w:tc>
        <w:tc>
          <w:tcPr>
            <w:tcW w:w="0" w:type="auto"/>
            <w:hideMark/>
          </w:tcPr>
          <w:p w14:paraId="481D8B1F" w14:textId="77777777" w:rsidR="0033310C" w:rsidRPr="0033310C" w:rsidRDefault="0033310C" w:rsidP="00623C32">
            <w:pPr>
              <w:pStyle w:val="NoSpacing"/>
              <w:rPr>
                <w:b/>
                <w:bCs/>
              </w:rPr>
            </w:pPr>
            <w:r w:rsidRPr="0033310C">
              <w:rPr>
                <w:b/>
                <w:bCs/>
              </w:rPr>
              <w:t>SE</w:t>
            </w:r>
          </w:p>
        </w:tc>
        <w:tc>
          <w:tcPr>
            <w:tcW w:w="0" w:type="auto"/>
            <w:hideMark/>
          </w:tcPr>
          <w:p w14:paraId="306F0ED0" w14:textId="77777777" w:rsidR="0033310C" w:rsidRPr="0033310C" w:rsidRDefault="0033310C" w:rsidP="00623C32">
            <w:pPr>
              <w:pStyle w:val="NoSpacing"/>
              <w:rPr>
                <w:b/>
                <w:bCs/>
              </w:rPr>
            </w:pPr>
            <w:r w:rsidRPr="0033310C">
              <w:rPr>
                <w:b/>
                <w:bCs/>
                <w:i/>
                <w:iCs/>
              </w:rPr>
              <w:t>B</w:t>
            </w:r>
          </w:p>
        </w:tc>
        <w:tc>
          <w:tcPr>
            <w:tcW w:w="0" w:type="auto"/>
            <w:hideMark/>
          </w:tcPr>
          <w:p w14:paraId="2F980047" w14:textId="77777777" w:rsidR="0033310C" w:rsidRPr="0033310C" w:rsidRDefault="0033310C" w:rsidP="00623C32">
            <w:pPr>
              <w:pStyle w:val="NoSpacing"/>
              <w:rPr>
                <w:b/>
                <w:bCs/>
              </w:rPr>
            </w:pPr>
            <w:r w:rsidRPr="0033310C">
              <w:rPr>
                <w:b/>
                <w:bCs/>
              </w:rPr>
              <w:t>SE</w:t>
            </w:r>
          </w:p>
        </w:tc>
      </w:tr>
      <w:tr w:rsidR="0033310C" w:rsidRPr="0033310C" w14:paraId="2B9B7A07" w14:textId="77777777" w:rsidTr="00623C32">
        <w:tc>
          <w:tcPr>
            <w:tcW w:w="0" w:type="auto"/>
            <w:hideMark/>
          </w:tcPr>
          <w:p w14:paraId="05C45F54" w14:textId="77777777" w:rsidR="0033310C" w:rsidRPr="0033310C" w:rsidRDefault="0033310C" w:rsidP="00623C32">
            <w:pPr>
              <w:pStyle w:val="NoSpacing"/>
            </w:pPr>
            <w:bookmarkStart w:id="77" w:name="btblfn12" w:colFirst="1" w:colLast="5"/>
            <w:r w:rsidRPr="0033310C">
              <w:t>Constant</w:t>
            </w:r>
          </w:p>
        </w:tc>
        <w:tc>
          <w:tcPr>
            <w:tcW w:w="0" w:type="auto"/>
            <w:hideMark/>
          </w:tcPr>
          <w:p w14:paraId="5989D349" w14:textId="581570E8" w:rsidR="0033310C" w:rsidRPr="0033310C" w:rsidRDefault="0033310C" w:rsidP="00623C32">
            <w:pPr>
              <w:pStyle w:val="NoSpacing"/>
            </w:pPr>
            <w:r w:rsidRPr="0033310C">
              <w:t>1.57</w:t>
            </w:r>
            <w:r w:rsidRPr="0033310C">
              <w:rPr>
                <w:rFonts w:ascii="Tahoma" w:hAnsi="Tahoma" w:cs="Tahoma"/>
                <w:vertAlign w:val="superscript"/>
              </w:rPr>
              <w:t>⁎⁎</w:t>
            </w:r>
          </w:p>
        </w:tc>
        <w:tc>
          <w:tcPr>
            <w:tcW w:w="0" w:type="auto"/>
            <w:hideMark/>
          </w:tcPr>
          <w:p w14:paraId="177B7316" w14:textId="77777777" w:rsidR="0033310C" w:rsidRPr="0033310C" w:rsidRDefault="0033310C" w:rsidP="00623C32">
            <w:pPr>
              <w:pStyle w:val="NoSpacing"/>
            </w:pPr>
            <w:r w:rsidRPr="0033310C">
              <w:t>0.47</w:t>
            </w:r>
          </w:p>
        </w:tc>
        <w:tc>
          <w:tcPr>
            <w:tcW w:w="0" w:type="auto"/>
            <w:hideMark/>
          </w:tcPr>
          <w:p w14:paraId="75FAC51E" w14:textId="77777777" w:rsidR="0033310C" w:rsidRPr="0033310C" w:rsidRDefault="0033310C" w:rsidP="00623C32">
            <w:pPr>
              <w:pStyle w:val="NoSpacing"/>
            </w:pPr>
            <w:r w:rsidRPr="0033310C">
              <w:t>−0.95</w:t>
            </w:r>
          </w:p>
        </w:tc>
        <w:tc>
          <w:tcPr>
            <w:tcW w:w="0" w:type="auto"/>
            <w:hideMark/>
          </w:tcPr>
          <w:p w14:paraId="3068FD98" w14:textId="77777777" w:rsidR="0033310C" w:rsidRPr="0033310C" w:rsidRDefault="0033310C" w:rsidP="00623C32">
            <w:pPr>
              <w:pStyle w:val="NoSpacing"/>
            </w:pPr>
            <w:r w:rsidRPr="0033310C">
              <w:t>1.43</w:t>
            </w:r>
          </w:p>
        </w:tc>
        <w:tc>
          <w:tcPr>
            <w:tcW w:w="0" w:type="auto"/>
            <w:hideMark/>
          </w:tcPr>
          <w:p w14:paraId="46D58710" w14:textId="7E5EE61B" w:rsidR="0033310C" w:rsidRPr="0033310C" w:rsidRDefault="0033310C" w:rsidP="00623C32">
            <w:pPr>
              <w:pStyle w:val="NoSpacing"/>
            </w:pPr>
            <w:r w:rsidRPr="0033310C">
              <w:t>2.75</w:t>
            </w:r>
            <w:bookmarkStart w:id="78" w:name="btblfn11" w:colFirst="5" w:colLast="5"/>
            <w:r w:rsidRPr="0033310C">
              <w:rPr>
                <w:rFonts w:ascii="Tahoma" w:hAnsi="Tahoma" w:cs="Tahoma"/>
                <w:vertAlign w:val="superscript"/>
              </w:rPr>
              <w:t>⁎</w:t>
            </w:r>
          </w:p>
        </w:tc>
        <w:tc>
          <w:tcPr>
            <w:tcW w:w="0" w:type="auto"/>
            <w:hideMark/>
          </w:tcPr>
          <w:p w14:paraId="08AB384C" w14:textId="77777777" w:rsidR="0033310C" w:rsidRPr="0033310C" w:rsidRDefault="0033310C" w:rsidP="00623C32">
            <w:pPr>
              <w:pStyle w:val="NoSpacing"/>
            </w:pPr>
            <w:r w:rsidRPr="0033310C">
              <w:t>1.13</w:t>
            </w:r>
          </w:p>
        </w:tc>
      </w:tr>
      <w:tr w:rsidR="0033310C" w:rsidRPr="0033310C" w14:paraId="2E273FBF" w14:textId="77777777" w:rsidTr="00623C32">
        <w:tc>
          <w:tcPr>
            <w:tcW w:w="0" w:type="auto"/>
            <w:hideMark/>
          </w:tcPr>
          <w:p w14:paraId="06A51DC9" w14:textId="77777777" w:rsidR="0033310C" w:rsidRPr="0033310C" w:rsidRDefault="0033310C" w:rsidP="00623C32">
            <w:pPr>
              <w:pStyle w:val="NoSpacing"/>
            </w:pPr>
            <w:r w:rsidRPr="0033310C">
              <w:t>Population density</w:t>
            </w:r>
          </w:p>
        </w:tc>
        <w:tc>
          <w:tcPr>
            <w:tcW w:w="0" w:type="auto"/>
            <w:hideMark/>
          </w:tcPr>
          <w:p w14:paraId="07746730" w14:textId="05DC121E" w:rsidR="0033310C" w:rsidRPr="0033310C" w:rsidRDefault="0033310C" w:rsidP="00623C32">
            <w:pPr>
              <w:pStyle w:val="NoSpacing"/>
            </w:pPr>
            <w:r w:rsidRPr="0033310C">
              <w:t>0.00</w:t>
            </w:r>
            <w:r w:rsidRPr="0033310C">
              <w:rPr>
                <w:rFonts w:ascii="Tahoma" w:hAnsi="Tahoma" w:cs="Tahoma"/>
                <w:vertAlign w:val="superscript"/>
              </w:rPr>
              <w:t>⁎⁎</w:t>
            </w:r>
          </w:p>
        </w:tc>
        <w:tc>
          <w:tcPr>
            <w:tcW w:w="0" w:type="auto"/>
            <w:hideMark/>
          </w:tcPr>
          <w:p w14:paraId="17A754A3" w14:textId="77777777" w:rsidR="0033310C" w:rsidRPr="0033310C" w:rsidRDefault="0033310C" w:rsidP="00623C32">
            <w:pPr>
              <w:pStyle w:val="NoSpacing"/>
            </w:pPr>
            <w:r w:rsidRPr="0033310C">
              <w:t>0.00</w:t>
            </w:r>
          </w:p>
        </w:tc>
        <w:tc>
          <w:tcPr>
            <w:tcW w:w="0" w:type="auto"/>
            <w:hideMark/>
          </w:tcPr>
          <w:p w14:paraId="0966AD89" w14:textId="77777777" w:rsidR="0033310C" w:rsidRPr="0033310C" w:rsidRDefault="0033310C" w:rsidP="00623C32">
            <w:pPr>
              <w:pStyle w:val="NoSpacing"/>
            </w:pPr>
            <w:r w:rsidRPr="0033310C">
              <w:t>0.00</w:t>
            </w:r>
          </w:p>
        </w:tc>
        <w:tc>
          <w:tcPr>
            <w:tcW w:w="0" w:type="auto"/>
            <w:hideMark/>
          </w:tcPr>
          <w:p w14:paraId="431C1CB6" w14:textId="77777777" w:rsidR="0033310C" w:rsidRPr="0033310C" w:rsidRDefault="0033310C" w:rsidP="00623C32">
            <w:pPr>
              <w:pStyle w:val="NoSpacing"/>
            </w:pPr>
            <w:r w:rsidRPr="0033310C">
              <w:t>0.00</w:t>
            </w:r>
          </w:p>
        </w:tc>
        <w:tc>
          <w:tcPr>
            <w:tcW w:w="0" w:type="auto"/>
            <w:hideMark/>
          </w:tcPr>
          <w:p w14:paraId="288657F2" w14:textId="01BF74C6" w:rsidR="0033310C" w:rsidRPr="0033310C" w:rsidRDefault="0033310C" w:rsidP="00623C32">
            <w:pPr>
              <w:pStyle w:val="NoSpacing"/>
            </w:pPr>
            <w:r w:rsidRPr="0033310C">
              <w:t>0.00</w:t>
            </w:r>
            <w:r w:rsidRPr="0033310C">
              <w:rPr>
                <w:rFonts w:ascii="Tahoma" w:hAnsi="Tahoma" w:cs="Tahoma"/>
                <w:vertAlign w:val="superscript"/>
              </w:rPr>
              <w:t>⁎⁎</w:t>
            </w:r>
          </w:p>
        </w:tc>
        <w:tc>
          <w:tcPr>
            <w:tcW w:w="0" w:type="auto"/>
            <w:hideMark/>
          </w:tcPr>
          <w:p w14:paraId="44E8B2FC" w14:textId="77777777" w:rsidR="0033310C" w:rsidRPr="0033310C" w:rsidRDefault="0033310C" w:rsidP="00623C32">
            <w:pPr>
              <w:pStyle w:val="NoSpacing"/>
            </w:pPr>
            <w:r w:rsidRPr="0033310C">
              <w:t>0.00</w:t>
            </w:r>
          </w:p>
        </w:tc>
      </w:tr>
      <w:tr w:rsidR="0033310C" w:rsidRPr="0033310C" w14:paraId="3261A24F" w14:textId="77777777" w:rsidTr="00623C32">
        <w:tc>
          <w:tcPr>
            <w:tcW w:w="0" w:type="auto"/>
            <w:hideMark/>
          </w:tcPr>
          <w:p w14:paraId="32C53FD4" w14:textId="77777777" w:rsidR="0033310C" w:rsidRPr="0033310C" w:rsidRDefault="0033310C" w:rsidP="00623C32">
            <w:pPr>
              <w:pStyle w:val="NoSpacing"/>
            </w:pPr>
            <w:r w:rsidRPr="0033310C">
              <w:t>Proportion young</w:t>
            </w:r>
          </w:p>
        </w:tc>
        <w:tc>
          <w:tcPr>
            <w:tcW w:w="0" w:type="auto"/>
            <w:hideMark/>
          </w:tcPr>
          <w:p w14:paraId="542E7FC1" w14:textId="77777777" w:rsidR="0033310C" w:rsidRPr="0033310C" w:rsidRDefault="0033310C" w:rsidP="00623C32">
            <w:pPr>
              <w:pStyle w:val="NoSpacing"/>
            </w:pPr>
            <w:r w:rsidRPr="0033310C">
              <w:t>−0.84</w:t>
            </w:r>
          </w:p>
        </w:tc>
        <w:tc>
          <w:tcPr>
            <w:tcW w:w="0" w:type="auto"/>
            <w:hideMark/>
          </w:tcPr>
          <w:p w14:paraId="16E803DB" w14:textId="77777777" w:rsidR="0033310C" w:rsidRPr="0033310C" w:rsidRDefault="0033310C" w:rsidP="00623C32">
            <w:pPr>
              <w:pStyle w:val="NoSpacing"/>
            </w:pPr>
            <w:r w:rsidRPr="0033310C">
              <w:t>1.08</w:t>
            </w:r>
          </w:p>
        </w:tc>
        <w:tc>
          <w:tcPr>
            <w:tcW w:w="0" w:type="auto"/>
            <w:hideMark/>
          </w:tcPr>
          <w:p w14:paraId="5DE89BE2" w14:textId="77777777" w:rsidR="0033310C" w:rsidRPr="0033310C" w:rsidRDefault="0033310C" w:rsidP="00623C32">
            <w:pPr>
              <w:pStyle w:val="NoSpacing"/>
            </w:pPr>
            <w:r w:rsidRPr="0033310C">
              <w:t>6.78</w:t>
            </w:r>
          </w:p>
        </w:tc>
        <w:tc>
          <w:tcPr>
            <w:tcW w:w="0" w:type="auto"/>
            <w:hideMark/>
          </w:tcPr>
          <w:p w14:paraId="3FB11733" w14:textId="77777777" w:rsidR="0033310C" w:rsidRPr="0033310C" w:rsidRDefault="0033310C" w:rsidP="00623C32">
            <w:pPr>
              <w:pStyle w:val="NoSpacing"/>
            </w:pPr>
            <w:r w:rsidRPr="0033310C">
              <w:t>8.75</w:t>
            </w:r>
          </w:p>
        </w:tc>
        <w:tc>
          <w:tcPr>
            <w:tcW w:w="0" w:type="auto"/>
            <w:hideMark/>
          </w:tcPr>
          <w:p w14:paraId="07D3E12A" w14:textId="77777777" w:rsidR="0033310C" w:rsidRPr="0033310C" w:rsidRDefault="0033310C" w:rsidP="00623C32">
            <w:pPr>
              <w:pStyle w:val="NoSpacing"/>
            </w:pPr>
            <w:r w:rsidRPr="0033310C">
              <w:t>−2.28</w:t>
            </w:r>
          </w:p>
        </w:tc>
        <w:tc>
          <w:tcPr>
            <w:tcW w:w="0" w:type="auto"/>
            <w:hideMark/>
          </w:tcPr>
          <w:p w14:paraId="6671AF5E" w14:textId="77777777" w:rsidR="0033310C" w:rsidRPr="0033310C" w:rsidRDefault="0033310C" w:rsidP="00623C32">
            <w:pPr>
              <w:pStyle w:val="NoSpacing"/>
            </w:pPr>
            <w:r w:rsidRPr="0033310C">
              <w:t>1.34</w:t>
            </w:r>
          </w:p>
        </w:tc>
      </w:tr>
      <w:tr w:rsidR="0033310C" w:rsidRPr="0033310C" w14:paraId="5887D52E" w14:textId="77777777" w:rsidTr="00623C32">
        <w:tc>
          <w:tcPr>
            <w:tcW w:w="0" w:type="auto"/>
            <w:hideMark/>
          </w:tcPr>
          <w:p w14:paraId="669C7F86" w14:textId="77777777" w:rsidR="0033310C" w:rsidRPr="0033310C" w:rsidRDefault="0033310C" w:rsidP="00623C32">
            <w:pPr>
              <w:pStyle w:val="NoSpacing"/>
            </w:pPr>
            <w:r w:rsidRPr="0033310C">
              <w:t>Social disorganization</w:t>
            </w:r>
          </w:p>
        </w:tc>
        <w:tc>
          <w:tcPr>
            <w:tcW w:w="0" w:type="auto"/>
            <w:hideMark/>
          </w:tcPr>
          <w:p w14:paraId="1CD514D1" w14:textId="293B5FA0" w:rsidR="0033310C" w:rsidRPr="0033310C" w:rsidRDefault="0033310C" w:rsidP="00623C32">
            <w:pPr>
              <w:pStyle w:val="NoSpacing"/>
            </w:pPr>
            <w:r w:rsidRPr="0033310C">
              <w:t>0.31</w:t>
            </w:r>
            <w:r w:rsidRPr="0033310C">
              <w:rPr>
                <w:rFonts w:ascii="Tahoma" w:hAnsi="Tahoma" w:cs="Tahoma"/>
                <w:vertAlign w:val="superscript"/>
              </w:rPr>
              <w:t>⁎⁎</w:t>
            </w:r>
          </w:p>
        </w:tc>
        <w:tc>
          <w:tcPr>
            <w:tcW w:w="0" w:type="auto"/>
            <w:hideMark/>
          </w:tcPr>
          <w:p w14:paraId="358C674D" w14:textId="77777777" w:rsidR="0033310C" w:rsidRPr="0033310C" w:rsidRDefault="0033310C" w:rsidP="00623C32">
            <w:pPr>
              <w:pStyle w:val="NoSpacing"/>
            </w:pPr>
            <w:r w:rsidRPr="0033310C">
              <w:t>0.05</w:t>
            </w:r>
          </w:p>
        </w:tc>
        <w:tc>
          <w:tcPr>
            <w:tcW w:w="0" w:type="auto"/>
            <w:hideMark/>
          </w:tcPr>
          <w:p w14:paraId="6663B27D" w14:textId="77777777" w:rsidR="0033310C" w:rsidRPr="0033310C" w:rsidRDefault="0033310C" w:rsidP="00623C32">
            <w:pPr>
              <w:pStyle w:val="NoSpacing"/>
            </w:pPr>
            <w:r w:rsidRPr="0033310C">
              <w:t>−0.08</w:t>
            </w:r>
          </w:p>
        </w:tc>
        <w:tc>
          <w:tcPr>
            <w:tcW w:w="0" w:type="auto"/>
            <w:hideMark/>
          </w:tcPr>
          <w:p w14:paraId="19C3441F" w14:textId="77777777" w:rsidR="0033310C" w:rsidRPr="0033310C" w:rsidRDefault="0033310C" w:rsidP="00623C32">
            <w:pPr>
              <w:pStyle w:val="NoSpacing"/>
            </w:pPr>
            <w:r w:rsidRPr="0033310C">
              <w:t>0.13</w:t>
            </w:r>
          </w:p>
        </w:tc>
        <w:tc>
          <w:tcPr>
            <w:tcW w:w="0" w:type="auto"/>
            <w:hideMark/>
          </w:tcPr>
          <w:p w14:paraId="73192383" w14:textId="0D54B22E" w:rsidR="0033310C" w:rsidRPr="0033310C" w:rsidRDefault="0033310C" w:rsidP="00623C32">
            <w:pPr>
              <w:pStyle w:val="NoSpacing"/>
            </w:pPr>
            <w:r w:rsidRPr="0033310C">
              <w:t>0.41</w:t>
            </w:r>
            <w:r w:rsidRPr="0033310C">
              <w:rPr>
                <w:rFonts w:ascii="Tahoma" w:hAnsi="Tahoma" w:cs="Tahoma"/>
                <w:vertAlign w:val="superscript"/>
              </w:rPr>
              <w:t>⁎⁎</w:t>
            </w:r>
          </w:p>
        </w:tc>
        <w:tc>
          <w:tcPr>
            <w:tcW w:w="0" w:type="auto"/>
            <w:hideMark/>
          </w:tcPr>
          <w:p w14:paraId="26745905" w14:textId="77777777" w:rsidR="0033310C" w:rsidRPr="0033310C" w:rsidRDefault="0033310C" w:rsidP="00623C32">
            <w:pPr>
              <w:pStyle w:val="NoSpacing"/>
            </w:pPr>
            <w:r w:rsidRPr="0033310C">
              <w:t>0.08</w:t>
            </w:r>
          </w:p>
        </w:tc>
      </w:tr>
      <w:tr w:rsidR="0033310C" w:rsidRPr="0033310C" w14:paraId="0A52ABBB" w14:textId="77777777" w:rsidTr="00623C32">
        <w:tc>
          <w:tcPr>
            <w:tcW w:w="0" w:type="auto"/>
            <w:hideMark/>
          </w:tcPr>
          <w:p w14:paraId="6E0A20AC" w14:textId="77777777" w:rsidR="0033310C" w:rsidRPr="0033310C" w:rsidRDefault="0033310C" w:rsidP="00623C32">
            <w:pPr>
              <w:pStyle w:val="NoSpacing"/>
            </w:pPr>
            <w:r w:rsidRPr="0033310C">
              <w:t>Distance from city center</w:t>
            </w:r>
          </w:p>
        </w:tc>
        <w:tc>
          <w:tcPr>
            <w:tcW w:w="0" w:type="auto"/>
            <w:hideMark/>
          </w:tcPr>
          <w:p w14:paraId="159453F5" w14:textId="77777777" w:rsidR="0033310C" w:rsidRPr="0033310C" w:rsidRDefault="0033310C" w:rsidP="00623C32">
            <w:pPr>
              <w:pStyle w:val="NoSpacing"/>
            </w:pPr>
            <w:r w:rsidRPr="0033310C">
              <w:t>−0.05</w:t>
            </w:r>
          </w:p>
        </w:tc>
        <w:tc>
          <w:tcPr>
            <w:tcW w:w="0" w:type="auto"/>
            <w:hideMark/>
          </w:tcPr>
          <w:p w14:paraId="7665A003" w14:textId="77777777" w:rsidR="0033310C" w:rsidRPr="0033310C" w:rsidRDefault="0033310C" w:rsidP="00623C32">
            <w:pPr>
              <w:pStyle w:val="NoSpacing"/>
            </w:pPr>
            <w:r w:rsidRPr="0033310C">
              <w:t>0.05</w:t>
            </w:r>
          </w:p>
        </w:tc>
        <w:tc>
          <w:tcPr>
            <w:tcW w:w="0" w:type="auto"/>
            <w:hideMark/>
          </w:tcPr>
          <w:p w14:paraId="33B89444" w14:textId="77777777" w:rsidR="0033310C" w:rsidRPr="0033310C" w:rsidRDefault="0033310C" w:rsidP="00623C32">
            <w:pPr>
              <w:pStyle w:val="NoSpacing"/>
            </w:pPr>
            <w:r w:rsidRPr="0033310C">
              <w:t>0.01</w:t>
            </w:r>
          </w:p>
        </w:tc>
        <w:tc>
          <w:tcPr>
            <w:tcW w:w="0" w:type="auto"/>
            <w:hideMark/>
          </w:tcPr>
          <w:p w14:paraId="4B1CD43D" w14:textId="77777777" w:rsidR="0033310C" w:rsidRPr="0033310C" w:rsidRDefault="0033310C" w:rsidP="00623C32">
            <w:pPr>
              <w:pStyle w:val="NoSpacing"/>
            </w:pPr>
            <w:r w:rsidRPr="0033310C">
              <w:t>0.14</w:t>
            </w:r>
          </w:p>
        </w:tc>
        <w:tc>
          <w:tcPr>
            <w:tcW w:w="0" w:type="auto"/>
            <w:hideMark/>
          </w:tcPr>
          <w:p w14:paraId="2C06F257" w14:textId="77777777" w:rsidR="0033310C" w:rsidRPr="0033310C" w:rsidRDefault="0033310C" w:rsidP="00623C32">
            <w:pPr>
              <w:pStyle w:val="NoSpacing"/>
            </w:pPr>
            <w:r w:rsidRPr="0033310C">
              <w:t>−0.11</w:t>
            </w:r>
          </w:p>
        </w:tc>
        <w:tc>
          <w:tcPr>
            <w:tcW w:w="0" w:type="auto"/>
            <w:hideMark/>
          </w:tcPr>
          <w:p w14:paraId="218BC6B4" w14:textId="77777777" w:rsidR="0033310C" w:rsidRPr="0033310C" w:rsidRDefault="0033310C" w:rsidP="00623C32">
            <w:pPr>
              <w:pStyle w:val="NoSpacing"/>
            </w:pPr>
            <w:r w:rsidRPr="0033310C">
              <w:t>0.09</w:t>
            </w:r>
          </w:p>
        </w:tc>
      </w:tr>
      <w:tr w:rsidR="0033310C" w:rsidRPr="0033310C" w14:paraId="417D728E" w14:textId="77777777" w:rsidTr="00623C32">
        <w:tc>
          <w:tcPr>
            <w:tcW w:w="0" w:type="auto"/>
            <w:hideMark/>
          </w:tcPr>
          <w:p w14:paraId="2092CB39" w14:textId="77777777" w:rsidR="0033310C" w:rsidRPr="0033310C" w:rsidRDefault="0033310C" w:rsidP="00623C32">
            <w:pPr>
              <w:pStyle w:val="NoSpacing"/>
            </w:pPr>
            <w:r w:rsidRPr="0033310C">
              <w:rPr>
                <w:i/>
                <w:iCs/>
              </w:rPr>
              <w:t>Rho</w:t>
            </w:r>
            <w:r w:rsidRPr="0033310C">
              <w:t> sqrt robbery density</w:t>
            </w:r>
          </w:p>
        </w:tc>
        <w:tc>
          <w:tcPr>
            <w:tcW w:w="0" w:type="auto"/>
            <w:hideMark/>
          </w:tcPr>
          <w:p w14:paraId="3A8B1C94" w14:textId="4EF0265D" w:rsidR="0033310C" w:rsidRPr="0033310C" w:rsidRDefault="0033310C" w:rsidP="00623C32">
            <w:pPr>
              <w:pStyle w:val="NoSpacing"/>
            </w:pPr>
            <w:r w:rsidRPr="0033310C">
              <w:t>0.53</w:t>
            </w:r>
            <w:r w:rsidRPr="0033310C">
              <w:rPr>
                <w:rFonts w:ascii="Tahoma" w:hAnsi="Tahoma" w:cs="Tahoma"/>
                <w:vertAlign w:val="superscript"/>
              </w:rPr>
              <w:t>⁎⁎</w:t>
            </w:r>
          </w:p>
        </w:tc>
        <w:tc>
          <w:tcPr>
            <w:tcW w:w="0" w:type="auto"/>
            <w:hideMark/>
          </w:tcPr>
          <w:p w14:paraId="05D42F90" w14:textId="77777777" w:rsidR="0033310C" w:rsidRPr="0033310C" w:rsidRDefault="0033310C" w:rsidP="00623C32">
            <w:pPr>
              <w:pStyle w:val="NoSpacing"/>
            </w:pPr>
            <w:r w:rsidRPr="0033310C">
              <w:t>0.04</w:t>
            </w:r>
          </w:p>
        </w:tc>
        <w:tc>
          <w:tcPr>
            <w:tcW w:w="0" w:type="auto"/>
            <w:hideMark/>
          </w:tcPr>
          <w:p w14:paraId="383159F7" w14:textId="534ACE06" w:rsidR="0033310C" w:rsidRPr="0033310C" w:rsidRDefault="0033310C" w:rsidP="00623C32">
            <w:pPr>
              <w:pStyle w:val="NoSpacing"/>
            </w:pPr>
            <w:r w:rsidRPr="0033310C">
              <w:t>0.69</w:t>
            </w:r>
            <w:r w:rsidRPr="0033310C">
              <w:rPr>
                <w:rFonts w:ascii="Tahoma" w:hAnsi="Tahoma" w:cs="Tahoma"/>
                <w:vertAlign w:val="superscript"/>
              </w:rPr>
              <w:t>⁎⁎</w:t>
            </w:r>
          </w:p>
        </w:tc>
        <w:tc>
          <w:tcPr>
            <w:tcW w:w="0" w:type="auto"/>
            <w:hideMark/>
          </w:tcPr>
          <w:p w14:paraId="58552A7A" w14:textId="77777777" w:rsidR="0033310C" w:rsidRPr="0033310C" w:rsidRDefault="0033310C" w:rsidP="00623C32">
            <w:pPr>
              <w:pStyle w:val="NoSpacing"/>
            </w:pPr>
            <w:r w:rsidRPr="0033310C">
              <w:t>0.24</w:t>
            </w:r>
          </w:p>
        </w:tc>
        <w:tc>
          <w:tcPr>
            <w:tcW w:w="0" w:type="auto"/>
            <w:hideMark/>
          </w:tcPr>
          <w:p w14:paraId="564B6AAD" w14:textId="08C0326D" w:rsidR="0033310C" w:rsidRPr="0033310C" w:rsidRDefault="0033310C" w:rsidP="00623C32">
            <w:pPr>
              <w:pStyle w:val="NoSpacing"/>
            </w:pPr>
            <w:r w:rsidRPr="0033310C">
              <w:t>0.40</w:t>
            </w:r>
            <w:r w:rsidRPr="0033310C">
              <w:rPr>
                <w:rFonts w:ascii="Tahoma" w:hAnsi="Tahoma" w:cs="Tahoma"/>
                <w:vertAlign w:val="superscript"/>
              </w:rPr>
              <w:t>⁎⁎</w:t>
            </w:r>
          </w:p>
        </w:tc>
        <w:tc>
          <w:tcPr>
            <w:tcW w:w="0" w:type="auto"/>
            <w:hideMark/>
          </w:tcPr>
          <w:p w14:paraId="26485F51" w14:textId="77777777" w:rsidR="0033310C" w:rsidRPr="0033310C" w:rsidRDefault="0033310C" w:rsidP="00623C32">
            <w:pPr>
              <w:pStyle w:val="NoSpacing"/>
            </w:pPr>
            <w:r w:rsidRPr="0033310C">
              <w:t>0.14</w:t>
            </w:r>
          </w:p>
        </w:tc>
      </w:tr>
      <w:tr w:rsidR="0033310C" w:rsidRPr="0033310C" w14:paraId="6B6D8A2F" w14:textId="77777777" w:rsidTr="00623C32">
        <w:tc>
          <w:tcPr>
            <w:tcW w:w="0" w:type="auto"/>
            <w:hideMark/>
          </w:tcPr>
          <w:p w14:paraId="04A07A0C" w14:textId="77777777" w:rsidR="0033310C" w:rsidRPr="0033310C" w:rsidRDefault="0033310C" w:rsidP="00623C32">
            <w:pPr>
              <w:pStyle w:val="NoSpacing"/>
            </w:pPr>
            <w:r w:rsidRPr="0033310C">
              <w:t>Sqrt off-</w:t>
            </w:r>
            <w:proofErr w:type="gramStart"/>
            <w:r w:rsidRPr="0033310C">
              <w:t>premise</w:t>
            </w:r>
            <w:proofErr w:type="gramEnd"/>
            <w:r w:rsidRPr="0033310C">
              <w:t xml:space="preserve"> alcohol outlet density</w:t>
            </w:r>
          </w:p>
        </w:tc>
        <w:tc>
          <w:tcPr>
            <w:tcW w:w="0" w:type="auto"/>
            <w:hideMark/>
          </w:tcPr>
          <w:p w14:paraId="1B76C447" w14:textId="40EF6426" w:rsidR="0033310C" w:rsidRPr="0033310C" w:rsidRDefault="0033310C" w:rsidP="00623C32">
            <w:pPr>
              <w:pStyle w:val="NoSpacing"/>
            </w:pPr>
            <w:r w:rsidRPr="0033310C">
              <w:t>0.21</w:t>
            </w:r>
            <w:r w:rsidRPr="0033310C">
              <w:rPr>
                <w:rFonts w:ascii="Tahoma" w:hAnsi="Tahoma" w:cs="Tahoma"/>
                <w:vertAlign w:val="superscript"/>
              </w:rPr>
              <w:t>⁎⁎</w:t>
            </w:r>
          </w:p>
        </w:tc>
        <w:tc>
          <w:tcPr>
            <w:tcW w:w="0" w:type="auto"/>
            <w:hideMark/>
          </w:tcPr>
          <w:p w14:paraId="365487D3" w14:textId="77777777" w:rsidR="0033310C" w:rsidRPr="0033310C" w:rsidRDefault="0033310C" w:rsidP="00623C32">
            <w:pPr>
              <w:pStyle w:val="NoSpacing"/>
            </w:pPr>
            <w:r w:rsidRPr="0033310C">
              <w:t>0.06</w:t>
            </w:r>
          </w:p>
        </w:tc>
        <w:tc>
          <w:tcPr>
            <w:tcW w:w="0" w:type="auto"/>
            <w:hideMark/>
          </w:tcPr>
          <w:p w14:paraId="63EB6DAF" w14:textId="2E4D655C" w:rsidR="0033310C" w:rsidRPr="0033310C" w:rsidRDefault="0033310C" w:rsidP="00623C32">
            <w:pPr>
              <w:pStyle w:val="NoSpacing"/>
            </w:pPr>
            <w:r w:rsidRPr="0033310C">
              <w:t>0.30</w:t>
            </w:r>
            <w:r w:rsidRPr="0033310C">
              <w:rPr>
                <w:rFonts w:ascii="Tahoma" w:hAnsi="Tahoma" w:cs="Tahoma"/>
                <w:vertAlign w:val="superscript"/>
              </w:rPr>
              <w:t>⁎⁎</w:t>
            </w:r>
          </w:p>
        </w:tc>
        <w:tc>
          <w:tcPr>
            <w:tcW w:w="0" w:type="auto"/>
            <w:hideMark/>
          </w:tcPr>
          <w:p w14:paraId="59DBD014" w14:textId="77777777" w:rsidR="0033310C" w:rsidRPr="0033310C" w:rsidRDefault="0033310C" w:rsidP="00623C32">
            <w:pPr>
              <w:pStyle w:val="NoSpacing"/>
            </w:pPr>
            <w:r w:rsidRPr="0033310C">
              <w:t>0.11</w:t>
            </w:r>
          </w:p>
        </w:tc>
        <w:tc>
          <w:tcPr>
            <w:tcW w:w="0" w:type="auto"/>
            <w:hideMark/>
          </w:tcPr>
          <w:p w14:paraId="60CA729E" w14:textId="511D9A6B" w:rsidR="0033310C" w:rsidRPr="0033310C" w:rsidRDefault="0033310C" w:rsidP="00623C32">
            <w:pPr>
              <w:pStyle w:val="NoSpacing"/>
            </w:pPr>
            <w:r w:rsidRPr="0033310C">
              <w:t>0.24</w:t>
            </w:r>
            <w:r w:rsidRPr="0033310C">
              <w:rPr>
                <w:rFonts w:ascii="Tahoma" w:hAnsi="Tahoma" w:cs="Tahoma"/>
                <w:vertAlign w:val="superscript"/>
              </w:rPr>
              <w:t>⁎⁎</w:t>
            </w:r>
          </w:p>
        </w:tc>
        <w:tc>
          <w:tcPr>
            <w:tcW w:w="0" w:type="auto"/>
            <w:hideMark/>
          </w:tcPr>
          <w:p w14:paraId="519C120E" w14:textId="77777777" w:rsidR="0033310C" w:rsidRPr="0033310C" w:rsidRDefault="0033310C" w:rsidP="00623C32">
            <w:pPr>
              <w:pStyle w:val="NoSpacing"/>
            </w:pPr>
            <w:r w:rsidRPr="0033310C">
              <w:t>0.07</w:t>
            </w:r>
          </w:p>
        </w:tc>
      </w:tr>
      <w:tr w:rsidR="0033310C" w:rsidRPr="0033310C" w14:paraId="5402EFD9" w14:textId="77777777" w:rsidTr="00623C32">
        <w:tc>
          <w:tcPr>
            <w:tcW w:w="0" w:type="auto"/>
            <w:hideMark/>
          </w:tcPr>
          <w:p w14:paraId="645B2AE0" w14:textId="77777777" w:rsidR="0033310C" w:rsidRPr="0033310C" w:rsidRDefault="0033310C" w:rsidP="00623C32">
            <w:pPr>
              <w:pStyle w:val="NoSpacing"/>
            </w:pPr>
            <w:r w:rsidRPr="0033310C">
              <w:t>Off-</w:t>
            </w:r>
            <w:proofErr w:type="gramStart"/>
            <w:r w:rsidRPr="0033310C">
              <w:t>premise</w:t>
            </w:r>
            <w:proofErr w:type="gramEnd"/>
            <w:r w:rsidRPr="0033310C">
              <w:t> × social disorganization index</w:t>
            </w:r>
          </w:p>
        </w:tc>
        <w:tc>
          <w:tcPr>
            <w:tcW w:w="0" w:type="auto"/>
            <w:hideMark/>
          </w:tcPr>
          <w:p w14:paraId="1888D2AE" w14:textId="77777777" w:rsidR="0033310C" w:rsidRPr="0033310C" w:rsidRDefault="0033310C" w:rsidP="00623C32">
            <w:pPr>
              <w:pStyle w:val="NoSpacing"/>
            </w:pPr>
            <w:r w:rsidRPr="0033310C">
              <w:t>−0.03</w:t>
            </w:r>
          </w:p>
        </w:tc>
        <w:tc>
          <w:tcPr>
            <w:tcW w:w="0" w:type="auto"/>
            <w:hideMark/>
          </w:tcPr>
          <w:p w14:paraId="540727FD" w14:textId="77777777" w:rsidR="0033310C" w:rsidRPr="0033310C" w:rsidRDefault="0033310C" w:rsidP="00623C32">
            <w:pPr>
              <w:pStyle w:val="NoSpacing"/>
            </w:pPr>
            <w:r w:rsidRPr="0033310C">
              <w:t>0.02</w:t>
            </w:r>
          </w:p>
        </w:tc>
        <w:tc>
          <w:tcPr>
            <w:tcW w:w="0" w:type="auto"/>
            <w:hideMark/>
          </w:tcPr>
          <w:p w14:paraId="3195F964" w14:textId="77777777" w:rsidR="0033310C" w:rsidRPr="0033310C" w:rsidRDefault="0033310C" w:rsidP="00623C32">
            <w:pPr>
              <w:pStyle w:val="NoSpacing"/>
            </w:pPr>
            <w:r w:rsidRPr="0033310C">
              <w:t>0.04</w:t>
            </w:r>
          </w:p>
        </w:tc>
        <w:tc>
          <w:tcPr>
            <w:tcW w:w="0" w:type="auto"/>
            <w:hideMark/>
          </w:tcPr>
          <w:p w14:paraId="618D3B0E" w14:textId="77777777" w:rsidR="0033310C" w:rsidRPr="0033310C" w:rsidRDefault="0033310C" w:rsidP="00623C32">
            <w:pPr>
              <w:pStyle w:val="NoSpacing"/>
            </w:pPr>
            <w:r w:rsidRPr="0033310C">
              <w:t>0.04</w:t>
            </w:r>
          </w:p>
        </w:tc>
        <w:tc>
          <w:tcPr>
            <w:tcW w:w="0" w:type="auto"/>
            <w:hideMark/>
          </w:tcPr>
          <w:p w14:paraId="021F7E1A" w14:textId="77777777" w:rsidR="0033310C" w:rsidRPr="0033310C" w:rsidRDefault="0033310C" w:rsidP="00623C32">
            <w:pPr>
              <w:pStyle w:val="NoSpacing"/>
            </w:pPr>
            <w:r w:rsidRPr="0033310C">
              <w:t>−0.05</w:t>
            </w:r>
          </w:p>
        </w:tc>
        <w:tc>
          <w:tcPr>
            <w:tcW w:w="0" w:type="auto"/>
            <w:hideMark/>
          </w:tcPr>
          <w:p w14:paraId="0D356225" w14:textId="77777777" w:rsidR="0033310C" w:rsidRPr="0033310C" w:rsidRDefault="0033310C" w:rsidP="00623C32">
            <w:pPr>
              <w:pStyle w:val="NoSpacing"/>
            </w:pPr>
            <w:r w:rsidRPr="0033310C">
              <w:t>0.03</w:t>
            </w:r>
          </w:p>
        </w:tc>
      </w:tr>
      <w:tr w:rsidR="0033310C" w:rsidRPr="0033310C" w14:paraId="34AAE798" w14:textId="77777777" w:rsidTr="00623C32">
        <w:tc>
          <w:tcPr>
            <w:tcW w:w="0" w:type="auto"/>
            <w:hideMark/>
          </w:tcPr>
          <w:p w14:paraId="2343097C" w14:textId="77777777" w:rsidR="0033310C" w:rsidRPr="0033310C" w:rsidRDefault="0033310C" w:rsidP="00623C32">
            <w:pPr>
              <w:pStyle w:val="NoSpacing"/>
            </w:pPr>
            <w:r w:rsidRPr="0033310C">
              <w:rPr>
                <w:i/>
                <w:iCs/>
              </w:rPr>
              <w:t>R</w:t>
            </w:r>
            <w:r w:rsidRPr="0033310C">
              <w:t>-squared</w:t>
            </w:r>
          </w:p>
        </w:tc>
        <w:tc>
          <w:tcPr>
            <w:tcW w:w="0" w:type="auto"/>
            <w:hideMark/>
          </w:tcPr>
          <w:p w14:paraId="5DCF9EFB" w14:textId="77777777" w:rsidR="0033310C" w:rsidRPr="0033310C" w:rsidRDefault="0033310C" w:rsidP="00623C32">
            <w:pPr>
              <w:pStyle w:val="NoSpacing"/>
            </w:pPr>
            <w:r w:rsidRPr="0033310C">
              <w:t>56.38</w:t>
            </w:r>
          </w:p>
        </w:tc>
        <w:tc>
          <w:tcPr>
            <w:tcW w:w="0" w:type="auto"/>
            <w:hideMark/>
          </w:tcPr>
          <w:p w14:paraId="0112E139" w14:textId="77777777" w:rsidR="0033310C" w:rsidRPr="0033310C" w:rsidRDefault="0033310C" w:rsidP="00623C32">
            <w:pPr>
              <w:pStyle w:val="NoSpacing"/>
            </w:pPr>
          </w:p>
        </w:tc>
        <w:tc>
          <w:tcPr>
            <w:tcW w:w="0" w:type="auto"/>
            <w:hideMark/>
          </w:tcPr>
          <w:p w14:paraId="4C56F99C" w14:textId="77777777" w:rsidR="0033310C" w:rsidRPr="0033310C" w:rsidRDefault="0033310C" w:rsidP="00623C32">
            <w:pPr>
              <w:pStyle w:val="NoSpacing"/>
            </w:pPr>
            <w:r w:rsidRPr="0033310C">
              <w:t>–</w:t>
            </w:r>
          </w:p>
        </w:tc>
        <w:tc>
          <w:tcPr>
            <w:tcW w:w="0" w:type="auto"/>
            <w:hideMark/>
          </w:tcPr>
          <w:p w14:paraId="3FB2AE77" w14:textId="77777777" w:rsidR="0033310C" w:rsidRPr="0033310C" w:rsidRDefault="0033310C" w:rsidP="00623C32">
            <w:pPr>
              <w:pStyle w:val="NoSpacing"/>
            </w:pPr>
          </w:p>
        </w:tc>
        <w:tc>
          <w:tcPr>
            <w:tcW w:w="0" w:type="auto"/>
            <w:hideMark/>
          </w:tcPr>
          <w:p w14:paraId="44DBD389" w14:textId="77777777" w:rsidR="0033310C" w:rsidRPr="0033310C" w:rsidRDefault="0033310C" w:rsidP="00623C32">
            <w:pPr>
              <w:pStyle w:val="NoSpacing"/>
            </w:pPr>
            <w:r w:rsidRPr="0033310C">
              <w:t>–</w:t>
            </w:r>
          </w:p>
        </w:tc>
        <w:tc>
          <w:tcPr>
            <w:tcW w:w="0" w:type="auto"/>
            <w:hideMark/>
          </w:tcPr>
          <w:p w14:paraId="404F1379" w14:textId="77777777" w:rsidR="0033310C" w:rsidRPr="0033310C" w:rsidRDefault="0033310C" w:rsidP="00623C32">
            <w:pPr>
              <w:pStyle w:val="NoSpacing"/>
            </w:pPr>
          </w:p>
        </w:tc>
      </w:tr>
      <w:tr w:rsidR="0033310C" w:rsidRPr="0033310C" w14:paraId="6104F9C8" w14:textId="77777777" w:rsidTr="00623C32">
        <w:tc>
          <w:tcPr>
            <w:tcW w:w="0" w:type="auto"/>
            <w:hideMark/>
          </w:tcPr>
          <w:p w14:paraId="1B837582" w14:textId="77777777" w:rsidR="0033310C" w:rsidRPr="0033310C" w:rsidRDefault="0033310C" w:rsidP="00623C32">
            <w:pPr>
              <w:pStyle w:val="NoSpacing"/>
            </w:pPr>
            <w:r w:rsidRPr="0033310C">
              <w:t>Pseudo </w:t>
            </w:r>
            <w:r w:rsidRPr="0033310C">
              <w:rPr>
                <w:i/>
                <w:iCs/>
              </w:rPr>
              <w:t>R</w:t>
            </w:r>
            <w:r w:rsidRPr="0033310C">
              <w:t>-squared</w:t>
            </w:r>
          </w:p>
        </w:tc>
        <w:tc>
          <w:tcPr>
            <w:tcW w:w="0" w:type="auto"/>
            <w:hideMark/>
          </w:tcPr>
          <w:p w14:paraId="1D3FB40D" w14:textId="77777777" w:rsidR="0033310C" w:rsidRPr="0033310C" w:rsidRDefault="0033310C" w:rsidP="00623C32">
            <w:pPr>
              <w:pStyle w:val="NoSpacing"/>
            </w:pPr>
            <w:r w:rsidRPr="0033310C">
              <w:t>–</w:t>
            </w:r>
          </w:p>
        </w:tc>
        <w:tc>
          <w:tcPr>
            <w:tcW w:w="0" w:type="auto"/>
            <w:hideMark/>
          </w:tcPr>
          <w:p w14:paraId="2FEB1690" w14:textId="77777777" w:rsidR="0033310C" w:rsidRPr="0033310C" w:rsidRDefault="0033310C" w:rsidP="00623C32">
            <w:pPr>
              <w:pStyle w:val="NoSpacing"/>
            </w:pPr>
          </w:p>
        </w:tc>
        <w:tc>
          <w:tcPr>
            <w:tcW w:w="0" w:type="auto"/>
            <w:hideMark/>
          </w:tcPr>
          <w:p w14:paraId="68CD62DC" w14:textId="77777777" w:rsidR="0033310C" w:rsidRPr="0033310C" w:rsidRDefault="0033310C" w:rsidP="00623C32">
            <w:pPr>
              <w:pStyle w:val="NoSpacing"/>
            </w:pPr>
            <w:r w:rsidRPr="0033310C">
              <w:t>33.20</w:t>
            </w:r>
          </w:p>
        </w:tc>
        <w:tc>
          <w:tcPr>
            <w:tcW w:w="0" w:type="auto"/>
            <w:hideMark/>
          </w:tcPr>
          <w:p w14:paraId="2A5675E1" w14:textId="77777777" w:rsidR="0033310C" w:rsidRPr="0033310C" w:rsidRDefault="0033310C" w:rsidP="00623C32">
            <w:pPr>
              <w:pStyle w:val="NoSpacing"/>
            </w:pPr>
          </w:p>
        </w:tc>
        <w:tc>
          <w:tcPr>
            <w:tcW w:w="0" w:type="auto"/>
            <w:hideMark/>
          </w:tcPr>
          <w:p w14:paraId="51F4F80D" w14:textId="77777777" w:rsidR="0033310C" w:rsidRPr="0033310C" w:rsidRDefault="0033310C" w:rsidP="00623C32">
            <w:pPr>
              <w:pStyle w:val="NoSpacing"/>
            </w:pPr>
            <w:r w:rsidRPr="0033310C">
              <w:t>48.72</w:t>
            </w:r>
          </w:p>
        </w:tc>
        <w:tc>
          <w:tcPr>
            <w:tcW w:w="0" w:type="auto"/>
            <w:hideMark/>
          </w:tcPr>
          <w:p w14:paraId="3DDCF738" w14:textId="77777777" w:rsidR="0033310C" w:rsidRPr="0033310C" w:rsidRDefault="0033310C" w:rsidP="00623C32">
            <w:pPr>
              <w:pStyle w:val="NoSpacing"/>
            </w:pPr>
          </w:p>
        </w:tc>
      </w:tr>
      <w:tr w:rsidR="0033310C" w:rsidRPr="0033310C" w14:paraId="39A9515E" w14:textId="77777777" w:rsidTr="00623C32">
        <w:tc>
          <w:tcPr>
            <w:tcW w:w="0" w:type="auto"/>
            <w:hideMark/>
          </w:tcPr>
          <w:p w14:paraId="16EF50B7" w14:textId="77777777" w:rsidR="0033310C" w:rsidRPr="0033310C" w:rsidRDefault="0033310C" w:rsidP="00623C32">
            <w:pPr>
              <w:pStyle w:val="NoSpacing"/>
            </w:pPr>
            <w:r w:rsidRPr="0033310C">
              <w:t>Multicollinearity condition number</w:t>
            </w:r>
          </w:p>
        </w:tc>
        <w:tc>
          <w:tcPr>
            <w:tcW w:w="0" w:type="auto"/>
            <w:hideMark/>
          </w:tcPr>
          <w:p w14:paraId="75F834E6" w14:textId="77777777" w:rsidR="0033310C" w:rsidRPr="0033310C" w:rsidRDefault="0033310C" w:rsidP="00623C32">
            <w:pPr>
              <w:pStyle w:val="NoSpacing"/>
            </w:pPr>
            <w:r w:rsidRPr="0033310C">
              <w:t>9.56</w:t>
            </w:r>
          </w:p>
        </w:tc>
        <w:tc>
          <w:tcPr>
            <w:tcW w:w="0" w:type="auto"/>
            <w:hideMark/>
          </w:tcPr>
          <w:p w14:paraId="4E125324" w14:textId="77777777" w:rsidR="0033310C" w:rsidRPr="0033310C" w:rsidRDefault="0033310C" w:rsidP="00623C32">
            <w:pPr>
              <w:pStyle w:val="NoSpacing"/>
            </w:pPr>
          </w:p>
        </w:tc>
        <w:tc>
          <w:tcPr>
            <w:tcW w:w="0" w:type="auto"/>
            <w:hideMark/>
          </w:tcPr>
          <w:p w14:paraId="300C6206" w14:textId="77777777" w:rsidR="0033310C" w:rsidRPr="0033310C" w:rsidRDefault="0033310C" w:rsidP="00623C32">
            <w:pPr>
              <w:pStyle w:val="NoSpacing"/>
            </w:pPr>
            <w:r w:rsidRPr="0033310C">
              <w:t>–</w:t>
            </w:r>
          </w:p>
        </w:tc>
        <w:tc>
          <w:tcPr>
            <w:tcW w:w="0" w:type="auto"/>
            <w:hideMark/>
          </w:tcPr>
          <w:p w14:paraId="661940C4" w14:textId="77777777" w:rsidR="0033310C" w:rsidRPr="0033310C" w:rsidRDefault="0033310C" w:rsidP="00623C32">
            <w:pPr>
              <w:pStyle w:val="NoSpacing"/>
            </w:pPr>
          </w:p>
        </w:tc>
        <w:tc>
          <w:tcPr>
            <w:tcW w:w="0" w:type="auto"/>
            <w:hideMark/>
          </w:tcPr>
          <w:p w14:paraId="71D68F11" w14:textId="77777777" w:rsidR="0033310C" w:rsidRPr="0033310C" w:rsidRDefault="0033310C" w:rsidP="00623C32">
            <w:pPr>
              <w:pStyle w:val="NoSpacing"/>
            </w:pPr>
            <w:r w:rsidRPr="0033310C">
              <w:t>–</w:t>
            </w:r>
          </w:p>
        </w:tc>
        <w:tc>
          <w:tcPr>
            <w:tcW w:w="0" w:type="auto"/>
            <w:hideMark/>
          </w:tcPr>
          <w:p w14:paraId="4F3B86A5" w14:textId="77777777" w:rsidR="0033310C" w:rsidRPr="0033310C" w:rsidRDefault="0033310C" w:rsidP="00623C32">
            <w:pPr>
              <w:pStyle w:val="NoSpacing"/>
            </w:pPr>
          </w:p>
        </w:tc>
      </w:tr>
      <w:tr w:rsidR="0033310C" w:rsidRPr="0033310C" w14:paraId="664CE95B" w14:textId="77777777" w:rsidTr="00623C32">
        <w:tc>
          <w:tcPr>
            <w:tcW w:w="0" w:type="auto"/>
            <w:hideMark/>
          </w:tcPr>
          <w:p w14:paraId="2FA34C6E" w14:textId="77777777" w:rsidR="0033310C" w:rsidRPr="0033310C" w:rsidRDefault="0033310C" w:rsidP="00623C32">
            <w:pPr>
              <w:pStyle w:val="NoSpacing"/>
            </w:pPr>
            <w:r w:rsidRPr="0033310C">
              <w:t>S.E. of regression</w:t>
            </w:r>
          </w:p>
        </w:tc>
        <w:tc>
          <w:tcPr>
            <w:tcW w:w="0" w:type="auto"/>
            <w:hideMark/>
          </w:tcPr>
          <w:p w14:paraId="26B7E42A" w14:textId="77777777" w:rsidR="0033310C" w:rsidRPr="0033310C" w:rsidRDefault="0033310C" w:rsidP="00623C32">
            <w:pPr>
              <w:pStyle w:val="NoSpacing"/>
            </w:pPr>
            <w:r w:rsidRPr="0033310C">
              <w:t>2.35</w:t>
            </w:r>
          </w:p>
        </w:tc>
        <w:tc>
          <w:tcPr>
            <w:tcW w:w="0" w:type="auto"/>
            <w:hideMark/>
          </w:tcPr>
          <w:p w14:paraId="77B8EEAE" w14:textId="77777777" w:rsidR="0033310C" w:rsidRPr="0033310C" w:rsidRDefault="0033310C" w:rsidP="00623C32">
            <w:pPr>
              <w:pStyle w:val="NoSpacing"/>
            </w:pPr>
          </w:p>
        </w:tc>
        <w:tc>
          <w:tcPr>
            <w:tcW w:w="0" w:type="auto"/>
            <w:hideMark/>
          </w:tcPr>
          <w:p w14:paraId="0CA977BC" w14:textId="77777777" w:rsidR="0033310C" w:rsidRPr="0033310C" w:rsidRDefault="0033310C" w:rsidP="00623C32">
            <w:pPr>
              <w:pStyle w:val="NoSpacing"/>
            </w:pPr>
            <w:r w:rsidRPr="0033310C">
              <w:t>–</w:t>
            </w:r>
          </w:p>
        </w:tc>
        <w:tc>
          <w:tcPr>
            <w:tcW w:w="0" w:type="auto"/>
            <w:hideMark/>
          </w:tcPr>
          <w:p w14:paraId="5C6317C6" w14:textId="77777777" w:rsidR="0033310C" w:rsidRPr="0033310C" w:rsidRDefault="0033310C" w:rsidP="00623C32">
            <w:pPr>
              <w:pStyle w:val="NoSpacing"/>
            </w:pPr>
          </w:p>
        </w:tc>
        <w:tc>
          <w:tcPr>
            <w:tcW w:w="0" w:type="auto"/>
            <w:hideMark/>
          </w:tcPr>
          <w:p w14:paraId="6093F4C6" w14:textId="77777777" w:rsidR="0033310C" w:rsidRPr="0033310C" w:rsidRDefault="0033310C" w:rsidP="00623C32">
            <w:pPr>
              <w:pStyle w:val="NoSpacing"/>
            </w:pPr>
            <w:r w:rsidRPr="0033310C">
              <w:t>–</w:t>
            </w:r>
          </w:p>
        </w:tc>
        <w:tc>
          <w:tcPr>
            <w:tcW w:w="0" w:type="auto"/>
            <w:hideMark/>
          </w:tcPr>
          <w:p w14:paraId="272234B6" w14:textId="77777777" w:rsidR="0033310C" w:rsidRPr="0033310C" w:rsidRDefault="0033310C" w:rsidP="00623C32">
            <w:pPr>
              <w:pStyle w:val="NoSpacing"/>
            </w:pPr>
          </w:p>
        </w:tc>
      </w:tr>
      <w:tr w:rsidR="0033310C" w:rsidRPr="0033310C" w14:paraId="022B4F48" w14:textId="77777777" w:rsidTr="00623C32">
        <w:tc>
          <w:tcPr>
            <w:tcW w:w="0" w:type="auto"/>
            <w:hideMark/>
          </w:tcPr>
          <w:p w14:paraId="2FA12D96" w14:textId="77777777" w:rsidR="0033310C" w:rsidRPr="0033310C" w:rsidRDefault="0033310C" w:rsidP="00623C32">
            <w:pPr>
              <w:pStyle w:val="NoSpacing"/>
            </w:pPr>
            <w:r w:rsidRPr="0033310C">
              <w:t>Log likelihood</w:t>
            </w:r>
          </w:p>
        </w:tc>
        <w:tc>
          <w:tcPr>
            <w:tcW w:w="0" w:type="auto"/>
            <w:hideMark/>
          </w:tcPr>
          <w:p w14:paraId="555EB20D" w14:textId="77777777" w:rsidR="0033310C" w:rsidRPr="0033310C" w:rsidRDefault="0033310C" w:rsidP="00623C32">
            <w:pPr>
              <w:pStyle w:val="NoSpacing"/>
            </w:pPr>
            <w:r w:rsidRPr="0033310C">
              <w:t>−1315.68</w:t>
            </w:r>
          </w:p>
        </w:tc>
        <w:tc>
          <w:tcPr>
            <w:tcW w:w="0" w:type="auto"/>
            <w:hideMark/>
          </w:tcPr>
          <w:p w14:paraId="2CE17F68" w14:textId="77777777" w:rsidR="0033310C" w:rsidRPr="0033310C" w:rsidRDefault="0033310C" w:rsidP="00623C32">
            <w:pPr>
              <w:pStyle w:val="NoSpacing"/>
            </w:pPr>
          </w:p>
        </w:tc>
        <w:tc>
          <w:tcPr>
            <w:tcW w:w="0" w:type="auto"/>
            <w:hideMark/>
          </w:tcPr>
          <w:p w14:paraId="61E174B9" w14:textId="77777777" w:rsidR="0033310C" w:rsidRPr="0033310C" w:rsidRDefault="0033310C" w:rsidP="00623C32">
            <w:pPr>
              <w:pStyle w:val="NoSpacing"/>
            </w:pPr>
            <w:r w:rsidRPr="0033310C">
              <w:t>–</w:t>
            </w:r>
          </w:p>
        </w:tc>
        <w:tc>
          <w:tcPr>
            <w:tcW w:w="0" w:type="auto"/>
            <w:hideMark/>
          </w:tcPr>
          <w:p w14:paraId="2147C309" w14:textId="77777777" w:rsidR="0033310C" w:rsidRPr="0033310C" w:rsidRDefault="0033310C" w:rsidP="00623C32">
            <w:pPr>
              <w:pStyle w:val="NoSpacing"/>
            </w:pPr>
          </w:p>
        </w:tc>
        <w:tc>
          <w:tcPr>
            <w:tcW w:w="0" w:type="auto"/>
            <w:hideMark/>
          </w:tcPr>
          <w:p w14:paraId="59120456" w14:textId="77777777" w:rsidR="0033310C" w:rsidRPr="0033310C" w:rsidRDefault="0033310C" w:rsidP="00623C32">
            <w:pPr>
              <w:pStyle w:val="NoSpacing"/>
            </w:pPr>
            <w:r w:rsidRPr="0033310C">
              <w:t>–</w:t>
            </w:r>
          </w:p>
        </w:tc>
        <w:tc>
          <w:tcPr>
            <w:tcW w:w="0" w:type="auto"/>
            <w:hideMark/>
          </w:tcPr>
          <w:p w14:paraId="233D4FCE" w14:textId="77777777" w:rsidR="0033310C" w:rsidRPr="0033310C" w:rsidRDefault="0033310C" w:rsidP="00623C32">
            <w:pPr>
              <w:pStyle w:val="NoSpacing"/>
            </w:pPr>
          </w:p>
        </w:tc>
      </w:tr>
      <w:tr w:rsidR="0033310C" w:rsidRPr="0033310C" w14:paraId="11755B00" w14:textId="77777777" w:rsidTr="00623C32">
        <w:tc>
          <w:tcPr>
            <w:tcW w:w="0" w:type="auto"/>
            <w:hideMark/>
          </w:tcPr>
          <w:p w14:paraId="528D2E88" w14:textId="77777777" w:rsidR="0033310C" w:rsidRPr="0033310C" w:rsidRDefault="0033310C" w:rsidP="00623C32">
            <w:pPr>
              <w:pStyle w:val="NoSpacing"/>
            </w:pPr>
            <w:r w:rsidRPr="0033310C">
              <w:lastRenderedPageBreak/>
              <w:t>Akaike information criterion</w:t>
            </w:r>
          </w:p>
        </w:tc>
        <w:tc>
          <w:tcPr>
            <w:tcW w:w="0" w:type="auto"/>
            <w:hideMark/>
          </w:tcPr>
          <w:p w14:paraId="0D3F0C26" w14:textId="77777777" w:rsidR="0033310C" w:rsidRPr="0033310C" w:rsidRDefault="0033310C" w:rsidP="00623C32">
            <w:pPr>
              <w:pStyle w:val="NoSpacing"/>
            </w:pPr>
            <w:r w:rsidRPr="0033310C">
              <w:t>2647.36</w:t>
            </w:r>
          </w:p>
        </w:tc>
        <w:tc>
          <w:tcPr>
            <w:tcW w:w="0" w:type="auto"/>
            <w:hideMark/>
          </w:tcPr>
          <w:p w14:paraId="46C1D822" w14:textId="77777777" w:rsidR="0033310C" w:rsidRPr="0033310C" w:rsidRDefault="0033310C" w:rsidP="00623C32">
            <w:pPr>
              <w:pStyle w:val="NoSpacing"/>
            </w:pPr>
          </w:p>
        </w:tc>
        <w:tc>
          <w:tcPr>
            <w:tcW w:w="0" w:type="auto"/>
            <w:hideMark/>
          </w:tcPr>
          <w:p w14:paraId="158D7163" w14:textId="77777777" w:rsidR="0033310C" w:rsidRPr="0033310C" w:rsidRDefault="0033310C" w:rsidP="00623C32">
            <w:pPr>
              <w:pStyle w:val="NoSpacing"/>
            </w:pPr>
            <w:r w:rsidRPr="0033310C">
              <w:t>–</w:t>
            </w:r>
          </w:p>
        </w:tc>
        <w:tc>
          <w:tcPr>
            <w:tcW w:w="0" w:type="auto"/>
            <w:hideMark/>
          </w:tcPr>
          <w:p w14:paraId="6E439F0E" w14:textId="77777777" w:rsidR="0033310C" w:rsidRPr="0033310C" w:rsidRDefault="0033310C" w:rsidP="00623C32">
            <w:pPr>
              <w:pStyle w:val="NoSpacing"/>
            </w:pPr>
          </w:p>
        </w:tc>
        <w:tc>
          <w:tcPr>
            <w:tcW w:w="0" w:type="auto"/>
            <w:hideMark/>
          </w:tcPr>
          <w:p w14:paraId="3339CFDA" w14:textId="77777777" w:rsidR="0033310C" w:rsidRPr="0033310C" w:rsidRDefault="0033310C" w:rsidP="00623C32">
            <w:pPr>
              <w:pStyle w:val="NoSpacing"/>
            </w:pPr>
            <w:r w:rsidRPr="0033310C">
              <w:t>–</w:t>
            </w:r>
          </w:p>
        </w:tc>
        <w:tc>
          <w:tcPr>
            <w:tcW w:w="0" w:type="auto"/>
            <w:hideMark/>
          </w:tcPr>
          <w:p w14:paraId="4BE7AA19" w14:textId="77777777" w:rsidR="0033310C" w:rsidRPr="0033310C" w:rsidRDefault="0033310C" w:rsidP="00623C32">
            <w:pPr>
              <w:pStyle w:val="NoSpacing"/>
            </w:pPr>
          </w:p>
        </w:tc>
      </w:tr>
      <w:tr w:rsidR="0033310C" w:rsidRPr="0033310C" w14:paraId="35F8F8A6" w14:textId="77777777" w:rsidTr="00623C32">
        <w:tc>
          <w:tcPr>
            <w:tcW w:w="0" w:type="auto"/>
            <w:hideMark/>
          </w:tcPr>
          <w:p w14:paraId="5E30C146" w14:textId="77777777" w:rsidR="0033310C" w:rsidRPr="0033310C" w:rsidRDefault="0033310C" w:rsidP="00623C32">
            <w:pPr>
              <w:pStyle w:val="NoSpacing"/>
            </w:pPr>
            <w:r w:rsidRPr="0033310C">
              <w:t>Schwarz criterion</w:t>
            </w:r>
          </w:p>
        </w:tc>
        <w:tc>
          <w:tcPr>
            <w:tcW w:w="0" w:type="auto"/>
            <w:hideMark/>
          </w:tcPr>
          <w:p w14:paraId="0F739611" w14:textId="77777777" w:rsidR="0033310C" w:rsidRPr="0033310C" w:rsidRDefault="0033310C" w:rsidP="00623C32">
            <w:pPr>
              <w:pStyle w:val="NoSpacing"/>
            </w:pPr>
            <w:r w:rsidRPr="0033310C">
              <w:t>2682.14</w:t>
            </w:r>
          </w:p>
        </w:tc>
        <w:tc>
          <w:tcPr>
            <w:tcW w:w="0" w:type="auto"/>
            <w:hideMark/>
          </w:tcPr>
          <w:p w14:paraId="6050B269" w14:textId="77777777" w:rsidR="0033310C" w:rsidRPr="0033310C" w:rsidRDefault="0033310C" w:rsidP="00623C32">
            <w:pPr>
              <w:pStyle w:val="NoSpacing"/>
            </w:pPr>
          </w:p>
        </w:tc>
        <w:tc>
          <w:tcPr>
            <w:tcW w:w="0" w:type="auto"/>
            <w:hideMark/>
          </w:tcPr>
          <w:p w14:paraId="12D954BE" w14:textId="77777777" w:rsidR="0033310C" w:rsidRPr="0033310C" w:rsidRDefault="0033310C" w:rsidP="00623C32">
            <w:pPr>
              <w:pStyle w:val="NoSpacing"/>
            </w:pPr>
            <w:r w:rsidRPr="0033310C">
              <w:t>–</w:t>
            </w:r>
          </w:p>
        </w:tc>
        <w:tc>
          <w:tcPr>
            <w:tcW w:w="0" w:type="auto"/>
            <w:hideMark/>
          </w:tcPr>
          <w:p w14:paraId="3694B465" w14:textId="77777777" w:rsidR="0033310C" w:rsidRPr="0033310C" w:rsidRDefault="0033310C" w:rsidP="00623C32">
            <w:pPr>
              <w:pStyle w:val="NoSpacing"/>
            </w:pPr>
          </w:p>
        </w:tc>
        <w:tc>
          <w:tcPr>
            <w:tcW w:w="0" w:type="auto"/>
            <w:hideMark/>
          </w:tcPr>
          <w:p w14:paraId="01D96973" w14:textId="77777777" w:rsidR="0033310C" w:rsidRPr="0033310C" w:rsidRDefault="0033310C" w:rsidP="00623C32">
            <w:pPr>
              <w:pStyle w:val="NoSpacing"/>
            </w:pPr>
            <w:r w:rsidRPr="0033310C">
              <w:t>–</w:t>
            </w:r>
          </w:p>
        </w:tc>
        <w:tc>
          <w:tcPr>
            <w:tcW w:w="0" w:type="auto"/>
            <w:hideMark/>
          </w:tcPr>
          <w:p w14:paraId="0CAF23B1" w14:textId="77777777" w:rsidR="0033310C" w:rsidRPr="0033310C" w:rsidRDefault="0033310C" w:rsidP="00623C32">
            <w:pPr>
              <w:pStyle w:val="NoSpacing"/>
            </w:pPr>
          </w:p>
        </w:tc>
      </w:tr>
      <w:tr w:rsidR="0033310C" w:rsidRPr="0033310C" w14:paraId="534DFC11" w14:textId="77777777" w:rsidTr="00623C32">
        <w:tc>
          <w:tcPr>
            <w:tcW w:w="0" w:type="auto"/>
            <w:hideMark/>
          </w:tcPr>
          <w:p w14:paraId="2B67BD61" w14:textId="77777777" w:rsidR="0033310C" w:rsidRPr="0033310C" w:rsidRDefault="0033310C" w:rsidP="00623C32">
            <w:pPr>
              <w:pStyle w:val="NoSpacing"/>
            </w:pPr>
            <w:r w:rsidRPr="0033310C">
              <w:t>Breusch–Pagan Test</w:t>
            </w:r>
          </w:p>
        </w:tc>
        <w:tc>
          <w:tcPr>
            <w:tcW w:w="0" w:type="auto"/>
            <w:hideMark/>
          </w:tcPr>
          <w:p w14:paraId="45D90EED" w14:textId="033EA852" w:rsidR="0033310C" w:rsidRPr="0033310C" w:rsidRDefault="0033310C" w:rsidP="00623C32">
            <w:pPr>
              <w:pStyle w:val="NoSpacing"/>
            </w:pPr>
            <w:r w:rsidRPr="0033310C">
              <w:t>41.44</w:t>
            </w:r>
            <w:r w:rsidRPr="0033310C">
              <w:rPr>
                <w:rFonts w:ascii="Tahoma" w:hAnsi="Tahoma" w:cs="Tahoma"/>
                <w:vertAlign w:val="superscript"/>
              </w:rPr>
              <w:t>⁎⁎</w:t>
            </w:r>
          </w:p>
        </w:tc>
        <w:tc>
          <w:tcPr>
            <w:tcW w:w="0" w:type="auto"/>
            <w:hideMark/>
          </w:tcPr>
          <w:p w14:paraId="331E6806" w14:textId="77777777" w:rsidR="0033310C" w:rsidRPr="0033310C" w:rsidRDefault="0033310C" w:rsidP="00623C32">
            <w:pPr>
              <w:pStyle w:val="NoSpacing"/>
            </w:pPr>
          </w:p>
        </w:tc>
        <w:tc>
          <w:tcPr>
            <w:tcW w:w="0" w:type="auto"/>
            <w:hideMark/>
          </w:tcPr>
          <w:p w14:paraId="3089846C" w14:textId="77777777" w:rsidR="0033310C" w:rsidRPr="0033310C" w:rsidRDefault="0033310C" w:rsidP="00623C32">
            <w:pPr>
              <w:pStyle w:val="NoSpacing"/>
            </w:pPr>
            <w:r w:rsidRPr="0033310C">
              <w:t>–</w:t>
            </w:r>
          </w:p>
        </w:tc>
        <w:tc>
          <w:tcPr>
            <w:tcW w:w="0" w:type="auto"/>
            <w:hideMark/>
          </w:tcPr>
          <w:p w14:paraId="26A9FFB3" w14:textId="77777777" w:rsidR="0033310C" w:rsidRPr="0033310C" w:rsidRDefault="0033310C" w:rsidP="00623C32">
            <w:pPr>
              <w:pStyle w:val="NoSpacing"/>
            </w:pPr>
          </w:p>
        </w:tc>
        <w:tc>
          <w:tcPr>
            <w:tcW w:w="0" w:type="auto"/>
            <w:hideMark/>
          </w:tcPr>
          <w:p w14:paraId="62C32F0C" w14:textId="77777777" w:rsidR="0033310C" w:rsidRPr="0033310C" w:rsidRDefault="0033310C" w:rsidP="00623C32">
            <w:pPr>
              <w:pStyle w:val="NoSpacing"/>
            </w:pPr>
            <w:r w:rsidRPr="0033310C">
              <w:t>–</w:t>
            </w:r>
          </w:p>
        </w:tc>
        <w:tc>
          <w:tcPr>
            <w:tcW w:w="0" w:type="auto"/>
            <w:hideMark/>
          </w:tcPr>
          <w:p w14:paraId="74F0C1F6" w14:textId="77777777" w:rsidR="0033310C" w:rsidRPr="0033310C" w:rsidRDefault="0033310C" w:rsidP="00623C32">
            <w:pPr>
              <w:pStyle w:val="NoSpacing"/>
            </w:pPr>
          </w:p>
        </w:tc>
      </w:tr>
      <w:bookmarkEnd w:id="77"/>
      <w:tr w:rsidR="0033310C" w:rsidRPr="0033310C" w14:paraId="31F95158" w14:textId="77777777" w:rsidTr="00623C32">
        <w:tc>
          <w:tcPr>
            <w:tcW w:w="0" w:type="auto"/>
            <w:hideMark/>
          </w:tcPr>
          <w:p w14:paraId="71CC0232" w14:textId="77777777" w:rsidR="0033310C" w:rsidRPr="0033310C" w:rsidRDefault="0033310C" w:rsidP="00623C32">
            <w:pPr>
              <w:pStyle w:val="NoSpacing"/>
            </w:pPr>
            <w:proofErr w:type="spellStart"/>
            <w:r w:rsidRPr="0033310C">
              <w:t>Anselin-Kelejian</w:t>
            </w:r>
            <w:proofErr w:type="spellEnd"/>
            <w:r w:rsidRPr="0033310C">
              <w:t xml:space="preserve"> Test</w:t>
            </w:r>
          </w:p>
        </w:tc>
        <w:tc>
          <w:tcPr>
            <w:tcW w:w="0" w:type="auto"/>
            <w:hideMark/>
          </w:tcPr>
          <w:p w14:paraId="3A7D3931" w14:textId="77777777" w:rsidR="0033310C" w:rsidRPr="0033310C" w:rsidRDefault="0033310C" w:rsidP="00623C32">
            <w:pPr>
              <w:pStyle w:val="NoSpacing"/>
            </w:pPr>
            <w:r w:rsidRPr="0033310C">
              <w:t>–</w:t>
            </w:r>
          </w:p>
        </w:tc>
        <w:tc>
          <w:tcPr>
            <w:tcW w:w="0" w:type="auto"/>
            <w:hideMark/>
          </w:tcPr>
          <w:p w14:paraId="7107DE8B" w14:textId="77777777" w:rsidR="0033310C" w:rsidRPr="0033310C" w:rsidRDefault="0033310C" w:rsidP="00623C32">
            <w:pPr>
              <w:pStyle w:val="NoSpacing"/>
            </w:pPr>
          </w:p>
        </w:tc>
        <w:tc>
          <w:tcPr>
            <w:tcW w:w="0" w:type="auto"/>
            <w:hideMark/>
          </w:tcPr>
          <w:p w14:paraId="55F18137" w14:textId="77777777" w:rsidR="0033310C" w:rsidRPr="0033310C" w:rsidRDefault="0033310C" w:rsidP="00623C32">
            <w:pPr>
              <w:pStyle w:val="NoSpacing"/>
            </w:pPr>
            <w:r w:rsidRPr="0033310C">
              <w:t>1.48</w:t>
            </w:r>
          </w:p>
        </w:tc>
        <w:tc>
          <w:tcPr>
            <w:tcW w:w="0" w:type="auto"/>
            <w:hideMark/>
          </w:tcPr>
          <w:p w14:paraId="2CF70B99" w14:textId="77777777" w:rsidR="0033310C" w:rsidRPr="0033310C" w:rsidRDefault="0033310C" w:rsidP="00623C32">
            <w:pPr>
              <w:pStyle w:val="NoSpacing"/>
            </w:pPr>
          </w:p>
        </w:tc>
        <w:tc>
          <w:tcPr>
            <w:tcW w:w="0" w:type="auto"/>
            <w:hideMark/>
          </w:tcPr>
          <w:p w14:paraId="1C84C6A6" w14:textId="77777777" w:rsidR="0033310C" w:rsidRPr="0033310C" w:rsidRDefault="0033310C" w:rsidP="00623C32">
            <w:pPr>
              <w:pStyle w:val="NoSpacing"/>
            </w:pPr>
            <w:r w:rsidRPr="0033310C">
              <w:t>0.10</w:t>
            </w:r>
          </w:p>
        </w:tc>
        <w:tc>
          <w:tcPr>
            <w:tcW w:w="0" w:type="auto"/>
            <w:hideMark/>
          </w:tcPr>
          <w:p w14:paraId="2CC58E85" w14:textId="77777777" w:rsidR="0033310C" w:rsidRPr="0033310C" w:rsidRDefault="0033310C" w:rsidP="00623C32">
            <w:pPr>
              <w:pStyle w:val="NoSpacing"/>
            </w:pPr>
          </w:p>
        </w:tc>
      </w:tr>
      <w:tr w:rsidR="0033310C" w:rsidRPr="0033310C" w14:paraId="7F71A60A" w14:textId="77777777" w:rsidTr="00623C32">
        <w:tc>
          <w:tcPr>
            <w:tcW w:w="0" w:type="auto"/>
            <w:hideMark/>
          </w:tcPr>
          <w:p w14:paraId="44B26C51" w14:textId="77777777" w:rsidR="0033310C" w:rsidRPr="0033310C" w:rsidRDefault="0033310C" w:rsidP="00623C32">
            <w:pPr>
              <w:pStyle w:val="NoSpacing"/>
            </w:pPr>
            <w:r w:rsidRPr="0033310C">
              <w:t>Global Chow Test</w:t>
            </w:r>
          </w:p>
        </w:tc>
        <w:tc>
          <w:tcPr>
            <w:tcW w:w="0" w:type="auto"/>
            <w:hideMark/>
          </w:tcPr>
          <w:p w14:paraId="0BF246FB" w14:textId="77777777" w:rsidR="0033310C" w:rsidRPr="0033310C" w:rsidRDefault="0033310C" w:rsidP="00623C32">
            <w:pPr>
              <w:pStyle w:val="NoSpacing"/>
            </w:pPr>
            <w:r w:rsidRPr="0033310C">
              <w:t>–</w:t>
            </w:r>
          </w:p>
        </w:tc>
        <w:tc>
          <w:tcPr>
            <w:tcW w:w="0" w:type="auto"/>
            <w:hideMark/>
          </w:tcPr>
          <w:p w14:paraId="6899BFB5" w14:textId="77777777" w:rsidR="0033310C" w:rsidRPr="0033310C" w:rsidRDefault="0033310C" w:rsidP="00623C32">
            <w:pPr>
              <w:pStyle w:val="NoSpacing"/>
            </w:pPr>
          </w:p>
        </w:tc>
        <w:tc>
          <w:tcPr>
            <w:tcW w:w="0" w:type="auto"/>
            <w:hideMark/>
          </w:tcPr>
          <w:p w14:paraId="6D5C6941" w14:textId="77777777" w:rsidR="0033310C" w:rsidRPr="0033310C" w:rsidRDefault="0033310C" w:rsidP="00623C32">
            <w:pPr>
              <w:pStyle w:val="NoSpacing"/>
            </w:pPr>
            <w:r w:rsidRPr="0033310C">
              <w:t>–</w:t>
            </w:r>
          </w:p>
        </w:tc>
        <w:tc>
          <w:tcPr>
            <w:tcW w:w="0" w:type="auto"/>
            <w:hideMark/>
          </w:tcPr>
          <w:p w14:paraId="0D3ECF0A" w14:textId="77777777" w:rsidR="0033310C" w:rsidRPr="0033310C" w:rsidRDefault="0033310C" w:rsidP="00623C32">
            <w:pPr>
              <w:pStyle w:val="NoSpacing"/>
            </w:pPr>
          </w:p>
        </w:tc>
        <w:tc>
          <w:tcPr>
            <w:tcW w:w="0" w:type="auto"/>
            <w:hideMark/>
          </w:tcPr>
          <w:p w14:paraId="3D995FD1" w14:textId="10417124" w:rsidR="0033310C" w:rsidRPr="0033310C" w:rsidRDefault="0033310C" w:rsidP="00623C32">
            <w:pPr>
              <w:pStyle w:val="NoSpacing"/>
            </w:pPr>
            <w:r w:rsidRPr="0033310C">
              <w:t>19.95</w:t>
            </w:r>
            <w:r w:rsidRPr="0033310C">
              <w:rPr>
                <w:rFonts w:ascii="Tahoma" w:hAnsi="Tahoma" w:cs="Tahoma"/>
                <w:vertAlign w:val="superscript"/>
              </w:rPr>
              <w:t>⁎</w:t>
            </w:r>
          </w:p>
        </w:tc>
        <w:tc>
          <w:tcPr>
            <w:tcW w:w="0" w:type="auto"/>
            <w:hideMark/>
          </w:tcPr>
          <w:p w14:paraId="3FFD9CB5" w14:textId="77777777" w:rsidR="0033310C" w:rsidRPr="0033310C" w:rsidRDefault="0033310C" w:rsidP="00623C32">
            <w:pPr>
              <w:pStyle w:val="NoSpacing"/>
            </w:pPr>
          </w:p>
        </w:tc>
      </w:tr>
    </w:tbl>
    <w:bookmarkEnd w:id="78"/>
    <w:p w14:paraId="675F448F" w14:textId="561D4395" w:rsidR="0033310C" w:rsidRPr="0033310C" w:rsidRDefault="0033310C" w:rsidP="00D32DB9">
      <w:pPr>
        <w:pStyle w:val="NoSpacing"/>
      </w:pPr>
      <w:r w:rsidRPr="0033310C">
        <w:rPr>
          <w:rFonts w:ascii="Tahoma" w:hAnsi="Tahoma" w:cs="Tahoma"/>
        </w:rPr>
        <w:t>⁎</w:t>
      </w:r>
      <w:r w:rsidRPr="0033310C">
        <w:rPr>
          <w:i/>
          <w:iCs/>
        </w:rPr>
        <w:t>p</w:t>
      </w:r>
      <w:r w:rsidRPr="0033310C">
        <w:t> &lt; .05.</w:t>
      </w:r>
    </w:p>
    <w:p w14:paraId="4C81B401" w14:textId="37D3C435" w:rsidR="0033310C" w:rsidRDefault="0033310C" w:rsidP="00D32DB9">
      <w:pPr>
        <w:pStyle w:val="NoSpacing"/>
      </w:pPr>
      <w:r w:rsidRPr="0033310C">
        <w:rPr>
          <w:rFonts w:ascii="Tahoma" w:hAnsi="Tahoma" w:cs="Tahoma"/>
        </w:rPr>
        <w:t>⁎⁎</w:t>
      </w:r>
      <w:r w:rsidRPr="0033310C">
        <w:rPr>
          <w:i/>
          <w:iCs/>
        </w:rPr>
        <w:t>p</w:t>
      </w:r>
      <w:r w:rsidRPr="0033310C">
        <w:t> &lt; .01.</w:t>
      </w:r>
    </w:p>
    <w:p w14:paraId="6D189729" w14:textId="77777777" w:rsidR="00D32DB9" w:rsidRPr="0033310C" w:rsidRDefault="00D32DB9" w:rsidP="0033310C"/>
    <w:p w14:paraId="161ECD1D" w14:textId="77777777" w:rsidR="00623C32" w:rsidRDefault="00623C32" w:rsidP="0033310C">
      <w:pPr>
        <w:sectPr w:rsidR="00623C32" w:rsidSect="00881708">
          <w:pgSz w:w="15840" w:h="12240" w:orient="landscape"/>
          <w:pgMar w:top="1080" w:right="1080" w:bottom="1080" w:left="1080" w:header="720" w:footer="720" w:gutter="0"/>
          <w:cols w:space="720"/>
          <w:docGrid w:linePitch="360"/>
        </w:sectPr>
      </w:pPr>
    </w:p>
    <w:p w14:paraId="26E3742A" w14:textId="5C2256E8" w:rsidR="0033310C" w:rsidRPr="0033310C" w:rsidRDefault="0033310C" w:rsidP="0033310C">
      <w:r w:rsidRPr="0033310C">
        <w:lastRenderedPageBreak/>
        <w:t xml:space="preserve">We also examined the possibility that the relationship between alcohol outlets and robbery was moderated by social disorganization. To test for this possibility, we calculated three interaction terms (social disorganization index and total alcohol outlet density, social disorganization index and </w:t>
      </w:r>
      <w:proofErr w:type="gramStart"/>
      <w:r w:rsidRPr="0033310C">
        <w:t>on-premise</w:t>
      </w:r>
      <w:proofErr w:type="gramEnd"/>
      <w:r w:rsidRPr="0033310C">
        <w:t xml:space="preserve"> alcohol outlet density, and social disorganization index and off-premise alcohol outlet density) and included them in the analyses. The results shown in Models 10–18 revealed that none of the interaction terms significantly predicted robbery density, suggesting that off-</w:t>
      </w:r>
      <w:proofErr w:type="gramStart"/>
      <w:r w:rsidRPr="0033310C">
        <w:t>premise</w:t>
      </w:r>
      <w:proofErr w:type="gramEnd"/>
      <w:r w:rsidRPr="0033310C">
        <w:t xml:space="preserve"> alcohol outlets have an independent effect on robberies, regardless of the other neighborhood conditions examined in this study.</w:t>
      </w:r>
    </w:p>
    <w:p w14:paraId="7EEC3503" w14:textId="77777777" w:rsidR="0033310C" w:rsidRPr="0033310C" w:rsidRDefault="0033310C" w:rsidP="00C929E4">
      <w:pPr>
        <w:pStyle w:val="Heading1"/>
      </w:pPr>
      <w:r w:rsidRPr="0033310C">
        <w:t>4. Discussion</w:t>
      </w:r>
    </w:p>
    <w:p w14:paraId="46BAB86A" w14:textId="77777777" w:rsidR="0033310C" w:rsidRPr="0033310C" w:rsidRDefault="0033310C" w:rsidP="0033310C">
      <w:r w:rsidRPr="0033310C">
        <w:t>This study examined the role that alcohol outlets (e.g., bars and restaurants, and liquor and convenience stores) play in community robbery incidents. It extends previous research by providing a more nuanced picture of the association between alcohol outlets and robberies. We achieved this by controlling for important contextual characteristics of neighborhoods and including measures of sociodemographic composition that might influence the association between alcohol outlets and robberies. Also, we used a direct measure of social disorganization that we operationalized as an index consisting of ethnic heterogeneity, residential instability, poverty, and single parent households.</w:t>
      </w:r>
    </w:p>
    <w:p w14:paraId="04418BF5" w14:textId="75CF982E" w:rsidR="0033310C" w:rsidRPr="0033310C" w:rsidRDefault="0033310C" w:rsidP="0033310C">
      <w:r w:rsidRPr="0033310C">
        <w:t xml:space="preserve">The findings of this study show some support for the proposed hypotheses. Areas that have higher densities of various types of alcohol outlets appear to have higher densities of robberies after controlling for individual neighborhood characteristics that are often associated with robberies (e.g., population density, proportion of the population that are young, proportion of households that are single parent households, etc.). Additionally, areas that have higher densities of </w:t>
      </w:r>
      <w:proofErr w:type="gramStart"/>
      <w:r w:rsidRPr="0033310C">
        <w:t>on-premise</w:t>
      </w:r>
      <w:proofErr w:type="gramEnd"/>
      <w:r w:rsidRPr="0033310C">
        <w:t xml:space="preserve"> alcohol outlets (e.g., bars and restaurants) appear to have higher densities of robberies, net of control variables; although, the borderline significance value prohibits us from making strong conclusions. Lastly, areas that have higher densities of off-</w:t>
      </w:r>
      <w:proofErr w:type="gramStart"/>
      <w:r w:rsidRPr="0033310C">
        <w:t>premise</w:t>
      </w:r>
      <w:proofErr w:type="gramEnd"/>
      <w:r w:rsidRPr="0033310C">
        <w:t xml:space="preserve"> alcohol outlets (e.g., convenience stores and liquor stores) also appear to have higher densities of robberies, net of control variables. Neighborhoods with high availability of alcohol outlets can serve as social attractors (Parker, 1993); they can attract robberies by bringing a flow of unguarded vulnerable victims or generate robberies by providing public places that are easily accessible to the public (e.g., places that are located on main street, or near public transportation stations) and lack place managers (Brantingham and Brantingham, 1995, Eck, 1995</w:t>
      </w:r>
      <w:bookmarkEnd w:id="14"/>
      <w:r w:rsidRPr="0033310C">
        <w:t>). For example, neighborhoods with high availability of bars produce at closing time intoxicated patrons who are vulnerable victims and could be a suitable target for robbery, while liquor stores lack effective guardianship once the patron leaves the premise and becomes vulnerable and a suitable target for robbery. Additionally, alcohol outlets attract crime by providing a social group context in which social interactions occur (Parker, 1993</w:t>
      </w:r>
      <w:bookmarkEnd w:id="13"/>
      <w:r w:rsidRPr="0033310C">
        <w:t>). Routine activities of individuals often involve meeting and socializing at bars or restaurants and the routine activities within this social group context can expose individuals to situations in which they become victims of robberies.</w:t>
      </w:r>
    </w:p>
    <w:p w14:paraId="61A2FA7D" w14:textId="5BD161F6" w:rsidR="0033310C" w:rsidRPr="0033310C" w:rsidRDefault="0033310C" w:rsidP="0033310C">
      <w:r w:rsidRPr="0033310C">
        <w:t xml:space="preserve">The findings of this study regarding the association between various types of alcohol outlets and robbery are </w:t>
      </w:r>
      <w:proofErr w:type="gramStart"/>
      <w:r w:rsidRPr="0033310C">
        <w:t>similar to</w:t>
      </w:r>
      <w:proofErr w:type="gramEnd"/>
      <w:r w:rsidRPr="0033310C">
        <w:t xml:space="preserve"> that of </w:t>
      </w:r>
      <w:proofErr w:type="spellStart"/>
      <w:r w:rsidRPr="0033310C">
        <w:t>Bernasco</w:t>
      </w:r>
      <w:proofErr w:type="spellEnd"/>
      <w:r w:rsidRPr="0033310C">
        <w:t xml:space="preserve"> et al. (2013) and </w:t>
      </w:r>
      <w:proofErr w:type="spellStart"/>
      <w:r w:rsidRPr="0033310C">
        <w:t>Bernasco</w:t>
      </w:r>
      <w:proofErr w:type="spellEnd"/>
      <w:r w:rsidRPr="0033310C">
        <w:t xml:space="preserve"> and Block (2011). </w:t>
      </w:r>
      <w:proofErr w:type="spellStart"/>
      <w:r w:rsidRPr="0033310C">
        <w:t>Bernasco</w:t>
      </w:r>
      <w:proofErr w:type="spellEnd"/>
      <w:r w:rsidRPr="0033310C">
        <w:t xml:space="preserve"> and Block (2011), found that blocks with bars and clubs, as well as liquor stores, inside their boundaries had the highest robbery count even after controlling for poverty, percentage of African American, and ethnic heterogeneity of Chicago census blocks. </w:t>
      </w:r>
      <w:proofErr w:type="spellStart"/>
      <w:r w:rsidRPr="0033310C">
        <w:t>Bernasco</w:t>
      </w:r>
      <w:proofErr w:type="spellEnd"/>
      <w:r w:rsidRPr="0033310C">
        <w:t xml:space="preserve"> et al. (2013)</w:t>
      </w:r>
      <w:bookmarkEnd w:id="6"/>
      <w:r w:rsidRPr="0033310C">
        <w:t> found that the odds of a block being selected for robbery was 38% for blocks that contained liquor stores and 20% for blocks that contained bars and clubs. Additionally, Smith et al. (2000) found that the number of retail businesses (e.g., bars, restaurants, gas stations) was positively associated with street robbery, even after controlling for the number of single parent households, distance from center of city, the number of African Americans, and racial heterogeneity of Census face blocks of a medium sized southeastern U.S. city.</w:t>
      </w:r>
    </w:p>
    <w:p w14:paraId="44706800" w14:textId="77777777" w:rsidR="0033310C" w:rsidRPr="0033310C" w:rsidRDefault="0033310C" w:rsidP="0033310C">
      <w:r w:rsidRPr="0033310C">
        <w:lastRenderedPageBreak/>
        <w:t>Additionally, we found that when directly accounting for social disorganization levels of Milwaukee block groups, the association remained only between off-</w:t>
      </w:r>
      <w:proofErr w:type="gramStart"/>
      <w:r w:rsidRPr="0033310C">
        <w:t>premise</w:t>
      </w:r>
      <w:proofErr w:type="gramEnd"/>
      <w:r w:rsidRPr="0033310C">
        <w:t xml:space="preserve"> alcohol outlet density and robbery density. This finding is different from Nielsen and Martinez’s (2003) study who found that total alcohol outlet density was associated with robbery when using data aggregated to Miami census tracts, even when controlling for census tract disadvantage index. Given our findings, it appears that in Milwaukee the role of social disorganization better explains robberies that occur in the city relative to all types of alcohol outlets and </w:t>
      </w:r>
      <w:proofErr w:type="gramStart"/>
      <w:r w:rsidRPr="0033310C">
        <w:t>on-premise</w:t>
      </w:r>
      <w:proofErr w:type="gramEnd"/>
      <w:r w:rsidRPr="0033310C">
        <w:t xml:space="preserve"> alcohol outlets, except for off-premise alcohol outlets. This particular finding on the association between off-</w:t>
      </w:r>
      <w:proofErr w:type="gramStart"/>
      <w:r w:rsidRPr="0033310C">
        <w:t>premise</w:t>
      </w:r>
      <w:proofErr w:type="gramEnd"/>
      <w:r w:rsidRPr="0033310C">
        <w:t xml:space="preserve"> alcohol outlet density and robbery suggests an important influence of this type of alcohol outlet on violence, relative to that of all types of alcohol outlets and of on-premise alcohol outlets (e.g., bars, restaurants).</w:t>
      </w:r>
    </w:p>
    <w:p w14:paraId="275292A1" w14:textId="0EECDEAA" w:rsidR="0033310C" w:rsidRPr="0033310C" w:rsidRDefault="0033310C" w:rsidP="0033310C">
      <w:r w:rsidRPr="0033310C">
        <w:t>Off-</w:t>
      </w:r>
      <w:proofErr w:type="gramStart"/>
      <w:r w:rsidRPr="0033310C">
        <w:t>premise</w:t>
      </w:r>
      <w:proofErr w:type="gramEnd"/>
      <w:r w:rsidRPr="0033310C">
        <w:t xml:space="preserve"> alcohol outlets (e.g., liquor or convenience stores) may contribute to robbery in various ways. First, they may be a risky type of micro-place within neighborhoods where surveillance and guardianship </w:t>
      </w:r>
      <w:proofErr w:type="gramStart"/>
      <w:r w:rsidRPr="0033310C">
        <w:t>is</w:t>
      </w:r>
      <w:proofErr w:type="gramEnd"/>
      <w:r w:rsidRPr="0033310C">
        <w:t xml:space="preserve"> low, relative to on-premise alcohol outlets. In bars, for example, there may be staff working at the door whose function is to look out for problematic behavior in and around the bars. In liquor stores, on the other hand, surveillance may end the moment a patron leaves the premise. Second, off-</w:t>
      </w:r>
      <w:proofErr w:type="gramStart"/>
      <w:r w:rsidRPr="0033310C">
        <w:t>premise</w:t>
      </w:r>
      <w:proofErr w:type="gramEnd"/>
      <w:r w:rsidRPr="0033310C">
        <w:t xml:space="preserve"> alcohol outlets may compete with other alcohol outlets for their market share of customers and provide lower prices, so that greater concentration of off-premise alcohol outlets in a given neighborhood could result in a greater availability of alcoholic beverages and a concentration of vulnerable, intoxicated individuals in those neighborhoods. This is especially important in the context of off-</w:t>
      </w:r>
      <w:proofErr w:type="gramStart"/>
      <w:r w:rsidRPr="0033310C">
        <w:t>premise</w:t>
      </w:r>
      <w:proofErr w:type="gramEnd"/>
      <w:r w:rsidRPr="0033310C">
        <w:t xml:space="preserve"> alcohol outlets, which typically are used as “de facto taverns” in urban settings such as Milwaukee. Third, off-</w:t>
      </w:r>
      <w:proofErr w:type="gramStart"/>
      <w:r w:rsidRPr="0033310C">
        <w:t>premise</w:t>
      </w:r>
      <w:proofErr w:type="gramEnd"/>
      <w:r w:rsidRPr="0033310C">
        <w:t xml:space="preserve"> alcohol outlets may contribute to robberies because they are (1) crime attractors and their function makes them well suited for motivated offenders to find attractive and weakly guarded victims or targets (Brantingham and Brantingham, 1995), or (2) crime generators and they bring together to its location particular type of offenders and targets (Brantingham and Brantingham, 1995</w:t>
      </w:r>
      <w:bookmarkEnd w:id="7"/>
      <w:r w:rsidRPr="0033310C">
        <w:t>, Gorman et al., 2013</w:t>
      </w:r>
      <w:bookmarkEnd w:id="10"/>
      <w:r w:rsidRPr="0033310C">
        <w:t>). Quite possibly, the risk of being robbed may vary by age and gender characteristics of off-</w:t>
      </w:r>
      <w:proofErr w:type="gramStart"/>
      <w:r w:rsidRPr="0033310C">
        <w:t>premise</w:t>
      </w:r>
      <w:proofErr w:type="gramEnd"/>
      <w:r w:rsidRPr="0033310C">
        <w:t xml:space="preserve"> outlet patrons and staff (</w:t>
      </w:r>
      <w:bookmarkStart w:id="79" w:name="bb0265"/>
      <w:r w:rsidRPr="0033310C">
        <w:t>Tita and Griffiths, 2005</w:t>
      </w:r>
      <w:bookmarkEnd w:id="79"/>
      <w:r w:rsidRPr="0033310C">
        <w:t>), as well as other types of off-premise alcohol outlet characteristics. There might be something about the characteristics of off-</w:t>
      </w:r>
      <w:proofErr w:type="gramStart"/>
      <w:r w:rsidRPr="0033310C">
        <w:t>premise</w:t>
      </w:r>
      <w:proofErr w:type="gramEnd"/>
      <w:r w:rsidRPr="0033310C">
        <w:t xml:space="preserve"> alcohol outlets themselves that contribute to robberies, such as business policies and practices, the types of customers who visit the outlets, the employees who work there, or the appearance of the immediate environment around the outlet (</w:t>
      </w:r>
      <w:bookmarkStart w:id="80" w:name="bb0255"/>
      <w:r w:rsidRPr="0033310C">
        <w:t>Snowden and Pridemore, 2014</w:t>
      </w:r>
      <w:bookmarkEnd w:id="80"/>
      <w:r w:rsidRPr="0033310C">
        <w:t>). Thus, more work is warranted in identifying off-</w:t>
      </w:r>
      <w:proofErr w:type="gramStart"/>
      <w:r w:rsidRPr="0033310C">
        <w:t>premise</w:t>
      </w:r>
      <w:proofErr w:type="gramEnd"/>
      <w:r w:rsidRPr="0033310C">
        <w:t xml:space="preserve"> alcohol outlet characteristics and their role in violence in general and in robbery in particular.</w:t>
      </w:r>
    </w:p>
    <w:p w14:paraId="25D00108" w14:textId="77777777" w:rsidR="0033310C" w:rsidRPr="0033310C" w:rsidRDefault="0033310C" w:rsidP="00C929E4">
      <w:pPr>
        <w:pStyle w:val="Heading2"/>
      </w:pPr>
      <w:r w:rsidRPr="0033310C">
        <w:t>4.1. Limitations</w:t>
      </w:r>
    </w:p>
    <w:p w14:paraId="37C461E1" w14:textId="3955E0D5" w:rsidR="0033310C" w:rsidRPr="0033310C" w:rsidRDefault="0033310C" w:rsidP="0033310C">
      <w:r w:rsidRPr="0033310C">
        <w:t xml:space="preserve">There are a few limitations to consider </w:t>
      </w:r>
      <w:proofErr w:type="gramStart"/>
      <w:r w:rsidRPr="0033310C">
        <w:t>in light of</w:t>
      </w:r>
      <w:proofErr w:type="gramEnd"/>
      <w:r w:rsidRPr="0033310C">
        <w:t xml:space="preserve"> our findings. First, we used data that included robbery incidents that were </w:t>
      </w:r>
      <w:proofErr w:type="gramStart"/>
      <w:r w:rsidRPr="0033310C">
        <w:t>actually reported</w:t>
      </w:r>
      <w:proofErr w:type="gramEnd"/>
      <w:r w:rsidRPr="0033310C">
        <w:t xml:space="preserve"> to the police. A large proportion of robberies possibly go unreported, especially in instances of robberies in the context of illicit markets. Because data are recorded by one recording office within the Milwaukee Police Department, differences in reporting across units of analysis may present less of a problem. However, this would still leave a problem with differential reporting to the police. </w:t>
      </w:r>
      <w:bookmarkStart w:id="81" w:name="bb0020"/>
      <w:proofErr w:type="spellStart"/>
      <w:r w:rsidRPr="0033310C">
        <w:t>Baumer</w:t>
      </w:r>
      <w:proofErr w:type="spellEnd"/>
      <w:r w:rsidRPr="0033310C">
        <w:t xml:space="preserve"> (2002)</w:t>
      </w:r>
      <w:bookmarkEnd w:id="81"/>
      <w:r w:rsidRPr="0033310C">
        <w:t xml:space="preserve"> found differential reporting of less serious crimes to police by socioeconomic disadvantage, and this could have an influence on results based on police robbery data. Second, the robbery data that we obtained does not allow us to examine the association between alcohol outlets and different types of robberies (e.g., street versus commercial) that occurred in Milwaukee. It is possible that the effect of alcohol outlets on various types of robberies would be different, as motivations and opportunities to commit different types of robberies in different contexts may vary. An additional limitation is associated with the unit of analysis (i.e., census block group) used in this study. While the census block group is a commonly used unit of analysis in neighborhood level studies of </w:t>
      </w:r>
      <w:proofErr w:type="gramStart"/>
      <w:r w:rsidRPr="0033310C">
        <w:t>violence, and</w:t>
      </w:r>
      <w:proofErr w:type="gramEnd"/>
      <w:r w:rsidRPr="0033310C">
        <w:t xml:space="preserve"> is better theoretically grounded than the use of census tracts, zip codes, or counties, it contains artificially imposed boundaries that are used to capture neighborhood boundaries. The use of street segments that are comprised of street blocks, or street corners and block faces (e.g., </w:t>
      </w:r>
      <w:bookmarkStart w:id="82" w:name="bb0045"/>
      <w:r w:rsidRPr="0033310C">
        <w:t xml:space="preserve">Braga et al., </w:t>
      </w:r>
      <w:r w:rsidRPr="0033310C">
        <w:lastRenderedPageBreak/>
        <w:t>2011</w:t>
      </w:r>
      <w:bookmarkEnd w:id="82"/>
      <w:r w:rsidRPr="0033310C">
        <w:t>, Groff and Lockwood, 2014</w:t>
      </w:r>
      <w:bookmarkEnd w:id="37"/>
      <w:r w:rsidRPr="0033310C">
        <w:t>, Smith et al., 2000</w:t>
      </w:r>
      <w:bookmarkEnd w:id="8"/>
      <w:r w:rsidRPr="0033310C">
        <w:t>) might better represent natural neighborhood boundaries and reduce the likelihood of pattern obfuscation (</w:t>
      </w:r>
      <w:bookmarkStart w:id="83" w:name="bb0005"/>
      <w:r w:rsidRPr="0033310C">
        <w:t xml:space="preserve">Andersen and </w:t>
      </w:r>
      <w:proofErr w:type="spellStart"/>
      <w:r w:rsidRPr="0033310C">
        <w:t>Malleson</w:t>
      </w:r>
      <w:proofErr w:type="spellEnd"/>
      <w:r w:rsidRPr="0033310C">
        <w:t>, 2011</w:t>
      </w:r>
      <w:bookmarkEnd w:id="83"/>
      <w:r w:rsidRPr="0033310C">
        <w:t xml:space="preserve">), making it a more appropriate spatial unit of analysis for estimating the association of alcohol outlets and neighborhood robbery occurrences. Fourth, our study does not control for the influence of other retail establishments that might serve as crime attractors (e.g., gas stations, laundromats, pawn shops, check cashing services, vice-related incidents) on neighborhood robbery levels, or directly test for availability of vulnerable targets (e.g., number of intoxicated individuals). Lastly, our data does not allow us to examine the proximity of alcohol outlets to other retail stores, main streets, intersections, or bus stops which could also contribute to neighborhood robbery levels. </w:t>
      </w:r>
      <w:proofErr w:type="gramStart"/>
      <w:r w:rsidRPr="0033310C">
        <w:t>In spite of</w:t>
      </w:r>
      <w:proofErr w:type="gramEnd"/>
      <w:r w:rsidRPr="0033310C">
        <w:t xml:space="preserve"> these limitations, our study was carefully designed to advance our understanding of the relationship between alcohol outlets and robbery using data from a large urban city. This study achieved this by using spatially informed models that controlled for several neighborhood characteristics, disaggregating alcohol outlets into different types for the purposes of analyses, and directly testing for the influence of social disorganization on robberies and the moderating effect of social disorganization on the association between alcohol outlets and robberies.</w:t>
      </w:r>
    </w:p>
    <w:p w14:paraId="03EBC3A4" w14:textId="77777777" w:rsidR="0033310C" w:rsidRPr="0033310C" w:rsidRDefault="0033310C" w:rsidP="00C929E4">
      <w:pPr>
        <w:pStyle w:val="Heading1"/>
      </w:pPr>
      <w:r w:rsidRPr="0033310C">
        <w:t>5. Conclusions</w:t>
      </w:r>
    </w:p>
    <w:p w14:paraId="06BD2853" w14:textId="5F4701FB" w:rsidR="0033310C" w:rsidRPr="0033310C" w:rsidRDefault="0033310C" w:rsidP="0033310C">
      <w:r w:rsidRPr="0033310C">
        <w:t>Robbery is a serious violent crime. The role of alcohol outlets in robbery incidents was noted in recent studies (e.g., </w:t>
      </w:r>
      <w:proofErr w:type="spellStart"/>
      <w:r w:rsidRPr="0033310C">
        <w:t>Bernasco</w:t>
      </w:r>
      <w:proofErr w:type="spellEnd"/>
      <w:r w:rsidRPr="0033310C">
        <w:t xml:space="preserve"> and Block, 2011</w:t>
      </w:r>
      <w:bookmarkEnd w:id="5"/>
      <w:r w:rsidRPr="0033310C">
        <w:t>) and our study confirms that concentrations of off-</w:t>
      </w:r>
      <w:proofErr w:type="gramStart"/>
      <w:r w:rsidRPr="0033310C">
        <w:t>premise</w:t>
      </w:r>
      <w:proofErr w:type="gramEnd"/>
      <w:r w:rsidRPr="0033310C">
        <w:t xml:space="preserve"> alcohol outlets (e.g., liquor or convenience stores) are important contributors to robbery incidents. It appears that one way to influence a violent event such as robbery is to influence alcohol availability levels via policy mechanisms. Reducing robbery, for example, could be achieved by (1) reducing the number of alcohol outlets that are allowed to operate within a neighborhood, (2) limiting new licenses for areas that already have outlets too close together, (3) limiting the hours and days of sales of alcoholic beverages (</w:t>
      </w:r>
      <w:bookmarkStart w:id="84" w:name="bb0175"/>
      <w:r w:rsidRPr="0033310C">
        <w:t>Popova et al., 2009</w:t>
      </w:r>
      <w:bookmarkEnd w:id="84"/>
      <w:r w:rsidRPr="0033310C">
        <w:t>, </w:t>
      </w:r>
      <w:bookmarkStart w:id="85" w:name="bb0210"/>
      <w:r w:rsidRPr="0033310C">
        <w:t>Rossow and Norstrom, 2012</w:t>
      </w:r>
      <w:bookmarkEnd w:id="85"/>
      <w:r w:rsidRPr="0033310C">
        <w:t>), (4) enforcing the current laws that prohibit serving intoxicated patrons (</w:t>
      </w:r>
      <w:bookmarkStart w:id="86" w:name="bb0125"/>
      <w:r w:rsidRPr="0033310C">
        <w:t>Leonard, 2001</w:t>
      </w:r>
      <w:bookmarkEnd w:id="86"/>
      <w:r w:rsidRPr="0033310C">
        <w:t xml:space="preserve">), (5) permanently closing outlets that continually violate liquor laws. Reducing the number of outlets where alcohol can be purchased and carried out for consumption elsewhere (e.g., liquor stores), may especially be important </w:t>
      </w:r>
      <w:proofErr w:type="gramStart"/>
      <w:r w:rsidRPr="0033310C">
        <w:t>in light of</w:t>
      </w:r>
      <w:proofErr w:type="gramEnd"/>
      <w:r w:rsidRPr="0033310C">
        <w:t xml:space="preserve"> the findings from this study. As </w:t>
      </w:r>
      <w:bookmarkStart w:id="87" w:name="bb0105"/>
      <w:r w:rsidRPr="0033310C">
        <w:t>Gruenewald (2008)</w:t>
      </w:r>
      <w:bookmarkEnd w:id="87"/>
      <w:r w:rsidRPr="0033310C">
        <w:t> recently stated, the search for an explanation on the mechanism of how alcohol outlets influence social problems has only just begun.</w:t>
      </w:r>
    </w:p>
    <w:p w14:paraId="21C09F0B" w14:textId="77777777" w:rsidR="0033310C" w:rsidRPr="0033310C" w:rsidRDefault="0033310C" w:rsidP="00C929E4">
      <w:pPr>
        <w:pStyle w:val="Heading1"/>
      </w:pPr>
      <w:r w:rsidRPr="0033310C">
        <w:t>References</w:t>
      </w:r>
    </w:p>
    <w:p w14:paraId="36C3BE05" w14:textId="547E840B" w:rsidR="0033310C" w:rsidRPr="0033310C" w:rsidRDefault="0033310C" w:rsidP="00DB74D8">
      <w:pPr>
        <w:pStyle w:val="NoSpacing"/>
        <w:ind w:left="720" w:hanging="720"/>
      </w:pPr>
      <w:r w:rsidRPr="0033310C">
        <w:t xml:space="preserve">Andersen and </w:t>
      </w:r>
      <w:proofErr w:type="spellStart"/>
      <w:r w:rsidRPr="0033310C">
        <w:t>Malleson</w:t>
      </w:r>
      <w:proofErr w:type="spellEnd"/>
      <w:r w:rsidRPr="0033310C">
        <w:t>, 2011</w:t>
      </w:r>
      <w:r w:rsidR="00352D3F">
        <w:t xml:space="preserve"> </w:t>
      </w:r>
      <w:r w:rsidRPr="0033310C">
        <w:t>M.A. Andersen, N. </w:t>
      </w:r>
      <w:proofErr w:type="spellStart"/>
      <w:r w:rsidRPr="0033310C">
        <w:t>Malleson</w:t>
      </w:r>
      <w:proofErr w:type="spellEnd"/>
      <w:r w:rsidR="00DB74D8">
        <w:t xml:space="preserve">. </w:t>
      </w:r>
      <w:r w:rsidRPr="0033310C">
        <w:rPr>
          <w:b/>
          <w:bCs/>
        </w:rPr>
        <w:t>Testing the stability of crime patterns: implications for theory and policy</w:t>
      </w:r>
      <w:r w:rsidR="00352D3F">
        <w:t xml:space="preserve"> </w:t>
      </w:r>
      <w:r w:rsidRPr="0033310C">
        <w:t xml:space="preserve">J. Res. Crime </w:t>
      </w:r>
      <w:proofErr w:type="spellStart"/>
      <w:r w:rsidRPr="0033310C">
        <w:t>Deliquency</w:t>
      </w:r>
      <w:proofErr w:type="spellEnd"/>
      <w:r w:rsidRPr="0033310C">
        <w:t>, 48 (2011), pp. 58-82</w:t>
      </w:r>
    </w:p>
    <w:p w14:paraId="739B4A92" w14:textId="733E1B4E" w:rsidR="0033310C" w:rsidRPr="0033310C" w:rsidRDefault="0033310C" w:rsidP="00DB74D8">
      <w:pPr>
        <w:pStyle w:val="NoSpacing"/>
        <w:ind w:left="720" w:hanging="720"/>
      </w:pPr>
      <w:proofErr w:type="spellStart"/>
      <w:r w:rsidRPr="0033310C">
        <w:t>Anselin</w:t>
      </w:r>
      <w:proofErr w:type="spellEnd"/>
      <w:r w:rsidRPr="0033310C">
        <w:t>, 1996</w:t>
      </w:r>
      <w:r w:rsidR="00352D3F">
        <w:t xml:space="preserve"> </w:t>
      </w:r>
      <w:r w:rsidRPr="0033310C">
        <w:t>L. </w:t>
      </w:r>
      <w:proofErr w:type="spellStart"/>
      <w:r w:rsidRPr="0033310C">
        <w:t>Anselin</w:t>
      </w:r>
      <w:proofErr w:type="spellEnd"/>
      <w:r w:rsidR="00DB74D8">
        <w:t xml:space="preserve">. </w:t>
      </w:r>
      <w:r w:rsidRPr="0033310C">
        <w:rPr>
          <w:b/>
          <w:bCs/>
        </w:rPr>
        <w:t>The Moran scatterplot as an ESDA tool to assess local instability in spatial association</w:t>
      </w:r>
      <w:r w:rsidR="00352D3F">
        <w:t xml:space="preserve"> </w:t>
      </w:r>
      <w:r w:rsidRPr="0033310C">
        <w:t xml:space="preserve">Spatial Anal. </w:t>
      </w:r>
      <w:proofErr w:type="spellStart"/>
      <w:r w:rsidRPr="0033310C">
        <w:t>Perspect</w:t>
      </w:r>
      <w:proofErr w:type="spellEnd"/>
      <w:r w:rsidRPr="0033310C">
        <w:t>. GIS, 4 (1996), pp. 111-127</w:t>
      </w:r>
    </w:p>
    <w:p w14:paraId="0269D124" w14:textId="2C70741E" w:rsidR="0033310C" w:rsidRPr="0033310C" w:rsidRDefault="0033310C" w:rsidP="00DB74D8">
      <w:pPr>
        <w:pStyle w:val="NoSpacing"/>
        <w:ind w:left="720" w:hanging="720"/>
      </w:pPr>
      <w:proofErr w:type="spellStart"/>
      <w:r w:rsidRPr="0033310C">
        <w:t>Anselin</w:t>
      </w:r>
      <w:proofErr w:type="spellEnd"/>
      <w:r w:rsidRPr="0033310C">
        <w:t xml:space="preserve"> et al., 2006</w:t>
      </w:r>
      <w:r w:rsidR="00DA06F1">
        <w:t xml:space="preserve"> </w:t>
      </w:r>
      <w:r w:rsidRPr="0033310C">
        <w:t>L. </w:t>
      </w:r>
      <w:proofErr w:type="spellStart"/>
      <w:r w:rsidRPr="0033310C">
        <w:t>Anselin</w:t>
      </w:r>
      <w:proofErr w:type="spellEnd"/>
      <w:r w:rsidRPr="0033310C">
        <w:t>, I. </w:t>
      </w:r>
      <w:proofErr w:type="spellStart"/>
      <w:r w:rsidRPr="0033310C">
        <w:t>Syabri</w:t>
      </w:r>
      <w:proofErr w:type="spellEnd"/>
      <w:r w:rsidRPr="0033310C">
        <w:t>, Y. Kho</w:t>
      </w:r>
      <w:r w:rsidR="00DB74D8">
        <w:t xml:space="preserve">. </w:t>
      </w:r>
      <w:proofErr w:type="spellStart"/>
      <w:r w:rsidRPr="0033310C">
        <w:rPr>
          <w:b/>
          <w:bCs/>
        </w:rPr>
        <w:t>GeoDa</w:t>
      </w:r>
      <w:proofErr w:type="spellEnd"/>
      <w:r w:rsidRPr="0033310C">
        <w:rPr>
          <w:b/>
          <w:bCs/>
        </w:rPr>
        <w:t>: an introduction to spatial data analysis</w:t>
      </w:r>
      <w:r w:rsidR="00DA06F1">
        <w:t xml:space="preserve"> </w:t>
      </w:r>
      <w:proofErr w:type="spellStart"/>
      <w:r w:rsidRPr="0033310C">
        <w:t>Geogr</w:t>
      </w:r>
      <w:proofErr w:type="spellEnd"/>
      <w:r w:rsidRPr="0033310C">
        <w:t>. Anal., 38 (2006), pp. 5-22</w:t>
      </w:r>
    </w:p>
    <w:p w14:paraId="0D9D17EA" w14:textId="680B7CCA" w:rsidR="0033310C" w:rsidRPr="0033310C" w:rsidRDefault="0033310C" w:rsidP="00DB74D8">
      <w:pPr>
        <w:pStyle w:val="NoSpacing"/>
        <w:ind w:left="720" w:hanging="720"/>
      </w:pPr>
      <w:proofErr w:type="spellStart"/>
      <w:r w:rsidRPr="0033310C">
        <w:t>Baumer</w:t>
      </w:r>
      <w:proofErr w:type="spellEnd"/>
      <w:r w:rsidRPr="0033310C">
        <w:t>, 2002</w:t>
      </w:r>
      <w:r w:rsidR="00DA06F1">
        <w:t xml:space="preserve"> </w:t>
      </w:r>
      <w:r w:rsidRPr="0033310C">
        <w:t>E. </w:t>
      </w:r>
      <w:proofErr w:type="spellStart"/>
      <w:r w:rsidRPr="0033310C">
        <w:t>Baumer</w:t>
      </w:r>
      <w:proofErr w:type="spellEnd"/>
      <w:r w:rsidR="00DB74D8">
        <w:t xml:space="preserve">. </w:t>
      </w:r>
      <w:r w:rsidRPr="0033310C">
        <w:rPr>
          <w:b/>
          <w:bCs/>
        </w:rPr>
        <w:t xml:space="preserve">Neighborhood disadvantage and police notification by victims of </w:t>
      </w:r>
      <w:proofErr w:type="spellStart"/>
      <w:r w:rsidRPr="0033310C">
        <w:rPr>
          <w:b/>
          <w:bCs/>
        </w:rPr>
        <w:t>violence</w:t>
      </w:r>
      <w:r w:rsidRPr="0033310C">
        <w:t>Criminology</w:t>
      </w:r>
      <w:proofErr w:type="spellEnd"/>
      <w:r w:rsidRPr="0033310C">
        <w:t>, 40 (2002), pp. 579-616</w:t>
      </w:r>
    </w:p>
    <w:p w14:paraId="79A85969" w14:textId="1C253CBB" w:rsidR="0033310C" w:rsidRPr="0033310C" w:rsidRDefault="0033310C" w:rsidP="00DB74D8">
      <w:pPr>
        <w:pStyle w:val="NoSpacing"/>
        <w:ind w:left="720" w:hanging="720"/>
      </w:pPr>
      <w:proofErr w:type="spellStart"/>
      <w:r w:rsidRPr="0033310C">
        <w:t>Bernasco</w:t>
      </w:r>
      <w:proofErr w:type="spellEnd"/>
      <w:r w:rsidRPr="0033310C">
        <w:t xml:space="preserve"> and Block, 2009</w:t>
      </w:r>
      <w:r w:rsidR="00DA06F1">
        <w:t xml:space="preserve"> </w:t>
      </w:r>
      <w:r w:rsidRPr="0033310C">
        <w:t>W. </w:t>
      </w:r>
      <w:proofErr w:type="spellStart"/>
      <w:r w:rsidRPr="0033310C">
        <w:t>Bernasco</w:t>
      </w:r>
      <w:proofErr w:type="spellEnd"/>
      <w:r w:rsidRPr="0033310C">
        <w:t>, R. Block</w:t>
      </w:r>
      <w:r w:rsidR="00DB74D8">
        <w:t xml:space="preserve">. </w:t>
      </w:r>
      <w:r w:rsidRPr="0033310C">
        <w:rPr>
          <w:b/>
          <w:bCs/>
        </w:rPr>
        <w:t>Where offenders choose to attack: a discrete choice model of robberies in Chicago</w:t>
      </w:r>
      <w:r w:rsidR="00DA06F1">
        <w:t xml:space="preserve"> </w:t>
      </w:r>
      <w:r w:rsidRPr="0033310C">
        <w:t>Criminology, 47 (2009), pp. 93-130</w:t>
      </w:r>
    </w:p>
    <w:p w14:paraId="6BD39441" w14:textId="418D9F4C" w:rsidR="0033310C" w:rsidRPr="0033310C" w:rsidRDefault="0033310C" w:rsidP="00DB74D8">
      <w:pPr>
        <w:pStyle w:val="NoSpacing"/>
        <w:ind w:left="720" w:hanging="720"/>
      </w:pPr>
      <w:proofErr w:type="spellStart"/>
      <w:r w:rsidRPr="0033310C">
        <w:rPr>
          <w:rStyle w:val="Heading4Char"/>
        </w:rPr>
        <w:t>Bernasco</w:t>
      </w:r>
      <w:proofErr w:type="spellEnd"/>
      <w:r w:rsidRPr="0033310C">
        <w:rPr>
          <w:rStyle w:val="Heading4Char"/>
        </w:rPr>
        <w:t xml:space="preserve"> and Block, 2011</w:t>
      </w:r>
      <w:r w:rsidR="00DA06F1" w:rsidRPr="0030505E">
        <w:rPr>
          <w:rStyle w:val="Heading4Char"/>
        </w:rPr>
        <w:t xml:space="preserve"> </w:t>
      </w:r>
      <w:r w:rsidRPr="0033310C">
        <w:rPr>
          <w:rStyle w:val="Heading4Char"/>
        </w:rPr>
        <w:t>W. </w:t>
      </w:r>
      <w:proofErr w:type="spellStart"/>
      <w:r w:rsidRPr="0033310C">
        <w:rPr>
          <w:rStyle w:val="Heading4Char"/>
        </w:rPr>
        <w:t>Bernasco</w:t>
      </w:r>
      <w:proofErr w:type="spellEnd"/>
      <w:r w:rsidRPr="0033310C">
        <w:rPr>
          <w:rStyle w:val="Heading4Char"/>
        </w:rPr>
        <w:t>, R. Block</w:t>
      </w:r>
      <w:r w:rsidR="00DB74D8">
        <w:rPr>
          <w:rStyle w:val="Heading4Char"/>
        </w:rPr>
        <w:t xml:space="preserve">. </w:t>
      </w:r>
      <w:r w:rsidRPr="0033310C">
        <w:rPr>
          <w:b/>
          <w:bCs/>
        </w:rPr>
        <w:t>Robberies in Chicago: a block-level analysis of the influence of crime generators, crime attractors, and offender anchor points</w:t>
      </w:r>
      <w:r w:rsidR="00DA06F1">
        <w:t xml:space="preserve"> </w:t>
      </w:r>
      <w:r w:rsidRPr="0033310C">
        <w:t>J. Res. Crime Delinquency, 48 (2011), pp. 33-57</w:t>
      </w:r>
    </w:p>
    <w:p w14:paraId="7F96C83D" w14:textId="1A1E0A6B" w:rsidR="0033310C" w:rsidRPr="0033310C" w:rsidRDefault="0033310C" w:rsidP="00DB74D8">
      <w:pPr>
        <w:pStyle w:val="NoSpacing"/>
        <w:ind w:left="720" w:hanging="720"/>
      </w:pPr>
      <w:proofErr w:type="spellStart"/>
      <w:r w:rsidRPr="0033310C">
        <w:t>Bernasco</w:t>
      </w:r>
      <w:proofErr w:type="spellEnd"/>
      <w:r w:rsidRPr="0033310C">
        <w:t xml:space="preserve"> et al., 2013</w:t>
      </w:r>
      <w:r w:rsidR="00DA06F1">
        <w:t xml:space="preserve"> </w:t>
      </w:r>
      <w:r w:rsidRPr="0033310C">
        <w:t>W. </w:t>
      </w:r>
      <w:proofErr w:type="spellStart"/>
      <w:r w:rsidRPr="0033310C">
        <w:t>Bernasco</w:t>
      </w:r>
      <w:proofErr w:type="spellEnd"/>
      <w:r w:rsidRPr="0033310C">
        <w:t>, R. Block, S. Ruiter</w:t>
      </w:r>
      <w:r w:rsidR="00DB74D8">
        <w:t xml:space="preserve">. </w:t>
      </w:r>
      <w:r w:rsidRPr="0033310C">
        <w:rPr>
          <w:b/>
          <w:bCs/>
        </w:rPr>
        <w:t>Go where the money is: modeling street robbers’ location choices</w:t>
      </w:r>
      <w:r w:rsidR="00DA06F1">
        <w:t xml:space="preserve"> </w:t>
      </w:r>
      <w:r w:rsidRPr="0033310C">
        <w:t xml:space="preserve">J. Econ. </w:t>
      </w:r>
      <w:proofErr w:type="spellStart"/>
      <w:r w:rsidRPr="0033310C">
        <w:t>Geogr</w:t>
      </w:r>
      <w:proofErr w:type="spellEnd"/>
      <w:r w:rsidRPr="0033310C">
        <w:t>., 13 (2013), pp. 119-143</w:t>
      </w:r>
    </w:p>
    <w:p w14:paraId="46DFE6C4" w14:textId="022FC05C" w:rsidR="0033310C" w:rsidRPr="0033310C" w:rsidRDefault="0033310C" w:rsidP="00DB74D8">
      <w:pPr>
        <w:pStyle w:val="NoSpacing"/>
        <w:ind w:left="720" w:hanging="720"/>
      </w:pPr>
      <w:proofErr w:type="spellStart"/>
      <w:r w:rsidRPr="0033310C">
        <w:t>Bichler</w:t>
      </w:r>
      <w:proofErr w:type="spellEnd"/>
      <w:r w:rsidRPr="0033310C">
        <w:t xml:space="preserve"> and </w:t>
      </w:r>
      <w:proofErr w:type="spellStart"/>
      <w:r w:rsidRPr="0033310C">
        <w:t>Balchak</w:t>
      </w:r>
      <w:proofErr w:type="spellEnd"/>
      <w:r w:rsidRPr="0033310C">
        <w:t>, 2007</w:t>
      </w:r>
      <w:r w:rsidR="00DA06F1">
        <w:t xml:space="preserve"> </w:t>
      </w:r>
      <w:r w:rsidRPr="0033310C">
        <w:t>G. </w:t>
      </w:r>
      <w:proofErr w:type="spellStart"/>
      <w:r w:rsidRPr="0033310C">
        <w:t>Bichler</w:t>
      </w:r>
      <w:proofErr w:type="spellEnd"/>
      <w:r w:rsidRPr="0033310C">
        <w:t>, S. </w:t>
      </w:r>
      <w:proofErr w:type="spellStart"/>
      <w:r w:rsidRPr="0033310C">
        <w:t>Balchak</w:t>
      </w:r>
      <w:proofErr w:type="spellEnd"/>
      <w:r w:rsidR="0003292E">
        <w:t xml:space="preserve">. </w:t>
      </w:r>
      <w:r w:rsidRPr="0033310C">
        <w:rPr>
          <w:b/>
          <w:bCs/>
        </w:rPr>
        <w:t>Address matching bias: ignorance is not bliss</w:t>
      </w:r>
      <w:r w:rsidR="00DA06F1">
        <w:t xml:space="preserve"> </w:t>
      </w:r>
      <w:r w:rsidRPr="0033310C">
        <w:t>Policing: Int. J. Police Strategies Manage., 30 (2007), pp. 32-60</w:t>
      </w:r>
    </w:p>
    <w:p w14:paraId="6EDA3951" w14:textId="1D80908E" w:rsidR="0033310C" w:rsidRPr="0033310C" w:rsidRDefault="0033310C" w:rsidP="00DB74D8">
      <w:pPr>
        <w:pStyle w:val="NoSpacing"/>
        <w:ind w:left="720" w:hanging="720"/>
      </w:pPr>
      <w:r w:rsidRPr="0033310C">
        <w:lastRenderedPageBreak/>
        <w:t>Braga et al., 2011</w:t>
      </w:r>
      <w:r w:rsidR="00FF77A0">
        <w:t xml:space="preserve"> </w:t>
      </w:r>
      <w:r w:rsidRPr="0033310C">
        <w:t>A.A. Braga, D.M. Hureau, A.V. </w:t>
      </w:r>
      <w:proofErr w:type="spellStart"/>
      <w:r w:rsidRPr="0033310C">
        <w:t>Papachristos</w:t>
      </w:r>
      <w:proofErr w:type="spellEnd"/>
      <w:r w:rsidR="0003292E">
        <w:t xml:space="preserve">. </w:t>
      </w:r>
      <w:r w:rsidRPr="0033310C">
        <w:rPr>
          <w:b/>
          <w:bCs/>
        </w:rPr>
        <w:t>The relevance of micro places to citywide robbery trends: a longitudinal analysis of robbery incidents at street corners and block faces in Boston</w:t>
      </w:r>
      <w:r w:rsidR="00FF77A0">
        <w:t xml:space="preserve"> </w:t>
      </w:r>
      <w:r w:rsidRPr="0033310C">
        <w:t>J. Res. Crime Delinquency, 48 (2011), pp. 7-32</w:t>
      </w:r>
    </w:p>
    <w:p w14:paraId="4496248A" w14:textId="69288C9E" w:rsidR="0033310C" w:rsidRPr="0033310C" w:rsidRDefault="0033310C" w:rsidP="00DB74D8">
      <w:pPr>
        <w:pStyle w:val="NoSpacing"/>
        <w:ind w:left="720" w:hanging="720"/>
      </w:pPr>
      <w:r w:rsidRPr="0033310C">
        <w:t xml:space="preserve">Brantingham and Brantingham, </w:t>
      </w:r>
      <w:proofErr w:type="gramStart"/>
      <w:r w:rsidRPr="0033310C">
        <w:t>1993</w:t>
      </w:r>
      <w:r w:rsidR="00FF77A0">
        <w:t xml:space="preserve">  </w:t>
      </w:r>
      <w:r w:rsidRPr="0033310C">
        <w:t>P.L.</w:t>
      </w:r>
      <w:proofErr w:type="gramEnd"/>
      <w:r w:rsidRPr="0033310C">
        <w:t> Brantingham, P.J. </w:t>
      </w:r>
      <w:proofErr w:type="spellStart"/>
      <w:r w:rsidRPr="0033310C">
        <w:t>Brantingham</w:t>
      </w:r>
      <w:proofErr w:type="spellEnd"/>
      <w:r w:rsidR="0003292E">
        <w:t xml:space="preserve">. </w:t>
      </w:r>
      <w:r w:rsidRPr="0033310C">
        <w:rPr>
          <w:b/>
          <w:bCs/>
        </w:rPr>
        <w:t xml:space="preserve">Nodes, </w:t>
      </w:r>
      <w:proofErr w:type="gramStart"/>
      <w:r w:rsidRPr="0033310C">
        <w:rPr>
          <w:b/>
          <w:bCs/>
        </w:rPr>
        <w:t>paths</w:t>
      </w:r>
      <w:proofErr w:type="gramEnd"/>
      <w:r w:rsidRPr="0033310C">
        <w:rPr>
          <w:b/>
          <w:bCs/>
        </w:rPr>
        <w:t xml:space="preserve"> and edges: considerations on the complexity of crime and the physical environment</w:t>
      </w:r>
      <w:r w:rsidR="00FF77A0">
        <w:t xml:space="preserve"> </w:t>
      </w:r>
      <w:r w:rsidRPr="0033310C">
        <w:t>J. Environ. Psychol., 13 (1993), pp. 3-28</w:t>
      </w:r>
    </w:p>
    <w:p w14:paraId="5C39B354" w14:textId="7B5E8EF6" w:rsidR="0033310C" w:rsidRPr="0033310C" w:rsidRDefault="0033310C" w:rsidP="00DB74D8">
      <w:pPr>
        <w:pStyle w:val="NoSpacing"/>
        <w:ind w:left="720" w:hanging="720"/>
      </w:pPr>
      <w:r w:rsidRPr="0033310C">
        <w:t>Brantingham and Brantingham, 1995</w:t>
      </w:r>
      <w:r w:rsidR="00FF77A0">
        <w:t xml:space="preserve"> </w:t>
      </w:r>
      <w:r w:rsidRPr="0033310C">
        <w:t>P.J. Brantingham, P.L. </w:t>
      </w:r>
      <w:proofErr w:type="spellStart"/>
      <w:r w:rsidRPr="0033310C">
        <w:t>Brantingham</w:t>
      </w:r>
      <w:proofErr w:type="spellEnd"/>
      <w:r w:rsidR="0003292E">
        <w:t xml:space="preserve">. </w:t>
      </w:r>
      <w:r w:rsidRPr="0033310C">
        <w:rPr>
          <w:b/>
          <w:bCs/>
        </w:rPr>
        <w:t>Criminality of place: crime generators and crime attractors</w:t>
      </w:r>
      <w:r w:rsidR="00FF77A0">
        <w:t xml:space="preserve"> </w:t>
      </w:r>
      <w:r w:rsidRPr="0033310C">
        <w:t>Eur. J. Crim. Policy Res., 3 (1995), pp. 5-26</w:t>
      </w:r>
    </w:p>
    <w:p w14:paraId="70A8C7AA" w14:textId="2F157209" w:rsidR="0033310C" w:rsidRPr="0033310C" w:rsidRDefault="0033310C" w:rsidP="00DB74D8">
      <w:pPr>
        <w:pStyle w:val="NoSpacing"/>
        <w:ind w:left="720" w:hanging="720"/>
      </w:pPr>
      <w:r w:rsidRPr="0033310C">
        <w:t>Brewer and Pickle, 2002</w:t>
      </w:r>
      <w:r w:rsidR="00FF77A0">
        <w:t xml:space="preserve"> </w:t>
      </w:r>
      <w:r w:rsidRPr="0033310C">
        <w:t>C.A. Brewer, L. Pickle</w:t>
      </w:r>
      <w:r w:rsidR="0003292E">
        <w:t xml:space="preserve">. </w:t>
      </w:r>
      <w:r w:rsidRPr="0033310C">
        <w:rPr>
          <w:b/>
          <w:bCs/>
        </w:rPr>
        <w:t>Evaluation of methods for classifying epidemiological data on choropleth maps in series</w:t>
      </w:r>
      <w:r w:rsidR="00FF77A0">
        <w:t xml:space="preserve"> </w:t>
      </w:r>
      <w:r w:rsidRPr="0033310C">
        <w:t xml:space="preserve">Ann. Assoc. Am. </w:t>
      </w:r>
      <w:proofErr w:type="spellStart"/>
      <w:r w:rsidRPr="0033310C">
        <w:t>Geogr</w:t>
      </w:r>
      <w:proofErr w:type="spellEnd"/>
      <w:r w:rsidRPr="0033310C">
        <w:t>., 92 (2002), pp. 662-681</w:t>
      </w:r>
    </w:p>
    <w:p w14:paraId="78BDB7C4" w14:textId="3CA6C4A1" w:rsidR="0033310C" w:rsidRPr="0033310C" w:rsidRDefault="0033310C" w:rsidP="00DB74D8">
      <w:pPr>
        <w:pStyle w:val="NoSpacing"/>
        <w:ind w:left="720" w:hanging="720"/>
      </w:pPr>
      <w:r w:rsidRPr="0033310C">
        <w:t>Britt et al., 2005</w:t>
      </w:r>
      <w:r w:rsidR="00FF77A0">
        <w:t xml:space="preserve"> </w:t>
      </w:r>
      <w:r w:rsidRPr="0033310C">
        <w:t>H.R. Britt, B.P. Carlin, T.L. Toomey, A.C. </w:t>
      </w:r>
      <w:proofErr w:type="spellStart"/>
      <w:r w:rsidRPr="0033310C">
        <w:t>Wagenaar</w:t>
      </w:r>
      <w:proofErr w:type="spellEnd"/>
      <w:r w:rsidR="0003292E">
        <w:t xml:space="preserve">. </w:t>
      </w:r>
      <w:r w:rsidRPr="0033310C">
        <w:rPr>
          <w:b/>
          <w:bCs/>
        </w:rPr>
        <w:t>Neighborhood level spatial analysis of the relationship between alcohol outlet density and criminal violence</w:t>
      </w:r>
      <w:r w:rsidR="00FF77A0">
        <w:t xml:space="preserve"> </w:t>
      </w:r>
      <w:r w:rsidRPr="0033310C">
        <w:t>Environ. Ecol. Stat., 12 (2005), pp. 411-426</w:t>
      </w:r>
    </w:p>
    <w:p w14:paraId="5CC1DE89" w14:textId="7006F606" w:rsidR="0033310C" w:rsidRPr="0033310C" w:rsidRDefault="0033310C" w:rsidP="00DB74D8">
      <w:pPr>
        <w:pStyle w:val="NoSpacing"/>
        <w:ind w:left="720" w:hanging="720"/>
      </w:pPr>
      <w:r w:rsidRPr="0033310C">
        <w:t>Cohen and Felson, 1979</w:t>
      </w:r>
      <w:r w:rsidR="00FF77A0">
        <w:t xml:space="preserve"> </w:t>
      </w:r>
      <w:r w:rsidRPr="0033310C">
        <w:t>L.E. Cohen, M. Felson</w:t>
      </w:r>
      <w:r w:rsidR="0003292E">
        <w:t xml:space="preserve">. </w:t>
      </w:r>
      <w:r w:rsidRPr="0033310C">
        <w:rPr>
          <w:b/>
          <w:bCs/>
        </w:rPr>
        <w:t>Social change and crime rate trends: a routine activities approach</w:t>
      </w:r>
      <w:r w:rsidR="00FF77A0">
        <w:t xml:space="preserve"> </w:t>
      </w:r>
      <w:r w:rsidRPr="0033310C">
        <w:t xml:space="preserve">Am. </w:t>
      </w:r>
      <w:proofErr w:type="spellStart"/>
      <w:r w:rsidRPr="0033310C">
        <w:t>Sociol</w:t>
      </w:r>
      <w:proofErr w:type="spellEnd"/>
      <w:r w:rsidRPr="0033310C">
        <w:t>. Rev., 44 (1979), pp. 588-608</w:t>
      </w:r>
    </w:p>
    <w:p w14:paraId="7481C7C3" w14:textId="5FBB1843" w:rsidR="0033310C" w:rsidRPr="0033310C" w:rsidRDefault="0033310C" w:rsidP="00DB74D8">
      <w:pPr>
        <w:pStyle w:val="NoSpacing"/>
        <w:ind w:left="720" w:hanging="720"/>
      </w:pPr>
      <w:r w:rsidRPr="0033310C">
        <w:t>Duffala, 1976</w:t>
      </w:r>
      <w:r w:rsidR="00FF77A0">
        <w:t xml:space="preserve"> </w:t>
      </w:r>
      <w:r w:rsidRPr="0033310C">
        <w:t>D.C. </w:t>
      </w:r>
      <w:proofErr w:type="spellStart"/>
      <w:r w:rsidRPr="0033310C">
        <w:t>Duffala</w:t>
      </w:r>
      <w:proofErr w:type="spellEnd"/>
      <w:r w:rsidR="0003292E">
        <w:t xml:space="preserve">. </w:t>
      </w:r>
      <w:r w:rsidRPr="0033310C">
        <w:rPr>
          <w:b/>
          <w:bCs/>
        </w:rPr>
        <w:t>Convenience stores, armed robbery, and physical environmental features</w:t>
      </w:r>
      <w:r w:rsidR="00FF77A0">
        <w:t xml:space="preserve"> </w:t>
      </w:r>
      <w:r w:rsidRPr="0033310C">
        <w:t xml:space="preserve">Am. </w:t>
      </w:r>
      <w:proofErr w:type="spellStart"/>
      <w:r w:rsidRPr="0033310C">
        <w:t>Behav</w:t>
      </w:r>
      <w:proofErr w:type="spellEnd"/>
      <w:r w:rsidRPr="0033310C">
        <w:t>. Sci., 20 (1976), pp. 227-246</w:t>
      </w:r>
    </w:p>
    <w:p w14:paraId="05E86724" w14:textId="7490B3F6" w:rsidR="0033310C" w:rsidRPr="0033310C" w:rsidRDefault="0033310C" w:rsidP="00DB74D8">
      <w:pPr>
        <w:pStyle w:val="NoSpacing"/>
        <w:ind w:left="720" w:hanging="720"/>
      </w:pPr>
      <w:r w:rsidRPr="0033310C">
        <w:t>Eck, 1995</w:t>
      </w:r>
      <w:r w:rsidR="00FF77A0">
        <w:t xml:space="preserve"> </w:t>
      </w:r>
      <w:r w:rsidRPr="0033310C">
        <w:t>J.E. Eck</w:t>
      </w:r>
      <w:r w:rsidR="0003292E">
        <w:t xml:space="preserve">. </w:t>
      </w:r>
      <w:r w:rsidRPr="0033310C">
        <w:rPr>
          <w:b/>
          <w:bCs/>
        </w:rPr>
        <w:t>A general model of the geography of illicit retail marketplaces</w:t>
      </w:r>
      <w:r w:rsidR="00FF77A0">
        <w:t xml:space="preserve"> </w:t>
      </w:r>
      <w:r w:rsidRPr="0033310C">
        <w:t>Crime and Place, 4 (1995), pp. 67-93</w:t>
      </w:r>
    </w:p>
    <w:p w14:paraId="36C11BF0" w14:textId="77DB4840" w:rsidR="0033310C" w:rsidRPr="0033310C" w:rsidRDefault="0033310C" w:rsidP="00DB74D8">
      <w:pPr>
        <w:pStyle w:val="NoSpacing"/>
        <w:ind w:left="720" w:hanging="720"/>
      </w:pPr>
      <w:r w:rsidRPr="0033310C">
        <w:t>Gorman et al., 2001</w:t>
      </w:r>
      <w:r w:rsidR="00FF77A0">
        <w:t xml:space="preserve"> </w:t>
      </w:r>
      <w:r w:rsidRPr="0033310C">
        <w:t>D.M. Gorman, P.W. Speer, P.J. Gruenewald, E.W. </w:t>
      </w:r>
      <w:proofErr w:type="spellStart"/>
      <w:r w:rsidRPr="0033310C">
        <w:t>Labouvie</w:t>
      </w:r>
      <w:proofErr w:type="spellEnd"/>
      <w:r w:rsidR="0003292E">
        <w:t xml:space="preserve">. </w:t>
      </w:r>
      <w:r w:rsidRPr="0033310C">
        <w:rPr>
          <w:b/>
          <w:bCs/>
        </w:rPr>
        <w:t>Spatial dynamics of alcohol availability, neighborhood structure and violent crime</w:t>
      </w:r>
      <w:r w:rsidR="00FF77A0">
        <w:t xml:space="preserve"> </w:t>
      </w:r>
      <w:r w:rsidRPr="0033310C">
        <w:t>J. Stud. Alcohol Drugs, 62 (2001), pp. 628-636</w:t>
      </w:r>
    </w:p>
    <w:p w14:paraId="303CF5C3" w14:textId="03180859" w:rsidR="0033310C" w:rsidRPr="0033310C" w:rsidRDefault="0033310C" w:rsidP="00DB74D8">
      <w:pPr>
        <w:pStyle w:val="NoSpacing"/>
        <w:ind w:left="720" w:hanging="720"/>
      </w:pPr>
      <w:r w:rsidRPr="0033310C">
        <w:t>Gorman et al., 2013</w:t>
      </w:r>
      <w:r w:rsidR="00FF77A0">
        <w:t xml:space="preserve"> </w:t>
      </w:r>
      <w:r w:rsidRPr="0033310C">
        <w:t>D.M. Gorman, P.J. Gruenewald, L.A. Waller</w:t>
      </w:r>
      <w:r w:rsidR="0003292E">
        <w:t xml:space="preserve">. </w:t>
      </w:r>
      <w:r w:rsidRPr="0033310C">
        <w:rPr>
          <w:b/>
          <w:bCs/>
        </w:rPr>
        <w:t xml:space="preserve">Linking places to problems: geospatial theories of neighborhoods, </w:t>
      </w:r>
      <w:proofErr w:type="gramStart"/>
      <w:r w:rsidRPr="0033310C">
        <w:rPr>
          <w:b/>
          <w:bCs/>
        </w:rPr>
        <w:t>alcohol</w:t>
      </w:r>
      <w:proofErr w:type="gramEnd"/>
      <w:r w:rsidRPr="0033310C">
        <w:rPr>
          <w:b/>
          <w:bCs/>
        </w:rPr>
        <w:t xml:space="preserve"> and crime</w:t>
      </w:r>
      <w:r w:rsidR="00FF77A0">
        <w:t xml:space="preserve"> </w:t>
      </w:r>
      <w:proofErr w:type="spellStart"/>
      <w:r w:rsidRPr="0033310C">
        <w:t>GeoJournal</w:t>
      </w:r>
      <w:proofErr w:type="spellEnd"/>
      <w:r w:rsidRPr="0033310C">
        <w:t>, 78 (2013), pp. 417-428</w:t>
      </w:r>
    </w:p>
    <w:p w14:paraId="3B718891" w14:textId="36E83564" w:rsidR="0033310C" w:rsidRPr="0033310C" w:rsidRDefault="0033310C" w:rsidP="00DB74D8">
      <w:pPr>
        <w:pStyle w:val="NoSpacing"/>
        <w:ind w:left="720" w:hanging="720"/>
      </w:pPr>
      <w:r w:rsidRPr="0033310C">
        <w:t>Groff and Lockwood, 2014</w:t>
      </w:r>
      <w:r w:rsidR="00FF77A0">
        <w:t xml:space="preserve"> </w:t>
      </w:r>
      <w:r w:rsidRPr="0033310C">
        <w:t>E.R. Groff, B. Lockwood</w:t>
      </w:r>
      <w:r w:rsidR="0003292E">
        <w:t xml:space="preserve">. </w:t>
      </w:r>
      <w:r w:rsidRPr="0033310C">
        <w:rPr>
          <w:b/>
          <w:bCs/>
        </w:rPr>
        <w:t>Criminogenic facilities and crime across street segments in Philadelphia: uncovering evidence about the spatial extent of facility influence</w:t>
      </w:r>
      <w:r w:rsidR="00FF77A0">
        <w:t xml:space="preserve"> </w:t>
      </w:r>
      <w:r w:rsidRPr="0033310C">
        <w:t>J. Res. Crime Delinquency, 51 (2014), pp. 277-314, 10.1177/0022427813512494</w:t>
      </w:r>
    </w:p>
    <w:p w14:paraId="0E67E34D" w14:textId="7C684D6C" w:rsidR="0033310C" w:rsidRPr="0033310C" w:rsidRDefault="0033310C" w:rsidP="00DB74D8">
      <w:pPr>
        <w:pStyle w:val="NoSpacing"/>
        <w:ind w:left="720" w:hanging="720"/>
      </w:pPr>
      <w:r w:rsidRPr="0033310C">
        <w:t>Grubesic and Murray, 2004</w:t>
      </w:r>
      <w:r w:rsidR="0003292E">
        <w:t xml:space="preserve">. </w:t>
      </w:r>
      <w:r w:rsidRPr="0033310C">
        <w:t>Grubesic, Tony H., Murray, Alan T., 2004. Assessing the locational uncertainties of geocoded data. In: Proceedings from the 24th Urban Data Management Symposium.</w:t>
      </w:r>
    </w:p>
    <w:p w14:paraId="543353C9" w14:textId="2353104F" w:rsidR="0033310C" w:rsidRPr="0033310C" w:rsidRDefault="0033310C" w:rsidP="00DB74D8">
      <w:pPr>
        <w:pStyle w:val="NoSpacing"/>
        <w:ind w:left="720" w:hanging="720"/>
      </w:pPr>
      <w:r w:rsidRPr="0033310C">
        <w:t>Grubesic and Pridemore, 2011</w:t>
      </w:r>
      <w:r w:rsidR="00C53627">
        <w:t xml:space="preserve"> </w:t>
      </w:r>
      <w:r w:rsidRPr="0033310C">
        <w:t>T.H. Grubesic, W.A. </w:t>
      </w:r>
      <w:proofErr w:type="spellStart"/>
      <w:r w:rsidRPr="0033310C">
        <w:t>Pridemore</w:t>
      </w:r>
      <w:proofErr w:type="spellEnd"/>
      <w:r w:rsidR="0003292E">
        <w:t xml:space="preserve">. </w:t>
      </w:r>
      <w:r w:rsidRPr="0033310C">
        <w:rPr>
          <w:b/>
          <w:bCs/>
        </w:rPr>
        <w:t>Alcohol outlets and clusters of violence</w:t>
      </w:r>
      <w:r w:rsidR="00C53627">
        <w:t xml:space="preserve"> </w:t>
      </w:r>
      <w:r w:rsidRPr="0033310C">
        <w:t xml:space="preserve">Int. J. Health </w:t>
      </w:r>
      <w:proofErr w:type="spellStart"/>
      <w:r w:rsidRPr="0033310C">
        <w:t>Geogr</w:t>
      </w:r>
      <w:proofErr w:type="spellEnd"/>
      <w:r w:rsidRPr="0033310C">
        <w:t>., 10 (2011), pp. 1-12</w:t>
      </w:r>
    </w:p>
    <w:p w14:paraId="1099390F" w14:textId="4CD97B0A" w:rsidR="0033310C" w:rsidRPr="0033310C" w:rsidRDefault="0033310C" w:rsidP="00DB74D8">
      <w:pPr>
        <w:pStyle w:val="NoSpacing"/>
        <w:ind w:left="720" w:hanging="720"/>
      </w:pPr>
      <w:r w:rsidRPr="0033310C">
        <w:t>Grubesic et al.</w:t>
      </w:r>
      <w:proofErr w:type="gramStart"/>
      <w:r w:rsidRPr="0033310C">
        <w:t xml:space="preserve">, </w:t>
      </w:r>
      <w:r w:rsidR="001D14DA">
        <w:t xml:space="preserve"> </w:t>
      </w:r>
      <w:r w:rsidRPr="0033310C">
        <w:t>2011</w:t>
      </w:r>
      <w:proofErr w:type="gramEnd"/>
      <w:r w:rsidR="00C53627">
        <w:t xml:space="preserve"> </w:t>
      </w:r>
      <w:r w:rsidRPr="0033310C">
        <w:t>Grubesic, T.H., Phillip-Tab, L., Pridemore, W.A., 2011. Alcohol outlets and assaultive violence in Philadelphia. In: Proceedings of the URISA GIS and Public Health Conference, Atlanta, GA.</w:t>
      </w:r>
    </w:p>
    <w:p w14:paraId="01FFE714" w14:textId="220296FA" w:rsidR="0033310C" w:rsidRPr="0033310C" w:rsidRDefault="0033310C" w:rsidP="00DB74D8">
      <w:pPr>
        <w:pStyle w:val="NoSpacing"/>
        <w:ind w:left="720" w:hanging="720"/>
      </w:pPr>
      <w:r w:rsidRPr="0033310C">
        <w:t>Gruenewald, 2008</w:t>
      </w:r>
      <w:r w:rsidR="00C53627">
        <w:t xml:space="preserve"> </w:t>
      </w:r>
      <w:r w:rsidRPr="0033310C">
        <w:t>P. Gruenewald</w:t>
      </w:r>
      <w:r w:rsidR="001D14DA">
        <w:t xml:space="preserve">. </w:t>
      </w:r>
      <w:r w:rsidRPr="0033310C">
        <w:rPr>
          <w:b/>
          <w:bCs/>
        </w:rPr>
        <w:t>Why do alcohol outlets matter anyway? A look into the future</w:t>
      </w:r>
      <w:r w:rsidR="00C53627">
        <w:t xml:space="preserve"> </w:t>
      </w:r>
      <w:r w:rsidRPr="0033310C">
        <w:t>Addiction, 103 (2008), pp. 1585-1587</w:t>
      </w:r>
    </w:p>
    <w:p w14:paraId="7DA779C9" w14:textId="3ECA76A1" w:rsidR="0033310C" w:rsidRPr="0033310C" w:rsidRDefault="0033310C" w:rsidP="00DB74D8">
      <w:pPr>
        <w:pStyle w:val="NoSpacing"/>
        <w:ind w:left="720" w:hanging="720"/>
      </w:pPr>
      <w:r w:rsidRPr="0033310C">
        <w:t>Gruenewald and Remer, 2006</w:t>
      </w:r>
      <w:r w:rsidR="00C53627">
        <w:t xml:space="preserve"> </w:t>
      </w:r>
      <w:r w:rsidRPr="0033310C">
        <w:t>P.J. Gruenewald, L. Remer</w:t>
      </w:r>
      <w:r w:rsidR="001D14DA">
        <w:t xml:space="preserve">. </w:t>
      </w:r>
      <w:r w:rsidRPr="0033310C">
        <w:rPr>
          <w:b/>
          <w:bCs/>
        </w:rPr>
        <w:t>Change in outlet densities affect violence rates</w:t>
      </w:r>
      <w:r w:rsidR="00C53627">
        <w:t xml:space="preserve"> </w:t>
      </w:r>
      <w:r w:rsidRPr="0033310C">
        <w:t>Alcohol.: Clin. Exp. Res., 30 (2006), pp. 1184-1193</w:t>
      </w:r>
    </w:p>
    <w:p w14:paraId="1C149420" w14:textId="0262EBE1" w:rsidR="0033310C" w:rsidRPr="0033310C" w:rsidRDefault="0033310C" w:rsidP="00DB74D8">
      <w:pPr>
        <w:pStyle w:val="NoSpacing"/>
        <w:ind w:left="720" w:hanging="720"/>
      </w:pPr>
      <w:r w:rsidRPr="0033310C">
        <w:t>Haberman et al., 2013</w:t>
      </w:r>
      <w:r w:rsidR="00C53627">
        <w:t xml:space="preserve"> </w:t>
      </w:r>
      <w:r w:rsidRPr="0033310C">
        <w:t>C.P. Haberman, E.R. Groff, R.B. Taylor</w:t>
      </w:r>
      <w:r w:rsidR="001D14DA">
        <w:t xml:space="preserve">. </w:t>
      </w:r>
      <w:r w:rsidRPr="0033310C">
        <w:rPr>
          <w:b/>
          <w:bCs/>
        </w:rPr>
        <w:t>The variable impacts of public housing community proximity on nearby street robberies</w:t>
      </w:r>
      <w:r w:rsidR="00C53627">
        <w:t xml:space="preserve"> </w:t>
      </w:r>
      <w:r w:rsidRPr="0033310C">
        <w:t>J. Res. Crime Delinquency, 50 (2013), pp. 163-188</w:t>
      </w:r>
    </w:p>
    <w:p w14:paraId="2747A55B" w14:textId="361B7E8D" w:rsidR="0033310C" w:rsidRPr="0033310C" w:rsidRDefault="0033310C" w:rsidP="00DB74D8">
      <w:pPr>
        <w:pStyle w:val="NoSpacing"/>
        <w:ind w:left="720" w:hanging="720"/>
      </w:pPr>
      <w:r w:rsidRPr="0033310C">
        <w:t>Harford et al., 1979</w:t>
      </w:r>
      <w:r w:rsidR="001D14DA">
        <w:t xml:space="preserve">. </w:t>
      </w:r>
      <w:r w:rsidRPr="0033310C">
        <w:t>T.C. Harford, D.A. Parker, C. </w:t>
      </w:r>
      <w:proofErr w:type="spellStart"/>
      <w:r w:rsidRPr="0033310C">
        <w:t>Pautler</w:t>
      </w:r>
      <w:proofErr w:type="spellEnd"/>
      <w:r w:rsidRPr="0033310C">
        <w:t>, M. </w:t>
      </w:r>
      <w:proofErr w:type="spellStart"/>
      <w:r w:rsidRPr="0033310C">
        <w:t>WolzJ</w:t>
      </w:r>
      <w:proofErr w:type="spellEnd"/>
      <w:r w:rsidRPr="0033310C">
        <w:t>. Stud. Alcohol, 40 (1979), pp. 1053-1057</w:t>
      </w:r>
    </w:p>
    <w:p w14:paraId="6974A715" w14:textId="359FA222" w:rsidR="0033310C" w:rsidRPr="0033310C" w:rsidRDefault="0033310C" w:rsidP="00DB74D8">
      <w:pPr>
        <w:pStyle w:val="NoSpacing"/>
        <w:ind w:left="720" w:hanging="720"/>
      </w:pPr>
      <w:r w:rsidRPr="0033310C">
        <w:t>Leonard, 2001</w:t>
      </w:r>
      <w:r w:rsidR="00C53627">
        <w:t xml:space="preserve"> </w:t>
      </w:r>
      <w:r w:rsidRPr="0033310C">
        <w:t>K.E. Leonard</w:t>
      </w:r>
      <w:r w:rsidR="001D14DA">
        <w:t xml:space="preserve">. </w:t>
      </w:r>
      <w:r w:rsidRPr="0033310C">
        <w:rPr>
          <w:b/>
          <w:bCs/>
        </w:rPr>
        <w:t xml:space="preserve">Domestic violence and alcohol: what </w:t>
      </w:r>
      <w:proofErr w:type="gramStart"/>
      <w:r w:rsidRPr="0033310C">
        <w:rPr>
          <w:b/>
          <w:bCs/>
        </w:rPr>
        <w:t>is</w:t>
      </w:r>
      <w:proofErr w:type="gramEnd"/>
      <w:r w:rsidRPr="0033310C">
        <w:rPr>
          <w:b/>
          <w:bCs/>
        </w:rPr>
        <w:t xml:space="preserve"> known and what do we need to know to encourage environmental interventions?</w:t>
      </w:r>
      <w:r w:rsidR="00C53627">
        <w:t xml:space="preserve"> </w:t>
      </w:r>
      <w:r w:rsidRPr="0033310C">
        <w:t>J. Subst. Use, 6 (2001), pp. 235-247</w:t>
      </w:r>
    </w:p>
    <w:p w14:paraId="04E5924F" w14:textId="56F74A8B" w:rsidR="0033310C" w:rsidRPr="0033310C" w:rsidRDefault="0033310C" w:rsidP="00DB74D8">
      <w:pPr>
        <w:pStyle w:val="NoSpacing"/>
        <w:ind w:left="720" w:hanging="720"/>
      </w:pPr>
      <w:r w:rsidRPr="0033310C">
        <w:t>Lieberson, 1969</w:t>
      </w:r>
      <w:r w:rsidR="00C53627">
        <w:t xml:space="preserve"> </w:t>
      </w:r>
      <w:r w:rsidRPr="0033310C">
        <w:t>S. </w:t>
      </w:r>
      <w:proofErr w:type="spellStart"/>
      <w:r w:rsidRPr="0033310C">
        <w:t>Lieberson</w:t>
      </w:r>
      <w:proofErr w:type="spellEnd"/>
      <w:r w:rsidR="001D14DA">
        <w:t xml:space="preserve">. </w:t>
      </w:r>
      <w:r w:rsidRPr="0033310C">
        <w:rPr>
          <w:b/>
          <w:bCs/>
        </w:rPr>
        <w:t>Measuring population diversity</w:t>
      </w:r>
      <w:r w:rsidR="00C53627">
        <w:t xml:space="preserve"> </w:t>
      </w:r>
      <w:r w:rsidRPr="0033310C">
        <w:t xml:space="preserve">Am. </w:t>
      </w:r>
      <w:proofErr w:type="spellStart"/>
      <w:r w:rsidRPr="0033310C">
        <w:t>Sociol</w:t>
      </w:r>
      <w:proofErr w:type="spellEnd"/>
      <w:r w:rsidRPr="0033310C">
        <w:t>. Rev., 34 (1969), pp. 850-862</w:t>
      </w:r>
    </w:p>
    <w:p w14:paraId="7884E4E2" w14:textId="08F7652E" w:rsidR="0033310C" w:rsidRPr="0033310C" w:rsidRDefault="0033310C" w:rsidP="00DB74D8">
      <w:pPr>
        <w:pStyle w:val="NoSpacing"/>
        <w:ind w:left="720" w:hanging="720"/>
      </w:pPr>
      <w:r w:rsidRPr="0033310C">
        <w:t>Lipton et al., 2013</w:t>
      </w:r>
      <w:r w:rsidR="00C53627">
        <w:t xml:space="preserve"> </w:t>
      </w:r>
      <w:r w:rsidRPr="0033310C">
        <w:t>R. Lipton, X. Yang, A.A. Braga, J. Goldstick, M. Newton, M. </w:t>
      </w:r>
      <w:proofErr w:type="spellStart"/>
      <w:r w:rsidRPr="0033310C">
        <w:t>Rura</w:t>
      </w:r>
      <w:proofErr w:type="spellEnd"/>
      <w:r w:rsidR="001D14DA">
        <w:t xml:space="preserve">. </w:t>
      </w:r>
      <w:r w:rsidRPr="0033310C">
        <w:rPr>
          <w:b/>
          <w:bCs/>
        </w:rPr>
        <w:t>The geography of violence, alcohol outlets, and drug arrests in Boston</w:t>
      </w:r>
      <w:r w:rsidR="00D5394E">
        <w:t xml:space="preserve"> </w:t>
      </w:r>
      <w:r w:rsidRPr="0033310C">
        <w:t>Am. J. Public Health, 103 (2013), pp. 657-664</w:t>
      </w:r>
    </w:p>
    <w:p w14:paraId="0416EAEA" w14:textId="1C1A2DC9" w:rsidR="0033310C" w:rsidRPr="0033310C" w:rsidRDefault="0033310C" w:rsidP="00DB74D8">
      <w:pPr>
        <w:pStyle w:val="NoSpacing"/>
        <w:ind w:left="720" w:hanging="720"/>
      </w:pPr>
      <w:r w:rsidRPr="0033310C">
        <w:t>Livingston, 2008a</w:t>
      </w:r>
      <w:r w:rsidR="00D5394E">
        <w:t xml:space="preserve"> </w:t>
      </w:r>
      <w:r w:rsidRPr="0033310C">
        <w:t>M. Livingston</w:t>
      </w:r>
      <w:r w:rsidR="001D14DA">
        <w:t xml:space="preserve">. </w:t>
      </w:r>
      <w:r w:rsidRPr="0033310C">
        <w:rPr>
          <w:b/>
          <w:bCs/>
        </w:rPr>
        <w:t>A longitudinal analysis of alcohol outlet density and assault</w:t>
      </w:r>
      <w:r w:rsidR="00D5394E">
        <w:t xml:space="preserve"> </w:t>
      </w:r>
      <w:r w:rsidRPr="0033310C">
        <w:t>Alcohol.: Clin. Exp. Res., 32 (2008), pp. 1074-1079</w:t>
      </w:r>
    </w:p>
    <w:p w14:paraId="2DBCCDDF" w14:textId="31C113C1" w:rsidR="0033310C" w:rsidRPr="0033310C" w:rsidRDefault="0033310C" w:rsidP="00DB74D8">
      <w:pPr>
        <w:pStyle w:val="NoSpacing"/>
        <w:ind w:left="720" w:hanging="720"/>
      </w:pPr>
      <w:r w:rsidRPr="0033310C">
        <w:t>Livingston, 2008b</w:t>
      </w:r>
      <w:r w:rsidR="00D5394E">
        <w:t xml:space="preserve"> </w:t>
      </w:r>
      <w:r w:rsidRPr="0033310C">
        <w:t>M. Livingston</w:t>
      </w:r>
      <w:r w:rsidR="001D14DA">
        <w:t xml:space="preserve">. </w:t>
      </w:r>
      <w:r w:rsidRPr="0033310C">
        <w:rPr>
          <w:b/>
          <w:bCs/>
        </w:rPr>
        <w:t>Alcohol outlet density and assault: a spatial analysis</w:t>
      </w:r>
      <w:r w:rsidR="00B94539">
        <w:t xml:space="preserve"> </w:t>
      </w:r>
      <w:r w:rsidRPr="0033310C">
        <w:t>Addiction, 103 (2008), pp. 619-628</w:t>
      </w:r>
    </w:p>
    <w:p w14:paraId="23F32E00" w14:textId="7D952310" w:rsidR="0033310C" w:rsidRPr="0033310C" w:rsidRDefault="0033310C" w:rsidP="00DB74D8">
      <w:pPr>
        <w:pStyle w:val="NoSpacing"/>
        <w:ind w:left="720" w:hanging="720"/>
      </w:pPr>
      <w:r w:rsidRPr="0033310C">
        <w:t>Nielsen and Martinez, 2003</w:t>
      </w:r>
      <w:r w:rsidR="00B94539">
        <w:t xml:space="preserve"> </w:t>
      </w:r>
      <w:r w:rsidRPr="0033310C">
        <w:t>A.L. Nielsen, R. Martinez Jr</w:t>
      </w:r>
      <w:r w:rsidR="001D14DA">
        <w:t xml:space="preserve">. </w:t>
      </w:r>
      <w:r w:rsidRPr="0033310C">
        <w:rPr>
          <w:b/>
          <w:bCs/>
        </w:rPr>
        <w:t>Reassessing the alcohol–violence linkage: results from a multiethnic city</w:t>
      </w:r>
      <w:r w:rsidR="00B94539">
        <w:t xml:space="preserve"> </w:t>
      </w:r>
      <w:r w:rsidRPr="0033310C">
        <w:t>Justice Q., 20 (2003), pp. 445-469</w:t>
      </w:r>
    </w:p>
    <w:p w14:paraId="167E386A" w14:textId="4885C9C6" w:rsidR="0033310C" w:rsidRPr="0033310C" w:rsidRDefault="0033310C" w:rsidP="00DB74D8">
      <w:pPr>
        <w:pStyle w:val="NoSpacing"/>
        <w:ind w:left="720" w:hanging="720"/>
      </w:pPr>
      <w:r w:rsidRPr="0033310C">
        <w:lastRenderedPageBreak/>
        <w:t>Nielsen et al., 2005</w:t>
      </w:r>
      <w:r w:rsidR="00B94539">
        <w:t xml:space="preserve"> </w:t>
      </w:r>
      <w:r w:rsidRPr="0033310C">
        <w:t>A.L. Nielsen, R.J. Martinez, M.T. Lee</w:t>
      </w:r>
      <w:r w:rsidR="001D14DA">
        <w:t xml:space="preserve">. </w:t>
      </w:r>
      <w:r w:rsidRPr="0033310C">
        <w:rPr>
          <w:b/>
          <w:bCs/>
        </w:rPr>
        <w:t>Alcohol, ethnicity, and violence: the role of alcohol availability for Latino and Black aggravated assaults and robberies</w:t>
      </w:r>
      <w:r w:rsidR="00B94539">
        <w:t xml:space="preserve"> </w:t>
      </w:r>
      <w:proofErr w:type="spellStart"/>
      <w:r w:rsidRPr="0033310C">
        <w:t>Sociol</w:t>
      </w:r>
      <w:proofErr w:type="spellEnd"/>
      <w:r w:rsidRPr="0033310C">
        <w:t>. Q., 46 (2005), pp. 479-502</w:t>
      </w:r>
    </w:p>
    <w:p w14:paraId="2D206CCE" w14:textId="1D1B21DB" w:rsidR="0033310C" w:rsidRPr="0033310C" w:rsidRDefault="0033310C" w:rsidP="00DB74D8">
      <w:pPr>
        <w:pStyle w:val="NoSpacing"/>
        <w:ind w:left="720" w:hanging="720"/>
      </w:pPr>
      <w:r w:rsidRPr="0033310C">
        <w:t xml:space="preserve">Ornstein and </w:t>
      </w:r>
      <w:proofErr w:type="spellStart"/>
      <w:r w:rsidRPr="0033310C">
        <w:t>Hanssens</w:t>
      </w:r>
      <w:proofErr w:type="spellEnd"/>
      <w:r w:rsidRPr="0033310C">
        <w:t>, 1985</w:t>
      </w:r>
      <w:r w:rsidR="00B94539">
        <w:t xml:space="preserve"> </w:t>
      </w:r>
      <w:r w:rsidRPr="0033310C">
        <w:t>S.I. Ornstein, D.M. </w:t>
      </w:r>
      <w:proofErr w:type="spellStart"/>
      <w:r w:rsidRPr="0033310C">
        <w:t>Hanssens</w:t>
      </w:r>
      <w:proofErr w:type="spellEnd"/>
      <w:r w:rsidR="001D14DA">
        <w:t xml:space="preserve">. </w:t>
      </w:r>
      <w:r w:rsidRPr="0033310C">
        <w:rPr>
          <w:b/>
          <w:bCs/>
        </w:rPr>
        <w:t>Alcohol control laws and the consumption of distilled spirits and beer</w:t>
      </w:r>
      <w:r w:rsidR="00B94539">
        <w:t xml:space="preserve"> </w:t>
      </w:r>
      <w:r w:rsidRPr="0033310C">
        <w:t xml:space="preserve">J. </w:t>
      </w:r>
      <w:proofErr w:type="spellStart"/>
      <w:r w:rsidRPr="0033310C">
        <w:t>Consum</w:t>
      </w:r>
      <w:proofErr w:type="spellEnd"/>
      <w:r w:rsidRPr="0033310C">
        <w:t>. Res., 12 (1985), pp. 200-213</w:t>
      </w:r>
    </w:p>
    <w:p w14:paraId="6FBF9106" w14:textId="6E13A6DB" w:rsidR="0033310C" w:rsidRPr="0033310C" w:rsidRDefault="0033310C" w:rsidP="00DB74D8">
      <w:pPr>
        <w:pStyle w:val="NoSpacing"/>
        <w:ind w:left="720" w:hanging="720"/>
      </w:pPr>
      <w:r w:rsidRPr="0033310C">
        <w:t>Parker, 1993</w:t>
      </w:r>
      <w:r w:rsidR="00B94539">
        <w:t xml:space="preserve"> </w:t>
      </w:r>
      <w:r w:rsidRPr="0033310C">
        <w:t>R. Parker</w:t>
      </w:r>
      <w:r w:rsidR="001D14DA">
        <w:t xml:space="preserve">. </w:t>
      </w:r>
      <w:r w:rsidRPr="0033310C">
        <w:rPr>
          <w:b/>
          <w:bCs/>
        </w:rPr>
        <w:t>The effects of context on alcohol and violence (Cover story)</w:t>
      </w:r>
      <w:r w:rsidR="00B94539">
        <w:t xml:space="preserve"> </w:t>
      </w:r>
      <w:r w:rsidRPr="0033310C">
        <w:t>Alcohol Health Res. World, 17 (1993), p. 117</w:t>
      </w:r>
    </w:p>
    <w:p w14:paraId="1A504467" w14:textId="23F4EC63" w:rsidR="0033310C" w:rsidRPr="0033310C" w:rsidRDefault="0033310C" w:rsidP="00DB74D8">
      <w:pPr>
        <w:pStyle w:val="NoSpacing"/>
        <w:ind w:left="720" w:hanging="720"/>
      </w:pPr>
      <w:r w:rsidRPr="0033310C">
        <w:t>Park and Burgess, 1924</w:t>
      </w:r>
      <w:r w:rsidR="00B94539">
        <w:t xml:space="preserve"> </w:t>
      </w:r>
      <w:r w:rsidRPr="0033310C">
        <w:t>R.E. Park, E.W. Burgess</w:t>
      </w:r>
      <w:r w:rsidR="001D14DA">
        <w:t xml:space="preserve">. </w:t>
      </w:r>
      <w:r w:rsidRPr="0033310C">
        <w:rPr>
          <w:b/>
          <w:bCs/>
        </w:rPr>
        <w:t>Introduction to the Science of Sociology</w:t>
      </w:r>
      <w:r w:rsidR="00B94539">
        <w:t xml:space="preserve"> </w:t>
      </w:r>
      <w:r w:rsidRPr="0033310C">
        <w:t>University of Chicago Press, Chicago (1924)</w:t>
      </w:r>
    </w:p>
    <w:p w14:paraId="71079561" w14:textId="15C940CF" w:rsidR="0033310C" w:rsidRPr="0033310C" w:rsidRDefault="0033310C" w:rsidP="00DB74D8">
      <w:pPr>
        <w:pStyle w:val="NoSpacing"/>
        <w:ind w:left="720" w:hanging="720"/>
      </w:pPr>
      <w:r w:rsidRPr="00372D4E">
        <w:t>Parker et al., 1978</w:t>
      </w:r>
      <w:r w:rsidR="00B94539" w:rsidRPr="00372D4E">
        <w:t xml:space="preserve"> </w:t>
      </w:r>
      <w:r w:rsidRPr="00372D4E">
        <w:t>D.A. Parker, M.W. Wolz, T.C. Harford</w:t>
      </w:r>
      <w:r w:rsidR="001D14DA">
        <w:t xml:space="preserve">. </w:t>
      </w:r>
      <w:r w:rsidRPr="0033310C">
        <w:rPr>
          <w:b/>
          <w:bCs/>
        </w:rPr>
        <w:t>The prevention of alcoholism: an empirical report on the effects of outlet availability</w:t>
      </w:r>
      <w:r w:rsidR="00B94539">
        <w:t xml:space="preserve"> </w:t>
      </w:r>
      <w:r w:rsidRPr="0033310C">
        <w:t>Alcohol.: Clin. Exp. Res., 2 (1978), pp. 339-343</w:t>
      </w:r>
    </w:p>
    <w:p w14:paraId="0E7412E8" w14:textId="6BFFD206" w:rsidR="0033310C" w:rsidRPr="0033310C" w:rsidRDefault="0033310C" w:rsidP="00DB74D8">
      <w:pPr>
        <w:pStyle w:val="NoSpacing"/>
        <w:ind w:left="720" w:hanging="720"/>
      </w:pPr>
      <w:r w:rsidRPr="0033310C">
        <w:t>Popova et al., 2009</w:t>
      </w:r>
      <w:r w:rsidR="00B94539">
        <w:t xml:space="preserve"> </w:t>
      </w:r>
      <w:r w:rsidRPr="0033310C">
        <w:t>S. Popova, N. Giesbrecht, D. </w:t>
      </w:r>
      <w:proofErr w:type="spellStart"/>
      <w:r w:rsidRPr="0033310C">
        <w:t>Bekmuradov</w:t>
      </w:r>
      <w:proofErr w:type="spellEnd"/>
      <w:r w:rsidRPr="0033310C">
        <w:t>, J. Patra</w:t>
      </w:r>
      <w:r w:rsidR="001D14DA">
        <w:t xml:space="preserve">. </w:t>
      </w:r>
      <w:r w:rsidRPr="0033310C">
        <w:rPr>
          <w:b/>
          <w:bCs/>
        </w:rPr>
        <w:t>Hours and days of sale and density of alcohol outlets: impacts on alcohol consumption and damage: a systematic review</w:t>
      </w:r>
      <w:r w:rsidR="00B94539">
        <w:t xml:space="preserve"> </w:t>
      </w:r>
      <w:r w:rsidRPr="0033310C">
        <w:t xml:space="preserve">Alcohol </w:t>
      </w:r>
      <w:proofErr w:type="spellStart"/>
      <w:r w:rsidRPr="0033310C">
        <w:t>Alcohol</w:t>
      </w:r>
      <w:proofErr w:type="spellEnd"/>
      <w:r w:rsidRPr="0033310C">
        <w:t>., 44 (2009), pp. 500-516</w:t>
      </w:r>
    </w:p>
    <w:p w14:paraId="27592641" w14:textId="2DB8BCDB" w:rsidR="0033310C" w:rsidRPr="0033310C" w:rsidRDefault="0033310C" w:rsidP="00DB74D8">
      <w:pPr>
        <w:pStyle w:val="NoSpacing"/>
        <w:ind w:left="720" w:hanging="720"/>
      </w:pPr>
      <w:r w:rsidRPr="0033310C">
        <w:t>Pridemore and Grubesic, 2012</w:t>
      </w:r>
      <w:r w:rsidR="00B94539">
        <w:t xml:space="preserve"> </w:t>
      </w:r>
      <w:r w:rsidRPr="0033310C">
        <w:t>W.A. Pridemore, T.H. Grubesic</w:t>
      </w:r>
      <w:r w:rsidR="001D14DA">
        <w:t xml:space="preserve">. </w:t>
      </w:r>
      <w:r w:rsidRPr="0033310C">
        <w:rPr>
          <w:b/>
          <w:bCs/>
        </w:rPr>
        <w:t>Community organization moderates the effect of alcohol outlet density on violence</w:t>
      </w:r>
      <w:r w:rsidR="00B94539">
        <w:t xml:space="preserve"> </w:t>
      </w:r>
      <w:r w:rsidRPr="0033310C">
        <w:t xml:space="preserve">Brit. J. </w:t>
      </w:r>
      <w:proofErr w:type="spellStart"/>
      <w:r w:rsidRPr="0033310C">
        <w:t>Sociol</w:t>
      </w:r>
      <w:proofErr w:type="spellEnd"/>
      <w:r w:rsidRPr="0033310C">
        <w:t>., 63 (2012), pp. 680-703</w:t>
      </w:r>
    </w:p>
    <w:p w14:paraId="2D7EACFE" w14:textId="67AC30D6" w:rsidR="0033310C" w:rsidRPr="0033310C" w:rsidRDefault="0033310C" w:rsidP="00DB74D8">
      <w:pPr>
        <w:pStyle w:val="NoSpacing"/>
        <w:ind w:left="720" w:hanging="720"/>
      </w:pPr>
      <w:r w:rsidRPr="0033310C">
        <w:t>Pridemore and Grubesic, 2013</w:t>
      </w:r>
      <w:r w:rsidR="00B94539">
        <w:t xml:space="preserve"> </w:t>
      </w:r>
      <w:r w:rsidRPr="0033310C">
        <w:t>W.A. Pridemore, T. Grubesic</w:t>
      </w:r>
      <w:r w:rsidR="001D14DA">
        <w:t xml:space="preserve">. </w:t>
      </w:r>
      <w:r w:rsidRPr="0033310C">
        <w:rPr>
          <w:b/>
          <w:bCs/>
        </w:rPr>
        <w:t>Alcohol outlets and community levels of interpersonal violence: spatial density, type of outlet, and seriousness of assault</w:t>
      </w:r>
      <w:r w:rsidR="00B94539">
        <w:t xml:space="preserve"> </w:t>
      </w:r>
      <w:r w:rsidRPr="0033310C">
        <w:t>J. Res. Crime Delinquency, 50 (2013), pp. 132-159</w:t>
      </w:r>
    </w:p>
    <w:p w14:paraId="70E1C24C" w14:textId="4AFD180F" w:rsidR="0033310C" w:rsidRPr="0033310C" w:rsidRDefault="0033310C" w:rsidP="00DB74D8">
      <w:pPr>
        <w:pStyle w:val="NoSpacing"/>
        <w:ind w:left="720" w:hanging="720"/>
      </w:pPr>
      <w:r w:rsidRPr="0033310C">
        <w:t>Rabow and Watts, 1982</w:t>
      </w:r>
      <w:r w:rsidR="00B94539">
        <w:t xml:space="preserve"> </w:t>
      </w:r>
      <w:r w:rsidRPr="0033310C">
        <w:t>J. Rabow, R.K. Watts</w:t>
      </w:r>
      <w:r w:rsidR="001D14DA">
        <w:t xml:space="preserve">. </w:t>
      </w:r>
      <w:r w:rsidRPr="0033310C">
        <w:rPr>
          <w:b/>
          <w:bCs/>
        </w:rPr>
        <w:t>Alcohol availability, alcoholic beverage sales and alcohol-related problems</w:t>
      </w:r>
      <w:r w:rsidR="00B94539">
        <w:t xml:space="preserve"> </w:t>
      </w:r>
      <w:r w:rsidRPr="0033310C">
        <w:t>J. Stud. Alcohol, 43 (1982), pp. 767-801</w:t>
      </w:r>
    </w:p>
    <w:p w14:paraId="1728779C" w14:textId="2933FE28" w:rsidR="0033310C" w:rsidRPr="0033310C" w:rsidRDefault="0033310C" w:rsidP="00DB74D8">
      <w:pPr>
        <w:pStyle w:val="NoSpacing"/>
        <w:ind w:left="720" w:hanging="720"/>
      </w:pPr>
      <w:r w:rsidRPr="0033310C">
        <w:t>Ratcliffe, 2001</w:t>
      </w:r>
      <w:r w:rsidR="00B94539">
        <w:t xml:space="preserve"> </w:t>
      </w:r>
      <w:r w:rsidRPr="0033310C">
        <w:t>J.H. Ratcliffe</w:t>
      </w:r>
      <w:r w:rsidR="001D14DA">
        <w:t xml:space="preserve">. </w:t>
      </w:r>
      <w:r w:rsidRPr="0033310C">
        <w:rPr>
          <w:b/>
          <w:bCs/>
        </w:rPr>
        <w:t>On the accuracy of TIGER-type geocoded address data in relation to cadastral and census areal units</w:t>
      </w:r>
      <w:r w:rsidR="00B94539">
        <w:t xml:space="preserve"> </w:t>
      </w:r>
      <w:r w:rsidRPr="0033310C">
        <w:t xml:space="preserve">Int. J. </w:t>
      </w:r>
      <w:proofErr w:type="spellStart"/>
      <w:r w:rsidRPr="0033310C">
        <w:t>Geogr</w:t>
      </w:r>
      <w:proofErr w:type="spellEnd"/>
      <w:r w:rsidRPr="0033310C">
        <w:t>. Inform. Sci., 15 (2001), pp. 473-485</w:t>
      </w:r>
    </w:p>
    <w:p w14:paraId="09D3D67E" w14:textId="6F3C319D" w:rsidR="0033310C" w:rsidRPr="0033310C" w:rsidRDefault="0033310C" w:rsidP="00DB74D8">
      <w:pPr>
        <w:pStyle w:val="NoSpacing"/>
        <w:ind w:left="720" w:hanging="720"/>
      </w:pPr>
      <w:r w:rsidRPr="0033310C">
        <w:t>Ratcliffe, 2004</w:t>
      </w:r>
      <w:r w:rsidR="00B94539">
        <w:t xml:space="preserve"> </w:t>
      </w:r>
      <w:r w:rsidRPr="0033310C">
        <w:t>J.H. Ratcliffe</w:t>
      </w:r>
      <w:r w:rsidR="001D14DA">
        <w:t xml:space="preserve">. </w:t>
      </w:r>
      <w:r w:rsidRPr="0033310C">
        <w:rPr>
          <w:b/>
          <w:bCs/>
        </w:rPr>
        <w:t>Geocoding crime and a first estimate of a minimum acceptable hit rate</w:t>
      </w:r>
      <w:r w:rsidR="00B94539">
        <w:t xml:space="preserve"> </w:t>
      </w:r>
      <w:r w:rsidRPr="0033310C">
        <w:t xml:space="preserve">Int. J. </w:t>
      </w:r>
      <w:proofErr w:type="spellStart"/>
      <w:r w:rsidRPr="0033310C">
        <w:t>Geogr</w:t>
      </w:r>
      <w:proofErr w:type="spellEnd"/>
      <w:r w:rsidRPr="0033310C">
        <w:t>. Inform. Sci., 18 (2004), pp. 61-72</w:t>
      </w:r>
    </w:p>
    <w:p w14:paraId="352D4E26" w14:textId="653F24A6" w:rsidR="0033310C" w:rsidRPr="0033310C" w:rsidRDefault="0033310C" w:rsidP="00DB74D8">
      <w:pPr>
        <w:pStyle w:val="NoSpacing"/>
        <w:ind w:left="720" w:hanging="720"/>
      </w:pPr>
      <w:r w:rsidRPr="0033310C">
        <w:t>Roman et al., 2008</w:t>
      </w:r>
      <w:r w:rsidR="001D14DA">
        <w:t xml:space="preserve">. </w:t>
      </w:r>
      <w:r w:rsidRPr="0033310C">
        <w:t>Roman, C.G., Reid, S., Bhati, A., Tereshchenko, B., 2008. Alcohol Outlets as Attractors of Violence and Disorder: A Closer Look at the Neighborhood Environment. Urban Institute, Washington, DC. &lt;http://www.urban.org/publications/411663.html&gt; (retrieved 01.12.09).</w:t>
      </w:r>
    </w:p>
    <w:p w14:paraId="10AA06F2" w14:textId="404A4E09" w:rsidR="0033310C" w:rsidRPr="0033310C" w:rsidRDefault="0033310C" w:rsidP="00DB74D8">
      <w:pPr>
        <w:pStyle w:val="NoSpacing"/>
        <w:ind w:left="720" w:hanging="720"/>
      </w:pPr>
      <w:r w:rsidRPr="0033310C">
        <w:t>Rossow and Norstrom, 2012</w:t>
      </w:r>
      <w:r w:rsidR="002D7683">
        <w:t xml:space="preserve"> </w:t>
      </w:r>
      <w:r w:rsidRPr="0033310C">
        <w:t>I. Rossow, T. </w:t>
      </w:r>
      <w:proofErr w:type="spellStart"/>
      <w:r w:rsidRPr="0033310C">
        <w:t>Norstrom</w:t>
      </w:r>
      <w:proofErr w:type="spellEnd"/>
      <w:r w:rsidR="001D14DA">
        <w:t xml:space="preserve">. </w:t>
      </w:r>
      <w:r w:rsidRPr="0033310C">
        <w:rPr>
          <w:b/>
          <w:bCs/>
        </w:rPr>
        <w:t>The impact of small changes in bar closing hours on violence: the Norwegian experience from 18 cities</w:t>
      </w:r>
      <w:r w:rsidR="002D7683">
        <w:t xml:space="preserve"> </w:t>
      </w:r>
      <w:r w:rsidRPr="0033310C">
        <w:t>Addiction, 107 (2012), pp. 530-537</w:t>
      </w:r>
    </w:p>
    <w:p w14:paraId="18FC5832" w14:textId="5768BC6F" w:rsidR="0033310C" w:rsidRPr="0033310C" w:rsidRDefault="0033310C" w:rsidP="00DB74D8">
      <w:pPr>
        <w:pStyle w:val="NoSpacing"/>
        <w:ind w:left="720" w:hanging="720"/>
      </w:pPr>
      <w:r w:rsidRPr="0033310C">
        <w:t>Sampson and Groves, 1989</w:t>
      </w:r>
      <w:r w:rsidR="002D7683">
        <w:t xml:space="preserve"> </w:t>
      </w:r>
      <w:r w:rsidRPr="0033310C">
        <w:t>R.J. Sampson, W.B. Groves</w:t>
      </w:r>
      <w:r w:rsidR="001D14DA">
        <w:t xml:space="preserve">. </w:t>
      </w:r>
      <w:r w:rsidRPr="0033310C">
        <w:rPr>
          <w:b/>
          <w:bCs/>
        </w:rPr>
        <w:t>Community structure and crime: testing social disorganization theory</w:t>
      </w:r>
      <w:r w:rsidR="002D7683">
        <w:t xml:space="preserve"> </w:t>
      </w:r>
      <w:r w:rsidRPr="0033310C">
        <w:t xml:space="preserve">Am. J. </w:t>
      </w:r>
      <w:proofErr w:type="spellStart"/>
      <w:r w:rsidRPr="0033310C">
        <w:t>Sociol</w:t>
      </w:r>
      <w:proofErr w:type="spellEnd"/>
      <w:r w:rsidRPr="0033310C">
        <w:t>., 94 (1989), pp. 774-802</w:t>
      </w:r>
    </w:p>
    <w:p w14:paraId="1D1E9819" w14:textId="560742BE" w:rsidR="0033310C" w:rsidRPr="0033310C" w:rsidRDefault="0033310C" w:rsidP="00DB74D8">
      <w:pPr>
        <w:pStyle w:val="NoSpacing"/>
        <w:ind w:left="720" w:hanging="720"/>
      </w:pPr>
      <w:r w:rsidRPr="0033310C">
        <w:t>Sampson et al., 1997</w:t>
      </w:r>
      <w:r w:rsidR="002D7683">
        <w:t xml:space="preserve"> </w:t>
      </w:r>
      <w:r w:rsidRPr="0033310C">
        <w:t>R.J. Sampson, S. Raudenbush, F. Earls</w:t>
      </w:r>
      <w:r w:rsidR="001D14DA">
        <w:t xml:space="preserve">. </w:t>
      </w:r>
      <w:r w:rsidRPr="0033310C">
        <w:rPr>
          <w:b/>
          <w:bCs/>
        </w:rPr>
        <w:t>Neighborhoods and violent crime: a multilevel study of collective efficacy</w:t>
      </w:r>
      <w:r w:rsidR="002D7683">
        <w:t xml:space="preserve"> </w:t>
      </w:r>
      <w:r w:rsidRPr="0033310C">
        <w:t>Science, 277 (1997), pp. 918-924</w:t>
      </w:r>
    </w:p>
    <w:p w14:paraId="54360EF5" w14:textId="30F9690A" w:rsidR="0033310C" w:rsidRPr="0033310C" w:rsidRDefault="0033310C" w:rsidP="00DB74D8">
      <w:pPr>
        <w:pStyle w:val="NoSpacing"/>
        <w:ind w:left="720" w:hanging="720"/>
      </w:pPr>
      <w:r w:rsidRPr="0033310C">
        <w:t>Sampson et al., 2002</w:t>
      </w:r>
      <w:r w:rsidR="002D7683">
        <w:t xml:space="preserve"> </w:t>
      </w:r>
      <w:r w:rsidRPr="0033310C">
        <w:t>R.J. Sampson, J.D. </w:t>
      </w:r>
      <w:proofErr w:type="spellStart"/>
      <w:r w:rsidRPr="0033310C">
        <w:t>Morenoff</w:t>
      </w:r>
      <w:proofErr w:type="spellEnd"/>
      <w:r w:rsidRPr="0033310C">
        <w:t>, T. Gannon-Rowley</w:t>
      </w:r>
      <w:r w:rsidR="001D14DA">
        <w:t xml:space="preserve">. </w:t>
      </w:r>
      <w:r w:rsidRPr="0033310C">
        <w:rPr>
          <w:b/>
          <w:bCs/>
        </w:rPr>
        <w:t>“Neighborhood effects”: social processes and new directions in research</w:t>
      </w:r>
      <w:r w:rsidR="002D7683">
        <w:t xml:space="preserve"> </w:t>
      </w:r>
      <w:r w:rsidRPr="0033310C">
        <w:t xml:space="preserve">Annu. Rev. </w:t>
      </w:r>
      <w:proofErr w:type="spellStart"/>
      <w:r w:rsidRPr="0033310C">
        <w:t>Sociol</w:t>
      </w:r>
      <w:proofErr w:type="spellEnd"/>
      <w:r w:rsidRPr="0033310C">
        <w:t>., 28 (2002), pp. 443-478</w:t>
      </w:r>
    </w:p>
    <w:p w14:paraId="0C338279" w14:textId="0C61C7D4" w:rsidR="0033310C" w:rsidRPr="0033310C" w:rsidRDefault="0033310C" w:rsidP="00DB74D8">
      <w:pPr>
        <w:pStyle w:val="NoSpacing"/>
        <w:ind w:left="720" w:hanging="720"/>
      </w:pPr>
      <w:r w:rsidRPr="0033310C">
        <w:t>Scribner et al., 1994</w:t>
      </w:r>
      <w:r w:rsidR="002D7683">
        <w:t xml:space="preserve"> </w:t>
      </w:r>
      <w:r w:rsidRPr="0033310C">
        <w:t>R.A. Scribner, D.P. MacKinnon, J.H. Dwyer</w:t>
      </w:r>
      <w:r w:rsidR="001D14DA">
        <w:t xml:space="preserve">. </w:t>
      </w:r>
      <w:r w:rsidRPr="0033310C">
        <w:rPr>
          <w:b/>
          <w:bCs/>
        </w:rPr>
        <w:t>Alcohol outlet density and motor vehicle crashes in Los Angeles County Cities</w:t>
      </w:r>
      <w:r w:rsidR="002D7683">
        <w:t xml:space="preserve"> </w:t>
      </w:r>
      <w:r w:rsidRPr="0033310C">
        <w:t>J. Stud. Alcohol, 55 (1994), pp. 447-453</w:t>
      </w:r>
    </w:p>
    <w:p w14:paraId="693EABFB" w14:textId="5837183B" w:rsidR="0033310C" w:rsidRPr="0033310C" w:rsidRDefault="0033310C" w:rsidP="00DB74D8">
      <w:pPr>
        <w:pStyle w:val="NoSpacing"/>
        <w:ind w:left="720" w:hanging="720"/>
      </w:pPr>
      <w:r w:rsidRPr="0033310C">
        <w:t>Scribner et al., 1995</w:t>
      </w:r>
      <w:r w:rsidR="002D7683">
        <w:t xml:space="preserve"> </w:t>
      </w:r>
      <w:r w:rsidRPr="0033310C">
        <w:t>R.A. Scribner, D.P. MacKinnon, J.H. Dwyer</w:t>
      </w:r>
      <w:r w:rsidR="001D14DA">
        <w:t xml:space="preserve">. </w:t>
      </w:r>
      <w:r w:rsidRPr="0033310C">
        <w:rPr>
          <w:b/>
          <w:bCs/>
        </w:rPr>
        <w:t>Risk of assaultive violence and alcohol availability in Los Angeles County</w:t>
      </w:r>
      <w:r w:rsidR="002D7683">
        <w:t xml:space="preserve"> </w:t>
      </w:r>
      <w:r w:rsidRPr="0033310C">
        <w:t>Am. J. Public Health, 85 (1995), pp. 335-340</w:t>
      </w:r>
    </w:p>
    <w:p w14:paraId="56A452E8" w14:textId="1BF975A3" w:rsidR="0033310C" w:rsidRPr="0033310C" w:rsidRDefault="0033310C" w:rsidP="00DB74D8">
      <w:pPr>
        <w:pStyle w:val="NoSpacing"/>
        <w:ind w:left="720" w:hanging="720"/>
      </w:pPr>
      <w:r w:rsidRPr="0033310C">
        <w:t xml:space="preserve">Shaw and </w:t>
      </w:r>
      <w:proofErr w:type="spellStart"/>
      <w:r w:rsidRPr="0033310C">
        <w:t>Mckay</w:t>
      </w:r>
      <w:proofErr w:type="spellEnd"/>
      <w:r w:rsidRPr="0033310C">
        <w:t>, 1942</w:t>
      </w:r>
      <w:r w:rsidR="002D7683">
        <w:t xml:space="preserve"> </w:t>
      </w:r>
      <w:r w:rsidRPr="0033310C">
        <w:t>C.R. Shaw, H.D. </w:t>
      </w:r>
      <w:proofErr w:type="spellStart"/>
      <w:r w:rsidRPr="0033310C">
        <w:t>Mckay</w:t>
      </w:r>
      <w:proofErr w:type="spellEnd"/>
      <w:r w:rsidR="001D14DA">
        <w:t xml:space="preserve">. </w:t>
      </w:r>
      <w:r w:rsidRPr="0033310C">
        <w:rPr>
          <w:b/>
          <w:bCs/>
        </w:rPr>
        <w:t>Juvenile Delinquency and Urban Areas</w:t>
      </w:r>
      <w:r w:rsidR="002D7683">
        <w:t xml:space="preserve"> </w:t>
      </w:r>
      <w:proofErr w:type="gramStart"/>
      <w:r w:rsidRPr="0033310C">
        <w:t>The</w:t>
      </w:r>
      <w:proofErr w:type="gramEnd"/>
      <w:r w:rsidRPr="0033310C">
        <w:t xml:space="preserve"> University of Chicago Press, Chicago (1942)</w:t>
      </w:r>
    </w:p>
    <w:p w14:paraId="1896604E" w14:textId="27589D27" w:rsidR="0033310C" w:rsidRPr="0033310C" w:rsidRDefault="0033310C" w:rsidP="00DB74D8">
      <w:pPr>
        <w:pStyle w:val="NoSpacing"/>
        <w:ind w:left="720" w:hanging="720"/>
      </w:pPr>
      <w:r w:rsidRPr="0033310C">
        <w:t>Smith, 1986</w:t>
      </w:r>
      <w:r w:rsidR="002D7683">
        <w:t xml:space="preserve"> </w:t>
      </w:r>
      <w:r w:rsidRPr="0033310C">
        <w:t>R.M. Smith</w:t>
      </w:r>
      <w:r w:rsidR="001D14DA">
        <w:t xml:space="preserve">. </w:t>
      </w:r>
      <w:r w:rsidRPr="0033310C">
        <w:rPr>
          <w:b/>
          <w:bCs/>
        </w:rPr>
        <w:t>Comparing traditional methods for selecting class intervals on choropleth maps</w:t>
      </w:r>
      <w:r w:rsidR="002D7683">
        <w:t xml:space="preserve"> </w:t>
      </w:r>
      <w:r w:rsidRPr="0033310C">
        <w:t xml:space="preserve">Prof. </w:t>
      </w:r>
      <w:proofErr w:type="spellStart"/>
      <w:r w:rsidRPr="0033310C">
        <w:t>Geogr</w:t>
      </w:r>
      <w:proofErr w:type="spellEnd"/>
      <w:r w:rsidRPr="0033310C">
        <w:t>., 38 (1986), pp. 62-67</w:t>
      </w:r>
    </w:p>
    <w:p w14:paraId="46EA900A" w14:textId="5937B863" w:rsidR="0033310C" w:rsidRPr="0033310C" w:rsidRDefault="0033310C" w:rsidP="00DB74D8">
      <w:pPr>
        <w:pStyle w:val="NoSpacing"/>
        <w:ind w:left="720" w:hanging="720"/>
      </w:pPr>
      <w:r w:rsidRPr="0033310C">
        <w:t>Smith et al., 2000</w:t>
      </w:r>
      <w:r w:rsidR="002D7683">
        <w:t xml:space="preserve"> </w:t>
      </w:r>
      <w:r w:rsidRPr="0033310C">
        <w:t>W.R. Smith, S.G. Frazee, E.L. Davison</w:t>
      </w:r>
      <w:r w:rsidR="001D14DA">
        <w:t xml:space="preserve">. </w:t>
      </w:r>
      <w:r w:rsidRPr="0033310C">
        <w:rPr>
          <w:b/>
          <w:bCs/>
        </w:rPr>
        <w:t>Furthering the integration of routine activity and social disorganization theories: small units of analysis and the study of street robbery as a diffusion process</w:t>
      </w:r>
      <w:r w:rsidR="002D7683">
        <w:t xml:space="preserve"> </w:t>
      </w:r>
      <w:r w:rsidRPr="0033310C">
        <w:t>Criminology, 38 (2000), pp. 489-524</w:t>
      </w:r>
    </w:p>
    <w:p w14:paraId="7536C4D5" w14:textId="6AC940FA" w:rsidR="0033310C" w:rsidRPr="0033310C" w:rsidRDefault="0033310C" w:rsidP="00DB74D8">
      <w:pPr>
        <w:pStyle w:val="NoSpacing"/>
        <w:ind w:left="720" w:hanging="720"/>
      </w:pPr>
      <w:r w:rsidRPr="0033310C">
        <w:t>Snowden and Pridemore, 2013</w:t>
      </w:r>
      <w:r w:rsidR="002D7683">
        <w:t xml:space="preserve"> </w:t>
      </w:r>
      <w:r w:rsidRPr="0033310C">
        <w:t>A.J. Snowden, W.A. </w:t>
      </w:r>
      <w:proofErr w:type="spellStart"/>
      <w:r w:rsidRPr="0033310C">
        <w:t>Pridemore</w:t>
      </w:r>
      <w:proofErr w:type="spellEnd"/>
      <w:r w:rsidR="001D14DA">
        <w:t xml:space="preserve">. </w:t>
      </w:r>
      <w:r w:rsidRPr="0033310C">
        <w:rPr>
          <w:b/>
          <w:bCs/>
        </w:rPr>
        <w:t>Alcohol and violence in a nonmetropolitan college town: alcohol outlet density, outlet type, and assault</w:t>
      </w:r>
      <w:r w:rsidR="002D7683">
        <w:t xml:space="preserve"> </w:t>
      </w:r>
      <w:r w:rsidRPr="0033310C">
        <w:t>J. Drug Issues, 43 (2013), pp. 357-373</w:t>
      </w:r>
    </w:p>
    <w:p w14:paraId="11F83D71" w14:textId="1D2270A4" w:rsidR="0033310C" w:rsidRPr="0033310C" w:rsidRDefault="0033310C" w:rsidP="00DB74D8">
      <w:pPr>
        <w:pStyle w:val="NoSpacing"/>
        <w:ind w:left="720" w:hanging="720"/>
      </w:pPr>
      <w:r w:rsidRPr="0033310C">
        <w:t>Snowden and Pridemore, 2014</w:t>
      </w:r>
      <w:r w:rsidR="002D7683">
        <w:t xml:space="preserve"> </w:t>
      </w:r>
      <w:r w:rsidRPr="0033310C">
        <w:t>A.J. Snowden, W.A. </w:t>
      </w:r>
      <w:proofErr w:type="spellStart"/>
      <w:r w:rsidRPr="0033310C">
        <w:t>Pridemore</w:t>
      </w:r>
      <w:proofErr w:type="spellEnd"/>
      <w:r w:rsidR="001D14DA">
        <w:t xml:space="preserve">. </w:t>
      </w:r>
      <w:r w:rsidRPr="0033310C">
        <w:rPr>
          <w:b/>
          <w:bCs/>
        </w:rPr>
        <w:t>Off-</w:t>
      </w:r>
      <w:proofErr w:type="gramStart"/>
      <w:r w:rsidRPr="0033310C">
        <w:rPr>
          <w:b/>
          <w:bCs/>
        </w:rPr>
        <w:t>premise</w:t>
      </w:r>
      <w:proofErr w:type="gramEnd"/>
      <w:r w:rsidRPr="0033310C">
        <w:rPr>
          <w:b/>
          <w:bCs/>
        </w:rPr>
        <w:t xml:space="preserve"> alcohol outlet characteristics and violence</w:t>
      </w:r>
      <w:r w:rsidR="002D7683">
        <w:t xml:space="preserve"> </w:t>
      </w:r>
      <w:r w:rsidRPr="0033310C">
        <w:t>Am. J. Drug Alcohol Abuse, 40 (2014), pp. 327-335</w:t>
      </w:r>
    </w:p>
    <w:p w14:paraId="74FD6845" w14:textId="2F774678" w:rsidR="0033310C" w:rsidRPr="0033310C" w:rsidRDefault="0033310C" w:rsidP="00DB74D8">
      <w:pPr>
        <w:pStyle w:val="NoSpacing"/>
        <w:ind w:left="720" w:hanging="720"/>
      </w:pPr>
      <w:r w:rsidRPr="0033310C">
        <w:lastRenderedPageBreak/>
        <w:t>Stark, 1987</w:t>
      </w:r>
      <w:r w:rsidR="002D7683">
        <w:t xml:space="preserve"> </w:t>
      </w:r>
      <w:r w:rsidRPr="0033310C">
        <w:t>R. Stark</w:t>
      </w:r>
      <w:r w:rsidR="001D14DA">
        <w:t xml:space="preserve">. </w:t>
      </w:r>
      <w:r w:rsidRPr="0033310C">
        <w:rPr>
          <w:b/>
          <w:bCs/>
        </w:rPr>
        <w:t>Deviant places: a theory of the ecology of crime</w:t>
      </w:r>
      <w:r w:rsidR="002D7683">
        <w:t xml:space="preserve"> </w:t>
      </w:r>
      <w:r w:rsidRPr="0033310C">
        <w:t>Criminology, 25 (1987), pp. 893-910</w:t>
      </w:r>
    </w:p>
    <w:p w14:paraId="723A157C" w14:textId="5D494D71" w:rsidR="0033310C" w:rsidRPr="0033310C" w:rsidRDefault="0033310C" w:rsidP="00DB74D8">
      <w:pPr>
        <w:pStyle w:val="NoSpacing"/>
        <w:ind w:left="720" w:hanging="720"/>
      </w:pPr>
      <w:r w:rsidRPr="0033310C">
        <w:t>Tita and Griffiths, 2005</w:t>
      </w:r>
      <w:r w:rsidR="002D7683">
        <w:t xml:space="preserve"> </w:t>
      </w:r>
      <w:r w:rsidRPr="0033310C">
        <w:t>G.E. Tita, E. Griffiths</w:t>
      </w:r>
      <w:r w:rsidR="001D14DA">
        <w:t xml:space="preserve">. </w:t>
      </w:r>
      <w:r w:rsidRPr="0033310C">
        <w:rPr>
          <w:b/>
          <w:bCs/>
        </w:rPr>
        <w:t>Traveling to violence: the case for a mobility-based spatial topology of homicide</w:t>
      </w:r>
      <w:r w:rsidR="002D7683">
        <w:t xml:space="preserve"> </w:t>
      </w:r>
      <w:r w:rsidRPr="0033310C">
        <w:t>J. Res. Crime Delinquency, 42 (2005), pp. 275-308</w:t>
      </w:r>
    </w:p>
    <w:p w14:paraId="5F874111" w14:textId="22978B36" w:rsidR="0033310C" w:rsidRPr="0033310C" w:rsidRDefault="0033310C" w:rsidP="00DB74D8">
      <w:pPr>
        <w:pStyle w:val="NoSpacing"/>
        <w:ind w:left="720" w:hanging="720"/>
      </w:pPr>
      <w:r w:rsidRPr="0033310C">
        <w:t>United States Department of Justice, 2010</w:t>
      </w:r>
      <w:r w:rsidR="001D14DA">
        <w:t xml:space="preserve"> </w:t>
      </w:r>
      <w:r w:rsidRPr="0033310C">
        <w:t>United States Department of Justice, F. B. (2010, September). Retrieved from Crime in the United States.</w:t>
      </w:r>
    </w:p>
    <w:p w14:paraId="41AAE02F" w14:textId="1F9BAADE" w:rsidR="0033310C" w:rsidRPr="0033310C" w:rsidRDefault="0033310C" w:rsidP="00DB74D8">
      <w:pPr>
        <w:pStyle w:val="NoSpacing"/>
        <w:ind w:left="720" w:hanging="720"/>
      </w:pPr>
      <w:r w:rsidRPr="0033310C">
        <w:t>US Census Bureau, 2010</w:t>
      </w:r>
      <w:r w:rsidR="001D14DA">
        <w:t xml:space="preserve">. </w:t>
      </w:r>
      <w:r w:rsidRPr="0033310C">
        <w:t xml:space="preserve">US Census Bureau (2010). American </w:t>
      </w:r>
      <w:proofErr w:type="spellStart"/>
      <w:r w:rsidRPr="0033310C">
        <w:t>FacFinder</w:t>
      </w:r>
      <w:proofErr w:type="spellEnd"/>
      <w:r w:rsidRPr="0033310C">
        <w:t>. &lt;http://factfinder2.census.gov/faces/nav/jsf/pages/community_facts.xhtml&gt; (retrieved 28.07.13).</w:t>
      </w:r>
    </w:p>
    <w:p w14:paraId="5EB01B6B" w14:textId="348BD5CC" w:rsidR="0033310C" w:rsidRPr="0033310C" w:rsidRDefault="0033310C" w:rsidP="00DB74D8">
      <w:pPr>
        <w:pStyle w:val="NoSpacing"/>
        <w:ind w:left="720" w:hanging="720"/>
      </w:pPr>
      <w:r w:rsidRPr="0033310C">
        <w:t>US Census Bureau, 2014</w:t>
      </w:r>
      <w:r w:rsidR="001D14DA">
        <w:t xml:space="preserve">. </w:t>
      </w:r>
      <w:r w:rsidRPr="0033310C">
        <w:t>US Census Bureau (2014, January). State and County QuickFacts. &lt;http://quickfacts.census.gov/qfd/states/55/5553000.html&gt;.</w:t>
      </w:r>
    </w:p>
    <w:p w14:paraId="27A83E4D" w14:textId="293F5E10" w:rsidR="0033310C" w:rsidRPr="0033310C" w:rsidRDefault="0033310C" w:rsidP="00DB74D8">
      <w:pPr>
        <w:pStyle w:val="NoSpacing"/>
        <w:ind w:left="720" w:hanging="720"/>
      </w:pPr>
      <w:r w:rsidRPr="0033310C">
        <w:t>Warner, 2007</w:t>
      </w:r>
      <w:r w:rsidR="00372D4E">
        <w:t xml:space="preserve"> </w:t>
      </w:r>
      <w:r w:rsidRPr="0033310C">
        <w:t>B.D. Warner</w:t>
      </w:r>
      <w:r w:rsidR="001D14DA">
        <w:t xml:space="preserve">. </w:t>
      </w:r>
      <w:r w:rsidRPr="0033310C">
        <w:rPr>
          <w:b/>
          <w:bCs/>
        </w:rPr>
        <w:t>Robberies with guns: neighborhood factors and the nature of crime</w:t>
      </w:r>
      <w:r w:rsidR="00372D4E">
        <w:t xml:space="preserve"> </w:t>
      </w:r>
      <w:r w:rsidRPr="0033310C">
        <w:t>J. Crim. Just., 35 (2007), pp. 39-50</w:t>
      </w:r>
    </w:p>
    <w:p w14:paraId="4EFCE529" w14:textId="1A4B1EDB" w:rsidR="0033310C" w:rsidRPr="0033310C" w:rsidRDefault="0033310C" w:rsidP="00DB74D8">
      <w:pPr>
        <w:pStyle w:val="NoSpacing"/>
        <w:ind w:left="720" w:hanging="720"/>
      </w:pPr>
      <w:r w:rsidRPr="0033310C">
        <w:t>Zhu et al., 2004</w:t>
      </w:r>
      <w:r w:rsidR="00372D4E">
        <w:t xml:space="preserve"> </w:t>
      </w:r>
      <w:r w:rsidRPr="0033310C">
        <w:t>L. Zhu, D.M. Gorman, S. </w:t>
      </w:r>
      <w:proofErr w:type="spellStart"/>
      <w:r w:rsidRPr="0033310C">
        <w:t>Horel</w:t>
      </w:r>
      <w:proofErr w:type="spellEnd"/>
      <w:r w:rsidR="001D14DA">
        <w:t xml:space="preserve">. </w:t>
      </w:r>
      <w:r w:rsidRPr="0033310C">
        <w:rPr>
          <w:b/>
          <w:bCs/>
        </w:rPr>
        <w:t>Alcohol outlet density and violence: a geospatial analysis</w:t>
      </w:r>
      <w:r w:rsidR="00372D4E">
        <w:t xml:space="preserve"> </w:t>
      </w:r>
      <w:r w:rsidRPr="0033310C">
        <w:t xml:space="preserve">Alcohol </w:t>
      </w:r>
      <w:proofErr w:type="spellStart"/>
      <w:r w:rsidRPr="0033310C">
        <w:t>Alcohol</w:t>
      </w:r>
      <w:proofErr w:type="spellEnd"/>
      <w:r w:rsidRPr="0033310C">
        <w:t>., 39 (2004), pp. 369-375</w:t>
      </w:r>
    </w:p>
    <w:p w14:paraId="7B50A262" w14:textId="77777777" w:rsidR="0033310C" w:rsidRPr="0033310C" w:rsidRDefault="0033310C" w:rsidP="0033310C"/>
    <w:sectPr w:rsidR="0033310C" w:rsidRPr="0033310C" w:rsidSect="00623C3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0B96"/>
    <w:multiLevelType w:val="multilevel"/>
    <w:tmpl w:val="47F05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024919"/>
    <w:multiLevelType w:val="multilevel"/>
    <w:tmpl w:val="0D0C0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57317C"/>
    <w:multiLevelType w:val="multilevel"/>
    <w:tmpl w:val="57E42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196E85"/>
    <w:multiLevelType w:val="multilevel"/>
    <w:tmpl w:val="5D144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3FB3E40"/>
    <w:multiLevelType w:val="multilevel"/>
    <w:tmpl w:val="B436E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5B0B0E"/>
    <w:multiLevelType w:val="multilevel"/>
    <w:tmpl w:val="B970A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8526226">
    <w:abstractNumId w:val="2"/>
  </w:num>
  <w:num w:numId="2" w16cid:durableId="2075270987">
    <w:abstractNumId w:val="0"/>
  </w:num>
  <w:num w:numId="3" w16cid:durableId="1198664430">
    <w:abstractNumId w:val="5"/>
  </w:num>
  <w:num w:numId="4" w16cid:durableId="787774054">
    <w:abstractNumId w:val="4"/>
  </w:num>
  <w:num w:numId="5" w16cid:durableId="1954432918">
    <w:abstractNumId w:val="1"/>
  </w:num>
  <w:num w:numId="6" w16cid:durableId="2754036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JXbKQhwchu9FIEnyUvBVEoNAXt+B7TuNkgTG+4bxl4VmLx7bQTCMEFXjG/AUbJ4qDT/ypnQ3fE+UX6kldCQLMg==" w:salt="xD53t9XXQQcd3ygKBzS0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C89"/>
    <w:rsid w:val="00003562"/>
    <w:rsid w:val="0000729D"/>
    <w:rsid w:val="0001072F"/>
    <w:rsid w:val="00013176"/>
    <w:rsid w:val="00014F38"/>
    <w:rsid w:val="000233C1"/>
    <w:rsid w:val="00024048"/>
    <w:rsid w:val="00026BC7"/>
    <w:rsid w:val="0003036D"/>
    <w:rsid w:val="0003292E"/>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0E92"/>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300"/>
    <w:rsid w:val="000F0449"/>
    <w:rsid w:val="000F08DA"/>
    <w:rsid w:val="000F14F0"/>
    <w:rsid w:val="000F1D5E"/>
    <w:rsid w:val="000F33D0"/>
    <w:rsid w:val="00101A98"/>
    <w:rsid w:val="00104CE6"/>
    <w:rsid w:val="0010666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14DA"/>
    <w:rsid w:val="001D2448"/>
    <w:rsid w:val="001D3ADE"/>
    <w:rsid w:val="001D58D3"/>
    <w:rsid w:val="001D5A6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38B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D7683"/>
    <w:rsid w:val="002E5C33"/>
    <w:rsid w:val="002E5D29"/>
    <w:rsid w:val="00300EE4"/>
    <w:rsid w:val="0030197F"/>
    <w:rsid w:val="0030223E"/>
    <w:rsid w:val="00303A1E"/>
    <w:rsid w:val="00303BBD"/>
    <w:rsid w:val="0030505E"/>
    <w:rsid w:val="00313440"/>
    <w:rsid w:val="00314FCD"/>
    <w:rsid w:val="00324290"/>
    <w:rsid w:val="00331737"/>
    <w:rsid w:val="0033243D"/>
    <w:rsid w:val="0033310C"/>
    <w:rsid w:val="0033652E"/>
    <w:rsid w:val="00340617"/>
    <w:rsid w:val="00340B13"/>
    <w:rsid w:val="00340CDB"/>
    <w:rsid w:val="003427C6"/>
    <w:rsid w:val="00343472"/>
    <w:rsid w:val="003455AA"/>
    <w:rsid w:val="00347634"/>
    <w:rsid w:val="00351E90"/>
    <w:rsid w:val="00352D3F"/>
    <w:rsid w:val="00360206"/>
    <w:rsid w:val="003624EE"/>
    <w:rsid w:val="003632E1"/>
    <w:rsid w:val="00363CD3"/>
    <w:rsid w:val="003656A9"/>
    <w:rsid w:val="00366852"/>
    <w:rsid w:val="003706EF"/>
    <w:rsid w:val="00370BE4"/>
    <w:rsid w:val="00371D56"/>
    <w:rsid w:val="00372D4E"/>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2E0"/>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C32"/>
    <w:rsid w:val="00623E47"/>
    <w:rsid w:val="00624CD2"/>
    <w:rsid w:val="0062601B"/>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2756"/>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5FDC"/>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352"/>
    <w:rsid w:val="0087796C"/>
    <w:rsid w:val="00880932"/>
    <w:rsid w:val="00881708"/>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0DF"/>
    <w:rsid w:val="008F7645"/>
    <w:rsid w:val="0090248F"/>
    <w:rsid w:val="00902F25"/>
    <w:rsid w:val="0090407E"/>
    <w:rsid w:val="00905334"/>
    <w:rsid w:val="00907ABB"/>
    <w:rsid w:val="00911307"/>
    <w:rsid w:val="00915110"/>
    <w:rsid w:val="009151B5"/>
    <w:rsid w:val="00916ADA"/>
    <w:rsid w:val="00916C64"/>
    <w:rsid w:val="00922A5F"/>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5541"/>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28DD"/>
    <w:rsid w:val="00A648A4"/>
    <w:rsid w:val="00A650B2"/>
    <w:rsid w:val="00A7290A"/>
    <w:rsid w:val="00A75006"/>
    <w:rsid w:val="00A77D3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39"/>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35B99"/>
    <w:rsid w:val="00C41A64"/>
    <w:rsid w:val="00C42B5F"/>
    <w:rsid w:val="00C47122"/>
    <w:rsid w:val="00C47959"/>
    <w:rsid w:val="00C47A7A"/>
    <w:rsid w:val="00C47CEA"/>
    <w:rsid w:val="00C515E0"/>
    <w:rsid w:val="00C531A3"/>
    <w:rsid w:val="00C53627"/>
    <w:rsid w:val="00C57F24"/>
    <w:rsid w:val="00C63EA6"/>
    <w:rsid w:val="00C6619F"/>
    <w:rsid w:val="00C6624A"/>
    <w:rsid w:val="00C742C3"/>
    <w:rsid w:val="00C75559"/>
    <w:rsid w:val="00C76D88"/>
    <w:rsid w:val="00C7785D"/>
    <w:rsid w:val="00C77A26"/>
    <w:rsid w:val="00C85BDD"/>
    <w:rsid w:val="00C86B81"/>
    <w:rsid w:val="00C91557"/>
    <w:rsid w:val="00C929E4"/>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2874"/>
    <w:rsid w:val="00D23FFF"/>
    <w:rsid w:val="00D2778A"/>
    <w:rsid w:val="00D31043"/>
    <w:rsid w:val="00D32077"/>
    <w:rsid w:val="00D324C0"/>
    <w:rsid w:val="00D32DB9"/>
    <w:rsid w:val="00D34A13"/>
    <w:rsid w:val="00D3640D"/>
    <w:rsid w:val="00D42AE0"/>
    <w:rsid w:val="00D43F4A"/>
    <w:rsid w:val="00D45330"/>
    <w:rsid w:val="00D45705"/>
    <w:rsid w:val="00D45A48"/>
    <w:rsid w:val="00D45DB8"/>
    <w:rsid w:val="00D45FAE"/>
    <w:rsid w:val="00D505CD"/>
    <w:rsid w:val="00D50821"/>
    <w:rsid w:val="00D52D25"/>
    <w:rsid w:val="00D5394E"/>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6F1"/>
    <w:rsid w:val="00DA5459"/>
    <w:rsid w:val="00DA619A"/>
    <w:rsid w:val="00DB357A"/>
    <w:rsid w:val="00DB4233"/>
    <w:rsid w:val="00DB5097"/>
    <w:rsid w:val="00DB74D8"/>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1D2A"/>
    <w:rsid w:val="00F44EA5"/>
    <w:rsid w:val="00F4518D"/>
    <w:rsid w:val="00F46792"/>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86C95"/>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77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E92"/>
  </w:style>
  <w:style w:type="paragraph" w:styleId="Heading1">
    <w:name w:val="heading 1"/>
    <w:basedOn w:val="Normal"/>
    <w:next w:val="Normal"/>
    <w:link w:val="Heading1Char"/>
    <w:uiPriority w:val="9"/>
    <w:qFormat/>
    <w:rsid w:val="000A0E9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A0E9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A0E9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A0E92"/>
    <w:pPr>
      <w:keepNext/>
      <w:keepLines/>
      <w:spacing w:before="40" w:after="0"/>
      <w:outlineLvl w:val="3"/>
    </w:pPr>
    <w:rPr>
      <w:i/>
      <w:iCs/>
    </w:rPr>
  </w:style>
  <w:style w:type="paragraph" w:styleId="Heading5">
    <w:name w:val="heading 5"/>
    <w:basedOn w:val="Normal"/>
    <w:next w:val="Normal"/>
    <w:link w:val="Heading5Char"/>
    <w:uiPriority w:val="9"/>
    <w:unhideWhenUsed/>
    <w:qFormat/>
    <w:rsid w:val="000A0E9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A0E92"/>
    <w:pPr>
      <w:keepNext/>
      <w:keepLines/>
      <w:spacing w:before="40" w:after="0"/>
      <w:outlineLvl w:val="5"/>
    </w:pPr>
  </w:style>
  <w:style w:type="paragraph" w:styleId="Heading7">
    <w:name w:val="heading 7"/>
    <w:basedOn w:val="Normal"/>
    <w:next w:val="Normal"/>
    <w:link w:val="Heading7Char"/>
    <w:uiPriority w:val="9"/>
    <w:semiHidden/>
    <w:unhideWhenUsed/>
    <w:qFormat/>
    <w:rsid w:val="000A0E9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A0E9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A0E9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E9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A0E9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A0E9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A0E92"/>
    <w:rPr>
      <w:i/>
      <w:iCs/>
    </w:rPr>
  </w:style>
  <w:style w:type="character" w:customStyle="1" w:styleId="Heading5Char">
    <w:name w:val="Heading 5 Char"/>
    <w:basedOn w:val="DefaultParagraphFont"/>
    <w:link w:val="Heading5"/>
    <w:uiPriority w:val="9"/>
    <w:rsid w:val="000A0E92"/>
    <w:rPr>
      <w:color w:val="404040" w:themeColor="text1" w:themeTint="BF"/>
    </w:rPr>
  </w:style>
  <w:style w:type="character" w:customStyle="1" w:styleId="Heading6Char">
    <w:name w:val="Heading 6 Char"/>
    <w:basedOn w:val="DefaultParagraphFont"/>
    <w:link w:val="Heading6"/>
    <w:uiPriority w:val="9"/>
    <w:semiHidden/>
    <w:rsid w:val="000A0E92"/>
  </w:style>
  <w:style w:type="character" w:customStyle="1" w:styleId="Heading7Char">
    <w:name w:val="Heading 7 Char"/>
    <w:basedOn w:val="DefaultParagraphFont"/>
    <w:link w:val="Heading7"/>
    <w:uiPriority w:val="9"/>
    <w:semiHidden/>
    <w:rsid w:val="000A0E9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A0E92"/>
    <w:rPr>
      <w:color w:val="262626" w:themeColor="text1" w:themeTint="D9"/>
      <w:sz w:val="21"/>
      <w:szCs w:val="21"/>
    </w:rPr>
  </w:style>
  <w:style w:type="character" w:customStyle="1" w:styleId="Heading9Char">
    <w:name w:val="Heading 9 Char"/>
    <w:basedOn w:val="DefaultParagraphFont"/>
    <w:link w:val="Heading9"/>
    <w:uiPriority w:val="9"/>
    <w:semiHidden/>
    <w:rsid w:val="000A0E9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A0E9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A0E9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A0E9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A0E9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A0E92"/>
    <w:rPr>
      <w:color w:val="5A5A5A" w:themeColor="text1" w:themeTint="A5"/>
      <w:spacing w:val="15"/>
    </w:rPr>
  </w:style>
  <w:style w:type="character" w:styleId="Strong">
    <w:name w:val="Strong"/>
    <w:basedOn w:val="DefaultParagraphFont"/>
    <w:uiPriority w:val="22"/>
    <w:qFormat/>
    <w:rsid w:val="000A0E92"/>
    <w:rPr>
      <w:b/>
      <w:bCs/>
      <w:color w:val="auto"/>
    </w:rPr>
  </w:style>
  <w:style w:type="character" w:styleId="Emphasis">
    <w:name w:val="Emphasis"/>
    <w:basedOn w:val="DefaultParagraphFont"/>
    <w:uiPriority w:val="20"/>
    <w:qFormat/>
    <w:rsid w:val="000A0E92"/>
    <w:rPr>
      <w:i/>
      <w:iCs/>
      <w:color w:val="auto"/>
    </w:rPr>
  </w:style>
  <w:style w:type="paragraph" w:styleId="NoSpacing">
    <w:name w:val="No Spacing"/>
    <w:uiPriority w:val="1"/>
    <w:qFormat/>
    <w:rsid w:val="000A0E9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A0E9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A0E92"/>
    <w:rPr>
      <w:i/>
      <w:iCs/>
      <w:color w:val="404040" w:themeColor="text1" w:themeTint="BF"/>
    </w:rPr>
  </w:style>
  <w:style w:type="paragraph" w:styleId="IntenseQuote">
    <w:name w:val="Intense Quote"/>
    <w:basedOn w:val="Normal"/>
    <w:next w:val="Normal"/>
    <w:link w:val="IntenseQuoteChar"/>
    <w:uiPriority w:val="30"/>
    <w:qFormat/>
    <w:rsid w:val="000A0E9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A0E92"/>
    <w:rPr>
      <w:i/>
      <w:iCs/>
      <w:color w:val="404040" w:themeColor="text1" w:themeTint="BF"/>
    </w:rPr>
  </w:style>
  <w:style w:type="character" w:styleId="SubtleEmphasis">
    <w:name w:val="Subtle Emphasis"/>
    <w:basedOn w:val="DefaultParagraphFont"/>
    <w:uiPriority w:val="19"/>
    <w:qFormat/>
    <w:rsid w:val="000A0E92"/>
    <w:rPr>
      <w:i/>
      <w:iCs/>
      <w:color w:val="404040" w:themeColor="text1" w:themeTint="BF"/>
    </w:rPr>
  </w:style>
  <w:style w:type="character" w:styleId="IntenseEmphasis">
    <w:name w:val="Intense Emphasis"/>
    <w:basedOn w:val="DefaultParagraphFont"/>
    <w:uiPriority w:val="21"/>
    <w:qFormat/>
    <w:rsid w:val="000A0E92"/>
    <w:rPr>
      <w:b/>
      <w:bCs/>
      <w:i/>
      <w:iCs/>
      <w:color w:val="auto"/>
    </w:rPr>
  </w:style>
  <w:style w:type="character" w:styleId="SubtleReference">
    <w:name w:val="Subtle Reference"/>
    <w:basedOn w:val="DefaultParagraphFont"/>
    <w:uiPriority w:val="31"/>
    <w:qFormat/>
    <w:rsid w:val="000A0E92"/>
    <w:rPr>
      <w:smallCaps/>
      <w:color w:val="404040" w:themeColor="text1" w:themeTint="BF"/>
    </w:rPr>
  </w:style>
  <w:style w:type="character" w:styleId="IntenseReference">
    <w:name w:val="Intense Reference"/>
    <w:basedOn w:val="DefaultParagraphFont"/>
    <w:uiPriority w:val="32"/>
    <w:qFormat/>
    <w:rsid w:val="000A0E92"/>
    <w:rPr>
      <w:b/>
      <w:bCs/>
      <w:smallCaps/>
      <w:color w:val="404040" w:themeColor="text1" w:themeTint="BF"/>
      <w:spacing w:val="5"/>
    </w:rPr>
  </w:style>
  <w:style w:type="character" w:styleId="BookTitle">
    <w:name w:val="Book Title"/>
    <w:basedOn w:val="DefaultParagraphFont"/>
    <w:uiPriority w:val="33"/>
    <w:qFormat/>
    <w:rsid w:val="000A0E92"/>
    <w:rPr>
      <w:b/>
      <w:bCs/>
      <w:i/>
      <w:iCs/>
      <w:spacing w:val="5"/>
    </w:rPr>
  </w:style>
  <w:style w:type="paragraph" w:styleId="TOCHeading">
    <w:name w:val="TOC Heading"/>
    <w:basedOn w:val="Heading1"/>
    <w:next w:val="Normal"/>
    <w:uiPriority w:val="39"/>
    <w:semiHidden/>
    <w:unhideWhenUsed/>
    <w:qFormat/>
    <w:rsid w:val="000A0E9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3310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3310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3310C"/>
    <w:rPr>
      <w:color w:val="0000FF"/>
      <w:u w:val="single"/>
    </w:rPr>
  </w:style>
  <w:style w:type="character" w:styleId="FollowedHyperlink">
    <w:name w:val="FollowedHyperlink"/>
    <w:basedOn w:val="DefaultParagraphFont"/>
    <w:uiPriority w:val="99"/>
    <w:semiHidden/>
    <w:unhideWhenUsed/>
    <w:rsid w:val="0033310C"/>
    <w:rPr>
      <w:color w:val="800080"/>
      <w:u w:val="single"/>
    </w:rPr>
  </w:style>
  <w:style w:type="paragraph" w:customStyle="1" w:styleId="previous">
    <w:name w:val="previous"/>
    <w:basedOn w:val="Normal"/>
    <w:rsid w:val="003331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33310C"/>
  </w:style>
  <w:style w:type="character" w:customStyle="1" w:styleId="extra-detail-1">
    <w:name w:val="extra-detail-1"/>
    <w:basedOn w:val="DefaultParagraphFont"/>
    <w:rsid w:val="0033310C"/>
  </w:style>
  <w:style w:type="character" w:customStyle="1" w:styleId="extra-detail-2">
    <w:name w:val="extra-detail-2"/>
    <w:basedOn w:val="DefaultParagraphFont"/>
    <w:rsid w:val="0033310C"/>
  </w:style>
  <w:style w:type="paragraph" w:customStyle="1" w:styleId="next">
    <w:name w:val="next"/>
    <w:basedOn w:val="Normal"/>
    <w:rsid w:val="003331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33310C"/>
  </w:style>
  <w:style w:type="character" w:customStyle="1" w:styleId="download-link-title">
    <w:name w:val="download-link-title"/>
    <w:basedOn w:val="DefaultParagraphFont"/>
    <w:rsid w:val="0033310C"/>
  </w:style>
  <w:style w:type="character" w:customStyle="1" w:styleId="captions">
    <w:name w:val="captions"/>
    <w:basedOn w:val="DefaultParagraphFont"/>
    <w:rsid w:val="0033310C"/>
  </w:style>
  <w:style w:type="character" w:customStyle="1" w:styleId="label">
    <w:name w:val="label"/>
    <w:basedOn w:val="DefaultParagraphFont"/>
    <w:rsid w:val="0033310C"/>
  </w:style>
  <w:style w:type="character" w:customStyle="1" w:styleId="screen-reader-only">
    <w:name w:val="screen-reader-only"/>
    <w:basedOn w:val="DefaultParagraphFont"/>
    <w:rsid w:val="0033310C"/>
  </w:style>
  <w:style w:type="paragraph" w:customStyle="1" w:styleId="legend">
    <w:name w:val="legend"/>
    <w:basedOn w:val="Normal"/>
    <w:rsid w:val="003331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3310C"/>
  </w:style>
  <w:style w:type="character" w:styleId="UnresolvedMention">
    <w:name w:val="Unresolved Mention"/>
    <w:basedOn w:val="DefaultParagraphFont"/>
    <w:uiPriority w:val="99"/>
    <w:semiHidden/>
    <w:unhideWhenUsed/>
    <w:rsid w:val="0033310C"/>
    <w:rPr>
      <w:color w:val="605E5C"/>
      <w:shd w:val="clear" w:color="auto" w:fill="E1DFDD"/>
    </w:rPr>
  </w:style>
  <w:style w:type="table" w:styleId="GridTable1Light">
    <w:name w:val="Grid Table 1 Light"/>
    <w:basedOn w:val="TableNormal"/>
    <w:uiPriority w:val="46"/>
    <w:rsid w:val="001D5A6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61201">
      <w:bodyDiv w:val="1"/>
      <w:marLeft w:val="0"/>
      <w:marRight w:val="0"/>
      <w:marTop w:val="0"/>
      <w:marBottom w:val="0"/>
      <w:divBdr>
        <w:top w:val="none" w:sz="0" w:space="0" w:color="auto"/>
        <w:left w:val="none" w:sz="0" w:space="0" w:color="auto"/>
        <w:bottom w:val="none" w:sz="0" w:space="0" w:color="auto"/>
        <w:right w:val="none" w:sz="0" w:space="0" w:color="auto"/>
      </w:divBdr>
      <w:divsChild>
        <w:div w:id="980310196">
          <w:marLeft w:val="0"/>
          <w:marRight w:val="0"/>
          <w:marTop w:val="0"/>
          <w:marBottom w:val="0"/>
          <w:divBdr>
            <w:top w:val="none" w:sz="0" w:space="0" w:color="auto"/>
            <w:left w:val="none" w:sz="0" w:space="0" w:color="auto"/>
            <w:bottom w:val="none" w:sz="0" w:space="0" w:color="auto"/>
            <w:right w:val="none" w:sz="0" w:space="0" w:color="auto"/>
          </w:divBdr>
          <w:divsChild>
            <w:div w:id="1839734894">
              <w:marLeft w:val="0"/>
              <w:marRight w:val="0"/>
              <w:marTop w:val="0"/>
              <w:marBottom w:val="120"/>
              <w:divBdr>
                <w:top w:val="none" w:sz="0" w:space="0" w:color="auto"/>
                <w:left w:val="none" w:sz="0" w:space="0" w:color="auto"/>
                <w:bottom w:val="none" w:sz="0" w:space="0" w:color="auto"/>
                <w:right w:val="none" w:sz="0" w:space="0" w:color="auto"/>
              </w:divBdr>
              <w:divsChild>
                <w:div w:id="84019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07577">
          <w:marLeft w:val="0"/>
          <w:marRight w:val="0"/>
          <w:marTop w:val="0"/>
          <w:marBottom w:val="480"/>
          <w:divBdr>
            <w:top w:val="none" w:sz="0" w:space="0" w:color="auto"/>
            <w:left w:val="none" w:sz="0" w:space="0" w:color="auto"/>
            <w:bottom w:val="single" w:sz="12" w:space="24" w:color="EBEBEB"/>
            <w:right w:val="none" w:sz="0" w:space="0" w:color="auto"/>
          </w:divBdr>
          <w:divsChild>
            <w:div w:id="786004811">
              <w:marLeft w:val="0"/>
              <w:marRight w:val="0"/>
              <w:marTop w:val="0"/>
              <w:marBottom w:val="0"/>
              <w:divBdr>
                <w:top w:val="none" w:sz="0" w:space="0" w:color="auto"/>
                <w:left w:val="none" w:sz="0" w:space="0" w:color="auto"/>
                <w:bottom w:val="none" w:sz="0" w:space="0" w:color="auto"/>
                <w:right w:val="none" w:sz="0" w:space="0" w:color="auto"/>
              </w:divBdr>
              <w:divsChild>
                <w:div w:id="213663570">
                  <w:marLeft w:val="0"/>
                  <w:marRight w:val="0"/>
                  <w:marTop w:val="0"/>
                  <w:marBottom w:val="0"/>
                  <w:divBdr>
                    <w:top w:val="none" w:sz="0" w:space="0" w:color="auto"/>
                    <w:left w:val="none" w:sz="0" w:space="0" w:color="auto"/>
                    <w:bottom w:val="none" w:sz="0" w:space="0" w:color="auto"/>
                    <w:right w:val="none" w:sz="0" w:space="0" w:color="auto"/>
                  </w:divBdr>
                </w:div>
                <w:div w:id="1475833820">
                  <w:marLeft w:val="0"/>
                  <w:marRight w:val="0"/>
                  <w:marTop w:val="0"/>
                  <w:marBottom w:val="0"/>
                  <w:divBdr>
                    <w:top w:val="none" w:sz="0" w:space="0" w:color="auto"/>
                    <w:left w:val="none" w:sz="0" w:space="0" w:color="auto"/>
                    <w:bottom w:val="none" w:sz="0" w:space="0" w:color="auto"/>
                    <w:right w:val="none" w:sz="0" w:space="0" w:color="auto"/>
                  </w:divBdr>
                </w:div>
                <w:div w:id="59600690">
                  <w:marLeft w:val="0"/>
                  <w:marRight w:val="0"/>
                  <w:marTop w:val="0"/>
                  <w:marBottom w:val="0"/>
                  <w:divBdr>
                    <w:top w:val="none" w:sz="0" w:space="0" w:color="auto"/>
                    <w:left w:val="none" w:sz="0" w:space="0" w:color="auto"/>
                    <w:bottom w:val="none" w:sz="0" w:space="0" w:color="auto"/>
                    <w:right w:val="none" w:sz="0" w:space="0" w:color="auto"/>
                  </w:divBdr>
                </w:div>
                <w:div w:id="205384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6739">
          <w:marLeft w:val="0"/>
          <w:marRight w:val="0"/>
          <w:marTop w:val="0"/>
          <w:marBottom w:val="0"/>
          <w:divBdr>
            <w:top w:val="none" w:sz="0" w:space="0" w:color="auto"/>
            <w:left w:val="none" w:sz="0" w:space="0" w:color="auto"/>
            <w:bottom w:val="none" w:sz="0" w:space="0" w:color="auto"/>
            <w:right w:val="none" w:sz="0" w:space="0" w:color="auto"/>
          </w:divBdr>
          <w:divsChild>
            <w:div w:id="420683888">
              <w:marLeft w:val="0"/>
              <w:marRight w:val="0"/>
              <w:marTop w:val="0"/>
              <w:marBottom w:val="0"/>
              <w:divBdr>
                <w:top w:val="none" w:sz="0" w:space="0" w:color="auto"/>
                <w:left w:val="none" w:sz="0" w:space="0" w:color="auto"/>
                <w:bottom w:val="none" w:sz="0" w:space="0" w:color="auto"/>
                <w:right w:val="none" w:sz="0" w:space="0" w:color="auto"/>
              </w:divBdr>
              <w:divsChild>
                <w:div w:id="234554865">
                  <w:marLeft w:val="0"/>
                  <w:marRight w:val="0"/>
                  <w:marTop w:val="0"/>
                  <w:marBottom w:val="0"/>
                  <w:divBdr>
                    <w:top w:val="none" w:sz="0" w:space="0" w:color="auto"/>
                    <w:left w:val="none" w:sz="0" w:space="0" w:color="auto"/>
                    <w:bottom w:val="none" w:sz="0" w:space="0" w:color="auto"/>
                    <w:right w:val="none" w:sz="0" w:space="0" w:color="auto"/>
                  </w:divBdr>
                </w:div>
                <w:div w:id="1027604840">
                  <w:marLeft w:val="0"/>
                  <w:marRight w:val="0"/>
                  <w:marTop w:val="0"/>
                  <w:marBottom w:val="0"/>
                  <w:divBdr>
                    <w:top w:val="none" w:sz="0" w:space="0" w:color="auto"/>
                    <w:left w:val="none" w:sz="0" w:space="0" w:color="auto"/>
                    <w:bottom w:val="none" w:sz="0" w:space="0" w:color="auto"/>
                    <w:right w:val="none" w:sz="0" w:space="0" w:color="auto"/>
                  </w:divBdr>
                </w:div>
                <w:div w:id="739253611">
                  <w:marLeft w:val="0"/>
                  <w:marRight w:val="0"/>
                  <w:marTop w:val="0"/>
                  <w:marBottom w:val="0"/>
                  <w:divBdr>
                    <w:top w:val="none" w:sz="0" w:space="0" w:color="auto"/>
                    <w:left w:val="none" w:sz="0" w:space="0" w:color="auto"/>
                    <w:bottom w:val="none" w:sz="0" w:space="0" w:color="auto"/>
                    <w:right w:val="none" w:sz="0" w:space="0" w:color="auto"/>
                  </w:divBdr>
                </w:div>
                <w:div w:id="542911909">
                  <w:marLeft w:val="0"/>
                  <w:marRight w:val="0"/>
                  <w:marTop w:val="0"/>
                  <w:marBottom w:val="0"/>
                  <w:divBdr>
                    <w:top w:val="none" w:sz="0" w:space="0" w:color="auto"/>
                    <w:left w:val="none" w:sz="0" w:space="0" w:color="auto"/>
                    <w:bottom w:val="none" w:sz="0" w:space="0" w:color="auto"/>
                    <w:right w:val="none" w:sz="0" w:space="0" w:color="auto"/>
                  </w:divBdr>
                  <w:divsChild>
                    <w:div w:id="1453594753">
                      <w:marLeft w:val="0"/>
                      <w:marRight w:val="0"/>
                      <w:marTop w:val="240"/>
                      <w:marBottom w:val="240"/>
                      <w:divBdr>
                        <w:top w:val="single" w:sz="12" w:space="0" w:color="EBEBEB"/>
                        <w:left w:val="none" w:sz="0" w:space="0" w:color="auto"/>
                        <w:bottom w:val="single" w:sz="12" w:space="0" w:color="EBEBEB"/>
                        <w:right w:val="none" w:sz="0" w:space="0" w:color="auto"/>
                      </w:divBdr>
                      <w:divsChild>
                        <w:div w:id="3919300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07429218">
                  <w:marLeft w:val="0"/>
                  <w:marRight w:val="0"/>
                  <w:marTop w:val="0"/>
                  <w:marBottom w:val="0"/>
                  <w:divBdr>
                    <w:top w:val="none" w:sz="0" w:space="0" w:color="auto"/>
                    <w:left w:val="none" w:sz="0" w:space="0" w:color="auto"/>
                    <w:bottom w:val="none" w:sz="0" w:space="0" w:color="auto"/>
                    <w:right w:val="none" w:sz="0" w:space="0" w:color="auto"/>
                  </w:divBdr>
                  <w:divsChild>
                    <w:div w:id="83572505">
                      <w:marLeft w:val="0"/>
                      <w:marRight w:val="0"/>
                      <w:marTop w:val="240"/>
                      <w:marBottom w:val="240"/>
                      <w:divBdr>
                        <w:top w:val="single" w:sz="12" w:space="0" w:color="EBEBEB"/>
                        <w:left w:val="none" w:sz="0" w:space="0" w:color="auto"/>
                        <w:bottom w:val="single" w:sz="12" w:space="0" w:color="EBEBEB"/>
                        <w:right w:val="none" w:sz="0" w:space="0" w:color="auto"/>
                      </w:divBdr>
                      <w:divsChild>
                        <w:div w:id="13243151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999894">
                  <w:marLeft w:val="0"/>
                  <w:marRight w:val="0"/>
                  <w:marTop w:val="0"/>
                  <w:marBottom w:val="0"/>
                  <w:divBdr>
                    <w:top w:val="none" w:sz="0" w:space="0" w:color="auto"/>
                    <w:left w:val="none" w:sz="0" w:space="0" w:color="auto"/>
                    <w:bottom w:val="none" w:sz="0" w:space="0" w:color="auto"/>
                    <w:right w:val="none" w:sz="0" w:space="0" w:color="auto"/>
                  </w:divBdr>
                  <w:divsChild>
                    <w:div w:id="1358893113">
                      <w:marLeft w:val="0"/>
                      <w:marRight w:val="0"/>
                      <w:marTop w:val="240"/>
                      <w:marBottom w:val="240"/>
                      <w:divBdr>
                        <w:top w:val="single" w:sz="12" w:space="0" w:color="EBEBEB"/>
                        <w:left w:val="none" w:sz="0" w:space="0" w:color="auto"/>
                        <w:bottom w:val="single" w:sz="12" w:space="0" w:color="EBEBEB"/>
                        <w:right w:val="none" w:sz="0" w:space="0" w:color="auto"/>
                      </w:divBdr>
                      <w:divsChild>
                        <w:div w:id="192194140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909585">
                  <w:marLeft w:val="0"/>
                  <w:marRight w:val="0"/>
                  <w:marTop w:val="0"/>
                  <w:marBottom w:val="0"/>
                  <w:divBdr>
                    <w:top w:val="none" w:sz="0" w:space="0" w:color="auto"/>
                    <w:left w:val="none" w:sz="0" w:space="0" w:color="auto"/>
                    <w:bottom w:val="none" w:sz="0" w:space="0" w:color="auto"/>
                    <w:right w:val="none" w:sz="0" w:space="0" w:color="auto"/>
                  </w:divBdr>
                  <w:divsChild>
                    <w:div w:id="947273986">
                      <w:marLeft w:val="0"/>
                      <w:marRight w:val="0"/>
                      <w:marTop w:val="240"/>
                      <w:marBottom w:val="240"/>
                      <w:divBdr>
                        <w:top w:val="single" w:sz="12" w:space="0" w:color="EBEBEB"/>
                        <w:left w:val="none" w:sz="0" w:space="0" w:color="auto"/>
                        <w:bottom w:val="single" w:sz="12" w:space="0" w:color="EBEBEB"/>
                        <w:right w:val="none" w:sz="0" w:space="0" w:color="auto"/>
                      </w:divBdr>
                      <w:divsChild>
                        <w:div w:id="6471685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4526347">
                  <w:marLeft w:val="0"/>
                  <w:marRight w:val="0"/>
                  <w:marTop w:val="0"/>
                  <w:marBottom w:val="0"/>
                  <w:divBdr>
                    <w:top w:val="none" w:sz="0" w:space="0" w:color="auto"/>
                    <w:left w:val="none" w:sz="0" w:space="0" w:color="auto"/>
                    <w:bottom w:val="none" w:sz="0" w:space="0" w:color="auto"/>
                    <w:right w:val="none" w:sz="0" w:space="0" w:color="auto"/>
                  </w:divBdr>
                  <w:divsChild>
                    <w:div w:id="793712257">
                      <w:marLeft w:val="0"/>
                      <w:marRight w:val="0"/>
                      <w:marTop w:val="240"/>
                      <w:marBottom w:val="240"/>
                      <w:divBdr>
                        <w:top w:val="single" w:sz="12" w:space="0" w:color="EBEBEB"/>
                        <w:left w:val="none" w:sz="0" w:space="0" w:color="auto"/>
                        <w:bottom w:val="single" w:sz="12" w:space="0" w:color="EBEBEB"/>
                        <w:right w:val="none" w:sz="0" w:space="0" w:color="auto"/>
                      </w:divBdr>
                      <w:divsChild>
                        <w:div w:id="937325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77364764">
                  <w:marLeft w:val="0"/>
                  <w:marRight w:val="0"/>
                  <w:marTop w:val="0"/>
                  <w:marBottom w:val="0"/>
                  <w:divBdr>
                    <w:top w:val="none" w:sz="0" w:space="0" w:color="auto"/>
                    <w:left w:val="none" w:sz="0" w:space="0" w:color="auto"/>
                    <w:bottom w:val="none" w:sz="0" w:space="0" w:color="auto"/>
                    <w:right w:val="none" w:sz="0" w:space="0" w:color="auto"/>
                  </w:divBdr>
                  <w:divsChild>
                    <w:div w:id="561449660">
                      <w:marLeft w:val="0"/>
                      <w:marRight w:val="0"/>
                      <w:marTop w:val="240"/>
                      <w:marBottom w:val="240"/>
                      <w:divBdr>
                        <w:top w:val="single" w:sz="12" w:space="0" w:color="EBEBEB"/>
                        <w:left w:val="none" w:sz="0" w:space="0" w:color="auto"/>
                        <w:bottom w:val="single" w:sz="12" w:space="0" w:color="EBEBEB"/>
                        <w:right w:val="none" w:sz="0" w:space="0" w:color="auto"/>
                      </w:divBdr>
                      <w:divsChild>
                        <w:div w:id="14547831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47342064">
                  <w:marLeft w:val="0"/>
                  <w:marRight w:val="0"/>
                  <w:marTop w:val="0"/>
                  <w:marBottom w:val="0"/>
                  <w:divBdr>
                    <w:top w:val="none" w:sz="0" w:space="0" w:color="auto"/>
                    <w:left w:val="none" w:sz="0" w:space="0" w:color="auto"/>
                    <w:bottom w:val="none" w:sz="0" w:space="0" w:color="auto"/>
                    <w:right w:val="none" w:sz="0" w:space="0" w:color="auto"/>
                  </w:divBdr>
                  <w:divsChild>
                    <w:div w:id="704446891">
                      <w:marLeft w:val="0"/>
                      <w:marRight w:val="0"/>
                      <w:marTop w:val="240"/>
                      <w:marBottom w:val="240"/>
                      <w:divBdr>
                        <w:top w:val="single" w:sz="12" w:space="0" w:color="EBEBEB"/>
                        <w:left w:val="none" w:sz="0" w:space="0" w:color="auto"/>
                        <w:bottom w:val="single" w:sz="12" w:space="0" w:color="EBEBEB"/>
                        <w:right w:val="none" w:sz="0" w:space="0" w:color="auto"/>
                      </w:divBdr>
                      <w:divsChild>
                        <w:div w:id="2070352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337077">
                  <w:marLeft w:val="0"/>
                  <w:marRight w:val="0"/>
                  <w:marTop w:val="0"/>
                  <w:marBottom w:val="0"/>
                  <w:divBdr>
                    <w:top w:val="none" w:sz="0" w:space="0" w:color="auto"/>
                    <w:left w:val="none" w:sz="0" w:space="0" w:color="auto"/>
                    <w:bottom w:val="none" w:sz="0" w:space="0" w:color="auto"/>
                    <w:right w:val="none" w:sz="0" w:space="0" w:color="auto"/>
                  </w:divBdr>
                  <w:divsChild>
                    <w:div w:id="823013679">
                      <w:marLeft w:val="0"/>
                      <w:marRight w:val="0"/>
                      <w:marTop w:val="240"/>
                      <w:marBottom w:val="240"/>
                      <w:divBdr>
                        <w:top w:val="single" w:sz="12" w:space="0" w:color="EBEBEB"/>
                        <w:left w:val="none" w:sz="0" w:space="0" w:color="auto"/>
                        <w:bottom w:val="single" w:sz="12" w:space="0" w:color="EBEBEB"/>
                        <w:right w:val="none" w:sz="0" w:space="0" w:color="auto"/>
                      </w:divBdr>
                      <w:divsChild>
                        <w:div w:id="20938151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627613954">
          <w:marLeft w:val="0"/>
          <w:marRight w:val="0"/>
          <w:marTop w:val="0"/>
          <w:marBottom w:val="0"/>
          <w:divBdr>
            <w:top w:val="none" w:sz="0" w:space="0" w:color="auto"/>
            <w:left w:val="none" w:sz="0" w:space="0" w:color="auto"/>
            <w:bottom w:val="none" w:sz="0" w:space="0" w:color="auto"/>
            <w:right w:val="none" w:sz="0" w:space="0" w:color="auto"/>
          </w:divBdr>
          <w:divsChild>
            <w:div w:id="999700359">
              <w:marLeft w:val="0"/>
              <w:marRight w:val="0"/>
              <w:marTop w:val="0"/>
              <w:marBottom w:val="0"/>
              <w:divBdr>
                <w:top w:val="none" w:sz="0" w:space="0" w:color="auto"/>
                <w:left w:val="none" w:sz="0" w:space="0" w:color="auto"/>
                <w:bottom w:val="none" w:sz="0" w:space="0" w:color="auto"/>
                <w:right w:val="none" w:sz="0" w:space="0" w:color="auto"/>
              </w:divBdr>
            </w:div>
          </w:divsChild>
        </w:div>
        <w:div w:id="1507984921">
          <w:marLeft w:val="0"/>
          <w:marRight w:val="0"/>
          <w:marTop w:val="0"/>
          <w:marBottom w:val="0"/>
          <w:divBdr>
            <w:top w:val="none" w:sz="0" w:space="0" w:color="auto"/>
            <w:left w:val="none" w:sz="0" w:space="0" w:color="auto"/>
            <w:bottom w:val="none" w:sz="0" w:space="0" w:color="auto"/>
            <w:right w:val="none" w:sz="0" w:space="0" w:color="auto"/>
          </w:divBdr>
        </w:div>
        <w:div w:id="2124955971">
          <w:marLeft w:val="0"/>
          <w:marRight w:val="0"/>
          <w:marTop w:val="0"/>
          <w:marBottom w:val="0"/>
          <w:divBdr>
            <w:top w:val="none" w:sz="0" w:space="0" w:color="auto"/>
            <w:left w:val="none" w:sz="0" w:space="0" w:color="auto"/>
            <w:bottom w:val="none" w:sz="0" w:space="0" w:color="auto"/>
            <w:right w:val="none" w:sz="0" w:space="0" w:color="auto"/>
          </w:divBdr>
        </w:div>
        <w:div w:id="637036393">
          <w:marLeft w:val="0"/>
          <w:marRight w:val="0"/>
          <w:marTop w:val="0"/>
          <w:marBottom w:val="0"/>
          <w:divBdr>
            <w:top w:val="none" w:sz="0" w:space="0" w:color="auto"/>
            <w:left w:val="none" w:sz="0" w:space="0" w:color="auto"/>
            <w:bottom w:val="none" w:sz="0" w:space="0" w:color="auto"/>
            <w:right w:val="none" w:sz="0" w:space="0" w:color="auto"/>
          </w:divBdr>
          <w:divsChild>
            <w:div w:id="1242447247">
              <w:marLeft w:val="0"/>
              <w:marRight w:val="0"/>
              <w:marTop w:val="0"/>
              <w:marBottom w:val="0"/>
              <w:divBdr>
                <w:top w:val="none" w:sz="0" w:space="0" w:color="auto"/>
                <w:left w:val="none" w:sz="0" w:space="0" w:color="auto"/>
                <w:bottom w:val="none" w:sz="0" w:space="0" w:color="auto"/>
                <w:right w:val="none" w:sz="0" w:space="0" w:color="auto"/>
              </w:divBdr>
            </w:div>
          </w:divsChild>
        </w:div>
        <w:div w:id="1407801923">
          <w:marLeft w:val="0"/>
          <w:marRight w:val="0"/>
          <w:marTop w:val="0"/>
          <w:marBottom w:val="0"/>
          <w:divBdr>
            <w:top w:val="none" w:sz="0" w:space="0" w:color="auto"/>
            <w:left w:val="none" w:sz="0" w:space="0" w:color="auto"/>
            <w:bottom w:val="none" w:sz="0" w:space="0" w:color="auto"/>
            <w:right w:val="none" w:sz="0" w:space="0" w:color="auto"/>
          </w:divBdr>
        </w:div>
        <w:div w:id="1417246230">
          <w:marLeft w:val="0"/>
          <w:marRight w:val="0"/>
          <w:marTop w:val="0"/>
          <w:marBottom w:val="0"/>
          <w:divBdr>
            <w:top w:val="none" w:sz="0" w:space="0" w:color="auto"/>
            <w:left w:val="none" w:sz="0" w:space="0" w:color="auto"/>
            <w:bottom w:val="none" w:sz="0" w:space="0" w:color="auto"/>
            <w:right w:val="none" w:sz="0" w:space="0" w:color="auto"/>
          </w:divBdr>
        </w:div>
        <w:div w:id="492720125">
          <w:marLeft w:val="0"/>
          <w:marRight w:val="0"/>
          <w:marTop w:val="0"/>
          <w:marBottom w:val="0"/>
          <w:divBdr>
            <w:top w:val="none" w:sz="0" w:space="0" w:color="auto"/>
            <w:left w:val="none" w:sz="0" w:space="0" w:color="auto"/>
            <w:bottom w:val="none" w:sz="0" w:space="0" w:color="auto"/>
            <w:right w:val="none" w:sz="0" w:space="0" w:color="auto"/>
          </w:divBdr>
          <w:divsChild>
            <w:div w:id="1186210462">
              <w:marLeft w:val="0"/>
              <w:marRight w:val="0"/>
              <w:marTop w:val="0"/>
              <w:marBottom w:val="0"/>
              <w:divBdr>
                <w:top w:val="none" w:sz="0" w:space="0" w:color="auto"/>
                <w:left w:val="none" w:sz="0" w:space="0" w:color="auto"/>
                <w:bottom w:val="none" w:sz="0" w:space="0" w:color="auto"/>
                <w:right w:val="none" w:sz="0" w:space="0" w:color="auto"/>
              </w:divBdr>
            </w:div>
          </w:divsChild>
        </w:div>
        <w:div w:id="1278289382">
          <w:marLeft w:val="0"/>
          <w:marRight w:val="0"/>
          <w:marTop w:val="0"/>
          <w:marBottom w:val="0"/>
          <w:divBdr>
            <w:top w:val="none" w:sz="0" w:space="0" w:color="auto"/>
            <w:left w:val="none" w:sz="0" w:space="0" w:color="auto"/>
            <w:bottom w:val="none" w:sz="0" w:space="0" w:color="auto"/>
            <w:right w:val="none" w:sz="0" w:space="0" w:color="auto"/>
          </w:divBdr>
        </w:div>
        <w:div w:id="905997443">
          <w:marLeft w:val="0"/>
          <w:marRight w:val="0"/>
          <w:marTop w:val="0"/>
          <w:marBottom w:val="0"/>
          <w:divBdr>
            <w:top w:val="none" w:sz="0" w:space="0" w:color="auto"/>
            <w:left w:val="none" w:sz="0" w:space="0" w:color="auto"/>
            <w:bottom w:val="none" w:sz="0" w:space="0" w:color="auto"/>
            <w:right w:val="none" w:sz="0" w:space="0" w:color="auto"/>
          </w:divBdr>
          <w:divsChild>
            <w:div w:id="2060669959">
              <w:marLeft w:val="0"/>
              <w:marRight w:val="360"/>
              <w:marTop w:val="0"/>
              <w:marBottom w:val="0"/>
              <w:divBdr>
                <w:top w:val="none" w:sz="0" w:space="0" w:color="auto"/>
                <w:left w:val="none" w:sz="0" w:space="0" w:color="auto"/>
                <w:bottom w:val="none" w:sz="0" w:space="0" w:color="auto"/>
                <w:right w:val="none" w:sz="0" w:space="0" w:color="auto"/>
              </w:divBdr>
            </w:div>
          </w:divsChild>
        </w:div>
        <w:div w:id="211696773">
          <w:marLeft w:val="0"/>
          <w:marRight w:val="0"/>
          <w:marTop w:val="0"/>
          <w:marBottom w:val="0"/>
          <w:divBdr>
            <w:top w:val="none" w:sz="0" w:space="0" w:color="auto"/>
            <w:left w:val="none" w:sz="0" w:space="0" w:color="auto"/>
            <w:bottom w:val="none" w:sz="0" w:space="0" w:color="auto"/>
            <w:right w:val="none" w:sz="0" w:space="0" w:color="auto"/>
          </w:divBdr>
          <w:divsChild>
            <w:div w:id="356656958">
              <w:marLeft w:val="0"/>
              <w:marRight w:val="0"/>
              <w:marTop w:val="0"/>
              <w:marBottom w:val="0"/>
              <w:divBdr>
                <w:top w:val="none" w:sz="0" w:space="0" w:color="auto"/>
                <w:left w:val="none" w:sz="0" w:space="0" w:color="auto"/>
                <w:bottom w:val="none" w:sz="0" w:space="0" w:color="auto"/>
                <w:right w:val="none" w:sz="0" w:space="0" w:color="auto"/>
              </w:divBdr>
            </w:div>
          </w:divsChild>
        </w:div>
        <w:div w:id="1649818775">
          <w:marLeft w:val="0"/>
          <w:marRight w:val="0"/>
          <w:marTop w:val="0"/>
          <w:marBottom w:val="0"/>
          <w:divBdr>
            <w:top w:val="none" w:sz="0" w:space="0" w:color="auto"/>
            <w:left w:val="none" w:sz="0" w:space="0" w:color="auto"/>
            <w:bottom w:val="none" w:sz="0" w:space="0" w:color="auto"/>
            <w:right w:val="none" w:sz="0" w:space="0" w:color="auto"/>
          </w:divBdr>
        </w:div>
        <w:div w:id="1043096838">
          <w:marLeft w:val="0"/>
          <w:marRight w:val="0"/>
          <w:marTop w:val="0"/>
          <w:marBottom w:val="0"/>
          <w:divBdr>
            <w:top w:val="none" w:sz="0" w:space="0" w:color="auto"/>
            <w:left w:val="none" w:sz="0" w:space="0" w:color="auto"/>
            <w:bottom w:val="none" w:sz="0" w:space="0" w:color="auto"/>
            <w:right w:val="none" w:sz="0" w:space="0" w:color="auto"/>
          </w:divBdr>
          <w:divsChild>
            <w:div w:id="4209723">
              <w:marLeft w:val="0"/>
              <w:marRight w:val="360"/>
              <w:marTop w:val="0"/>
              <w:marBottom w:val="0"/>
              <w:divBdr>
                <w:top w:val="none" w:sz="0" w:space="0" w:color="auto"/>
                <w:left w:val="none" w:sz="0" w:space="0" w:color="auto"/>
                <w:bottom w:val="none" w:sz="0" w:space="0" w:color="auto"/>
                <w:right w:val="none" w:sz="0" w:space="0" w:color="auto"/>
              </w:divBdr>
            </w:div>
          </w:divsChild>
        </w:div>
        <w:div w:id="1860389630">
          <w:marLeft w:val="0"/>
          <w:marRight w:val="0"/>
          <w:marTop w:val="0"/>
          <w:marBottom w:val="0"/>
          <w:divBdr>
            <w:top w:val="none" w:sz="0" w:space="0" w:color="auto"/>
            <w:left w:val="none" w:sz="0" w:space="0" w:color="auto"/>
            <w:bottom w:val="none" w:sz="0" w:space="0" w:color="auto"/>
            <w:right w:val="none" w:sz="0" w:space="0" w:color="auto"/>
          </w:divBdr>
          <w:divsChild>
            <w:div w:id="1096636348">
              <w:marLeft w:val="0"/>
              <w:marRight w:val="0"/>
              <w:marTop w:val="0"/>
              <w:marBottom w:val="0"/>
              <w:divBdr>
                <w:top w:val="none" w:sz="0" w:space="0" w:color="auto"/>
                <w:left w:val="none" w:sz="0" w:space="0" w:color="auto"/>
                <w:bottom w:val="none" w:sz="0" w:space="0" w:color="auto"/>
                <w:right w:val="none" w:sz="0" w:space="0" w:color="auto"/>
              </w:divBdr>
            </w:div>
          </w:divsChild>
        </w:div>
        <w:div w:id="150828020">
          <w:marLeft w:val="0"/>
          <w:marRight w:val="0"/>
          <w:marTop w:val="0"/>
          <w:marBottom w:val="0"/>
          <w:divBdr>
            <w:top w:val="none" w:sz="0" w:space="0" w:color="auto"/>
            <w:left w:val="none" w:sz="0" w:space="0" w:color="auto"/>
            <w:bottom w:val="none" w:sz="0" w:space="0" w:color="auto"/>
            <w:right w:val="none" w:sz="0" w:space="0" w:color="auto"/>
          </w:divBdr>
        </w:div>
        <w:div w:id="1862815787">
          <w:marLeft w:val="0"/>
          <w:marRight w:val="0"/>
          <w:marTop w:val="0"/>
          <w:marBottom w:val="0"/>
          <w:divBdr>
            <w:top w:val="none" w:sz="0" w:space="0" w:color="auto"/>
            <w:left w:val="none" w:sz="0" w:space="0" w:color="auto"/>
            <w:bottom w:val="none" w:sz="0" w:space="0" w:color="auto"/>
            <w:right w:val="none" w:sz="0" w:space="0" w:color="auto"/>
          </w:divBdr>
          <w:divsChild>
            <w:div w:id="357856514">
              <w:marLeft w:val="0"/>
              <w:marRight w:val="360"/>
              <w:marTop w:val="0"/>
              <w:marBottom w:val="0"/>
              <w:divBdr>
                <w:top w:val="none" w:sz="0" w:space="0" w:color="auto"/>
                <w:left w:val="none" w:sz="0" w:space="0" w:color="auto"/>
                <w:bottom w:val="none" w:sz="0" w:space="0" w:color="auto"/>
                <w:right w:val="none" w:sz="0" w:space="0" w:color="auto"/>
              </w:divBdr>
            </w:div>
          </w:divsChild>
        </w:div>
        <w:div w:id="985666684">
          <w:marLeft w:val="0"/>
          <w:marRight w:val="0"/>
          <w:marTop w:val="0"/>
          <w:marBottom w:val="0"/>
          <w:divBdr>
            <w:top w:val="none" w:sz="0" w:space="0" w:color="auto"/>
            <w:left w:val="none" w:sz="0" w:space="0" w:color="auto"/>
            <w:bottom w:val="none" w:sz="0" w:space="0" w:color="auto"/>
            <w:right w:val="none" w:sz="0" w:space="0" w:color="auto"/>
          </w:divBdr>
          <w:divsChild>
            <w:div w:id="349651153">
              <w:marLeft w:val="0"/>
              <w:marRight w:val="0"/>
              <w:marTop w:val="0"/>
              <w:marBottom w:val="0"/>
              <w:divBdr>
                <w:top w:val="none" w:sz="0" w:space="0" w:color="auto"/>
                <w:left w:val="none" w:sz="0" w:space="0" w:color="auto"/>
                <w:bottom w:val="none" w:sz="0" w:space="0" w:color="auto"/>
                <w:right w:val="none" w:sz="0" w:space="0" w:color="auto"/>
              </w:divBdr>
            </w:div>
          </w:divsChild>
        </w:div>
        <w:div w:id="1939948983">
          <w:marLeft w:val="0"/>
          <w:marRight w:val="0"/>
          <w:marTop w:val="0"/>
          <w:marBottom w:val="0"/>
          <w:divBdr>
            <w:top w:val="none" w:sz="0" w:space="0" w:color="auto"/>
            <w:left w:val="none" w:sz="0" w:space="0" w:color="auto"/>
            <w:bottom w:val="none" w:sz="0" w:space="0" w:color="auto"/>
            <w:right w:val="none" w:sz="0" w:space="0" w:color="auto"/>
          </w:divBdr>
        </w:div>
        <w:div w:id="1101875354">
          <w:marLeft w:val="0"/>
          <w:marRight w:val="0"/>
          <w:marTop w:val="0"/>
          <w:marBottom w:val="0"/>
          <w:divBdr>
            <w:top w:val="none" w:sz="0" w:space="0" w:color="auto"/>
            <w:left w:val="none" w:sz="0" w:space="0" w:color="auto"/>
            <w:bottom w:val="none" w:sz="0" w:space="0" w:color="auto"/>
            <w:right w:val="none" w:sz="0" w:space="0" w:color="auto"/>
          </w:divBdr>
          <w:divsChild>
            <w:div w:id="546719287">
              <w:marLeft w:val="0"/>
              <w:marRight w:val="360"/>
              <w:marTop w:val="0"/>
              <w:marBottom w:val="0"/>
              <w:divBdr>
                <w:top w:val="none" w:sz="0" w:space="0" w:color="auto"/>
                <w:left w:val="none" w:sz="0" w:space="0" w:color="auto"/>
                <w:bottom w:val="none" w:sz="0" w:space="0" w:color="auto"/>
                <w:right w:val="none" w:sz="0" w:space="0" w:color="auto"/>
              </w:divBdr>
            </w:div>
          </w:divsChild>
        </w:div>
        <w:div w:id="230163873">
          <w:marLeft w:val="0"/>
          <w:marRight w:val="0"/>
          <w:marTop w:val="0"/>
          <w:marBottom w:val="0"/>
          <w:divBdr>
            <w:top w:val="none" w:sz="0" w:space="0" w:color="auto"/>
            <w:left w:val="none" w:sz="0" w:space="0" w:color="auto"/>
            <w:bottom w:val="none" w:sz="0" w:space="0" w:color="auto"/>
            <w:right w:val="none" w:sz="0" w:space="0" w:color="auto"/>
          </w:divBdr>
          <w:divsChild>
            <w:div w:id="1521356608">
              <w:marLeft w:val="0"/>
              <w:marRight w:val="0"/>
              <w:marTop w:val="0"/>
              <w:marBottom w:val="0"/>
              <w:divBdr>
                <w:top w:val="none" w:sz="0" w:space="0" w:color="auto"/>
                <w:left w:val="none" w:sz="0" w:space="0" w:color="auto"/>
                <w:bottom w:val="none" w:sz="0" w:space="0" w:color="auto"/>
                <w:right w:val="none" w:sz="0" w:space="0" w:color="auto"/>
              </w:divBdr>
            </w:div>
          </w:divsChild>
        </w:div>
        <w:div w:id="1916239396">
          <w:marLeft w:val="0"/>
          <w:marRight w:val="0"/>
          <w:marTop w:val="0"/>
          <w:marBottom w:val="0"/>
          <w:divBdr>
            <w:top w:val="none" w:sz="0" w:space="0" w:color="auto"/>
            <w:left w:val="none" w:sz="0" w:space="0" w:color="auto"/>
            <w:bottom w:val="none" w:sz="0" w:space="0" w:color="auto"/>
            <w:right w:val="none" w:sz="0" w:space="0" w:color="auto"/>
          </w:divBdr>
        </w:div>
        <w:div w:id="1405881658">
          <w:marLeft w:val="0"/>
          <w:marRight w:val="0"/>
          <w:marTop w:val="0"/>
          <w:marBottom w:val="0"/>
          <w:divBdr>
            <w:top w:val="none" w:sz="0" w:space="0" w:color="auto"/>
            <w:left w:val="none" w:sz="0" w:space="0" w:color="auto"/>
            <w:bottom w:val="none" w:sz="0" w:space="0" w:color="auto"/>
            <w:right w:val="none" w:sz="0" w:space="0" w:color="auto"/>
          </w:divBdr>
          <w:divsChild>
            <w:div w:id="1457093042">
              <w:marLeft w:val="0"/>
              <w:marRight w:val="360"/>
              <w:marTop w:val="0"/>
              <w:marBottom w:val="0"/>
              <w:divBdr>
                <w:top w:val="none" w:sz="0" w:space="0" w:color="auto"/>
                <w:left w:val="none" w:sz="0" w:space="0" w:color="auto"/>
                <w:bottom w:val="none" w:sz="0" w:space="0" w:color="auto"/>
                <w:right w:val="none" w:sz="0" w:space="0" w:color="auto"/>
              </w:divBdr>
            </w:div>
          </w:divsChild>
        </w:div>
        <w:div w:id="1224179512">
          <w:marLeft w:val="0"/>
          <w:marRight w:val="0"/>
          <w:marTop w:val="0"/>
          <w:marBottom w:val="0"/>
          <w:divBdr>
            <w:top w:val="none" w:sz="0" w:space="0" w:color="auto"/>
            <w:left w:val="none" w:sz="0" w:space="0" w:color="auto"/>
            <w:bottom w:val="none" w:sz="0" w:space="0" w:color="auto"/>
            <w:right w:val="none" w:sz="0" w:space="0" w:color="auto"/>
          </w:divBdr>
          <w:divsChild>
            <w:div w:id="2081902890">
              <w:marLeft w:val="0"/>
              <w:marRight w:val="0"/>
              <w:marTop w:val="0"/>
              <w:marBottom w:val="0"/>
              <w:divBdr>
                <w:top w:val="none" w:sz="0" w:space="0" w:color="auto"/>
                <w:left w:val="none" w:sz="0" w:space="0" w:color="auto"/>
                <w:bottom w:val="none" w:sz="0" w:space="0" w:color="auto"/>
                <w:right w:val="none" w:sz="0" w:space="0" w:color="auto"/>
              </w:divBdr>
            </w:div>
          </w:divsChild>
        </w:div>
        <w:div w:id="743911032">
          <w:marLeft w:val="0"/>
          <w:marRight w:val="0"/>
          <w:marTop w:val="0"/>
          <w:marBottom w:val="0"/>
          <w:divBdr>
            <w:top w:val="none" w:sz="0" w:space="0" w:color="auto"/>
            <w:left w:val="none" w:sz="0" w:space="0" w:color="auto"/>
            <w:bottom w:val="none" w:sz="0" w:space="0" w:color="auto"/>
            <w:right w:val="none" w:sz="0" w:space="0" w:color="auto"/>
          </w:divBdr>
        </w:div>
        <w:div w:id="979110918">
          <w:marLeft w:val="0"/>
          <w:marRight w:val="0"/>
          <w:marTop w:val="0"/>
          <w:marBottom w:val="0"/>
          <w:divBdr>
            <w:top w:val="none" w:sz="0" w:space="0" w:color="auto"/>
            <w:left w:val="none" w:sz="0" w:space="0" w:color="auto"/>
            <w:bottom w:val="none" w:sz="0" w:space="0" w:color="auto"/>
            <w:right w:val="none" w:sz="0" w:space="0" w:color="auto"/>
          </w:divBdr>
          <w:divsChild>
            <w:div w:id="1355113160">
              <w:marLeft w:val="0"/>
              <w:marRight w:val="360"/>
              <w:marTop w:val="0"/>
              <w:marBottom w:val="0"/>
              <w:divBdr>
                <w:top w:val="none" w:sz="0" w:space="0" w:color="auto"/>
                <w:left w:val="none" w:sz="0" w:space="0" w:color="auto"/>
                <w:bottom w:val="none" w:sz="0" w:space="0" w:color="auto"/>
                <w:right w:val="none" w:sz="0" w:space="0" w:color="auto"/>
              </w:divBdr>
            </w:div>
          </w:divsChild>
        </w:div>
        <w:div w:id="1982685430">
          <w:marLeft w:val="0"/>
          <w:marRight w:val="0"/>
          <w:marTop w:val="0"/>
          <w:marBottom w:val="0"/>
          <w:divBdr>
            <w:top w:val="none" w:sz="0" w:space="0" w:color="auto"/>
            <w:left w:val="none" w:sz="0" w:space="0" w:color="auto"/>
            <w:bottom w:val="none" w:sz="0" w:space="0" w:color="auto"/>
            <w:right w:val="none" w:sz="0" w:space="0" w:color="auto"/>
          </w:divBdr>
          <w:divsChild>
            <w:div w:id="1254893357">
              <w:marLeft w:val="0"/>
              <w:marRight w:val="0"/>
              <w:marTop w:val="0"/>
              <w:marBottom w:val="0"/>
              <w:divBdr>
                <w:top w:val="none" w:sz="0" w:space="0" w:color="auto"/>
                <w:left w:val="none" w:sz="0" w:space="0" w:color="auto"/>
                <w:bottom w:val="none" w:sz="0" w:space="0" w:color="auto"/>
                <w:right w:val="none" w:sz="0" w:space="0" w:color="auto"/>
              </w:divBdr>
            </w:div>
          </w:divsChild>
        </w:div>
        <w:div w:id="1462069998">
          <w:marLeft w:val="0"/>
          <w:marRight w:val="0"/>
          <w:marTop w:val="0"/>
          <w:marBottom w:val="0"/>
          <w:divBdr>
            <w:top w:val="none" w:sz="0" w:space="0" w:color="auto"/>
            <w:left w:val="none" w:sz="0" w:space="0" w:color="auto"/>
            <w:bottom w:val="none" w:sz="0" w:space="0" w:color="auto"/>
            <w:right w:val="none" w:sz="0" w:space="0" w:color="auto"/>
          </w:divBdr>
        </w:div>
        <w:div w:id="1369143761">
          <w:marLeft w:val="0"/>
          <w:marRight w:val="0"/>
          <w:marTop w:val="0"/>
          <w:marBottom w:val="0"/>
          <w:divBdr>
            <w:top w:val="none" w:sz="0" w:space="0" w:color="auto"/>
            <w:left w:val="none" w:sz="0" w:space="0" w:color="auto"/>
            <w:bottom w:val="none" w:sz="0" w:space="0" w:color="auto"/>
            <w:right w:val="none" w:sz="0" w:space="0" w:color="auto"/>
          </w:divBdr>
          <w:divsChild>
            <w:div w:id="1150177448">
              <w:marLeft w:val="0"/>
              <w:marRight w:val="360"/>
              <w:marTop w:val="0"/>
              <w:marBottom w:val="0"/>
              <w:divBdr>
                <w:top w:val="none" w:sz="0" w:space="0" w:color="auto"/>
                <w:left w:val="none" w:sz="0" w:space="0" w:color="auto"/>
                <w:bottom w:val="none" w:sz="0" w:space="0" w:color="auto"/>
                <w:right w:val="none" w:sz="0" w:space="0" w:color="auto"/>
              </w:divBdr>
            </w:div>
          </w:divsChild>
        </w:div>
        <w:div w:id="1016889170">
          <w:marLeft w:val="0"/>
          <w:marRight w:val="0"/>
          <w:marTop w:val="0"/>
          <w:marBottom w:val="0"/>
          <w:divBdr>
            <w:top w:val="none" w:sz="0" w:space="0" w:color="auto"/>
            <w:left w:val="none" w:sz="0" w:space="0" w:color="auto"/>
            <w:bottom w:val="none" w:sz="0" w:space="0" w:color="auto"/>
            <w:right w:val="none" w:sz="0" w:space="0" w:color="auto"/>
          </w:divBdr>
          <w:divsChild>
            <w:div w:id="1767991528">
              <w:marLeft w:val="0"/>
              <w:marRight w:val="0"/>
              <w:marTop w:val="0"/>
              <w:marBottom w:val="0"/>
              <w:divBdr>
                <w:top w:val="none" w:sz="0" w:space="0" w:color="auto"/>
                <w:left w:val="none" w:sz="0" w:space="0" w:color="auto"/>
                <w:bottom w:val="none" w:sz="0" w:space="0" w:color="auto"/>
                <w:right w:val="none" w:sz="0" w:space="0" w:color="auto"/>
              </w:divBdr>
            </w:div>
          </w:divsChild>
        </w:div>
        <w:div w:id="285937392">
          <w:marLeft w:val="0"/>
          <w:marRight w:val="0"/>
          <w:marTop w:val="0"/>
          <w:marBottom w:val="0"/>
          <w:divBdr>
            <w:top w:val="none" w:sz="0" w:space="0" w:color="auto"/>
            <w:left w:val="none" w:sz="0" w:space="0" w:color="auto"/>
            <w:bottom w:val="none" w:sz="0" w:space="0" w:color="auto"/>
            <w:right w:val="none" w:sz="0" w:space="0" w:color="auto"/>
          </w:divBdr>
        </w:div>
        <w:div w:id="715666733">
          <w:marLeft w:val="0"/>
          <w:marRight w:val="0"/>
          <w:marTop w:val="0"/>
          <w:marBottom w:val="0"/>
          <w:divBdr>
            <w:top w:val="none" w:sz="0" w:space="0" w:color="auto"/>
            <w:left w:val="none" w:sz="0" w:space="0" w:color="auto"/>
            <w:bottom w:val="none" w:sz="0" w:space="0" w:color="auto"/>
            <w:right w:val="none" w:sz="0" w:space="0" w:color="auto"/>
          </w:divBdr>
        </w:div>
        <w:div w:id="616446529">
          <w:marLeft w:val="0"/>
          <w:marRight w:val="0"/>
          <w:marTop w:val="0"/>
          <w:marBottom w:val="0"/>
          <w:divBdr>
            <w:top w:val="none" w:sz="0" w:space="0" w:color="auto"/>
            <w:left w:val="none" w:sz="0" w:space="0" w:color="auto"/>
            <w:bottom w:val="none" w:sz="0" w:space="0" w:color="auto"/>
            <w:right w:val="none" w:sz="0" w:space="0" w:color="auto"/>
          </w:divBdr>
          <w:divsChild>
            <w:div w:id="705374358">
              <w:marLeft w:val="0"/>
              <w:marRight w:val="0"/>
              <w:marTop w:val="0"/>
              <w:marBottom w:val="0"/>
              <w:divBdr>
                <w:top w:val="none" w:sz="0" w:space="0" w:color="auto"/>
                <w:left w:val="none" w:sz="0" w:space="0" w:color="auto"/>
                <w:bottom w:val="none" w:sz="0" w:space="0" w:color="auto"/>
                <w:right w:val="none" w:sz="0" w:space="0" w:color="auto"/>
              </w:divBdr>
            </w:div>
          </w:divsChild>
        </w:div>
        <w:div w:id="2053655207">
          <w:marLeft w:val="0"/>
          <w:marRight w:val="0"/>
          <w:marTop w:val="0"/>
          <w:marBottom w:val="0"/>
          <w:divBdr>
            <w:top w:val="none" w:sz="0" w:space="0" w:color="auto"/>
            <w:left w:val="none" w:sz="0" w:space="0" w:color="auto"/>
            <w:bottom w:val="none" w:sz="0" w:space="0" w:color="auto"/>
            <w:right w:val="none" w:sz="0" w:space="0" w:color="auto"/>
          </w:divBdr>
        </w:div>
        <w:div w:id="59452365">
          <w:marLeft w:val="0"/>
          <w:marRight w:val="0"/>
          <w:marTop w:val="0"/>
          <w:marBottom w:val="0"/>
          <w:divBdr>
            <w:top w:val="none" w:sz="0" w:space="0" w:color="auto"/>
            <w:left w:val="none" w:sz="0" w:space="0" w:color="auto"/>
            <w:bottom w:val="none" w:sz="0" w:space="0" w:color="auto"/>
            <w:right w:val="none" w:sz="0" w:space="0" w:color="auto"/>
          </w:divBdr>
        </w:div>
        <w:div w:id="1069812447">
          <w:marLeft w:val="0"/>
          <w:marRight w:val="0"/>
          <w:marTop w:val="0"/>
          <w:marBottom w:val="0"/>
          <w:divBdr>
            <w:top w:val="none" w:sz="0" w:space="0" w:color="auto"/>
            <w:left w:val="none" w:sz="0" w:space="0" w:color="auto"/>
            <w:bottom w:val="none" w:sz="0" w:space="0" w:color="auto"/>
            <w:right w:val="none" w:sz="0" w:space="0" w:color="auto"/>
          </w:divBdr>
          <w:divsChild>
            <w:div w:id="1668167729">
              <w:marLeft w:val="0"/>
              <w:marRight w:val="0"/>
              <w:marTop w:val="0"/>
              <w:marBottom w:val="0"/>
              <w:divBdr>
                <w:top w:val="none" w:sz="0" w:space="0" w:color="auto"/>
                <w:left w:val="none" w:sz="0" w:space="0" w:color="auto"/>
                <w:bottom w:val="none" w:sz="0" w:space="0" w:color="auto"/>
                <w:right w:val="none" w:sz="0" w:space="0" w:color="auto"/>
              </w:divBdr>
            </w:div>
          </w:divsChild>
        </w:div>
        <w:div w:id="308675275">
          <w:marLeft w:val="0"/>
          <w:marRight w:val="0"/>
          <w:marTop w:val="0"/>
          <w:marBottom w:val="0"/>
          <w:divBdr>
            <w:top w:val="none" w:sz="0" w:space="0" w:color="auto"/>
            <w:left w:val="none" w:sz="0" w:space="0" w:color="auto"/>
            <w:bottom w:val="none" w:sz="0" w:space="0" w:color="auto"/>
            <w:right w:val="none" w:sz="0" w:space="0" w:color="auto"/>
          </w:divBdr>
        </w:div>
        <w:div w:id="419330557">
          <w:marLeft w:val="0"/>
          <w:marRight w:val="0"/>
          <w:marTop w:val="0"/>
          <w:marBottom w:val="0"/>
          <w:divBdr>
            <w:top w:val="none" w:sz="0" w:space="0" w:color="auto"/>
            <w:left w:val="none" w:sz="0" w:space="0" w:color="auto"/>
            <w:bottom w:val="none" w:sz="0" w:space="0" w:color="auto"/>
            <w:right w:val="none" w:sz="0" w:space="0" w:color="auto"/>
          </w:divBdr>
          <w:divsChild>
            <w:div w:id="637998359">
              <w:marLeft w:val="0"/>
              <w:marRight w:val="360"/>
              <w:marTop w:val="0"/>
              <w:marBottom w:val="0"/>
              <w:divBdr>
                <w:top w:val="none" w:sz="0" w:space="0" w:color="auto"/>
                <w:left w:val="none" w:sz="0" w:space="0" w:color="auto"/>
                <w:bottom w:val="none" w:sz="0" w:space="0" w:color="auto"/>
                <w:right w:val="none" w:sz="0" w:space="0" w:color="auto"/>
              </w:divBdr>
            </w:div>
          </w:divsChild>
        </w:div>
        <w:div w:id="1315259300">
          <w:marLeft w:val="0"/>
          <w:marRight w:val="0"/>
          <w:marTop w:val="0"/>
          <w:marBottom w:val="0"/>
          <w:divBdr>
            <w:top w:val="none" w:sz="0" w:space="0" w:color="auto"/>
            <w:left w:val="none" w:sz="0" w:space="0" w:color="auto"/>
            <w:bottom w:val="none" w:sz="0" w:space="0" w:color="auto"/>
            <w:right w:val="none" w:sz="0" w:space="0" w:color="auto"/>
          </w:divBdr>
          <w:divsChild>
            <w:div w:id="461458803">
              <w:marLeft w:val="0"/>
              <w:marRight w:val="0"/>
              <w:marTop w:val="0"/>
              <w:marBottom w:val="0"/>
              <w:divBdr>
                <w:top w:val="none" w:sz="0" w:space="0" w:color="auto"/>
                <w:left w:val="none" w:sz="0" w:space="0" w:color="auto"/>
                <w:bottom w:val="none" w:sz="0" w:space="0" w:color="auto"/>
                <w:right w:val="none" w:sz="0" w:space="0" w:color="auto"/>
              </w:divBdr>
            </w:div>
          </w:divsChild>
        </w:div>
        <w:div w:id="431122543">
          <w:marLeft w:val="0"/>
          <w:marRight w:val="0"/>
          <w:marTop w:val="0"/>
          <w:marBottom w:val="0"/>
          <w:divBdr>
            <w:top w:val="none" w:sz="0" w:space="0" w:color="auto"/>
            <w:left w:val="none" w:sz="0" w:space="0" w:color="auto"/>
            <w:bottom w:val="none" w:sz="0" w:space="0" w:color="auto"/>
            <w:right w:val="none" w:sz="0" w:space="0" w:color="auto"/>
          </w:divBdr>
        </w:div>
        <w:div w:id="1752701869">
          <w:marLeft w:val="0"/>
          <w:marRight w:val="0"/>
          <w:marTop w:val="0"/>
          <w:marBottom w:val="0"/>
          <w:divBdr>
            <w:top w:val="none" w:sz="0" w:space="0" w:color="auto"/>
            <w:left w:val="none" w:sz="0" w:space="0" w:color="auto"/>
            <w:bottom w:val="none" w:sz="0" w:space="0" w:color="auto"/>
            <w:right w:val="none" w:sz="0" w:space="0" w:color="auto"/>
          </w:divBdr>
          <w:divsChild>
            <w:div w:id="104807758">
              <w:marLeft w:val="0"/>
              <w:marRight w:val="360"/>
              <w:marTop w:val="0"/>
              <w:marBottom w:val="0"/>
              <w:divBdr>
                <w:top w:val="none" w:sz="0" w:space="0" w:color="auto"/>
                <w:left w:val="none" w:sz="0" w:space="0" w:color="auto"/>
                <w:bottom w:val="none" w:sz="0" w:space="0" w:color="auto"/>
                <w:right w:val="none" w:sz="0" w:space="0" w:color="auto"/>
              </w:divBdr>
            </w:div>
          </w:divsChild>
        </w:div>
        <w:div w:id="1610163484">
          <w:marLeft w:val="0"/>
          <w:marRight w:val="0"/>
          <w:marTop w:val="0"/>
          <w:marBottom w:val="0"/>
          <w:divBdr>
            <w:top w:val="none" w:sz="0" w:space="0" w:color="auto"/>
            <w:left w:val="none" w:sz="0" w:space="0" w:color="auto"/>
            <w:bottom w:val="none" w:sz="0" w:space="0" w:color="auto"/>
            <w:right w:val="none" w:sz="0" w:space="0" w:color="auto"/>
          </w:divBdr>
          <w:divsChild>
            <w:div w:id="1299413383">
              <w:marLeft w:val="0"/>
              <w:marRight w:val="0"/>
              <w:marTop w:val="0"/>
              <w:marBottom w:val="0"/>
              <w:divBdr>
                <w:top w:val="none" w:sz="0" w:space="0" w:color="auto"/>
                <w:left w:val="none" w:sz="0" w:space="0" w:color="auto"/>
                <w:bottom w:val="none" w:sz="0" w:space="0" w:color="auto"/>
                <w:right w:val="none" w:sz="0" w:space="0" w:color="auto"/>
              </w:divBdr>
            </w:div>
          </w:divsChild>
        </w:div>
        <w:div w:id="1099448287">
          <w:marLeft w:val="0"/>
          <w:marRight w:val="0"/>
          <w:marTop w:val="0"/>
          <w:marBottom w:val="0"/>
          <w:divBdr>
            <w:top w:val="none" w:sz="0" w:space="0" w:color="auto"/>
            <w:left w:val="none" w:sz="0" w:space="0" w:color="auto"/>
            <w:bottom w:val="none" w:sz="0" w:space="0" w:color="auto"/>
            <w:right w:val="none" w:sz="0" w:space="0" w:color="auto"/>
          </w:divBdr>
        </w:div>
        <w:div w:id="1997488666">
          <w:marLeft w:val="0"/>
          <w:marRight w:val="0"/>
          <w:marTop w:val="0"/>
          <w:marBottom w:val="0"/>
          <w:divBdr>
            <w:top w:val="none" w:sz="0" w:space="0" w:color="auto"/>
            <w:left w:val="none" w:sz="0" w:space="0" w:color="auto"/>
            <w:bottom w:val="none" w:sz="0" w:space="0" w:color="auto"/>
            <w:right w:val="none" w:sz="0" w:space="0" w:color="auto"/>
          </w:divBdr>
          <w:divsChild>
            <w:div w:id="1821534385">
              <w:marLeft w:val="0"/>
              <w:marRight w:val="360"/>
              <w:marTop w:val="0"/>
              <w:marBottom w:val="0"/>
              <w:divBdr>
                <w:top w:val="none" w:sz="0" w:space="0" w:color="auto"/>
                <w:left w:val="none" w:sz="0" w:space="0" w:color="auto"/>
                <w:bottom w:val="none" w:sz="0" w:space="0" w:color="auto"/>
                <w:right w:val="none" w:sz="0" w:space="0" w:color="auto"/>
              </w:divBdr>
            </w:div>
          </w:divsChild>
        </w:div>
        <w:div w:id="974480536">
          <w:marLeft w:val="0"/>
          <w:marRight w:val="0"/>
          <w:marTop w:val="0"/>
          <w:marBottom w:val="0"/>
          <w:divBdr>
            <w:top w:val="none" w:sz="0" w:space="0" w:color="auto"/>
            <w:left w:val="none" w:sz="0" w:space="0" w:color="auto"/>
            <w:bottom w:val="none" w:sz="0" w:space="0" w:color="auto"/>
            <w:right w:val="none" w:sz="0" w:space="0" w:color="auto"/>
          </w:divBdr>
          <w:divsChild>
            <w:div w:id="1790390577">
              <w:marLeft w:val="0"/>
              <w:marRight w:val="0"/>
              <w:marTop w:val="0"/>
              <w:marBottom w:val="0"/>
              <w:divBdr>
                <w:top w:val="none" w:sz="0" w:space="0" w:color="auto"/>
                <w:left w:val="none" w:sz="0" w:space="0" w:color="auto"/>
                <w:bottom w:val="none" w:sz="0" w:space="0" w:color="auto"/>
                <w:right w:val="none" w:sz="0" w:space="0" w:color="auto"/>
              </w:divBdr>
            </w:div>
          </w:divsChild>
        </w:div>
        <w:div w:id="815221683">
          <w:marLeft w:val="0"/>
          <w:marRight w:val="0"/>
          <w:marTop w:val="0"/>
          <w:marBottom w:val="0"/>
          <w:divBdr>
            <w:top w:val="none" w:sz="0" w:space="0" w:color="auto"/>
            <w:left w:val="none" w:sz="0" w:space="0" w:color="auto"/>
            <w:bottom w:val="none" w:sz="0" w:space="0" w:color="auto"/>
            <w:right w:val="none" w:sz="0" w:space="0" w:color="auto"/>
          </w:divBdr>
        </w:div>
        <w:div w:id="313922681">
          <w:marLeft w:val="0"/>
          <w:marRight w:val="0"/>
          <w:marTop w:val="0"/>
          <w:marBottom w:val="0"/>
          <w:divBdr>
            <w:top w:val="none" w:sz="0" w:space="0" w:color="auto"/>
            <w:left w:val="none" w:sz="0" w:space="0" w:color="auto"/>
            <w:bottom w:val="none" w:sz="0" w:space="0" w:color="auto"/>
            <w:right w:val="none" w:sz="0" w:space="0" w:color="auto"/>
          </w:divBdr>
          <w:divsChild>
            <w:div w:id="936182641">
              <w:marLeft w:val="0"/>
              <w:marRight w:val="360"/>
              <w:marTop w:val="0"/>
              <w:marBottom w:val="0"/>
              <w:divBdr>
                <w:top w:val="none" w:sz="0" w:space="0" w:color="auto"/>
                <w:left w:val="none" w:sz="0" w:space="0" w:color="auto"/>
                <w:bottom w:val="none" w:sz="0" w:space="0" w:color="auto"/>
                <w:right w:val="none" w:sz="0" w:space="0" w:color="auto"/>
              </w:divBdr>
            </w:div>
          </w:divsChild>
        </w:div>
        <w:div w:id="1018970311">
          <w:marLeft w:val="0"/>
          <w:marRight w:val="0"/>
          <w:marTop w:val="0"/>
          <w:marBottom w:val="0"/>
          <w:divBdr>
            <w:top w:val="none" w:sz="0" w:space="0" w:color="auto"/>
            <w:left w:val="none" w:sz="0" w:space="0" w:color="auto"/>
            <w:bottom w:val="none" w:sz="0" w:space="0" w:color="auto"/>
            <w:right w:val="none" w:sz="0" w:space="0" w:color="auto"/>
          </w:divBdr>
          <w:divsChild>
            <w:div w:id="1727534513">
              <w:marLeft w:val="0"/>
              <w:marRight w:val="0"/>
              <w:marTop w:val="0"/>
              <w:marBottom w:val="0"/>
              <w:divBdr>
                <w:top w:val="none" w:sz="0" w:space="0" w:color="auto"/>
                <w:left w:val="none" w:sz="0" w:space="0" w:color="auto"/>
                <w:bottom w:val="none" w:sz="0" w:space="0" w:color="auto"/>
                <w:right w:val="none" w:sz="0" w:space="0" w:color="auto"/>
              </w:divBdr>
            </w:div>
          </w:divsChild>
        </w:div>
        <w:div w:id="792990109">
          <w:marLeft w:val="0"/>
          <w:marRight w:val="0"/>
          <w:marTop w:val="0"/>
          <w:marBottom w:val="0"/>
          <w:divBdr>
            <w:top w:val="none" w:sz="0" w:space="0" w:color="auto"/>
            <w:left w:val="none" w:sz="0" w:space="0" w:color="auto"/>
            <w:bottom w:val="none" w:sz="0" w:space="0" w:color="auto"/>
            <w:right w:val="none" w:sz="0" w:space="0" w:color="auto"/>
          </w:divBdr>
        </w:div>
        <w:div w:id="931013030">
          <w:marLeft w:val="0"/>
          <w:marRight w:val="0"/>
          <w:marTop w:val="0"/>
          <w:marBottom w:val="0"/>
          <w:divBdr>
            <w:top w:val="none" w:sz="0" w:space="0" w:color="auto"/>
            <w:left w:val="none" w:sz="0" w:space="0" w:color="auto"/>
            <w:bottom w:val="none" w:sz="0" w:space="0" w:color="auto"/>
            <w:right w:val="none" w:sz="0" w:space="0" w:color="auto"/>
          </w:divBdr>
        </w:div>
        <w:div w:id="63070457">
          <w:marLeft w:val="0"/>
          <w:marRight w:val="0"/>
          <w:marTop w:val="0"/>
          <w:marBottom w:val="0"/>
          <w:divBdr>
            <w:top w:val="none" w:sz="0" w:space="0" w:color="auto"/>
            <w:left w:val="none" w:sz="0" w:space="0" w:color="auto"/>
            <w:bottom w:val="none" w:sz="0" w:space="0" w:color="auto"/>
            <w:right w:val="none" w:sz="0" w:space="0" w:color="auto"/>
          </w:divBdr>
          <w:divsChild>
            <w:div w:id="1853686804">
              <w:marLeft w:val="0"/>
              <w:marRight w:val="0"/>
              <w:marTop w:val="0"/>
              <w:marBottom w:val="0"/>
              <w:divBdr>
                <w:top w:val="none" w:sz="0" w:space="0" w:color="auto"/>
                <w:left w:val="none" w:sz="0" w:space="0" w:color="auto"/>
                <w:bottom w:val="none" w:sz="0" w:space="0" w:color="auto"/>
                <w:right w:val="none" w:sz="0" w:space="0" w:color="auto"/>
              </w:divBdr>
            </w:div>
          </w:divsChild>
        </w:div>
        <w:div w:id="1394498485">
          <w:marLeft w:val="0"/>
          <w:marRight w:val="0"/>
          <w:marTop w:val="0"/>
          <w:marBottom w:val="0"/>
          <w:divBdr>
            <w:top w:val="none" w:sz="0" w:space="0" w:color="auto"/>
            <w:left w:val="none" w:sz="0" w:space="0" w:color="auto"/>
            <w:bottom w:val="none" w:sz="0" w:space="0" w:color="auto"/>
            <w:right w:val="none" w:sz="0" w:space="0" w:color="auto"/>
          </w:divBdr>
        </w:div>
        <w:div w:id="780299661">
          <w:marLeft w:val="0"/>
          <w:marRight w:val="0"/>
          <w:marTop w:val="0"/>
          <w:marBottom w:val="0"/>
          <w:divBdr>
            <w:top w:val="none" w:sz="0" w:space="0" w:color="auto"/>
            <w:left w:val="none" w:sz="0" w:space="0" w:color="auto"/>
            <w:bottom w:val="none" w:sz="0" w:space="0" w:color="auto"/>
            <w:right w:val="none" w:sz="0" w:space="0" w:color="auto"/>
          </w:divBdr>
          <w:divsChild>
            <w:div w:id="1508524565">
              <w:marLeft w:val="0"/>
              <w:marRight w:val="360"/>
              <w:marTop w:val="0"/>
              <w:marBottom w:val="0"/>
              <w:divBdr>
                <w:top w:val="none" w:sz="0" w:space="0" w:color="auto"/>
                <w:left w:val="none" w:sz="0" w:space="0" w:color="auto"/>
                <w:bottom w:val="none" w:sz="0" w:space="0" w:color="auto"/>
                <w:right w:val="none" w:sz="0" w:space="0" w:color="auto"/>
              </w:divBdr>
            </w:div>
          </w:divsChild>
        </w:div>
        <w:div w:id="1810391048">
          <w:marLeft w:val="0"/>
          <w:marRight w:val="0"/>
          <w:marTop w:val="0"/>
          <w:marBottom w:val="0"/>
          <w:divBdr>
            <w:top w:val="none" w:sz="0" w:space="0" w:color="auto"/>
            <w:left w:val="none" w:sz="0" w:space="0" w:color="auto"/>
            <w:bottom w:val="none" w:sz="0" w:space="0" w:color="auto"/>
            <w:right w:val="none" w:sz="0" w:space="0" w:color="auto"/>
          </w:divBdr>
          <w:divsChild>
            <w:div w:id="1473905053">
              <w:marLeft w:val="0"/>
              <w:marRight w:val="0"/>
              <w:marTop w:val="0"/>
              <w:marBottom w:val="0"/>
              <w:divBdr>
                <w:top w:val="none" w:sz="0" w:space="0" w:color="auto"/>
                <w:left w:val="none" w:sz="0" w:space="0" w:color="auto"/>
                <w:bottom w:val="none" w:sz="0" w:space="0" w:color="auto"/>
                <w:right w:val="none" w:sz="0" w:space="0" w:color="auto"/>
              </w:divBdr>
            </w:div>
          </w:divsChild>
        </w:div>
        <w:div w:id="1001852572">
          <w:marLeft w:val="0"/>
          <w:marRight w:val="0"/>
          <w:marTop w:val="0"/>
          <w:marBottom w:val="0"/>
          <w:divBdr>
            <w:top w:val="none" w:sz="0" w:space="0" w:color="auto"/>
            <w:left w:val="none" w:sz="0" w:space="0" w:color="auto"/>
            <w:bottom w:val="none" w:sz="0" w:space="0" w:color="auto"/>
            <w:right w:val="none" w:sz="0" w:space="0" w:color="auto"/>
          </w:divBdr>
        </w:div>
        <w:div w:id="1787234721">
          <w:marLeft w:val="0"/>
          <w:marRight w:val="0"/>
          <w:marTop w:val="0"/>
          <w:marBottom w:val="0"/>
          <w:divBdr>
            <w:top w:val="none" w:sz="0" w:space="0" w:color="auto"/>
            <w:left w:val="none" w:sz="0" w:space="0" w:color="auto"/>
            <w:bottom w:val="none" w:sz="0" w:space="0" w:color="auto"/>
            <w:right w:val="none" w:sz="0" w:space="0" w:color="auto"/>
          </w:divBdr>
          <w:divsChild>
            <w:div w:id="23219104">
              <w:marLeft w:val="0"/>
              <w:marRight w:val="360"/>
              <w:marTop w:val="0"/>
              <w:marBottom w:val="0"/>
              <w:divBdr>
                <w:top w:val="none" w:sz="0" w:space="0" w:color="auto"/>
                <w:left w:val="none" w:sz="0" w:space="0" w:color="auto"/>
                <w:bottom w:val="none" w:sz="0" w:space="0" w:color="auto"/>
                <w:right w:val="none" w:sz="0" w:space="0" w:color="auto"/>
              </w:divBdr>
            </w:div>
          </w:divsChild>
        </w:div>
        <w:div w:id="639653048">
          <w:marLeft w:val="0"/>
          <w:marRight w:val="0"/>
          <w:marTop w:val="0"/>
          <w:marBottom w:val="0"/>
          <w:divBdr>
            <w:top w:val="none" w:sz="0" w:space="0" w:color="auto"/>
            <w:left w:val="none" w:sz="0" w:space="0" w:color="auto"/>
            <w:bottom w:val="none" w:sz="0" w:space="0" w:color="auto"/>
            <w:right w:val="none" w:sz="0" w:space="0" w:color="auto"/>
          </w:divBdr>
          <w:divsChild>
            <w:div w:id="2017344630">
              <w:marLeft w:val="0"/>
              <w:marRight w:val="0"/>
              <w:marTop w:val="0"/>
              <w:marBottom w:val="0"/>
              <w:divBdr>
                <w:top w:val="none" w:sz="0" w:space="0" w:color="auto"/>
                <w:left w:val="none" w:sz="0" w:space="0" w:color="auto"/>
                <w:bottom w:val="none" w:sz="0" w:space="0" w:color="auto"/>
                <w:right w:val="none" w:sz="0" w:space="0" w:color="auto"/>
              </w:divBdr>
            </w:div>
          </w:divsChild>
        </w:div>
        <w:div w:id="1008674486">
          <w:marLeft w:val="0"/>
          <w:marRight w:val="0"/>
          <w:marTop w:val="0"/>
          <w:marBottom w:val="0"/>
          <w:divBdr>
            <w:top w:val="none" w:sz="0" w:space="0" w:color="auto"/>
            <w:left w:val="none" w:sz="0" w:space="0" w:color="auto"/>
            <w:bottom w:val="none" w:sz="0" w:space="0" w:color="auto"/>
            <w:right w:val="none" w:sz="0" w:space="0" w:color="auto"/>
          </w:divBdr>
        </w:div>
        <w:div w:id="573003637">
          <w:marLeft w:val="0"/>
          <w:marRight w:val="0"/>
          <w:marTop w:val="0"/>
          <w:marBottom w:val="0"/>
          <w:divBdr>
            <w:top w:val="none" w:sz="0" w:space="0" w:color="auto"/>
            <w:left w:val="none" w:sz="0" w:space="0" w:color="auto"/>
            <w:bottom w:val="none" w:sz="0" w:space="0" w:color="auto"/>
            <w:right w:val="none" w:sz="0" w:space="0" w:color="auto"/>
          </w:divBdr>
          <w:divsChild>
            <w:div w:id="643000061">
              <w:marLeft w:val="0"/>
              <w:marRight w:val="360"/>
              <w:marTop w:val="0"/>
              <w:marBottom w:val="0"/>
              <w:divBdr>
                <w:top w:val="none" w:sz="0" w:space="0" w:color="auto"/>
                <w:left w:val="none" w:sz="0" w:space="0" w:color="auto"/>
                <w:bottom w:val="none" w:sz="0" w:space="0" w:color="auto"/>
                <w:right w:val="none" w:sz="0" w:space="0" w:color="auto"/>
              </w:divBdr>
            </w:div>
          </w:divsChild>
        </w:div>
        <w:div w:id="1214468374">
          <w:marLeft w:val="0"/>
          <w:marRight w:val="0"/>
          <w:marTop w:val="0"/>
          <w:marBottom w:val="0"/>
          <w:divBdr>
            <w:top w:val="none" w:sz="0" w:space="0" w:color="auto"/>
            <w:left w:val="none" w:sz="0" w:space="0" w:color="auto"/>
            <w:bottom w:val="none" w:sz="0" w:space="0" w:color="auto"/>
            <w:right w:val="none" w:sz="0" w:space="0" w:color="auto"/>
          </w:divBdr>
        </w:div>
        <w:div w:id="1082869702">
          <w:marLeft w:val="0"/>
          <w:marRight w:val="0"/>
          <w:marTop w:val="0"/>
          <w:marBottom w:val="0"/>
          <w:divBdr>
            <w:top w:val="none" w:sz="0" w:space="0" w:color="auto"/>
            <w:left w:val="none" w:sz="0" w:space="0" w:color="auto"/>
            <w:bottom w:val="none" w:sz="0" w:space="0" w:color="auto"/>
            <w:right w:val="none" w:sz="0" w:space="0" w:color="auto"/>
          </w:divBdr>
          <w:divsChild>
            <w:div w:id="1416366369">
              <w:marLeft w:val="0"/>
              <w:marRight w:val="0"/>
              <w:marTop w:val="0"/>
              <w:marBottom w:val="0"/>
              <w:divBdr>
                <w:top w:val="none" w:sz="0" w:space="0" w:color="auto"/>
                <w:left w:val="none" w:sz="0" w:space="0" w:color="auto"/>
                <w:bottom w:val="none" w:sz="0" w:space="0" w:color="auto"/>
                <w:right w:val="none" w:sz="0" w:space="0" w:color="auto"/>
              </w:divBdr>
            </w:div>
          </w:divsChild>
        </w:div>
        <w:div w:id="305472490">
          <w:marLeft w:val="0"/>
          <w:marRight w:val="0"/>
          <w:marTop w:val="0"/>
          <w:marBottom w:val="0"/>
          <w:divBdr>
            <w:top w:val="none" w:sz="0" w:space="0" w:color="auto"/>
            <w:left w:val="none" w:sz="0" w:space="0" w:color="auto"/>
            <w:bottom w:val="none" w:sz="0" w:space="0" w:color="auto"/>
            <w:right w:val="none" w:sz="0" w:space="0" w:color="auto"/>
          </w:divBdr>
        </w:div>
        <w:div w:id="1271164838">
          <w:marLeft w:val="0"/>
          <w:marRight w:val="0"/>
          <w:marTop w:val="0"/>
          <w:marBottom w:val="0"/>
          <w:divBdr>
            <w:top w:val="none" w:sz="0" w:space="0" w:color="auto"/>
            <w:left w:val="none" w:sz="0" w:space="0" w:color="auto"/>
            <w:bottom w:val="none" w:sz="0" w:space="0" w:color="auto"/>
            <w:right w:val="none" w:sz="0" w:space="0" w:color="auto"/>
          </w:divBdr>
        </w:div>
        <w:div w:id="1652827916">
          <w:marLeft w:val="0"/>
          <w:marRight w:val="0"/>
          <w:marTop w:val="0"/>
          <w:marBottom w:val="0"/>
          <w:divBdr>
            <w:top w:val="none" w:sz="0" w:space="0" w:color="auto"/>
            <w:left w:val="none" w:sz="0" w:space="0" w:color="auto"/>
            <w:bottom w:val="none" w:sz="0" w:space="0" w:color="auto"/>
            <w:right w:val="none" w:sz="0" w:space="0" w:color="auto"/>
          </w:divBdr>
        </w:div>
        <w:div w:id="584536122">
          <w:marLeft w:val="0"/>
          <w:marRight w:val="0"/>
          <w:marTop w:val="0"/>
          <w:marBottom w:val="0"/>
          <w:divBdr>
            <w:top w:val="none" w:sz="0" w:space="0" w:color="auto"/>
            <w:left w:val="none" w:sz="0" w:space="0" w:color="auto"/>
            <w:bottom w:val="none" w:sz="0" w:space="0" w:color="auto"/>
            <w:right w:val="none" w:sz="0" w:space="0" w:color="auto"/>
          </w:divBdr>
          <w:divsChild>
            <w:div w:id="218634466">
              <w:marLeft w:val="0"/>
              <w:marRight w:val="0"/>
              <w:marTop w:val="0"/>
              <w:marBottom w:val="0"/>
              <w:divBdr>
                <w:top w:val="none" w:sz="0" w:space="0" w:color="auto"/>
                <w:left w:val="none" w:sz="0" w:space="0" w:color="auto"/>
                <w:bottom w:val="none" w:sz="0" w:space="0" w:color="auto"/>
                <w:right w:val="none" w:sz="0" w:space="0" w:color="auto"/>
              </w:divBdr>
            </w:div>
          </w:divsChild>
        </w:div>
        <w:div w:id="1517698352">
          <w:marLeft w:val="0"/>
          <w:marRight w:val="0"/>
          <w:marTop w:val="0"/>
          <w:marBottom w:val="0"/>
          <w:divBdr>
            <w:top w:val="none" w:sz="0" w:space="0" w:color="auto"/>
            <w:left w:val="none" w:sz="0" w:space="0" w:color="auto"/>
            <w:bottom w:val="none" w:sz="0" w:space="0" w:color="auto"/>
            <w:right w:val="none" w:sz="0" w:space="0" w:color="auto"/>
          </w:divBdr>
        </w:div>
        <w:div w:id="22488790">
          <w:marLeft w:val="0"/>
          <w:marRight w:val="0"/>
          <w:marTop w:val="0"/>
          <w:marBottom w:val="0"/>
          <w:divBdr>
            <w:top w:val="none" w:sz="0" w:space="0" w:color="auto"/>
            <w:left w:val="none" w:sz="0" w:space="0" w:color="auto"/>
            <w:bottom w:val="none" w:sz="0" w:space="0" w:color="auto"/>
            <w:right w:val="none" w:sz="0" w:space="0" w:color="auto"/>
          </w:divBdr>
          <w:divsChild>
            <w:div w:id="1874146024">
              <w:marLeft w:val="0"/>
              <w:marRight w:val="360"/>
              <w:marTop w:val="0"/>
              <w:marBottom w:val="0"/>
              <w:divBdr>
                <w:top w:val="none" w:sz="0" w:space="0" w:color="auto"/>
                <w:left w:val="none" w:sz="0" w:space="0" w:color="auto"/>
                <w:bottom w:val="none" w:sz="0" w:space="0" w:color="auto"/>
                <w:right w:val="none" w:sz="0" w:space="0" w:color="auto"/>
              </w:divBdr>
            </w:div>
          </w:divsChild>
        </w:div>
        <w:div w:id="1689019768">
          <w:marLeft w:val="0"/>
          <w:marRight w:val="0"/>
          <w:marTop w:val="0"/>
          <w:marBottom w:val="0"/>
          <w:divBdr>
            <w:top w:val="none" w:sz="0" w:space="0" w:color="auto"/>
            <w:left w:val="none" w:sz="0" w:space="0" w:color="auto"/>
            <w:bottom w:val="none" w:sz="0" w:space="0" w:color="auto"/>
            <w:right w:val="none" w:sz="0" w:space="0" w:color="auto"/>
          </w:divBdr>
          <w:divsChild>
            <w:div w:id="1626695389">
              <w:marLeft w:val="0"/>
              <w:marRight w:val="0"/>
              <w:marTop w:val="0"/>
              <w:marBottom w:val="0"/>
              <w:divBdr>
                <w:top w:val="none" w:sz="0" w:space="0" w:color="auto"/>
                <w:left w:val="none" w:sz="0" w:space="0" w:color="auto"/>
                <w:bottom w:val="none" w:sz="0" w:space="0" w:color="auto"/>
                <w:right w:val="none" w:sz="0" w:space="0" w:color="auto"/>
              </w:divBdr>
            </w:div>
          </w:divsChild>
        </w:div>
        <w:div w:id="1431319790">
          <w:marLeft w:val="0"/>
          <w:marRight w:val="0"/>
          <w:marTop w:val="0"/>
          <w:marBottom w:val="0"/>
          <w:divBdr>
            <w:top w:val="none" w:sz="0" w:space="0" w:color="auto"/>
            <w:left w:val="none" w:sz="0" w:space="0" w:color="auto"/>
            <w:bottom w:val="none" w:sz="0" w:space="0" w:color="auto"/>
            <w:right w:val="none" w:sz="0" w:space="0" w:color="auto"/>
          </w:divBdr>
        </w:div>
        <w:div w:id="2098164429">
          <w:marLeft w:val="0"/>
          <w:marRight w:val="0"/>
          <w:marTop w:val="0"/>
          <w:marBottom w:val="0"/>
          <w:divBdr>
            <w:top w:val="none" w:sz="0" w:space="0" w:color="auto"/>
            <w:left w:val="none" w:sz="0" w:space="0" w:color="auto"/>
            <w:bottom w:val="none" w:sz="0" w:space="0" w:color="auto"/>
            <w:right w:val="none" w:sz="0" w:space="0" w:color="auto"/>
          </w:divBdr>
          <w:divsChild>
            <w:div w:id="399862454">
              <w:marLeft w:val="0"/>
              <w:marRight w:val="360"/>
              <w:marTop w:val="0"/>
              <w:marBottom w:val="0"/>
              <w:divBdr>
                <w:top w:val="none" w:sz="0" w:space="0" w:color="auto"/>
                <w:left w:val="none" w:sz="0" w:space="0" w:color="auto"/>
                <w:bottom w:val="none" w:sz="0" w:space="0" w:color="auto"/>
                <w:right w:val="none" w:sz="0" w:space="0" w:color="auto"/>
              </w:divBdr>
            </w:div>
          </w:divsChild>
        </w:div>
        <w:div w:id="982975835">
          <w:marLeft w:val="0"/>
          <w:marRight w:val="0"/>
          <w:marTop w:val="0"/>
          <w:marBottom w:val="0"/>
          <w:divBdr>
            <w:top w:val="none" w:sz="0" w:space="0" w:color="auto"/>
            <w:left w:val="none" w:sz="0" w:space="0" w:color="auto"/>
            <w:bottom w:val="none" w:sz="0" w:space="0" w:color="auto"/>
            <w:right w:val="none" w:sz="0" w:space="0" w:color="auto"/>
          </w:divBdr>
          <w:divsChild>
            <w:div w:id="1008216569">
              <w:marLeft w:val="0"/>
              <w:marRight w:val="0"/>
              <w:marTop w:val="0"/>
              <w:marBottom w:val="0"/>
              <w:divBdr>
                <w:top w:val="none" w:sz="0" w:space="0" w:color="auto"/>
                <w:left w:val="none" w:sz="0" w:space="0" w:color="auto"/>
                <w:bottom w:val="none" w:sz="0" w:space="0" w:color="auto"/>
                <w:right w:val="none" w:sz="0" w:space="0" w:color="auto"/>
              </w:divBdr>
            </w:div>
          </w:divsChild>
        </w:div>
        <w:div w:id="126630847">
          <w:marLeft w:val="0"/>
          <w:marRight w:val="0"/>
          <w:marTop w:val="0"/>
          <w:marBottom w:val="0"/>
          <w:divBdr>
            <w:top w:val="none" w:sz="0" w:space="0" w:color="auto"/>
            <w:left w:val="none" w:sz="0" w:space="0" w:color="auto"/>
            <w:bottom w:val="none" w:sz="0" w:space="0" w:color="auto"/>
            <w:right w:val="none" w:sz="0" w:space="0" w:color="auto"/>
          </w:divBdr>
        </w:div>
        <w:div w:id="487869041">
          <w:marLeft w:val="0"/>
          <w:marRight w:val="0"/>
          <w:marTop w:val="0"/>
          <w:marBottom w:val="0"/>
          <w:divBdr>
            <w:top w:val="none" w:sz="0" w:space="0" w:color="auto"/>
            <w:left w:val="none" w:sz="0" w:space="0" w:color="auto"/>
            <w:bottom w:val="none" w:sz="0" w:space="0" w:color="auto"/>
            <w:right w:val="none" w:sz="0" w:space="0" w:color="auto"/>
          </w:divBdr>
          <w:divsChild>
            <w:div w:id="571307387">
              <w:marLeft w:val="0"/>
              <w:marRight w:val="360"/>
              <w:marTop w:val="0"/>
              <w:marBottom w:val="0"/>
              <w:divBdr>
                <w:top w:val="none" w:sz="0" w:space="0" w:color="auto"/>
                <w:left w:val="none" w:sz="0" w:space="0" w:color="auto"/>
                <w:bottom w:val="none" w:sz="0" w:space="0" w:color="auto"/>
                <w:right w:val="none" w:sz="0" w:space="0" w:color="auto"/>
              </w:divBdr>
            </w:div>
          </w:divsChild>
        </w:div>
        <w:div w:id="1783725765">
          <w:marLeft w:val="0"/>
          <w:marRight w:val="0"/>
          <w:marTop w:val="0"/>
          <w:marBottom w:val="0"/>
          <w:divBdr>
            <w:top w:val="none" w:sz="0" w:space="0" w:color="auto"/>
            <w:left w:val="none" w:sz="0" w:space="0" w:color="auto"/>
            <w:bottom w:val="none" w:sz="0" w:space="0" w:color="auto"/>
            <w:right w:val="none" w:sz="0" w:space="0" w:color="auto"/>
          </w:divBdr>
        </w:div>
        <w:div w:id="34351199">
          <w:marLeft w:val="0"/>
          <w:marRight w:val="0"/>
          <w:marTop w:val="0"/>
          <w:marBottom w:val="0"/>
          <w:divBdr>
            <w:top w:val="none" w:sz="0" w:space="0" w:color="auto"/>
            <w:left w:val="none" w:sz="0" w:space="0" w:color="auto"/>
            <w:bottom w:val="none" w:sz="0" w:space="0" w:color="auto"/>
            <w:right w:val="none" w:sz="0" w:space="0" w:color="auto"/>
          </w:divBdr>
        </w:div>
        <w:div w:id="1310555079">
          <w:marLeft w:val="0"/>
          <w:marRight w:val="0"/>
          <w:marTop w:val="0"/>
          <w:marBottom w:val="0"/>
          <w:divBdr>
            <w:top w:val="none" w:sz="0" w:space="0" w:color="auto"/>
            <w:left w:val="none" w:sz="0" w:space="0" w:color="auto"/>
            <w:bottom w:val="none" w:sz="0" w:space="0" w:color="auto"/>
            <w:right w:val="none" w:sz="0" w:space="0" w:color="auto"/>
          </w:divBdr>
          <w:divsChild>
            <w:div w:id="1754817318">
              <w:marLeft w:val="0"/>
              <w:marRight w:val="360"/>
              <w:marTop w:val="0"/>
              <w:marBottom w:val="0"/>
              <w:divBdr>
                <w:top w:val="none" w:sz="0" w:space="0" w:color="auto"/>
                <w:left w:val="none" w:sz="0" w:space="0" w:color="auto"/>
                <w:bottom w:val="none" w:sz="0" w:space="0" w:color="auto"/>
                <w:right w:val="none" w:sz="0" w:space="0" w:color="auto"/>
              </w:divBdr>
            </w:div>
          </w:divsChild>
        </w:div>
        <w:div w:id="1447584595">
          <w:marLeft w:val="0"/>
          <w:marRight w:val="0"/>
          <w:marTop w:val="0"/>
          <w:marBottom w:val="0"/>
          <w:divBdr>
            <w:top w:val="none" w:sz="0" w:space="0" w:color="auto"/>
            <w:left w:val="none" w:sz="0" w:space="0" w:color="auto"/>
            <w:bottom w:val="none" w:sz="0" w:space="0" w:color="auto"/>
            <w:right w:val="none" w:sz="0" w:space="0" w:color="auto"/>
          </w:divBdr>
          <w:divsChild>
            <w:div w:id="727146598">
              <w:marLeft w:val="0"/>
              <w:marRight w:val="0"/>
              <w:marTop w:val="0"/>
              <w:marBottom w:val="0"/>
              <w:divBdr>
                <w:top w:val="none" w:sz="0" w:space="0" w:color="auto"/>
                <w:left w:val="none" w:sz="0" w:space="0" w:color="auto"/>
                <w:bottom w:val="none" w:sz="0" w:space="0" w:color="auto"/>
                <w:right w:val="none" w:sz="0" w:space="0" w:color="auto"/>
              </w:divBdr>
            </w:div>
          </w:divsChild>
        </w:div>
        <w:div w:id="67193423">
          <w:marLeft w:val="0"/>
          <w:marRight w:val="0"/>
          <w:marTop w:val="0"/>
          <w:marBottom w:val="0"/>
          <w:divBdr>
            <w:top w:val="none" w:sz="0" w:space="0" w:color="auto"/>
            <w:left w:val="none" w:sz="0" w:space="0" w:color="auto"/>
            <w:bottom w:val="none" w:sz="0" w:space="0" w:color="auto"/>
            <w:right w:val="none" w:sz="0" w:space="0" w:color="auto"/>
          </w:divBdr>
        </w:div>
        <w:div w:id="1478378620">
          <w:marLeft w:val="0"/>
          <w:marRight w:val="0"/>
          <w:marTop w:val="0"/>
          <w:marBottom w:val="0"/>
          <w:divBdr>
            <w:top w:val="none" w:sz="0" w:space="0" w:color="auto"/>
            <w:left w:val="none" w:sz="0" w:space="0" w:color="auto"/>
            <w:bottom w:val="none" w:sz="0" w:space="0" w:color="auto"/>
            <w:right w:val="none" w:sz="0" w:space="0" w:color="auto"/>
          </w:divBdr>
        </w:div>
        <w:div w:id="1859343674">
          <w:marLeft w:val="0"/>
          <w:marRight w:val="0"/>
          <w:marTop w:val="0"/>
          <w:marBottom w:val="0"/>
          <w:divBdr>
            <w:top w:val="none" w:sz="0" w:space="0" w:color="auto"/>
            <w:left w:val="none" w:sz="0" w:space="0" w:color="auto"/>
            <w:bottom w:val="none" w:sz="0" w:space="0" w:color="auto"/>
            <w:right w:val="none" w:sz="0" w:space="0" w:color="auto"/>
          </w:divBdr>
          <w:divsChild>
            <w:div w:id="1390689627">
              <w:marLeft w:val="0"/>
              <w:marRight w:val="0"/>
              <w:marTop w:val="0"/>
              <w:marBottom w:val="0"/>
              <w:divBdr>
                <w:top w:val="none" w:sz="0" w:space="0" w:color="auto"/>
                <w:left w:val="none" w:sz="0" w:space="0" w:color="auto"/>
                <w:bottom w:val="none" w:sz="0" w:space="0" w:color="auto"/>
                <w:right w:val="none" w:sz="0" w:space="0" w:color="auto"/>
              </w:divBdr>
            </w:div>
          </w:divsChild>
        </w:div>
        <w:div w:id="1052273150">
          <w:marLeft w:val="0"/>
          <w:marRight w:val="0"/>
          <w:marTop w:val="0"/>
          <w:marBottom w:val="0"/>
          <w:divBdr>
            <w:top w:val="none" w:sz="0" w:space="0" w:color="auto"/>
            <w:left w:val="none" w:sz="0" w:space="0" w:color="auto"/>
            <w:bottom w:val="none" w:sz="0" w:space="0" w:color="auto"/>
            <w:right w:val="none" w:sz="0" w:space="0" w:color="auto"/>
          </w:divBdr>
        </w:div>
        <w:div w:id="1083841518">
          <w:marLeft w:val="0"/>
          <w:marRight w:val="0"/>
          <w:marTop w:val="0"/>
          <w:marBottom w:val="0"/>
          <w:divBdr>
            <w:top w:val="none" w:sz="0" w:space="0" w:color="auto"/>
            <w:left w:val="none" w:sz="0" w:space="0" w:color="auto"/>
            <w:bottom w:val="none" w:sz="0" w:space="0" w:color="auto"/>
            <w:right w:val="none" w:sz="0" w:space="0" w:color="auto"/>
          </w:divBdr>
          <w:divsChild>
            <w:div w:id="1714454205">
              <w:marLeft w:val="0"/>
              <w:marRight w:val="360"/>
              <w:marTop w:val="0"/>
              <w:marBottom w:val="0"/>
              <w:divBdr>
                <w:top w:val="none" w:sz="0" w:space="0" w:color="auto"/>
                <w:left w:val="none" w:sz="0" w:space="0" w:color="auto"/>
                <w:bottom w:val="none" w:sz="0" w:space="0" w:color="auto"/>
                <w:right w:val="none" w:sz="0" w:space="0" w:color="auto"/>
              </w:divBdr>
            </w:div>
          </w:divsChild>
        </w:div>
        <w:div w:id="1550343814">
          <w:marLeft w:val="0"/>
          <w:marRight w:val="0"/>
          <w:marTop w:val="0"/>
          <w:marBottom w:val="0"/>
          <w:divBdr>
            <w:top w:val="none" w:sz="0" w:space="0" w:color="auto"/>
            <w:left w:val="none" w:sz="0" w:space="0" w:color="auto"/>
            <w:bottom w:val="none" w:sz="0" w:space="0" w:color="auto"/>
            <w:right w:val="none" w:sz="0" w:space="0" w:color="auto"/>
          </w:divBdr>
          <w:divsChild>
            <w:div w:id="2045596870">
              <w:marLeft w:val="0"/>
              <w:marRight w:val="0"/>
              <w:marTop w:val="0"/>
              <w:marBottom w:val="0"/>
              <w:divBdr>
                <w:top w:val="none" w:sz="0" w:space="0" w:color="auto"/>
                <w:left w:val="none" w:sz="0" w:space="0" w:color="auto"/>
                <w:bottom w:val="none" w:sz="0" w:space="0" w:color="auto"/>
                <w:right w:val="none" w:sz="0" w:space="0" w:color="auto"/>
              </w:divBdr>
            </w:div>
          </w:divsChild>
        </w:div>
        <w:div w:id="1594164348">
          <w:marLeft w:val="0"/>
          <w:marRight w:val="0"/>
          <w:marTop w:val="0"/>
          <w:marBottom w:val="0"/>
          <w:divBdr>
            <w:top w:val="none" w:sz="0" w:space="0" w:color="auto"/>
            <w:left w:val="none" w:sz="0" w:space="0" w:color="auto"/>
            <w:bottom w:val="none" w:sz="0" w:space="0" w:color="auto"/>
            <w:right w:val="none" w:sz="0" w:space="0" w:color="auto"/>
          </w:divBdr>
        </w:div>
        <w:div w:id="257182274">
          <w:marLeft w:val="0"/>
          <w:marRight w:val="0"/>
          <w:marTop w:val="0"/>
          <w:marBottom w:val="0"/>
          <w:divBdr>
            <w:top w:val="none" w:sz="0" w:space="0" w:color="auto"/>
            <w:left w:val="none" w:sz="0" w:space="0" w:color="auto"/>
            <w:bottom w:val="none" w:sz="0" w:space="0" w:color="auto"/>
            <w:right w:val="none" w:sz="0" w:space="0" w:color="auto"/>
          </w:divBdr>
        </w:div>
        <w:div w:id="1862237367">
          <w:marLeft w:val="0"/>
          <w:marRight w:val="0"/>
          <w:marTop w:val="0"/>
          <w:marBottom w:val="0"/>
          <w:divBdr>
            <w:top w:val="none" w:sz="0" w:space="0" w:color="auto"/>
            <w:left w:val="none" w:sz="0" w:space="0" w:color="auto"/>
            <w:bottom w:val="none" w:sz="0" w:space="0" w:color="auto"/>
            <w:right w:val="none" w:sz="0" w:space="0" w:color="auto"/>
          </w:divBdr>
          <w:divsChild>
            <w:div w:id="1488937390">
              <w:marLeft w:val="0"/>
              <w:marRight w:val="0"/>
              <w:marTop w:val="0"/>
              <w:marBottom w:val="0"/>
              <w:divBdr>
                <w:top w:val="none" w:sz="0" w:space="0" w:color="auto"/>
                <w:left w:val="none" w:sz="0" w:space="0" w:color="auto"/>
                <w:bottom w:val="none" w:sz="0" w:space="0" w:color="auto"/>
                <w:right w:val="none" w:sz="0" w:space="0" w:color="auto"/>
              </w:divBdr>
            </w:div>
          </w:divsChild>
        </w:div>
        <w:div w:id="601567664">
          <w:marLeft w:val="0"/>
          <w:marRight w:val="0"/>
          <w:marTop w:val="0"/>
          <w:marBottom w:val="0"/>
          <w:divBdr>
            <w:top w:val="none" w:sz="0" w:space="0" w:color="auto"/>
            <w:left w:val="none" w:sz="0" w:space="0" w:color="auto"/>
            <w:bottom w:val="none" w:sz="0" w:space="0" w:color="auto"/>
            <w:right w:val="none" w:sz="0" w:space="0" w:color="auto"/>
          </w:divBdr>
        </w:div>
        <w:div w:id="1319109766">
          <w:marLeft w:val="0"/>
          <w:marRight w:val="0"/>
          <w:marTop w:val="0"/>
          <w:marBottom w:val="0"/>
          <w:divBdr>
            <w:top w:val="none" w:sz="0" w:space="0" w:color="auto"/>
            <w:left w:val="none" w:sz="0" w:space="0" w:color="auto"/>
            <w:bottom w:val="none" w:sz="0" w:space="0" w:color="auto"/>
            <w:right w:val="none" w:sz="0" w:space="0" w:color="auto"/>
          </w:divBdr>
          <w:divsChild>
            <w:div w:id="1236866208">
              <w:marLeft w:val="0"/>
              <w:marRight w:val="360"/>
              <w:marTop w:val="0"/>
              <w:marBottom w:val="0"/>
              <w:divBdr>
                <w:top w:val="none" w:sz="0" w:space="0" w:color="auto"/>
                <w:left w:val="none" w:sz="0" w:space="0" w:color="auto"/>
                <w:bottom w:val="none" w:sz="0" w:space="0" w:color="auto"/>
                <w:right w:val="none" w:sz="0" w:space="0" w:color="auto"/>
              </w:divBdr>
            </w:div>
          </w:divsChild>
        </w:div>
        <w:div w:id="1093862145">
          <w:marLeft w:val="0"/>
          <w:marRight w:val="0"/>
          <w:marTop w:val="0"/>
          <w:marBottom w:val="0"/>
          <w:divBdr>
            <w:top w:val="none" w:sz="0" w:space="0" w:color="auto"/>
            <w:left w:val="none" w:sz="0" w:space="0" w:color="auto"/>
            <w:bottom w:val="none" w:sz="0" w:space="0" w:color="auto"/>
            <w:right w:val="none" w:sz="0" w:space="0" w:color="auto"/>
          </w:divBdr>
          <w:divsChild>
            <w:div w:id="123743140">
              <w:marLeft w:val="0"/>
              <w:marRight w:val="0"/>
              <w:marTop w:val="0"/>
              <w:marBottom w:val="0"/>
              <w:divBdr>
                <w:top w:val="none" w:sz="0" w:space="0" w:color="auto"/>
                <w:left w:val="none" w:sz="0" w:space="0" w:color="auto"/>
                <w:bottom w:val="none" w:sz="0" w:space="0" w:color="auto"/>
                <w:right w:val="none" w:sz="0" w:space="0" w:color="auto"/>
              </w:divBdr>
            </w:div>
          </w:divsChild>
        </w:div>
        <w:div w:id="1081869850">
          <w:marLeft w:val="0"/>
          <w:marRight w:val="0"/>
          <w:marTop w:val="0"/>
          <w:marBottom w:val="0"/>
          <w:divBdr>
            <w:top w:val="none" w:sz="0" w:space="0" w:color="auto"/>
            <w:left w:val="none" w:sz="0" w:space="0" w:color="auto"/>
            <w:bottom w:val="none" w:sz="0" w:space="0" w:color="auto"/>
            <w:right w:val="none" w:sz="0" w:space="0" w:color="auto"/>
          </w:divBdr>
        </w:div>
        <w:div w:id="1086415653">
          <w:marLeft w:val="0"/>
          <w:marRight w:val="0"/>
          <w:marTop w:val="0"/>
          <w:marBottom w:val="0"/>
          <w:divBdr>
            <w:top w:val="none" w:sz="0" w:space="0" w:color="auto"/>
            <w:left w:val="none" w:sz="0" w:space="0" w:color="auto"/>
            <w:bottom w:val="none" w:sz="0" w:space="0" w:color="auto"/>
            <w:right w:val="none" w:sz="0" w:space="0" w:color="auto"/>
          </w:divBdr>
          <w:divsChild>
            <w:div w:id="262154047">
              <w:marLeft w:val="0"/>
              <w:marRight w:val="360"/>
              <w:marTop w:val="0"/>
              <w:marBottom w:val="0"/>
              <w:divBdr>
                <w:top w:val="none" w:sz="0" w:space="0" w:color="auto"/>
                <w:left w:val="none" w:sz="0" w:space="0" w:color="auto"/>
                <w:bottom w:val="none" w:sz="0" w:space="0" w:color="auto"/>
                <w:right w:val="none" w:sz="0" w:space="0" w:color="auto"/>
              </w:divBdr>
            </w:div>
          </w:divsChild>
        </w:div>
        <w:div w:id="1483421711">
          <w:marLeft w:val="0"/>
          <w:marRight w:val="0"/>
          <w:marTop w:val="0"/>
          <w:marBottom w:val="0"/>
          <w:divBdr>
            <w:top w:val="none" w:sz="0" w:space="0" w:color="auto"/>
            <w:left w:val="none" w:sz="0" w:space="0" w:color="auto"/>
            <w:bottom w:val="none" w:sz="0" w:space="0" w:color="auto"/>
            <w:right w:val="none" w:sz="0" w:space="0" w:color="auto"/>
          </w:divBdr>
          <w:divsChild>
            <w:div w:id="609167201">
              <w:marLeft w:val="0"/>
              <w:marRight w:val="0"/>
              <w:marTop w:val="0"/>
              <w:marBottom w:val="0"/>
              <w:divBdr>
                <w:top w:val="none" w:sz="0" w:space="0" w:color="auto"/>
                <w:left w:val="none" w:sz="0" w:space="0" w:color="auto"/>
                <w:bottom w:val="none" w:sz="0" w:space="0" w:color="auto"/>
                <w:right w:val="none" w:sz="0" w:space="0" w:color="auto"/>
              </w:divBdr>
            </w:div>
          </w:divsChild>
        </w:div>
        <w:div w:id="490679282">
          <w:marLeft w:val="0"/>
          <w:marRight w:val="0"/>
          <w:marTop w:val="0"/>
          <w:marBottom w:val="0"/>
          <w:divBdr>
            <w:top w:val="none" w:sz="0" w:space="0" w:color="auto"/>
            <w:left w:val="none" w:sz="0" w:space="0" w:color="auto"/>
            <w:bottom w:val="none" w:sz="0" w:space="0" w:color="auto"/>
            <w:right w:val="none" w:sz="0" w:space="0" w:color="auto"/>
          </w:divBdr>
        </w:div>
        <w:div w:id="97069524">
          <w:marLeft w:val="0"/>
          <w:marRight w:val="0"/>
          <w:marTop w:val="0"/>
          <w:marBottom w:val="0"/>
          <w:divBdr>
            <w:top w:val="none" w:sz="0" w:space="0" w:color="auto"/>
            <w:left w:val="none" w:sz="0" w:space="0" w:color="auto"/>
            <w:bottom w:val="none" w:sz="0" w:space="0" w:color="auto"/>
            <w:right w:val="none" w:sz="0" w:space="0" w:color="auto"/>
          </w:divBdr>
          <w:divsChild>
            <w:div w:id="106313175">
              <w:marLeft w:val="0"/>
              <w:marRight w:val="360"/>
              <w:marTop w:val="0"/>
              <w:marBottom w:val="0"/>
              <w:divBdr>
                <w:top w:val="none" w:sz="0" w:space="0" w:color="auto"/>
                <w:left w:val="none" w:sz="0" w:space="0" w:color="auto"/>
                <w:bottom w:val="none" w:sz="0" w:space="0" w:color="auto"/>
                <w:right w:val="none" w:sz="0" w:space="0" w:color="auto"/>
              </w:divBdr>
            </w:div>
          </w:divsChild>
        </w:div>
        <w:div w:id="1278754200">
          <w:marLeft w:val="0"/>
          <w:marRight w:val="0"/>
          <w:marTop w:val="0"/>
          <w:marBottom w:val="0"/>
          <w:divBdr>
            <w:top w:val="none" w:sz="0" w:space="0" w:color="auto"/>
            <w:left w:val="none" w:sz="0" w:space="0" w:color="auto"/>
            <w:bottom w:val="none" w:sz="0" w:space="0" w:color="auto"/>
            <w:right w:val="none" w:sz="0" w:space="0" w:color="auto"/>
          </w:divBdr>
          <w:divsChild>
            <w:div w:id="1265385849">
              <w:marLeft w:val="0"/>
              <w:marRight w:val="0"/>
              <w:marTop w:val="0"/>
              <w:marBottom w:val="0"/>
              <w:divBdr>
                <w:top w:val="none" w:sz="0" w:space="0" w:color="auto"/>
                <w:left w:val="none" w:sz="0" w:space="0" w:color="auto"/>
                <w:bottom w:val="none" w:sz="0" w:space="0" w:color="auto"/>
                <w:right w:val="none" w:sz="0" w:space="0" w:color="auto"/>
              </w:divBdr>
            </w:div>
          </w:divsChild>
        </w:div>
        <w:div w:id="406347851">
          <w:marLeft w:val="0"/>
          <w:marRight w:val="0"/>
          <w:marTop w:val="0"/>
          <w:marBottom w:val="0"/>
          <w:divBdr>
            <w:top w:val="none" w:sz="0" w:space="0" w:color="auto"/>
            <w:left w:val="none" w:sz="0" w:space="0" w:color="auto"/>
            <w:bottom w:val="none" w:sz="0" w:space="0" w:color="auto"/>
            <w:right w:val="none" w:sz="0" w:space="0" w:color="auto"/>
          </w:divBdr>
        </w:div>
        <w:div w:id="2136482742">
          <w:marLeft w:val="0"/>
          <w:marRight w:val="0"/>
          <w:marTop w:val="0"/>
          <w:marBottom w:val="0"/>
          <w:divBdr>
            <w:top w:val="none" w:sz="0" w:space="0" w:color="auto"/>
            <w:left w:val="none" w:sz="0" w:space="0" w:color="auto"/>
            <w:bottom w:val="none" w:sz="0" w:space="0" w:color="auto"/>
            <w:right w:val="none" w:sz="0" w:space="0" w:color="auto"/>
          </w:divBdr>
          <w:divsChild>
            <w:div w:id="1168667786">
              <w:marLeft w:val="0"/>
              <w:marRight w:val="360"/>
              <w:marTop w:val="0"/>
              <w:marBottom w:val="0"/>
              <w:divBdr>
                <w:top w:val="none" w:sz="0" w:space="0" w:color="auto"/>
                <w:left w:val="none" w:sz="0" w:space="0" w:color="auto"/>
                <w:bottom w:val="none" w:sz="0" w:space="0" w:color="auto"/>
                <w:right w:val="none" w:sz="0" w:space="0" w:color="auto"/>
              </w:divBdr>
            </w:div>
          </w:divsChild>
        </w:div>
        <w:div w:id="2066638804">
          <w:marLeft w:val="0"/>
          <w:marRight w:val="0"/>
          <w:marTop w:val="0"/>
          <w:marBottom w:val="0"/>
          <w:divBdr>
            <w:top w:val="none" w:sz="0" w:space="0" w:color="auto"/>
            <w:left w:val="none" w:sz="0" w:space="0" w:color="auto"/>
            <w:bottom w:val="none" w:sz="0" w:space="0" w:color="auto"/>
            <w:right w:val="none" w:sz="0" w:space="0" w:color="auto"/>
          </w:divBdr>
          <w:divsChild>
            <w:div w:id="273751612">
              <w:marLeft w:val="0"/>
              <w:marRight w:val="0"/>
              <w:marTop w:val="0"/>
              <w:marBottom w:val="0"/>
              <w:divBdr>
                <w:top w:val="none" w:sz="0" w:space="0" w:color="auto"/>
                <w:left w:val="none" w:sz="0" w:space="0" w:color="auto"/>
                <w:bottom w:val="none" w:sz="0" w:space="0" w:color="auto"/>
                <w:right w:val="none" w:sz="0" w:space="0" w:color="auto"/>
              </w:divBdr>
            </w:div>
          </w:divsChild>
        </w:div>
        <w:div w:id="1423453392">
          <w:marLeft w:val="0"/>
          <w:marRight w:val="0"/>
          <w:marTop w:val="0"/>
          <w:marBottom w:val="0"/>
          <w:divBdr>
            <w:top w:val="none" w:sz="0" w:space="0" w:color="auto"/>
            <w:left w:val="none" w:sz="0" w:space="0" w:color="auto"/>
            <w:bottom w:val="none" w:sz="0" w:space="0" w:color="auto"/>
            <w:right w:val="none" w:sz="0" w:space="0" w:color="auto"/>
          </w:divBdr>
        </w:div>
        <w:div w:id="1322734057">
          <w:marLeft w:val="0"/>
          <w:marRight w:val="0"/>
          <w:marTop w:val="0"/>
          <w:marBottom w:val="0"/>
          <w:divBdr>
            <w:top w:val="none" w:sz="0" w:space="0" w:color="auto"/>
            <w:left w:val="none" w:sz="0" w:space="0" w:color="auto"/>
            <w:bottom w:val="none" w:sz="0" w:space="0" w:color="auto"/>
            <w:right w:val="none" w:sz="0" w:space="0" w:color="auto"/>
          </w:divBdr>
        </w:div>
        <w:div w:id="1417483503">
          <w:marLeft w:val="0"/>
          <w:marRight w:val="0"/>
          <w:marTop w:val="0"/>
          <w:marBottom w:val="0"/>
          <w:divBdr>
            <w:top w:val="none" w:sz="0" w:space="0" w:color="auto"/>
            <w:left w:val="none" w:sz="0" w:space="0" w:color="auto"/>
            <w:bottom w:val="none" w:sz="0" w:space="0" w:color="auto"/>
            <w:right w:val="none" w:sz="0" w:space="0" w:color="auto"/>
          </w:divBdr>
          <w:divsChild>
            <w:div w:id="2029716936">
              <w:marLeft w:val="0"/>
              <w:marRight w:val="0"/>
              <w:marTop w:val="0"/>
              <w:marBottom w:val="0"/>
              <w:divBdr>
                <w:top w:val="none" w:sz="0" w:space="0" w:color="auto"/>
                <w:left w:val="none" w:sz="0" w:space="0" w:color="auto"/>
                <w:bottom w:val="none" w:sz="0" w:space="0" w:color="auto"/>
                <w:right w:val="none" w:sz="0" w:space="0" w:color="auto"/>
              </w:divBdr>
            </w:div>
          </w:divsChild>
        </w:div>
        <w:div w:id="362175686">
          <w:marLeft w:val="0"/>
          <w:marRight w:val="0"/>
          <w:marTop w:val="0"/>
          <w:marBottom w:val="0"/>
          <w:divBdr>
            <w:top w:val="none" w:sz="0" w:space="0" w:color="auto"/>
            <w:left w:val="none" w:sz="0" w:space="0" w:color="auto"/>
            <w:bottom w:val="none" w:sz="0" w:space="0" w:color="auto"/>
            <w:right w:val="none" w:sz="0" w:space="0" w:color="auto"/>
          </w:divBdr>
        </w:div>
        <w:div w:id="1839422291">
          <w:marLeft w:val="0"/>
          <w:marRight w:val="0"/>
          <w:marTop w:val="0"/>
          <w:marBottom w:val="0"/>
          <w:divBdr>
            <w:top w:val="none" w:sz="0" w:space="0" w:color="auto"/>
            <w:left w:val="none" w:sz="0" w:space="0" w:color="auto"/>
            <w:bottom w:val="none" w:sz="0" w:space="0" w:color="auto"/>
            <w:right w:val="none" w:sz="0" w:space="0" w:color="auto"/>
          </w:divBdr>
          <w:divsChild>
            <w:div w:id="1235815534">
              <w:marLeft w:val="0"/>
              <w:marRight w:val="360"/>
              <w:marTop w:val="0"/>
              <w:marBottom w:val="0"/>
              <w:divBdr>
                <w:top w:val="none" w:sz="0" w:space="0" w:color="auto"/>
                <w:left w:val="none" w:sz="0" w:space="0" w:color="auto"/>
                <w:bottom w:val="none" w:sz="0" w:space="0" w:color="auto"/>
                <w:right w:val="none" w:sz="0" w:space="0" w:color="auto"/>
              </w:divBdr>
            </w:div>
          </w:divsChild>
        </w:div>
        <w:div w:id="814376031">
          <w:marLeft w:val="0"/>
          <w:marRight w:val="0"/>
          <w:marTop w:val="0"/>
          <w:marBottom w:val="0"/>
          <w:divBdr>
            <w:top w:val="none" w:sz="0" w:space="0" w:color="auto"/>
            <w:left w:val="none" w:sz="0" w:space="0" w:color="auto"/>
            <w:bottom w:val="none" w:sz="0" w:space="0" w:color="auto"/>
            <w:right w:val="none" w:sz="0" w:space="0" w:color="auto"/>
          </w:divBdr>
          <w:divsChild>
            <w:div w:id="581375039">
              <w:marLeft w:val="0"/>
              <w:marRight w:val="0"/>
              <w:marTop w:val="0"/>
              <w:marBottom w:val="0"/>
              <w:divBdr>
                <w:top w:val="none" w:sz="0" w:space="0" w:color="auto"/>
                <w:left w:val="none" w:sz="0" w:space="0" w:color="auto"/>
                <w:bottom w:val="none" w:sz="0" w:space="0" w:color="auto"/>
                <w:right w:val="none" w:sz="0" w:space="0" w:color="auto"/>
              </w:divBdr>
            </w:div>
          </w:divsChild>
        </w:div>
        <w:div w:id="711685789">
          <w:marLeft w:val="0"/>
          <w:marRight w:val="0"/>
          <w:marTop w:val="0"/>
          <w:marBottom w:val="0"/>
          <w:divBdr>
            <w:top w:val="none" w:sz="0" w:space="0" w:color="auto"/>
            <w:left w:val="none" w:sz="0" w:space="0" w:color="auto"/>
            <w:bottom w:val="none" w:sz="0" w:space="0" w:color="auto"/>
            <w:right w:val="none" w:sz="0" w:space="0" w:color="auto"/>
          </w:divBdr>
        </w:div>
        <w:div w:id="51970410">
          <w:marLeft w:val="0"/>
          <w:marRight w:val="0"/>
          <w:marTop w:val="0"/>
          <w:marBottom w:val="0"/>
          <w:divBdr>
            <w:top w:val="none" w:sz="0" w:space="0" w:color="auto"/>
            <w:left w:val="none" w:sz="0" w:space="0" w:color="auto"/>
            <w:bottom w:val="none" w:sz="0" w:space="0" w:color="auto"/>
            <w:right w:val="none" w:sz="0" w:space="0" w:color="auto"/>
          </w:divBdr>
        </w:div>
        <w:div w:id="198130852">
          <w:marLeft w:val="0"/>
          <w:marRight w:val="0"/>
          <w:marTop w:val="0"/>
          <w:marBottom w:val="0"/>
          <w:divBdr>
            <w:top w:val="none" w:sz="0" w:space="0" w:color="auto"/>
            <w:left w:val="none" w:sz="0" w:space="0" w:color="auto"/>
            <w:bottom w:val="none" w:sz="0" w:space="0" w:color="auto"/>
            <w:right w:val="none" w:sz="0" w:space="0" w:color="auto"/>
          </w:divBdr>
          <w:divsChild>
            <w:div w:id="1125588174">
              <w:marLeft w:val="0"/>
              <w:marRight w:val="0"/>
              <w:marTop w:val="0"/>
              <w:marBottom w:val="0"/>
              <w:divBdr>
                <w:top w:val="none" w:sz="0" w:space="0" w:color="auto"/>
                <w:left w:val="none" w:sz="0" w:space="0" w:color="auto"/>
                <w:bottom w:val="none" w:sz="0" w:space="0" w:color="auto"/>
                <w:right w:val="none" w:sz="0" w:space="0" w:color="auto"/>
              </w:divBdr>
            </w:div>
          </w:divsChild>
        </w:div>
        <w:div w:id="13071595">
          <w:marLeft w:val="0"/>
          <w:marRight w:val="0"/>
          <w:marTop w:val="0"/>
          <w:marBottom w:val="0"/>
          <w:divBdr>
            <w:top w:val="none" w:sz="0" w:space="0" w:color="auto"/>
            <w:left w:val="none" w:sz="0" w:space="0" w:color="auto"/>
            <w:bottom w:val="none" w:sz="0" w:space="0" w:color="auto"/>
            <w:right w:val="none" w:sz="0" w:space="0" w:color="auto"/>
          </w:divBdr>
        </w:div>
        <w:div w:id="882210247">
          <w:marLeft w:val="0"/>
          <w:marRight w:val="0"/>
          <w:marTop w:val="0"/>
          <w:marBottom w:val="0"/>
          <w:divBdr>
            <w:top w:val="none" w:sz="0" w:space="0" w:color="auto"/>
            <w:left w:val="none" w:sz="0" w:space="0" w:color="auto"/>
            <w:bottom w:val="none" w:sz="0" w:space="0" w:color="auto"/>
            <w:right w:val="none" w:sz="0" w:space="0" w:color="auto"/>
          </w:divBdr>
          <w:divsChild>
            <w:div w:id="116334645">
              <w:marLeft w:val="0"/>
              <w:marRight w:val="360"/>
              <w:marTop w:val="0"/>
              <w:marBottom w:val="0"/>
              <w:divBdr>
                <w:top w:val="none" w:sz="0" w:space="0" w:color="auto"/>
                <w:left w:val="none" w:sz="0" w:space="0" w:color="auto"/>
                <w:bottom w:val="none" w:sz="0" w:space="0" w:color="auto"/>
                <w:right w:val="none" w:sz="0" w:space="0" w:color="auto"/>
              </w:divBdr>
            </w:div>
          </w:divsChild>
        </w:div>
        <w:div w:id="1391533163">
          <w:marLeft w:val="0"/>
          <w:marRight w:val="0"/>
          <w:marTop w:val="0"/>
          <w:marBottom w:val="0"/>
          <w:divBdr>
            <w:top w:val="none" w:sz="0" w:space="0" w:color="auto"/>
            <w:left w:val="none" w:sz="0" w:space="0" w:color="auto"/>
            <w:bottom w:val="none" w:sz="0" w:space="0" w:color="auto"/>
            <w:right w:val="none" w:sz="0" w:space="0" w:color="auto"/>
          </w:divBdr>
          <w:divsChild>
            <w:div w:id="216818197">
              <w:marLeft w:val="0"/>
              <w:marRight w:val="0"/>
              <w:marTop w:val="0"/>
              <w:marBottom w:val="0"/>
              <w:divBdr>
                <w:top w:val="none" w:sz="0" w:space="0" w:color="auto"/>
                <w:left w:val="none" w:sz="0" w:space="0" w:color="auto"/>
                <w:bottom w:val="none" w:sz="0" w:space="0" w:color="auto"/>
                <w:right w:val="none" w:sz="0" w:space="0" w:color="auto"/>
              </w:divBdr>
            </w:div>
          </w:divsChild>
        </w:div>
        <w:div w:id="873075306">
          <w:marLeft w:val="0"/>
          <w:marRight w:val="0"/>
          <w:marTop w:val="0"/>
          <w:marBottom w:val="0"/>
          <w:divBdr>
            <w:top w:val="none" w:sz="0" w:space="0" w:color="auto"/>
            <w:left w:val="none" w:sz="0" w:space="0" w:color="auto"/>
            <w:bottom w:val="none" w:sz="0" w:space="0" w:color="auto"/>
            <w:right w:val="none" w:sz="0" w:space="0" w:color="auto"/>
          </w:divBdr>
        </w:div>
        <w:div w:id="1542207974">
          <w:marLeft w:val="0"/>
          <w:marRight w:val="0"/>
          <w:marTop w:val="0"/>
          <w:marBottom w:val="0"/>
          <w:divBdr>
            <w:top w:val="none" w:sz="0" w:space="0" w:color="auto"/>
            <w:left w:val="none" w:sz="0" w:space="0" w:color="auto"/>
            <w:bottom w:val="none" w:sz="0" w:space="0" w:color="auto"/>
            <w:right w:val="none" w:sz="0" w:space="0" w:color="auto"/>
          </w:divBdr>
          <w:divsChild>
            <w:div w:id="1794669752">
              <w:marLeft w:val="0"/>
              <w:marRight w:val="360"/>
              <w:marTop w:val="0"/>
              <w:marBottom w:val="0"/>
              <w:divBdr>
                <w:top w:val="none" w:sz="0" w:space="0" w:color="auto"/>
                <w:left w:val="none" w:sz="0" w:space="0" w:color="auto"/>
                <w:bottom w:val="none" w:sz="0" w:space="0" w:color="auto"/>
                <w:right w:val="none" w:sz="0" w:space="0" w:color="auto"/>
              </w:divBdr>
            </w:div>
          </w:divsChild>
        </w:div>
        <w:div w:id="1024405940">
          <w:marLeft w:val="0"/>
          <w:marRight w:val="0"/>
          <w:marTop w:val="0"/>
          <w:marBottom w:val="0"/>
          <w:divBdr>
            <w:top w:val="none" w:sz="0" w:space="0" w:color="auto"/>
            <w:left w:val="none" w:sz="0" w:space="0" w:color="auto"/>
            <w:bottom w:val="none" w:sz="0" w:space="0" w:color="auto"/>
            <w:right w:val="none" w:sz="0" w:space="0" w:color="auto"/>
          </w:divBdr>
          <w:divsChild>
            <w:div w:id="1177694887">
              <w:marLeft w:val="0"/>
              <w:marRight w:val="0"/>
              <w:marTop w:val="0"/>
              <w:marBottom w:val="0"/>
              <w:divBdr>
                <w:top w:val="none" w:sz="0" w:space="0" w:color="auto"/>
                <w:left w:val="none" w:sz="0" w:space="0" w:color="auto"/>
                <w:bottom w:val="none" w:sz="0" w:space="0" w:color="auto"/>
                <w:right w:val="none" w:sz="0" w:space="0" w:color="auto"/>
              </w:divBdr>
            </w:div>
          </w:divsChild>
        </w:div>
        <w:div w:id="1518621298">
          <w:marLeft w:val="0"/>
          <w:marRight w:val="0"/>
          <w:marTop w:val="0"/>
          <w:marBottom w:val="0"/>
          <w:divBdr>
            <w:top w:val="none" w:sz="0" w:space="0" w:color="auto"/>
            <w:left w:val="none" w:sz="0" w:space="0" w:color="auto"/>
            <w:bottom w:val="none" w:sz="0" w:space="0" w:color="auto"/>
            <w:right w:val="none" w:sz="0" w:space="0" w:color="auto"/>
          </w:divBdr>
        </w:div>
        <w:div w:id="406805260">
          <w:marLeft w:val="0"/>
          <w:marRight w:val="0"/>
          <w:marTop w:val="0"/>
          <w:marBottom w:val="0"/>
          <w:divBdr>
            <w:top w:val="none" w:sz="0" w:space="0" w:color="auto"/>
            <w:left w:val="none" w:sz="0" w:space="0" w:color="auto"/>
            <w:bottom w:val="none" w:sz="0" w:space="0" w:color="auto"/>
            <w:right w:val="none" w:sz="0" w:space="0" w:color="auto"/>
          </w:divBdr>
          <w:divsChild>
            <w:div w:id="173107428">
              <w:marLeft w:val="0"/>
              <w:marRight w:val="360"/>
              <w:marTop w:val="0"/>
              <w:marBottom w:val="0"/>
              <w:divBdr>
                <w:top w:val="none" w:sz="0" w:space="0" w:color="auto"/>
                <w:left w:val="none" w:sz="0" w:space="0" w:color="auto"/>
                <w:bottom w:val="none" w:sz="0" w:space="0" w:color="auto"/>
                <w:right w:val="none" w:sz="0" w:space="0" w:color="auto"/>
              </w:divBdr>
            </w:div>
          </w:divsChild>
        </w:div>
        <w:div w:id="717246284">
          <w:marLeft w:val="0"/>
          <w:marRight w:val="0"/>
          <w:marTop w:val="0"/>
          <w:marBottom w:val="0"/>
          <w:divBdr>
            <w:top w:val="none" w:sz="0" w:space="0" w:color="auto"/>
            <w:left w:val="none" w:sz="0" w:space="0" w:color="auto"/>
            <w:bottom w:val="none" w:sz="0" w:space="0" w:color="auto"/>
            <w:right w:val="none" w:sz="0" w:space="0" w:color="auto"/>
          </w:divBdr>
          <w:divsChild>
            <w:div w:id="261646368">
              <w:marLeft w:val="0"/>
              <w:marRight w:val="0"/>
              <w:marTop w:val="0"/>
              <w:marBottom w:val="0"/>
              <w:divBdr>
                <w:top w:val="none" w:sz="0" w:space="0" w:color="auto"/>
                <w:left w:val="none" w:sz="0" w:space="0" w:color="auto"/>
                <w:bottom w:val="none" w:sz="0" w:space="0" w:color="auto"/>
                <w:right w:val="none" w:sz="0" w:space="0" w:color="auto"/>
              </w:divBdr>
            </w:div>
          </w:divsChild>
        </w:div>
        <w:div w:id="1226454342">
          <w:marLeft w:val="0"/>
          <w:marRight w:val="0"/>
          <w:marTop w:val="0"/>
          <w:marBottom w:val="0"/>
          <w:divBdr>
            <w:top w:val="none" w:sz="0" w:space="0" w:color="auto"/>
            <w:left w:val="none" w:sz="0" w:space="0" w:color="auto"/>
            <w:bottom w:val="none" w:sz="0" w:space="0" w:color="auto"/>
            <w:right w:val="none" w:sz="0" w:space="0" w:color="auto"/>
          </w:divBdr>
        </w:div>
        <w:div w:id="699431987">
          <w:marLeft w:val="0"/>
          <w:marRight w:val="0"/>
          <w:marTop w:val="0"/>
          <w:marBottom w:val="0"/>
          <w:divBdr>
            <w:top w:val="none" w:sz="0" w:space="0" w:color="auto"/>
            <w:left w:val="none" w:sz="0" w:space="0" w:color="auto"/>
            <w:bottom w:val="none" w:sz="0" w:space="0" w:color="auto"/>
            <w:right w:val="none" w:sz="0" w:space="0" w:color="auto"/>
          </w:divBdr>
          <w:divsChild>
            <w:div w:id="1430662992">
              <w:marLeft w:val="0"/>
              <w:marRight w:val="360"/>
              <w:marTop w:val="0"/>
              <w:marBottom w:val="0"/>
              <w:divBdr>
                <w:top w:val="none" w:sz="0" w:space="0" w:color="auto"/>
                <w:left w:val="none" w:sz="0" w:space="0" w:color="auto"/>
                <w:bottom w:val="none" w:sz="0" w:space="0" w:color="auto"/>
                <w:right w:val="none" w:sz="0" w:space="0" w:color="auto"/>
              </w:divBdr>
            </w:div>
          </w:divsChild>
        </w:div>
        <w:div w:id="1938295078">
          <w:marLeft w:val="0"/>
          <w:marRight w:val="0"/>
          <w:marTop w:val="0"/>
          <w:marBottom w:val="0"/>
          <w:divBdr>
            <w:top w:val="none" w:sz="0" w:space="0" w:color="auto"/>
            <w:left w:val="none" w:sz="0" w:space="0" w:color="auto"/>
            <w:bottom w:val="none" w:sz="0" w:space="0" w:color="auto"/>
            <w:right w:val="none" w:sz="0" w:space="0" w:color="auto"/>
          </w:divBdr>
          <w:divsChild>
            <w:div w:id="1883712308">
              <w:marLeft w:val="0"/>
              <w:marRight w:val="0"/>
              <w:marTop w:val="0"/>
              <w:marBottom w:val="0"/>
              <w:divBdr>
                <w:top w:val="none" w:sz="0" w:space="0" w:color="auto"/>
                <w:left w:val="none" w:sz="0" w:space="0" w:color="auto"/>
                <w:bottom w:val="none" w:sz="0" w:space="0" w:color="auto"/>
                <w:right w:val="none" w:sz="0" w:space="0" w:color="auto"/>
              </w:divBdr>
            </w:div>
          </w:divsChild>
        </w:div>
        <w:div w:id="1956979211">
          <w:marLeft w:val="0"/>
          <w:marRight w:val="0"/>
          <w:marTop w:val="0"/>
          <w:marBottom w:val="0"/>
          <w:divBdr>
            <w:top w:val="none" w:sz="0" w:space="0" w:color="auto"/>
            <w:left w:val="none" w:sz="0" w:space="0" w:color="auto"/>
            <w:bottom w:val="none" w:sz="0" w:space="0" w:color="auto"/>
            <w:right w:val="none" w:sz="0" w:space="0" w:color="auto"/>
          </w:divBdr>
        </w:div>
        <w:div w:id="1673289945">
          <w:marLeft w:val="0"/>
          <w:marRight w:val="0"/>
          <w:marTop w:val="0"/>
          <w:marBottom w:val="0"/>
          <w:divBdr>
            <w:top w:val="none" w:sz="0" w:space="0" w:color="auto"/>
            <w:left w:val="none" w:sz="0" w:space="0" w:color="auto"/>
            <w:bottom w:val="none" w:sz="0" w:space="0" w:color="auto"/>
            <w:right w:val="none" w:sz="0" w:space="0" w:color="auto"/>
          </w:divBdr>
          <w:divsChild>
            <w:div w:id="620381395">
              <w:marLeft w:val="0"/>
              <w:marRight w:val="360"/>
              <w:marTop w:val="0"/>
              <w:marBottom w:val="0"/>
              <w:divBdr>
                <w:top w:val="none" w:sz="0" w:space="0" w:color="auto"/>
                <w:left w:val="none" w:sz="0" w:space="0" w:color="auto"/>
                <w:bottom w:val="none" w:sz="0" w:space="0" w:color="auto"/>
                <w:right w:val="none" w:sz="0" w:space="0" w:color="auto"/>
              </w:divBdr>
            </w:div>
          </w:divsChild>
        </w:div>
        <w:div w:id="1051463535">
          <w:marLeft w:val="0"/>
          <w:marRight w:val="0"/>
          <w:marTop w:val="0"/>
          <w:marBottom w:val="0"/>
          <w:divBdr>
            <w:top w:val="none" w:sz="0" w:space="0" w:color="auto"/>
            <w:left w:val="none" w:sz="0" w:space="0" w:color="auto"/>
            <w:bottom w:val="none" w:sz="0" w:space="0" w:color="auto"/>
            <w:right w:val="none" w:sz="0" w:space="0" w:color="auto"/>
          </w:divBdr>
          <w:divsChild>
            <w:div w:id="352389779">
              <w:marLeft w:val="0"/>
              <w:marRight w:val="0"/>
              <w:marTop w:val="0"/>
              <w:marBottom w:val="0"/>
              <w:divBdr>
                <w:top w:val="none" w:sz="0" w:space="0" w:color="auto"/>
                <w:left w:val="none" w:sz="0" w:space="0" w:color="auto"/>
                <w:bottom w:val="none" w:sz="0" w:space="0" w:color="auto"/>
                <w:right w:val="none" w:sz="0" w:space="0" w:color="auto"/>
              </w:divBdr>
            </w:div>
          </w:divsChild>
        </w:div>
        <w:div w:id="516120287">
          <w:marLeft w:val="0"/>
          <w:marRight w:val="0"/>
          <w:marTop w:val="0"/>
          <w:marBottom w:val="0"/>
          <w:divBdr>
            <w:top w:val="none" w:sz="0" w:space="0" w:color="auto"/>
            <w:left w:val="none" w:sz="0" w:space="0" w:color="auto"/>
            <w:bottom w:val="none" w:sz="0" w:space="0" w:color="auto"/>
            <w:right w:val="none" w:sz="0" w:space="0" w:color="auto"/>
          </w:divBdr>
        </w:div>
        <w:div w:id="1036471731">
          <w:marLeft w:val="0"/>
          <w:marRight w:val="0"/>
          <w:marTop w:val="0"/>
          <w:marBottom w:val="0"/>
          <w:divBdr>
            <w:top w:val="none" w:sz="0" w:space="0" w:color="auto"/>
            <w:left w:val="none" w:sz="0" w:space="0" w:color="auto"/>
            <w:bottom w:val="none" w:sz="0" w:space="0" w:color="auto"/>
            <w:right w:val="none" w:sz="0" w:space="0" w:color="auto"/>
          </w:divBdr>
        </w:div>
        <w:div w:id="449857917">
          <w:marLeft w:val="0"/>
          <w:marRight w:val="0"/>
          <w:marTop w:val="0"/>
          <w:marBottom w:val="0"/>
          <w:divBdr>
            <w:top w:val="none" w:sz="0" w:space="0" w:color="auto"/>
            <w:left w:val="none" w:sz="0" w:space="0" w:color="auto"/>
            <w:bottom w:val="none" w:sz="0" w:space="0" w:color="auto"/>
            <w:right w:val="none" w:sz="0" w:space="0" w:color="auto"/>
          </w:divBdr>
          <w:divsChild>
            <w:div w:id="2040542045">
              <w:marLeft w:val="0"/>
              <w:marRight w:val="0"/>
              <w:marTop w:val="0"/>
              <w:marBottom w:val="0"/>
              <w:divBdr>
                <w:top w:val="none" w:sz="0" w:space="0" w:color="auto"/>
                <w:left w:val="none" w:sz="0" w:space="0" w:color="auto"/>
                <w:bottom w:val="none" w:sz="0" w:space="0" w:color="auto"/>
                <w:right w:val="none" w:sz="0" w:space="0" w:color="auto"/>
              </w:divBdr>
            </w:div>
          </w:divsChild>
        </w:div>
        <w:div w:id="1866745579">
          <w:marLeft w:val="0"/>
          <w:marRight w:val="0"/>
          <w:marTop w:val="0"/>
          <w:marBottom w:val="0"/>
          <w:divBdr>
            <w:top w:val="none" w:sz="0" w:space="0" w:color="auto"/>
            <w:left w:val="none" w:sz="0" w:space="0" w:color="auto"/>
            <w:bottom w:val="none" w:sz="0" w:space="0" w:color="auto"/>
            <w:right w:val="none" w:sz="0" w:space="0" w:color="auto"/>
          </w:divBdr>
        </w:div>
        <w:div w:id="926111272">
          <w:marLeft w:val="0"/>
          <w:marRight w:val="0"/>
          <w:marTop w:val="0"/>
          <w:marBottom w:val="0"/>
          <w:divBdr>
            <w:top w:val="none" w:sz="0" w:space="0" w:color="auto"/>
            <w:left w:val="none" w:sz="0" w:space="0" w:color="auto"/>
            <w:bottom w:val="none" w:sz="0" w:space="0" w:color="auto"/>
            <w:right w:val="none" w:sz="0" w:space="0" w:color="auto"/>
          </w:divBdr>
        </w:div>
        <w:div w:id="1435248863">
          <w:marLeft w:val="0"/>
          <w:marRight w:val="0"/>
          <w:marTop w:val="0"/>
          <w:marBottom w:val="0"/>
          <w:divBdr>
            <w:top w:val="none" w:sz="0" w:space="0" w:color="auto"/>
            <w:left w:val="none" w:sz="0" w:space="0" w:color="auto"/>
            <w:bottom w:val="none" w:sz="0" w:space="0" w:color="auto"/>
            <w:right w:val="none" w:sz="0" w:space="0" w:color="auto"/>
          </w:divBdr>
        </w:div>
        <w:div w:id="640812708">
          <w:marLeft w:val="0"/>
          <w:marRight w:val="0"/>
          <w:marTop w:val="0"/>
          <w:marBottom w:val="0"/>
          <w:divBdr>
            <w:top w:val="none" w:sz="0" w:space="0" w:color="auto"/>
            <w:left w:val="none" w:sz="0" w:space="0" w:color="auto"/>
            <w:bottom w:val="none" w:sz="0" w:space="0" w:color="auto"/>
            <w:right w:val="none" w:sz="0" w:space="0" w:color="auto"/>
          </w:divBdr>
          <w:divsChild>
            <w:div w:id="144973897">
              <w:marLeft w:val="0"/>
              <w:marRight w:val="0"/>
              <w:marTop w:val="0"/>
              <w:marBottom w:val="0"/>
              <w:divBdr>
                <w:top w:val="none" w:sz="0" w:space="0" w:color="auto"/>
                <w:left w:val="none" w:sz="0" w:space="0" w:color="auto"/>
                <w:bottom w:val="none" w:sz="0" w:space="0" w:color="auto"/>
                <w:right w:val="none" w:sz="0" w:space="0" w:color="auto"/>
              </w:divBdr>
            </w:div>
          </w:divsChild>
        </w:div>
        <w:div w:id="1501583346">
          <w:marLeft w:val="0"/>
          <w:marRight w:val="0"/>
          <w:marTop w:val="0"/>
          <w:marBottom w:val="0"/>
          <w:divBdr>
            <w:top w:val="none" w:sz="0" w:space="0" w:color="auto"/>
            <w:left w:val="none" w:sz="0" w:space="0" w:color="auto"/>
            <w:bottom w:val="none" w:sz="0" w:space="0" w:color="auto"/>
            <w:right w:val="none" w:sz="0" w:space="0" w:color="auto"/>
          </w:divBdr>
        </w:div>
        <w:div w:id="1948073498">
          <w:marLeft w:val="0"/>
          <w:marRight w:val="0"/>
          <w:marTop w:val="0"/>
          <w:marBottom w:val="0"/>
          <w:divBdr>
            <w:top w:val="none" w:sz="0" w:space="0" w:color="auto"/>
            <w:left w:val="none" w:sz="0" w:space="0" w:color="auto"/>
            <w:bottom w:val="none" w:sz="0" w:space="0" w:color="auto"/>
            <w:right w:val="none" w:sz="0" w:space="0" w:color="auto"/>
          </w:divBdr>
          <w:divsChild>
            <w:div w:id="2080207166">
              <w:marLeft w:val="0"/>
              <w:marRight w:val="360"/>
              <w:marTop w:val="0"/>
              <w:marBottom w:val="0"/>
              <w:divBdr>
                <w:top w:val="none" w:sz="0" w:space="0" w:color="auto"/>
                <w:left w:val="none" w:sz="0" w:space="0" w:color="auto"/>
                <w:bottom w:val="none" w:sz="0" w:space="0" w:color="auto"/>
                <w:right w:val="none" w:sz="0" w:space="0" w:color="auto"/>
              </w:divBdr>
            </w:div>
          </w:divsChild>
        </w:div>
        <w:div w:id="1820925225">
          <w:marLeft w:val="0"/>
          <w:marRight w:val="0"/>
          <w:marTop w:val="0"/>
          <w:marBottom w:val="0"/>
          <w:divBdr>
            <w:top w:val="none" w:sz="0" w:space="0" w:color="auto"/>
            <w:left w:val="none" w:sz="0" w:space="0" w:color="auto"/>
            <w:bottom w:val="none" w:sz="0" w:space="0" w:color="auto"/>
            <w:right w:val="none" w:sz="0" w:space="0" w:color="auto"/>
          </w:divBdr>
          <w:divsChild>
            <w:div w:id="4863219">
              <w:marLeft w:val="0"/>
              <w:marRight w:val="0"/>
              <w:marTop w:val="0"/>
              <w:marBottom w:val="0"/>
              <w:divBdr>
                <w:top w:val="none" w:sz="0" w:space="0" w:color="auto"/>
                <w:left w:val="none" w:sz="0" w:space="0" w:color="auto"/>
                <w:bottom w:val="none" w:sz="0" w:space="0" w:color="auto"/>
                <w:right w:val="none" w:sz="0" w:space="0" w:color="auto"/>
              </w:divBdr>
            </w:div>
          </w:divsChild>
        </w:div>
        <w:div w:id="948506769">
          <w:marLeft w:val="0"/>
          <w:marRight w:val="0"/>
          <w:marTop w:val="0"/>
          <w:marBottom w:val="0"/>
          <w:divBdr>
            <w:top w:val="none" w:sz="0" w:space="0" w:color="auto"/>
            <w:left w:val="none" w:sz="0" w:space="0" w:color="auto"/>
            <w:bottom w:val="none" w:sz="0" w:space="0" w:color="auto"/>
            <w:right w:val="none" w:sz="0" w:space="0" w:color="auto"/>
          </w:divBdr>
        </w:div>
        <w:div w:id="659162438">
          <w:marLeft w:val="0"/>
          <w:marRight w:val="0"/>
          <w:marTop w:val="0"/>
          <w:marBottom w:val="0"/>
          <w:divBdr>
            <w:top w:val="none" w:sz="0" w:space="0" w:color="auto"/>
            <w:left w:val="none" w:sz="0" w:space="0" w:color="auto"/>
            <w:bottom w:val="none" w:sz="0" w:space="0" w:color="auto"/>
            <w:right w:val="none" w:sz="0" w:space="0" w:color="auto"/>
          </w:divBdr>
        </w:div>
        <w:div w:id="1752465394">
          <w:marLeft w:val="0"/>
          <w:marRight w:val="0"/>
          <w:marTop w:val="0"/>
          <w:marBottom w:val="0"/>
          <w:divBdr>
            <w:top w:val="none" w:sz="0" w:space="0" w:color="auto"/>
            <w:left w:val="none" w:sz="0" w:space="0" w:color="auto"/>
            <w:bottom w:val="none" w:sz="0" w:space="0" w:color="auto"/>
            <w:right w:val="none" w:sz="0" w:space="0" w:color="auto"/>
          </w:divBdr>
          <w:divsChild>
            <w:div w:id="1544318910">
              <w:marLeft w:val="0"/>
              <w:marRight w:val="0"/>
              <w:marTop w:val="0"/>
              <w:marBottom w:val="0"/>
              <w:divBdr>
                <w:top w:val="none" w:sz="0" w:space="0" w:color="auto"/>
                <w:left w:val="none" w:sz="0" w:space="0" w:color="auto"/>
                <w:bottom w:val="none" w:sz="0" w:space="0" w:color="auto"/>
                <w:right w:val="none" w:sz="0" w:space="0" w:color="auto"/>
              </w:divBdr>
            </w:div>
          </w:divsChild>
        </w:div>
        <w:div w:id="318309615">
          <w:marLeft w:val="0"/>
          <w:marRight w:val="0"/>
          <w:marTop w:val="0"/>
          <w:marBottom w:val="0"/>
          <w:divBdr>
            <w:top w:val="none" w:sz="0" w:space="0" w:color="auto"/>
            <w:left w:val="none" w:sz="0" w:space="0" w:color="auto"/>
            <w:bottom w:val="none" w:sz="0" w:space="0" w:color="auto"/>
            <w:right w:val="none" w:sz="0" w:space="0" w:color="auto"/>
          </w:divBdr>
        </w:div>
        <w:div w:id="1486356493">
          <w:marLeft w:val="0"/>
          <w:marRight w:val="0"/>
          <w:marTop w:val="0"/>
          <w:marBottom w:val="0"/>
          <w:divBdr>
            <w:top w:val="none" w:sz="0" w:space="0" w:color="auto"/>
            <w:left w:val="none" w:sz="0" w:space="0" w:color="auto"/>
            <w:bottom w:val="none" w:sz="0" w:space="0" w:color="auto"/>
            <w:right w:val="none" w:sz="0" w:space="0" w:color="auto"/>
          </w:divBdr>
        </w:div>
        <w:div w:id="1693724719">
          <w:marLeft w:val="0"/>
          <w:marRight w:val="0"/>
          <w:marTop w:val="0"/>
          <w:marBottom w:val="0"/>
          <w:divBdr>
            <w:top w:val="none" w:sz="0" w:space="0" w:color="auto"/>
            <w:left w:val="none" w:sz="0" w:space="0" w:color="auto"/>
            <w:bottom w:val="none" w:sz="0" w:space="0" w:color="auto"/>
            <w:right w:val="none" w:sz="0" w:space="0" w:color="auto"/>
          </w:divBdr>
          <w:divsChild>
            <w:div w:id="98069701">
              <w:marLeft w:val="0"/>
              <w:marRight w:val="0"/>
              <w:marTop w:val="0"/>
              <w:marBottom w:val="0"/>
              <w:divBdr>
                <w:top w:val="none" w:sz="0" w:space="0" w:color="auto"/>
                <w:left w:val="none" w:sz="0" w:space="0" w:color="auto"/>
                <w:bottom w:val="none" w:sz="0" w:space="0" w:color="auto"/>
                <w:right w:val="none" w:sz="0" w:space="0" w:color="auto"/>
              </w:divBdr>
            </w:div>
          </w:divsChild>
        </w:div>
        <w:div w:id="532772656">
          <w:marLeft w:val="0"/>
          <w:marRight w:val="0"/>
          <w:marTop w:val="0"/>
          <w:marBottom w:val="0"/>
          <w:divBdr>
            <w:top w:val="none" w:sz="0" w:space="0" w:color="auto"/>
            <w:left w:val="none" w:sz="0" w:space="0" w:color="auto"/>
            <w:bottom w:val="none" w:sz="0" w:space="0" w:color="auto"/>
            <w:right w:val="none" w:sz="0" w:space="0" w:color="auto"/>
          </w:divBdr>
        </w:div>
        <w:div w:id="211698566">
          <w:marLeft w:val="0"/>
          <w:marRight w:val="0"/>
          <w:marTop w:val="0"/>
          <w:marBottom w:val="0"/>
          <w:divBdr>
            <w:top w:val="none" w:sz="0" w:space="0" w:color="auto"/>
            <w:left w:val="none" w:sz="0" w:space="0" w:color="auto"/>
            <w:bottom w:val="none" w:sz="0" w:space="0" w:color="auto"/>
            <w:right w:val="none" w:sz="0" w:space="0" w:color="auto"/>
          </w:divBdr>
        </w:div>
        <w:div w:id="1641883882">
          <w:marLeft w:val="0"/>
          <w:marRight w:val="0"/>
          <w:marTop w:val="0"/>
          <w:marBottom w:val="0"/>
          <w:divBdr>
            <w:top w:val="none" w:sz="0" w:space="0" w:color="auto"/>
            <w:left w:val="none" w:sz="0" w:space="0" w:color="auto"/>
            <w:bottom w:val="none" w:sz="0" w:space="0" w:color="auto"/>
            <w:right w:val="none" w:sz="0" w:space="0" w:color="auto"/>
          </w:divBdr>
          <w:divsChild>
            <w:div w:id="21518308">
              <w:marLeft w:val="0"/>
              <w:marRight w:val="0"/>
              <w:marTop w:val="0"/>
              <w:marBottom w:val="0"/>
              <w:divBdr>
                <w:top w:val="none" w:sz="0" w:space="0" w:color="auto"/>
                <w:left w:val="none" w:sz="0" w:space="0" w:color="auto"/>
                <w:bottom w:val="none" w:sz="0" w:space="0" w:color="auto"/>
                <w:right w:val="none" w:sz="0" w:space="0" w:color="auto"/>
              </w:divBdr>
            </w:div>
          </w:divsChild>
        </w:div>
        <w:div w:id="748698806">
          <w:marLeft w:val="0"/>
          <w:marRight w:val="0"/>
          <w:marTop w:val="0"/>
          <w:marBottom w:val="0"/>
          <w:divBdr>
            <w:top w:val="none" w:sz="0" w:space="0" w:color="auto"/>
            <w:left w:val="none" w:sz="0" w:space="0" w:color="auto"/>
            <w:bottom w:val="none" w:sz="0" w:space="0" w:color="auto"/>
            <w:right w:val="none" w:sz="0" w:space="0" w:color="auto"/>
          </w:divBdr>
        </w:div>
        <w:div w:id="1254050698">
          <w:marLeft w:val="0"/>
          <w:marRight w:val="0"/>
          <w:marTop w:val="0"/>
          <w:marBottom w:val="0"/>
          <w:divBdr>
            <w:top w:val="none" w:sz="0" w:space="0" w:color="auto"/>
            <w:left w:val="none" w:sz="0" w:space="0" w:color="auto"/>
            <w:bottom w:val="none" w:sz="0" w:space="0" w:color="auto"/>
            <w:right w:val="none" w:sz="0" w:space="0" w:color="auto"/>
          </w:divBdr>
          <w:divsChild>
            <w:div w:id="579681419">
              <w:marLeft w:val="0"/>
              <w:marRight w:val="360"/>
              <w:marTop w:val="0"/>
              <w:marBottom w:val="0"/>
              <w:divBdr>
                <w:top w:val="none" w:sz="0" w:space="0" w:color="auto"/>
                <w:left w:val="none" w:sz="0" w:space="0" w:color="auto"/>
                <w:bottom w:val="none" w:sz="0" w:space="0" w:color="auto"/>
                <w:right w:val="none" w:sz="0" w:space="0" w:color="auto"/>
              </w:divBdr>
            </w:div>
          </w:divsChild>
        </w:div>
        <w:div w:id="1017195755">
          <w:marLeft w:val="0"/>
          <w:marRight w:val="0"/>
          <w:marTop w:val="0"/>
          <w:marBottom w:val="0"/>
          <w:divBdr>
            <w:top w:val="none" w:sz="0" w:space="0" w:color="auto"/>
            <w:left w:val="none" w:sz="0" w:space="0" w:color="auto"/>
            <w:bottom w:val="none" w:sz="0" w:space="0" w:color="auto"/>
            <w:right w:val="none" w:sz="0" w:space="0" w:color="auto"/>
          </w:divBdr>
          <w:divsChild>
            <w:div w:id="2056855446">
              <w:marLeft w:val="0"/>
              <w:marRight w:val="0"/>
              <w:marTop w:val="0"/>
              <w:marBottom w:val="0"/>
              <w:divBdr>
                <w:top w:val="none" w:sz="0" w:space="0" w:color="auto"/>
                <w:left w:val="none" w:sz="0" w:space="0" w:color="auto"/>
                <w:bottom w:val="none" w:sz="0" w:space="0" w:color="auto"/>
                <w:right w:val="none" w:sz="0" w:space="0" w:color="auto"/>
              </w:divBdr>
            </w:div>
          </w:divsChild>
        </w:div>
        <w:div w:id="925531521">
          <w:marLeft w:val="0"/>
          <w:marRight w:val="0"/>
          <w:marTop w:val="0"/>
          <w:marBottom w:val="0"/>
          <w:divBdr>
            <w:top w:val="none" w:sz="0" w:space="0" w:color="auto"/>
            <w:left w:val="none" w:sz="0" w:space="0" w:color="auto"/>
            <w:bottom w:val="none" w:sz="0" w:space="0" w:color="auto"/>
            <w:right w:val="none" w:sz="0" w:space="0" w:color="auto"/>
          </w:divBdr>
        </w:div>
        <w:div w:id="1549148413">
          <w:marLeft w:val="0"/>
          <w:marRight w:val="0"/>
          <w:marTop w:val="0"/>
          <w:marBottom w:val="0"/>
          <w:divBdr>
            <w:top w:val="none" w:sz="0" w:space="0" w:color="auto"/>
            <w:left w:val="none" w:sz="0" w:space="0" w:color="auto"/>
            <w:bottom w:val="none" w:sz="0" w:space="0" w:color="auto"/>
            <w:right w:val="none" w:sz="0" w:space="0" w:color="auto"/>
          </w:divBdr>
          <w:divsChild>
            <w:div w:id="1601404579">
              <w:marLeft w:val="0"/>
              <w:marRight w:val="360"/>
              <w:marTop w:val="0"/>
              <w:marBottom w:val="0"/>
              <w:divBdr>
                <w:top w:val="none" w:sz="0" w:space="0" w:color="auto"/>
                <w:left w:val="none" w:sz="0" w:space="0" w:color="auto"/>
                <w:bottom w:val="none" w:sz="0" w:space="0" w:color="auto"/>
                <w:right w:val="none" w:sz="0" w:space="0" w:color="auto"/>
              </w:divBdr>
            </w:div>
          </w:divsChild>
        </w:div>
        <w:div w:id="640695427">
          <w:marLeft w:val="0"/>
          <w:marRight w:val="0"/>
          <w:marTop w:val="0"/>
          <w:marBottom w:val="0"/>
          <w:divBdr>
            <w:top w:val="none" w:sz="0" w:space="0" w:color="auto"/>
            <w:left w:val="none" w:sz="0" w:space="0" w:color="auto"/>
            <w:bottom w:val="none" w:sz="0" w:space="0" w:color="auto"/>
            <w:right w:val="none" w:sz="0" w:space="0" w:color="auto"/>
          </w:divBdr>
          <w:divsChild>
            <w:div w:id="776174178">
              <w:marLeft w:val="0"/>
              <w:marRight w:val="0"/>
              <w:marTop w:val="0"/>
              <w:marBottom w:val="0"/>
              <w:divBdr>
                <w:top w:val="none" w:sz="0" w:space="0" w:color="auto"/>
                <w:left w:val="none" w:sz="0" w:space="0" w:color="auto"/>
                <w:bottom w:val="none" w:sz="0" w:space="0" w:color="auto"/>
                <w:right w:val="none" w:sz="0" w:space="0" w:color="auto"/>
              </w:divBdr>
            </w:div>
          </w:divsChild>
        </w:div>
        <w:div w:id="339695236">
          <w:marLeft w:val="0"/>
          <w:marRight w:val="0"/>
          <w:marTop w:val="0"/>
          <w:marBottom w:val="0"/>
          <w:divBdr>
            <w:top w:val="none" w:sz="0" w:space="0" w:color="auto"/>
            <w:left w:val="none" w:sz="0" w:space="0" w:color="auto"/>
            <w:bottom w:val="none" w:sz="0" w:space="0" w:color="auto"/>
            <w:right w:val="none" w:sz="0" w:space="0" w:color="auto"/>
          </w:divBdr>
        </w:div>
        <w:div w:id="881753244">
          <w:marLeft w:val="0"/>
          <w:marRight w:val="0"/>
          <w:marTop w:val="0"/>
          <w:marBottom w:val="0"/>
          <w:divBdr>
            <w:top w:val="none" w:sz="0" w:space="0" w:color="auto"/>
            <w:left w:val="none" w:sz="0" w:space="0" w:color="auto"/>
            <w:bottom w:val="none" w:sz="0" w:space="0" w:color="auto"/>
            <w:right w:val="none" w:sz="0" w:space="0" w:color="auto"/>
          </w:divBdr>
        </w:div>
        <w:div w:id="1588074269">
          <w:marLeft w:val="0"/>
          <w:marRight w:val="0"/>
          <w:marTop w:val="0"/>
          <w:marBottom w:val="0"/>
          <w:divBdr>
            <w:top w:val="none" w:sz="0" w:space="0" w:color="auto"/>
            <w:left w:val="none" w:sz="0" w:space="0" w:color="auto"/>
            <w:bottom w:val="none" w:sz="0" w:space="0" w:color="auto"/>
            <w:right w:val="none" w:sz="0" w:space="0" w:color="auto"/>
          </w:divBdr>
          <w:divsChild>
            <w:div w:id="421071885">
              <w:marLeft w:val="0"/>
              <w:marRight w:val="0"/>
              <w:marTop w:val="0"/>
              <w:marBottom w:val="0"/>
              <w:divBdr>
                <w:top w:val="none" w:sz="0" w:space="0" w:color="auto"/>
                <w:left w:val="none" w:sz="0" w:space="0" w:color="auto"/>
                <w:bottom w:val="none" w:sz="0" w:space="0" w:color="auto"/>
                <w:right w:val="none" w:sz="0" w:space="0" w:color="auto"/>
              </w:divBdr>
            </w:div>
          </w:divsChild>
        </w:div>
        <w:div w:id="1366366424">
          <w:marLeft w:val="0"/>
          <w:marRight w:val="0"/>
          <w:marTop w:val="0"/>
          <w:marBottom w:val="0"/>
          <w:divBdr>
            <w:top w:val="none" w:sz="0" w:space="0" w:color="auto"/>
            <w:left w:val="none" w:sz="0" w:space="0" w:color="auto"/>
            <w:bottom w:val="none" w:sz="0" w:space="0" w:color="auto"/>
            <w:right w:val="none" w:sz="0" w:space="0" w:color="auto"/>
          </w:divBdr>
        </w:div>
        <w:div w:id="1718579777">
          <w:marLeft w:val="0"/>
          <w:marRight w:val="0"/>
          <w:marTop w:val="0"/>
          <w:marBottom w:val="0"/>
          <w:divBdr>
            <w:top w:val="none" w:sz="0" w:space="0" w:color="auto"/>
            <w:left w:val="none" w:sz="0" w:space="0" w:color="auto"/>
            <w:bottom w:val="none" w:sz="0" w:space="0" w:color="auto"/>
            <w:right w:val="none" w:sz="0" w:space="0" w:color="auto"/>
          </w:divBdr>
          <w:divsChild>
            <w:div w:id="359207987">
              <w:marLeft w:val="0"/>
              <w:marRight w:val="360"/>
              <w:marTop w:val="0"/>
              <w:marBottom w:val="0"/>
              <w:divBdr>
                <w:top w:val="none" w:sz="0" w:space="0" w:color="auto"/>
                <w:left w:val="none" w:sz="0" w:space="0" w:color="auto"/>
                <w:bottom w:val="none" w:sz="0" w:space="0" w:color="auto"/>
                <w:right w:val="none" w:sz="0" w:space="0" w:color="auto"/>
              </w:divBdr>
            </w:div>
          </w:divsChild>
        </w:div>
        <w:div w:id="656111442">
          <w:marLeft w:val="0"/>
          <w:marRight w:val="0"/>
          <w:marTop w:val="0"/>
          <w:marBottom w:val="0"/>
          <w:divBdr>
            <w:top w:val="none" w:sz="0" w:space="0" w:color="auto"/>
            <w:left w:val="none" w:sz="0" w:space="0" w:color="auto"/>
            <w:bottom w:val="none" w:sz="0" w:space="0" w:color="auto"/>
            <w:right w:val="none" w:sz="0" w:space="0" w:color="auto"/>
          </w:divBdr>
          <w:divsChild>
            <w:div w:id="1690915086">
              <w:marLeft w:val="0"/>
              <w:marRight w:val="0"/>
              <w:marTop w:val="0"/>
              <w:marBottom w:val="0"/>
              <w:divBdr>
                <w:top w:val="none" w:sz="0" w:space="0" w:color="auto"/>
                <w:left w:val="none" w:sz="0" w:space="0" w:color="auto"/>
                <w:bottom w:val="none" w:sz="0" w:space="0" w:color="auto"/>
                <w:right w:val="none" w:sz="0" w:space="0" w:color="auto"/>
              </w:divBdr>
            </w:div>
          </w:divsChild>
        </w:div>
        <w:div w:id="683242979">
          <w:marLeft w:val="0"/>
          <w:marRight w:val="0"/>
          <w:marTop w:val="0"/>
          <w:marBottom w:val="0"/>
          <w:divBdr>
            <w:top w:val="none" w:sz="0" w:space="0" w:color="auto"/>
            <w:left w:val="none" w:sz="0" w:space="0" w:color="auto"/>
            <w:bottom w:val="none" w:sz="0" w:space="0" w:color="auto"/>
            <w:right w:val="none" w:sz="0" w:space="0" w:color="auto"/>
          </w:divBdr>
        </w:div>
        <w:div w:id="641815045">
          <w:marLeft w:val="0"/>
          <w:marRight w:val="0"/>
          <w:marTop w:val="0"/>
          <w:marBottom w:val="0"/>
          <w:divBdr>
            <w:top w:val="none" w:sz="0" w:space="0" w:color="auto"/>
            <w:left w:val="none" w:sz="0" w:space="0" w:color="auto"/>
            <w:bottom w:val="none" w:sz="0" w:space="0" w:color="auto"/>
            <w:right w:val="none" w:sz="0" w:space="0" w:color="auto"/>
          </w:divBdr>
          <w:divsChild>
            <w:div w:id="494958758">
              <w:marLeft w:val="0"/>
              <w:marRight w:val="360"/>
              <w:marTop w:val="0"/>
              <w:marBottom w:val="0"/>
              <w:divBdr>
                <w:top w:val="none" w:sz="0" w:space="0" w:color="auto"/>
                <w:left w:val="none" w:sz="0" w:space="0" w:color="auto"/>
                <w:bottom w:val="none" w:sz="0" w:space="0" w:color="auto"/>
                <w:right w:val="none" w:sz="0" w:space="0" w:color="auto"/>
              </w:divBdr>
            </w:div>
          </w:divsChild>
        </w:div>
        <w:div w:id="1573585784">
          <w:marLeft w:val="0"/>
          <w:marRight w:val="0"/>
          <w:marTop w:val="0"/>
          <w:marBottom w:val="0"/>
          <w:divBdr>
            <w:top w:val="none" w:sz="0" w:space="0" w:color="auto"/>
            <w:left w:val="none" w:sz="0" w:space="0" w:color="auto"/>
            <w:bottom w:val="none" w:sz="0" w:space="0" w:color="auto"/>
            <w:right w:val="none" w:sz="0" w:space="0" w:color="auto"/>
          </w:divBdr>
          <w:divsChild>
            <w:div w:id="568686983">
              <w:marLeft w:val="0"/>
              <w:marRight w:val="0"/>
              <w:marTop w:val="0"/>
              <w:marBottom w:val="0"/>
              <w:divBdr>
                <w:top w:val="none" w:sz="0" w:space="0" w:color="auto"/>
                <w:left w:val="none" w:sz="0" w:space="0" w:color="auto"/>
                <w:bottom w:val="none" w:sz="0" w:space="0" w:color="auto"/>
                <w:right w:val="none" w:sz="0" w:space="0" w:color="auto"/>
              </w:divBdr>
            </w:div>
          </w:divsChild>
        </w:div>
        <w:div w:id="652217278">
          <w:marLeft w:val="0"/>
          <w:marRight w:val="0"/>
          <w:marTop w:val="0"/>
          <w:marBottom w:val="0"/>
          <w:divBdr>
            <w:top w:val="none" w:sz="0" w:space="0" w:color="auto"/>
            <w:left w:val="none" w:sz="0" w:space="0" w:color="auto"/>
            <w:bottom w:val="none" w:sz="0" w:space="0" w:color="auto"/>
            <w:right w:val="none" w:sz="0" w:space="0" w:color="auto"/>
          </w:divBdr>
        </w:div>
        <w:div w:id="1906648295">
          <w:marLeft w:val="0"/>
          <w:marRight w:val="0"/>
          <w:marTop w:val="0"/>
          <w:marBottom w:val="0"/>
          <w:divBdr>
            <w:top w:val="none" w:sz="0" w:space="0" w:color="auto"/>
            <w:left w:val="none" w:sz="0" w:space="0" w:color="auto"/>
            <w:bottom w:val="none" w:sz="0" w:space="0" w:color="auto"/>
            <w:right w:val="none" w:sz="0" w:space="0" w:color="auto"/>
          </w:divBdr>
          <w:divsChild>
            <w:div w:id="68161473">
              <w:marLeft w:val="0"/>
              <w:marRight w:val="360"/>
              <w:marTop w:val="0"/>
              <w:marBottom w:val="0"/>
              <w:divBdr>
                <w:top w:val="none" w:sz="0" w:space="0" w:color="auto"/>
                <w:left w:val="none" w:sz="0" w:space="0" w:color="auto"/>
                <w:bottom w:val="none" w:sz="0" w:space="0" w:color="auto"/>
                <w:right w:val="none" w:sz="0" w:space="0" w:color="auto"/>
              </w:divBdr>
            </w:div>
          </w:divsChild>
        </w:div>
        <w:div w:id="1550798314">
          <w:marLeft w:val="0"/>
          <w:marRight w:val="0"/>
          <w:marTop w:val="0"/>
          <w:marBottom w:val="0"/>
          <w:divBdr>
            <w:top w:val="none" w:sz="0" w:space="0" w:color="auto"/>
            <w:left w:val="none" w:sz="0" w:space="0" w:color="auto"/>
            <w:bottom w:val="none" w:sz="0" w:space="0" w:color="auto"/>
            <w:right w:val="none" w:sz="0" w:space="0" w:color="auto"/>
          </w:divBdr>
          <w:divsChild>
            <w:div w:id="1370643972">
              <w:marLeft w:val="0"/>
              <w:marRight w:val="0"/>
              <w:marTop w:val="0"/>
              <w:marBottom w:val="0"/>
              <w:divBdr>
                <w:top w:val="none" w:sz="0" w:space="0" w:color="auto"/>
                <w:left w:val="none" w:sz="0" w:space="0" w:color="auto"/>
                <w:bottom w:val="none" w:sz="0" w:space="0" w:color="auto"/>
                <w:right w:val="none" w:sz="0" w:space="0" w:color="auto"/>
              </w:divBdr>
            </w:div>
          </w:divsChild>
        </w:div>
        <w:div w:id="510535240">
          <w:marLeft w:val="0"/>
          <w:marRight w:val="0"/>
          <w:marTop w:val="0"/>
          <w:marBottom w:val="0"/>
          <w:divBdr>
            <w:top w:val="none" w:sz="0" w:space="0" w:color="auto"/>
            <w:left w:val="none" w:sz="0" w:space="0" w:color="auto"/>
            <w:bottom w:val="none" w:sz="0" w:space="0" w:color="auto"/>
            <w:right w:val="none" w:sz="0" w:space="0" w:color="auto"/>
          </w:divBdr>
        </w:div>
        <w:div w:id="1900438186">
          <w:marLeft w:val="0"/>
          <w:marRight w:val="0"/>
          <w:marTop w:val="0"/>
          <w:marBottom w:val="0"/>
          <w:divBdr>
            <w:top w:val="none" w:sz="0" w:space="0" w:color="auto"/>
            <w:left w:val="none" w:sz="0" w:space="0" w:color="auto"/>
            <w:bottom w:val="none" w:sz="0" w:space="0" w:color="auto"/>
            <w:right w:val="none" w:sz="0" w:space="0" w:color="auto"/>
          </w:divBdr>
          <w:divsChild>
            <w:div w:id="872041273">
              <w:marLeft w:val="0"/>
              <w:marRight w:val="360"/>
              <w:marTop w:val="0"/>
              <w:marBottom w:val="0"/>
              <w:divBdr>
                <w:top w:val="none" w:sz="0" w:space="0" w:color="auto"/>
                <w:left w:val="none" w:sz="0" w:space="0" w:color="auto"/>
                <w:bottom w:val="none" w:sz="0" w:space="0" w:color="auto"/>
                <w:right w:val="none" w:sz="0" w:space="0" w:color="auto"/>
              </w:divBdr>
            </w:div>
          </w:divsChild>
        </w:div>
        <w:div w:id="1602909810">
          <w:marLeft w:val="0"/>
          <w:marRight w:val="0"/>
          <w:marTop w:val="0"/>
          <w:marBottom w:val="0"/>
          <w:divBdr>
            <w:top w:val="none" w:sz="0" w:space="0" w:color="auto"/>
            <w:left w:val="none" w:sz="0" w:space="0" w:color="auto"/>
            <w:bottom w:val="none" w:sz="0" w:space="0" w:color="auto"/>
            <w:right w:val="none" w:sz="0" w:space="0" w:color="auto"/>
          </w:divBdr>
          <w:divsChild>
            <w:div w:id="1120683716">
              <w:marLeft w:val="0"/>
              <w:marRight w:val="0"/>
              <w:marTop w:val="0"/>
              <w:marBottom w:val="0"/>
              <w:divBdr>
                <w:top w:val="none" w:sz="0" w:space="0" w:color="auto"/>
                <w:left w:val="none" w:sz="0" w:space="0" w:color="auto"/>
                <w:bottom w:val="none" w:sz="0" w:space="0" w:color="auto"/>
                <w:right w:val="none" w:sz="0" w:space="0" w:color="auto"/>
              </w:divBdr>
            </w:div>
          </w:divsChild>
        </w:div>
        <w:div w:id="665476841">
          <w:marLeft w:val="0"/>
          <w:marRight w:val="0"/>
          <w:marTop w:val="0"/>
          <w:marBottom w:val="0"/>
          <w:divBdr>
            <w:top w:val="none" w:sz="0" w:space="0" w:color="auto"/>
            <w:left w:val="none" w:sz="0" w:space="0" w:color="auto"/>
            <w:bottom w:val="none" w:sz="0" w:space="0" w:color="auto"/>
            <w:right w:val="none" w:sz="0" w:space="0" w:color="auto"/>
          </w:divBdr>
        </w:div>
        <w:div w:id="661927852">
          <w:marLeft w:val="0"/>
          <w:marRight w:val="0"/>
          <w:marTop w:val="0"/>
          <w:marBottom w:val="0"/>
          <w:divBdr>
            <w:top w:val="none" w:sz="0" w:space="0" w:color="auto"/>
            <w:left w:val="none" w:sz="0" w:space="0" w:color="auto"/>
            <w:bottom w:val="none" w:sz="0" w:space="0" w:color="auto"/>
            <w:right w:val="none" w:sz="0" w:space="0" w:color="auto"/>
          </w:divBdr>
          <w:divsChild>
            <w:div w:id="615990244">
              <w:marLeft w:val="0"/>
              <w:marRight w:val="360"/>
              <w:marTop w:val="0"/>
              <w:marBottom w:val="0"/>
              <w:divBdr>
                <w:top w:val="none" w:sz="0" w:space="0" w:color="auto"/>
                <w:left w:val="none" w:sz="0" w:space="0" w:color="auto"/>
                <w:bottom w:val="none" w:sz="0" w:space="0" w:color="auto"/>
                <w:right w:val="none" w:sz="0" w:space="0" w:color="auto"/>
              </w:divBdr>
            </w:div>
          </w:divsChild>
        </w:div>
        <w:div w:id="1217933465">
          <w:marLeft w:val="0"/>
          <w:marRight w:val="0"/>
          <w:marTop w:val="0"/>
          <w:marBottom w:val="0"/>
          <w:divBdr>
            <w:top w:val="none" w:sz="0" w:space="0" w:color="auto"/>
            <w:left w:val="none" w:sz="0" w:space="0" w:color="auto"/>
            <w:bottom w:val="none" w:sz="0" w:space="0" w:color="auto"/>
            <w:right w:val="none" w:sz="0" w:space="0" w:color="auto"/>
          </w:divBdr>
          <w:divsChild>
            <w:div w:id="1244877862">
              <w:marLeft w:val="0"/>
              <w:marRight w:val="0"/>
              <w:marTop w:val="0"/>
              <w:marBottom w:val="0"/>
              <w:divBdr>
                <w:top w:val="none" w:sz="0" w:space="0" w:color="auto"/>
                <w:left w:val="none" w:sz="0" w:space="0" w:color="auto"/>
                <w:bottom w:val="none" w:sz="0" w:space="0" w:color="auto"/>
                <w:right w:val="none" w:sz="0" w:space="0" w:color="auto"/>
              </w:divBdr>
            </w:div>
          </w:divsChild>
        </w:div>
        <w:div w:id="1858807447">
          <w:marLeft w:val="0"/>
          <w:marRight w:val="0"/>
          <w:marTop w:val="0"/>
          <w:marBottom w:val="0"/>
          <w:divBdr>
            <w:top w:val="none" w:sz="0" w:space="0" w:color="auto"/>
            <w:left w:val="none" w:sz="0" w:space="0" w:color="auto"/>
            <w:bottom w:val="none" w:sz="0" w:space="0" w:color="auto"/>
            <w:right w:val="none" w:sz="0" w:space="0" w:color="auto"/>
          </w:divBdr>
        </w:div>
        <w:div w:id="1728533107">
          <w:marLeft w:val="0"/>
          <w:marRight w:val="0"/>
          <w:marTop w:val="0"/>
          <w:marBottom w:val="0"/>
          <w:divBdr>
            <w:top w:val="none" w:sz="0" w:space="0" w:color="auto"/>
            <w:left w:val="none" w:sz="0" w:space="0" w:color="auto"/>
            <w:bottom w:val="none" w:sz="0" w:space="0" w:color="auto"/>
            <w:right w:val="none" w:sz="0" w:space="0" w:color="auto"/>
          </w:divBdr>
          <w:divsChild>
            <w:div w:id="2081823678">
              <w:marLeft w:val="0"/>
              <w:marRight w:val="360"/>
              <w:marTop w:val="0"/>
              <w:marBottom w:val="0"/>
              <w:divBdr>
                <w:top w:val="none" w:sz="0" w:space="0" w:color="auto"/>
                <w:left w:val="none" w:sz="0" w:space="0" w:color="auto"/>
                <w:bottom w:val="none" w:sz="0" w:space="0" w:color="auto"/>
                <w:right w:val="none" w:sz="0" w:space="0" w:color="auto"/>
              </w:divBdr>
            </w:div>
          </w:divsChild>
        </w:div>
        <w:div w:id="893543772">
          <w:marLeft w:val="0"/>
          <w:marRight w:val="0"/>
          <w:marTop w:val="0"/>
          <w:marBottom w:val="0"/>
          <w:divBdr>
            <w:top w:val="none" w:sz="0" w:space="0" w:color="auto"/>
            <w:left w:val="none" w:sz="0" w:space="0" w:color="auto"/>
            <w:bottom w:val="none" w:sz="0" w:space="0" w:color="auto"/>
            <w:right w:val="none" w:sz="0" w:space="0" w:color="auto"/>
          </w:divBdr>
        </w:div>
        <w:div w:id="506793822">
          <w:marLeft w:val="0"/>
          <w:marRight w:val="0"/>
          <w:marTop w:val="0"/>
          <w:marBottom w:val="0"/>
          <w:divBdr>
            <w:top w:val="none" w:sz="0" w:space="0" w:color="auto"/>
            <w:left w:val="none" w:sz="0" w:space="0" w:color="auto"/>
            <w:bottom w:val="none" w:sz="0" w:space="0" w:color="auto"/>
            <w:right w:val="none" w:sz="0" w:space="0" w:color="auto"/>
          </w:divBdr>
        </w:div>
        <w:div w:id="594289298">
          <w:marLeft w:val="0"/>
          <w:marRight w:val="0"/>
          <w:marTop w:val="0"/>
          <w:marBottom w:val="0"/>
          <w:divBdr>
            <w:top w:val="none" w:sz="0" w:space="0" w:color="auto"/>
            <w:left w:val="none" w:sz="0" w:space="0" w:color="auto"/>
            <w:bottom w:val="none" w:sz="0" w:space="0" w:color="auto"/>
            <w:right w:val="none" w:sz="0" w:space="0" w:color="auto"/>
          </w:divBdr>
        </w:div>
        <w:div w:id="2116973028">
          <w:marLeft w:val="0"/>
          <w:marRight w:val="0"/>
          <w:marTop w:val="0"/>
          <w:marBottom w:val="0"/>
          <w:divBdr>
            <w:top w:val="none" w:sz="0" w:space="0" w:color="auto"/>
            <w:left w:val="none" w:sz="0" w:space="0" w:color="auto"/>
            <w:bottom w:val="none" w:sz="0" w:space="0" w:color="auto"/>
            <w:right w:val="none" w:sz="0" w:space="0" w:color="auto"/>
          </w:divBdr>
          <w:divsChild>
            <w:div w:id="1018581144">
              <w:marLeft w:val="0"/>
              <w:marRight w:val="0"/>
              <w:marTop w:val="0"/>
              <w:marBottom w:val="0"/>
              <w:divBdr>
                <w:top w:val="none" w:sz="0" w:space="0" w:color="auto"/>
                <w:left w:val="none" w:sz="0" w:space="0" w:color="auto"/>
                <w:bottom w:val="none" w:sz="0" w:space="0" w:color="auto"/>
                <w:right w:val="none" w:sz="0" w:space="0" w:color="auto"/>
              </w:divBdr>
            </w:div>
          </w:divsChild>
        </w:div>
        <w:div w:id="1594898544">
          <w:marLeft w:val="0"/>
          <w:marRight w:val="0"/>
          <w:marTop w:val="0"/>
          <w:marBottom w:val="0"/>
          <w:divBdr>
            <w:top w:val="none" w:sz="0" w:space="0" w:color="auto"/>
            <w:left w:val="none" w:sz="0" w:space="0" w:color="auto"/>
            <w:bottom w:val="none" w:sz="0" w:space="0" w:color="auto"/>
            <w:right w:val="none" w:sz="0" w:space="0" w:color="auto"/>
          </w:divBdr>
        </w:div>
        <w:div w:id="917521877">
          <w:marLeft w:val="0"/>
          <w:marRight w:val="0"/>
          <w:marTop w:val="0"/>
          <w:marBottom w:val="0"/>
          <w:divBdr>
            <w:top w:val="none" w:sz="0" w:space="0" w:color="auto"/>
            <w:left w:val="none" w:sz="0" w:space="0" w:color="auto"/>
            <w:bottom w:val="none" w:sz="0" w:space="0" w:color="auto"/>
            <w:right w:val="none" w:sz="0" w:space="0" w:color="auto"/>
          </w:divBdr>
        </w:div>
        <w:div w:id="1091584005">
          <w:marLeft w:val="0"/>
          <w:marRight w:val="0"/>
          <w:marTop w:val="0"/>
          <w:marBottom w:val="0"/>
          <w:divBdr>
            <w:top w:val="none" w:sz="0" w:space="0" w:color="auto"/>
            <w:left w:val="none" w:sz="0" w:space="0" w:color="auto"/>
            <w:bottom w:val="none" w:sz="0" w:space="0" w:color="auto"/>
            <w:right w:val="none" w:sz="0" w:space="0" w:color="auto"/>
          </w:divBdr>
          <w:divsChild>
            <w:div w:id="671222343">
              <w:marLeft w:val="0"/>
              <w:marRight w:val="0"/>
              <w:marTop w:val="0"/>
              <w:marBottom w:val="0"/>
              <w:divBdr>
                <w:top w:val="none" w:sz="0" w:space="0" w:color="auto"/>
                <w:left w:val="none" w:sz="0" w:space="0" w:color="auto"/>
                <w:bottom w:val="none" w:sz="0" w:space="0" w:color="auto"/>
                <w:right w:val="none" w:sz="0" w:space="0" w:color="auto"/>
              </w:divBdr>
            </w:div>
          </w:divsChild>
        </w:div>
        <w:div w:id="707529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ssresearch.2015.01.011"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25</Pages>
  <Words>11123</Words>
  <Characters>63407</Characters>
  <Application>Microsoft Office Word</Application>
  <DocSecurity>8</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2022-08-18T19:52:00Z</dcterms:created>
  <dcterms:modified xsi:type="dcterms:W3CDTF">2022-08-26T16:40:00Z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